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F001" w14:textId="77777777" w:rsidR="000A67C8" w:rsidRPr="0073290E" w:rsidRDefault="000A67C8" w:rsidP="007F5FF3">
      <w:pPr>
        <w:spacing w:beforeLines="100" w:before="240" w:afterLines="100" w:after="240" w:line="480" w:lineRule="auto"/>
        <w:rPr>
          <w:rFonts w:eastAsia="Arial"/>
          <w:b/>
          <w:color w:val="000000" w:themeColor="text1"/>
        </w:rPr>
      </w:pPr>
      <w:r w:rsidRPr="0073290E">
        <w:rPr>
          <w:b/>
          <w:color w:val="1D1C1D"/>
          <w:shd w:val="clear" w:color="auto" w:fill="FFFFFF"/>
        </w:rPr>
        <w:t>Assessing the application of landmark-free morphometrics to macroevolutionary analyses</w:t>
      </w:r>
      <w:r w:rsidRPr="0073290E">
        <w:rPr>
          <w:rFonts w:eastAsia="Arial"/>
          <w:b/>
          <w:color w:val="000000" w:themeColor="text1"/>
        </w:rPr>
        <w:t xml:space="preserve"> </w:t>
      </w:r>
    </w:p>
    <w:p w14:paraId="5EC47C6B" w14:textId="77777777" w:rsidR="00581828" w:rsidRPr="0073290E" w:rsidRDefault="00581828" w:rsidP="007F5FF3">
      <w:pPr>
        <w:spacing w:beforeLines="100" w:before="240" w:afterLines="100" w:after="240" w:line="480" w:lineRule="auto"/>
        <w:rPr>
          <w:rFonts w:eastAsia="Arial"/>
        </w:rPr>
      </w:pPr>
      <w:r w:rsidRPr="0073290E">
        <w:rPr>
          <w:rFonts w:eastAsia="Arial"/>
          <w:color w:val="000000" w:themeColor="text1"/>
        </w:rPr>
        <w:t>James M. Mulqueeney</w:t>
      </w:r>
      <w:r w:rsidRPr="0073290E">
        <w:rPr>
          <w:rFonts w:eastAsia="Arial"/>
          <w:color w:val="000000" w:themeColor="text1"/>
          <w:vertAlign w:val="superscript"/>
        </w:rPr>
        <w:t>1, 2</w:t>
      </w:r>
      <w:r w:rsidRPr="0073290E">
        <w:rPr>
          <w:rFonts w:eastAsia="Arial"/>
          <w:color w:val="000000" w:themeColor="text1"/>
        </w:rPr>
        <w:t>, Thomas H. G. Ezard</w:t>
      </w:r>
      <w:r w:rsidRPr="0073290E">
        <w:rPr>
          <w:rFonts w:eastAsia="Arial"/>
          <w:color w:val="000000" w:themeColor="text1"/>
          <w:vertAlign w:val="superscript"/>
        </w:rPr>
        <w:t>1</w:t>
      </w:r>
      <w:r w:rsidRPr="0073290E">
        <w:rPr>
          <w:rFonts w:eastAsia="Arial"/>
          <w:color w:val="000000" w:themeColor="text1"/>
        </w:rPr>
        <w:t xml:space="preserve"> </w:t>
      </w:r>
      <w:r w:rsidRPr="0073290E">
        <w:rPr>
          <w:rFonts w:eastAsia="Arial"/>
        </w:rPr>
        <w:t xml:space="preserve">&amp; </w:t>
      </w:r>
      <w:r w:rsidRPr="0073290E">
        <w:rPr>
          <w:rFonts w:eastAsia="Arial"/>
          <w:color w:val="000000" w:themeColor="text1"/>
        </w:rPr>
        <w:t>Anjali Goswami</w:t>
      </w:r>
      <w:r w:rsidRPr="0073290E">
        <w:rPr>
          <w:rFonts w:eastAsia="Arial"/>
          <w:color w:val="000000" w:themeColor="text1"/>
          <w:vertAlign w:val="superscript"/>
        </w:rPr>
        <w:t xml:space="preserve">2 </w:t>
      </w:r>
    </w:p>
    <w:p w14:paraId="32E60A36" w14:textId="77777777" w:rsidR="00581828" w:rsidRPr="0073290E" w:rsidRDefault="00581828" w:rsidP="007F5FF3">
      <w:pPr>
        <w:spacing w:beforeLines="100" w:before="240" w:afterLines="100" w:after="240" w:line="480" w:lineRule="auto"/>
        <w:rPr>
          <w:rFonts w:eastAsia="Arial"/>
          <w:color w:val="000000" w:themeColor="text1"/>
        </w:rPr>
      </w:pPr>
      <w:r w:rsidRPr="0073290E">
        <w:rPr>
          <w:rFonts w:eastAsia="Arial"/>
          <w:color w:val="000000" w:themeColor="text1"/>
          <w:vertAlign w:val="superscript"/>
        </w:rPr>
        <w:t>1</w:t>
      </w:r>
      <w:r w:rsidRPr="0073290E">
        <w:rPr>
          <w:rFonts w:eastAsia="Arial"/>
          <w:color w:val="000000" w:themeColor="text1"/>
        </w:rPr>
        <w:t xml:space="preserve">Department of Ocean &amp; Earth Science, National Oceanography Centre Southampton, University of Southampton Waterfront Campus, Southampton, UK </w:t>
      </w:r>
    </w:p>
    <w:p w14:paraId="3E227E54" w14:textId="77777777" w:rsidR="00581828" w:rsidRDefault="00581828" w:rsidP="007F5FF3">
      <w:pPr>
        <w:spacing w:beforeLines="100" w:before="240" w:afterLines="100" w:after="240" w:line="480" w:lineRule="auto"/>
        <w:rPr>
          <w:rFonts w:eastAsia="Arial"/>
          <w:color w:val="000000" w:themeColor="text1"/>
        </w:rPr>
      </w:pPr>
      <w:r w:rsidRPr="0073290E">
        <w:rPr>
          <w:rFonts w:eastAsia="Arial"/>
          <w:color w:val="000000" w:themeColor="text1"/>
          <w:vertAlign w:val="superscript"/>
        </w:rPr>
        <w:t>2</w:t>
      </w:r>
      <w:r w:rsidRPr="0073290E">
        <w:rPr>
          <w:rFonts w:eastAsia="Arial"/>
          <w:color w:val="000000" w:themeColor="text1"/>
        </w:rPr>
        <w:t>Department of Life Sciences, Natural History Museum, London, UK</w:t>
      </w:r>
    </w:p>
    <w:p w14:paraId="4C5525A5" w14:textId="77777777" w:rsidR="00581828" w:rsidRPr="0073290E" w:rsidRDefault="00581828" w:rsidP="007F5FF3">
      <w:pPr>
        <w:spacing w:beforeLines="100" w:before="240" w:afterLines="100" w:after="240" w:line="480" w:lineRule="auto"/>
        <w:rPr>
          <w:rFonts w:eastAsia="Arial"/>
          <w:color w:val="000000" w:themeColor="text1"/>
        </w:rPr>
      </w:pPr>
      <w:r>
        <w:rPr>
          <w:rFonts w:eastAsia="Arial"/>
          <w:color w:val="000000" w:themeColor="text1"/>
        </w:rPr>
        <w:t>Corresponding Author: James M. Mulqueeney (j.m.mulqueeney@soton.ac.uk)</w:t>
      </w:r>
    </w:p>
    <w:p w14:paraId="3DFFD3C0" w14:textId="60BE8F0E" w:rsidR="001D32D3" w:rsidRDefault="00477A22" w:rsidP="007F5FF3">
      <w:pPr>
        <w:spacing w:line="480" w:lineRule="auto"/>
        <w:rPr>
          <w:b/>
          <w:bCs/>
        </w:rPr>
      </w:pPr>
      <w:r>
        <w:rPr>
          <w:b/>
          <w:bCs/>
        </w:rPr>
        <w:t xml:space="preserve">Abstract </w:t>
      </w:r>
    </w:p>
    <w:p w14:paraId="513DE7CB" w14:textId="635CD82C" w:rsidR="00477A22" w:rsidRDefault="007F5FF3" w:rsidP="007F5FF3">
      <w:pPr>
        <w:spacing w:line="480" w:lineRule="auto"/>
      </w:pPr>
      <w:r w:rsidRPr="0073290E">
        <w:rPr>
          <w:rFonts w:eastAsia="Arial"/>
          <w:color w:val="000000" w:themeColor="text1"/>
        </w:rPr>
        <w:t>The study of phenotypic evolution has been transformed in recent decades by methods allowing precise quantification of anatomical shape</w:t>
      </w:r>
      <w:r>
        <w:rPr>
          <w:rFonts w:eastAsia="Arial"/>
          <w:color w:val="000000" w:themeColor="text1"/>
        </w:rPr>
        <w:t>, in particular 3D geometric morphometrics</w:t>
      </w:r>
      <w:r w:rsidRPr="0073290E">
        <w:rPr>
          <w:rFonts w:eastAsia="Arial"/>
          <w:color w:val="000000" w:themeColor="text1"/>
        </w:rPr>
        <w:t xml:space="preserve">. </w:t>
      </w:r>
      <w:r w:rsidRPr="0073290E">
        <w:t xml:space="preserve">While </w:t>
      </w:r>
      <w:r>
        <w:t xml:space="preserve">this effectiveness of geometric morphometrics has been demonstrated by thousands of studies, it generally requires manual or semi-automated landmarking, which is </w:t>
      </w:r>
      <w:r w:rsidRPr="0073290E">
        <w:t xml:space="preserve">time-consuming, susceptible to operator bias, and </w:t>
      </w:r>
      <w:r>
        <w:t xml:space="preserve">limits comparisons </w:t>
      </w:r>
      <w:r w:rsidRPr="0073290E">
        <w:t xml:space="preserve">across </w:t>
      </w:r>
      <w:r>
        <w:t>morphologically</w:t>
      </w:r>
      <w:r w:rsidRPr="0073290E">
        <w:t xml:space="preserve"> disparate taxa. Emerging automated methods, particularly landmark-free techniques, offer potential solutions</w:t>
      </w:r>
      <w:r>
        <w:t>,</w:t>
      </w:r>
      <w:r w:rsidRPr="0073290E">
        <w:t xml:space="preserve"> but </w:t>
      </w:r>
      <w:r>
        <w:t>these</w:t>
      </w:r>
      <w:r w:rsidR="00B86536">
        <w:t xml:space="preserve"> approaches have thus far been primarily applied to closely related forms. </w:t>
      </w:r>
      <w:r w:rsidR="00EB5E4E" w:rsidRPr="0073290E">
        <w:t>In this study, we</w:t>
      </w:r>
      <w:r w:rsidR="00EB5E4E">
        <w:t xml:space="preserve"> explore the utility of automated, landmark-free approach</w:t>
      </w:r>
      <w:r w:rsidR="00DD1B8D">
        <w:t>es for macroevolutionary analyse</w:t>
      </w:r>
      <w:r w:rsidR="00EB5E4E">
        <w:t xml:space="preserve">s. We compare an application of </w:t>
      </w:r>
      <w:r w:rsidR="00EB5E4E" w:rsidRPr="0073290E">
        <w:t xml:space="preserve">large deformation diffeomorphic metric mapping (LDDMM) known as Deterministic Atlas Analysis (DAA) with </w:t>
      </w:r>
      <w:r w:rsidR="00EB5E4E">
        <w:t xml:space="preserve">a </w:t>
      </w:r>
      <w:r w:rsidR="00EB5E4E" w:rsidRPr="0073290E">
        <w:t>high-density geometric morphometric approach</w:t>
      </w:r>
      <w:r w:rsidR="00EB5E4E">
        <w:t>,</w:t>
      </w:r>
      <w:r w:rsidR="00EB5E4E" w:rsidRPr="0073290E">
        <w:t xml:space="preserve"> using a dataset of 322 mammals spanning 180 families. Initially, challenges arose from using mixed modalities (</w:t>
      </w:r>
      <w:r w:rsidR="00ED445A">
        <w:t>computed tomography</w:t>
      </w:r>
      <w:r w:rsidR="00DD1B8D">
        <w:t xml:space="preserve"> (CT)</w:t>
      </w:r>
      <w:r w:rsidR="00EB5E4E" w:rsidRPr="0073290E">
        <w:t xml:space="preserve"> and surface scans), which we addressed by </w:t>
      </w:r>
      <w:r w:rsidR="00EB5E4E" w:rsidRPr="0073290E">
        <w:lastRenderedPageBreak/>
        <w:t xml:space="preserve">standardising the data </w:t>
      </w:r>
      <w:r w:rsidR="00EB5E4E">
        <w:t>by</w:t>
      </w:r>
      <w:r w:rsidR="00EB5E4E" w:rsidRPr="0073290E">
        <w:t xml:space="preserve"> using Poisson surface reconstruction</w:t>
      </w:r>
      <w:r w:rsidR="00EB5E4E">
        <w:t xml:space="preserve"> that </w:t>
      </w:r>
      <w:r w:rsidR="00EB5E4E" w:rsidRPr="0073290E">
        <w:t xml:space="preserve">creates watertight, closed </w:t>
      </w:r>
      <w:r w:rsidR="00EB5E4E">
        <w:t>surfaces</w:t>
      </w:r>
      <w:r w:rsidR="00EB5E4E" w:rsidRPr="0073290E">
        <w:t xml:space="preserve"> for all specimens</w:t>
      </w:r>
      <w:r w:rsidR="00EB5E4E">
        <w:t xml:space="preserve">. After standardisation, we observed a significant improvement </w:t>
      </w:r>
      <w:r w:rsidR="00451CD1">
        <w:t xml:space="preserve">in the correspondence between patterns of shape variation </w:t>
      </w:r>
      <w:r w:rsidR="009A08FB">
        <w:t xml:space="preserve">measured using </w:t>
      </w:r>
      <w:r w:rsidR="00451CD1">
        <w:t>manual landmarking and DAA, though differences emerged</w:t>
      </w:r>
      <w:r w:rsidR="009A08FB">
        <w:t xml:space="preserve"> </w:t>
      </w:r>
      <w:r w:rsidR="00451CD1">
        <w:t>especially for</w:t>
      </w:r>
      <w:r w:rsidR="00926994">
        <w:t xml:space="preserve"> </w:t>
      </w:r>
      <w:r w:rsidR="00223345">
        <w:t>Primates</w:t>
      </w:r>
      <w:r w:rsidR="00760B6E">
        <w:t xml:space="preserve"> and Cetacea</w:t>
      </w:r>
      <w:r w:rsidR="00503C20">
        <w:t xml:space="preserve">. </w:t>
      </w:r>
      <w:r w:rsidR="004305E6">
        <w:t xml:space="preserve">We further evaluated the downstream effects of these differences on macroevolutionary analyses, finding that both methods produced comparable but varying estimates of phylogenetic signal, morphological disparity and evolutionary </w:t>
      </w:r>
      <w:r w:rsidR="005A47CC">
        <w:t xml:space="preserve">rates. </w:t>
      </w:r>
      <w:r w:rsidR="00F9216A">
        <w:t xml:space="preserve">Our findings </w:t>
      </w:r>
      <w:r w:rsidR="004B5B8B">
        <w:t xml:space="preserve">highlight the potential of landmark-free approaches </w:t>
      </w:r>
      <w:r w:rsidR="00423B11">
        <w:t xml:space="preserve">like DAA for large scale studies across disparate </w:t>
      </w:r>
      <w:r w:rsidR="005B3BE8">
        <w:t xml:space="preserve">taxa, </w:t>
      </w:r>
      <w:r w:rsidR="00DA1851">
        <w:t>owing to their enhanced efficiency</w:t>
      </w:r>
      <w:r w:rsidR="00FD0DA6">
        <w:t xml:space="preserve">. However, they also </w:t>
      </w:r>
      <w:r w:rsidR="00016B1B">
        <w:t>reveal several challenges that must be addressed before these methods can be widely adopted</w:t>
      </w:r>
      <w:r w:rsidR="005B3BE8">
        <w:t xml:space="preserve">. </w:t>
      </w:r>
      <w:r w:rsidR="005A1799">
        <w:t>In this context, we outline</w:t>
      </w:r>
      <w:r w:rsidR="001D5702">
        <w:t xml:space="preserve"> these issues</w:t>
      </w:r>
      <w:r w:rsidR="00C7141C">
        <w:t>, propose solutions based on existing literature, and identify potential avenues for further research. We argue that by incorporating these improvements, the application of landmark-free analyses c</w:t>
      </w:r>
      <w:r w:rsidR="00BE469C">
        <w:t xml:space="preserve">ould be expanded, thereby enhancing the scope of morphometric studies and enabling the analysis of larger and more diverse datasets. </w:t>
      </w:r>
    </w:p>
    <w:p w14:paraId="0D8F81DB" w14:textId="63878B1A" w:rsidR="00B41EA5" w:rsidRDefault="00B41EA5" w:rsidP="007F5FF3">
      <w:pPr>
        <w:spacing w:line="480" w:lineRule="auto"/>
        <w:rPr>
          <w:b/>
          <w:bCs/>
        </w:rPr>
      </w:pPr>
      <w:r>
        <w:rPr>
          <w:b/>
          <w:bCs/>
        </w:rPr>
        <w:t xml:space="preserve">Background </w:t>
      </w:r>
    </w:p>
    <w:p w14:paraId="532A5B72" w14:textId="59BCF856" w:rsidR="00021B8C" w:rsidRPr="0073290E" w:rsidRDefault="00021B8C" w:rsidP="00021B8C">
      <w:pPr>
        <w:pStyle w:val="paragraph"/>
        <w:spacing w:beforeLines="100" w:before="240" w:beforeAutospacing="0" w:afterLines="100" w:after="240" w:afterAutospacing="0" w:line="480" w:lineRule="auto"/>
        <w:textAlignment w:val="baseline"/>
        <w:rPr>
          <w:rFonts w:ascii="Arial" w:hAnsi="Arial" w:cs="Arial"/>
        </w:rPr>
      </w:pPr>
      <w:r w:rsidRPr="0073290E">
        <w:rPr>
          <w:rFonts w:ascii="Arial" w:hAnsi="Arial" w:cs="Arial"/>
        </w:rPr>
        <w:t xml:space="preserve">Morphometrics, the quantitative analysis of shape, is a well-established family of methods in the field of biology </w:t>
      </w:r>
      <w:r w:rsidRPr="0073290E">
        <w:rPr>
          <w:rFonts w:ascii="Arial" w:hAnsi="Arial" w:cs="Arial"/>
        </w:rPr>
        <w:fldChar w:fldCharType="begin"/>
      </w:r>
      <w:r w:rsidR="002F5782">
        <w:rPr>
          <w:rFonts w:ascii="Arial" w:hAnsi="Arial" w:cs="Arial"/>
        </w:rPr>
        <w:instrText xml:space="preserve"> ADDIN EN.CITE &lt;EndNote&gt;&lt;Cite&gt;&lt;Author&gt;Rohlf&lt;/Author&gt;&lt;Year&gt;1990&lt;/Year&gt;&lt;RecNum&gt;221&lt;/RecNum&gt;&lt;DisplayText&gt;[1]&lt;/DisplayText&gt;&lt;record&gt;&lt;rec-number&gt;221&lt;/rec-number&gt;&lt;foreign-keys&gt;&lt;key app="EN" db-id="stvxpdr5yrpspzes0zppeddup9p2da2vrpv9" timestamp="0"&gt;221&lt;/key&gt;&lt;/foreign-keys&gt;&lt;ref-type name="Journal Article"&gt;17&lt;/ref-type&gt;&lt;contributors&gt;&lt;authors&gt;&lt;author&gt;Rohlf, F James&lt;/author&gt;&lt;/authors&gt;&lt;/contributors&gt;&lt;titles&gt;&lt;title&gt;Morphometrics&lt;/title&gt;&lt;secondary-title&gt;Annual Review of ecology and Systematics&lt;/secondary-title&gt;&lt;/titles&gt;&lt;pages&gt;299-316&lt;/pages&gt;&lt;volume&gt;21&lt;/volume&gt;&lt;number&gt;1&lt;/number&gt;&lt;dates&gt;&lt;year&gt;1990&lt;/year&gt;&lt;/dates&gt;&lt;isbn&gt;0066-4162&lt;/isbn&gt;&lt;urls&gt;&lt;/urls&gt;&lt;electronic-resource-num&gt;https://doi.org/10.1146/annurev.es.21.110190.001503&lt;/electronic-resource-num&gt;&lt;/record&gt;&lt;/Cite&gt;&lt;/EndNote&gt;</w:instrText>
      </w:r>
      <w:r w:rsidRPr="0073290E">
        <w:rPr>
          <w:rFonts w:ascii="Arial" w:hAnsi="Arial" w:cs="Arial"/>
        </w:rPr>
        <w:fldChar w:fldCharType="separate"/>
      </w:r>
      <w:r w:rsidRPr="0073290E">
        <w:rPr>
          <w:rFonts w:ascii="Arial" w:hAnsi="Arial" w:cs="Arial"/>
          <w:noProof/>
        </w:rPr>
        <w:t>[1]</w:t>
      </w:r>
      <w:r w:rsidRPr="0073290E">
        <w:rPr>
          <w:rFonts w:ascii="Arial" w:hAnsi="Arial" w:cs="Arial"/>
        </w:rPr>
        <w:fldChar w:fldCharType="end"/>
      </w:r>
      <w:r w:rsidRPr="0073290E">
        <w:rPr>
          <w:rFonts w:ascii="Arial" w:hAnsi="Arial" w:cs="Arial"/>
        </w:rPr>
        <w:t xml:space="preserve">. In recent decades, geometric morphometrics has emerged as the gold standard for addressing evolutionary questions of shape in diverse datasets </w:t>
      </w:r>
      <w:r w:rsidRPr="0073290E">
        <w:rPr>
          <w:rFonts w:ascii="Arial" w:hAnsi="Arial" w:cs="Arial"/>
        </w:rPr>
        <w:fldChar w:fldCharType="begin"/>
      </w:r>
      <w:r w:rsidR="002F5782">
        <w:rPr>
          <w:rFonts w:ascii="Arial" w:hAnsi="Arial" w:cs="Arial"/>
        </w:rPr>
        <w:instrText xml:space="preserve"> ADDIN EN.CITE &lt;EndNote&gt;&lt;Cite&gt;&lt;Author&gt;Mitteroecker&lt;/Author&gt;&lt;Year&gt;2022&lt;/Year&gt;&lt;RecNum&gt;108&lt;/RecNum&gt;&lt;DisplayText&gt;[2]&lt;/DisplayText&gt;&lt;record&gt;&lt;rec-number&gt;108&lt;/rec-number&gt;&lt;foreign-keys&gt;&lt;key app="EN" db-id="stvxpdr5yrpspzes0zppeddup9p2da2vrpv9" timestamp="0"&gt;108&lt;/key&gt;&lt;/foreign-keys&gt;&lt;ref-type name="Journal Article"&gt;17&lt;/ref-type&gt;&lt;contributors&gt;&lt;authors&gt;&lt;author&gt;Mitteroecker, Philipp&lt;/author&gt;&lt;author&gt;Schaefer, Katrin&lt;/author&gt;&lt;/authors&gt;&lt;/contributors&gt;&lt;titles&gt;&lt;title&gt;Thirty years of geometric morphometrics: Achievements, challenges, and the ongoing quest for biological meaningfulness&lt;/title&gt;&lt;secondary-title&gt;American Journal of Biological Anthropology&lt;/secondary-title&gt;&lt;/titles&gt;&lt;dates&gt;&lt;year&gt;2022&lt;/year&gt;&lt;/dates&gt;&lt;publisher&gt;Wiley Online Library&lt;/publisher&gt;&lt;isbn&gt;2692-7691&lt;/isbn&gt;&lt;urls&gt;&lt;/urls&gt;&lt;electronic-resource-num&gt;https://doi.org/10.1002/ajpa.24531&lt;/electronic-resource-num&gt;&lt;/record&gt;&lt;/Cite&gt;&lt;/EndNote&gt;</w:instrText>
      </w:r>
      <w:r w:rsidRPr="0073290E">
        <w:rPr>
          <w:rFonts w:ascii="Arial" w:hAnsi="Arial" w:cs="Arial"/>
        </w:rPr>
        <w:fldChar w:fldCharType="separate"/>
      </w:r>
      <w:r w:rsidRPr="0073290E">
        <w:rPr>
          <w:rFonts w:ascii="Arial" w:hAnsi="Arial" w:cs="Arial"/>
          <w:noProof/>
        </w:rPr>
        <w:t>[2]</w:t>
      </w:r>
      <w:r w:rsidRPr="0073290E">
        <w:rPr>
          <w:rFonts w:ascii="Arial" w:hAnsi="Arial" w:cs="Arial"/>
        </w:rPr>
        <w:fldChar w:fldCharType="end"/>
      </w:r>
      <w:r w:rsidRPr="0073290E">
        <w:rPr>
          <w:rFonts w:ascii="Arial" w:hAnsi="Arial" w:cs="Arial"/>
        </w:rPr>
        <w:t xml:space="preserve">. Typically, this approach relies on the manual placement of landmarks to produce two or three-dimensional coordinates by labelling homologous anatomical loci </w:t>
      </w:r>
      <w:r w:rsidRPr="0073290E">
        <w:rPr>
          <w:rFonts w:ascii="Arial" w:hAnsi="Arial" w:cs="Arial"/>
        </w:rPr>
        <w:fldChar w:fldCharType="begin"/>
      </w:r>
      <w:r w:rsidR="002F5782">
        <w:rPr>
          <w:rFonts w:ascii="Arial" w:hAnsi="Arial" w:cs="Arial"/>
        </w:rPr>
        <w:instrText xml:space="preserve"> ADDIN EN.CITE &lt;EndNote&gt;&lt;Cite&gt;&lt;Author&gt;Adams&lt;/Author&gt;&lt;Year&gt;2004&lt;/Year&gt;&lt;RecNum&gt;222&lt;/RecNum&gt;&lt;DisplayText&gt;[3]&lt;/DisplayText&gt;&lt;record&gt;&lt;rec-number&gt;222&lt;/rec-number&gt;&lt;foreign-keys&gt;&lt;key app="EN" db-id="stvxpdr5yrpspzes0zppeddup9p2da2vrpv9" timestamp="0"&gt;222&lt;/key&gt;&lt;/foreign-keys&gt;&lt;ref-type name="Journal Article"&gt;17&lt;/ref-type&gt;&lt;contributors&gt;&lt;authors&gt;&lt;author&gt;Adams, Dean C&lt;/author&gt;&lt;author&gt;Rohlf, F James&lt;/author&gt;&lt;author&gt;Slice, Dennis E&lt;/author&gt;&lt;/authors&gt;&lt;/contributors&gt;&lt;titles&gt;&lt;title&gt;Geometric morphometrics: ten years of progress following the ‘revolution’&lt;/title&gt;&lt;secondary-title&gt;Italian journal of zoology&lt;/secondary-title&gt;&lt;/titles&gt;&lt;pages&gt;5-16&lt;/pages&gt;&lt;volume&gt;71&lt;/volume&gt;&lt;number&gt;1&lt;/number&gt;&lt;dates&gt;&lt;year&gt;2004&lt;/year&gt;&lt;/dates&gt;&lt;isbn&gt;1125-0003&lt;/isbn&gt;&lt;urls&gt;&lt;/urls&gt;&lt;electronic-resource-num&gt;https://doi.org/10.1080/11250000409356545&lt;/electronic-resource-num&gt;&lt;/record&gt;&lt;/Cite&gt;&lt;/EndNote&gt;</w:instrText>
      </w:r>
      <w:r w:rsidRPr="0073290E">
        <w:rPr>
          <w:rFonts w:ascii="Arial" w:hAnsi="Arial" w:cs="Arial"/>
        </w:rPr>
        <w:fldChar w:fldCharType="separate"/>
      </w:r>
      <w:r w:rsidRPr="0073290E">
        <w:rPr>
          <w:rFonts w:ascii="Arial" w:hAnsi="Arial" w:cs="Arial"/>
          <w:noProof/>
        </w:rPr>
        <w:t>[3]</w:t>
      </w:r>
      <w:r w:rsidRPr="0073290E">
        <w:rPr>
          <w:rFonts w:ascii="Arial" w:hAnsi="Arial" w:cs="Arial"/>
        </w:rPr>
        <w:fldChar w:fldCharType="end"/>
      </w:r>
      <w:r w:rsidRPr="0073290E">
        <w:rPr>
          <w:rFonts w:ascii="Arial" w:hAnsi="Arial" w:cs="Arial"/>
        </w:rPr>
        <w:t xml:space="preserve">. Raw coordinates are then transformed using methods such as Procrustes superimposition </w:t>
      </w:r>
      <w:r w:rsidRPr="0073290E">
        <w:rPr>
          <w:rFonts w:ascii="Arial" w:hAnsi="Arial" w:cs="Arial"/>
        </w:rPr>
        <w:fldChar w:fldCharType="begin"/>
      </w:r>
      <w:r w:rsidR="002F5782">
        <w:rPr>
          <w:rFonts w:ascii="Arial" w:hAnsi="Arial" w:cs="Arial"/>
        </w:rPr>
        <w:instrText xml:space="preserve"> ADDIN EN.CITE &lt;EndNote&gt;&lt;Cite&gt;&lt;Author&gt;Bookstein&lt;/Author&gt;&lt;Year&gt;1997&lt;/Year&gt;&lt;RecNum&gt;223&lt;/RecNum&gt;&lt;DisplayText&gt;[4]&lt;/DisplayText&gt;&lt;record&gt;&lt;rec-number&gt;223&lt;/rec-number&gt;&lt;foreign-keys&gt;&lt;key app="EN" db-id="stvxpdr5yrpspzes0zppeddup9p2da2vrpv9" timestamp="0"&gt;223&lt;/key&gt;&lt;/foreign-keys&gt;&lt;ref-type name="Journal Article"&gt;17&lt;/ref-type&gt;&lt;contributors&gt;&lt;authors&gt;&lt;author&gt;Bookstein, Fred L&lt;/author&gt;&lt;/authors&gt;&lt;/contributors&gt;&lt;titles&gt;&lt;title&gt;Landmark methods for forms without landmarks: morphometrics of group differences in outline shape&lt;/title&gt;&lt;secondary-title&gt;Medical image analysis&lt;/secondary-title&gt;&lt;/titles&gt;&lt;pages&gt;225-243&lt;/pages&gt;&lt;volume&gt;1&lt;/volume&gt;&lt;number&gt;3&lt;/number&gt;&lt;dates&gt;&lt;year&gt;1997&lt;/year&gt;&lt;/dates&gt;&lt;isbn&gt;1361-8415&lt;/isbn&gt;&lt;urls&gt;&lt;/urls&gt;&lt;electronic-resource-num&gt;https://doi.org/10.1016/S1361-8415(97)85012-8&lt;/electronic-resource-num&gt;&lt;/record&gt;&lt;/Cite&gt;&lt;/EndNote&gt;</w:instrText>
      </w:r>
      <w:r w:rsidRPr="0073290E">
        <w:rPr>
          <w:rFonts w:ascii="Arial" w:hAnsi="Arial" w:cs="Arial"/>
        </w:rPr>
        <w:fldChar w:fldCharType="separate"/>
      </w:r>
      <w:r w:rsidRPr="0073290E">
        <w:rPr>
          <w:rFonts w:ascii="Arial" w:hAnsi="Arial" w:cs="Arial"/>
          <w:noProof/>
        </w:rPr>
        <w:t>[4]</w:t>
      </w:r>
      <w:r w:rsidRPr="0073290E">
        <w:rPr>
          <w:rFonts w:ascii="Arial" w:hAnsi="Arial" w:cs="Arial"/>
        </w:rPr>
        <w:fldChar w:fldCharType="end"/>
      </w:r>
      <w:r w:rsidRPr="0073290E">
        <w:rPr>
          <w:rFonts w:ascii="Arial" w:hAnsi="Arial" w:cs="Arial"/>
        </w:rPr>
        <w:t xml:space="preserve"> to register objects to a common frame and isolate</w:t>
      </w:r>
      <w:r>
        <w:rPr>
          <w:rFonts w:ascii="Arial" w:hAnsi="Arial" w:cs="Arial"/>
        </w:rPr>
        <w:t xml:space="preserve"> biological variation by minimis</w:t>
      </w:r>
      <w:r w:rsidRPr="0073290E">
        <w:rPr>
          <w:rFonts w:ascii="Arial" w:hAnsi="Arial" w:cs="Arial"/>
        </w:rPr>
        <w:t xml:space="preserve">ing non-biological factors such as position, orientation, </w:t>
      </w:r>
      <w:r w:rsidRPr="0073290E">
        <w:rPr>
          <w:rFonts w:ascii="Arial" w:hAnsi="Arial" w:cs="Arial"/>
        </w:rPr>
        <w:lastRenderedPageBreak/>
        <w:t xml:space="preserve">and size. Linear displacement across all the 3D coordinates can then be measured and scaled by the number of landmarks to isolate the biological variation and estimate shape co(variation) </w:t>
      </w:r>
      <w:r w:rsidRPr="0073290E">
        <w:rPr>
          <w:rFonts w:ascii="Arial" w:hAnsi="Arial" w:cs="Arial"/>
        </w:rPr>
        <w:fldChar w:fldCharType="begin"/>
      </w:r>
      <w:r w:rsidR="002F5782">
        <w:rPr>
          <w:rFonts w:ascii="Arial" w:hAnsi="Arial" w:cs="Arial"/>
        </w:rPr>
        <w:instrText xml:space="preserve"> ADDIN EN.CITE &lt;EndNote&gt;&lt;Cite&gt;&lt;Author&gt;Zelditch&lt;/Author&gt;&lt;Year&gt;2012&lt;/Year&gt;&lt;RecNum&gt;172&lt;/RecNum&gt;&lt;DisplayText&gt;[5]&lt;/DisplayText&gt;&lt;record&gt;&lt;rec-number&gt;172&lt;/rec-number&gt;&lt;foreign-keys&gt;&lt;key app="EN" db-id="stvxpdr5yrpspzes0zppeddup9p2da2vrpv9" timestamp="0"&gt;172&lt;/key&gt;&lt;/foreign-keys&gt;&lt;ref-type name="Book"&gt;6&lt;/ref-type&gt;&lt;contributors&gt;&lt;authors&gt;&lt;author&gt;Zelditch, Miriam Leah&lt;/author&gt;&lt;author&gt;Swiderski, Donald L&lt;/author&gt;&lt;author&gt;Sheets, H David&lt;/author&gt;&lt;/authors&gt;&lt;/contributors&gt;&lt;titles&gt;&lt;title&gt;Geometric morphometrics for biologists: a primer&lt;/title&gt;&lt;/titles&gt;&lt;dates&gt;&lt;year&gt;2012&lt;/year&gt;&lt;/dates&gt;&lt;publisher&gt;academic press&lt;/publisher&gt;&lt;isbn&gt;0123869048&lt;/isbn&gt;&lt;urls&gt;&lt;/urls&gt;&lt;electronic-resource-num&gt;https://doi.org/10.1016/B978-0-12-778460-1.X5000-5&lt;/electronic-resource-num&gt;&lt;/record&gt;&lt;/Cite&gt;&lt;/EndNote&gt;</w:instrText>
      </w:r>
      <w:r w:rsidRPr="0073290E">
        <w:rPr>
          <w:rFonts w:ascii="Arial" w:hAnsi="Arial" w:cs="Arial"/>
        </w:rPr>
        <w:fldChar w:fldCharType="separate"/>
      </w:r>
      <w:r w:rsidRPr="0073290E">
        <w:rPr>
          <w:rFonts w:ascii="Arial" w:hAnsi="Arial" w:cs="Arial"/>
          <w:noProof/>
        </w:rPr>
        <w:t>[5]</w:t>
      </w:r>
      <w:r w:rsidRPr="0073290E">
        <w:rPr>
          <w:rFonts w:ascii="Arial" w:hAnsi="Arial" w:cs="Arial"/>
        </w:rPr>
        <w:fldChar w:fldCharType="end"/>
      </w:r>
      <w:r w:rsidRPr="0073290E">
        <w:rPr>
          <w:rFonts w:ascii="Arial" w:hAnsi="Arial" w:cs="Arial"/>
        </w:rPr>
        <w:t xml:space="preserve">. </w:t>
      </w:r>
    </w:p>
    <w:p w14:paraId="0FB1C149" w14:textId="4F1AF3FF" w:rsidR="00145C45" w:rsidRPr="0073290E" w:rsidRDefault="00145C45" w:rsidP="00145C45">
      <w:pPr>
        <w:pStyle w:val="paragraph"/>
        <w:spacing w:beforeLines="100" w:before="240" w:beforeAutospacing="0" w:afterLines="100" w:after="240" w:afterAutospacing="0" w:line="480" w:lineRule="auto"/>
        <w:textAlignment w:val="baseline"/>
        <w:rPr>
          <w:rFonts w:ascii="Arial" w:hAnsi="Arial" w:cs="Arial"/>
        </w:rPr>
      </w:pPr>
      <w:r w:rsidRPr="0073290E">
        <w:rPr>
          <w:rFonts w:ascii="Arial" w:hAnsi="Arial" w:cs="Arial"/>
        </w:rPr>
        <w:t xml:space="preserve">Despite advancements in high-density morphometric techniques </w:t>
      </w:r>
      <w:r w:rsidRPr="0073290E">
        <w:rPr>
          <w:rFonts w:ascii="Arial" w:hAnsi="Arial" w:cs="Arial"/>
        </w:rPr>
        <w:fldChar w:fldCharType="begin"/>
      </w:r>
      <w:r w:rsidR="002F5782">
        <w:rPr>
          <w:rFonts w:ascii="Arial" w:hAnsi="Arial" w:cs="Arial"/>
        </w:rPr>
        <w:instrText xml:space="preserve"> ADDIN EN.CITE &lt;EndNote&gt;&lt;Cite&gt;&lt;Author&gt;Goswami&lt;/Author&gt;&lt;Year&gt;2019&lt;/Year&gt;&lt;RecNum&gt;115&lt;/RecNum&gt;&lt;DisplayText&gt;[6]&lt;/DisplayText&gt;&lt;record&gt;&lt;rec-number&gt;115&lt;/rec-number&gt;&lt;foreign-keys&gt;&lt;key app="EN" db-id="stvxpdr5yrpspzes0zppeddup9p2da2vrpv9" timestamp="0"&gt;115&lt;/key&gt;&lt;/foreign-keys&gt;&lt;ref-type name="Journal Article"&gt;17&lt;/ref-type&gt;&lt;contributors&gt;&lt;authors&gt;&lt;author&gt;Goswami, Anjali&lt;/author&gt;&lt;author&gt;Watanabe, Akinobu&lt;/author&gt;&lt;author&gt;Felice, Ryan N.&lt;/author&gt;&lt;author&gt;Bardua, Carla&lt;/author&gt;&lt;author&gt;Fabre, Anne-Claire&lt;/author&gt;&lt;author&gt;Polly, P. David&lt;/author&gt;&lt;/authors&gt;&lt;/contributors&gt;&lt;titles&gt;&lt;title&gt;High-density morphometric analysis of shape and integration: the good, the bad, and the not-really-a-problem&lt;/title&gt;&lt;secondary-title&gt;Integrative and Comparative Biology&lt;/secondary-title&gt;&lt;/titles&gt;&lt;pages&gt;669-683&lt;/pages&gt;&lt;volume&gt;59&lt;/volume&gt;&lt;number&gt;3&lt;/number&gt;&lt;dates&gt;&lt;year&gt;2019&lt;/year&gt;&lt;/dates&gt;&lt;publisher&gt;Oxford University Press&lt;/publisher&gt;&lt;isbn&gt;1540-7063&lt;/isbn&gt;&lt;urls&gt;&lt;/urls&gt;&lt;electronic-resource-num&gt;https://doi.org/10.1093/icb/icz120&lt;/electronic-resource-num&gt;&lt;/record&gt;&lt;/Cite&gt;&lt;/EndNote&gt;</w:instrText>
      </w:r>
      <w:r w:rsidRPr="0073290E">
        <w:rPr>
          <w:rFonts w:ascii="Arial" w:hAnsi="Arial" w:cs="Arial"/>
        </w:rPr>
        <w:fldChar w:fldCharType="separate"/>
      </w:r>
      <w:r w:rsidRPr="0073290E">
        <w:rPr>
          <w:rFonts w:ascii="Arial" w:hAnsi="Arial" w:cs="Arial"/>
          <w:noProof/>
        </w:rPr>
        <w:t>[6]</w:t>
      </w:r>
      <w:r w:rsidRPr="0073290E">
        <w:rPr>
          <w:rFonts w:ascii="Arial" w:hAnsi="Arial" w:cs="Arial"/>
        </w:rPr>
        <w:fldChar w:fldCharType="end"/>
      </w:r>
      <w:r w:rsidRPr="0073290E">
        <w:rPr>
          <w:rFonts w:ascii="Arial" w:hAnsi="Arial" w:cs="Arial"/>
        </w:rPr>
        <w:t xml:space="preserve">, including semi-automated placement of sliding semilandmarks </w:t>
      </w:r>
      <w:r w:rsidRPr="0073290E">
        <w:rPr>
          <w:rFonts w:ascii="Arial" w:hAnsi="Arial" w:cs="Arial"/>
        </w:rPr>
        <w:fldChar w:fldCharType="begin"/>
      </w:r>
      <w:r w:rsidR="002F5782">
        <w:rPr>
          <w:rFonts w:ascii="Arial" w:hAnsi="Arial" w:cs="Arial"/>
        </w:rPr>
        <w:instrText xml:space="preserve"> ADDIN EN.CITE &lt;EndNote&gt;&lt;Cite&gt;&lt;Author&gt;Bardua&lt;/Author&gt;&lt;Year&gt;2019&lt;/Year&gt;&lt;RecNum&gt;116&lt;/RecNum&gt;&lt;DisplayText&gt;[7]&lt;/DisplayText&gt;&lt;record&gt;&lt;rec-number&gt;116&lt;/rec-number&gt;&lt;foreign-keys&gt;&lt;key app="EN" db-id="stvxpdr5yrpspzes0zppeddup9p2da2vrpv9" timestamp="0"&gt;116&lt;/key&gt;&lt;/foreign-keys&gt;&lt;ref-type name="Journal Article"&gt;17&lt;/ref-type&gt;&lt;contributors&gt;&lt;authors&gt;&lt;author&gt;Bardua, Carla&lt;/author&gt;&lt;author&gt;Felice, Ryan N.&lt;/author&gt;&lt;author&gt;Watanabe, Akinobu&lt;/author&gt;&lt;author&gt;Fabre, A. C.&lt;/author&gt;&lt;author&gt;Goswami, Anjali&lt;/author&gt;&lt;/authors&gt;&lt;/contributors&gt;&lt;titles&gt;&lt;title&gt;A practical guide to sliding and surface semilandmarks in morphometric analyses&lt;/title&gt;&lt;secondary-title&gt;Integrative Organismal Biology&lt;/secondary-title&gt;&lt;/titles&gt;&lt;periodical&gt;&lt;full-title&gt;Integrative Organismal Biology&lt;/full-title&gt;&lt;/periodical&gt;&lt;pages&gt;obz016&lt;/pages&gt;&lt;volume&gt;1&lt;/volume&gt;&lt;number&gt;1&lt;/number&gt;&lt;dates&gt;&lt;year&gt;2019&lt;/year&gt;&lt;/dates&gt;&lt;publisher&gt;Oxford University Press&lt;/publisher&gt;&lt;isbn&gt;2517-4843&lt;/isbn&gt;&lt;urls&gt;&lt;/urls&gt;&lt;electronic-resource-num&gt;https://doi.org/10.1093/iob/obz016&lt;/electronic-resource-num&gt;&lt;/record&gt;&lt;/Cite&gt;&lt;/EndNote&gt;</w:instrText>
      </w:r>
      <w:r w:rsidRPr="0073290E">
        <w:rPr>
          <w:rFonts w:ascii="Arial" w:hAnsi="Arial" w:cs="Arial"/>
        </w:rPr>
        <w:fldChar w:fldCharType="separate"/>
      </w:r>
      <w:r w:rsidRPr="0073290E">
        <w:rPr>
          <w:rFonts w:ascii="Arial" w:hAnsi="Arial" w:cs="Arial"/>
          <w:noProof/>
        </w:rPr>
        <w:t>[7]</w:t>
      </w:r>
      <w:r w:rsidRPr="0073290E">
        <w:rPr>
          <w:rFonts w:ascii="Arial" w:hAnsi="Arial" w:cs="Arial"/>
        </w:rPr>
        <w:fldChar w:fldCharType="end"/>
      </w:r>
      <w:r w:rsidRPr="0073290E">
        <w:rPr>
          <w:rFonts w:ascii="Arial" w:hAnsi="Arial" w:cs="Arial"/>
        </w:rPr>
        <w:t>, geometric morphometric methods remain largely manual.</w:t>
      </w:r>
      <w:r>
        <w:rPr>
          <w:rFonts w:ascii="Arial" w:hAnsi="Arial" w:cs="Arial"/>
        </w:rPr>
        <w:t xml:space="preserve"> This makes them time-consuming and prone to observer bias which can </w:t>
      </w:r>
      <w:r w:rsidRPr="0073290E">
        <w:rPr>
          <w:rFonts w:ascii="Arial" w:hAnsi="Arial" w:cs="Arial"/>
        </w:rPr>
        <w:t xml:space="preserve">lead to a lack of repeatability </w:t>
      </w:r>
      <w:r w:rsidRPr="0073290E">
        <w:rPr>
          <w:rFonts w:ascii="Arial" w:hAnsi="Arial" w:cs="Arial"/>
        </w:rPr>
        <w:fldChar w:fldCharType="begin"/>
      </w:r>
      <w:r w:rsidR="002F5782">
        <w:rPr>
          <w:rFonts w:ascii="Arial" w:hAnsi="Arial" w:cs="Arial"/>
        </w:rPr>
        <w:instrText xml:space="preserve"> ADDIN EN.CITE &lt;EndNote&gt;&lt;Cite&gt;&lt;Author&gt;Shearer&lt;/Author&gt;&lt;Year&gt;2017&lt;/Year&gt;&lt;RecNum&gt;224&lt;/RecNum&gt;&lt;DisplayText&gt;[8]&lt;/DisplayText&gt;&lt;record&gt;&lt;rec-number&gt;224&lt;/rec-number&gt;&lt;foreign-keys&gt;&lt;key app="EN" db-id="stvxpdr5yrpspzes0zppeddup9p2da2vrpv9" timestamp="0"&gt;224&lt;/key&gt;&lt;/foreign-keys&gt;&lt;ref-type name="Journal Article"&gt;17&lt;/ref-type&gt;&lt;contributors&gt;&lt;authors&gt;&lt;author&gt;Shearer, Brian M&lt;/author&gt;&lt;author&gt;Cooke, Siobhán B&lt;/author&gt;&lt;author&gt;Halenar, Lauren B&lt;/author&gt;&lt;author&gt;Reber, Samantha L&lt;/author&gt;&lt;author&gt;Plummer, Jeannette E&lt;/author&gt;&lt;author&gt;Delson, Eric&lt;/author&gt;&lt;author&gt;Tallman, Melissa&lt;/author&gt;&lt;/authors&gt;&lt;/contributors&gt;&lt;titles&gt;&lt;title&gt;Evaluating causes of error in landmark-based data collection using scanners&lt;/title&gt;&lt;secondary-title&gt;PloS one&lt;/secondary-title&gt;&lt;/titles&gt;&lt;periodical&gt;&lt;full-title&gt;Plos one&lt;/full-title&gt;&lt;/periodical&gt;&lt;pages&gt;e0187452&lt;/pages&gt;&lt;volume&gt;12&lt;/volume&gt;&lt;number&gt;11&lt;/number&gt;&lt;dates&gt;&lt;year&gt;2017&lt;/year&gt;&lt;/dates&gt;&lt;isbn&gt;1932-6203&lt;/isbn&gt;&lt;urls&gt;&lt;/urls&gt;&lt;electronic-resource-num&gt;https://doi.org/10.1371/journal.pone.0187452&lt;/electronic-resource-num&gt;&lt;/record&gt;&lt;/Cite&gt;&lt;/EndNote&gt;</w:instrText>
      </w:r>
      <w:r w:rsidRPr="0073290E">
        <w:rPr>
          <w:rFonts w:ascii="Arial" w:hAnsi="Arial" w:cs="Arial"/>
        </w:rPr>
        <w:fldChar w:fldCharType="separate"/>
      </w:r>
      <w:r w:rsidRPr="0073290E">
        <w:rPr>
          <w:rFonts w:ascii="Arial" w:hAnsi="Arial" w:cs="Arial"/>
          <w:noProof/>
        </w:rPr>
        <w:t>[8]</w:t>
      </w:r>
      <w:r w:rsidRPr="0073290E">
        <w:rPr>
          <w:rFonts w:ascii="Arial" w:hAnsi="Arial" w:cs="Arial"/>
        </w:rPr>
        <w:fldChar w:fldCharType="end"/>
      </w:r>
      <w:r>
        <w:rPr>
          <w:rFonts w:ascii="Arial" w:hAnsi="Arial" w:cs="Arial"/>
        </w:rPr>
        <w:t>. Moreover, with</w:t>
      </w:r>
      <w:r w:rsidRPr="0073290E">
        <w:rPr>
          <w:rFonts w:ascii="Arial" w:hAnsi="Arial" w:cs="Arial"/>
        </w:rPr>
        <w:t xml:space="preserve"> the increasing accessibility and affordability of high-resolution imaging </w:t>
      </w:r>
      <w:r w:rsidRPr="0073290E">
        <w:rPr>
          <w:rFonts w:ascii="Arial" w:hAnsi="Arial" w:cs="Arial"/>
        </w:rPr>
        <w:fldChar w:fldCharType="begin"/>
      </w:r>
      <w:r w:rsidR="002F5782">
        <w:rPr>
          <w:rFonts w:ascii="Arial" w:hAnsi="Arial" w:cs="Arial"/>
        </w:rPr>
        <w:instrText xml:space="preserve"> ADDIN EN.CITE &lt;EndNote&gt;&lt;Cite&gt;&lt;Author&gt;Maire&lt;/Author&gt;&lt;Year&gt;2014&lt;/Year&gt;&lt;RecNum&gt;129&lt;/RecNum&gt;&lt;DisplayText&gt;[9, 10]&lt;/DisplayText&gt;&lt;record&gt;&lt;rec-number&gt;129&lt;/rec-number&gt;&lt;foreign-keys&gt;&lt;key app="EN" db-id="stvxpdr5yrpspzes0zppeddup9p2da2vrpv9" timestamp="0"&gt;129&lt;/key&gt;&lt;/foreign-keys&gt;&lt;ref-type name="Journal Article"&gt;17&lt;/ref-type&gt;&lt;contributors&gt;&lt;authors&gt;&lt;author&gt;Maire, Eric&lt;/author&gt;&lt;author&gt;Withers, Philip John&lt;/author&gt;&lt;/authors&gt;&lt;/contributors&gt;&lt;titles&gt;&lt;title&gt;Quantitative X-ray tomography&lt;/title&gt;&lt;secondary-title&gt;International materials reviews&lt;/secondary-title&gt;&lt;/titles&gt;&lt;pages&gt;1-43&lt;/pages&gt;&lt;volume&gt;59&lt;/volume&gt;&lt;number&gt;1&lt;/number&gt;&lt;dates&gt;&lt;year&gt;2014&lt;/year&gt;&lt;/dates&gt;&lt;isbn&gt;0950-6608&lt;/isbn&gt;&lt;urls&gt;&lt;/urls&gt;&lt;electronic-resource-num&gt;https://doi.org/10.1179/1743280413Y.0000000023&lt;/electronic-resource-num&gt;&lt;/record&gt;&lt;/Cite&gt;&lt;Cite&gt;&lt;Author&gt;Withers&lt;/Author&gt;&lt;Year&gt;2021&lt;/Year&gt;&lt;RecNum&gt;180&lt;/RecNum&gt;&lt;record&gt;&lt;rec-number&gt;180&lt;/rec-number&gt;&lt;foreign-keys&gt;&lt;key app="EN" db-id="vttzv2pepdpx0qesp2d5x2ssffwxwp2wxf05" timestamp="1704721900"&gt;180&lt;/key&gt;&lt;/foreign-keys&gt;&lt;ref-type name="Journal Article"&gt;17&lt;/ref-type&gt;&lt;contributors&gt;&lt;authors&gt;&lt;author&gt;Withers, Philip J&lt;/author&gt;&lt;author&gt;Bouman, Charles&lt;/author&gt;&lt;author&gt;Carmignato, Simone&lt;/author&gt;&lt;author&gt;Cnudde, Veerle&lt;/author&gt;&lt;author&gt;Grimaldi, David&lt;/author&gt;&lt;author&gt;Hagen, Charlotte K&lt;/author&gt;&lt;author&gt;Maire, Eric&lt;/author&gt;&lt;author&gt;Manley, Marena&lt;/author&gt;&lt;author&gt;Du Plessis, Anton&lt;/author&gt;&lt;author&gt;Stock, Stuart R&lt;/author&gt;&lt;/authors&gt;&lt;/contributors&gt;&lt;titles&gt;&lt;title&gt;X-ray computed tomography&lt;/title&gt;&lt;secondary-title&gt;Nature Reviews Methods Primers&lt;/secondary-title&gt;&lt;/titles&gt;&lt;periodical&gt;&lt;full-title&gt;Nature Reviews Methods Primers&lt;/full-title&gt;&lt;/periodical&gt;&lt;pages&gt;18&lt;/pages&gt;&lt;volume&gt;1&lt;/volume&gt;&lt;number&gt;1&lt;/number&gt;&lt;dates&gt;&lt;year&gt;2021&lt;/year&gt;&lt;/dates&gt;&lt;isbn&gt;2662-8449&lt;/isbn&gt;&lt;urls&gt;&lt;/urls&gt;&lt;electronic-resource-num&gt;https://doi.org/10.1038/s43586-021-00015-4&lt;/electronic-resource-num&gt;&lt;/record&gt;&lt;/Cite&gt;&lt;/EndNote&gt;</w:instrText>
      </w:r>
      <w:r w:rsidRPr="0073290E">
        <w:rPr>
          <w:rFonts w:ascii="Arial" w:hAnsi="Arial" w:cs="Arial"/>
        </w:rPr>
        <w:fldChar w:fldCharType="separate"/>
      </w:r>
      <w:r w:rsidRPr="0073290E">
        <w:rPr>
          <w:rFonts w:ascii="Arial" w:hAnsi="Arial" w:cs="Arial"/>
          <w:noProof/>
        </w:rPr>
        <w:t>[9, 10]</w:t>
      </w:r>
      <w:r w:rsidRPr="0073290E">
        <w:rPr>
          <w:rFonts w:ascii="Arial" w:hAnsi="Arial" w:cs="Arial"/>
        </w:rPr>
        <w:fldChar w:fldCharType="end"/>
      </w:r>
      <w:r w:rsidRPr="0073290E">
        <w:rPr>
          <w:rFonts w:ascii="Arial" w:hAnsi="Arial" w:cs="Arial"/>
        </w:rPr>
        <w:t xml:space="preserve">, </w:t>
      </w:r>
      <w:r>
        <w:rPr>
          <w:rFonts w:ascii="Arial" w:hAnsi="Arial" w:cs="Arial"/>
        </w:rPr>
        <w:t xml:space="preserve">alongside </w:t>
      </w:r>
      <w:r w:rsidRPr="0073290E">
        <w:rPr>
          <w:rFonts w:ascii="Arial" w:hAnsi="Arial" w:cs="Arial"/>
        </w:rPr>
        <w:t>the development of tools for automated image segmentation</w:t>
      </w:r>
      <w:r>
        <w:rPr>
          <w:rFonts w:ascii="Arial" w:hAnsi="Arial" w:cs="Arial"/>
        </w:rPr>
        <w:t xml:space="preserve"> </w:t>
      </w:r>
      <w:r>
        <w:rPr>
          <w:rFonts w:ascii="Arial" w:hAnsi="Arial" w:cs="Arial"/>
        </w:rPr>
        <w:fldChar w:fldCharType="begin"/>
      </w:r>
      <w:r w:rsidR="002F5782">
        <w:rPr>
          <w:rFonts w:ascii="Arial" w:hAnsi="Arial" w:cs="Arial"/>
        </w:rPr>
        <w:instrText xml:space="preserve"> ADDIN EN.CITE &lt;EndNote&gt;&lt;Cite&gt;&lt;Author&gt;Lösel&lt;/Author&gt;&lt;Year&gt;2022&lt;/Year&gt;&lt;RecNum&gt;132&lt;/RecNum&gt;&lt;DisplayText&gt;[11, 12]&lt;/DisplayText&gt;&lt;record&gt;&lt;rec-number&gt;132&lt;/rec-number&gt;&lt;foreign-keys&gt;&lt;key app="EN" db-id="stvxpdr5yrpspzes0zppeddup9p2da2vrpv9" timestamp="0"&gt;132&lt;/key&gt;&lt;/foreign-keys&gt;&lt;ref-type name="Journal Article"&gt;17&lt;/ref-type&gt;&lt;contributors&gt;&lt;authors&gt;&lt;author&gt;Lösel, Philipp D&lt;/author&gt;&lt;author&gt;Monchanin, Coline&lt;/author&gt;&lt;author&gt;Lebrun, Renaud&lt;/author&gt;&lt;author&gt;Jayme, Alejandra&lt;/author&gt;&lt;author&gt;Relle, Jacob&lt;/author&gt;&lt;author&gt;Devaud, Jean-Marc&lt;/author&gt;&lt;author&gt;Heuveline, Vincent&lt;/author&gt;&lt;author&gt;Lihoreau, Mathieu&lt;/author&gt;&lt;/authors&gt;&lt;/contributors&gt;&lt;titles&gt;&lt;title&gt;Natural variability in bee brain size and symmetry revealed by micro-CT imaging and deep learning&lt;/title&gt;&lt;secondary-title&gt;bioRxiv&lt;/secondary-title&gt;&lt;/titles&gt;&lt;periodical&gt;&lt;full-title&gt;bioRxiv&lt;/full-title&gt;&lt;/periodical&gt;&lt;pages&gt;2022.10. 12.511944&lt;/pages&gt;&lt;dates&gt;&lt;year&gt;2022&lt;/year&gt;&lt;/dates&gt;&lt;urls&gt;&lt;/urls&gt;&lt;electronic-resource-num&gt;https://doi.org/10.1371/journal.pcbi.1011529&lt;/electronic-resource-num&gt;&lt;/record&gt;&lt;/Cite&gt;&lt;Cite&gt;&lt;Author&gt;Mulqueeney&lt;/Author&gt;&lt;Year&gt;2024&lt;/Year&gt;&lt;RecNum&gt;269&lt;/RecNum&gt;&lt;record&gt;&lt;rec-number&gt;269&lt;/rec-number&gt;&lt;foreign-keys&gt;&lt;key app="EN" db-id="stvxpdr5yrpspzes0zppeddup9p2da2vrpv9" timestamp="0"&gt;269&lt;/key&gt;&lt;/foreign-keys&gt;&lt;ref-type name="Journal Article"&gt;17&lt;/ref-type&gt;&lt;contributors&gt;&lt;authors&gt;&lt;author&gt;Mulqueeney, James M&lt;/author&gt;&lt;author&gt;Searle-Barnes, Alex&lt;/author&gt;&lt;author&gt;Brombacher, Anieke&lt;/author&gt;&lt;author&gt;Sweeney, Marisa&lt;/author&gt;&lt;author&gt;Goswami, Anjali&lt;/author&gt;&lt;author&gt;Ezard, Thomas HG&lt;/author&gt;&lt;/authors&gt;&lt;/contributors&gt;&lt;titles&gt;&lt;title&gt;How many specimens make a sufficient training set for automated three-dimensional feature extraction?&lt;/title&gt;&lt;secondary-title&gt;Royal Society Open Science&lt;/secondary-title&gt;&lt;/titles&gt;&lt;pages&gt;rsos. 240113&lt;/pages&gt;&lt;volume&gt;11&lt;/volume&gt;&lt;number&gt;6&lt;/number&gt;&lt;dates&gt;&lt;year&gt;2024&lt;/year&gt;&lt;/dates&gt;&lt;isbn&gt;2054-5703&lt;/isbn&gt;&lt;urls&gt;&lt;/urls&gt;&lt;electronic-resource-num&gt;https://doi.org/10.1098/rsos.240113&lt;/electronic-resource-num&gt;&lt;/record&gt;&lt;/Cite&gt;&lt;/EndNote&gt;</w:instrText>
      </w:r>
      <w:r>
        <w:rPr>
          <w:rFonts w:ascii="Arial" w:hAnsi="Arial" w:cs="Arial"/>
        </w:rPr>
        <w:fldChar w:fldCharType="separate"/>
      </w:r>
      <w:r>
        <w:rPr>
          <w:rFonts w:ascii="Arial" w:hAnsi="Arial" w:cs="Arial"/>
          <w:noProof/>
        </w:rPr>
        <w:t>[11, 12]</w:t>
      </w:r>
      <w:r>
        <w:rPr>
          <w:rFonts w:ascii="Arial" w:hAnsi="Arial" w:cs="Arial"/>
        </w:rPr>
        <w:fldChar w:fldCharType="end"/>
      </w:r>
      <w:r w:rsidRPr="0073290E">
        <w:rPr>
          <w:rFonts w:ascii="Arial" w:hAnsi="Arial" w:cs="Arial"/>
        </w:rPr>
        <w:t xml:space="preserve">, databases of 3D images are expanding, providing vast amounts of data for morphometric analysis </w:t>
      </w:r>
      <w:r w:rsidRPr="0073290E">
        <w:rPr>
          <w:rFonts w:ascii="Arial" w:hAnsi="Arial" w:cs="Arial"/>
        </w:rPr>
        <w:fldChar w:fldCharType="begin">
          <w:fldData xml:space="preserve">PEVuZE5vdGU+PENpdGU+PEF1dGhvcj5Cb3llcjwvQXV0aG9yPjxZZWFyPjIwMTY8L1llYXI+PFJl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=
</w:fldData>
        </w:fldChar>
      </w:r>
      <w:r w:rsidR="002F5782">
        <w:rPr>
          <w:rFonts w:ascii="Arial" w:hAnsi="Arial" w:cs="Arial"/>
        </w:rPr>
        <w:instrText xml:space="preserve"> ADDIN EN.CITE </w:instrText>
      </w:r>
      <w:r w:rsidR="002F5782">
        <w:rPr>
          <w:rFonts w:ascii="Arial" w:hAnsi="Arial" w:cs="Arial"/>
        </w:rPr>
        <w:fldChar w:fldCharType="begin">
          <w:fldData xml:space="preserve">PEVuZE5vdGU+PENpdGU+PEF1dGhvcj5Cb3llcjwvQXV0aG9yPjxZZWFyPjIwMTY8L1llYXI+PFJl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=
</w:fldData>
        </w:fldChar>
      </w:r>
      <w:r w:rsidR="002F5782">
        <w:rPr>
          <w:rFonts w:ascii="Arial" w:hAnsi="Arial" w:cs="Arial"/>
        </w:rPr>
        <w:instrText xml:space="preserve"> ADDIN EN.CITE.DATA </w:instrText>
      </w:r>
      <w:r w:rsidR="002F5782">
        <w:rPr>
          <w:rFonts w:ascii="Arial" w:hAnsi="Arial" w:cs="Arial"/>
        </w:rPr>
      </w:r>
      <w:r w:rsidR="002F5782">
        <w:rPr>
          <w:rFonts w:ascii="Arial" w:hAnsi="Arial" w:cs="Arial"/>
        </w:rPr>
        <w:fldChar w:fldCharType="end"/>
      </w:r>
      <w:r w:rsidRPr="0073290E">
        <w:rPr>
          <w:rFonts w:ascii="Arial" w:hAnsi="Arial" w:cs="Arial"/>
        </w:rPr>
      </w:r>
      <w:r w:rsidRPr="0073290E">
        <w:rPr>
          <w:rFonts w:ascii="Arial" w:hAnsi="Arial" w:cs="Arial"/>
        </w:rPr>
        <w:fldChar w:fldCharType="separate"/>
      </w:r>
      <w:r>
        <w:rPr>
          <w:rFonts w:ascii="Arial" w:hAnsi="Arial" w:cs="Arial"/>
          <w:noProof/>
        </w:rPr>
        <w:t>[13-15]</w:t>
      </w:r>
      <w:r w:rsidRPr="0073290E">
        <w:rPr>
          <w:rFonts w:ascii="Arial" w:hAnsi="Arial" w:cs="Arial"/>
        </w:rPr>
        <w:fldChar w:fldCharType="end"/>
      </w:r>
      <w:r w:rsidRPr="0073290E">
        <w:rPr>
          <w:rFonts w:ascii="Arial" w:hAnsi="Arial" w:cs="Arial"/>
        </w:rPr>
        <w:t>. Thus, there is now a pressing need to improve the efficiency and resolution at which we capture shape variation to maximise the potential of this 3D data</w:t>
      </w:r>
      <w:r>
        <w:rPr>
          <w:rFonts w:ascii="Arial" w:hAnsi="Arial" w:cs="Arial"/>
        </w:rPr>
        <w:t xml:space="preserve"> </w:t>
      </w:r>
      <w:r>
        <w:rPr>
          <w:rFonts w:ascii="Arial" w:hAnsi="Arial" w:cs="Arial"/>
        </w:rPr>
        <w:fldChar w:fldCharType="begin"/>
      </w:r>
      <w:r w:rsidR="002F5782">
        <w:rPr>
          <w:rFonts w:ascii="Arial" w:hAnsi="Arial" w:cs="Arial"/>
        </w:rPr>
        <w:instrText xml:space="preserve"> ADDIN EN.CITE &lt;EndNote&gt;&lt;Cite&gt;&lt;Author&gt;He&lt;/Author&gt;&lt;Year&gt;2024&lt;/Year&gt;&lt;RecNum&gt;334&lt;/RecNum&gt;&lt;DisplayText&gt;[16]&lt;/DisplayText&gt;&lt;record&gt;&lt;rec-number&gt;334&lt;/rec-number&gt;&lt;foreign-keys&gt;&lt;key app="EN" db-id="stvxpdr5yrpspzes0zppeddup9p2da2vrpv9" timestamp="1728389957"&gt;334&lt;/key&gt;&lt;/foreign-keys&gt;&lt;ref-type name="Journal Article"&gt;17&lt;/ref-type&gt;&lt;contributors&gt;&lt;authors&gt;&lt;author&gt;He, Y&lt;/author&gt;&lt;author&gt;Mulqueeney, JM&lt;/author&gt;&lt;author&gt;Watt, EC&lt;/author&gt;&lt;author&gt;Salili-James, A&lt;/author&gt;&lt;author&gt;Barber, NS&lt;/author&gt;&lt;author&gt;Camaiti, M&lt;/author&gt;&lt;author&gt;Hunt, ESE&lt;/author&gt;&lt;author&gt;Kippax-Chui, O&lt;/author&gt;&lt;author&gt;Knapp, A&lt;/author&gt;&lt;author&gt;Lanzetti, A&lt;/author&gt;&lt;/authors&gt;&lt;/contributors&gt;&lt;titles&gt;&lt;title&gt;Opportunities and challenges in applying AI to evolutionary morphology&lt;/title&gt;&lt;secondary-title&gt;Integrative Organismal Biology&lt;/secondary-title&gt;&lt;/titles&gt;&lt;periodical&gt;&lt;full-title&gt;Integrative Organismal Biology&lt;/full-title&gt;&lt;/periodical&gt;&lt;pages&gt;obae036&lt;/pages&gt;&lt;dates&gt;&lt;year&gt;2024&lt;/year&gt;&lt;/dates&gt;&lt;isbn&gt;2517-4843&lt;/isbn&gt;&lt;urls&gt;&lt;/urls&gt;&lt;electronic-resource-num&gt;https://doi.org/10.1093/iob/obae036&lt;/electronic-resource-num&gt;&lt;/record&gt;&lt;/Cite&gt;&lt;/EndNote&gt;</w:instrText>
      </w:r>
      <w:r>
        <w:rPr>
          <w:rFonts w:ascii="Arial" w:hAnsi="Arial" w:cs="Arial"/>
        </w:rPr>
        <w:fldChar w:fldCharType="separate"/>
      </w:r>
      <w:r>
        <w:rPr>
          <w:rFonts w:ascii="Arial" w:hAnsi="Arial" w:cs="Arial"/>
          <w:noProof/>
        </w:rPr>
        <w:t>[16]</w:t>
      </w:r>
      <w:r>
        <w:rPr>
          <w:rFonts w:ascii="Arial" w:hAnsi="Arial" w:cs="Arial"/>
        </w:rPr>
        <w:fldChar w:fldCharType="end"/>
      </w:r>
      <w:r w:rsidRPr="0073290E">
        <w:rPr>
          <w:rFonts w:ascii="Arial" w:hAnsi="Arial" w:cs="Arial"/>
        </w:rPr>
        <w:t xml:space="preserve">. </w:t>
      </w:r>
    </w:p>
    <w:p w14:paraId="4D8FE7E5" w14:textId="7F687616" w:rsidR="000C090E" w:rsidRPr="0073290E" w:rsidRDefault="000C090E" w:rsidP="000C090E">
      <w:pPr>
        <w:pStyle w:val="paragraph"/>
        <w:spacing w:beforeLines="100" w:before="240" w:beforeAutospacing="0" w:afterLines="100" w:after="240" w:afterAutospacing="0" w:line="480" w:lineRule="auto"/>
        <w:textAlignment w:val="baseline"/>
        <w:rPr>
          <w:rFonts w:ascii="Arial" w:hAnsi="Arial" w:cs="Arial"/>
        </w:rPr>
      </w:pPr>
      <w:r w:rsidRPr="0073290E">
        <w:rPr>
          <w:rFonts w:ascii="Arial" w:hAnsi="Arial" w:cs="Arial"/>
        </w:rPr>
        <w:t xml:space="preserve">In addition to speed and repeatability, the requirement of homology for landmark placement, while important for </w:t>
      </w:r>
      <w:r>
        <w:rPr>
          <w:rFonts w:ascii="Arial" w:hAnsi="Arial" w:cs="Arial"/>
        </w:rPr>
        <w:t xml:space="preserve">biologically </w:t>
      </w:r>
      <w:r w:rsidRPr="0073290E">
        <w:rPr>
          <w:rFonts w:ascii="Arial" w:hAnsi="Arial" w:cs="Arial"/>
        </w:rPr>
        <w:t xml:space="preserve">meaningful comparability across specimens, limits not only processing time but their applicability when comparing disparate taxa, as identifiable homologous points become more obscure and fewer in number, even within homologous structures </w:t>
      </w:r>
      <w:r w:rsidRPr="0073290E">
        <w:rPr>
          <w:rFonts w:ascii="Arial" w:hAnsi="Arial" w:cs="Arial"/>
        </w:rPr>
        <w:fldChar w:fldCharType="begin"/>
      </w:r>
      <w:r w:rsidR="002F5782">
        <w:rPr>
          <w:rFonts w:ascii="Arial" w:hAnsi="Arial" w:cs="Arial"/>
        </w:rPr>
        <w:instrText xml:space="preserve"> ADDIN EN.CITE &lt;EndNote&gt;&lt;Cite&gt;&lt;Author&gt;Felice&lt;/Author&gt;&lt;Year&gt;2018&lt;/Year&gt;&lt;RecNum&gt;93&lt;/RecNum&gt;&lt;DisplayText&gt;[17]&lt;/DisplayText&gt;&lt;record&gt;&lt;rec-number&gt;93&lt;/rec-number&gt;&lt;foreign-keys&gt;&lt;key app="EN" db-id="stvxpdr5yrpspzes0zppeddup9p2da2vrpv9" timestamp="0"&gt;93&lt;/key&gt;&lt;/foreign-keys&gt;&lt;ref-type name="Journal Article"&gt;17&lt;/ref-type&gt;&lt;contributors&gt;&lt;authors&gt;&lt;author&gt;Felice, Ryan N.&lt;/author&gt;&lt;author&gt;Randau, Marcela&lt;/author&gt;&lt;author&gt;Goswami, Anjali&lt;/author&gt;&lt;/authors&gt;&lt;/contributors&gt;&lt;titles&gt;&lt;title&gt;A fly in a tube: macroevolutionary expectations for integrated phenotypes&lt;/title&gt;&lt;secondary-title&gt;Evolution&lt;/secondary-title&gt;&lt;/titles&gt;&lt;periodical&gt;&lt;full-title&gt;Evolution&lt;/full-title&gt;&lt;/periodical&gt;&lt;pages&gt;2580-2594&lt;/pages&gt;&lt;volume&gt;72&lt;/volume&gt;&lt;number&gt;12&lt;/number&gt;&lt;dates&gt;&lt;year&gt;2018&lt;/year&gt;&lt;/dates&gt;&lt;publisher&gt;Wiley Online Library&lt;/publisher&gt;&lt;isbn&gt;0014-3820&lt;/isbn&gt;&lt;urls&gt;&lt;/urls&gt;&lt;electronic-resource-num&gt;https://doi.org/10.1111/evo.13608&lt;/electronic-resource-num&gt;&lt;/record&gt;&lt;/Cite&gt;&lt;/EndNote&gt;</w:instrText>
      </w:r>
      <w:r w:rsidRPr="0073290E">
        <w:rPr>
          <w:rFonts w:ascii="Arial" w:hAnsi="Arial" w:cs="Arial"/>
        </w:rPr>
        <w:fldChar w:fldCharType="separate"/>
      </w:r>
      <w:r>
        <w:rPr>
          <w:rFonts w:ascii="Arial" w:hAnsi="Arial" w:cs="Arial"/>
          <w:noProof/>
        </w:rPr>
        <w:t>[17]</w:t>
      </w:r>
      <w:r w:rsidRPr="0073290E">
        <w:rPr>
          <w:rFonts w:ascii="Arial" w:hAnsi="Arial" w:cs="Arial"/>
        </w:rPr>
        <w:fldChar w:fldCharType="end"/>
      </w:r>
      <w:r w:rsidRPr="0073290E">
        <w:rPr>
          <w:rFonts w:ascii="Arial" w:hAnsi="Arial" w:cs="Arial"/>
        </w:rPr>
        <w:t>. Consequently, the reduction in the number of discernible landmarks when analysing phylogenetically distinct taxa results in the capture and comparison of only a minimal amount of variation, po</w:t>
      </w:r>
      <w:r>
        <w:rPr>
          <w:rFonts w:ascii="Arial" w:hAnsi="Arial" w:cs="Arial"/>
        </w:rPr>
        <w:t>tentially</w:t>
      </w:r>
      <w:r w:rsidRPr="0073290E">
        <w:rPr>
          <w:rFonts w:ascii="Arial" w:hAnsi="Arial" w:cs="Arial"/>
        </w:rPr>
        <w:t xml:space="preserve"> leading to weaker biological inferences </w:t>
      </w:r>
      <w:r w:rsidRPr="0073290E">
        <w:rPr>
          <w:rFonts w:ascii="Arial" w:hAnsi="Arial" w:cs="Arial"/>
        </w:rPr>
        <w:fldChar w:fldCharType="begin"/>
      </w:r>
      <w:r w:rsidR="002F5782">
        <w:rPr>
          <w:rFonts w:ascii="Arial" w:hAnsi="Arial" w:cs="Arial"/>
        </w:rPr>
        <w:instrText xml:space="preserve"> ADDIN EN.CITE &lt;EndNote&gt;&lt;Cite&gt;&lt;Author&gt;Collyer&lt;/Author&gt;&lt;Year&gt;2015&lt;/Year&gt;&lt;RecNum&gt;253&lt;/RecNum&gt;&lt;DisplayText&gt;[18]&lt;/DisplayText&gt;&lt;record&gt;&lt;rec-number&gt;253&lt;/rec-number&gt;&lt;foreign-keys&gt;&lt;key app="EN" db-id="stvxpdr5yrpspzes0zppeddup9p2da2vrpv9" timestamp="0"&gt;253&lt;/key&gt;&lt;/foreign-keys&gt;&lt;ref-type name="Journal Article"&gt;17&lt;/ref-type&gt;&lt;contributors&gt;&lt;authors&gt;&lt;author&gt;Collyer, Michael L&lt;/author&gt;&lt;author&gt;Sekora, David J&lt;/author&gt;&lt;author&gt;Adams, Dean C&lt;/author&gt;&lt;/authors&gt;&lt;/contributors&gt;&lt;titles&gt;&lt;title&gt;A method for analysis of phenotypic change for phenotypes described by high-dimensional data&lt;/title&gt;&lt;secondary-title&gt;Heredity&lt;/secondary-title&gt;&lt;/titles&gt;&lt;pages&gt;357-365&lt;/pages&gt;&lt;volume&gt;115&lt;/volume&gt;&lt;number&gt;4&lt;/number&gt;&lt;dates&gt;&lt;year&gt;2015&lt;/year&gt;&lt;/dates&gt;&lt;isbn&gt;1365-2540&lt;/isbn&gt;&lt;urls&gt;&lt;/urls&gt;&lt;electronic-resource-num&gt;https://doi.org/10.1038/hdy.2014.75&lt;/electronic-resource-num&gt;&lt;/record&gt;&lt;/Cite&gt;&lt;/EndNote&gt;</w:instrText>
      </w:r>
      <w:r w:rsidRPr="0073290E">
        <w:rPr>
          <w:rFonts w:ascii="Arial" w:hAnsi="Arial" w:cs="Arial"/>
        </w:rPr>
        <w:fldChar w:fldCharType="separate"/>
      </w:r>
      <w:r>
        <w:rPr>
          <w:rFonts w:ascii="Arial" w:hAnsi="Arial" w:cs="Arial"/>
          <w:noProof/>
        </w:rPr>
        <w:t>[18]</w:t>
      </w:r>
      <w:r w:rsidRPr="0073290E">
        <w:rPr>
          <w:rFonts w:ascii="Arial" w:hAnsi="Arial" w:cs="Arial"/>
        </w:rPr>
        <w:fldChar w:fldCharType="end"/>
      </w:r>
      <w:r w:rsidRPr="0073290E">
        <w:rPr>
          <w:rFonts w:ascii="Arial" w:hAnsi="Arial" w:cs="Arial"/>
        </w:rPr>
        <w:t>.</w:t>
      </w:r>
    </w:p>
    <w:p w14:paraId="0324B9F5" w14:textId="694F8EC2" w:rsidR="00167C99" w:rsidRDefault="00CF78F0" w:rsidP="007F5FF3">
      <w:pPr>
        <w:spacing w:line="480" w:lineRule="auto"/>
      </w:pPr>
      <w:r w:rsidRPr="0073290E">
        <w:t xml:space="preserve">Emerging automated approaches in geometric morphometrics offer potential solutions to these challenges. Recent methods, including automated landmarking using atlas templates </w:t>
      </w:r>
      <w:r w:rsidRPr="0073290E">
        <w:fldChar w:fldCharType="begin">
          <w:fldData xml:space="preserve">PEVuZE5vdGU+PENpdGU+PEF1dGhvcj5Zb3VuZzwvQXV0aG9yPjxZZWFyPjIwMTU8L1llYXI+PFJl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=
</w:fldData>
        </w:fldChar>
      </w:r>
      <w:r w:rsidR="002F5782">
        <w:instrText xml:space="preserve"> ADDIN EN.CITE </w:instrText>
      </w:r>
      <w:r w:rsidR="002F5782">
        <w:fldChar w:fldCharType="begin">
          <w:fldData xml:space="preserve">PEVuZE5vdGU+PENpdGU+PEF1dGhvcj5Zb3VuZzwvQXV0aG9yPjxZZWFyPjIwMTU8L1llYXI+PFJl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=
</w:fldData>
        </w:fldChar>
      </w:r>
      <w:r w:rsidR="002F5782">
        <w:instrText xml:space="preserve"> ADDIN EN.CITE.DATA </w:instrText>
      </w:r>
      <w:r w:rsidR="002F5782">
        <w:fldChar w:fldCharType="end"/>
      </w:r>
      <w:r w:rsidRPr="0073290E">
        <w:fldChar w:fldCharType="separate"/>
      </w:r>
      <w:r>
        <w:rPr>
          <w:noProof/>
        </w:rPr>
        <w:t>[19-21]</w:t>
      </w:r>
      <w:r w:rsidRPr="0073290E">
        <w:fldChar w:fldCharType="end"/>
      </w:r>
      <w:r w:rsidRPr="0073290E">
        <w:t xml:space="preserve"> or point</w:t>
      </w:r>
      <w:r>
        <w:t xml:space="preserve"> </w:t>
      </w:r>
      <w:r w:rsidRPr="0073290E">
        <w:t xml:space="preserve">clouds </w:t>
      </w:r>
      <w:r w:rsidRPr="0073290E">
        <w:fldChar w:fldCharType="begin"/>
      </w:r>
      <w:r w:rsidR="002F5782">
        <w:instrText xml:space="preserve"> ADDIN EN.CITE &lt;EndNote&gt;&lt;Cite&gt;&lt;Author&gt;Porto&lt;/Author&gt;&lt;Year&gt;2021&lt;/Year&gt;&lt;RecNum&gt;171&lt;/RecNum&gt;&lt;DisplayText&gt;[22, 23]&lt;/DisplayText&gt;&lt;record&gt;&lt;rec-number&gt;171&lt;/rec-number&gt;&lt;foreign-keys&gt;&lt;key app="EN" db-id="stvxpdr5yrpspzes0zppeddup9p2da2vrpv9" timestamp="0"&gt;171&lt;/key&gt;&lt;/foreign-keys&gt;&lt;ref-type name="Journal Article"&gt;17&lt;/ref-type&gt;&lt;contributors&gt;&lt;authors&gt;&lt;author&gt;Porto, Arthur&lt;/author&gt;&lt;author&gt;Rolfe, Sara&lt;/author&gt;&lt;author&gt;Maga, A Murat&lt;/author&gt;&lt;/authors&gt;&lt;/contributors&gt;&lt;titles&gt;&lt;title&gt;ALPACA: A fast and accurate computer vision approach for automated landmarking of three</w:instrText>
      </w:r>
      <w:r w:rsidR="002F5782">
        <w:rPr>
          <w:rFonts w:ascii="Cambria Math" w:hAnsi="Cambria Math" w:cs="Cambria Math"/>
        </w:rPr>
        <w:instrText>‐</w:instrText>
      </w:r>
      <w:r w:rsidR="002F5782">
        <w:instrText>dimensional biological structures&lt;/title&gt;&lt;secondary-title&gt;Methods in Ecology and Evolution&lt;/secondary-title&gt;&lt;/titles&gt;&lt;periodical&gt;&lt;full-title&gt;Methods in Ecology and Evolution&lt;/full-title&gt;&lt;/periodical&gt;&lt;pages&gt;2129-2144&lt;/pages&gt;&lt;volume&gt;12&lt;/volume&gt;&lt;number&gt;11&lt;/number&gt;&lt;dates&gt;&lt;year&gt;2021&lt;/year&gt;&lt;/dates&gt;&lt;isbn&gt;2041-210X&lt;/isbn&gt;&lt;urls&gt;&lt;/urls&gt;&lt;electronic-resource-num&gt;https://doi.org/10.1111/2041-210X.13689&lt;/electronic-resource-num&gt;&lt;/record&gt;&lt;/Cite&gt;&lt;Cite&gt;&lt;Author&gt;Zhang&lt;/Author&gt;&lt;Year&gt;2022&lt;/Year&gt;&lt;RecNum&gt;310&lt;/RecNum&gt;&lt;record&gt;&lt;rec-number&gt;310&lt;/rec-number&gt;&lt;foreign-keys&gt;&lt;key app="EN" db-id="stvxpdr5yrpspzes0zppeddup9p2da2vrpv9" timestamp="1727109170"&gt;310&lt;/key&gt;&lt;/foreign-keys&gt;&lt;ref-type name="Journal Article"&gt;17&lt;/ref-type&gt;&lt;contributors&gt;&lt;authors&gt;&lt;author&gt;Zhang, Chi&lt;/author&gt;&lt;author&gt;Porto, Arthur&lt;/author&gt;&lt;author&gt;Rolfe, Sara&lt;/author&gt;&lt;author&gt;Kocatulum, Altan&lt;/author&gt;&lt;author&gt;Maga, A Murat&lt;/author&gt;&lt;/authors&gt;&lt;/contributors&gt;&lt;titles&gt;&lt;title&gt;Automated landmarking via multiple templates&lt;/title&gt;&lt;secondary-title&gt;Plos one&lt;/secondary-title&gt;&lt;/titles&gt;&lt;periodical&gt;&lt;full-title&gt;Plos one&lt;/full-title&gt;&lt;/periodical&gt;&lt;pages&gt;e0278035&lt;/pages&gt;&lt;volume&gt;17&lt;/volume&gt;&lt;number&gt;12&lt;/number&gt;&lt;dates&gt;&lt;year&gt;2022&lt;/year&gt;&lt;/dates&gt;&lt;isbn&gt;1932-6203&lt;/isbn&gt;&lt;urls&gt;&lt;/urls&gt;&lt;electronic-resource-num&gt;https://doi.org/10.1371/journal.pone.0278035&lt;/electronic-resource-num&gt;&lt;/record&gt;&lt;/Cite&gt;&lt;/EndNote&gt;</w:instrText>
      </w:r>
      <w:r w:rsidRPr="0073290E">
        <w:fldChar w:fldCharType="separate"/>
      </w:r>
      <w:r>
        <w:rPr>
          <w:noProof/>
        </w:rPr>
        <w:t>[22, 23]</w:t>
      </w:r>
      <w:r w:rsidRPr="0073290E">
        <w:fldChar w:fldCharType="end"/>
      </w:r>
      <w:r w:rsidRPr="0073290E">
        <w:t xml:space="preserve"> have allowed for improvements </w:t>
      </w:r>
      <w:r>
        <w:t>in</w:t>
      </w:r>
      <w:r w:rsidRPr="0073290E">
        <w:t xml:space="preserve"> efficiency. However, these techniques are still heavily tied to homology and may </w:t>
      </w:r>
      <w:r w:rsidRPr="0073290E">
        <w:lastRenderedPageBreak/>
        <w:t>thus be less effective when attempting to overcome the current issues related to broad phylogenetic datasets</w:t>
      </w:r>
      <w:r>
        <w:t xml:space="preserve">. </w:t>
      </w:r>
      <w:r w:rsidR="00087692" w:rsidRPr="0073290E">
        <w:t xml:space="preserve">“Landmark or homology-free” approaches, which aim to capture shape data without relying solely on homologous landmarks, offer an alternative. These methods include psuedolandmarks </w:t>
      </w:r>
      <w:r w:rsidR="00087692" w:rsidRPr="0073290E">
        <w:fldChar w:fldCharType="begin"/>
      </w:r>
      <w:r w:rsidR="002F5782">
        <w:instrText xml:space="preserve"> ADDIN EN.CITE &lt;EndNote&gt;&lt;Cite&gt;&lt;Author&gt;Boyer&lt;/Author&gt;&lt;Year&gt;2015&lt;/Year&gt;&lt;RecNum&gt;235&lt;/RecNum&gt;&lt;DisplayText&gt;[13, 24]&lt;/DisplayText&gt;&lt;record&gt;&lt;rec-number&gt;235&lt;/rec-number&gt;&lt;foreign-keys&gt;&lt;key app="EN" db-id="stvxpdr5yrpspzes0zppeddup9p2da2vrpv9" timestamp="0"&gt;235&lt;/key&gt;&lt;/foreign-keys&gt;&lt;ref-type name="Journal Article"&gt;17&lt;/ref-type&gt;&lt;contributors&gt;&lt;authors&gt;&lt;author&gt;Boyer, Doug M&lt;/author&gt;&lt;author&gt;Puente, Jesus&lt;/author&gt;&lt;author&gt;Gladman, Justin T&lt;/author&gt;&lt;author&gt;Glynn, Chris&lt;/author&gt;&lt;author&gt;Mukherjee, Sayan&lt;/author&gt;&lt;author&gt;Yapuncich, Gabriel S&lt;/author&gt;&lt;author&gt;Daubechies, Ingrid&lt;/author&gt;&lt;/authors&gt;&lt;/contributors&gt;&lt;titles&gt;&lt;title&gt;A new fully automated approach for aligning and comparing shapes&lt;/title&gt;&lt;secondary-title&gt;The Anatomical Record&lt;/secondary-title&gt;&lt;/titles&gt;&lt;pages&gt;249-276&lt;/pages&gt;&lt;volume&gt;298&lt;/volume&gt;&lt;number&gt;1&lt;/number&gt;&lt;dates&gt;&lt;year&gt;2015&lt;/year&gt;&lt;/dates&gt;&lt;isbn&gt;1932-8486&lt;/isbn&gt;&lt;urls&gt;&lt;/urls&gt;&lt;electronic-resource-num&gt;https://doi.org/10.1002/ar.23084&lt;/electronic-resource-num&gt;&lt;/record&gt;&lt;/Cite&gt;&lt;Cite&gt;&lt;Author&gt;Boyer&lt;/Author&gt;&lt;Year&gt;2016&lt;/Year&gt;&lt;RecNum&gt;249&lt;/RecNum&gt;&lt;record&gt;&lt;rec-number&gt;249&lt;/rec-number&gt;&lt;foreign-keys&gt;&lt;key app="EN" db-id="stvxpdr5yrpspzes0zppeddup9p2da2vrpv9" timestamp="0"&gt;249&lt;/key&gt;&lt;/foreign-keys&gt;&lt;ref-type name="Journal Article"&gt;17&lt;/ref-type&gt;&lt;contributors&gt;&lt;authors&gt;&lt;author&gt;Boyer, Doug M&lt;/author&gt;&lt;author&gt;Gunnell, Gregg F&lt;/author&gt;&lt;author&gt;Kaufman, Seth&lt;/author&gt;&lt;author&gt;McGeary, Timothy M&lt;/author&gt;&lt;/authors&gt;&lt;/contributors&gt;&lt;titles&gt;&lt;title&gt;Morphosource: archiving and sharing 3-D digital specimen data&lt;/title&gt;&lt;secondary-title&gt;The Paleontological Society Papers&lt;/secondary-title&gt;&lt;/titles&gt;&lt;pages&gt;157-181&lt;/pages&gt;&lt;volume&gt;22&lt;/volume&gt;&lt;dates&gt;&lt;year&gt;2016&lt;/year&gt;&lt;/dates&gt;&lt;isbn&gt;1089-3326&lt;/isbn&gt;&lt;urls&gt;&lt;/urls&gt;&lt;/record&gt;&lt;/Cite&gt;&lt;/EndNote&gt;</w:instrText>
      </w:r>
      <w:r w:rsidR="00087692" w:rsidRPr="0073290E">
        <w:fldChar w:fldCharType="separate"/>
      </w:r>
      <w:r w:rsidR="00087692">
        <w:rPr>
          <w:noProof/>
        </w:rPr>
        <w:t>[13, 24]</w:t>
      </w:r>
      <w:r w:rsidR="00087692" w:rsidRPr="0073290E">
        <w:fldChar w:fldCharType="end"/>
      </w:r>
      <w:r w:rsidR="00087692" w:rsidRPr="0073290E">
        <w:t xml:space="preserve">, </w:t>
      </w:r>
      <w:r w:rsidR="00276F7D" w:rsidRPr="00276F7D">
        <w:t>iterative closest point</w:t>
      </w:r>
      <w:r w:rsidR="00087692" w:rsidRPr="0073290E">
        <w:t xml:space="preserve"> (ICP) </w:t>
      </w:r>
      <w:r w:rsidR="00087692" w:rsidRPr="0073290E">
        <w:fldChar w:fldCharType="begin"/>
      </w:r>
      <w:r w:rsidR="002F5782">
        <w:instrText xml:space="preserve"> ADDIN EN.CITE &lt;EndNote&gt;&lt;Cite&gt;&lt;Author&gt;Pomidor&lt;/Author&gt;&lt;Year&gt;2016&lt;/Year&gt;&lt;RecNum&gt;192&lt;/RecNum&gt;&lt;DisplayText&gt;[25, 26]&lt;/DisplayText&gt;&lt;record&gt;&lt;rec-number&gt;192&lt;/rec-number&gt;&lt;foreign-keys&gt;&lt;key app="EN" db-id="stvxpdr5yrpspzes0zppeddup9p2da2vrpv9" timestamp="0"&gt;192&lt;/key&gt;&lt;/foreign-keys&gt;&lt;ref-type name="Journal Article"&gt;17&lt;/ref-type&gt;&lt;contributors&gt;&lt;authors&gt;&lt;author&gt;Pomidor, Benjamin J&lt;/author&gt;&lt;author&gt;Makedonska, Jana&lt;/author&gt;&lt;author&gt;Slice, Dennis E&lt;/author&gt;&lt;/authors&gt;&lt;/contributors&gt;&lt;titles&gt;&lt;title&gt;A landmark-free method for three-dimensional shape analysis&lt;/title&gt;&lt;secondary-title&gt;PloS one&lt;/secondary-title&gt;&lt;/titles&gt;&lt;periodical&gt;&lt;full-title&gt;Plos one&lt;/full-title&gt;&lt;/periodical&gt;&lt;pages&gt;e0150368&lt;/pages&gt;&lt;volume&gt;11&lt;/volume&gt;&lt;number&gt;3&lt;/number&gt;&lt;dates&gt;&lt;year&gt;2016&lt;/year&gt;&lt;/dates&gt;&lt;isbn&gt;1932-6203&lt;/isbn&gt;&lt;urls&gt;&lt;/urls&gt;&lt;electronic-resource-num&gt;https://doi.org/10.1371/journal.pone.0150368&lt;/electronic-resource-num&gt;&lt;/record&gt;&lt;/Cite&gt;&lt;Cite&gt;&lt;Author&gt;Pomidor&lt;/Author&gt;&lt;Year&gt;2024&lt;/Year&gt;&lt;RecNum&gt;316&lt;/RecNum&gt;&lt;record&gt;&lt;rec-number&gt;316&lt;/rec-number&gt;&lt;foreign-keys&gt;&lt;key app="EN" db-id="stvxpdr5yrpspzes0zppeddup9p2da2vrpv9" timestamp="1727195639"&gt;316&lt;/key&gt;&lt;/foreign-keys&gt;&lt;ref-type name="Journal Article"&gt;17&lt;/ref-type&gt;&lt;contributors&gt;&lt;authors&gt;&lt;author&gt;Pomidor, Benjamin J&lt;/author&gt;&lt;author&gt;Dean, Matthew D&lt;/author&gt;&lt;/authors&gt;&lt;/contributors&gt;&lt;titles&gt;&lt;title&gt;GPSA2: combining landmark-free and landmark-based methods in geometric morphometrics&lt;/title&gt;&lt;secondary-title&gt;bioRxiv&lt;/secondary-title&gt;&lt;/titles&gt;&lt;periodical&gt;&lt;full-title&gt;bioRxiv&lt;/full-title&gt;&lt;/periodical&gt;&lt;pages&gt;2024.08. 03.604701&lt;/pages&gt;&lt;dates&gt;&lt;year&gt;2024&lt;/year&gt;&lt;/dates&gt;&lt;urls&gt;&lt;/urls&gt;&lt;electronic-resource-num&gt;https://doi.org/10.1101/2024.08.03.604701&lt;/electronic-resource-num&gt;&lt;/record&gt;&lt;/Cite&gt;&lt;/EndNote&gt;</w:instrText>
      </w:r>
      <w:r w:rsidR="00087692" w:rsidRPr="0073290E">
        <w:fldChar w:fldCharType="separate"/>
      </w:r>
      <w:r w:rsidR="00087692">
        <w:rPr>
          <w:noProof/>
        </w:rPr>
        <w:t>[25, 26]</w:t>
      </w:r>
      <w:r w:rsidR="00087692" w:rsidRPr="0073290E">
        <w:fldChar w:fldCharType="end"/>
      </w:r>
      <w:r w:rsidR="00087692" w:rsidRPr="0073290E">
        <w:t xml:space="preserve">, dense correspondence analysis </w:t>
      </w:r>
      <w:r w:rsidR="00087692" w:rsidRPr="0073290E">
        <w:fldChar w:fldCharType="begin">
          <w:fldData xml:space="preserve">PEVuZE5vdGU+PENpdGU+PEF1dGhvcj5IYW1tb25kPC9BdXRob3I+PFllYXI+MjAwNDwvWWVhcj48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==
</w:fldData>
        </w:fldChar>
      </w:r>
      <w:r w:rsidR="002F5782">
        <w:instrText xml:space="preserve"> ADDIN EN.CITE </w:instrText>
      </w:r>
      <w:r w:rsidR="002F5782">
        <w:fldChar w:fldCharType="begin">
          <w:fldData xml:space="preserve">PEVuZE5vdGU+PENpdGU+PEF1dGhvcj5IYW1tb25kPC9BdXRob3I+PFllYXI+MjAwNDwvWWVhcj48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==
</w:fldData>
        </w:fldChar>
      </w:r>
      <w:r w:rsidR="002F5782">
        <w:instrText xml:space="preserve"> ADDIN EN.CITE.DATA </w:instrText>
      </w:r>
      <w:r w:rsidR="002F5782">
        <w:fldChar w:fldCharType="end"/>
      </w:r>
      <w:r w:rsidR="00087692" w:rsidRPr="0073290E">
        <w:fldChar w:fldCharType="separate"/>
      </w:r>
      <w:r w:rsidR="00087692">
        <w:rPr>
          <w:noProof/>
        </w:rPr>
        <w:t>[27-29]</w:t>
      </w:r>
      <w:r w:rsidR="00087692" w:rsidRPr="0073290E">
        <w:fldChar w:fldCharType="end"/>
      </w:r>
      <w:r w:rsidR="00087692">
        <w:t xml:space="preserve">, surface descriptors </w:t>
      </w:r>
      <w:r w:rsidR="00087692">
        <w:fldChar w:fldCharType="begin">
          <w:fldData xml:space="preserve">PEVuZE5vdGU+PENpdGU+PEF1dGhvcj5XYW5nPC9BdXRob3I+PFllYXI+MjAyMTwvWWVhcj48UmVj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==
</w:fldData>
        </w:fldChar>
      </w:r>
      <w:r w:rsidR="002F5782">
        <w:instrText xml:space="preserve"> ADDIN EN.CITE </w:instrText>
      </w:r>
      <w:r w:rsidR="002F5782">
        <w:fldChar w:fldCharType="begin">
          <w:fldData xml:space="preserve">PEVuZE5vdGU+PENpdGU+PEF1dGhvcj5XYW5nPC9BdXRob3I+PFllYXI+MjAyMTwvWWVhcj48UmVj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==
</w:fldData>
        </w:fldChar>
      </w:r>
      <w:r w:rsidR="002F5782">
        <w:instrText xml:space="preserve"> ADDIN EN.CITE.DATA </w:instrText>
      </w:r>
      <w:r w:rsidR="002F5782">
        <w:fldChar w:fldCharType="end"/>
      </w:r>
      <w:r w:rsidR="00087692">
        <w:fldChar w:fldCharType="separate"/>
      </w:r>
      <w:r w:rsidR="00087692">
        <w:rPr>
          <w:noProof/>
        </w:rPr>
        <w:t>[30, 31]</w:t>
      </w:r>
      <w:r w:rsidR="00087692">
        <w:fldChar w:fldCharType="end"/>
      </w:r>
      <w:r w:rsidR="00087692" w:rsidRPr="0073290E">
        <w:t xml:space="preserve"> and large deformation diffeomorphic metric mapping (LDDMM) </w:t>
      </w:r>
      <w:r w:rsidR="00087692" w:rsidRPr="0073290E">
        <w:fldChar w:fldCharType="begin">
          <w:fldData xml:space="preserve">PEVuZE5vdGU+PENpdGU+PEF1dGhvcj5CZWc8L0F1dGhvcj48WWVhcj4yMDA1PC9ZZWFyPjxSZWNO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</w:fldData>
        </w:fldChar>
      </w:r>
      <w:r w:rsidR="002F5782">
        <w:instrText xml:space="preserve"> ADDIN EN.CITE </w:instrText>
      </w:r>
      <w:r w:rsidR="002F5782">
        <w:fldChar w:fldCharType="begin">
          <w:fldData xml:space="preserve">PEVuZE5vdGU+PENpdGU+PEF1dGhvcj5CZWc8L0F1dGhvcj48WWVhcj4yMDA1PC9ZZWFyPjxSZWNO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</w:fldData>
        </w:fldChar>
      </w:r>
      <w:r w:rsidR="002F5782">
        <w:instrText xml:space="preserve"> ADDIN EN.CITE.DATA </w:instrText>
      </w:r>
      <w:r w:rsidR="002F5782">
        <w:fldChar w:fldCharType="end"/>
      </w:r>
      <w:r w:rsidR="00087692" w:rsidRPr="0073290E">
        <w:fldChar w:fldCharType="separate"/>
      </w:r>
      <w:r w:rsidR="00087692">
        <w:rPr>
          <w:noProof/>
        </w:rPr>
        <w:t>[32-34]</w:t>
      </w:r>
      <w:r w:rsidR="00087692" w:rsidRPr="0073290E">
        <w:fldChar w:fldCharType="end"/>
      </w:r>
      <w:r w:rsidR="00087692" w:rsidRPr="0073290E">
        <w:t>.</w:t>
      </w:r>
      <w:r w:rsidR="00FE2D3C">
        <w:t xml:space="preserve"> While </w:t>
      </w:r>
      <w:r w:rsidR="005D51EB">
        <w:t>some studies have demonstrated the pr</w:t>
      </w:r>
      <w:r w:rsidR="000864B3">
        <w:t xml:space="preserve">omise of these methods at the interspecific level </w:t>
      </w:r>
      <w:r w:rsidR="001050A5">
        <w:fldChar w:fldCharType="begin"/>
      </w:r>
      <w:r w:rsidR="001050A5">
        <w:instrText xml:space="preserve"> ADDIN EN.CITE &lt;EndNote&gt;&lt;Cite&gt;&lt;Author&gt;Fruciano&lt;/Author&gt;&lt;Year&gt;2017&lt;/Year&gt;&lt;RecNum&gt;349&lt;/RecNum&gt;&lt;DisplayText&gt;[35]&lt;/DisplayText&gt;&lt;record&gt;&lt;rec-number&gt;349&lt;/rec-number&gt;&lt;foreign-keys&gt;&lt;key app="EN" db-id="tasefzw5b2p9euepe2cpwzvqsztr2dd9f5tz" timestamp="1739283488"&gt;349&lt;/key&gt;&lt;/foreign-keys&gt;&lt;ref-type name="Journal Article"&gt;17&lt;/ref-type&gt;&lt;contributors&gt;&lt;authors&gt;&lt;author&gt;Fruciano, Carmelo&lt;/author&gt;&lt;author&gt;Celik, Mélina A&lt;/author&gt;&lt;author&gt;Butler, Kaylene&lt;/author&gt;&lt;author&gt;Dooley, Tom&lt;/author&gt;&lt;author&gt;Weisbecker, Vera&lt;/author&gt;&lt;author&gt;Phillips, Matthew J&lt;/author&gt;&lt;/authors&gt;&lt;/contributors&gt;&lt;titles&gt;&lt;title&gt;Sharing is caring? Measurement error and the issues arising from combining 3D morphometric datasets&lt;/title&gt;&lt;secondary-title&gt;Ecology and evolution&lt;/secondary-title&gt;&lt;/titles&gt;&lt;periodical&gt;&lt;full-title&gt;Ecology and evolution&lt;/full-title&gt;&lt;/periodical&gt;&lt;pages&gt;7034-7046&lt;/pages&gt;&lt;volume&gt;7&lt;/volume&gt;&lt;number&gt;17&lt;/number&gt;&lt;dates&gt;&lt;year&gt;2017&lt;/year&gt;&lt;/dates&gt;&lt;isbn&gt;2045-7758&lt;/isbn&gt;&lt;urls&gt;&lt;/urls&gt;&lt;electronic-resource-num&gt;https://doi.org/10.1002/ece3.3256&lt;/electronic-resource-num&gt;&lt;/record&gt;&lt;/Cite&gt;&lt;/EndNote&gt;</w:instrText>
      </w:r>
      <w:r w:rsidR="001050A5">
        <w:fldChar w:fldCharType="separate"/>
      </w:r>
      <w:r w:rsidR="001050A5">
        <w:rPr>
          <w:noProof/>
        </w:rPr>
        <w:t>[35]</w:t>
      </w:r>
      <w:r w:rsidR="001050A5">
        <w:fldChar w:fldCharType="end"/>
      </w:r>
      <w:r w:rsidR="00DF2B6B">
        <w:t xml:space="preserve">, most of these methods have primarily been tested on intraspecific datasets, leaving their utility at higher taxonomic levels undetermined. </w:t>
      </w:r>
    </w:p>
    <w:p w14:paraId="3C8DD6C7" w14:textId="6F50EB38" w:rsidR="00DF2B6B" w:rsidRDefault="00DF2B6B" w:rsidP="007F5FF3">
      <w:pPr>
        <w:spacing w:line="480" w:lineRule="auto"/>
        <w:rPr>
          <w:rFonts w:eastAsia="Times New Roman"/>
          <w:lang w:eastAsia="en-GB"/>
        </w:rPr>
      </w:pPr>
      <w:r>
        <w:t xml:space="preserve">Here, we focus on </w:t>
      </w:r>
      <w:r w:rsidR="00802541" w:rsidRPr="6A70A507">
        <w:rPr>
          <w:rFonts w:eastAsia="Times New Roman"/>
          <w:lang w:eastAsia="en-GB"/>
        </w:rPr>
        <w:t>a LDDMM</w:t>
      </w:r>
      <w:r w:rsidR="00227F07">
        <w:rPr>
          <w:rFonts w:eastAsia="Times New Roman"/>
          <w:lang w:eastAsia="en-GB"/>
        </w:rPr>
        <w:t xml:space="preserve"> </w:t>
      </w:r>
      <w:r w:rsidR="00802541" w:rsidRPr="6A70A507">
        <w:rPr>
          <w:rFonts w:eastAsia="Times New Roman"/>
          <w:lang w:eastAsia="en-GB"/>
        </w:rPr>
        <w:t xml:space="preserve">based method called Deterministic Atlas Analysis (DAA), implemented in the software </w:t>
      </w:r>
      <w:r w:rsidR="00802541" w:rsidRPr="00055BCC">
        <w:rPr>
          <w:rFonts w:eastAsia="Times New Roman"/>
          <w:i/>
          <w:iCs/>
          <w:lang w:eastAsia="en-GB"/>
        </w:rPr>
        <w:t>Deformetrica</w:t>
      </w:r>
      <w:r w:rsidR="00802541">
        <w:rPr>
          <w:rFonts w:eastAsia="Times New Roman"/>
          <w:lang w:eastAsia="en-GB"/>
        </w:rPr>
        <w:t xml:space="preserve"> </w:t>
      </w:r>
      <w:r w:rsidR="00802541" w:rsidRPr="6A70A507">
        <w:rPr>
          <w:rFonts w:eastAsia="Times New Roman"/>
          <w:lang w:eastAsia="en-GB"/>
        </w:rPr>
        <w:fldChar w:fldCharType="begin"/>
      </w:r>
      <w:r w:rsidR="002F5782">
        <w:rPr>
          <w:rFonts w:eastAsia="Times New Roman"/>
          <w:lang w:eastAsia="en-GB"/>
        </w:rPr>
        <w:instrText xml:space="preserve"> ADDIN EN.CITE &lt;EndNote&gt;&lt;Cite&gt;&lt;Author&gt;Durrleman&lt;/Author&gt;&lt;Year&gt;2014&lt;/Year&gt;&lt;RecNum&gt;169&lt;/RecNum&gt;&lt;DisplayText&gt;[33, 34]&lt;/DisplayText&gt;&lt;record&gt;&lt;rec-number&gt;169&lt;/rec-number&gt;&lt;foreign-keys&gt;&lt;key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Cite&gt;&lt;Author&gt;Bône&lt;/Author&gt;&lt;Year&gt;2018&lt;/Year&gt;&lt;RecNum&gt;302&lt;/RecNum&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802541" w:rsidRPr="6A70A507">
        <w:rPr>
          <w:rFonts w:eastAsia="Times New Roman"/>
          <w:lang w:eastAsia="en-GB"/>
        </w:rPr>
        <w:fldChar w:fldCharType="separate"/>
      </w:r>
      <w:r w:rsidR="00802541">
        <w:rPr>
          <w:rFonts w:eastAsia="Times New Roman"/>
          <w:noProof/>
          <w:lang w:eastAsia="en-GB"/>
        </w:rPr>
        <w:t>[33, 34]</w:t>
      </w:r>
      <w:r w:rsidR="00802541" w:rsidRPr="6A70A507">
        <w:rPr>
          <w:rFonts w:eastAsia="Times New Roman"/>
          <w:lang w:eastAsia="en-GB"/>
        </w:rPr>
        <w:fldChar w:fldCharType="end"/>
      </w:r>
      <w:r w:rsidR="00802541">
        <w:rPr>
          <w:rFonts w:eastAsia="Times New Roman"/>
          <w:lang w:eastAsia="en-GB"/>
        </w:rPr>
        <w:t xml:space="preserve">. The DAA framework </w:t>
      </w:r>
      <w:r w:rsidR="00E6614D">
        <w:rPr>
          <w:rFonts w:eastAsia="Times New Roman"/>
          <w:lang w:eastAsia="en-GB"/>
        </w:rPr>
        <w:t>enables the comparison of shapes from images and meshes by using diffeomorphic transformations in 2D or 3D ambient space</w:t>
      </w:r>
      <w:r w:rsidR="00543DF8">
        <w:rPr>
          <w:rFonts w:eastAsia="Times New Roman"/>
          <w:lang w:eastAsia="en-GB"/>
        </w:rPr>
        <w:t xml:space="preserve"> </w:t>
      </w:r>
      <w:r w:rsidR="00543DF8">
        <w:rPr>
          <w:rFonts w:eastAsia="Times New Roman"/>
          <w:lang w:eastAsia="en-GB"/>
        </w:rPr>
        <w:fldChar w:fldCharType="begin"/>
      </w:r>
      <w:r w:rsidR="002F5782">
        <w:rPr>
          <w:rFonts w:eastAsia="Times New Roman"/>
          <w:lang w:eastAsia="en-GB"/>
        </w:rPr>
        <w:instrText xml:space="preserve"> ADDIN EN.CITE &lt;EndNote&gt;&lt;Cite&gt;&lt;Author&gt;Beg&lt;/Author&gt;&lt;Year&gt;2005&lt;/Year&gt;&lt;RecNum&gt;303&lt;/RecNum&gt;&lt;DisplayText&gt;[32]&lt;/DisplayText&gt;&lt;record&gt;&lt;rec-number&gt;303&lt;/rec-number&gt;&lt;foreign-keys&gt;&lt;key app="EN" db-id="stvxpdr5yrpspzes0zppeddup9p2da2vrpv9" timestamp="1726857032"&gt;303&lt;/key&gt;&lt;/foreign-keys&gt;&lt;ref-type name="Journal Article"&gt;17&lt;/ref-type&gt;&lt;contributors&gt;&lt;authors&gt;&lt;author&gt;Beg, M Faisal&lt;/author&gt;&lt;author&gt;Miller, Michael I&lt;/author&gt;&lt;author&gt;Trouvé, Alain&lt;/author&gt;&lt;author&gt;Younes, Laurent&lt;/author&gt;&lt;/authors&gt;&lt;/contributors&gt;&lt;titles&gt;&lt;title&gt;Computing large deformation metric mappings via geodesic flows of diffeomorphisms&lt;/title&gt;&lt;secondary-title&gt;International journal of computer vision&lt;/secondary-title&gt;&lt;/titles&gt;&lt;periodical&gt;&lt;full-title&gt;International journal of computer vision&lt;/full-title&gt;&lt;/periodical&gt;&lt;pages&gt;139-157&lt;/pages&gt;&lt;volume&gt;61&lt;/volume&gt;&lt;dates&gt;&lt;year&gt;2005&lt;/year&gt;&lt;/dates&gt;&lt;isbn&gt;0920-5691&lt;/isbn&gt;&lt;urls&gt;&lt;/urls&gt;&lt;electronic-resource-num&gt;https://doi.org/10.1023/B:VISI.0000043755.93987.aa&lt;/electronic-resource-num&gt;&lt;/record&gt;&lt;/Cite&gt;&lt;/EndNote&gt;</w:instrText>
      </w:r>
      <w:r w:rsidR="00543DF8">
        <w:rPr>
          <w:rFonts w:eastAsia="Times New Roman"/>
          <w:lang w:eastAsia="en-GB"/>
        </w:rPr>
        <w:fldChar w:fldCharType="separate"/>
      </w:r>
      <w:r w:rsidR="00543DF8">
        <w:rPr>
          <w:rFonts w:eastAsia="Times New Roman"/>
          <w:noProof/>
          <w:lang w:eastAsia="en-GB"/>
        </w:rPr>
        <w:t>[32]</w:t>
      </w:r>
      <w:r w:rsidR="00543DF8">
        <w:rPr>
          <w:rFonts w:eastAsia="Times New Roman"/>
          <w:lang w:eastAsia="en-GB"/>
        </w:rPr>
        <w:fldChar w:fldCharType="end"/>
      </w:r>
      <w:r w:rsidR="00543DF8">
        <w:rPr>
          <w:rFonts w:eastAsia="Times New Roman"/>
          <w:lang w:eastAsia="en-GB"/>
        </w:rPr>
        <w:t xml:space="preserve">. </w:t>
      </w:r>
      <w:r w:rsidR="00E26989">
        <w:rPr>
          <w:rFonts w:eastAsia="Times New Roman"/>
          <w:lang w:eastAsia="en-GB"/>
        </w:rPr>
        <w:t>T</w:t>
      </w:r>
      <w:r w:rsidR="00E26989">
        <w:t xml:space="preserve">his comparison is achieved by quantifying the deformation required for a dynamically computed geodesic mean shape, known </w:t>
      </w:r>
      <w:r w:rsidR="00362F4D">
        <w:t xml:space="preserve">as an </w:t>
      </w:r>
      <w:r w:rsidR="00E26989">
        <w:t>atlas</w:t>
      </w:r>
      <w:r w:rsidR="00362F4D">
        <w:t xml:space="preserve"> </w:t>
      </w:r>
      <w:r w:rsidR="007E173E">
        <w:rPr>
          <w:rFonts w:eastAsia="Times New Roman"/>
          <w:lang w:eastAsia="en-GB"/>
        </w:rPr>
        <w:fldChar w:fldCharType="begin"/>
      </w:r>
      <w:r w:rsidR="002F5782">
        <w:rPr>
          <w:rFonts w:eastAsia="Times New Roman"/>
          <w:lang w:eastAsia="en-GB"/>
        </w:rPr>
        <w:instrText xml:space="preserve"> ADDIN EN.CITE &lt;EndNote&gt;&lt;Cite&gt;&lt;Author&gt;Durrleman&lt;/Author&gt;&lt;Year&gt;2014&lt;/Year&gt;&lt;RecNum&gt;169&lt;/RecNum&gt;&lt;DisplayText&gt;[33]&lt;/DisplayText&gt;&lt;record&gt;&lt;rec-number&gt;169&lt;/rec-number&gt;&lt;foreign-keys&gt;&lt;key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EndNote&gt;</w:instrText>
      </w:r>
      <w:r w:rsidR="007E173E">
        <w:rPr>
          <w:rFonts w:eastAsia="Times New Roman"/>
          <w:lang w:eastAsia="en-GB"/>
        </w:rPr>
        <w:fldChar w:fldCharType="separate"/>
      </w:r>
      <w:r w:rsidR="007E173E">
        <w:rPr>
          <w:rFonts w:eastAsia="Times New Roman"/>
          <w:noProof/>
          <w:lang w:eastAsia="en-GB"/>
        </w:rPr>
        <w:t>[33]</w:t>
      </w:r>
      <w:r w:rsidR="007E173E">
        <w:rPr>
          <w:rFonts w:eastAsia="Times New Roman"/>
          <w:lang w:eastAsia="en-GB"/>
        </w:rPr>
        <w:fldChar w:fldCharType="end"/>
      </w:r>
      <w:r w:rsidR="00334714">
        <w:rPr>
          <w:rFonts w:eastAsia="Times New Roman"/>
          <w:lang w:eastAsia="en-GB"/>
        </w:rPr>
        <w:t xml:space="preserve">, to fit </w:t>
      </w:r>
      <w:r w:rsidR="00637F81">
        <w:rPr>
          <w:rFonts w:eastAsia="Times New Roman"/>
          <w:lang w:eastAsia="en-GB"/>
        </w:rPr>
        <w:t>each specimen in the dataset</w:t>
      </w:r>
      <w:r w:rsidR="007E173E">
        <w:rPr>
          <w:rFonts w:eastAsia="Times New Roman"/>
          <w:lang w:eastAsia="en-GB"/>
        </w:rPr>
        <w:t xml:space="preserve">. </w:t>
      </w:r>
      <w:r w:rsidR="004227D4" w:rsidRPr="004227D4">
        <w:rPr>
          <w:rFonts w:eastAsia="Times New Roman"/>
          <w:lang w:eastAsia="en-GB"/>
        </w:rPr>
        <w:t xml:space="preserve">Unlike </w:t>
      </w:r>
      <w:r w:rsidR="005D627F">
        <w:rPr>
          <w:rFonts w:eastAsia="Times New Roman"/>
          <w:lang w:eastAsia="en-GB"/>
        </w:rPr>
        <w:t>some other</w:t>
      </w:r>
      <w:r w:rsidR="004227D4" w:rsidRPr="004227D4">
        <w:rPr>
          <w:rFonts w:eastAsia="Times New Roman"/>
          <w:lang w:eastAsia="en-GB"/>
        </w:rPr>
        <w:t xml:space="preserve"> </w:t>
      </w:r>
      <w:r w:rsidR="004227D4">
        <w:rPr>
          <w:rFonts w:eastAsia="Times New Roman"/>
          <w:lang w:eastAsia="en-GB"/>
        </w:rPr>
        <w:t xml:space="preserve">diffeomorphic </w:t>
      </w:r>
      <w:r w:rsidR="004227D4" w:rsidRPr="004227D4">
        <w:rPr>
          <w:rFonts w:eastAsia="Times New Roman"/>
          <w:lang w:eastAsia="en-GB"/>
        </w:rPr>
        <w:t>methods, DAA does not rely on a fixed template; instead, it iteratively estimates the optimal atlas shape by minimi</w:t>
      </w:r>
      <w:r w:rsidR="00221F8A">
        <w:rPr>
          <w:rFonts w:eastAsia="Times New Roman"/>
          <w:lang w:eastAsia="en-GB"/>
        </w:rPr>
        <w:t>s</w:t>
      </w:r>
      <w:r w:rsidR="004227D4" w:rsidRPr="004227D4">
        <w:rPr>
          <w:rFonts w:eastAsia="Times New Roman"/>
          <w:lang w:eastAsia="en-GB"/>
        </w:rPr>
        <w:t>ing the total deformation energy needed to map it onto all specimens</w:t>
      </w:r>
      <w:r w:rsidR="00EC5C95">
        <w:rPr>
          <w:rFonts w:eastAsia="Times New Roman"/>
          <w:lang w:eastAsia="en-GB"/>
        </w:rPr>
        <w:t xml:space="preserve"> </w:t>
      </w:r>
      <w:r w:rsidR="00B24A9C">
        <w:rPr>
          <w:rFonts w:eastAsia="Times New Roman"/>
          <w:lang w:eastAsia="en-GB"/>
        </w:rPr>
        <w:fldChar w:fldCharType="begin"/>
      </w:r>
      <w:r w:rsidR="00B24A9C">
        <w:rPr>
          <w:rFonts w:eastAsia="Times New Roman"/>
          <w:lang w:eastAsia="en-GB"/>
        </w:rPr>
        <w:instrText xml:space="preserve"> ADDIN EN.CITE &lt;EndNote&gt;&lt;Cite&gt;&lt;Author&gt;Fletcher&lt;/Author&gt;&lt;Year&gt;2011&lt;/Year&gt;&lt;RecNum&gt;354&lt;/RecNum&gt;&lt;DisplayText&gt;[36, 37]&lt;/DisplayText&gt;&lt;record&gt;&lt;rec-number&gt;354&lt;/rec-number&gt;&lt;foreign-keys&gt;&lt;key app="EN" db-id="tasefzw5b2p9euepe2cpwzvqsztr2dd9f5tz" timestamp="1739296131"&gt;354&lt;/key&gt;&lt;/foreign-keys&gt;&lt;ref-type name="Conference Proceedings"&gt;10&lt;/ref-type&gt;&lt;contributors&gt;&lt;authors&gt;&lt;author&gt;Fletcher, Thomas&lt;/author&gt;&lt;/authors&gt;&lt;/contributors&gt;&lt;titles&gt;&lt;title&gt;Geodesic regression on Riemannian manifolds&lt;/title&gt;&lt;secondary-title&gt;Proceedings of the Third International Workshop on Mathematical Foundations of Computational Anatomy-Geometrical and Statistical Methods for Modelling Biological Shape Variability&lt;/secondary-title&gt;&lt;/titles&gt;&lt;pages&gt;75-86&lt;/pages&gt;&lt;dates&gt;&lt;year&gt;2011&lt;/year&gt;&lt;/dates&gt;&lt;urls&gt;&lt;/urls&gt;&lt;/record&gt;&lt;/Cite&gt;&lt;Cite&gt;&lt;Author&gt;Fishbaugh&lt;/Author&gt;&lt;Year&gt;2014&lt;/Year&gt;&lt;RecNum&gt;355&lt;/RecNum&gt;&lt;record&gt;&lt;rec-number&gt;355&lt;/rec-number&gt;&lt;foreign-keys&gt;&lt;key app="EN" db-id="tasefzw5b2p9euepe2cpwzvqsztr2dd9f5tz" timestamp="1739296296"&gt;355&lt;/key&gt;&lt;/foreign-keys&gt;&lt;ref-type name="Conference Proceedings"&gt;10&lt;/ref-type&gt;&lt;contributors&gt;&lt;authors&gt;&lt;author&gt;Fishbaugh, James&lt;/author&gt;&lt;author&gt;Prastawa, Marcel&lt;/author&gt;&lt;author&gt;Gerig, Guido&lt;/author&gt;&lt;author&gt;Durrleman, Stanley&lt;/author&gt;&lt;/authors&gt;&lt;/contributors&gt;&lt;titles&gt;&lt;title&gt;Geodesic regression of image and shape data for improved modeling of 4D trajectories&lt;/title&gt;&lt;secondary-title&gt;2014 IEEE 11th International Symposium on Biomedical Imaging (ISBI)&lt;/secondary-title&gt;&lt;/titles&gt;&lt;pages&gt;385-388&lt;/pages&gt;&lt;dates&gt;&lt;year&gt;2014&lt;/year&gt;&lt;/dates&gt;&lt;publisher&gt;IEEE&lt;/publisher&gt;&lt;isbn&gt;1467319619&lt;/isbn&gt;&lt;urls&gt;&lt;/urls&gt;&lt;electronic-resource-num&gt;https://doi.org/10.1109/ISBI.2014.6867889&lt;/electronic-resource-num&gt;&lt;/record&gt;&lt;/Cite&gt;&lt;/EndNote&gt;</w:instrText>
      </w:r>
      <w:r w:rsidR="00B24A9C">
        <w:rPr>
          <w:rFonts w:eastAsia="Times New Roman"/>
          <w:lang w:eastAsia="en-GB"/>
        </w:rPr>
        <w:fldChar w:fldCharType="separate"/>
      </w:r>
      <w:r w:rsidR="00B24A9C">
        <w:rPr>
          <w:rFonts w:eastAsia="Times New Roman"/>
          <w:noProof/>
          <w:lang w:eastAsia="en-GB"/>
        </w:rPr>
        <w:t>[36, 37]</w:t>
      </w:r>
      <w:r w:rsidR="00B24A9C">
        <w:rPr>
          <w:rFonts w:eastAsia="Times New Roman"/>
          <w:lang w:eastAsia="en-GB"/>
        </w:rPr>
        <w:fldChar w:fldCharType="end"/>
      </w:r>
      <w:r w:rsidR="00B24A9C">
        <w:rPr>
          <w:rFonts w:eastAsia="Times New Roman"/>
          <w:lang w:eastAsia="en-GB"/>
        </w:rPr>
        <w:t>,</w:t>
      </w:r>
      <w:r w:rsidR="00F001D5">
        <w:rPr>
          <w:rFonts w:eastAsia="Times New Roman"/>
          <w:lang w:eastAsia="en-GB"/>
        </w:rPr>
        <w:t xml:space="preserve"> meaning that results are sample dependent. </w:t>
      </w:r>
    </w:p>
    <w:p w14:paraId="0FA96D07" w14:textId="1D7DBEB4" w:rsidR="000B71A2" w:rsidRDefault="009C057E" w:rsidP="007F5FF3">
      <w:pPr>
        <w:spacing w:line="480" w:lineRule="auto"/>
        <w:rPr>
          <w:rFonts w:eastAsia="Times New Roman"/>
          <w:lang w:eastAsia="en-GB"/>
        </w:rPr>
      </w:pPr>
      <w:r>
        <w:rPr>
          <w:rFonts w:eastAsia="Times New Roman"/>
          <w:lang w:eastAsia="en-GB"/>
        </w:rPr>
        <w:t>The DAA begins with the</w:t>
      </w:r>
      <w:r w:rsidR="00221F8A">
        <w:rPr>
          <w:rFonts w:eastAsia="Times New Roman"/>
          <w:lang w:eastAsia="en-GB"/>
        </w:rPr>
        <w:t xml:space="preserve"> </w:t>
      </w:r>
      <w:r w:rsidR="000B71A2">
        <w:rPr>
          <w:rFonts w:eastAsia="Times New Roman"/>
          <w:lang w:eastAsia="en-GB"/>
        </w:rPr>
        <w:t xml:space="preserve">atlas </w:t>
      </w:r>
      <w:r w:rsidR="00F76800">
        <w:rPr>
          <w:rFonts w:eastAsia="Times New Roman"/>
          <w:lang w:eastAsia="en-GB"/>
        </w:rPr>
        <w:t>generation pro</w:t>
      </w:r>
      <w:r w:rsidR="00E5014D">
        <w:rPr>
          <w:rFonts w:eastAsia="Times New Roman"/>
          <w:lang w:eastAsia="en-GB"/>
        </w:rPr>
        <w:t>cess</w:t>
      </w:r>
      <w:r w:rsidR="00EE0134">
        <w:rPr>
          <w:rFonts w:eastAsia="Times New Roman"/>
          <w:lang w:eastAsia="en-GB"/>
        </w:rPr>
        <w:t xml:space="preserve"> through selecting an</w:t>
      </w:r>
      <w:r w:rsidR="00F76800">
        <w:rPr>
          <w:rFonts w:eastAsia="Times New Roman"/>
          <w:lang w:eastAsia="en-GB"/>
        </w:rPr>
        <w:t xml:space="preserve"> initial template mesh, which undergoes geodesic registration </w:t>
      </w:r>
      <w:r w:rsidR="00FB23D9">
        <w:rPr>
          <w:rFonts w:eastAsia="Times New Roman"/>
          <w:lang w:eastAsia="en-GB"/>
        </w:rPr>
        <w:fldChar w:fldCharType="begin"/>
      </w:r>
      <w:r w:rsidR="00FB23D9">
        <w:rPr>
          <w:rFonts w:eastAsia="Times New Roman"/>
          <w:lang w:eastAsia="en-GB"/>
        </w:rPr>
        <w:instrText xml:space="preserve"> ADDIN EN.CITE &lt;EndNote&gt;&lt;Cite&gt;&lt;Author&gt;Fishbaugh&lt;/Author&gt;&lt;Year&gt;2014&lt;/Year&gt;&lt;RecNum&gt;355&lt;/RecNum&gt;&lt;DisplayText&gt;[37]&lt;/DisplayText&gt;&lt;record&gt;&lt;rec-number&gt;355&lt;/rec-number&gt;&lt;foreign-keys&gt;&lt;key app="EN" db-id="tasefzw5b2p9euepe2cpwzvqsztr2dd9f5tz" timestamp="1739296296"&gt;355&lt;/key&gt;&lt;/foreign-keys&gt;&lt;ref-type name="Conference Proceedings"&gt;10&lt;/ref-type&gt;&lt;contributors&gt;&lt;authors&gt;&lt;author&gt;Fishbaugh, James&lt;/author&gt;&lt;author&gt;Prastawa, Marcel&lt;/author&gt;&lt;author&gt;Gerig, Guido&lt;/author&gt;&lt;author&gt;Durrleman, Stanley&lt;/author&gt;&lt;/authors&gt;&lt;/contributors&gt;&lt;titles&gt;&lt;title&gt;Geodesic regression of image and shape data for improved modeling of 4D trajectories&lt;/title&gt;&lt;secondary-title&gt;2014 IEEE 11th International Symposium on Biomedical Imaging (ISBI)&lt;/secondary-title&gt;&lt;/titles&gt;&lt;pages&gt;385-388&lt;/pages&gt;&lt;dates&gt;&lt;year&gt;2014&lt;/year&gt;&lt;/dates&gt;&lt;publisher&gt;IEEE&lt;/publisher&gt;&lt;isbn&gt;1467319619&lt;/isbn&gt;&lt;urls&gt;&lt;/urls&gt;&lt;electronic-resource-num&gt;https://doi.org/10.1109/ISBI.2014.6867889&lt;/electronic-resource-num&gt;&lt;/record&gt;&lt;/Cite&gt;&lt;/EndNote&gt;</w:instrText>
      </w:r>
      <w:r w:rsidR="00FB23D9">
        <w:rPr>
          <w:rFonts w:eastAsia="Times New Roman"/>
          <w:lang w:eastAsia="en-GB"/>
        </w:rPr>
        <w:fldChar w:fldCharType="separate"/>
      </w:r>
      <w:r w:rsidR="00FB23D9">
        <w:rPr>
          <w:rFonts w:eastAsia="Times New Roman"/>
          <w:noProof/>
          <w:lang w:eastAsia="en-GB"/>
        </w:rPr>
        <w:t>[37]</w:t>
      </w:r>
      <w:r w:rsidR="00FB23D9">
        <w:rPr>
          <w:rFonts w:eastAsia="Times New Roman"/>
          <w:lang w:eastAsia="en-GB"/>
        </w:rPr>
        <w:fldChar w:fldCharType="end"/>
      </w:r>
      <w:r w:rsidR="00FB23D9">
        <w:rPr>
          <w:rFonts w:eastAsia="Times New Roman"/>
          <w:lang w:eastAsia="en-GB"/>
        </w:rPr>
        <w:t xml:space="preserve"> to represent the dataset under study. Following this, </w:t>
      </w:r>
      <w:r w:rsidR="004702F1">
        <w:rPr>
          <w:rFonts w:eastAsia="Times New Roman"/>
          <w:lang w:eastAsia="en-GB"/>
        </w:rPr>
        <w:t xml:space="preserve">2D or </w:t>
      </w:r>
      <w:r w:rsidR="00FB23D9">
        <w:rPr>
          <w:rFonts w:eastAsia="Times New Roman"/>
          <w:lang w:eastAsia="en-GB"/>
        </w:rPr>
        <w:t xml:space="preserve">3D deformations are computed </w:t>
      </w:r>
      <w:r w:rsidR="00691A7B">
        <w:rPr>
          <w:rFonts w:eastAsia="Times New Roman"/>
          <w:lang w:eastAsia="en-GB"/>
        </w:rPr>
        <w:t xml:space="preserve">to map the atlas onto each specimen in the dataset. The spatial extent of these deformations relative to the atlas is controlled by a kernel width parameter, with smaller values yielding finer-scale deformations. </w:t>
      </w:r>
      <w:r w:rsidR="003A5F2E">
        <w:rPr>
          <w:rFonts w:eastAsia="Times New Roman"/>
          <w:lang w:eastAsia="en-GB"/>
        </w:rPr>
        <w:t xml:space="preserve">Based on this kernel width, a series of reference points, called control points, are generated. </w:t>
      </w:r>
      <w:r w:rsidR="00456D6E">
        <w:rPr>
          <w:rFonts w:eastAsia="Times New Roman"/>
          <w:lang w:eastAsia="en-GB"/>
        </w:rPr>
        <w:t xml:space="preserve">These points are initially evenly distributed </w:t>
      </w:r>
      <w:r w:rsidR="00456D6E">
        <w:rPr>
          <w:rFonts w:eastAsia="Times New Roman"/>
          <w:lang w:eastAsia="en-GB"/>
        </w:rPr>
        <w:lastRenderedPageBreak/>
        <w:t xml:space="preserve">within the ambient space surrounding the atlas, but as </w:t>
      </w:r>
      <w:r w:rsidR="00196205">
        <w:rPr>
          <w:rFonts w:eastAsia="Times New Roman"/>
          <w:lang w:eastAsia="en-GB"/>
        </w:rPr>
        <w:t xml:space="preserve">they increase, they are adjusted to fit areas with greater variability in the atlas. These </w:t>
      </w:r>
      <w:r w:rsidR="00A40A7D">
        <w:rPr>
          <w:rFonts w:eastAsia="Times New Roman"/>
          <w:lang w:eastAsia="en-GB"/>
        </w:rPr>
        <w:t xml:space="preserve">act as the guides for shape comparison, eliminating the need for standard landmarks </w:t>
      </w:r>
      <w:r w:rsidR="008661B0" w:rsidRPr="6A70A507">
        <w:rPr>
          <w:rFonts w:eastAsia="Times New Roman"/>
          <w:lang w:eastAsia="en-GB"/>
        </w:rPr>
        <w:fldChar w:fldCharType="begin"/>
      </w:r>
      <w:r w:rsidR="002F5782">
        <w:rPr>
          <w:rFonts w:eastAsia="Times New Roman"/>
          <w:lang w:eastAsia="en-GB"/>
        </w:rPr>
        <w:instrText xml:space="preserve"> ADDIN EN.CITE &lt;EndNote&gt;&lt;Cite&gt;&lt;Author&gt;Durrleman&lt;/Author&gt;&lt;Year&gt;2014&lt;/Year&gt;&lt;RecNum&gt;169&lt;/RecNum&gt;&lt;DisplayText&gt;[33]&lt;/DisplayText&gt;&lt;record&gt;&lt;rec-number&gt;169&lt;/rec-number&gt;&lt;foreign-keys&gt;&lt;key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EndNote&gt;</w:instrText>
      </w:r>
      <w:r w:rsidR="008661B0" w:rsidRPr="6A70A507">
        <w:rPr>
          <w:rFonts w:eastAsia="Times New Roman"/>
          <w:lang w:eastAsia="en-GB"/>
        </w:rPr>
        <w:fldChar w:fldCharType="separate"/>
      </w:r>
      <w:r w:rsidR="008661B0">
        <w:rPr>
          <w:rFonts w:eastAsia="Times New Roman"/>
          <w:noProof/>
          <w:lang w:eastAsia="en-GB"/>
        </w:rPr>
        <w:t>[33]</w:t>
      </w:r>
      <w:r w:rsidR="008661B0" w:rsidRPr="6A70A507">
        <w:rPr>
          <w:rFonts w:eastAsia="Times New Roman"/>
          <w:lang w:eastAsia="en-GB"/>
        </w:rPr>
        <w:fldChar w:fldCharType="end"/>
      </w:r>
      <w:r w:rsidR="008661B0">
        <w:rPr>
          <w:rFonts w:eastAsia="Times New Roman"/>
          <w:lang w:eastAsia="en-GB"/>
        </w:rPr>
        <w:t xml:space="preserve">. </w:t>
      </w:r>
      <w:r w:rsidR="00F60C90">
        <w:rPr>
          <w:rFonts w:eastAsia="Times New Roman"/>
          <w:lang w:eastAsia="en-GB"/>
        </w:rPr>
        <w:t xml:space="preserve">For each control point, a momentum vector (“momenta”) is calculated for each specimen in the dataset, representing the optimal deformation trajectory for aligning the atlas with each specimen. </w:t>
      </w:r>
      <w:r w:rsidR="00AC5F7D">
        <w:rPr>
          <w:rFonts w:eastAsia="Times New Roman"/>
          <w:lang w:eastAsia="en-GB"/>
        </w:rPr>
        <w:t xml:space="preserve">These momenta work within a Hamiltonian framework, derived from the velocity field of ambient space </w:t>
      </w:r>
      <w:r w:rsidR="003B1310">
        <w:rPr>
          <w:rFonts w:eastAsia="Times New Roman"/>
          <w:lang w:eastAsia="en-GB"/>
        </w:rPr>
        <w:fldChar w:fldCharType="begin"/>
      </w:r>
      <w:r w:rsidR="002F5782">
        <w:rPr>
          <w:rFonts w:eastAsia="Times New Roman"/>
          <w:lang w:eastAsia="en-GB"/>
        </w:rPr>
        <w:instrText xml:space="preserve"> ADDIN EN.CITE &lt;EndNote&gt;&lt;Cite&gt;&lt;Author&gt;Bône&lt;/Author&gt;&lt;Year&gt;2018&lt;/Year&gt;&lt;RecNum&gt;302&lt;/RecNum&gt;&lt;DisplayText&gt;[34]&lt;/DisplayText&gt;&lt;record&gt;&lt;rec-number&gt;302&lt;/rec-number&gt;&lt;foreign-keys&gt;&lt;key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3B1310">
        <w:rPr>
          <w:rFonts w:eastAsia="Times New Roman"/>
          <w:lang w:eastAsia="en-GB"/>
        </w:rPr>
        <w:fldChar w:fldCharType="separate"/>
      </w:r>
      <w:r w:rsidR="003B1310">
        <w:rPr>
          <w:rFonts w:eastAsia="Times New Roman"/>
          <w:noProof/>
          <w:lang w:eastAsia="en-GB"/>
        </w:rPr>
        <w:t>[34]</w:t>
      </w:r>
      <w:r w:rsidR="003B1310">
        <w:rPr>
          <w:rFonts w:eastAsia="Times New Roman"/>
          <w:lang w:eastAsia="en-GB"/>
        </w:rPr>
        <w:fldChar w:fldCharType="end"/>
      </w:r>
      <w:r w:rsidR="000118CF">
        <w:rPr>
          <w:rFonts w:eastAsia="Times New Roman"/>
          <w:lang w:eastAsia="en-GB"/>
        </w:rPr>
        <w:t xml:space="preserve">, and provide the basis for directly comparing shape variation. </w:t>
      </w:r>
      <w:r w:rsidR="001B3E89">
        <w:rPr>
          <w:rFonts w:eastAsia="Times New Roman"/>
          <w:lang w:eastAsia="en-GB"/>
        </w:rPr>
        <w:t xml:space="preserve">Techniques such as kernel principal component analysis (kPCA) </w:t>
      </w:r>
      <w:r w:rsidR="00590199">
        <w:rPr>
          <w:rFonts w:eastAsia="Times New Roman"/>
          <w:lang w:eastAsia="en-GB"/>
        </w:rPr>
        <w:fldChar w:fldCharType="begin"/>
      </w:r>
      <w:r w:rsidR="002F5782">
        <w:rPr>
          <w:rFonts w:eastAsia="Times New Roman"/>
          <w:lang w:eastAsia="en-GB"/>
        </w:rPr>
        <w:instrText xml:space="preserve"> ADDIN EN.CITE &lt;EndNote&gt;&lt;Cite&gt;&lt;Author&gt;Schölkopf&lt;/Author&gt;&lt;Year&gt;1997&lt;/Year&gt;&lt;RecNum&gt;197&lt;/RecNum&gt;&lt;DisplayText&gt;[38]&lt;/DisplayText&gt;&lt;record&gt;&lt;rec-number&gt;197&lt;/rec-number&gt;&lt;foreign-keys&gt;&lt;key app="EN" db-id="stvxpdr5yrpspzes0zppeddup9p2da2vrpv9" timestamp="0"&gt;197&lt;/key&gt;&lt;/foreign-keys&gt;&lt;ref-type name="Conference Proceedings"&gt;10&lt;/ref-type&gt;&lt;contributors&gt;&lt;authors&gt;&lt;author&gt;Schölkopf, Bernhard&lt;/author&gt;&lt;author&gt;Smola, Alexander&lt;/author&gt;&lt;author&gt;Müller, Klaus-Robert&lt;/author&gt;&lt;/authors&gt;&lt;/contributors&gt;&lt;titles&gt;&lt;title&gt;Kernel principal component analysis&lt;/title&gt;&lt;secondary-title&gt;International conference on artificial neural networks&lt;/secondary-title&gt;&lt;/titles&gt;&lt;pages&gt;583-588&lt;/pages&gt;&lt;dates&gt;&lt;year&gt;1997&lt;/year&gt;&lt;/dates&gt;&lt;publisher&gt;Springer&lt;/publisher&gt;&lt;urls&gt;&lt;/urls&gt;&lt;electronic-resource-num&gt;https://doi.org/10.1007/BFb0020217&lt;/electronic-resource-num&gt;&lt;/record&gt;&lt;/Cite&gt;&lt;/EndNote&gt;</w:instrText>
      </w:r>
      <w:r w:rsidR="00590199">
        <w:rPr>
          <w:rFonts w:eastAsia="Times New Roman"/>
          <w:lang w:eastAsia="en-GB"/>
        </w:rPr>
        <w:fldChar w:fldCharType="separate"/>
      </w:r>
      <w:r w:rsidR="00590199">
        <w:rPr>
          <w:rFonts w:eastAsia="Times New Roman"/>
          <w:noProof/>
          <w:lang w:eastAsia="en-GB"/>
        </w:rPr>
        <w:t>[38]</w:t>
      </w:r>
      <w:r w:rsidR="00590199">
        <w:rPr>
          <w:rFonts w:eastAsia="Times New Roman"/>
          <w:lang w:eastAsia="en-GB"/>
        </w:rPr>
        <w:fldChar w:fldCharType="end"/>
      </w:r>
      <w:r w:rsidR="009A1658">
        <w:rPr>
          <w:rFonts w:eastAsia="Times New Roman"/>
          <w:lang w:eastAsia="en-GB"/>
        </w:rPr>
        <w:t xml:space="preserve"> then facilitate the visualisation and exploration of covariation in the momenta-based shape data </w:t>
      </w:r>
      <w:r w:rsidR="00A91D99" w:rsidRPr="6A70A507">
        <w:rPr>
          <w:rFonts w:eastAsia="Times New Roman"/>
          <w:lang w:eastAsia="en-GB"/>
        </w:rPr>
        <w:fldChar w:fldCharType="begin"/>
      </w:r>
      <w:r w:rsidR="002F5782">
        <w:rPr>
          <w:rFonts w:eastAsia="Times New Roman"/>
          <w:lang w:eastAsia="en-GB"/>
        </w:rPr>
        <w:instrText xml:space="preserve"> ADDIN EN.CITE &lt;EndNote&gt;&lt;Cite&gt;&lt;Author&gt;Toussaint&lt;/Author&gt;&lt;Year&gt;2021&lt;/Year&gt;&lt;RecNum&gt;23&lt;/RecNum&gt;&lt;DisplayText&gt;[39]&lt;/DisplayText&gt;&lt;record&gt;&lt;rec-number&gt;23&lt;/rec-number&gt;&lt;foreign-keys&gt;&lt;key app="EN" db-id="stvxpdr5yrpspzes0zppeddup9p2da2vrpv9" timestamp="0"&gt;23&lt;/key&gt;&lt;/foreign-keys&gt;&lt;ref-type name="Journal Article"&gt;17&lt;/ref-type&gt;&lt;contributors&gt;&lt;authors&gt;&lt;author&gt;Toussaint, Nicolas&lt;/author&gt;&lt;author&gt;Redhead, Yushi&lt;/author&gt;&lt;author&gt;Vidal-García, Marta&lt;/author&gt;&lt;author&gt;Lo Vercio, Lucas&lt;/author&gt;&lt;author&gt;Liu, Wei&lt;/author&gt;&lt;author&gt;Fisher, Elizabeth M. C.&lt;/author&gt;&lt;author&gt;Hallgrímsson, Benedikt&lt;/author&gt;&lt;author&gt;Tybulewicz, Victor L. J.&lt;/author&gt;&lt;author&gt;Schnabel, Julia A.&lt;/author&gt;&lt;author&gt;Green, Jeremy B. A.&lt;/author&gt;&lt;/authors&gt;&lt;/contributors&gt;&lt;titles&gt;&lt;title&gt;A landmark-free morphometrics pipeline for high-resolution phenotyping: application to a mouse model of Down syndrome&lt;/title&gt;&lt;secondary-title&gt;Development&lt;/secondary-title&gt;&lt;/titles&gt;&lt;pages&gt;dev188631&lt;/pages&gt;&lt;volume&gt;148&lt;/volume&gt;&lt;number&gt;18&lt;/number&gt;&lt;dates&gt;&lt;year&gt;2021&lt;/year&gt;&lt;/dates&gt;&lt;publisher&gt;The Company of Biologists Ltd&lt;/publisher&gt;&lt;isbn&gt;0950-1991&lt;/isbn&gt;&lt;urls&gt;&lt;/urls&gt;&lt;electronic-resource-num&gt;https://doi.org/10.1242/dev.188631&lt;/electronic-resource-num&gt;&lt;/record&gt;&lt;/Cite&gt;&lt;/EndNote&gt;</w:instrText>
      </w:r>
      <w:r w:rsidR="00A91D99" w:rsidRPr="6A70A507">
        <w:rPr>
          <w:rFonts w:eastAsia="Times New Roman"/>
          <w:lang w:eastAsia="en-GB"/>
        </w:rPr>
        <w:fldChar w:fldCharType="separate"/>
      </w:r>
      <w:r w:rsidR="00A91D99">
        <w:rPr>
          <w:rFonts w:eastAsia="Times New Roman"/>
          <w:noProof/>
          <w:lang w:eastAsia="en-GB"/>
        </w:rPr>
        <w:t>[39]</w:t>
      </w:r>
      <w:r w:rsidR="00A91D99" w:rsidRPr="6A70A507">
        <w:rPr>
          <w:rFonts w:eastAsia="Times New Roman"/>
          <w:lang w:eastAsia="en-GB"/>
        </w:rPr>
        <w:fldChar w:fldCharType="end"/>
      </w:r>
      <w:r w:rsidR="0022393C" w:rsidRPr="0022393C">
        <w:rPr>
          <w:rFonts w:eastAsia="Times New Roman"/>
          <w:lang w:eastAsia="en-GB"/>
        </w:rPr>
        <w:t xml:space="preserve"> </w:t>
      </w:r>
      <w:r w:rsidR="0022393C" w:rsidRPr="6A70A507">
        <w:rPr>
          <w:rFonts w:eastAsia="Times New Roman"/>
          <w:lang w:eastAsia="en-GB"/>
        </w:rPr>
        <w:t>(see Materials and Methods for further details)</w:t>
      </w:r>
      <w:r w:rsidR="00A91D99">
        <w:rPr>
          <w:rFonts w:eastAsia="Times New Roman"/>
          <w:lang w:eastAsia="en-GB"/>
        </w:rPr>
        <w:t xml:space="preserve">. </w:t>
      </w:r>
    </w:p>
    <w:p w14:paraId="50345888" w14:textId="2CA45004" w:rsidR="008B735F" w:rsidRPr="0073290E" w:rsidRDefault="003969A6" w:rsidP="008B735F">
      <w:pPr>
        <w:spacing w:line="480" w:lineRule="auto"/>
      </w:pPr>
      <w:r w:rsidRPr="0073290E">
        <w:t xml:space="preserve">In this study, we compare estimates of shape variation produced by DAA, following </w:t>
      </w:r>
      <w:r>
        <w:t>an adaption of the</w:t>
      </w:r>
      <w:r w:rsidR="00254548">
        <w:t xml:space="preserve"> </w:t>
      </w:r>
      <w:r w:rsidR="00254548" w:rsidRPr="0073290E">
        <w:t xml:space="preserve">pipeline developed by Toussaint </w:t>
      </w:r>
      <w:r w:rsidR="00254548" w:rsidRPr="0073290E">
        <w:rPr>
          <w:i/>
        </w:rPr>
        <w:t xml:space="preserve">et al. </w:t>
      </w:r>
      <w:r w:rsidR="00254548" w:rsidRPr="0073290E">
        <w:fldChar w:fldCharType="begin"/>
      </w:r>
      <w:r w:rsidR="002F5782">
        <w:instrText xml:space="preserve"> ADDIN EN.CITE &lt;EndNote&gt;&lt;Cite ExcludeAuth="1"&gt;&lt;Author&gt;Toussaint&lt;/Author&gt;&lt;Year&gt;2021&lt;/Year&gt;&lt;RecNum&gt;23&lt;/RecNum&gt;&lt;DisplayText&gt;[39]&lt;/DisplayText&gt;&lt;record&gt;&lt;rec-number&gt;23&lt;/rec-number&gt;&lt;foreign-keys&gt;&lt;key app="EN" db-id="stvxpdr5yrpspzes0zppeddup9p2da2vrpv9" timestamp="0"&gt;23&lt;/key&gt;&lt;/foreign-keys&gt;&lt;ref-type name="Journal Article"&gt;17&lt;/ref-type&gt;&lt;contributors&gt;&lt;authors&gt;&lt;author&gt;Toussaint, Nicolas&lt;/author&gt;&lt;author&gt;Redhead, Yushi&lt;/author&gt;&lt;author&gt;Vidal-García, Marta&lt;/author&gt;&lt;author&gt;Lo Vercio, Lucas&lt;/author&gt;&lt;author&gt;Liu, Wei&lt;/author&gt;&lt;author&gt;Fisher, Elizabeth M. C.&lt;/author&gt;&lt;author&gt;Hallgrímsson, Benedikt&lt;/author&gt;&lt;author&gt;Tybulewicz, Victor L. J.&lt;/author&gt;&lt;author&gt;Schnabel, Julia A.&lt;/author&gt;&lt;author&gt;Green, Jeremy B. A.&lt;/author&gt;&lt;/authors&gt;&lt;/contributors&gt;&lt;titles&gt;&lt;title&gt;A landmark-free morphometrics pipeline for high-resolution phenotyping: application to a mouse model of Down syndrome&lt;/title&gt;&lt;secondary-title&gt;Development&lt;/secondary-title&gt;&lt;/titles&gt;&lt;pages&gt;dev188631&lt;/pages&gt;&lt;volume&gt;148&lt;/volume&gt;&lt;number&gt;18&lt;/number&gt;&lt;dates&gt;&lt;year&gt;2021&lt;/year&gt;&lt;/dates&gt;&lt;publisher&gt;The Company of Biologists Ltd&lt;/publisher&gt;&lt;isbn&gt;0950-1991&lt;/isbn&gt;&lt;urls&gt;&lt;/urls&gt;&lt;electronic-resource-num&gt;https://doi.org/10.1242/dev.188631&lt;/electronic-resource-num&gt;&lt;/record&gt;&lt;/Cite&gt;&lt;/EndNote&gt;</w:instrText>
      </w:r>
      <w:r w:rsidR="00254548" w:rsidRPr="0073290E">
        <w:fldChar w:fldCharType="separate"/>
      </w:r>
      <w:r w:rsidR="00254548">
        <w:rPr>
          <w:noProof/>
        </w:rPr>
        <w:t>[39]</w:t>
      </w:r>
      <w:r w:rsidR="00254548" w:rsidRPr="0073290E">
        <w:fldChar w:fldCharType="end"/>
      </w:r>
      <w:r w:rsidR="00534A78">
        <w:t>,</w:t>
      </w:r>
      <w:r w:rsidR="00254548" w:rsidRPr="0073290E">
        <w:t xml:space="preserve"> </w:t>
      </w:r>
      <w:r w:rsidR="00254548" w:rsidRPr="0073290E">
        <w:rPr>
          <w:rFonts w:eastAsia="Times New Roman"/>
          <w:lang w:eastAsia="en-GB"/>
        </w:rPr>
        <w:t xml:space="preserve">with those generated using </w:t>
      </w:r>
      <w:r w:rsidR="00254548" w:rsidRPr="0073290E">
        <w:t>manual landmarking and semi-landmarking techniques (hereafter referred to as manual landmarking for brevity). We compare the ability of each method to capture cranial shape across</w:t>
      </w:r>
      <w:r w:rsidR="00534A78">
        <w:t xml:space="preserve"> a broad and extensive dataset consisting of</w:t>
      </w:r>
      <w:r w:rsidR="00254548" w:rsidRPr="0073290E">
        <w:t xml:space="preserve"> 322 crown and stem placental mammals</w:t>
      </w:r>
      <w:r w:rsidR="00D304C4">
        <w:t xml:space="preserve"> </w:t>
      </w:r>
      <w:r w:rsidR="00D304C4">
        <w:fldChar w:fldCharType="begin"/>
      </w:r>
      <w:r w:rsidR="002F5782">
        <w:instrText xml:space="preserve"> ADDIN EN.CITE &lt;EndNote&gt;&lt;Cite&gt;&lt;Author&gt;Goswami&lt;/Author&gt;&lt;Year&gt;2022&lt;/Year&gt;&lt;RecNum&gt;173&lt;/RecNum&gt;&lt;DisplayText&gt;[40]&lt;/DisplayText&gt;&lt;record&gt;&lt;rec-number&gt;173&lt;/rec-number&gt;&lt;foreign-keys&gt;&lt;key app="EN" db-id="stvxpdr5yrpspzes0zppeddup9p2da2vrpv9" timestamp="0"&gt;173&lt;/key&gt;&lt;/foreign-keys&gt;&lt;ref-type name="Journal Article"&gt;17&lt;/ref-type&gt;&lt;contributors&gt;&lt;authors&gt;&lt;author&gt;Goswami, Anjali&lt;/author&gt;&lt;author&gt;Noirault, Eve&lt;/author&gt;&lt;author&gt;Coombs, Ellen J&lt;/author&gt;&lt;author&gt;Clavel, Julien&lt;/author&gt;&lt;author&gt;Fabre, Anne-Claire&lt;/author&gt;&lt;author&gt;Halliday, Thomas JD&lt;/author&gt;&lt;author&gt;Churchill, Morgan&lt;/author&gt;&lt;author&gt;Curtis, Abigail&lt;/author&gt;&lt;author&gt;Watanabe, Akinobu&lt;/author&gt;&lt;author&gt;Simmons, Nancy B&lt;/author&gt;&lt;/authors&gt;&lt;/contributors&gt;&lt;titles&gt;&lt;title&gt;Attenuated evolution of mammals through the Cenozoic&lt;/title&gt;&lt;secondary-title&gt;Science&lt;/secondary-title&gt;&lt;/titles&gt;&lt;periodical&gt;&lt;full-title&gt;Science&lt;/full-title&gt;&lt;/periodical&gt;&lt;pages&gt;377-383&lt;/pages&gt;&lt;volume&gt;378&lt;/volume&gt;&lt;number&gt;6618&lt;/number&gt;&lt;dates&gt;&lt;year&gt;2022&lt;/year&gt;&lt;/dates&gt;&lt;isbn&gt;0036-8075&lt;/isbn&gt;&lt;urls&gt;&lt;/urls&gt;&lt;electronic-resource-num&gt;https://doi.org/10.1126/science.abm7525&lt;/electronic-resource-num&gt;&lt;/record&gt;&lt;/Cite&gt;&lt;/EndNote&gt;</w:instrText>
      </w:r>
      <w:r w:rsidR="00D304C4">
        <w:fldChar w:fldCharType="separate"/>
      </w:r>
      <w:r w:rsidR="00D304C4">
        <w:rPr>
          <w:noProof/>
        </w:rPr>
        <w:t>[40]</w:t>
      </w:r>
      <w:r w:rsidR="00D304C4">
        <w:fldChar w:fldCharType="end"/>
      </w:r>
      <w:r w:rsidR="00254548" w:rsidRPr="0073290E">
        <w:t>,</w:t>
      </w:r>
      <w:r w:rsidR="00254548">
        <w:t xml:space="preserve"> examining the influence of mesh modalities, a</w:t>
      </w:r>
      <w:r w:rsidR="00C41202">
        <w:t>t</w:t>
      </w:r>
      <w:r w:rsidR="00254548">
        <w:t>las selection and the kernel width parameter on the results and the correlation between the two methods. Our comparison employs, Euclidean distances</w:t>
      </w:r>
      <w:r w:rsidR="00D516A3">
        <w:t xml:space="preserve"> </w:t>
      </w:r>
      <w:r w:rsidR="00D516A3" w:rsidRPr="0073290E">
        <w:fldChar w:fldCharType="begin"/>
      </w:r>
      <w:r w:rsidR="002F5782">
        <w:instrText xml:space="preserve"> ADDIN EN.CITE &lt;EndNote&gt;&lt;Cite&gt;&lt;Author&gt;Danielsson&lt;/Author&gt;&lt;Year&gt;1980&lt;/Year&gt;&lt;RecNum&gt;304&lt;/RecNum&gt;&lt;DisplayText&gt;[41]&lt;/DisplayText&gt;&lt;record&gt;&lt;rec-number&gt;304&lt;/rec-number&gt;&lt;foreign-keys&gt;&lt;key app="EN" db-id="stvxpdr5yrpspzes0zppeddup9p2da2vrpv9" timestamp="1726859053"&gt;304&lt;/key&gt;&lt;/foreign-keys&gt;&lt;ref-type name="Journal Article"&gt;17&lt;/ref-type&gt;&lt;contributors&gt;&lt;authors&gt;&lt;author&gt;Danielsson, Per-Erik&lt;/author&gt;&lt;/authors&gt;&lt;/contributors&gt;&lt;titles&gt;&lt;title&gt;Euclidean distance mapping&lt;/title&gt;&lt;secondary-title&gt;Computer Graphics and image processing&lt;/secondary-title&gt;&lt;/titles&gt;&lt;periodical&gt;&lt;full-title&gt;Computer Graphics and image processing&lt;/full-title&gt;&lt;/periodical&gt;&lt;pages&gt;227-248&lt;/pages&gt;&lt;volume&gt;14&lt;/volume&gt;&lt;number&gt;3&lt;/number&gt;&lt;dates&gt;&lt;year&gt;1980&lt;/year&gt;&lt;/dates&gt;&lt;isbn&gt;0146-664X&lt;/isbn&gt;&lt;urls&gt;&lt;/urls&gt;&lt;electronic-resource-num&gt;https://doi.org/10.1016/0146-664X(80)90054-4&lt;/electronic-resource-num&gt;&lt;/record&gt;&lt;/Cite&gt;&lt;/EndNote&gt;</w:instrText>
      </w:r>
      <w:r w:rsidR="00D516A3" w:rsidRPr="0073290E">
        <w:fldChar w:fldCharType="separate"/>
      </w:r>
      <w:r w:rsidR="00D304C4">
        <w:rPr>
          <w:noProof/>
        </w:rPr>
        <w:t>[41]</w:t>
      </w:r>
      <w:r w:rsidR="00D516A3" w:rsidRPr="0073290E">
        <w:fldChar w:fldCharType="end"/>
      </w:r>
      <w:r w:rsidR="00254548">
        <w:t>, the Mantel test</w:t>
      </w:r>
      <w:r w:rsidR="00A72F32">
        <w:t xml:space="preserve"> </w:t>
      </w:r>
      <w:r w:rsidR="00A72F32">
        <w:fldChar w:fldCharType="begin"/>
      </w:r>
      <w:r w:rsidR="00D304C4">
        <w:instrText xml:space="preserve"> ADDIN EN.CITE &lt;EndNote&gt;&lt;Cite&gt;&lt;Author&gt;Mantel&lt;/Author&gt;&lt;Year&gt;1967&lt;/Year&gt;&lt;RecNum&gt;350&lt;/RecNum&gt;&lt;DisplayText&gt;[42, 43]&lt;/DisplayText&gt;&lt;record&gt;&lt;rec-number&gt;350&lt;/rec-number&gt;&lt;foreign-keys&gt;&lt;key app="EN" db-id="tasefzw5b2p9euepe2cpwzvqsztr2dd9f5tz" timestamp="1739291547"&gt;350&lt;/key&gt;&lt;/foreign-keys&gt;&lt;ref-type name="Journal Article"&gt;17&lt;/ref-type&gt;&lt;contributors&gt;&lt;authors&gt;&lt;author&gt;Mantel, Nathan&lt;/author&gt;&lt;/authors&gt;&lt;/contributors&gt;&lt;titles&gt;&lt;title&gt;The detection of disease clustering and a generalized regression approach&lt;/title&gt;&lt;secondary-title&gt;Cancer research&lt;/secondary-title&gt;&lt;/titles&gt;&lt;periodical&gt;&lt;full-title&gt;Cancer research&lt;/full-title&gt;&lt;/periodical&gt;&lt;pages&gt;209-220&lt;/pages&gt;&lt;volume&gt;27&lt;/volume&gt;&lt;number&gt;2_Part_1&lt;/number&gt;&lt;dates&gt;&lt;year&gt;1967&lt;/year&gt;&lt;/dates&gt;&lt;isbn&gt;0008-5472&lt;/isbn&gt;&lt;urls&gt;&lt;/urls&gt;&lt;/record&gt;&lt;/Cite&gt;&lt;Cite&gt;&lt;Author&gt;Legendre&lt;/Author&gt;&lt;Year&gt;2010&lt;/Year&gt;&lt;RecNum&gt;359&lt;/RecNum&gt;&lt;record&gt;&lt;rec-number&gt;359&lt;/rec-number&gt;&lt;foreign-keys&gt;&lt;key app="EN" db-id="tasefzw5b2p9euepe2cpwzvqsztr2dd9f5tz" timestamp="1739482443"&gt;359&lt;/key&gt;&lt;/foreign-keys&gt;&lt;ref-type name="Journal Article"&gt;17&lt;/ref-type&gt;&lt;contributors&gt;&lt;authors&gt;&lt;author&gt;Legendre, Pierre&lt;/author&gt;&lt;author&gt;FORTIN, MARIE</w:instrText>
      </w:r>
      <w:r w:rsidR="00D304C4">
        <w:rPr>
          <w:rFonts w:ascii="Cambria Math" w:hAnsi="Cambria Math" w:cs="Cambria Math"/>
        </w:rPr>
        <w:instrText>‐</w:instrText>
      </w:r>
      <w:r w:rsidR="00D304C4">
        <w:instrText>JOSÉE&lt;/author&gt;&lt;/authors&gt;&lt;/contributors&gt;&lt;titles&gt;&lt;title&gt;Comparison of the Mantel test and alternative approaches for detecting complex multivariate relationships in the spatial analysis of genetic data&lt;/title&gt;&lt;secondary-title&gt;Molecular ecology resources&lt;/secondary-title&gt;&lt;/titles&gt;&lt;periodical&gt;&lt;full-title&gt;Molecular ecology resources&lt;/full-title&gt;&lt;/periodical&gt;&lt;pages&gt;831-844&lt;/pages&gt;&lt;volume&gt;10&lt;/volume&gt;&lt;number&gt;5&lt;/number&gt;&lt;dates&gt;&lt;year&gt;2010&lt;/year&gt;&lt;/dates&gt;&lt;isbn&gt;1755-098X&lt;/isbn&gt;&lt;urls&gt;&lt;/urls&gt;&lt;electronic-resource-num&gt;https://doi.org/10.1111/j.1755-0998.2010.02866.x&lt;/electronic-resource-num&gt;&lt;/record&gt;&lt;/Cite&gt;&lt;/EndNote&gt;</w:instrText>
      </w:r>
      <w:r w:rsidR="00A72F32">
        <w:fldChar w:fldCharType="separate"/>
      </w:r>
      <w:r w:rsidR="00D304C4">
        <w:rPr>
          <w:noProof/>
        </w:rPr>
        <w:t>[42, 43]</w:t>
      </w:r>
      <w:r w:rsidR="00A72F32">
        <w:fldChar w:fldCharType="end"/>
      </w:r>
      <w:r w:rsidR="00254548">
        <w:t xml:space="preserve">, </w:t>
      </w:r>
      <w:r w:rsidR="006F4C4B" w:rsidRPr="0073290E">
        <w:t>and</w:t>
      </w:r>
      <w:r w:rsidR="002F55DE">
        <w:t xml:space="preserve"> the</w:t>
      </w:r>
      <w:r w:rsidR="006F4C4B" w:rsidRPr="0073290E">
        <w:t xml:space="preserve"> </w:t>
      </w:r>
      <w:r w:rsidR="006F4C4B" w:rsidRPr="0073290E">
        <w:rPr>
          <w:rFonts w:eastAsiaTheme="minorEastAsia"/>
        </w:rPr>
        <w:t xml:space="preserve">PROcrustean randomisation TEST (PROTEST) </w:t>
      </w:r>
      <w:r w:rsidR="006F4C4B" w:rsidRPr="0073290E">
        <w:rPr>
          <w:rFonts w:eastAsiaTheme="minorEastAsia"/>
        </w:rPr>
        <w:fldChar w:fldCharType="begin"/>
      </w:r>
      <w:r w:rsidR="002F5782">
        <w:rPr>
          <w:rFonts w:eastAsiaTheme="minorEastAsia"/>
        </w:rPr>
        <w:instrText xml:space="preserve"> ADDIN EN.CITE &lt;EndNote&gt;&lt;Cite&gt;&lt;Author&gt;Jackson&lt;/Author&gt;&lt;Year&gt;1995&lt;/Year&gt;&lt;RecNum&gt;305&lt;/RecNum&gt;&lt;DisplayText&gt;[44, 45]&lt;/DisplayText&gt;&lt;record&gt;&lt;rec-number&gt;305&lt;/rec-number&gt;&lt;foreign-keys&gt;&lt;key app="EN" db-id="stvxpdr5yrpspzes0zppeddup9p2da2vrpv9" timestamp="1727095887"&gt;305&lt;/key&gt;&lt;/foreign-keys&gt;&lt;ref-type name="Journal Article"&gt;17&lt;/ref-type&gt;&lt;contributors&gt;&lt;authors&gt;&lt;author&gt;Jackson, Donald A&lt;/author&gt;&lt;/authors&gt;&lt;/contributors&gt;&lt;titles&gt;&lt;title&gt;PROTEST: a PROcrustean randomization TEST of community environment concordance&lt;/title&gt;&lt;secondary-title&gt;Ecoscience&lt;/secondary-title&gt;&lt;/titles&gt;&lt;periodical&gt;&lt;full-title&gt;Ecoscience&lt;/full-title&gt;&lt;/periodical&gt;&lt;pages&gt;297-303&lt;/pages&gt;&lt;volume&gt;2&lt;/volume&gt;&lt;number&gt;3&lt;/number&gt;&lt;dates&gt;&lt;year&gt;1995&lt;/year&gt;&lt;/dates&gt;&lt;isbn&gt;1195-6860&lt;/isbn&gt;&lt;urls&gt;&lt;/urls&gt;&lt;electronic-resource-num&gt;https://doi.org/10.1080/11956860.1995.11682297&lt;/electronic-resource-num&gt;&lt;/record&gt;&lt;/Cite&gt;&lt;Cite&gt;&lt;Author&gt;Peres-Neto&lt;/Author&gt;&lt;Year&gt;2001&lt;/Year&gt;&lt;RecNum&gt;307&lt;/RecNum&gt;&lt;record&gt;&lt;rec-number&gt;307&lt;/rec-number&gt;&lt;foreign-keys&gt;&lt;key app="EN" db-id="stvxpdr5yrpspzes0zppeddup9p2da2vrpv9" timestamp="1727095967"&gt;307&lt;/key&gt;&lt;/foreign-keys&gt;&lt;ref-type name="Journal Article"&gt;17&lt;/ref-type&gt;&lt;contributors&gt;&lt;authors&gt;&lt;author&gt;Peres-Neto, Pedro R&lt;/author&gt;&lt;author&gt;Jackson, Donald A&lt;/author&gt;&lt;/authors&gt;&lt;/contributors&gt;&lt;titles&gt;&lt;title&gt;How well do multivariate data sets match? The advantages of a Procrustean superimposition approach over the Mantel test&lt;/title&gt;&lt;secondary-title&gt;Oecologia&lt;/secondary-title&gt;&lt;/titles&gt;&lt;periodical&gt;&lt;full-title&gt;Oecologia&lt;/full-title&gt;&lt;/periodical&gt;&lt;pages&gt;169-178&lt;/pages&gt;&lt;volume&gt;129&lt;/volume&gt;&lt;dates&gt;&lt;year&gt;2001&lt;/year&gt;&lt;/dates&gt;&lt;isbn&gt;0029-8549&lt;/isbn&gt;&lt;urls&gt;&lt;/urls&gt;&lt;electronic-resource-num&gt;https://doi.org/10.1007/s004420100720&lt;/electronic-resource-num&gt;&lt;/record&gt;&lt;/Cite&gt;&lt;/EndNote&gt;</w:instrText>
      </w:r>
      <w:r w:rsidR="006F4C4B" w:rsidRPr="0073290E">
        <w:rPr>
          <w:rFonts w:eastAsiaTheme="minorEastAsia"/>
        </w:rPr>
        <w:fldChar w:fldCharType="separate"/>
      </w:r>
      <w:r w:rsidR="00D304C4">
        <w:rPr>
          <w:rFonts w:eastAsiaTheme="minorEastAsia"/>
          <w:noProof/>
        </w:rPr>
        <w:t>[44, 45]</w:t>
      </w:r>
      <w:r w:rsidR="006F4C4B" w:rsidRPr="0073290E">
        <w:rPr>
          <w:rFonts w:eastAsiaTheme="minorEastAsia"/>
        </w:rPr>
        <w:fldChar w:fldCharType="end"/>
      </w:r>
      <w:r w:rsidR="006F4C4B" w:rsidRPr="0073290E">
        <w:rPr>
          <w:rFonts w:eastAsiaTheme="minorEastAsia"/>
        </w:rPr>
        <w:t xml:space="preserve"> </w:t>
      </w:r>
      <w:r w:rsidR="006F4C4B" w:rsidRPr="0073290E">
        <w:t>to quantify the overall correlation between shape matrices</w:t>
      </w:r>
      <w:r w:rsidR="006F4C4B">
        <w:t>. Heatmaps based on thin-plate spline deformatio</w:t>
      </w:r>
      <w:r w:rsidR="00F0088D">
        <w:t xml:space="preserve">ns and Euclidean distance measures </w:t>
      </w:r>
      <w:r w:rsidR="0095311B" w:rsidRPr="0073290E">
        <w:rPr>
          <w:rFonts w:eastAsiaTheme="minorEastAsia"/>
        </w:rPr>
        <w:fldChar w:fldCharType="begin"/>
      </w:r>
      <w:r w:rsidR="002F5782">
        <w:rPr>
          <w:rFonts w:eastAsiaTheme="minorEastAsia"/>
        </w:rPr>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rsidR="0095311B" w:rsidRPr="0073290E">
        <w:rPr>
          <w:rFonts w:eastAsiaTheme="minorEastAsia"/>
        </w:rPr>
        <w:fldChar w:fldCharType="separate"/>
      </w:r>
      <w:r w:rsidR="00D304C4">
        <w:rPr>
          <w:rFonts w:eastAsiaTheme="minorEastAsia"/>
          <w:noProof/>
        </w:rPr>
        <w:t>[46]</w:t>
      </w:r>
      <w:r w:rsidR="0095311B" w:rsidRPr="0073290E">
        <w:rPr>
          <w:rFonts w:eastAsiaTheme="minorEastAsia"/>
        </w:rPr>
        <w:fldChar w:fldCharType="end"/>
      </w:r>
      <w:r w:rsidR="002F55DE">
        <w:rPr>
          <w:rFonts w:eastAsiaTheme="minorEastAsia"/>
        </w:rPr>
        <w:t xml:space="preserve"> are then used</w:t>
      </w:r>
      <w:r w:rsidR="00F8357F">
        <w:rPr>
          <w:rFonts w:eastAsiaTheme="minorEastAsia"/>
        </w:rPr>
        <w:t xml:space="preserve"> to identify how shape is captured differently using each method. Additionally, we investigate how the selection of method and </w:t>
      </w:r>
      <w:r w:rsidR="008B735F" w:rsidRPr="0073290E">
        <w:rPr>
          <w:rFonts w:eastAsiaTheme="minorEastAsia"/>
        </w:rPr>
        <w:t>kernel width i</w:t>
      </w:r>
      <w:r w:rsidR="008B735F" w:rsidRPr="0073290E">
        <w:t>nfluence downstream macroevolutionary analyses, including the estimation of</w:t>
      </w:r>
      <w:r w:rsidR="008B735F" w:rsidRPr="0073290E">
        <w:rPr>
          <w:rFonts w:eastAsiaTheme="minorEastAsia"/>
        </w:rPr>
        <w:t xml:space="preserve"> phylogenetic signal, morphological disparity and evolutionary rates </w:t>
      </w:r>
      <w:r w:rsidR="008B735F" w:rsidRPr="0073290E">
        <w:rPr>
          <w:rFonts w:eastAsiaTheme="minorEastAsia"/>
        </w:rPr>
        <w:fldChar w:fldCharType="begin"/>
      </w:r>
      <w:r w:rsidR="002F5782">
        <w:rPr>
          <w:rFonts w:eastAsiaTheme="minorEastAsia"/>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heme="minorEastAsia" w:hAnsi="Cambria Math" w:cs="Cambria Math"/>
        </w:rPr>
        <w:instrText>‐</w:instrText>
      </w:r>
      <w:r w:rsidR="002F5782">
        <w:rPr>
          <w:rFonts w:eastAsiaTheme="minorEastAsia"/>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sidR="008B735F" w:rsidRPr="0073290E">
        <w:rPr>
          <w:rFonts w:eastAsiaTheme="minorEastAsia"/>
        </w:rPr>
        <w:fldChar w:fldCharType="separate"/>
      </w:r>
      <w:r w:rsidR="00D304C4">
        <w:rPr>
          <w:rFonts w:eastAsiaTheme="minorEastAsia"/>
          <w:noProof/>
        </w:rPr>
        <w:t>[47]</w:t>
      </w:r>
      <w:r w:rsidR="008B735F" w:rsidRPr="0073290E">
        <w:rPr>
          <w:rFonts w:eastAsiaTheme="minorEastAsia"/>
        </w:rPr>
        <w:fldChar w:fldCharType="end"/>
      </w:r>
      <w:r w:rsidR="008B735F" w:rsidRPr="0073290E">
        <w:rPr>
          <w:rFonts w:eastAsiaTheme="minorEastAsia"/>
        </w:rPr>
        <w:t xml:space="preserve">. Together these metrics provide </w:t>
      </w:r>
      <w:r w:rsidR="008B735F" w:rsidRPr="0073290E">
        <w:t xml:space="preserve">a comprehensive evaluation </w:t>
      </w:r>
      <w:r w:rsidR="008B735F" w:rsidRPr="0073290E">
        <w:lastRenderedPageBreak/>
        <w:t xml:space="preserve">of how landmark-free approaches like DAA compare </w:t>
      </w:r>
      <w:r w:rsidR="008B735F">
        <w:t>with</w:t>
      </w:r>
      <w:r w:rsidR="008B735F" w:rsidRPr="0073290E">
        <w:t xml:space="preserve"> traditional manual landmarking methods. </w:t>
      </w:r>
    </w:p>
    <w:p w14:paraId="1C54B13E" w14:textId="437239EB" w:rsidR="003969A6" w:rsidRDefault="00313B2F" w:rsidP="007F5FF3">
      <w:pPr>
        <w:spacing w:line="480" w:lineRule="auto"/>
      </w:pPr>
      <w:r w:rsidRPr="0073290E">
        <w:t xml:space="preserve">Furthermore, as mesh topology has been suggested to influence the performance of landmark-free analyses </w:t>
      </w:r>
      <w:r w:rsidRPr="0073290E">
        <w:fldChar w:fldCharType="begin"/>
      </w:r>
      <w:r w:rsidR="002F5782">
        <w:instrText xml:space="preserve"> ADDIN EN.CITE &lt;EndNote&gt;&lt;Cite&gt;&lt;Author&gt;Koehl&lt;/Author&gt;&lt;Year&gt;2013&lt;/Year&gt;&lt;RecNum&gt;228&lt;/RecNum&gt;&lt;DisplayText&gt;[48, 49]&lt;/DisplayText&gt;&lt;record&gt;&lt;rec-number&gt;228&lt;/rec-number&gt;&lt;foreign-keys&gt;&lt;key app="EN" db-id="stvxpdr5yrpspzes0zppeddup9p2da2vrpv9" timestamp="0"&gt;228&lt;/key&gt;&lt;/foreign-keys&gt;&lt;ref-type name="Journal Article"&gt;17&lt;/ref-type&gt;&lt;contributors&gt;&lt;authors&gt;&lt;author&gt;Koehl, Patrice&lt;/author&gt;&lt;author&gt;Hass, Joel&lt;/author&gt;&lt;/authors&gt;&lt;/contributors&gt;&lt;titles&gt;&lt;title&gt;Automatic alignment of genus-zero surfaces&lt;/title&gt;&lt;secondary-title&gt;IEEE transactions on pattern analysis and machine intelligence&lt;/secondary-title&gt;&lt;/titles&gt;&lt;pages&gt;466-478&lt;/pages&gt;&lt;volume&gt;36&lt;/volume&gt;&lt;number&gt;3&lt;/number&gt;&lt;dates&gt;&lt;year&gt;2013&lt;/year&gt;&lt;/dates&gt;&lt;isbn&gt;0162-8828&lt;/isbn&gt;&lt;urls&gt;&lt;/urls&gt;&lt;electronic-resource-num&gt;https://doi.org/10.1109/TPAMI.2013.139&lt;/electronic-resource-num&gt;&lt;/record&gt;&lt;/Cite&gt;&lt;Cite&gt;&lt;Author&gt;Koehl&lt;/Author&gt;&lt;Year&gt;2015&lt;/Year&gt;&lt;RecNum&gt;227&lt;/RecNum&gt;&lt;record&gt;&lt;rec-number&gt;227&lt;/rec-number&gt;&lt;foreign-keys&gt;&lt;key app="EN" db-id="stvxpdr5yrpspzes0zppeddup9p2da2vrpv9" timestamp="0"&gt;227&lt;/key&gt;&lt;/foreign-keys&gt;&lt;ref-type name="Journal Article"&gt;17&lt;/ref-type&gt;&lt;contributors&gt;&lt;authors&gt;&lt;author&gt;Koehl, Patrice&lt;/author&gt;&lt;author&gt;Hass, Joel&lt;/author&gt;&lt;/authors&gt;&lt;/contributors&gt;&lt;titles&gt;&lt;title&gt;Landmark-free geometric methods in biological shape analysis&lt;/title&gt;&lt;secondary-title&gt;Journal of The Royal Society Interface&lt;/secondary-title&gt;&lt;/titles&gt;&lt;pages&gt;20150795&lt;/pages&gt;&lt;volume&gt;12&lt;/volume&gt;&lt;number&gt;113&lt;/number&gt;&lt;dates&gt;&lt;year&gt;2015&lt;/year&gt;&lt;/dates&gt;&lt;isbn&gt;1742-5689&lt;/isbn&gt;&lt;urls&gt;&lt;/urls&gt;&lt;electronic-resource-num&gt;https://doi.org/10.1098/rsif.2015.0795&lt;/electronic-resource-num&gt;&lt;/record&gt;&lt;/Cite&gt;&lt;/EndNote&gt;</w:instrText>
      </w:r>
      <w:r w:rsidRPr="0073290E">
        <w:fldChar w:fldCharType="separate"/>
      </w:r>
      <w:r w:rsidR="00D304C4">
        <w:rPr>
          <w:noProof/>
        </w:rPr>
        <w:t>[48, 49]</w:t>
      </w:r>
      <w:r w:rsidRPr="0073290E">
        <w:fldChar w:fldCharType="end"/>
      </w:r>
      <w:r w:rsidRPr="0073290E">
        <w:t>, we assess the impact of using</w:t>
      </w:r>
      <w:r w:rsidR="003F683B">
        <w:t xml:space="preserve"> </w:t>
      </w:r>
      <w:r w:rsidRPr="0073290E">
        <w:t>both open and closed meshes (mixed modalities) generated from computed tomography (CT) and surface scanning, respectively in the same DAA (referred to as “Aligned-only”). Upon detecting an effect, we introduce the use of the “Poisson” mesh (</w:t>
      </w:r>
      <w:r w:rsidR="003F683B">
        <w:t>F</w:t>
      </w:r>
      <w:r w:rsidRPr="0073290E">
        <w:t>ig</w:t>
      </w:r>
      <w:r w:rsidR="0080161F">
        <w:t>ure</w:t>
      </w:r>
      <w:r w:rsidRPr="0073290E">
        <w:t xml:space="preserve"> 1) generated using Poisson surface reconstruction </w:t>
      </w:r>
      <w:r w:rsidRPr="0073290E">
        <w:fldChar w:fldCharType="begin"/>
      </w:r>
      <w:r w:rsidR="002F5782">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rsidRPr="0073290E">
        <w:fldChar w:fldCharType="separate"/>
      </w:r>
      <w:r w:rsidR="00D304C4">
        <w:rPr>
          <w:noProof/>
        </w:rPr>
        <w:t>[50]</w:t>
      </w:r>
      <w:r w:rsidRPr="0073290E">
        <w:fldChar w:fldCharType="end"/>
      </w:r>
      <w:r w:rsidRPr="0073290E">
        <w:t xml:space="preserve">, which creates watertight, closed meshes as a solution to overcome the issues of mixed modality datasets. </w:t>
      </w:r>
      <w:r>
        <w:t xml:space="preserve">Our comparative analyses capture the effects of all these </w:t>
      </w:r>
      <w:r w:rsidR="00E42098">
        <w:t xml:space="preserve">aspects </w:t>
      </w:r>
      <w:r>
        <w:t xml:space="preserve">to provide a clear understanding of the considerations and potential utility of this approach for diverse applications.  </w:t>
      </w:r>
    </w:p>
    <w:p w14:paraId="39FA4733" w14:textId="59237C4B" w:rsidR="00D04DD8" w:rsidRDefault="00D04DD8" w:rsidP="007F5FF3">
      <w:pPr>
        <w:spacing w:line="480" w:lineRule="auto"/>
        <w:rPr>
          <w:b/>
          <w:bCs/>
        </w:rPr>
      </w:pPr>
      <w:r>
        <w:rPr>
          <w:b/>
          <w:bCs/>
        </w:rPr>
        <w:t xml:space="preserve">Results </w:t>
      </w:r>
    </w:p>
    <w:p w14:paraId="6A8BCBA9" w14:textId="46D6C1C0" w:rsidR="002F68BD" w:rsidRDefault="002F68BD" w:rsidP="007F5FF3">
      <w:pPr>
        <w:spacing w:line="480" w:lineRule="auto"/>
        <w:rPr>
          <w:b/>
          <w:bCs/>
        </w:rPr>
      </w:pPr>
      <w:r>
        <w:rPr>
          <w:b/>
          <w:bCs/>
        </w:rPr>
        <w:t xml:space="preserve">Comparison of Initial Template Selection on Atlas Generation </w:t>
      </w:r>
    </w:p>
    <w:p w14:paraId="4F30E39E" w14:textId="2E5DFAB2" w:rsidR="00A56A40" w:rsidRDefault="00E87045" w:rsidP="002A5725">
      <w:pPr>
        <w:spacing w:line="480" w:lineRule="auto"/>
      </w:pPr>
      <w:r>
        <w:t xml:space="preserve">Before extensively performing DAA, an initial template </w:t>
      </w:r>
      <w:r w:rsidR="00621E35">
        <w:t xml:space="preserve">for the </w:t>
      </w:r>
      <w:r>
        <w:t>atlas</w:t>
      </w:r>
      <w:r w:rsidR="00621E35">
        <w:t xml:space="preserve"> generation process</w:t>
      </w:r>
      <w:r>
        <w:t xml:space="preserve"> must be selected</w:t>
      </w:r>
      <w:r w:rsidR="00F16613">
        <w:t xml:space="preserve">. </w:t>
      </w:r>
      <w:r w:rsidR="0024589A">
        <w:t xml:space="preserve">As this choice could influence the results </w:t>
      </w:r>
      <w:r w:rsidR="0024589A">
        <w:rPr>
          <w:bCs/>
        </w:rPr>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rPr>
          <w:bCs/>
        </w:rPr>
        <w:instrText xml:space="preserve"> ADDIN EN.CITE </w:instrText>
      </w:r>
      <w:r w:rsidR="00D304C4">
        <w:rPr>
          <w:bCs/>
        </w:rPr>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rPr>
          <w:bCs/>
        </w:rPr>
        <w:instrText xml:space="preserve"> ADDIN EN.CITE.DATA </w:instrText>
      </w:r>
      <w:r w:rsidR="00D304C4">
        <w:rPr>
          <w:bCs/>
        </w:rPr>
      </w:r>
      <w:r w:rsidR="00D304C4">
        <w:rPr>
          <w:bCs/>
        </w:rPr>
        <w:fldChar w:fldCharType="end"/>
      </w:r>
      <w:r w:rsidR="0024589A">
        <w:rPr>
          <w:bCs/>
        </w:rPr>
      </w:r>
      <w:r w:rsidR="0024589A">
        <w:rPr>
          <w:bCs/>
        </w:rPr>
        <w:fldChar w:fldCharType="separate"/>
      </w:r>
      <w:r w:rsidR="00D304C4">
        <w:rPr>
          <w:bCs/>
          <w:noProof/>
        </w:rPr>
        <w:t>[51-53]</w:t>
      </w:r>
      <w:r w:rsidR="0024589A">
        <w:rPr>
          <w:bCs/>
        </w:rPr>
        <w:fldChar w:fldCharType="end"/>
      </w:r>
      <w:r w:rsidR="0024589A">
        <w:t>, we test</w:t>
      </w:r>
      <w:r w:rsidR="008B2DAD">
        <w:t xml:space="preserve">ed multiple </w:t>
      </w:r>
      <w:r w:rsidR="00726877">
        <w:t xml:space="preserve">initial </w:t>
      </w:r>
      <w:r w:rsidR="008B2DAD">
        <w:t>templates based o</w:t>
      </w:r>
      <w:r w:rsidR="005E3B78">
        <w:t xml:space="preserve">n the results of the manual landmarking analysis (see Materials and Methods). </w:t>
      </w:r>
      <w:r w:rsidR="0050085E">
        <w:t>O</w:t>
      </w:r>
      <w:r w:rsidR="002A5725">
        <w:t xml:space="preserve">ur analysis indicated that </w:t>
      </w:r>
      <w:r w:rsidR="00AF354A">
        <w:t>initial template</w:t>
      </w:r>
      <w:r w:rsidR="002A5725">
        <w:t xml:space="preserve"> selection had a minimal overall impact on shape predictions (Additional File, Figures A1 and A2</w:t>
      </w:r>
      <w:r w:rsidR="001D1643">
        <w:t>, Data A1-</w:t>
      </w:r>
      <w:r w:rsidR="00B40A2D">
        <w:t>3</w:t>
      </w:r>
      <w:r w:rsidR="002A5725">
        <w:t>). Using a fixed kernel width of 20.0 mm, we found that the results obtained from different templates were highly correlated</w:t>
      </w:r>
      <w:r w:rsidR="0050085E">
        <w:t xml:space="preserve">, with </w:t>
      </w:r>
      <w:r w:rsidR="002A5725">
        <w:t xml:space="preserve">the </w:t>
      </w:r>
      <w:r w:rsidR="002A5725" w:rsidRPr="0050085E">
        <w:rPr>
          <w:i/>
          <w:iCs/>
        </w:rPr>
        <w:t>Arctictis binturong</w:t>
      </w:r>
      <w:r w:rsidR="002A5725">
        <w:t xml:space="preserve"> </w:t>
      </w:r>
      <w:r w:rsidR="00AF354A">
        <w:t>template</w:t>
      </w:r>
      <w:r w:rsidR="002A5725">
        <w:t xml:space="preserve"> show</w:t>
      </w:r>
      <w:r w:rsidR="0050085E">
        <w:t>ing</w:t>
      </w:r>
      <w:r w:rsidR="002A5725">
        <w:t xml:space="preserve"> a strong and significant correlation with both the </w:t>
      </w:r>
      <w:r w:rsidR="002A5725" w:rsidRPr="0050085E">
        <w:rPr>
          <w:i/>
          <w:iCs/>
        </w:rPr>
        <w:t>Cacajao calvus</w:t>
      </w:r>
      <w:r w:rsidR="002A5725">
        <w:t xml:space="preserve"> (R² = 0.957, p &lt; 0.05) and </w:t>
      </w:r>
      <w:r w:rsidR="002A5725" w:rsidRPr="0050085E">
        <w:rPr>
          <w:i/>
          <w:iCs/>
        </w:rPr>
        <w:t>Schizodelphis morckhoviensis</w:t>
      </w:r>
      <w:r w:rsidR="002A5725">
        <w:t xml:space="preserve"> (R² = 0.801, p &lt; 0.05) atlases (Figure A2).</w:t>
      </w:r>
    </w:p>
    <w:p w14:paraId="07140B67" w14:textId="15C96DD6" w:rsidR="00844FD1" w:rsidRDefault="00621E35" w:rsidP="00E97ABC">
      <w:pPr>
        <w:spacing w:line="480" w:lineRule="auto"/>
      </w:pPr>
      <w:r>
        <w:lastRenderedPageBreak/>
        <w:t>Any</w:t>
      </w:r>
      <w:r w:rsidR="002A5725">
        <w:t xml:space="preserve"> differences were primarily attributed to the varying number of control points generated by each template: </w:t>
      </w:r>
      <w:r w:rsidR="002A5725" w:rsidRPr="0060363D">
        <w:rPr>
          <w:i/>
          <w:iCs/>
        </w:rPr>
        <w:t>A. binturong</w:t>
      </w:r>
      <w:r w:rsidR="002A5725">
        <w:t xml:space="preserve"> yielded 270 control points, </w:t>
      </w:r>
      <w:r w:rsidR="002A5725" w:rsidRPr="0060363D">
        <w:rPr>
          <w:i/>
          <w:iCs/>
        </w:rPr>
        <w:t>C. calvus</w:t>
      </w:r>
      <w:r w:rsidR="002A5725">
        <w:t xml:space="preserve"> 420 control points, and </w:t>
      </w:r>
      <w:r w:rsidR="002A5725" w:rsidRPr="0060363D">
        <w:rPr>
          <w:i/>
          <w:iCs/>
        </w:rPr>
        <w:t xml:space="preserve">S. morckhoviensis </w:t>
      </w:r>
      <w:r w:rsidR="002A5725">
        <w:t xml:space="preserve">only 32 control points. </w:t>
      </w:r>
      <w:r w:rsidR="000747FD">
        <w:t xml:space="preserve">However, </w:t>
      </w:r>
      <w:r w:rsidR="00844FD1">
        <w:t>we ob</w:t>
      </w:r>
      <w:r w:rsidR="00AF354A">
        <w:t>served a systematic bias for</w:t>
      </w:r>
      <w:r w:rsidR="00844FD1">
        <w:t xml:space="preserve"> </w:t>
      </w:r>
      <w:r w:rsidR="00844FD1">
        <w:rPr>
          <w:rStyle w:val="Emphasis"/>
        </w:rPr>
        <w:t>C. calvus</w:t>
      </w:r>
      <w:r w:rsidR="00844FD1">
        <w:t xml:space="preserve"> and </w:t>
      </w:r>
      <w:r w:rsidR="00844FD1">
        <w:rPr>
          <w:rStyle w:val="Emphasis"/>
        </w:rPr>
        <w:t>S. morckhoviensis</w:t>
      </w:r>
      <w:r w:rsidR="00844FD1">
        <w:t xml:space="preserve">, where the template specimen, which would typically cluster with those at the morphological extremes, was instead drawn toward the centre of the kernel principal component analysis (kPCA) plots. This artefact reduced morphological differentiation by shifting the template specimen away from its morphologically similar counterparts. Based on these observations, </w:t>
      </w:r>
      <w:r w:rsidR="00844FD1">
        <w:rPr>
          <w:rStyle w:val="Emphasis"/>
        </w:rPr>
        <w:t>A. binturong</w:t>
      </w:r>
      <w:r w:rsidR="00844FD1">
        <w:t xml:space="preserve"> was chosen as the initial template for all subsequent analyses.</w:t>
      </w:r>
    </w:p>
    <w:p w14:paraId="275D40B9" w14:textId="7A681C56" w:rsidR="00E97ABC" w:rsidRPr="00844FD1" w:rsidRDefault="00E97ABC" w:rsidP="00E97ABC">
      <w:pPr>
        <w:spacing w:line="480" w:lineRule="auto"/>
      </w:pPr>
      <w:r w:rsidRPr="0073290E">
        <w:rPr>
          <w:b/>
        </w:rPr>
        <w:t xml:space="preserve">Comparison of Aligned-only and Poisson </w:t>
      </w:r>
      <w:r>
        <w:rPr>
          <w:b/>
        </w:rPr>
        <w:t>M</w:t>
      </w:r>
      <w:r w:rsidRPr="0073290E">
        <w:rPr>
          <w:b/>
        </w:rPr>
        <w:t xml:space="preserve">eshes </w:t>
      </w:r>
    </w:p>
    <w:p w14:paraId="0B0F341C" w14:textId="6C05F580" w:rsidR="006376A1" w:rsidRDefault="00824679" w:rsidP="002A5725">
      <w:pPr>
        <w:spacing w:line="480" w:lineRule="auto"/>
        <w:rPr>
          <w:rFonts w:eastAsia="Times New Roman"/>
          <w:lang w:eastAsia="en-GB"/>
        </w:rPr>
      </w:pPr>
      <w:r>
        <w:t xml:space="preserve">Adjusting </w:t>
      </w:r>
      <w:r w:rsidR="00E503BF">
        <w:t xml:space="preserve">the kernel width parameter in the </w:t>
      </w:r>
      <w:r w:rsidR="00A67742">
        <w:t>DAA</w:t>
      </w:r>
      <w:r w:rsidR="00E503BF">
        <w:t xml:space="preserve"> alters the spatial extent of the neighbouring points based on </w:t>
      </w:r>
      <w:r w:rsidR="000D15A8">
        <w:t>a</w:t>
      </w:r>
      <w:r w:rsidR="00E503BF">
        <w:t xml:space="preserve"> </w:t>
      </w:r>
      <w:r w:rsidR="001C62AF">
        <w:t xml:space="preserve">Gaussian kernel </w:t>
      </w:r>
      <w:r w:rsidR="000D15A8">
        <w:t xml:space="preserve">that corresponds to the selected initial template (see Materials and Methods). </w:t>
      </w:r>
      <w:r w:rsidR="008D55F8">
        <w:t xml:space="preserve">When using </w:t>
      </w:r>
      <w:r w:rsidR="008D55F8">
        <w:rPr>
          <w:i/>
          <w:iCs/>
        </w:rPr>
        <w:t xml:space="preserve">A. binturong </w:t>
      </w:r>
      <w:r w:rsidR="00B64780">
        <w:t xml:space="preserve">as the initial template, </w:t>
      </w:r>
      <w:r w:rsidR="009B59C5">
        <w:t xml:space="preserve">the kernel widths of </w:t>
      </w:r>
      <w:r w:rsidR="0000784D" w:rsidRPr="0073290E">
        <w:rPr>
          <w:rFonts w:eastAsia="Times New Roman"/>
          <w:lang w:eastAsia="en-GB"/>
        </w:rPr>
        <w:t>40.0 mm, 20.0 mm, and 10.0 mm</w:t>
      </w:r>
      <w:r w:rsidR="0000784D">
        <w:rPr>
          <w:rFonts w:eastAsia="Times New Roman"/>
          <w:lang w:eastAsia="en-GB"/>
        </w:rPr>
        <w:t xml:space="preserve"> produced 45, 270 and 1,782 control points, respectively</w:t>
      </w:r>
      <w:r w:rsidR="00F62D73">
        <w:rPr>
          <w:rFonts w:eastAsia="Times New Roman"/>
          <w:lang w:eastAsia="en-GB"/>
        </w:rPr>
        <w:t xml:space="preserve"> (Figure 2, Additional File, Figure A3). </w:t>
      </w:r>
      <w:r w:rsidR="00181FD8">
        <w:rPr>
          <w:rFonts w:eastAsia="Times New Roman"/>
          <w:lang w:eastAsia="en-GB"/>
        </w:rPr>
        <w:t xml:space="preserve">For each of these control points, a momentum vector </w:t>
      </w:r>
      <w:r w:rsidR="005D6F5B">
        <w:rPr>
          <w:rFonts w:eastAsia="Times New Roman"/>
          <w:lang w:eastAsia="en-GB"/>
        </w:rPr>
        <w:t xml:space="preserve">(“momenta”) </w:t>
      </w:r>
      <w:r w:rsidR="00F64855">
        <w:rPr>
          <w:rFonts w:eastAsia="Times New Roman"/>
          <w:lang w:eastAsia="en-GB"/>
        </w:rPr>
        <w:t>which describe the optimal deformation trajectory of each specimen</w:t>
      </w:r>
      <w:r w:rsidR="00A67519">
        <w:rPr>
          <w:rFonts w:eastAsia="Times New Roman"/>
          <w:lang w:eastAsia="en-GB"/>
        </w:rPr>
        <w:t xml:space="preserve"> to fit the atlas </w:t>
      </w:r>
      <w:r w:rsidR="008E2A02">
        <w:rPr>
          <w:rFonts w:eastAsia="Times New Roman"/>
          <w:lang w:eastAsia="en-GB"/>
        </w:rPr>
        <w:t xml:space="preserve">were calculated </w:t>
      </w:r>
      <w:r w:rsidR="00A67519">
        <w:rPr>
          <w:rFonts w:eastAsia="Times New Roman"/>
          <w:lang w:eastAsia="en-GB"/>
        </w:rPr>
        <w:t xml:space="preserve">for all 322 specimens </w:t>
      </w:r>
      <w:r w:rsidR="008E2A02">
        <w:rPr>
          <w:rFonts w:eastAsia="Times New Roman"/>
          <w:lang w:eastAsia="en-GB"/>
        </w:rPr>
        <w:t xml:space="preserve">and used to compare the overall shape variation with those obtained using manual landmarking. </w:t>
      </w:r>
    </w:p>
    <w:p w14:paraId="39F7AD32" w14:textId="43A780F7" w:rsidR="002D301C" w:rsidRPr="0073290E" w:rsidRDefault="00912DA5" w:rsidP="002D301C">
      <w:pPr>
        <w:spacing w:line="480" w:lineRule="auto"/>
      </w:pPr>
      <w:r>
        <w:rPr>
          <w:rFonts w:eastAsia="Times New Roman"/>
          <w:lang w:eastAsia="en-GB"/>
        </w:rPr>
        <w:t xml:space="preserve">Initial comparisons showed discrepancies </w:t>
      </w:r>
      <w:r w:rsidR="00C843B1">
        <w:rPr>
          <w:rFonts w:eastAsia="Times New Roman"/>
          <w:lang w:eastAsia="en-GB"/>
        </w:rPr>
        <w:t xml:space="preserve">when comparing the Aligned-only dataset (comprising open and closed surfaces) and the Poisson mesh dataset (all watertight closed surfaces) in the DAA. </w:t>
      </w:r>
      <w:r w:rsidR="00763CE6" w:rsidRPr="0073290E">
        <w:rPr>
          <w:rFonts w:eastAsia="Times New Roman"/>
          <w:lang w:eastAsia="en-GB"/>
        </w:rPr>
        <w:t xml:space="preserve">For the Aligned-only dataset, results across all three kernel widths showed an artificial distinction between specimens with open surfaces </w:t>
      </w:r>
      <w:r w:rsidR="00763CE6" w:rsidRPr="0073290E">
        <w:rPr>
          <w:rFonts w:eastAsia="Times New Roman"/>
          <w:lang w:eastAsia="en-GB"/>
        </w:rPr>
        <w:lastRenderedPageBreak/>
        <w:t xml:space="preserve">(from CT scans) and those with closed surfaces (from surface scans) across each of the evaluated principal component (PC) axes </w:t>
      </w:r>
      <w:r w:rsidR="00763CE6" w:rsidRPr="0073290E">
        <w:t xml:space="preserve">(Additional File, Figure </w:t>
      </w:r>
      <w:r w:rsidR="008F0068">
        <w:t>A4</w:t>
      </w:r>
      <w:r w:rsidR="00F0486A">
        <w:t xml:space="preserve"> and A</w:t>
      </w:r>
      <w:r w:rsidR="008F0068">
        <w:t>5</w:t>
      </w:r>
      <w:r w:rsidR="00754676">
        <w:t xml:space="preserve"> and Data A</w:t>
      </w:r>
      <w:r w:rsidR="00FE03BD">
        <w:t>4</w:t>
      </w:r>
      <w:r w:rsidR="00754676">
        <w:t>-</w:t>
      </w:r>
      <w:r w:rsidR="00FE03BD">
        <w:t>6</w:t>
      </w:r>
      <w:r w:rsidR="00754676">
        <w:t xml:space="preserve">). This is exemplified in PC1, where specimens with open </w:t>
      </w:r>
      <w:r w:rsidR="002D301C" w:rsidRPr="0073290E">
        <w:t xml:space="preserve">surfaces clustered towards the positive end, while those with closed surfaces grouped at the negative end. </w:t>
      </w:r>
    </w:p>
    <w:p w14:paraId="13E58CC6" w14:textId="11561A17" w:rsidR="00674444" w:rsidRPr="0073290E" w:rsidRDefault="00674444" w:rsidP="00674444">
      <w:pPr>
        <w:spacing w:line="480" w:lineRule="auto"/>
      </w:pPr>
      <w:r w:rsidRPr="0073290E">
        <w:t xml:space="preserve">Standardising the data using the Poisson mesh redistribution </w:t>
      </w:r>
      <w:r w:rsidRPr="0073290E">
        <w:fldChar w:fldCharType="begin"/>
      </w:r>
      <w:r w:rsidR="002F5782">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rsidRPr="0073290E">
        <w:fldChar w:fldCharType="separate"/>
      </w:r>
      <w:r w:rsidR="00D304C4">
        <w:rPr>
          <w:noProof/>
        </w:rPr>
        <w:t>[50]</w:t>
      </w:r>
      <w:r w:rsidRPr="0073290E">
        <w:fldChar w:fldCharType="end"/>
      </w:r>
      <w:r w:rsidRPr="0073290E">
        <w:t xml:space="preserve"> to generate watertight closed meshes for all specimens </w:t>
      </w:r>
      <w:r>
        <w:t xml:space="preserve">helped to </w:t>
      </w:r>
      <w:r w:rsidRPr="0073290E">
        <w:t>mitigate the impact of mixed modalities on the shape estimates. With the Poisson meshes, the artificial separation along PC1 was eliminated, and specimens clustered</w:t>
      </w:r>
      <w:r>
        <w:t xml:space="preserve"> more closely with others of</w:t>
      </w:r>
      <w:r w:rsidRPr="0073290E">
        <w:t xml:space="preserve"> the same taxonomic order, rather than the mesh type (Fi</w:t>
      </w:r>
      <w:r>
        <w:t xml:space="preserve">gure </w:t>
      </w:r>
      <w:r w:rsidR="003A1DB0">
        <w:t>3</w:t>
      </w:r>
      <w:r>
        <w:t>, Additional File, Figure</w:t>
      </w:r>
      <w:r w:rsidRPr="0073290E">
        <w:t xml:space="preserve"> A</w:t>
      </w:r>
      <w:r w:rsidR="001436DA">
        <w:t>6</w:t>
      </w:r>
      <w:r w:rsidRPr="0073290E">
        <w:t xml:space="preserve"> and Data A</w:t>
      </w:r>
      <w:r w:rsidR="006E4B53">
        <w:t>7</w:t>
      </w:r>
      <w:r w:rsidRPr="0073290E">
        <w:t>-</w:t>
      </w:r>
      <w:r w:rsidR="006E4B53">
        <w:t>9</w:t>
      </w:r>
      <w:r w:rsidRPr="0073290E">
        <w:t>).</w:t>
      </w:r>
      <w:r>
        <w:t xml:space="preserve"> T</w:t>
      </w:r>
      <w:r w:rsidRPr="0073290E">
        <w:t>he removal of the impact of mixed modali</w:t>
      </w:r>
      <w:r>
        <w:t xml:space="preserve">ties </w:t>
      </w:r>
      <w:r w:rsidRPr="0073290E">
        <w:t>also led to a decrease in</w:t>
      </w:r>
      <w:r w:rsidR="0031094A">
        <w:t xml:space="preserve"> the percentage of variation explained by the first PC axis.</w:t>
      </w:r>
    </w:p>
    <w:p w14:paraId="520C314F" w14:textId="74A1AC61" w:rsidR="00B40961" w:rsidRDefault="00BA6652" w:rsidP="00B40961">
      <w:pPr>
        <w:spacing w:line="480" w:lineRule="auto"/>
      </w:pPr>
      <w:r w:rsidRPr="0073290E">
        <w:t xml:space="preserve">The changes in PC1 when removing the impact of </w:t>
      </w:r>
      <w:r>
        <w:t xml:space="preserve">mesh </w:t>
      </w:r>
      <w:r w:rsidRPr="0073290E">
        <w:t>modality were also clear when comparing the correlation of</w:t>
      </w:r>
      <w:r w:rsidR="001C0972">
        <w:t xml:space="preserve"> Euclidean distance</w:t>
      </w:r>
      <w:r w:rsidR="00DC6A49">
        <w:t>s</w:t>
      </w:r>
      <w:r w:rsidR="0094121B" w:rsidRPr="0073290E">
        <w:t xml:space="preserve"> </w:t>
      </w:r>
      <w:r w:rsidR="0094121B" w:rsidRPr="0073290E">
        <w:fldChar w:fldCharType="begin"/>
      </w:r>
      <w:r w:rsidR="002F5782">
        <w:instrText xml:space="preserve"> ADDIN EN.CITE &lt;EndNote&gt;&lt;Cite&gt;&lt;Author&gt;Danielsson&lt;/Author&gt;&lt;Year&gt;1980&lt;/Year&gt;&lt;RecNum&gt;304&lt;/RecNum&gt;&lt;DisplayText&gt;[41]&lt;/DisplayText&gt;&lt;record&gt;&lt;rec-number&gt;304&lt;/rec-number&gt;&lt;foreign-keys&gt;&lt;key app="EN" db-id="stvxpdr5yrpspzes0zppeddup9p2da2vrpv9" timestamp="1726859053"&gt;304&lt;/key&gt;&lt;/foreign-keys&gt;&lt;ref-type name="Journal Article"&gt;17&lt;/ref-type&gt;&lt;contributors&gt;&lt;authors&gt;&lt;author&gt;Danielsson, Per-Erik&lt;/author&gt;&lt;/authors&gt;&lt;/contributors&gt;&lt;titles&gt;&lt;title&gt;Euclidean distance mapping&lt;/title&gt;&lt;secondary-title&gt;Computer Graphics and image processing&lt;/secondary-title&gt;&lt;/titles&gt;&lt;periodical&gt;&lt;full-title&gt;Computer Graphics and image processing&lt;/full-title&gt;&lt;/periodical&gt;&lt;pages&gt;227-248&lt;/pages&gt;&lt;volume&gt;14&lt;/volume&gt;&lt;number&gt;3&lt;/number&gt;&lt;dates&gt;&lt;year&gt;1980&lt;/year&gt;&lt;/dates&gt;&lt;isbn&gt;0146-664X&lt;/isbn&gt;&lt;urls&gt;&lt;/urls&gt;&lt;electronic-resource-num&gt;https://doi.org/10.1016/0146-664X(80)90054-4&lt;/electronic-resource-num&gt;&lt;/record&gt;&lt;/Cite&gt;&lt;/EndNote&gt;</w:instrText>
      </w:r>
      <w:r w:rsidR="0094121B" w:rsidRPr="0073290E">
        <w:fldChar w:fldCharType="separate"/>
      </w:r>
      <w:r w:rsidR="00D304C4">
        <w:rPr>
          <w:noProof/>
        </w:rPr>
        <w:t>[41]</w:t>
      </w:r>
      <w:r w:rsidR="0094121B" w:rsidRPr="0073290E">
        <w:fldChar w:fldCharType="end"/>
      </w:r>
      <w:r w:rsidR="0094121B" w:rsidRPr="0073290E">
        <w:t xml:space="preserve"> for each DAA with the manual landmarkin</w:t>
      </w:r>
      <w:r w:rsidR="0094121B">
        <w:t xml:space="preserve">g results (Figure </w:t>
      </w:r>
      <w:r w:rsidR="008A59CB">
        <w:t>4</w:t>
      </w:r>
      <w:r w:rsidR="0094121B">
        <w:t xml:space="preserve">). </w:t>
      </w:r>
      <w:r w:rsidR="00B40961">
        <w:t xml:space="preserve">Although </w:t>
      </w:r>
      <w:r w:rsidR="00B40961" w:rsidRPr="0073290E">
        <w:t xml:space="preserve">all six DAA analyses (three Aligned-only, three Poisson meshes) showed </w:t>
      </w:r>
      <w:r w:rsidR="00B40961">
        <w:t xml:space="preserve">a </w:t>
      </w:r>
      <w:r w:rsidR="00B40961" w:rsidRPr="0073290E">
        <w:t xml:space="preserve">significant correlation with the manual landmarking result (p &lt; 0.05, </w:t>
      </w:r>
      <w:r w:rsidR="00161E2B">
        <w:t xml:space="preserve">Figure 4, </w:t>
      </w:r>
      <w:r w:rsidR="00B40961" w:rsidRPr="0073290E">
        <w:t>Additional File, Table A1), there was marked improvement in the correlation from the Aligned-only dataset (M = 0.148, SD = 0.023) to the Poisson mesh dataset (M = 0.46</w:t>
      </w:r>
      <w:r w:rsidR="00D84A36">
        <w:t>0</w:t>
      </w:r>
      <w:r w:rsidR="00B40961" w:rsidRPr="0073290E">
        <w:t>, SD = 0.059;  t(2.02) =  8.305, p &lt; 0.05)</w:t>
      </w:r>
      <w:r w:rsidR="00B40961">
        <w:t>.</w:t>
      </w:r>
      <w:r w:rsidR="00B40961" w:rsidRPr="0073290E">
        <w:t xml:space="preserve"> In the Aligned-only dataset, specimens with open surfaces were </w:t>
      </w:r>
      <w:r w:rsidR="00D16801">
        <w:t>separated from</w:t>
      </w:r>
      <w:r w:rsidR="00B40961" w:rsidRPr="0073290E">
        <w:t xml:space="preserve"> those with closed surfaces, </w:t>
      </w:r>
      <w:r w:rsidR="005C13C2">
        <w:t xml:space="preserve">unlike in the Poisson mesh analysis. </w:t>
      </w:r>
      <w:r w:rsidR="00B40961" w:rsidRPr="0073290E">
        <w:t xml:space="preserve">This realignment of specimens when using Poisson meshes contributed to the improved correlation between manual landmarking and DAA (Figure </w:t>
      </w:r>
      <w:r w:rsidR="00A046FE">
        <w:t>4</w:t>
      </w:r>
      <w:r w:rsidR="00B40961" w:rsidRPr="0073290E">
        <w:t>).</w:t>
      </w:r>
      <w:r w:rsidR="00B40961" w:rsidRPr="00F77F12">
        <w:t xml:space="preserve"> </w:t>
      </w:r>
    </w:p>
    <w:p w14:paraId="0CF38F3C" w14:textId="701A0741" w:rsidR="00E039F2" w:rsidRPr="000A468E" w:rsidRDefault="00D84A36" w:rsidP="004C376F">
      <w:pPr>
        <w:pStyle w:val="NormalWeb"/>
        <w:spacing w:line="480" w:lineRule="auto"/>
        <w:rPr>
          <w:rFonts w:ascii="Arial" w:hAnsi="Arial" w:cs="Arial"/>
        </w:rPr>
      </w:pPr>
      <w:r w:rsidRPr="00D84A36">
        <w:rPr>
          <w:rFonts w:ascii="Arial" w:hAnsi="Arial" w:cs="Arial"/>
        </w:rPr>
        <w:lastRenderedPageBreak/>
        <w:t xml:space="preserve">When comparing the correlation between Euclidean distances measured for each specimen from </w:t>
      </w:r>
      <w:r w:rsidRPr="00D84A36">
        <w:rPr>
          <w:rFonts w:ascii="Arial" w:hAnsi="Arial" w:cs="Arial"/>
          <w:i/>
        </w:rPr>
        <w:t>A. binturong</w:t>
      </w:r>
      <w:r w:rsidRPr="00D84A36">
        <w:rPr>
          <w:rFonts w:ascii="Arial" w:hAnsi="Arial" w:cs="Arial"/>
        </w:rPr>
        <w:t xml:space="preserve"> in the Aligned-only and Poisson mesh analyses across major orders</w:t>
      </w:r>
      <w:r w:rsidRPr="00D84A36" w:rsidDel="00D84A36">
        <w:rPr>
          <w:rFonts w:ascii="Arial" w:hAnsi="Arial" w:cs="Arial"/>
        </w:rPr>
        <w:t xml:space="preserve"> </w:t>
      </w:r>
      <w:r w:rsidR="004C376F" w:rsidRPr="004C376F">
        <w:rPr>
          <w:rFonts w:ascii="Arial" w:hAnsi="Arial" w:cs="Arial"/>
        </w:rPr>
        <w:t>(</w:t>
      </w:r>
      <w:r w:rsidR="004C376F">
        <w:rPr>
          <w:rFonts w:ascii="Arial" w:hAnsi="Arial" w:cs="Arial"/>
        </w:rPr>
        <w:t xml:space="preserve">&gt;10 specimens in analysis; </w:t>
      </w:r>
      <w:r w:rsidR="00E039F2" w:rsidRPr="004C376F">
        <w:rPr>
          <w:rFonts w:ascii="Arial" w:hAnsi="Arial" w:cs="Arial"/>
        </w:rPr>
        <w:t>Additional Material, Data A</w:t>
      </w:r>
      <w:r w:rsidR="00747ED0">
        <w:rPr>
          <w:rFonts w:ascii="Arial" w:hAnsi="Arial" w:cs="Arial"/>
        </w:rPr>
        <w:t>10</w:t>
      </w:r>
      <w:r w:rsidR="00E039F2" w:rsidRPr="004C376F">
        <w:rPr>
          <w:rFonts w:ascii="Arial" w:hAnsi="Arial" w:cs="Arial"/>
        </w:rPr>
        <w:t>), we observed significant improvements</w:t>
      </w:r>
      <w:r w:rsidR="000A468E">
        <w:rPr>
          <w:rFonts w:ascii="Arial" w:hAnsi="Arial" w:cs="Arial"/>
        </w:rPr>
        <w:t xml:space="preserve"> for </w:t>
      </w:r>
      <w:r w:rsidR="00E039F2" w:rsidRPr="004C376F">
        <w:rPr>
          <w:rFonts w:ascii="Arial" w:hAnsi="Arial" w:cs="Arial"/>
        </w:rPr>
        <w:t xml:space="preserve">all orders except </w:t>
      </w:r>
      <w:r w:rsidR="00E039F2" w:rsidRPr="000910C3">
        <w:rPr>
          <w:rStyle w:val="Emphasis"/>
          <w:rFonts w:ascii="Arial" w:eastAsiaTheme="majorEastAsia" w:hAnsi="Arial" w:cs="Arial"/>
          <w:i w:val="0"/>
          <w:iCs w:val="0"/>
        </w:rPr>
        <w:t>Perissodactyla</w:t>
      </w:r>
      <w:r w:rsidR="00E039F2" w:rsidRPr="000910C3">
        <w:rPr>
          <w:rFonts w:ascii="Arial" w:hAnsi="Arial" w:cs="Arial"/>
          <w:i/>
        </w:rPr>
        <w:t xml:space="preserve">, </w:t>
      </w:r>
      <w:r w:rsidR="00E039F2" w:rsidRPr="000910C3">
        <w:rPr>
          <w:rStyle w:val="Emphasis"/>
          <w:rFonts w:ascii="Arial" w:eastAsiaTheme="majorEastAsia" w:hAnsi="Arial" w:cs="Arial"/>
          <w:i w:val="0"/>
          <w:iCs w:val="0"/>
        </w:rPr>
        <w:t>Pilosa</w:t>
      </w:r>
      <w:r w:rsidR="00E039F2" w:rsidRPr="000910C3">
        <w:rPr>
          <w:rFonts w:ascii="Arial" w:hAnsi="Arial" w:cs="Arial"/>
          <w:i/>
        </w:rPr>
        <w:t xml:space="preserve">, </w:t>
      </w:r>
      <w:r w:rsidR="00E039F2" w:rsidRPr="00436A4C">
        <w:rPr>
          <w:rFonts w:ascii="Arial" w:hAnsi="Arial" w:cs="Arial"/>
          <w:iCs/>
        </w:rPr>
        <w:t xml:space="preserve">and </w:t>
      </w:r>
      <w:r w:rsidR="00E039F2" w:rsidRPr="000910C3">
        <w:rPr>
          <w:rStyle w:val="Emphasis"/>
          <w:rFonts w:ascii="Arial" w:eastAsiaTheme="majorEastAsia" w:hAnsi="Arial" w:cs="Arial"/>
          <w:i w:val="0"/>
          <w:iCs w:val="0"/>
        </w:rPr>
        <w:t>Primates</w:t>
      </w:r>
      <w:r w:rsidR="00E039F2" w:rsidRPr="000910C3">
        <w:rPr>
          <w:rFonts w:ascii="Arial" w:hAnsi="Arial" w:cs="Arial"/>
          <w:i/>
        </w:rPr>
        <w:t>,</w:t>
      </w:r>
      <w:r w:rsidR="000A468E">
        <w:rPr>
          <w:rFonts w:ascii="Arial" w:hAnsi="Arial" w:cs="Arial"/>
          <w:i/>
        </w:rPr>
        <w:t xml:space="preserve"> </w:t>
      </w:r>
      <w:r w:rsidRPr="00D84A36">
        <w:rPr>
          <w:rFonts w:ascii="Arial" w:hAnsi="Arial" w:cs="Arial"/>
        </w:rPr>
        <w:t xml:space="preserve">where no statistically significant decrease was found </w:t>
      </w:r>
      <w:r w:rsidR="00E039F2" w:rsidRPr="004C376F">
        <w:rPr>
          <w:rFonts w:ascii="Arial" w:hAnsi="Arial" w:cs="Arial"/>
        </w:rPr>
        <w:t>(</w:t>
      </w:r>
      <w:r w:rsidR="00E039F2" w:rsidRPr="00C66B9F">
        <w:rPr>
          <w:rStyle w:val="Emphasis"/>
          <w:rFonts w:ascii="Arial" w:eastAsiaTheme="majorEastAsia" w:hAnsi="Arial" w:cs="Arial"/>
          <w:i w:val="0"/>
          <w:iCs w:val="0"/>
        </w:rPr>
        <w:t>p</w:t>
      </w:r>
      <w:r w:rsidR="00E039F2" w:rsidRPr="004C376F">
        <w:rPr>
          <w:rFonts w:ascii="Arial" w:hAnsi="Arial" w:cs="Arial"/>
        </w:rPr>
        <w:t xml:space="preserve"> &gt; 0.05).</w:t>
      </w:r>
      <w:r w:rsidR="00E039F2">
        <w:rPr>
          <w:rFonts w:ascii="Arial" w:hAnsi="Arial" w:cs="Arial"/>
        </w:rPr>
        <w:t xml:space="preserve"> </w:t>
      </w:r>
      <w:r w:rsidR="00E039F2" w:rsidRPr="004C376F">
        <w:rPr>
          <w:rFonts w:ascii="Arial" w:hAnsi="Arial" w:cs="Arial"/>
        </w:rPr>
        <w:t xml:space="preserve">The effect of Poisson redistribution was particularly pronounced in groups with a higher proportion of CT scans, notably </w:t>
      </w:r>
      <w:r w:rsidR="00E039F2" w:rsidRPr="000910C3">
        <w:rPr>
          <w:rStyle w:val="Emphasis"/>
          <w:rFonts w:ascii="Arial" w:eastAsiaTheme="majorEastAsia" w:hAnsi="Arial" w:cs="Arial"/>
          <w:i w:val="0"/>
          <w:iCs w:val="0"/>
        </w:rPr>
        <w:t>Chiroptera</w:t>
      </w:r>
      <w:r w:rsidR="00E039F2" w:rsidRPr="000910C3">
        <w:rPr>
          <w:rFonts w:ascii="Arial" w:hAnsi="Arial" w:cs="Arial"/>
          <w:i/>
        </w:rPr>
        <w:t xml:space="preserve">, </w:t>
      </w:r>
      <w:r w:rsidR="00E039F2" w:rsidRPr="000910C3">
        <w:rPr>
          <w:rStyle w:val="Emphasis"/>
          <w:rFonts w:ascii="Arial" w:eastAsiaTheme="majorEastAsia" w:hAnsi="Arial" w:cs="Arial"/>
          <w:i w:val="0"/>
          <w:iCs w:val="0"/>
        </w:rPr>
        <w:t>Rodentia</w:t>
      </w:r>
      <w:r w:rsidR="00E039F2" w:rsidRPr="000910C3">
        <w:rPr>
          <w:rFonts w:ascii="Arial" w:hAnsi="Arial" w:cs="Arial"/>
          <w:i/>
        </w:rPr>
        <w:t xml:space="preserve">, </w:t>
      </w:r>
      <w:r w:rsidR="00E039F2" w:rsidRPr="000910C3">
        <w:rPr>
          <w:rFonts w:ascii="Arial" w:hAnsi="Arial" w:cs="Arial"/>
          <w:iCs/>
        </w:rPr>
        <w:t>and</w:t>
      </w:r>
      <w:r w:rsidR="00E039F2" w:rsidRPr="000910C3">
        <w:rPr>
          <w:rFonts w:ascii="Arial" w:hAnsi="Arial" w:cs="Arial"/>
          <w:i/>
        </w:rPr>
        <w:t xml:space="preserve"> </w:t>
      </w:r>
      <w:r w:rsidR="00E039F2" w:rsidRPr="000910C3">
        <w:rPr>
          <w:rStyle w:val="Emphasis"/>
          <w:rFonts w:ascii="Arial" w:eastAsiaTheme="majorEastAsia" w:hAnsi="Arial" w:cs="Arial"/>
          <w:i w:val="0"/>
          <w:iCs w:val="0"/>
        </w:rPr>
        <w:t>Carnivora</w:t>
      </w:r>
      <w:r w:rsidR="00E039F2" w:rsidRPr="004C376F">
        <w:rPr>
          <w:rFonts w:ascii="Arial" w:hAnsi="Arial" w:cs="Arial"/>
        </w:rPr>
        <w:t xml:space="preserve">. In these groups, the mean </w:t>
      </w:r>
      <w:r w:rsidR="00E039F2" w:rsidRPr="00C66B9F">
        <w:rPr>
          <w:rStyle w:val="Emphasis"/>
          <w:rFonts w:ascii="Arial" w:eastAsiaTheme="majorEastAsia" w:hAnsi="Arial" w:cs="Arial"/>
          <w:i w:val="0"/>
          <w:iCs w:val="0"/>
        </w:rPr>
        <w:t>R²</w:t>
      </w:r>
      <w:r w:rsidR="00E039F2" w:rsidRPr="004C376F">
        <w:rPr>
          <w:rFonts w:ascii="Arial" w:hAnsi="Arial" w:cs="Arial"/>
        </w:rPr>
        <w:t xml:space="preserve"> (averaged across kernel widths) increased significantly (</w:t>
      </w:r>
      <w:r w:rsidR="00E039F2" w:rsidRPr="00C66B9F">
        <w:rPr>
          <w:rStyle w:val="Emphasis"/>
          <w:rFonts w:ascii="Arial" w:eastAsiaTheme="majorEastAsia" w:hAnsi="Arial" w:cs="Arial"/>
          <w:i w:val="0"/>
          <w:iCs w:val="0"/>
        </w:rPr>
        <w:t>p</w:t>
      </w:r>
      <w:r w:rsidR="00E039F2" w:rsidRPr="004C376F">
        <w:rPr>
          <w:rFonts w:ascii="Arial" w:hAnsi="Arial" w:cs="Arial"/>
        </w:rPr>
        <w:t xml:space="preserve"> &lt; 0.05) by 0.60, 0.50, and 0.38, respectively.</w:t>
      </w:r>
    </w:p>
    <w:p w14:paraId="1DC7F4F3" w14:textId="37F41FEF" w:rsidR="00373E50" w:rsidRPr="00196793" w:rsidRDefault="00AD36B8" w:rsidP="00373E50">
      <w:pPr>
        <w:spacing w:line="480" w:lineRule="auto"/>
      </w:pPr>
      <w:r w:rsidRPr="0073290E">
        <w:t>Further comparisons</w:t>
      </w:r>
      <w:r w:rsidR="00BF30E4">
        <w:t xml:space="preserve"> of the shape matrices obtained from the manual landmarking and DAA, performed</w:t>
      </w:r>
      <w:r w:rsidRPr="0073290E">
        <w:t xml:space="preserve"> using</w:t>
      </w:r>
      <w:r>
        <w:t xml:space="preserve"> the Mantel test </w:t>
      </w:r>
      <w:r w:rsidR="00EC200E">
        <w:t xml:space="preserve"> </w:t>
      </w:r>
      <w:r w:rsidR="00EC200E">
        <w:fldChar w:fldCharType="begin"/>
      </w:r>
      <w:r w:rsidR="00D304C4">
        <w:instrText xml:space="preserve"> ADDIN EN.CITE &lt;EndNote&gt;&lt;Cite&gt;&lt;Author&gt;Mantel&lt;/Author&gt;&lt;Year&gt;1967&lt;/Year&gt;&lt;RecNum&gt;350&lt;/RecNum&gt;&lt;DisplayText&gt;[42, 43]&lt;/DisplayText&gt;&lt;record&gt;&lt;rec-number&gt;350&lt;/rec-number&gt;&lt;foreign-keys&gt;&lt;key app="EN" db-id="tasefzw5b2p9euepe2cpwzvqsztr2dd9f5tz" timestamp="1739291547"&gt;350&lt;/key&gt;&lt;/foreign-keys&gt;&lt;ref-type name="Journal Article"&gt;17&lt;/ref-type&gt;&lt;contributors&gt;&lt;authors&gt;&lt;author&gt;Mantel, Nathan&lt;/author&gt;&lt;/authors&gt;&lt;/contributors&gt;&lt;titles&gt;&lt;title&gt;The detection of disease clustering and a generalized regression approach&lt;/title&gt;&lt;secondary-title&gt;Cancer research&lt;/secondary-title&gt;&lt;/titles&gt;&lt;periodical&gt;&lt;full-title&gt;Cancer research&lt;/full-title&gt;&lt;/periodical&gt;&lt;pages&gt;209-220&lt;/pages&gt;&lt;volume&gt;27&lt;/volume&gt;&lt;number&gt;2_Part_1&lt;/number&gt;&lt;dates&gt;&lt;year&gt;1967&lt;/year&gt;&lt;/dates&gt;&lt;isbn&gt;0008-5472&lt;/isbn&gt;&lt;urls&gt;&lt;/urls&gt;&lt;/record&gt;&lt;/Cite&gt;&lt;Cite&gt;&lt;Author&gt;Legendre&lt;/Author&gt;&lt;Year&gt;2010&lt;/Year&gt;&lt;RecNum&gt;359&lt;/RecNum&gt;&lt;record&gt;&lt;rec-number&gt;359&lt;/rec-number&gt;&lt;foreign-keys&gt;&lt;key app="EN" db-id="tasefzw5b2p9euepe2cpwzvqsztr2dd9f5tz" timestamp="1739482443"&gt;359&lt;/key&gt;&lt;/foreign-keys&gt;&lt;ref-type name="Journal Article"&gt;17&lt;/ref-type&gt;&lt;contributors&gt;&lt;authors&gt;&lt;author&gt;Legendre, Pierre&lt;/author&gt;&lt;author&gt;FORTIN, MARIE</w:instrText>
      </w:r>
      <w:r w:rsidR="00D304C4">
        <w:rPr>
          <w:rFonts w:ascii="Cambria Math" w:hAnsi="Cambria Math" w:cs="Cambria Math"/>
        </w:rPr>
        <w:instrText>‐</w:instrText>
      </w:r>
      <w:r w:rsidR="00D304C4">
        <w:instrText>JOSÉE&lt;/author&gt;&lt;/authors&gt;&lt;/contributors&gt;&lt;titles&gt;&lt;title&gt;Comparison of the Mantel test and alternative approaches for detecting complex multivariate relationships in the spatial analysis of genetic data&lt;/title&gt;&lt;secondary-title&gt;Molecular ecology resources&lt;/secondary-title&gt;&lt;/titles&gt;&lt;periodical&gt;&lt;full-title&gt;Molecular ecology resources&lt;/full-title&gt;&lt;/periodical&gt;&lt;pages&gt;831-844&lt;/pages&gt;&lt;volume&gt;10&lt;/volume&gt;&lt;number&gt;5&lt;/number&gt;&lt;dates&gt;&lt;year&gt;2010&lt;/year&gt;&lt;/dates&gt;&lt;isbn&gt;1755-098X&lt;/isbn&gt;&lt;urls&gt;&lt;/urls&gt;&lt;electronic-resource-num&gt;https://doi.org/10.1111/j.1755-0998.2010.02866.x&lt;/electronic-resource-num&gt;&lt;/record&gt;&lt;/Cite&gt;&lt;/EndNote&gt;</w:instrText>
      </w:r>
      <w:r w:rsidR="00EC200E">
        <w:fldChar w:fldCharType="separate"/>
      </w:r>
      <w:r w:rsidR="00D304C4">
        <w:rPr>
          <w:noProof/>
        </w:rPr>
        <w:t>[42, 43]</w:t>
      </w:r>
      <w:r w:rsidR="00EC200E">
        <w:fldChar w:fldCharType="end"/>
      </w:r>
      <w:r w:rsidR="00EC200E">
        <w:t xml:space="preserve"> </w:t>
      </w:r>
      <w:r>
        <w:t xml:space="preserve">and </w:t>
      </w:r>
      <w:r w:rsidR="00BF30E4" w:rsidRPr="0073290E">
        <w:t xml:space="preserve">the PROcrustean randomisation TEST (PROTEST) </w:t>
      </w:r>
      <w:r w:rsidR="00BF30E4" w:rsidRPr="0073290E">
        <w:rPr>
          <w:rFonts w:eastAsiaTheme="minorEastAsia"/>
        </w:rPr>
        <w:fldChar w:fldCharType="begin"/>
      </w:r>
      <w:r w:rsidR="002F5782">
        <w:rPr>
          <w:rFonts w:eastAsiaTheme="minorEastAsia"/>
        </w:rPr>
        <w:instrText xml:space="preserve"> ADDIN EN.CITE &lt;EndNote&gt;&lt;Cite&gt;&lt;Author&gt;Jackson&lt;/Author&gt;&lt;Year&gt;1995&lt;/Year&gt;&lt;RecNum&gt;305&lt;/RecNum&gt;&lt;DisplayText&gt;[44, 45]&lt;/DisplayText&gt;&lt;record&gt;&lt;rec-number&gt;305&lt;/rec-number&gt;&lt;foreign-keys&gt;&lt;key app="EN" db-id="stvxpdr5yrpspzes0zppeddup9p2da2vrpv9" timestamp="1727095887"&gt;305&lt;/key&gt;&lt;/foreign-keys&gt;&lt;ref-type name="Journal Article"&gt;17&lt;/ref-type&gt;&lt;contributors&gt;&lt;authors&gt;&lt;author&gt;Jackson, Donald A&lt;/author&gt;&lt;/authors&gt;&lt;/contributors&gt;&lt;titles&gt;&lt;title&gt;PROTEST: a PROcrustean randomization TEST of community environment concordance&lt;/title&gt;&lt;secondary-title&gt;Ecoscience&lt;/secondary-title&gt;&lt;/titles&gt;&lt;periodical&gt;&lt;full-title&gt;Ecoscience&lt;/full-title&gt;&lt;/periodical&gt;&lt;pages&gt;297-303&lt;/pages&gt;&lt;volume&gt;2&lt;/volume&gt;&lt;number&gt;3&lt;/number&gt;&lt;dates&gt;&lt;year&gt;1995&lt;/year&gt;&lt;/dates&gt;&lt;isbn&gt;1195-6860&lt;/isbn&gt;&lt;urls&gt;&lt;/urls&gt;&lt;electronic-resource-num&gt;https://doi.org/10.1080/11956860.1995.11682297&lt;/electronic-resource-num&gt;&lt;/record&gt;&lt;/Cite&gt;&lt;Cite&gt;&lt;Author&gt;Peres-Neto&lt;/Author&gt;&lt;Year&gt;2001&lt;/Year&gt;&lt;RecNum&gt;307&lt;/RecNum&gt;&lt;record&gt;&lt;rec-number&gt;307&lt;/rec-number&gt;&lt;foreign-keys&gt;&lt;key app="EN" db-id="stvxpdr5yrpspzes0zppeddup9p2da2vrpv9" timestamp="1727095967"&gt;307&lt;/key&gt;&lt;/foreign-keys&gt;&lt;ref-type name="Journal Article"&gt;17&lt;/ref-type&gt;&lt;contributors&gt;&lt;authors&gt;&lt;author&gt;Peres-Neto, Pedro R&lt;/author&gt;&lt;author&gt;Jackson, Donald A&lt;/author&gt;&lt;/authors&gt;&lt;/contributors&gt;&lt;titles&gt;&lt;title&gt;How well do multivariate data sets match? The advantages of a Procrustean superimposition approach over the Mantel test&lt;/title&gt;&lt;secondary-title&gt;Oecologia&lt;/secondary-title&gt;&lt;/titles&gt;&lt;periodical&gt;&lt;full-title&gt;Oecologia&lt;/full-title&gt;&lt;/periodical&gt;&lt;pages&gt;169-178&lt;/pages&gt;&lt;volume&gt;129&lt;/volume&gt;&lt;dates&gt;&lt;year&gt;2001&lt;/year&gt;&lt;/dates&gt;&lt;isbn&gt;0029-8549&lt;/isbn&gt;&lt;urls&gt;&lt;/urls&gt;&lt;electronic-resource-num&gt;https://doi.org/10.1007/s004420100720&lt;/electronic-resource-num&gt;&lt;/record&gt;&lt;/Cite&gt;&lt;/EndNote&gt;</w:instrText>
      </w:r>
      <w:r w:rsidR="00BF30E4" w:rsidRPr="0073290E">
        <w:rPr>
          <w:rFonts w:eastAsiaTheme="minorEastAsia"/>
        </w:rPr>
        <w:fldChar w:fldCharType="separate"/>
      </w:r>
      <w:r w:rsidR="00D304C4">
        <w:rPr>
          <w:rFonts w:eastAsiaTheme="minorEastAsia"/>
          <w:noProof/>
        </w:rPr>
        <w:t>[44, 45]</w:t>
      </w:r>
      <w:r w:rsidR="00BF30E4" w:rsidRPr="0073290E">
        <w:rPr>
          <w:rFonts w:eastAsiaTheme="minorEastAsia"/>
        </w:rPr>
        <w:fldChar w:fldCharType="end"/>
      </w:r>
      <w:r w:rsidR="00BF30E4" w:rsidRPr="0073290E">
        <w:rPr>
          <w:rFonts w:eastAsiaTheme="minorEastAsia"/>
        </w:rPr>
        <w:t>,</w:t>
      </w:r>
      <w:r w:rsidR="00BF30E4">
        <w:rPr>
          <w:rFonts w:eastAsiaTheme="minorEastAsia"/>
        </w:rPr>
        <w:t xml:space="preserve"> </w:t>
      </w:r>
      <w:r w:rsidR="007711C0" w:rsidRPr="0073290E">
        <w:rPr>
          <w:rFonts w:eastAsiaTheme="minorEastAsia"/>
        </w:rPr>
        <w:t xml:space="preserve">also demonstrated the </w:t>
      </w:r>
      <w:r w:rsidR="007711C0" w:rsidRPr="0073290E">
        <w:t>enhanced correspondence when using Poisson meshes (Table 1</w:t>
      </w:r>
      <w:r w:rsidR="007711C0">
        <w:t xml:space="preserve">). </w:t>
      </w:r>
      <w:r w:rsidR="002954A8">
        <w:t xml:space="preserve">The Mantel test showed a significant improvement in the </w:t>
      </w:r>
      <w:r w:rsidR="00EA3751">
        <w:t>Mantel r statistic</w:t>
      </w:r>
      <w:r w:rsidR="00B44133">
        <w:t xml:space="preserve"> (where 0 shows no correlation and 1 shows perfect correlation)</w:t>
      </w:r>
      <w:r w:rsidR="00EA3751">
        <w:t xml:space="preserve"> </w:t>
      </w:r>
      <w:r w:rsidR="002954A8">
        <w:t xml:space="preserve">from the Aligned-only dataset (M = </w:t>
      </w:r>
      <w:r w:rsidR="002954A8" w:rsidRPr="00A55F3B">
        <w:t>0.285</w:t>
      </w:r>
      <w:r w:rsidR="002954A8">
        <w:t xml:space="preserve">, SD = </w:t>
      </w:r>
      <w:r w:rsidR="002954A8" w:rsidRPr="002F1B6D">
        <w:t>0.0229</w:t>
      </w:r>
      <w:r w:rsidR="002954A8">
        <w:t xml:space="preserve">) to the Poisson mesh dataset (M = 0.619, SD = 0.0354; </w:t>
      </w:r>
      <w:r w:rsidR="005C193F">
        <w:t>t(</w:t>
      </w:r>
      <w:r w:rsidR="002954A8">
        <w:t xml:space="preserve">2.02) = 11.384, </w:t>
      </w:r>
      <w:r w:rsidR="002954A8" w:rsidRPr="0073290E">
        <w:t>p &lt; 0.05</w:t>
      </w:r>
      <w:r w:rsidR="002954A8">
        <w:t>)</w:t>
      </w:r>
      <w:r w:rsidR="00506799">
        <w:t xml:space="preserve">. </w:t>
      </w:r>
      <w:r w:rsidR="004000EB">
        <w:t xml:space="preserve">The </w:t>
      </w:r>
      <w:r w:rsidR="00D85F62" w:rsidRPr="0073290E">
        <w:t xml:space="preserve">Procrustes sum of squares (where 0 indicates no difference and 1 indicates </w:t>
      </w:r>
      <w:r w:rsidR="00D85F62">
        <w:t xml:space="preserve">a </w:t>
      </w:r>
      <w:r w:rsidR="00D85F62" w:rsidRPr="0073290E">
        <w:t>significant d</w:t>
      </w:r>
      <w:r w:rsidR="00D85F62">
        <w:t>egree of dissimilarity</w:t>
      </w:r>
      <w:r w:rsidR="00D85F62" w:rsidRPr="0073290E">
        <w:t>)</w:t>
      </w:r>
      <w:r w:rsidR="00D85F62">
        <w:t xml:space="preserve"> were significantly decreased </w:t>
      </w:r>
      <w:r w:rsidR="00513FC0">
        <w:t xml:space="preserve">from the Aligned-only dataset (M = </w:t>
      </w:r>
      <w:r w:rsidR="00513FC0" w:rsidRPr="00044E34">
        <w:t>0.679</w:t>
      </w:r>
      <w:r w:rsidR="00513FC0">
        <w:t xml:space="preserve">, SD = </w:t>
      </w:r>
      <w:r w:rsidR="00513FC0" w:rsidRPr="00044E34">
        <w:t>0.0778</w:t>
      </w:r>
      <w:r w:rsidR="00513FC0">
        <w:t xml:space="preserve">) to the Poisson mesh dataset (M = 0.450, SD = 0.0461; t(2.02) = -9.0064, p &lt; 0.05) and the </w:t>
      </w:r>
      <w:r w:rsidR="00EE332A" w:rsidRPr="0073290E">
        <w:t>Procrustes root mean squared error (larger value shows more error) were</w:t>
      </w:r>
      <w:r w:rsidR="00EE332A">
        <w:t xml:space="preserve"> also decreased from the Aligned-only dataset </w:t>
      </w:r>
      <w:r w:rsidR="009A2E7A">
        <w:t>(M = 0.0459, SD = 0.00262) to the Poisson mesh dataset (M = 0.0374, SD = 0.00189; t(2.02) = -10.652, p &lt; 0.05)</w:t>
      </w:r>
      <w:r w:rsidR="009A2E7A" w:rsidRPr="0073290E">
        <w:t>.</w:t>
      </w:r>
      <w:r w:rsidR="009A2E7A">
        <w:t xml:space="preserve"> </w:t>
      </w:r>
      <w:r w:rsidR="00373E50" w:rsidRPr="0073290E">
        <w:t xml:space="preserve">Due to these results, all </w:t>
      </w:r>
      <w:r w:rsidR="00373E50">
        <w:t xml:space="preserve">further </w:t>
      </w:r>
      <w:r w:rsidR="00373E50" w:rsidRPr="0073290E">
        <w:rPr>
          <w:bCs/>
        </w:rPr>
        <w:t xml:space="preserve">comparisons were exclusively conducted using the Poisson meshes. </w:t>
      </w:r>
    </w:p>
    <w:p w14:paraId="7B9744EA" w14:textId="3D9EF441" w:rsidR="00912DA5" w:rsidRDefault="00154F4D" w:rsidP="002A5725">
      <w:pPr>
        <w:spacing w:line="480" w:lineRule="auto"/>
        <w:rPr>
          <w:b/>
          <w:bCs/>
        </w:rPr>
      </w:pPr>
      <w:r>
        <w:rPr>
          <w:b/>
          <w:bCs/>
        </w:rPr>
        <w:lastRenderedPageBreak/>
        <w:t xml:space="preserve">Comparison </w:t>
      </w:r>
      <w:r w:rsidR="00070419">
        <w:rPr>
          <w:b/>
          <w:bCs/>
        </w:rPr>
        <w:t>between</w:t>
      </w:r>
      <w:r>
        <w:rPr>
          <w:b/>
          <w:bCs/>
        </w:rPr>
        <w:t xml:space="preserve"> Manual Landmarking and Landmark-free Methods </w:t>
      </w:r>
    </w:p>
    <w:p w14:paraId="7C32B0E6" w14:textId="2DE9F14F" w:rsidR="00207845" w:rsidRDefault="000E181C" w:rsidP="007F5FF3">
      <w:pPr>
        <w:spacing w:line="480" w:lineRule="auto"/>
      </w:pPr>
      <w:r w:rsidRPr="0073290E">
        <w:rPr>
          <w:bCs/>
        </w:rPr>
        <w:t>Examining the patterns of shape variation across the first four PC axes (</w:t>
      </w:r>
      <w:r w:rsidRPr="0073290E">
        <w:t>Fi</w:t>
      </w:r>
      <w:r>
        <w:t xml:space="preserve">gure </w:t>
      </w:r>
      <w:r w:rsidR="003B5C12">
        <w:t>3</w:t>
      </w:r>
      <w:r>
        <w:t>, Additional File, Figure</w:t>
      </w:r>
      <w:r w:rsidRPr="0073290E">
        <w:t xml:space="preserve"> A</w:t>
      </w:r>
      <w:r w:rsidR="009F23A2">
        <w:t>6</w:t>
      </w:r>
      <w:r w:rsidRPr="0073290E">
        <w:t>)</w:t>
      </w:r>
      <w:r w:rsidR="0033243B">
        <w:t xml:space="preserve"> revealed both </w:t>
      </w:r>
      <w:r w:rsidR="0038240A">
        <w:t xml:space="preserve">differences and </w:t>
      </w:r>
      <w:r w:rsidR="000E5F8A">
        <w:t>similarities</w:t>
      </w:r>
      <w:r w:rsidR="008A7C4D">
        <w:t xml:space="preserve"> between the manual landmarking and DAA results. </w:t>
      </w:r>
      <w:r w:rsidR="0059710F" w:rsidRPr="0073290E">
        <w:t>The most notable difference</w:t>
      </w:r>
      <w:r w:rsidR="0073666A">
        <w:t>s</w:t>
      </w:r>
      <w:r w:rsidR="0059710F" w:rsidRPr="0073290E">
        <w:t xml:space="preserve"> w</w:t>
      </w:r>
      <w:r w:rsidR="0073666A">
        <w:t>ere</w:t>
      </w:r>
      <w:r w:rsidR="0059710F" w:rsidRPr="0073290E">
        <w:t xml:space="preserve"> observed for </w:t>
      </w:r>
      <w:r w:rsidR="008F691C">
        <w:t>Cetacea</w:t>
      </w:r>
      <w:r w:rsidR="00223345">
        <w:t xml:space="preserve"> and </w:t>
      </w:r>
      <w:r w:rsidR="008F691C">
        <w:t>P</w:t>
      </w:r>
      <w:r w:rsidR="00223345">
        <w:t xml:space="preserve">rimates. </w:t>
      </w:r>
      <w:r w:rsidR="00FB1C63" w:rsidRPr="0073290E">
        <w:t>In the manual landmarking analysis</w:t>
      </w:r>
      <w:r w:rsidR="00FB1C63">
        <w:t xml:space="preserve"> (</w:t>
      </w:r>
      <w:r w:rsidR="00FB1C63" w:rsidRPr="002C79D0">
        <w:t xml:space="preserve">Additional </w:t>
      </w:r>
      <w:r w:rsidR="00FB1C63">
        <w:t xml:space="preserve">File, </w:t>
      </w:r>
      <w:r w:rsidR="00FB1C63" w:rsidRPr="002C79D0">
        <w:t xml:space="preserve">Data </w:t>
      </w:r>
      <w:r w:rsidR="00FB1C63">
        <w:t>A</w:t>
      </w:r>
      <w:r w:rsidR="002A070B">
        <w:t>11</w:t>
      </w:r>
      <w:r w:rsidR="00FB1C63">
        <w:t>)</w:t>
      </w:r>
      <w:r w:rsidR="00FB1C63" w:rsidRPr="0073290E">
        <w:t>, cetaceans in PC1 were found far away from the other clades but wer</w:t>
      </w:r>
      <w:r w:rsidR="00FB1C63">
        <w:t xml:space="preserve">e positioned much closer in the </w:t>
      </w:r>
      <w:r w:rsidR="00FB1C63" w:rsidRPr="0073290E">
        <w:t>DAA, while still occupying the extreme values along PC1.</w:t>
      </w:r>
      <w:r w:rsidR="00EE0F8E">
        <w:t xml:space="preserve"> </w:t>
      </w:r>
      <w:r w:rsidR="000E5F8A">
        <w:t>Conversely</w:t>
      </w:r>
      <w:r w:rsidR="00EE0F8E">
        <w:t xml:space="preserve">, </w:t>
      </w:r>
      <w:r w:rsidR="00F5097C">
        <w:t>P</w:t>
      </w:r>
      <w:r w:rsidR="00EE0F8E">
        <w:t xml:space="preserve">rimates plotted much closer </w:t>
      </w:r>
      <w:r w:rsidR="000F24F6">
        <w:t xml:space="preserve">to the other </w:t>
      </w:r>
      <w:r w:rsidR="00E345E3">
        <w:t>taxa</w:t>
      </w:r>
      <w:r w:rsidR="000F24F6">
        <w:t xml:space="preserve"> in the plot of the first two</w:t>
      </w:r>
      <w:r w:rsidR="0046273F">
        <w:t xml:space="preserve"> PC</w:t>
      </w:r>
      <w:r w:rsidR="000F24F6">
        <w:t xml:space="preserve"> axes</w:t>
      </w:r>
      <w:r w:rsidR="00EE0F8E">
        <w:t xml:space="preserve"> in the manual landmarking </w:t>
      </w:r>
      <w:r w:rsidR="00762A6A">
        <w:t>approach but</w:t>
      </w:r>
      <w:r w:rsidR="00EE0F8E">
        <w:t xml:space="preserve"> </w:t>
      </w:r>
      <w:r w:rsidR="00DA52C5">
        <w:t>were</w:t>
      </w:r>
      <w:r w:rsidR="00EE0F8E">
        <w:t xml:space="preserve"> </w:t>
      </w:r>
      <w:r w:rsidR="005F1C1D">
        <w:t>more distinct in the results of the DAA</w:t>
      </w:r>
      <w:r w:rsidR="00481858">
        <w:t xml:space="preserve">, especially when using a higher number of control points. </w:t>
      </w:r>
      <w:r w:rsidR="003E35A1" w:rsidRPr="003E35A1">
        <w:t>Rodents consistently formed a distinct cluster across all analyses, but this separation was more pronounced in the DAA. Notably, in the 20.0 mm and 10.0 mm kernel width analyses, the rodent cluster shifted to PC2 rather than PC3, whereas it remained on PC3 for the 40.0 mm analysis</w:t>
      </w:r>
      <w:r w:rsidR="003E35A1">
        <w:t xml:space="preserve">. </w:t>
      </w:r>
      <w:r w:rsidR="009158D8" w:rsidRPr="00207845">
        <w:t xml:space="preserve">A key similarity across methods and kernel widths was the consistent clustering of carnivorans </w:t>
      </w:r>
      <w:r w:rsidR="009158D8">
        <w:t xml:space="preserve">and </w:t>
      </w:r>
      <w:r w:rsidR="009158D8" w:rsidRPr="00207845">
        <w:t>artiodactyls in the central regions of the PC plots</w:t>
      </w:r>
      <w:r w:rsidR="009158D8">
        <w:t>.</w:t>
      </w:r>
      <w:r w:rsidR="004254C6">
        <w:t xml:space="preserve"> </w:t>
      </w:r>
    </w:p>
    <w:p w14:paraId="3215CB2C" w14:textId="7D393171" w:rsidR="001653D3" w:rsidRDefault="001653D3" w:rsidP="007F5FF3">
      <w:pPr>
        <w:spacing w:line="480" w:lineRule="auto"/>
      </w:pPr>
      <w:r w:rsidRPr="0073290E">
        <w:t>When comparing the results across all PC axes</w:t>
      </w:r>
      <w:r>
        <w:t xml:space="preserve"> </w:t>
      </w:r>
      <w:r w:rsidR="00E15F30">
        <w:t xml:space="preserve">for the three DAA </w:t>
      </w:r>
      <w:r>
        <w:t xml:space="preserve">using Poisson meshes </w:t>
      </w:r>
      <w:r w:rsidR="003D1077" w:rsidRPr="0073290E">
        <w:t xml:space="preserve">(Figure </w:t>
      </w:r>
      <w:r w:rsidR="00761961">
        <w:t>3</w:t>
      </w:r>
      <w:r w:rsidR="003D1077" w:rsidRPr="0073290E">
        <w:t>, Additio</w:t>
      </w:r>
      <w:r w:rsidR="003D1077">
        <w:t>nal File, Figure A</w:t>
      </w:r>
      <w:r w:rsidR="00761961">
        <w:t>6</w:t>
      </w:r>
      <w:r w:rsidR="003D1077">
        <w:t xml:space="preserve"> and Data A</w:t>
      </w:r>
      <w:r w:rsidR="002A070B">
        <w:t>7</w:t>
      </w:r>
      <w:r w:rsidR="003D1077">
        <w:t>-</w:t>
      </w:r>
      <w:r w:rsidR="002A070B">
        <w:t>9</w:t>
      </w:r>
      <w:r w:rsidR="003D1077" w:rsidRPr="0073290E">
        <w:t>),</w:t>
      </w:r>
      <w:r w:rsidR="003D1077">
        <w:t xml:space="preserve"> we found a significant but moderate </w:t>
      </w:r>
      <w:r w:rsidR="00E15F30">
        <w:t>corr</w:t>
      </w:r>
      <w:r w:rsidR="00F82832">
        <w:t xml:space="preserve">elation with the manual landmarking results across all three kernel widths </w:t>
      </w:r>
      <w:r w:rsidR="00A5629F">
        <w:t xml:space="preserve">when </w:t>
      </w:r>
      <w:r w:rsidR="003143C5">
        <w:t>measuring</w:t>
      </w:r>
      <w:r w:rsidR="00A5629F">
        <w:t xml:space="preserve"> </w:t>
      </w:r>
      <w:r w:rsidR="00214BAD">
        <w:t xml:space="preserve">Euclidean distances amongst specimens </w:t>
      </w:r>
      <w:r w:rsidR="00E6603E" w:rsidRPr="0073290E">
        <w:t>(</w:t>
      </w:r>
      <w:r w:rsidR="00E6603E">
        <w:t xml:space="preserve">Figure </w:t>
      </w:r>
      <w:r w:rsidR="00640B67">
        <w:t>4</w:t>
      </w:r>
      <w:r w:rsidR="00E6603E">
        <w:t>, Additional File, Table A1</w:t>
      </w:r>
      <w:r w:rsidR="00E6603E" w:rsidRPr="0073290E">
        <w:t>)</w:t>
      </w:r>
      <w:r w:rsidR="00E6603E">
        <w:t xml:space="preserve">. Notably, we observed a decline in the correlation between the manual landmarking and DAA as the kernel width decreased </w:t>
      </w:r>
      <w:r w:rsidR="00071861" w:rsidRPr="0073290E">
        <w:t>(the number of control points increased</w:t>
      </w:r>
      <w:r w:rsidR="00071861">
        <w:t xml:space="preserve">), with the most pronounced decline occurring when going from 40.00m to 20.0mm </w:t>
      </w:r>
      <w:r w:rsidR="003F0FEF" w:rsidRPr="0073290E">
        <w:t>(R</w:t>
      </w:r>
      <w:r w:rsidR="003F0FEF" w:rsidRPr="0073290E">
        <w:rPr>
          <w:vertAlign w:val="superscript"/>
        </w:rPr>
        <w:t xml:space="preserve">2 </w:t>
      </w:r>
      <w:r w:rsidR="003F0FEF" w:rsidRPr="0073290E">
        <w:t>decreased by 0.098).</w:t>
      </w:r>
      <w:r w:rsidR="00515005">
        <w:t xml:space="preserve"> </w:t>
      </w:r>
      <w:r w:rsidR="00FC4ECB">
        <w:t xml:space="preserve">Removing both Cetacea and Primates </w:t>
      </w:r>
      <w:r w:rsidR="007E14DF">
        <w:t xml:space="preserve">from these comparisons yielded contrasting results. For the largest kernel </w:t>
      </w:r>
      <w:r w:rsidR="007E14DF">
        <w:lastRenderedPageBreak/>
        <w:t xml:space="preserve">width (40.0mm), excluding these orders reduced the </w:t>
      </w:r>
      <w:r w:rsidR="00995C29">
        <w:t>R² value from 0.532 to 0.384. In contrast, for the smaller kernel widths of 20.0 mm and 10.0 mm, the R² values increased from 0.434 to 0.523 and from 0.425 to 0.525, respectively.</w:t>
      </w:r>
    </w:p>
    <w:p w14:paraId="7CA9C9F9" w14:textId="0AD43D52" w:rsidR="008C448E" w:rsidRDefault="008C448E" w:rsidP="007F5FF3">
      <w:pPr>
        <w:spacing w:line="480" w:lineRule="auto"/>
        <w:rPr>
          <w:rStyle w:val="Emphasis"/>
          <w:i w:val="0"/>
          <w:iCs w:val="0"/>
        </w:rPr>
      </w:pPr>
      <w:r>
        <w:t xml:space="preserve">Reviewing the correlation </w:t>
      </w:r>
      <w:r w:rsidR="00081692">
        <w:t xml:space="preserve">in Euclidean distances </w:t>
      </w:r>
      <w:r w:rsidR="00452376" w:rsidRPr="00452376">
        <w:rPr>
          <w:rStyle w:val="Strong"/>
          <w:b w:val="0"/>
          <w:bCs w:val="0"/>
        </w:rPr>
        <w:t>within each of the major orders</w:t>
      </w:r>
      <w:r w:rsidR="00452376" w:rsidRPr="00452376">
        <w:rPr>
          <w:b/>
        </w:rPr>
        <w:t xml:space="preserve"> </w:t>
      </w:r>
      <w:r w:rsidR="00452376">
        <w:t>(</w:t>
      </w:r>
      <w:r w:rsidR="00B25D81">
        <w:t>&gt;</w:t>
      </w:r>
      <w:r w:rsidR="00452376">
        <w:t xml:space="preserve">10 specimens in the dataset; </w:t>
      </w:r>
      <w:r w:rsidR="00B25D81">
        <w:t>Additional Material, File A7</w:t>
      </w:r>
      <w:r w:rsidR="00452376">
        <w:t>), show</w:t>
      </w:r>
      <w:r w:rsidR="002F435D">
        <w:t>e</w:t>
      </w:r>
      <w:r w:rsidR="00452376">
        <w:t xml:space="preserve">d contrasting patterns across different numbers of control points. </w:t>
      </w:r>
      <w:r w:rsidR="002F435D">
        <w:t>For instance, the highest correlation with manual landmarking was observed at</w:t>
      </w:r>
      <w:r w:rsidR="00C95A69" w:rsidRPr="00C95A69">
        <w:t xml:space="preserve"> </w:t>
      </w:r>
      <w:r w:rsidR="00824675">
        <w:t>a</w:t>
      </w:r>
      <w:r w:rsidR="00C95A69">
        <w:t xml:space="preserve"> kernel width of 40.0 mm for </w:t>
      </w:r>
      <w:r w:rsidR="00C95A69" w:rsidRPr="00C95A69">
        <w:rPr>
          <w:rStyle w:val="Emphasis"/>
          <w:i w:val="0"/>
          <w:iCs w:val="0"/>
        </w:rPr>
        <w:t>Artiodactyla</w:t>
      </w:r>
      <w:r w:rsidR="00C95A69" w:rsidRPr="00C95A69">
        <w:rPr>
          <w:i/>
        </w:rPr>
        <w:t xml:space="preserve">, </w:t>
      </w:r>
      <w:r w:rsidR="00C95A69" w:rsidRPr="00C95A69">
        <w:rPr>
          <w:rStyle w:val="Emphasis"/>
          <w:i w:val="0"/>
          <w:iCs w:val="0"/>
        </w:rPr>
        <w:t>Cetacea</w:t>
      </w:r>
      <w:r w:rsidR="00C95A69" w:rsidRPr="00C95A69">
        <w:rPr>
          <w:i/>
        </w:rPr>
        <w:t xml:space="preserve">, </w:t>
      </w:r>
      <w:r w:rsidR="00C95A69" w:rsidRPr="00C95A69">
        <w:rPr>
          <w:iCs/>
        </w:rPr>
        <w:t>and</w:t>
      </w:r>
      <w:r w:rsidR="00C95A69" w:rsidRPr="00C95A69">
        <w:rPr>
          <w:i/>
        </w:rPr>
        <w:t xml:space="preserve"> </w:t>
      </w:r>
      <w:r w:rsidR="00C95A69" w:rsidRPr="00C95A69">
        <w:rPr>
          <w:rStyle w:val="Emphasis"/>
          <w:i w:val="0"/>
          <w:iCs w:val="0"/>
        </w:rPr>
        <w:t>Pilosa</w:t>
      </w:r>
      <w:r w:rsidR="00824675">
        <w:rPr>
          <w:rStyle w:val="Emphasis"/>
          <w:i w:val="0"/>
          <w:iCs w:val="0"/>
        </w:rPr>
        <w:t xml:space="preserve">. In contrast, all other orders: Carnivora, Chiroptera, Perissodactyla, Primates and Rodentia showed improved correlation as the kernel width decreased. </w:t>
      </w:r>
      <w:r w:rsidR="00042A9B">
        <w:rPr>
          <w:rStyle w:val="Emphasis"/>
          <w:i w:val="0"/>
          <w:iCs w:val="0"/>
        </w:rPr>
        <w:t xml:space="preserve">The magnitude of these changes varied substantially between groups, with Carnivora showing </w:t>
      </w:r>
      <w:r w:rsidR="005513B6">
        <w:rPr>
          <w:rStyle w:val="Emphasis"/>
          <w:i w:val="0"/>
          <w:iCs w:val="0"/>
        </w:rPr>
        <w:t xml:space="preserve">an increase in correlation of 0.355 and Pilosa a decrease of 0.50, while </w:t>
      </w:r>
      <w:r w:rsidR="00700AD6">
        <w:rPr>
          <w:rStyle w:val="Emphasis"/>
          <w:i w:val="0"/>
          <w:iCs w:val="0"/>
        </w:rPr>
        <w:t xml:space="preserve">the correlation for Cetacea only varied by 0.08. </w:t>
      </w:r>
    </w:p>
    <w:p w14:paraId="79EA8397" w14:textId="4CFC4DE8" w:rsidR="00054FB9" w:rsidRDefault="009461F4" w:rsidP="007F5FF3">
      <w:pPr>
        <w:spacing w:line="480" w:lineRule="auto"/>
      </w:pPr>
      <w:r w:rsidRPr="0073290E">
        <w:t>Further assessments of the impact of kernel width on the correlation between DAA and manual landmarking</w:t>
      </w:r>
      <w:r w:rsidR="00F77940">
        <w:t xml:space="preserve">, performed using the Mantel test, also showed a significant but </w:t>
      </w:r>
      <w:r w:rsidR="00E62903" w:rsidRPr="00E62903">
        <w:rPr>
          <w:rStyle w:val="Strong"/>
          <w:b w:val="0"/>
          <w:bCs w:val="0"/>
        </w:rPr>
        <w:t>moderate correlation across all three kernel widths</w:t>
      </w:r>
      <w:r w:rsidR="00E62903">
        <w:t xml:space="preserve"> (Table 1). These correlations were slightly higher than those obtained using Euclidean distances</w:t>
      </w:r>
      <w:r w:rsidR="00421BC8">
        <w:t xml:space="preserve"> (Figure 4, </w:t>
      </w:r>
      <w:r w:rsidR="00421BC8" w:rsidRPr="0073290E">
        <w:t>Additional File, Table A1</w:t>
      </w:r>
      <w:r w:rsidR="00421BC8">
        <w:t>)</w:t>
      </w:r>
      <w:r w:rsidR="00E62903">
        <w:t xml:space="preserve">, although the maximum value </w:t>
      </w:r>
      <w:r w:rsidR="00EA57BC">
        <w:t xml:space="preserve">of correlation </w:t>
      </w:r>
      <w:r w:rsidR="00E62903">
        <w:t xml:space="preserve">remained </w:t>
      </w:r>
      <w:r w:rsidR="006A57B6">
        <w:t xml:space="preserve">moderate </w:t>
      </w:r>
      <w:r w:rsidR="00E62903">
        <w:t>at 0.657.</w:t>
      </w:r>
      <w:r w:rsidR="00E62903" w:rsidRPr="00E62903">
        <w:t xml:space="preserve"> </w:t>
      </w:r>
      <w:r w:rsidR="00E62903">
        <w:t>C</w:t>
      </w:r>
      <w:r w:rsidR="00E62903" w:rsidRPr="00E62903">
        <w:t>onsistent with previous results, correlation values decreased as kernel width decreased and the number of control points increased (Table 1)</w:t>
      </w:r>
      <w:r w:rsidR="00E62903">
        <w:t xml:space="preserve">, with most the most pronounced decline occurring </w:t>
      </w:r>
      <w:r w:rsidR="00B75910">
        <w:t xml:space="preserve">between 40.0mm and 20.0mm. </w:t>
      </w:r>
      <w:r w:rsidR="000A6B5F">
        <w:t xml:space="preserve">The results from PROTEST </w:t>
      </w:r>
      <w:r w:rsidR="00A91476">
        <w:t>again showed significant correlations, but here we found that a kernel width of 40.0mm had the worse fit to the data</w:t>
      </w:r>
      <w:r w:rsidR="00DE70DB">
        <w:t xml:space="preserve">, and 20.0mm the best. </w:t>
      </w:r>
      <w:r w:rsidR="0044639F">
        <w:t>The variation explained by each of the axes were also highly correlated and conserved across each analysis (Table 1, Additional File, Data A</w:t>
      </w:r>
      <w:r w:rsidR="00EF553F">
        <w:t>12</w:t>
      </w:r>
      <w:r w:rsidR="00AB4A62">
        <w:t>-</w:t>
      </w:r>
      <w:r w:rsidR="00724796">
        <w:t>1</w:t>
      </w:r>
      <w:r w:rsidR="00EF553F">
        <w:t>7</w:t>
      </w:r>
      <w:r w:rsidR="0044639F">
        <w:t>).</w:t>
      </w:r>
    </w:p>
    <w:p w14:paraId="5F683716" w14:textId="65ECB7E1" w:rsidR="002C6B58" w:rsidRDefault="002C6B58" w:rsidP="007F5FF3">
      <w:pPr>
        <w:spacing w:line="480" w:lineRule="auto"/>
        <w:rPr>
          <w:b/>
          <w:bCs/>
        </w:rPr>
      </w:pPr>
      <w:r>
        <w:rPr>
          <w:b/>
          <w:bCs/>
        </w:rPr>
        <w:lastRenderedPageBreak/>
        <w:t xml:space="preserve">Comparisons of Estimated Mean Shape Using Heatmaps </w:t>
      </w:r>
    </w:p>
    <w:p w14:paraId="116666F9" w14:textId="124FEDDC" w:rsidR="00A66BFF" w:rsidRDefault="00B914B7" w:rsidP="007F5FF3">
      <w:pPr>
        <w:spacing w:line="480" w:lineRule="auto"/>
      </w:pPr>
      <w:r>
        <w:t xml:space="preserve">Comparative visualisations of how shape variation </w:t>
      </w:r>
      <w:r w:rsidR="00F163E3">
        <w:t>w</w:t>
      </w:r>
      <w:r w:rsidR="005E2E81">
        <w:t>as</w:t>
      </w:r>
      <w:r>
        <w:t xml:space="preserve"> captured using manual landmarking and DAA were generated for a single specimen of the eight </w:t>
      </w:r>
      <w:r w:rsidR="005E2E81">
        <w:t>major</w:t>
      </w:r>
      <w:r>
        <w:t xml:space="preserve"> orders </w:t>
      </w:r>
      <w:r w:rsidR="00000564">
        <w:t xml:space="preserve">(Figure </w:t>
      </w:r>
      <w:r w:rsidR="00432275">
        <w:t>5</w:t>
      </w:r>
      <w:r w:rsidR="00000564">
        <w:t>, Additional File, Figure A</w:t>
      </w:r>
      <w:r w:rsidR="00105117">
        <w:t>7</w:t>
      </w:r>
      <w:r w:rsidR="00000564">
        <w:t>)</w:t>
      </w:r>
      <w:r w:rsidR="00F148B0">
        <w:t xml:space="preserve">. To do this, we produced heatmaps based on Euclidean distances measured between corresponding </w:t>
      </w:r>
      <w:r w:rsidR="00F163E3">
        <w:t xml:space="preserve">vertices (see Materials and Methods). Viewing the heatmaps </w:t>
      </w:r>
      <w:r w:rsidR="001E29B7">
        <w:t xml:space="preserve">revealed some similarities, but overall marked differences in how each method captured variation. </w:t>
      </w:r>
      <w:r w:rsidR="004C3595">
        <w:t xml:space="preserve">For instance, when looking at </w:t>
      </w:r>
      <w:r w:rsidR="004C3595">
        <w:rPr>
          <w:i/>
          <w:iCs/>
        </w:rPr>
        <w:t>C. calvus</w:t>
      </w:r>
      <w:r w:rsidR="00632D81">
        <w:rPr>
          <w:i/>
          <w:iCs/>
        </w:rPr>
        <w:t xml:space="preserve"> </w:t>
      </w:r>
      <w:r w:rsidR="00632D81">
        <w:t>(Figure 5)</w:t>
      </w:r>
      <w:r w:rsidR="004C3595">
        <w:rPr>
          <w:i/>
          <w:iCs/>
        </w:rPr>
        <w:t xml:space="preserve">, </w:t>
      </w:r>
      <w:r w:rsidR="006A550B">
        <w:t>b</w:t>
      </w:r>
      <w:r w:rsidR="00EB1D23">
        <w:t xml:space="preserve">oth methods identified substantial negative displacement in the occipital region and positive displacement in the eye sockets relative to the mean shape. </w:t>
      </w:r>
      <w:r w:rsidR="00B01268">
        <w:t xml:space="preserve">On the other hand, </w:t>
      </w:r>
      <w:r w:rsidR="00EB1D23" w:rsidRPr="00EB1D23">
        <w:rPr>
          <w:rStyle w:val="Strong"/>
          <w:b w:val="0"/>
          <w:bCs w:val="0"/>
        </w:rPr>
        <w:t>the manual landmarking approach detected minimal variation in the parietal region</w:t>
      </w:r>
      <w:r w:rsidR="00EB1D23" w:rsidRPr="00EB1D23">
        <w:rPr>
          <w:b/>
        </w:rPr>
        <w:t>,</w:t>
      </w:r>
      <w:r w:rsidR="00EB1D23">
        <w:t xml:space="preserve"> whereas the DAA indicated significant negative displacement in this area. </w:t>
      </w:r>
      <w:r w:rsidR="004471E8">
        <w:t>This pattern was consistent among other specimens at the positive end of PC1 in the DAA</w:t>
      </w:r>
      <w:r w:rsidR="00B70341">
        <w:t xml:space="preserve">, whereas those </w:t>
      </w:r>
      <w:r w:rsidR="00A12570">
        <w:t xml:space="preserve">at </w:t>
      </w:r>
      <w:r w:rsidR="00B70341">
        <w:t>the negative</w:t>
      </w:r>
      <w:r w:rsidR="00A12570">
        <w:t xml:space="preserve"> </w:t>
      </w:r>
      <w:r w:rsidR="00B70341">
        <w:t>end</w:t>
      </w:r>
      <w:r w:rsidR="00627666">
        <w:t xml:space="preserve"> of PC1</w:t>
      </w:r>
      <w:r w:rsidR="00A12570">
        <w:t xml:space="preserve"> (</w:t>
      </w:r>
      <w:r w:rsidR="006A550B">
        <w:t xml:space="preserve">e.g. </w:t>
      </w:r>
      <w:r w:rsidR="00A12570">
        <w:t xml:space="preserve">Cetacea, </w:t>
      </w:r>
      <w:r w:rsidR="00C472EE">
        <w:t>Artiodactyla) show</w:t>
      </w:r>
      <w:r w:rsidR="004471E8">
        <w:t>ed</w:t>
      </w:r>
      <w:r w:rsidR="00B70341">
        <w:t xml:space="preserve"> </w:t>
      </w:r>
      <w:r w:rsidR="00A12570">
        <w:t xml:space="preserve">reduced </w:t>
      </w:r>
      <w:r w:rsidR="00627666">
        <w:t>overall displacement</w:t>
      </w:r>
      <w:r w:rsidR="004471E8">
        <w:t xml:space="preserve"> in the DAA</w:t>
      </w:r>
      <w:r w:rsidR="00627666">
        <w:t xml:space="preserve"> compared to the manual landmarking approach, especially in</w:t>
      </w:r>
      <w:r w:rsidR="004471E8">
        <w:t xml:space="preserve"> </w:t>
      </w:r>
      <w:r w:rsidR="00465507">
        <w:t xml:space="preserve">the </w:t>
      </w:r>
      <w:r w:rsidR="00142A39">
        <w:t>nasal and premaxilla regions</w:t>
      </w:r>
      <w:r w:rsidR="00C472EE">
        <w:t xml:space="preserve">. </w:t>
      </w:r>
      <w:r w:rsidR="00A12570">
        <w:t xml:space="preserve"> </w:t>
      </w:r>
    </w:p>
    <w:p w14:paraId="02E38B2E" w14:textId="623BD009" w:rsidR="00DB1592" w:rsidRPr="0073290E" w:rsidRDefault="00DB1592" w:rsidP="00DB1592">
      <w:pPr>
        <w:spacing w:line="480" w:lineRule="auto"/>
        <w:rPr>
          <w:b/>
          <w:iCs/>
        </w:rPr>
      </w:pPr>
      <w:r w:rsidRPr="0073290E">
        <w:rPr>
          <w:b/>
          <w:iCs/>
        </w:rPr>
        <w:t xml:space="preserve">Comparison of </w:t>
      </w:r>
      <w:r w:rsidR="006D6CDE">
        <w:rPr>
          <w:b/>
          <w:iCs/>
        </w:rPr>
        <w:t>E</w:t>
      </w:r>
      <w:r w:rsidRPr="0073290E">
        <w:rPr>
          <w:b/>
          <w:iCs/>
        </w:rPr>
        <w:t xml:space="preserve">ffects on </w:t>
      </w:r>
      <w:r w:rsidR="006D6CDE">
        <w:rPr>
          <w:b/>
          <w:iCs/>
        </w:rPr>
        <w:t>D</w:t>
      </w:r>
      <w:r w:rsidRPr="0073290E">
        <w:rPr>
          <w:b/>
          <w:iCs/>
        </w:rPr>
        <w:t xml:space="preserve">ownstream </w:t>
      </w:r>
      <w:r w:rsidR="006D6CDE">
        <w:rPr>
          <w:b/>
          <w:iCs/>
        </w:rPr>
        <w:t>M</w:t>
      </w:r>
      <w:r w:rsidRPr="0073290E">
        <w:rPr>
          <w:b/>
          <w:iCs/>
        </w:rPr>
        <w:t xml:space="preserve">acroevolutionary </w:t>
      </w:r>
      <w:r w:rsidR="006D6CDE">
        <w:rPr>
          <w:b/>
          <w:iCs/>
        </w:rPr>
        <w:t>A</w:t>
      </w:r>
      <w:r w:rsidRPr="0073290E">
        <w:rPr>
          <w:b/>
          <w:iCs/>
        </w:rPr>
        <w:t xml:space="preserve">nalyses  </w:t>
      </w:r>
    </w:p>
    <w:p w14:paraId="6E5F1A8E" w14:textId="40B9E0A8" w:rsidR="00DB1592" w:rsidRDefault="00DB1592" w:rsidP="00DB1592">
      <w:pPr>
        <w:spacing w:line="480" w:lineRule="auto"/>
        <w:rPr>
          <w:iCs/>
        </w:rPr>
      </w:pPr>
      <w:r w:rsidRPr="0073290E">
        <w:rPr>
          <w:iCs/>
        </w:rPr>
        <w:t xml:space="preserve">After assessing the differences in shape variation estimates, we evaluated their impact on downstream macroevolutionary analyses. </w:t>
      </w:r>
      <w:r>
        <w:rPr>
          <w:iCs/>
        </w:rPr>
        <w:t>All datasets showed significant phylogenetic signal</w:t>
      </w:r>
      <w:r w:rsidR="00C114D7">
        <w:rPr>
          <w:iCs/>
        </w:rPr>
        <w:t xml:space="preserve"> when </w:t>
      </w:r>
      <w:r w:rsidR="003C42E3">
        <w:rPr>
          <w:iCs/>
        </w:rPr>
        <w:t xml:space="preserve">measuring using </w:t>
      </w:r>
      <w:r w:rsidR="00C114D7">
        <w:rPr>
          <w:iCs/>
        </w:rPr>
        <w:t>K</w:t>
      </w:r>
      <w:r w:rsidR="00C114D7" w:rsidRPr="00C114D7">
        <w:rPr>
          <w:iCs/>
          <w:vertAlign w:val="subscript"/>
        </w:rPr>
        <w:t>mult</w:t>
      </w:r>
      <w:r w:rsidR="003C42E3">
        <w:rPr>
          <w:iCs/>
          <w:vertAlign w:val="subscript"/>
        </w:rPr>
        <w:t xml:space="preserve"> </w:t>
      </w:r>
      <w:r w:rsidR="003C42E3" w:rsidRPr="003C42E3">
        <w:rPr>
          <w:iCs/>
        </w:rPr>
        <w:fldChar w:fldCharType="begin"/>
      </w:r>
      <w:r w:rsidR="003C42E3" w:rsidRPr="003C42E3">
        <w:rPr>
          <w:iCs/>
        </w:rPr>
        <w:instrText xml:space="preserve"> ADDIN EN.CITE &lt;EndNote&gt;&lt;Cite&gt;&lt;Author&gt;Adams&lt;/Author&gt;&lt;Year&gt;2014&lt;/Year&gt;&lt;RecNum&gt;106&lt;/RecNum&gt;&lt;DisplayText&gt;[54]&lt;/DisplayText&gt;&lt;record&gt;&lt;rec-number&gt;106&lt;/rec-number&gt;&lt;foreign-keys&gt;&lt;key app="EN" db-id="stvxpdr5yrpspzes0zppeddup9p2da2vrpv9" timestamp="0"&gt;106&lt;/key&gt;&lt;/foreign-keys&gt;&lt;ref-type name="Journal Article"&gt;17&lt;/ref-type&gt;&lt;contributors&gt;&lt;authors&gt;&lt;author&gt;Adams, Dean C.&lt;/author&gt;&lt;/authors&gt;&lt;/contributors&gt;&lt;titles&gt;&lt;title&gt;A generalized K statistic for estimating phylogenetic signal from shape and other high-dimensional multivariate data&lt;/title&gt;&lt;secondary-title&gt;Systematic biology&lt;/secondary-title&gt;&lt;/titles&gt;&lt;periodical&gt;&lt;full-title&gt;Systematic biology&lt;/full-title&gt;&lt;/periodical&gt;&lt;pages&gt;685-697&lt;/pages&gt;&lt;volume&gt;63&lt;/volume&gt;&lt;number&gt;5&lt;/number&gt;&lt;dates&gt;&lt;year&gt;2014&lt;/year&gt;&lt;/dates&gt;&lt;publisher&gt;Oxford University Press&lt;/publisher&gt;&lt;isbn&gt;1076-836X&lt;/isbn&gt;&lt;urls&gt;&lt;/urls&gt;&lt;electronic-resource-num&gt;https://doi.org/10.1093/sysbio/syu030&lt;/electronic-resource-num&gt;&lt;/record&gt;&lt;/Cite&gt;&lt;/EndNote&gt;</w:instrText>
      </w:r>
      <w:r w:rsidR="003C42E3" w:rsidRPr="003C42E3">
        <w:rPr>
          <w:iCs/>
        </w:rPr>
        <w:fldChar w:fldCharType="separate"/>
      </w:r>
      <w:r w:rsidR="003C42E3" w:rsidRPr="003C42E3">
        <w:rPr>
          <w:iCs/>
          <w:noProof/>
        </w:rPr>
        <w:t>[54]</w:t>
      </w:r>
      <w:r w:rsidR="003C42E3" w:rsidRPr="003C42E3">
        <w:rPr>
          <w:iCs/>
        </w:rPr>
        <w:fldChar w:fldCharType="end"/>
      </w:r>
      <w:r>
        <w:rPr>
          <w:iCs/>
        </w:rPr>
        <w:t xml:space="preserve"> </w:t>
      </w:r>
      <w:r w:rsidRPr="0073290E">
        <w:rPr>
          <w:iCs/>
        </w:rPr>
        <w:t>(p &lt; 0.01, Table 2), with the manual landmarking appro</w:t>
      </w:r>
      <w:r>
        <w:rPr>
          <w:iCs/>
        </w:rPr>
        <w:t xml:space="preserve">ach yielding the highest value, indicating that shape correlated with phylogenetic relationships across all analyses. </w:t>
      </w:r>
      <w:r w:rsidRPr="0073290E">
        <w:rPr>
          <w:iCs/>
        </w:rPr>
        <w:t xml:space="preserve">In the DAA, we found that the phylogenetic signal consistently decreased as the kernel width decreased (as </w:t>
      </w:r>
      <w:r>
        <w:rPr>
          <w:iCs/>
        </w:rPr>
        <w:t xml:space="preserve">the </w:t>
      </w:r>
      <w:r w:rsidRPr="0073290E">
        <w:rPr>
          <w:iCs/>
        </w:rPr>
        <w:t>numbe</w:t>
      </w:r>
      <w:r>
        <w:rPr>
          <w:iCs/>
        </w:rPr>
        <w:t>r of control points increased</w:t>
      </w:r>
      <w:r w:rsidR="00C114D7">
        <w:rPr>
          <w:iCs/>
        </w:rPr>
        <w:t>, Table 2</w:t>
      </w:r>
      <w:r>
        <w:rPr>
          <w:iCs/>
        </w:rPr>
        <w:t>).</w:t>
      </w:r>
    </w:p>
    <w:p w14:paraId="518AB84B" w14:textId="35D5EEF7" w:rsidR="00DB1592" w:rsidRPr="0073290E" w:rsidRDefault="00DB1592" w:rsidP="00DB1592">
      <w:pPr>
        <w:spacing w:line="480" w:lineRule="auto"/>
        <w:rPr>
          <w:iCs/>
        </w:rPr>
      </w:pPr>
      <w:r>
        <w:rPr>
          <w:iCs/>
        </w:rPr>
        <w:lastRenderedPageBreak/>
        <w:t xml:space="preserve">Next, </w:t>
      </w:r>
      <w:r w:rsidRPr="0073290E">
        <w:rPr>
          <w:iCs/>
        </w:rPr>
        <w:t xml:space="preserve">we </w:t>
      </w:r>
      <w:r>
        <w:rPr>
          <w:iCs/>
        </w:rPr>
        <w:t>estimated</w:t>
      </w:r>
      <w:r w:rsidRPr="0073290E">
        <w:rPr>
          <w:iCs/>
        </w:rPr>
        <w:t xml:space="preserve"> morphological disparity </w:t>
      </w:r>
      <w:r>
        <w:rPr>
          <w:iCs/>
        </w:rPr>
        <w:t xml:space="preserve">and evolutionary rates for specific ecological categories and compared the results between the </w:t>
      </w:r>
      <w:r w:rsidRPr="0073290E">
        <w:rPr>
          <w:iCs/>
        </w:rPr>
        <w:t>manual landmarking and</w:t>
      </w:r>
      <w:r>
        <w:rPr>
          <w:iCs/>
        </w:rPr>
        <w:t xml:space="preserve"> each</w:t>
      </w:r>
      <w:r w:rsidRPr="0073290E">
        <w:rPr>
          <w:iCs/>
        </w:rPr>
        <w:t xml:space="preserve"> DAA </w:t>
      </w:r>
      <w:r>
        <w:rPr>
          <w:iCs/>
        </w:rPr>
        <w:t>dataset</w:t>
      </w:r>
      <w:r w:rsidRPr="0073290E">
        <w:rPr>
          <w:iCs/>
        </w:rPr>
        <w:t xml:space="preserve"> (Fig</w:t>
      </w:r>
      <w:r>
        <w:rPr>
          <w:iCs/>
        </w:rPr>
        <w:t xml:space="preserve">ure </w:t>
      </w:r>
      <w:r w:rsidR="00CE4461">
        <w:rPr>
          <w:iCs/>
        </w:rPr>
        <w:t>6</w:t>
      </w:r>
      <w:r>
        <w:rPr>
          <w:iCs/>
        </w:rPr>
        <w:t>, Additional File, Table A2, and Data A1</w:t>
      </w:r>
      <w:r w:rsidR="00EF553F">
        <w:rPr>
          <w:iCs/>
        </w:rPr>
        <w:t>8</w:t>
      </w:r>
      <w:r>
        <w:rPr>
          <w:iCs/>
        </w:rPr>
        <w:t>-1</w:t>
      </w:r>
      <w:r w:rsidR="00EF553F">
        <w:rPr>
          <w:iCs/>
        </w:rPr>
        <w:t>9</w:t>
      </w:r>
      <w:r w:rsidRPr="0073290E">
        <w:rPr>
          <w:iCs/>
        </w:rPr>
        <w:t xml:space="preserve">). </w:t>
      </w:r>
      <w:r>
        <w:rPr>
          <w:iCs/>
        </w:rPr>
        <w:t>We</w:t>
      </w:r>
      <w:r w:rsidRPr="0073290E">
        <w:rPr>
          <w:iCs/>
        </w:rPr>
        <w:t xml:space="preserve"> focused on the</w:t>
      </w:r>
      <w:r>
        <w:rPr>
          <w:iCs/>
        </w:rPr>
        <w:t xml:space="preserve"> ecological</w:t>
      </w:r>
      <w:r w:rsidRPr="0073290E">
        <w:rPr>
          <w:iCs/>
        </w:rPr>
        <w:t xml:space="preserve"> categories of diet and locomotion as these </w:t>
      </w:r>
      <w:r>
        <w:rPr>
          <w:iCs/>
        </w:rPr>
        <w:t xml:space="preserve">can be reliably estimated for fossils and thus </w:t>
      </w:r>
      <w:r w:rsidRPr="0073290E">
        <w:rPr>
          <w:iCs/>
        </w:rPr>
        <w:t xml:space="preserve">had values </w:t>
      </w:r>
      <w:r>
        <w:rPr>
          <w:iCs/>
        </w:rPr>
        <w:t xml:space="preserve">available </w:t>
      </w:r>
      <w:r w:rsidRPr="0073290E">
        <w:rPr>
          <w:iCs/>
        </w:rPr>
        <w:t>for all specimens. For diet, we found no significant correlation across any of the kernel widths for the measures of morphological disparity (p &gt; 0.05) but did find highly significant values for correlations for evolutionary rate (p &lt; 0.05), particularly for the kernel width of 10.0mm</w:t>
      </w:r>
      <w:r>
        <w:rPr>
          <w:iCs/>
        </w:rPr>
        <w:t xml:space="preserve"> when comparing DAA to manual landmarking</w:t>
      </w:r>
      <w:r w:rsidRPr="0073290E">
        <w:rPr>
          <w:iCs/>
        </w:rPr>
        <w:t>. For locomotion, we recovered significant correlations for both measures of morphological disparity and evolutionary rates (p &lt; 0.05), with the high</w:t>
      </w:r>
      <w:r>
        <w:rPr>
          <w:iCs/>
        </w:rPr>
        <w:t>est</w:t>
      </w:r>
      <w:r w:rsidRPr="0073290E">
        <w:rPr>
          <w:iCs/>
        </w:rPr>
        <w:t xml:space="preserve"> values of correlation found</w:t>
      </w:r>
      <w:r>
        <w:rPr>
          <w:iCs/>
        </w:rPr>
        <w:t xml:space="preserve"> for the kernel width of 20.0mm when compared with manual landmarking. </w:t>
      </w:r>
      <w:r w:rsidRPr="0073290E">
        <w:rPr>
          <w:iCs/>
        </w:rPr>
        <w:t xml:space="preserve"> </w:t>
      </w:r>
    </w:p>
    <w:p w14:paraId="3630468D" w14:textId="27B436AE" w:rsidR="00DB1592" w:rsidRDefault="003F5F94" w:rsidP="007F5FF3">
      <w:pPr>
        <w:spacing w:line="480" w:lineRule="auto"/>
        <w:rPr>
          <w:b/>
          <w:bCs/>
        </w:rPr>
      </w:pPr>
      <w:r>
        <w:rPr>
          <w:b/>
          <w:bCs/>
        </w:rPr>
        <w:t xml:space="preserve">Discussion </w:t>
      </w:r>
    </w:p>
    <w:p w14:paraId="0D4E6043" w14:textId="24AB331A" w:rsidR="005E0778" w:rsidRPr="003821B3" w:rsidRDefault="00032664" w:rsidP="007F5FF3">
      <w:pPr>
        <w:spacing w:line="480" w:lineRule="auto"/>
        <w:rPr>
          <w:iCs/>
        </w:rPr>
      </w:pPr>
      <w:r w:rsidRPr="0073290E">
        <w:rPr>
          <w:iCs/>
        </w:rPr>
        <w:t>To advance morphometrics into the era of big data, it is essential to develop methodologies that efficiently capture precise, high-dimensional morphological data across extensive an</w:t>
      </w:r>
      <w:r>
        <w:rPr>
          <w:iCs/>
        </w:rPr>
        <w:t>d diverse datasets</w:t>
      </w:r>
      <w:r w:rsidR="007C00AE">
        <w:rPr>
          <w:iCs/>
        </w:rPr>
        <w:t>.</w:t>
      </w:r>
      <w:r>
        <w:rPr>
          <w:iCs/>
        </w:rPr>
        <w:t xml:space="preserve"> </w:t>
      </w:r>
      <w:r w:rsidR="007C00AE">
        <w:rPr>
          <w:iCs/>
        </w:rPr>
        <w:t>However,</w:t>
      </w:r>
      <w:r>
        <w:rPr>
          <w:iCs/>
        </w:rPr>
        <w:t xml:space="preserve"> this remains difficult due to the characteristics of current geometric morphometric approaches, </w:t>
      </w:r>
      <w:r w:rsidR="00956977">
        <w:rPr>
          <w:iCs/>
        </w:rPr>
        <w:t xml:space="preserve">especially </w:t>
      </w:r>
      <w:r w:rsidR="00CB4139">
        <w:rPr>
          <w:iCs/>
        </w:rPr>
        <w:t>the</w:t>
      </w:r>
      <w:r w:rsidR="007A5EE2">
        <w:rPr>
          <w:iCs/>
        </w:rPr>
        <w:t>ir</w:t>
      </w:r>
      <w:r w:rsidR="00CB4139">
        <w:rPr>
          <w:iCs/>
        </w:rPr>
        <w:t xml:space="preserve"> </w:t>
      </w:r>
      <w:r w:rsidR="00FA2967">
        <w:rPr>
          <w:iCs/>
        </w:rPr>
        <w:t>time intensi</w:t>
      </w:r>
      <w:r w:rsidR="007A5EE2">
        <w:rPr>
          <w:iCs/>
        </w:rPr>
        <w:t>ve nature</w:t>
      </w:r>
      <w:r w:rsidR="00FA2967">
        <w:rPr>
          <w:iCs/>
        </w:rPr>
        <w:t xml:space="preserve"> </w:t>
      </w:r>
      <w:r w:rsidR="00CB4139">
        <w:rPr>
          <w:iCs/>
        </w:rPr>
        <w:t xml:space="preserve">and lack of applicability to disparate datasets. </w:t>
      </w:r>
      <w:r w:rsidR="00D816CC">
        <w:rPr>
          <w:iCs/>
        </w:rPr>
        <w:t xml:space="preserve">In this study we sought to investigate </w:t>
      </w:r>
      <w:r w:rsidR="00F32ED6">
        <w:rPr>
          <w:iCs/>
        </w:rPr>
        <w:t>if</w:t>
      </w:r>
      <w:r w:rsidR="00D816CC">
        <w:rPr>
          <w:iCs/>
        </w:rPr>
        <w:t xml:space="preserve"> landmark-free methods, such as the Deterministic Atlas Analysis</w:t>
      </w:r>
      <w:r w:rsidR="00F32ED6">
        <w:rPr>
          <w:iCs/>
        </w:rPr>
        <w:t xml:space="preserve"> (DAA)</w:t>
      </w:r>
      <w:r w:rsidR="00D816CC">
        <w:rPr>
          <w:iCs/>
        </w:rPr>
        <w:t xml:space="preserve">, </w:t>
      </w:r>
      <w:r w:rsidR="00F32ED6">
        <w:rPr>
          <w:iCs/>
        </w:rPr>
        <w:t>can</w:t>
      </w:r>
      <w:r w:rsidR="00D816CC">
        <w:rPr>
          <w:iCs/>
        </w:rPr>
        <w:t xml:space="preserve"> overcom</w:t>
      </w:r>
      <w:r w:rsidR="00F32ED6">
        <w:rPr>
          <w:iCs/>
        </w:rPr>
        <w:t>e</w:t>
      </w:r>
      <w:r w:rsidR="00D816CC">
        <w:rPr>
          <w:iCs/>
        </w:rPr>
        <w:t xml:space="preserve"> these bottlenecks. </w:t>
      </w:r>
      <w:r w:rsidR="00C17156">
        <w:rPr>
          <w:iCs/>
        </w:rPr>
        <w:t xml:space="preserve">Our analysis demonstrates that these methods are significantly quicker to apply, </w:t>
      </w:r>
      <w:r w:rsidR="00CC3FC8">
        <w:rPr>
          <w:iCs/>
        </w:rPr>
        <w:t xml:space="preserve">with the processing </w:t>
      </w:r>
      <w:r w:rsidR="0043635B">
        <w:rPr>
          <w:iCs/>
        </w:rPr>
        <w:t xml:space="preserve">of </w:t>
      </w:r>
      <w:r w:rsidR="00CC3FC8">
        <w:rPr>
          <w:iCs/>
        </w:rPr>
        <w:t>all 322 meshes and analysis taking ~120 hours compared to the ~750 hours requi</w:t>
      </w:r>
      <w:r w:rsidR="003821B3">
        <w:rPr>
          <w:iCs/>
        </w:rPr>
        <w:t>red for expert manual labelling.</w:t>
      </w:r>
      <w:r w:rsidR="003821B3" w:rsidRPr="003821B3">
        <w:rPr>
          <w:iCs/>
        </w:rPr>
        <w:t xml:space="preserve"> </w:t>
      </w:r>
      <w:r w:rsidR="000F4080">
        <w:rPr>
          <w:iCs/>
        </w:rPr>
        <w:t>W</w:t>
      </w:r>
      <w:r w:rsidR="003821B3">
        <w:rPr>
          <w:iCs/>
        </w:rPr>
        <w:t xml:space="preserve">hen considering only the analysis using DAA excluding </w:t>
      </w:r>
      <w:r w:rsidR="00DC0AC0">
        <w:rPr>
          <w:iCs/>
        </w:rPr>
        <w:t xml:space="preserve">time spent on </w:t>
      </w:r>
      <w:r w:rsidR="003821B3">
        <w:rPr>
          <w:iCs/>
        </w:rPr>
        <w:t>the generation of Poisson meshes</w:t>
      </w:r>
      <w:r w:rsidR="00DC0AC0">
        <w:rPr>
          <w:iCs/>
        </w:rPr>
        <w:t xml:space="preserve"> (which may not be necessary if a single imaging approach is used, i.e. only CT scans), the time for generation of </w:t>
      </w:r>
      <w:r w:rsidR="00DC0AC0">
        <w:rPr>
          <w:iCs/>
        </w:rPr>
        <w:lastRenderedPageBreak/>
        <w:t>morphometric data</w:t>
      </w:r>
      <w:r w:rsidR="003821B3">
        <w:rPr>
          <w:iCs/>
        </w:rPr>
        <w:t xml:space="preserve"> is reduced</w:t>
      </w:r>
      <w:r w:rsidR="00DC0AC0">
        <w:rPr>
          <w:iCs/>
        </w:rPr>
        <w:t xml:space="preserve"> </w:t>
      </w:r>
      <w:r w:rsidR="008C3D69">
        <w:rPr>
          <w:iCs/>
        </w:rPr>
        <w:t xml:space="preserve">from </w:t>
      </w:r>
      <w:r w:rsidR="00DC0AC0">
        <w:rPr>
          <w:iCs/>
        </w:rPr>
        <w:t>~750 hours</w:t>
      </w:r>
      <w:r w:rsidR="003821B3">
        <w:rPr>
          <w:iCs/>
        </w:rPr>
        <w:t xml:space="preserve"> down to eight hours. </w:t>
      </w:r>
      <w:r w:rsidR="005F760F">
        <w:rPr>
          <w:iCs/>
        </w:rPr>
        <w:t>This improvement in efficiency is very promising, allowing for large</w:t>
      </w:r>
      <w:r w:rsidR="00173F96">
        <w:rPr>
          <w:iCs/>
        </w:rPr>
        <w:t>-scale morphological studies</w:t>
      </w:r>
      <w:r w:rsidR="009D1176">
        <w:rPr>
          <w:iCs/>
        </w:rPr>
        <w:t xml:space="preserve"> such as the one performed here</w:t>
      </w:r>
      <w:r w:rsidR="00173F96">
        <w:rPr>
          <w:iCs/>
        </w:rPr>
        <w:t xml:space="preserve"> to be conducted in the fraction of the time, </w:t>
      </w:r>
      <w:r w:rsidR="006321EE">
        <w:rPr>
          <w:iCs/>
        </w:rPr>
        <w:t xml:space="preserve">thus </w:t>
      </w:r>
      <w:r w:rsidR="00BD0784">
        <w:rPr>
          <w:iCs/>
        </w:rPr>
        <w:t xml:space="preserve">significantly improving the scalability of geometric morphometric approaches. </w:t>
      </w:r>
    </w:p>
    <w:p w14:paraId="37591AA5" w14:textId="77777777" w:rsidR="00C7154A" w:rsidRDefault="00414470" w:rsidP="00CF57D8">
      <w:pPr>
        <w:spacing w:line="480" w:lineRule="auto"/>
      </w:pPr>
      <w:r>
        <w:t>T</w:t>
      </w:r>
      <w:r w:rsidR="00F64F63">
        <w:t xml:space="preserve">he </w:t>
      </w:r>
      <w:r w:rsidR="00F82E90">
        <w:t>results of manual landmarking and DAA</w:t>
      </w:r>
      <w:r>
        <w:t xml:space="preserve"> were</w:t>
      </w:r>
      <w:r w:rsidR="00F82E90">
        <w:t xml:space="preserve"> almost all significantly correlated, including the comparisons between shape and the downstream macroevolutionary analyses, </w:t>
      </w:r>
      <w:r>
        <w:t>but often these relationships were only moderate</w:t>
      </w:r>
      <w:r w:rsidR="00186280">
        <w:t xml:space="preserve">. The measured </w:t>
      </w:r>
      <w:r w:rsidR="00F82E90">
        <w:t xml:space="preserve">Euclidean distances </w:t>
      </w:r>
      <w:r w:rsidR="00683B97" w:rsidRPr="00683B97">
        <w:t>showed correlations of 55% or lower, while the Mantel test reached a maximum of 65%</w:t>
      </w:r>
      <w:r w:rsidR="00C37EAC">
        <w:t xml:space="preserve"> (Table 1)</w:t>
      </w:r>
      <w:r w:rsidR="00F82E90">
        <w:t xml:space="preserve">. </w:t>
      </w:r>
      <w:r w:rsidR="00683B97" w:rsidRPr="00683B97">
        <w:t xml:space="preserve">This suggests that at least 35% of shape variation </w:t>
      </w:r>
      <w:r w:rsidR="005B2E64">
        <w:t xml:space="preserve">captured by one method </w:t>
      </w:r>
      <w:r w:rsidR="00683B97" w:rsidRPr="00683B97">
        <w:t>remains unexplained</w:t>
      </w:r>
      <w:r w:rsidR="005B2E64">
        <w:t xml:space="preserve"> by the other</w:t>
      </w:r>
      <w:r w:rsidR="00683B97" w:rsidRPr="00683B97">
        <w:t xml:space="preserve">. Additionally, the sensitivity of results to changes in the kernel width parameter indicates that spatial scale plays a crucial role in shaping the </w:t>
      </w:r>
      <w:r w:rsidR="00784EC9" w:rsidRPr="00683B97">
        <w:t>results</w:t>
      </w:r>
      <w:r w:rsidR="00683B97">
        <w:t>.</w:t>
      </w:r>
      <w:r w:rsidR="00196CA3">
        <w:t xml:space="preserve"> Here</w:t>
      </w:r>
      <w:r w:rsidR="00ED2AE4">
        <w:t>,</w:t>
      </w:r>
      <w:r w:rsidR="00196CA3">
        <w:t xml:space="preserve"> we attempt to disentangle the major reasons for the similarities and differences between the results, and present </w:t>
      </w:r>
      <w:r w:rsidR="007745AF">
        <w:t>suggestions</w:t>
      </w:r>
      <w:r w:rsidR="00196CA3">
        <w:t xml:space="preserve"> to help maximise the </w:t>
      </w:r>
      <w:r w:rsidR="00536BFD">
        <w:t>potential of landmark-free methods in capturing accurate shape variation</w:t>
      </w:r>
      <w:r w:rsidR="00ED2AE4">
        <w:t xml:space="preserve"> in the future</w:t>
      </w:r>
      <w:r w:rsidR="00536BFD">
        <w:t xml:space="preserve">. </w:t>
      </w:r>
    </w:p>
    <w:p w14:paraId="2E00360E" w14:textId="49E02786" w:rsidR="00CF57D8" w:rsidRDefault="00CF57D8" w:rsidP="00CF57D8">
      <w:pPr>
        <w:spacing w:line="480" w:lineRule="auto"/>
        <w:rPr>
          <w:b/>
        </w:rPr>
      </w:pPr>
      <w:r>
        <w:rPr>
          <w:b/>
        </w:rPr>
        <w:t xml:space="preserve">Comparison of </w:t>
      </w:r>
      <w:r w:rsidR="00F127FE">
        <w:rPr>
          <w:b/>
        </w:rPr>
        <w:t>T</w:t>
      </w:r>
      <w:r>
        <w:rPr>
          <w:b/>
        </w:rPr>
        <w:t xml:space="preserve">emplate </w:t>
      </w:r>
      <w:r w:rsidR="00F127FE">
        <w:rPr>
          <w:b/>
        </w:rPr>
        <w:t>S</w:t>
      </w:r>
      <w:r>
        <w:rPr>
          <w:b/>
        </w:rPr>
        <w:t xml:space="preserve">election on </w:t>
      </w:r>
      <w:r w:rsidR="00F127FE">
        <w:rPr>
          <w:b/>
        </w:rPr>
        <w:t>A</w:t>
      </w:r>
      <w:r>
        <w:rPr>
          <w:b/>
        </w:rPr>
        <w:t xml:space="preserve">tlas </w:t>
      </w:r>
      <w:r w:rsidR="00F127FE">
        <w:rPr>
          <w:b/>
        </w:rPr>
        <w:t>G</w:t>
      </w:r>
      <w:r>
        <w:rPr>
          <w:b/>
        </w:rPr>
        <w:t xml:space="preserve">eneration  </w:t>
      </w:r>
    </w:p>
    <w:p w14:paraId="3FF4E14E" w14:textId="0EDA49A5" w:rsidR="00CF57D8" w:rsidRDefault="00AA699B" w:rsidP="007F5FF3">
      <w:pPr>
        <w:spacing w:line="480" w:lineRule="auto"/>
      </w:pPr>
      <w:r>
        <w:t>As previous studies have shown that the initial template selection can impact results</w:t>
      </w:r>
      <w:r w:rsidR="00130488">
        <w:t xml:space="preserve"> </w:t>
      </w:r>
      <w:r w:rsidR="00130488">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instrText xml:space="preserve"> ADDIN EN.CITE </w:instrText>
      </w:r>
      <w:r w:rsidR="00D304C4">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instrText xml:space="preserve"> ADDIN EN.CITE.DATA </w:instrText>
      </w:r>
      <w:r w:rsidR="00D304C4">
        <w:fldChar w:fldCharType="end"/>
      </w:r>
      <w:r w:rsidR="00130488">
        <w:fldChar w:fldCharType="separate"/>
      </w:r>
      <w:r w:rsidR="00D304C4">
        <w:rPr>
          <w:noProof/>
        </w:rPr>
        <w:t>[51-53]</w:t>
      </w:r>
      <w:r w:rsidR="00130488">
        <w:fldChar w:fldCharType="end"/>
      </w:r>
      <w:r w:rsidR="00130488">
        <w:t xml:space="preserve">, we began our </w:t>
      </w:r>
      <w:r w:rsidR="00D520AD">
        <w:t xml:space="preserve">study by testing three morphologically disparate taxa as </w:t>
      </w:r>
      <w:r w:rsidR="00E178EE">
        <w:t>our input template. In contrast to these previous findings, we found that the results remained highly consistent</w:t>
      </w:r>
      <w:r w:rsidR="00996221">
        <w:t xml:space="preserve"> across templates</w:t>
      </w:r>
      <w:r w:rsidR="00E178EE">
        <w:t>, with the primary source of variation in the results arising from differences in the number of control points generated for each selected specimen</w:t>
      </w:r>
      <w:r w:rsidR="00EB6645">
        <w:t>,</w:t>
      </w:r>
      <w:r w:rsidR="004535C9">
        <w:t xml:space="preserve"> despite using a fixed kernel width</w:t>
      </w:r>
      <w:r w:rsidR="00FD3B05">
        <w:t xml:space="preserve"> (Additional File, Figure A1 and A2</w:t>
      </w:r>
      <w:r w:rsidR="00EB7047">
        <w:t>, Data A1-3</w:t>
      </w:r>
      <w:r w:rsidR="00FD3B05">
        <w:t>)</w:t>
      </w:r>
      <w:r w:rsidR="004535C9">
        <w:t xml:space="preserve">. While these templates represented a single specimen, </w:t>
      </w:r>
      <w:r w:rsidR="00E54B19">
        <w:t xml:space="preserve">the DAA approach was shown to mitigate this impact, which we attribute to the reduction </w:t>
      </w:r>
      <w:r w:rsidR="00E54B19">
        <w:lastRenderedPageBreak/>
        <w:t xml:space="preserve">in total deformation energy due to the construction of a new mean shape based on geodesic transformations </w:t>
      </w:r>
      <w:r w:rsidR="00DC563A">
        <w:rPr>
          <w:iCs/>
        </w:rPr>
        <w:fldChar w:fldCharType="begin"/>
      </w:r>
      <w:r w:rsidR="00DC563A">
        <w:rPr>
          <w:iCs/>
        </w:rPr>
        <w:instrText xml:space="preserve"> ADDIN EN.CITE &lt;EndNote&gt;&lt;Cite&gt;&lt;Author&gt;Fletcher&lt;/Author&gt;&lt;Year&gt;2011&lt;/Year&gt;&lt;RecNum&gt;354&lt;/RecNum&gt;&lt;DisplayText&gt;[36, 37]&lt;/DisplayText&gt;&lt;record&gt;&lt;rec-number&gt;354&lt;/rec-number&gt;&lt;foreign-keys&gt;&lt;key app="EN" db-id="tasefzw5b2p9euepe2cpwzvqsztr2dd9f5tz" timestamp="1739296131"&gt;354&lt;/key&gt;&lt;/foreign-keys&gt;&lt;ref-type name="Conference Proceedings"&gt;10&lt;/ref-type&gt;&lt;contributors&gt;&lt;authors&gt;&lt;author&gt;Fletcher, Thomas&lt;/author&gt;&lt;/authors&gt;&lt;/contributors&gt;&lt;titles&gt;&lt;title&gt;Geodesic regression on Riemannian manifolds&lt;/title&gt;&lt;secondary-title&gt;Proceedings of the Third International Workshop on Mathematical Foundations of Computational Anatomy-Geometrical and Statistical Methods for Modelling Biological Shape Variability&lt;/secondary-title&gt;&lt;/titles&gt;&lt;pages&gt;75-86&lt;/pages&gt;&lt;dates&gt;&lt;year&gt;2011&lt;/year&gt;&lt;/dates&gt;&lt;urls&gt;&lt;/urls&gt;&lt;/record&gt;&lt;/Cite&gt;&lt;Cite&gt;&lt;Author&gt;Fishbaugh&lt;/Author&gt;&lt;Year&gt;2014&lt;/Year&gt;&lt;RecNum&gt;355&lt;/RecNum&gt;&lt;record&gt;&lt;rec-number&gt;355&lt;/rec-number&gt;&lt;foreign-keys&gt;&lt;key app="EN" db-id="tasefzw5b2p9euepe2cpwzvqsztr2dd9f5tz" timestamp="1739296296"&gt;355&lt;/key&gt;&lt;/foreign-keys&gt;&lt;ref-type name="Conference Proceedings"&gt;10&lt;/ref-type&gt;&lt;contributors&gt;&lt;authors&gt;&lt;author&gt;Fishbaugh, James&lt;/author&gt;&lt;author&gt;Prastawa, Marcel&lt;/author&gt;&lt;author&gt;Gerig, Guido&lt;/author&gt;&lt;author&gt;Durrleman, Stanley&lt;/author&gt;&lt;/authors&gt;&lt;/contributors&gt;&lt;titles&gt;&lt;title&gt;Geodesic regression of image and shape data for improved modeling of 4D trajectories&lt;/title&gt;&lt;secondary-title&gt;2014 IEEE 11th International Symposium on Biomedical Imaging (ISBI)&lt;/secondary-title&gt;&lt;/titles&gt;&lt;pages&gt;385-388&lt;/pages&gt;&lt;dates&gt;&lt;year&gt;2014&lt;/year&gt;&lt;/dates&gt;&lt;publisher&gt;IEEE&lt;/publisher&gt;&lt;isbn&gt;1467319619&lt;/isbn&gt;&lt;urls&gt;&lt;/urls&gt;&lt;electronic-resource-num&gt;https://doi.org/10.1109/ISBI.2014.6867889&lt;/electronic-resource-num&gt;&lt;/record&gt;&lt;/Cite&gt;&lt;/EndNote&gt;</w:instrText>
      </w:r>
      <w:r w:rsidR="00DC563A">
        <w:rPr>
          <w:iCs/>
        </w:rPr>
        <w:fldChar w:fldCharType="separate"/>
      </w:r>
      <w:r w:rsidR="00DC563A">
        <w:rPr>
          <w:iCs/>
          <w:noProof/>
        </w:rPr>
        <w:t>[36, 37]</w:t>
      </w:r>
      <w:r w:rsidR="00DC563A">
        <w:rPr>
          <w:iCs/>
        </w:rPr>
        <w:fldChar w:fldCharType="end"/>
      </w:r>
      <w:r w:rsidR="00DC563A">
        <w:rPr>
          <w:iCs/>
        </w:rPr>
        <w:t xml:space="preserve">. </w:t>
      </w:r>
      <w:r w:rsidR="00E54B19">
        <w:t xml:space="preserve"> </w:t>
      </w:r>
      <w:r w:rsidR="00EB0A01" w:rsidRPr="00EB0A01">
        <w:t>Since the dataset remained constant</w:t>
      </w:r>
      <w:r w:rsidR="00EB0A01">
        <w:t xml:space="preserve"> across analyses</w:t>
      </w:r>
      <w:r w:rsidR="00EB0A01" w:rsidRPr="00EB0A01">
        <w:t>, these transformations ensured consistency across different templates.</w:t>
      </w:r>
    </w:p>
    <w:p w14:paraId="69BA9254" w14:textId="17E1F21E" w:rsidR="00EB0A01" w:rsidRDefault="00E36BA1" w:rsidP="007F5FF3">
      <w:pPr>
        <w:spacing w:line="480" w:lineRule="auto"/>
        <w:rPr>
          <w:rStyle w:val="Strong"/>
          <w:b w:val="0"/>
          <w:bCs w:val="0"/>
        </w:rPr>
      </w:pPr>
      <w:r>
        <w:t xml:space="preserve">Although </w:t>
      </w:r>
      <w:r w:rsidR="002150B7">
        <w:t>impact was minimal</w:t>
      </w:r>
      <w:r>
        <w:t xml:space="preserve">, we still suggest that the specimen closest to the estimated mean shape in the manual landmarking analysis </w:t>
      </w:r>
      <w:r w:rsidR="00EB6645">
        <w:t>to be</w:t>
      </w:r>
      <w:r>
        <w:t xml:space="preserve"> the most optimal</w:t>
      </w:r>
      <w:r w:rsidR="00332BE2">
        <w:t xml:space="preserve">, in this case, </w:t>
      </w:r>
      <w:r w:rsidR="00332BE2">
        <w:rPr>
          <w:i/>
          <w:iCs/>
        </w:rPr>
        <w:t>A. binuturong</w:t>
      </w:r>
      <w:r w:rsidR="00332BE2">
        <w:t xml:space="preserve">. </w:t>
      </w:r>
      <w:r w:rsidR="00AB49EA">
        <w:t xml:space="preserve">This is because when using </w:t>
      </w:r>
      <w:r w:rsidR="002150B7">
        <w:t xml:space="preserve">specimens with more unusual morphologies among the dataset </w:t>
      </w:r>
      <w:r w:rsidR="00AB49EA">
        <w:t>(</w:t>
      </w:r>
      <w:r w:rsidR="00AB49EA">
        <w:rPr>
          <w:i/>
          <w:iCs/>
        </w:rPr>
        <w:t xml:space="preserve">C. calvus and S. </w:t>
      </w:r>
      <w:r w:rsidR="00C45F09" w:rsidRPr="0060363D">
        <w:rPr>
          <w:i/>
          <w:iCs/>
        </w:rPr>
        <w:t>morckhoviensis</w:t>
      </w:r>
      <w:r w:rsidR="00C45F09">
        <w:t xml:space="preserve">) </w:t>
      </w:r>
      <w:r w:rsidR="0016645E">
        <w:t>we f</w:t>
      </w:r>
      <w:r w:rsidR="00EB6645">
        <w:t>oun</w:t>
      </w:r>
      <w:r w:rsidR="0016645E">
        <w:t xml:space="preserve">d that there is a tendency to pull </w:t>
      </w:r>
      <w:r w:rsidR="002A6DCA">
        <w:t>the template</w:t>
      </w:r>
      <w:r w:rsidR="0016645E">
        <w:t xml:space="preserve"> towards the centre of the principal component (PC) plots</w:t>
      </w:r>
      <w:r w:rsidR="00B30D5D">
        <w:t xml:space="preserve"> (Additional File, Figure A1)</w:t>
      </w:r>
      <w:r w:rsidR="0016645E">
        <w:t xml:space="preserve">. </w:t>
      </w:r>
      <w:r w:rsidR="00C23656">
        <w:t xml:space="preserve">This phenomenon has </w:t>
      </w:r>
      <w:r w:rsidR="002E1186">
        <w:t xml:space="preserve">also </w:t>
      </w:r>
      <w:r w:rsidR="00C23656">
        <w:t xml:space="preserve">been observed in other </w:t>
      </w:r>
      <w:r w:rsidR="00651C10">
        <w:t xml:space="preserve">automated </w:t>
      </w:r>
      <w:r w:rsidR="00C23656">
        <w:t xml:space="preserve">shape analysis </w:t>
      </w:r>
      <w:r w:rsidR="00651C10">
        <w:t xml:space="preserve">techniques </w:t>
      </w:r>
      <w:r w:rsidR="00C23656">
        <w:t xml:space="preserve">including automated landmarking methods </w:t>
      </w:r>
      <w:r w:rsidR="00DA2F1E">
        <w:rPr>
          <w:iCs/>
        </w:rPr>
        <w:fldChar w:fldCharType="begin">
          <w:fldData xml:space="preserve">PEVuZE5vdGU+PENpdGU+PEF1dGhvcj5EZXZpbmU8L0F1dGhvcj48WWVhcj4yMDIwPC9ZZWFyPjxS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</w:fldData>
        </w:fldChar>
      </w:r>
      <w:r w:rsidR="00B81422">
        <w:rPr>
          <w:iCs/>
        </w:rPr>
        <w:instrText xml:space="preserve"> ADDIN EN.CITE </w:instrText>
      </w:r>
      <w:r w:rsidR="00B81422">
        <w:rPr>
          <w:iCs/>
        </w:rPr>
        <w:fldChar w:fldCharType="begin">
          <w:fldData xml:space="preserve">PEVuZE5vdGU+PENpdGU+PEF1dGhvcj5EZXZpbmU8L0F1dGhvcj48WWVhcj4yMDIwPC9ZZWFyPjxS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</w:fldData>
        </w:fldChar>
      </w:r>
      <w:r w:rsidR="00B81422">
        <w:rPr>
          <w:iCs/>
        </w:rPr>
        <w:instrText xml:space="preserve"> ADDIN EN.CITE.DATA </w:instrText>
      </w:r>
      <w:r w:rsidR="00B81422">
        <w:rPr>
          <w:iCs/>
        </w:rPr>
      </w:r>
      <w:r w:rsidR="00B81422">
        <w:rPr>
          <w:iCs/>
        </w:rPr>
        <w:fldChar w:fldCharType="end"/>
      </w:r>
      <w:r w:rsidR="00DA2F1E">
        <w:rPr>
          <w:iCs/>
        </w:rPr>
      </w:r>
      <w:r w:rsidR="00DA2F1E">
        <w:rPr>
          <w:iCs/>
        </w:rPr>
        <w:fldChar w:fldCharType="separate"/>
      </w:r>
      <w:r w:rsidR="003C42E3">
        <w:rPr>
          <w:iCs/>
          <w:noProof/>
        </w:rPr>
        <w:t>[21, 55]</w:t>
      </w:r>
      <w:r w:rsidR="00DA2F1E">
        <w:rPr>
          <w:iCs/>
        </w:rPr>
        <w:fldChar w:fldCharType="end"/>
      </w:r>
      <w:r w:rsidR="00DA2F1E">
        <w:rPr>
          <w:iCs/>
        </w:rPr>
        <w:t xml:space="preserve">. </w:t>
      </w:r>
      <w:r w:rsidR="002150B7">
        <w:t>S</w:t>
      </w:r>
      <w:r w:rsidR="0048694D">
        <w:t xml:space="preserve">ince this pipeline requires </w:t>
      </w:r>
      <w:r w:rsidR="0048694D" w:rsidRPr="0048694D">
        <w:rPr>
          <w:rStyle w:val="Strong"/>
          <w:b w:val="0"/>
          <w:bCs w:val="0"/>
        </w:rPr>
        <w:t>Type 1 manual landmarks</w:t>
      </w:r>
      <w:r w:rsidR="0048694D">
        <w:rPr>
          <w:rStyle w:val="Strong"/>
          <w:b w:val="0"/>
          <w:bCs w:val="0"/>
        </w:rPr>
        <w:t xml:space="preserve"> to pre-process the data, we recommend future users visualise</w:t>
      </w:r>
      <w:r w:rsidR="004D0195">
        <w:rPr>
          <w:rStyle w:val="Strong"/>
          <w:b w:val="0"/>
          <w:bCs w:val="0"/>
        </w:rPr>
        <w:t xml:space="preserve"> the</w:t>
      </w:r>
      <w:r w:rsidR="0072282E">
        <w:rPr>
          <w:rStyle w:val="Strong"/>
          <w:b w:val="0"/>
          <w:bCs w:val="0"/>
        </w:rPr>
        <w:t xml:space="preserve"> shape predictions of these landmarks</w:t>
      </w:r>
      <w:r w:rsidR="0048694D">
        <w:rPr>
          <w:rStyle w:val="Strong"/>
          <w:b w:val="0"/>
          <w:bCs w:val="0"/>
        </w:rPr>
        <w:t xml:space="preserve"> </w:t>
      </w:r>
      <w:r w:rsidR="00F11DBC">
        <w:rPr>
          <w:rStyle w:val="Strong"/>
          <w:b w:val="0"/>
          <w:bCs w:val="0"/>
        </w:rPr>
        <w:t xml:space="preserve">to help guide the template selection. </w:t>
      </w:r>
    </w:p>
    <w:p w14:paraId="01F2BB02" w14:textId="2032BC42" w:rsidR="007A634D" w:rsidRDefault="007A634D" w:rsidP="007F5FF3">
      <w:pPr>
        <w:spacing w:line="480" w:lineRule="auto"/>
        <w:rPr>
          <w:rStyle w:val="Strong"/>
        </w:rPr>
      </w:pPr>
      <w:r>
        <w:rPr>
          <w:rStyle w:val="Strong"/>
        </w:rPr>
        <w:t xml:space="preserve">Comparison of Aligned-only and Poisson Meshes </w:t>
      </w:r>
    </w:p>
    <w:p w14:paraId="0FE767B8" w14:textId="20A67974" w:rsidR="007A634D" w:rsidRDefault="00F85B25" w:rsidP="007F5FF3">
      <w:pPr>
        <w:spacing w:line="480" w:lineRule="auto"/>
      </w:pPr>
      <w:r>
        <w:t xml:space="preserve">Previous research on landmark-free methods has emphasised the importance of using meshes and surfaces with consistent geometry and topology to achieve accurate results </w:t>
      </w:r>
      <w:r w:rsidR="00AD3C35" w:rsidRPr="0073290E">
        <w:fldChar w:fldCharType="begin"/>
      </w:r>
      <w:r w:rsidR="002F5782">
        <w:instrText xml:space="preserve"> ADDIN EN.CITE &lt;EndNote&gt;&lt;Cite&gt;&lt;Author&gt;Koehl&lt;/Author&gt;&lt;Year&gt;2013&lt;/Year&gt;&lt;RecNum&gt;197&lt;/RecNum&gt;&lt;DisplayText&gt;[48, 49]&lt;/DisplayText&gt;&lt;record&gt;&lt;rec-number&gt;197&lt;/rec-number&gt;&lt;foreign-keys&gt;&lt;key app="EN" db-id="vttzv2pepdpx0qesp2d5x2ssffwxwp2wxf05" timestamp="1715170220"&gt;197&lt;/key&gt;&lt;/foreign-keys&gt;&lt;ref-type name="Journal Article"&gt;17&lt;/ref-type&gt;&lt;contributors&gt;&lt;authors&gt;&lt;author&gt;Koehl, Patrice&lt;/author&gt;&lt;author&gt;Hass, Joel&lt;/author&gt;&lt;/authors&gt;&lt;/contributors&gt;&lt;titles&gt;&lt;title&gt;Automatic alignment of genus-zero surfaces&lt;/title&gt;&lt;secondary-title&gt;IEEE transactions on pattern analysis and machine intelligence&lt;/secondary-title&gt;&lt;/titles&gt;&lt;periodical&gt;&lt;full-title&gt;IEEE transactions on pattern analysis and machine intelligence&lt;/full-title&gt;&lt;/periodical&gt;&lt;pages&gt;466-478&lt;/pages&gt;&lt;volume&gt;36&lt;/volume&gt;&lt;number&gt;3&lt;/number&gt;&lt;dates&gt;&lt;year&gt;2013&lt;/year&gt;&lt;/dates&gt;&lt;isbn&gt;0162-8828&lt;/isbn&gt;&lt;urls&gt;&lt;/urls&gt;&lt;electronic-resource-num&gt;https://doi.org/10.1109/TPAMI.2013.139&lt;/electronic-resource-num&gt;&lt;/record&gt;&lt;/Cite&gt;&lt;Cite&gt;&lt;Author&gt;Koehl&lt;/Author&gt;&lt;Year&gt;2015&lt;/Year&gt;&lt;RecNum&gt;227&lt;/RecNum&gt;&lt;record&gt;&lt;rec-number&gt;227&lt;/rec-number&gt;&lt;foreign-keys&gt;&lt;key app="EN" db-id="stvxpdr5yrpspzes0zppeddup9p2da2vrpv9" timestamp="0"&gt;227&lt;/key&gt;&lt;/foreign-keys&gt;&lt;ref-type name="Journal Article"&gt;17&lt;/ref-type&gt;&lt;contributors&gt;&lt;authors&gt;&lt;author&gt;Koehl, Patrice&lt;/author&gt;&lt;author&gt;Hass, Joel&lt;/author&gt;&lt;/authors&gt;&lt;/contributors&gt;&lt;titles&gt;&lt;title&gt;Landmark-free geometric methods in biological shape analysis&lt;/title&gt;&lt;secondary-title&gt;Journal of The Royal Society Interface&lt;/secondary-title&gt;&lt;/titles&gt;&lt;pages&gt;20150795&lt;/pages&gt;&lt;volume&gt;12&lt;/volume&gt;&lt;number&gt;113&lt;/number&gt;&lt;dates&gt;&lt;year&gt;2015&lt;/year&gt;&lt;/dates&gt;&lt;isbn&gt;1742-5689&lt;/isbn&gt;&lt;urls&gt;&lt;/urls&gt;&lt;electronic-resource-num&gt;https://doi.org/10.1098/rsif.2015.0795&lt;/electronic-resource-num&gt;&lt;/record&gt;&lt;/Cite&gt;&lt;/EndNote&gt;</w:instrText>
      </w:r>
      <w:r w:rsidR="00AD3C35" w:rsidRPr="0073290E">
        <w:fldChar w:fldCharType="separate"/>
      </w:r>
      <w:r w:rsidR="00D304C4">
        <w:rPr>
          <w:noProof/>
        </w:rPr>
        <w:t>[48, 49]</w:t>
      </w:r>
      <w:r w:rsidR="00AD3C35" w:rsidRPr="0073290E">
        <w:fldChar w:fldCharType="end"/>
      </w:r>
      <w:r w:rsidR="00AD3C35" w:rsidRPr="0073290E">
        <w:t>.</w:t>
      </w:r>
      <w:r w:rsidR="00AD3C35">
        <w:t xml:space="preserve"> Our findings support this conclusion, as the DAA approach was significantly influenced by the mesh modalities used. Unlike manual landmarking approaches, which can more readily accommodate mixed mesh types </w:t>
      </w:r>
      <w:r w:rsidR="00002F19">
        <w:fldChar w:fldCharType="begin"/>
      </w:r>
      <w:r w:rsidR="003C42E3">
        <w:instrText xml:space="preserve"> ADDIN EN.CITE &lt;EndNote&gt;&lt;Cite&gt;&lt;Author&gt;Fruciano&lt;/Author&gt;&lt;Year&gt;2017&lt;/Year&gt;&lt;RecNum&gt;349&lt;/RecNum&gt;&lt;DisplayText&gt;[35, 56]&lt;/DisplayText&gt;&lt;record&gt;&lt;rec-number&gt;349&lt;/rec-number&gt;&lt;foreign-keys&gt;&lt;key app="EN" db-id="tasefzw5b2p9euepe2cpwzvqsztr2dd9f5tz" timestamp="1739283488"&gt;349&lt;/key&gt;&lt;/foreign-keys&gt;&lt;ref-type name="Journal Article"&gt;17&lt;/ref-type&gt;&lt;contributors&gt;&lt;authors&gt;&lt;author&gt;Fruciano, Carmelo&lt;/author&gt;&lt;author&gt;Celik, Mélina A&lt;/author&gt;&lt;author&gt;Butler, Kaylene&lt;/author&gt;&lt;author&gt;Dooley, Tom&lt;/author&gt;&lt;author&gt;Weisbecker, Vera&lt;/author&gt;&lt;author&gt;Phillips, Matthew J&lt;/author&gt;&lt;/authors&gt;&lt;/contributors&gt;&lt;titles&gt;&lt;title&gt;Sharing is caring? Measurement error and the issues arising from combining 3D morphometric datasets&lt;/title&gt;&lt;secondary-title&gt;Ecology and evolution&lt;/secondary-title&gt;&lt;/titles&gt;&lt;periodical&gt;&lt;full-title&gt;Ecology and evolution&lt;/full-title&gt;&lt;/periodical&gt;&lt;pages&gt;7034-7046&lt;/pages&gt;&lt;volume&gt;7&lt;/volume&gt;&lt;number&gt;17&lt;/number&gt;&lt;dates&gt;&lt;year&gt;2017&lt;/year&gt;&lt;/dates&gt;&lt;isbn&gt;2045-7758&lt;/isbn&gt;&lt;urls&gt;&lt;/urls&gt;&lt;electronic-resource-num&gt;https://doi.org/10.1002/ece3.3256&lt;/electronic-resource-num&gt;&lt;/record&gt;&lt;/Cite&gt;&lt;Cite&gt;&lt;Author&gt;Marcy&lt;/Author&gt;&lt;Year&gt;2018&lt;/Year&gt;&lt;RecNum&gt;356&lt;/RecNum&gt;&lt;record&gt;&lt;rec-number&gt;356&lt;/rec-number&gt;&lt;foreign-keys&gt;&lt;key app="EN" db-id="tasefzw5b2p9euepe2cpwzvqsztr2dd9f5tz" timestamp="1739311372"&gt;356&lt;/key&gt;&lt;/foreign-keys&gt;&lt;ref-type name="Journal Article"&gt;17&lt;/ref-type&gt;&lt;contributors&gt;&lt;authors&gt;&lt;author&gt;Marcy, Ariel E&lt;/author&gt;&lt;author&gt;Fruciano, Carmelo&lt;/author&gt;&lt;author&gt;Phillips, Matthew J&lt;/author&gt;&lt;author&gt;Mardon, Karine&lt;/author&gt;&lt;author&gt;Weisbecker, Vera&lt;/author&gt;&lt;/authors&gt;&lt;/contributors&gt;&lt;titles&gt;&lt;title&gt;Low resolution scans can provide a sufficiently accurate, cost-and time-effective alternative to high resolution scans for 3D shape analyses&lt;/title&gt;&lt;secondary-title&gt;PeerJ&lt;/secondary-title&gt;&lt;/titles&gt;&lt;periodical&gt;&lt;full-title&gt;PeerJ&lt;/full-title&gt;&lt;/periodical&gt;&lt;pages&gt;e5032&lt;/pages&gt;&lt;volume&gt;6&lt;/volume&gt;&lt;dates&gt;&lt;year&gt;2018&lt;/year&gt;&lt;/dates&gt;&lt;isbn&gt;2167-8359&lt;/isbn&gt;&lt;urls&gt;&lt;/urls&gt;&lt;electronic-resource-num&gt;https://doi.org/10.7717/peerj.5032&lt;/electronic-resource-num&gt;&lt;/record&gt;&lt;/Cite&gt;&lt;/EndNote&gt;</w:instrText>
      </w:r>
      <w:r w:rsidR="00002F19">
        <w:fldChar w:fldCharType="separate"/>
      </w:r>
      <w:r w:rsidR="003C42E3">
        <w:rPr>
          <w:noProof/>
        </w:rPr>
        <w:t>[35, 56]</w:t>
      </w:r>
      <w:r w:rsidR="00002F19">
        <w:fldChar w:fldCharType="end"/>
      </w:r>
      <w:r w:rsidR="00002F19" w:rsidRPr="0073290E">
        <w:t>,</w:t>
      </w:r>
      <w:r w:rsidR="00002F19">
        <w:t xml:space="preserve"> landmark-free methods such as DAA may require standardisation when incorporating meshes with both open and closed surfaces. In our study, combining CT scans (open surfaces) and surface scans (close surfaces) without additional processing led to inaccuracies in the measured shape variation due to biases associated with mesh modality </w:t>
      </w:r>
      <w:r w:rsidR="00F04AB9">
        <w:t>(Additional File, Figure A</w:t>
      </w:r>
      <w:r w:rsidR="007448E8">
        <w:t>4 and A5</w:t>
      </w:r>
      <w:r w:rsidR="00F04AB9">
        <w:t>, and Data A</w:t>
      </w:r>
      <w:r w:rsidR="00067830">
        <w:t>4</w:t>
      </w:r>
      <w:r w:rsidR="00F04AB9">
        <w:t>-</w:t>
      </w:r>
      <w:r w:rsidR="00067830">
        <w:t>6</w:t>
      </w:r>
      <w:r w:rsidR="00F04AB9">
        <w:t xml:space="preserve">). </w:t>
      </w:r>
    </w:p>
    <w:p w14:paraId="40A046A2" w14:textId="59358F3F" w:rsidR="007A6BF5" w:rsidRDefault="007A6BF5" w:rsidP="007F5FF3">
      <w:pPr>
        <w:spacing w:line="480" w:lineRule="auto"/>
      </w:pPr>
      <w:r>
        <w:lastRenderedPageBreak/>
        <w:t xml:space="preserve">To address </w:t>
      </w:r>
      <w:r w:rsidR="00A266AF">
        <w:t xml:space="preserve">this issue, we applied voxelisation and Poisson surface reconstruction </w:t>
      </w:r>
      <w:r w:rsidR="00A266AF">
        <w:fldChar w:fldCharType="begin"/>
      </w:r>
      <w:r w:rsidR="002F5782">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rsidR="00A266AF">
        <w:fldChar w:fldCharType="separate"/>
      </w:r>
      <w:r w:rsidR="00D304C4">
        <w:rPr>
          <w:noProof/>
        </w:rPr>
        <w:t>[50]</w:t>
      </w:r>
      <w:r w:rsidR="00A266AF">
        <w:fldChar w:fldCharType="end"/>
      </w:r>
      <w:r w:rsidR="004D2313">
        <w:t xml:space="preserve"> to generate Poisson meshes with watertight, closed surfaces</w:t>
      </w:r>
      <w:r w:rsidR="00B60172">
        <w:t xml:space="preserve"> (Figure 1)</w:t>
      </w:r>
      <w:r w:rsidR="004D2313">
        <w:t>. This standardisation effectively eliminated the impact of mesh modality on the overall results (</w:t>
      </w:r>
      <w:r w:rsidR="00BB6A62">
        <w:t xml:space="preserve">Figure </w:t>
      </w:r>
      <w:r w:rsidR="00735255">
        <w:t>3</w:t>
      </w:r>
      <w:r w:rsidR="00BB6A62">
        <w:t>, Additional File, Figure A</w:t>
      </w:r>
      <w:r w:rsidR="00735255">
        <w:t>6</w:t>
      </w:r>
      <w:r w:rsidR="00BB6A62">
        <w:t>, and Data A</w:t>
      </w:r>
      <w:r w:rsidR="003B067C">
        <w:t>7</w:t>
      </w:r>
      <w:r w:rsidR="00BB6A62">
        <w:t>-</w:t>
      </w:r>
      <w:r w:rsidR="003B067C">
        <w:t>9</w:t>
      </w:r>
      <w:r w:rsidR="00BB6A62">
        <w:t xml:space="preserve">), facilitating the integration of different data types within the same analysis. </w:t>
      </w:r>
      <w:r w:rsidR="006137A2">
        <w:t>By removing the artefactual di</w:t>
      </w:r>
      <w:r w:rsidR="00C66457">
        <w:t xml:space="preserve">fferences between mixed modalities, this approach significantly improved the correlation between DAA and manual landmarking methods. We, therefore, </w:t>
      </w:r>
      <w:r w:rsidR="00352B4F">
        <w:t>recommend,</w:t>
      </w:r>
      <w:r w:rsidR="00C66457">
        <w:t xml:space="preserve"> when </w:t>
      </w:r>
      <w:r w:rsidR="00352B4F">
        <w:t>possible,</w:t>
      </w:r>
      <w:r w:rsidR="00C66457">
        <w:t xml:space="preserve"> </w:t>
      </w:r>
      <w:r w:rsidR="00352B4F">
        <w:t xml:space="preserve">these </w:t>
      </w:r>
      <w:r w:rsidR="00C66457">
        <w:t xml:space="preserve">techniques should be applied, or analyses </w:t>
      </w:r>
      <w:r w:rsidR="004009B6">
        <w:t>be performed only using a single mesh type</w:t>
      </w:r>
      <w:r w:rsidR="0099342D">
        <w:t xml:space="preserve"> (e.g. only surface scan or only CT-scans)</w:t>
      </w:r>
      <w:r w:rsidR="004009B6">
        <w:t xml:space="preserve">. </w:t>
      </w:r>
    </w:p>
    <w:p w14:paraId="7E550EB6" w14:textId="55DEF151" w:rsidR="00352B4F" w:rsidRDefault="00352B4F" w:rsidP="007F5FF3">
      <w:pPr>
        <w:spacing w:line="480" w:lineRule="auto"/>
        <w:rPr>
          <w:b/>
          <w:bCs/>
        </w:rPr>
      </w:pPr>
      <w:r>
        <w:rPr>
          <w:b/>
          <w:bCs/>
        </w:rPr>
        <w:t xml:space="preserve">Comparison of Landmark-free and Manual Landmarking Approaches </w:t>
      </w:r>
    </w:p>
    <w:p w14:paraId="1AF1BE60" w14:textId="55ED415F" w:rsidR="00C07D4B" w:rsidRDefault="00C55E2C" w:rsidP="007F5FF3">
      <w:pPr>
        <w:spacing w:line="480" w:lineRule="auto"/>
      </w:pPr>
      <w:r>
        <w:t xml:space="preserve">The significant </w:t>
      </w:r>
      <w:r w:rsidR="00A60D6A">
        <w:t>but moderate correlation and low effect sizes</w:t>
      </w:r>
      <w:r w:rsidR="001D2D7E">
        <w:t xml:space="preserve"> (Figure 4)</w:t>
      </w:r>
      <w:r w:rsidR="00A60D6A">
        <w:t xml:space="preserve"> </w:t>
      </w:r>
      <w:r>
        <w:t xml:space="preserve">between results obtained through manual landmarking and DAA, suggest that </w:t>
      </w:r>
      <w:r w:rsidR="00C50FC3">
        <w:t xml:space="preserve">landmark-free methods can capture some aspects of shape variation </w:t>
      </w:r>
      <w:r w:rsidR="00B02532">
        <w:t xml:space="preserve">captured in the manual landmarking approach, but </w:t>
      </w:r>
      <w:r w:rsidR="00A54373">
        <w:t xml:space="preserve">also </w:t>
      </w:r>
      <w:r w:rsidR="0099342D">
        <w:t>indicates that</w:t>
      </w:r>
      <w:r w:rsidR="004D4F40">
        <w:t xml:space="preserve"> </w:t>
      </w:r>
      <w:r w:rsidR="00880DC8">
        <w:t>marked</w:t>
      </w:r>
      <w:r w:rsidR="004D4F40">
        <w:t xml:space="preserve"> differences</w:t>
      </w:r>
      <w:r w:rsidR="0099342D">
        <w:t xml:space="preserve"> exist</w:t>
      </w:r>
      <w:r w:rsidR="004D4F40">
        <w:t xml:space="preserve">. </w:t>
      </w:r>
      <w:r w:rsidR="00FA3120">
        <w:t>The most notable similarity of the approaches was the ability to capture the classic dolichocephalic-to-brachycephalic trend</w:t>
      </w:r>
      <w:r w:rsidR="00BC68D3">
        <w:t xml:space="preserve"> (variation in skull elongation vs. breadth)</w:t>
      </w:r>
      <w:r w:rsidR="00FA3120">
        <w:t xml:space="preserve"> </w:t>
      </w:r>
      <w:r w:rsidR="00162909" w:rsidRPr="0073290E">
        <w:rPr>
          <w:noProof/>
          <w:lang w:val="en-US"/>
        </w:rPr>
        <w:fldChar w:fldCharType="begin"/>
      </w:r>
      <w:r w:rsidR="003C42E3">
        <w:rPr>
          <w:noProof/>
          <w:lang w:val="en-US"/>
        </w:rPr>
        <w:instrText xml:space="preserve"> ADDIN EN.CITE &lt;EndNote&gt;&lt;Cite&gt;&lt;Author&gt;Cardini&lt;/Author&gt;&lt;Year&gt;2013&lt;/Year&gt;&lt;RecNum&gt;248&lt;/RecNum&gt;&lt;DisplayText&gt;[57]&lt;/DisplayText&gt;&lt;record&gt;&lt;rec-number&gt;248&lt;/rec-number&gt;&lt;foreign-keys&gt;&lt;key app="EN" db-id="stvxpdr5yrpspzes0zppeddup9p2da2vrpv9" timestamp="0"&gt;248&lt;/key&gt;&lt;/foreign-keys&gt;&lt;ref-type name="Journal Article"&gt;17&lt;/ref-type&gt;&lt;contributors&gt;&lt;authors&gt;&lt;author&gt;Cardini, Andrea&lt;/author&gt;&lt;author&gt;Polly, P David&lt;/author&gt;&lt;/authors&gt;&lt;/contributors&gt;&lt;titles&gt;&lt;title&gt;Larger mammals have longer faces because of size-related constraints on skull form&lt;/title&gt;&lt;secondary-title&gt;Nature communications&lt;/secondary-title&gt;&lt;/titles&gt;&lt;periodical&gt;&lt;full-title&gt;Nature Communications&lt;/full-title&gt;&lt;/periodical&gt;&lt;pages&gt;2458&lt;/pages&gt;&lt;volume&gt;4&lt;/volume&gt;&lt;number&gt;1&lt;/number&gt;&lt;dates&gt;&lt;year&gt;2013&lt;/year&gt;&lt;/dates&gt;&lt;isbn&gt;2041-1723&lt;/isbn&gt;&lt;urls&gt;&lt;/urls&gt;&lt;electronic-resource-num&gt;https://doi.org/10.1038/ncomms3458&lt;/electronic-resource-num&gt;&lt;/record&gt;&lt;/Cite&gt;&lt;/EndNote&gt;</w:instrText>
      </w:r>
      <w:r w:rsidR="00162909" w:rsidRPr="0073290E">
        <w:rPr>
          <w:noProof/>
          <w:lang w:val="en-US"/>
        </w:rPr>
        <w:fldChar w:fldCharType="separate"/>
      </w:r>
      <w:r w:rsidR="003C42E3">
        <w:rPr>
          <w:noProof/>
          <w:lang w:val="en-US"/>
        </w:rPr>
        <w:t>[57]</w:t>
      </w:r>
      <w:r w:rsidR="00162909" w:rsidRPr="0073290E">
        <w:rPr>
          <w:noProof/>
          <w:lang w:val="en-US"/>
        </w:rPr>
        <w:fldChar w:fldCharType="end"/>
      </w:r>
      <w:r w:rsidR="00162909" w:rsidRPr="0073290E">
        <w:rPr>
          <w:rFonts w:eastAsia="Arial"/>
          <w:bCs/>
          <w:iCs/>
          <w:lang w:val="en-US"/>
        </w:rPr>
        <w:t>,</w:t>
      </w:r>
      <w:r w:rsidR="00DC15C7">
        <w:rPr>
          <w:rFonts w:eastAsia="Arial"/>
          <w:bCs/>
          <w:iCs/>
          <w:lang w:val="en-US"/>
        </w:rPr>
        <w:t xml:space="preserve"> though the pattern was observed along PC1 in the DAA approach and PC2 in the manual landmarking analysis </w:t>
      </w:r>
      <w:r w:rsidR="00086DC3">
        <w:t xml:space="preserve">(Figure </w:t>
      </w:r>
      <w:r w:rsidR="00CB6600">
        <w:t>3</w:t>
      </w:r>
      <w:r w:rsidR="00086DC3">
        <w:t>, Additional File, Figure A</w:t>
      </w:r>
      <w:r w:rsidR="00CB6600">
        <w:t>6</w:t>
      </w:r>
      <w:r w:rsidR="00086DC3">
        <w:t>, and Data A</w:t>
      </w:r>
      <w:r w:rsidR="003B067C">
        <w:t>7</w:t>
      </w:r>
      <w:r w:rsidR="00086DC3">
        <w:t>-</w:t>
      </w:r>
      <w:r w:rsidR="003B067C">
        <w:t>9</w:t>
      </w:r>
      <w:r w:rsidR="00086DC3">
        <w:t xml:space="preserve">). </w:t>
      </w:r>
      <w:r w:rsidR="000459D6">
        <w:t xml:space="preserve">This indicates that </w:t>
      </w:r>
      <w:r w:rsidR="00926901">
        <w:t xml:space="preserve">both methods are sensitive to </w:t>
      </w:r>
      <w:r w:rsidR="00E35729">
        <w:t xml:space="preserve">varying </w:t>
      </w:r>
      <w:r w:rsidR="001836D7">
        <w:t>length</w:t>
      </w:r>
      <w:r w:rsidR="00DE0B4B">
        <w:t xml:space="preserve">s and widths </w:t>
      </w:r>
      <w:r w:rsidR="00E35729">
        <w:t xml:space="preserve">of the </w:t>
      </w:r>
      <w:r w:rsidR="0052058F">
        <w:t>crania but</w:t>
      </w:r>
      <w:r w:rsidR="00926901">
        <w:t xml:space="preserve"> also implies that both methods prioritise </w:t>
      </w:r>
      <w:r w:rsidR="003A2877">
        <w:t>different aspects of shape variation</w:t>
      </w:r>
      <w:r w:rsidR="00E35729">
        <w:t xml:space="preserve">. </w:t>
      </w:r>
    </w:p>
    <w:p w14:paraId="3ED0C54E" w14:textId="1A24B27E" w:rsidR="00201FBC" w:rsidRPr="00C55E2C" w:rsidRDefault="003C47AE" w:rsidP="00201FBC">
      <w:pPr>
        <w:spacing w:line="480" w:lineRule="auto"/>
      </w:pPr>
      <w:r>
        <w:t>The differences in</w:t>
      </w:r>
      <w:r w:rsidR="00986161">
        <w:t xml:space="preserve"> how </w:t>
      </w:r>
      <w:r>
        <w:t xml:space="preserve">shape is captured between the two approaches can be best highlighted by examining </w:t>
      </w:r>
      <w:r w:rsidR="00986161">
        <w:t>the changes in the measured</w:t>
      </w:r>
      <w:r>
        <w:t xml:space="preserve"> Euclidean distances</w:t>
      </w:r>
      <w:r w:rsidR="00986161">
        <w:t xml:space="preserve"> </w:t>
      </w:r>
      <w:r w:rsidR="00986161" w:rsidRPr="0073290E">
        <w:fldChar w:fldCharType="begin"/>
      </w:r>
      <w:r w:rsidR="002F5782">
        <w:instrText xml:space="preserve"> ADDIN EN.CITE &lt;EndNote&gt;&lt;Cite&gt;&lt;Author&gt;Danielsson&lt;/Author&gt;&lt;Year&gt;1980&lt;/Year&gt;&lt;RecNum&gt;304&lt;/RecNum&gt;&lt;DisplayText&gt;[41]&lt;/DisplayText&gt;&lt;record&gt;&lt;rec-number&gt;304&lt;/rec-number&gt;&lt;foreign-keys&gt;&lt;key app="EN" db-id="stvxpdr5yrpspzes0zppeddup9p2da2vrpv9" timestamp="1726859053"&gt;304&lt;/key&gt;&lt;/foreign-keys&gt;&lt;ref-type name="Journal Article"&gt;17&lt;/ref-type&gt;&lt;contributors&gt;&lt;authors&gt;&lt;author&gt;Danielsson, Per-Erik&lt;/author&gt;&lt;/authors&gt;&lt;/contributors&gt;&lt;titles&gt;&lt;title&gt;Euclidean distance mapping&lt;/title&gt;&lt;secondary-title&gt;Computer Graphics and image processing&lt;/secondary-title&gt;&lt;/titles&gt;&lt;periodical&gt;&lt;full-title&gt;Computer Graphics and image processing&lt;/full-title&gt;&lt;/periodical&gt;&lt;pages&gt;227-248&lt;/pages&gt;&lt;volume&gt;14&lt;/volume&gt;&lt;number&gt;3&lt;/number&gt;&lt;dates&gt;&lt;year&gt;1980&lt;/year&gt;&lt;/dates&gt;&lt;isbn&gt;0146-664X&lt;/isbn&gt;&lt;urls&gt;&lt;/urls&gt;&lt;electronic-resource-num&gt;https://doi.org/10.1016/0146-664X(80)90054-4&lt;/electronic-resource-num&gt;&lt;/record&gt;&lt;/Cite&gt;&lt;/EndNote&gt;</w:instrText>
      </w:r>
      <w:r w:rsidR="00986161" w:rsidRPr="0073290E">
        <w:fldChar w:fldCharType="separate"/>
      </w:r>
      <w:r w:rsidR="00D304C4">
        <w:rPr>
          <w:noProof/>
        </w:rPr>
        <w:t>[41]</w:t>
      </w:r>
      <w:r w:rsidR="00986161" w:rsidRPr="0073290E">
        <w:fldChar w:fldCharType="end"/>
      </w:r>
      <w:r w:rsidR="00986161" w:rsidRPr="0073290E">
        <w:t xml:space="preserve"> </w:t>
      </w:r>
      <w:r w:rsidR="00986161" w:rsidRPr="0073290E">
        <w:lastRenderedPageBreak/>
        <w:t>(</w:t>
      </w:r>
      <w:r w:rsidR="00986161">
        <w:t xml:space="preserve">Figure </w:t>
      </w:r>
      <w:r w:rsidR="009721AC">
        <w:t>4</w:t>
      </w:r>
      <w:r w:rsidR="00986161">
        <w:t xml:space="preserve">) and heatmaps (Figure </w:t>
      </w:r>
      <w:r w:rsidR="009721AC">
        <w:t>5</w:t>
      </w:r>
      <w:r w:rsidR="00986161">
        <w:t xml:space="preserve">). </w:t>
      </w:r>
      <w:r w:rsidR="00023F92">
        <w:t xml:space="preserve">From the former, we found that </w:t>
      </w:r>
      <w:r w:rsidR="00B25071">
        <w:t xml:space="preserve">the cetaceans had reduced distances from the atlas in the DAA compared to manual landmarking, </w:t>
      </w:r>
      <w:r w:rsidR="00313187">
        <w:t xml:space="preserve">whilst Primates exhibited greater distances. </w:t>
      </w:r>
      <w:r w:rsidR="00201FBC">
        <w:t>Examination of the heatmaps</w:t>
      </w:r>
      <w:r w:rsidR="00753055">
        <w:t xml:space="preserve"> (Additional File, Figure A7) and aligned specimens (Additional File, Figure A8) </w:t>
      </w:r>
      <w:r w:rsidR="00201FBC">
        <w:t>suggest that these differences can be attributed to two main factors, the first is differences in scaling</w:t>
      </w:r>
      <w:r w:rsidR="00FF11A1">
        <w:t xml:space="preserve"> </w:t>
      </w:r>
      <w:r w:rsidR="00201FBC">
        <w:t xml:space="preserve">and the second is the way that measurement points are placed along the </w:t>
      </w:r>
      <w:r w:rsidR="00FF11A1">
        <w:t>crania (Figure 2</w:t>
      </w:r>
      <w:r w:rsidR="00B179A6">
        <w:t>, Additional File, Figure A3</w:t>
      </w:r>
      <w:r w:rsidR="00FF11A1">
        <w:t>)</w:t>
      </w:r>
      <w:r w:rsidR="00201FBC">
        <w:t xml:space="preserve">. </w:t>
      </w:r>
    </w:p>
    <w:p w14:paraId="44F69C35" w14:textId="3E15AEB4" w:rsidR="00E42EF9" w:rsidRDefault="00A86511" w:rsidP="007F5FF3">
      <w:pPr>
        <w:spacing w:line="480" w:lineRule="auto"/>
      </w:pPr>
      <w:r w:rsidRPr="00A86511">
        <w:t>The difference in scaling is evident from the reduced negative displacement in the heatmaps for cetaceans (</w:t>
      </w:r>
      <w:r w:rsidR="00F860FA">
        <w:t>Additional File, Figure A</w:t>
      </w:r>
      <w:r w:rsidR="001E5BE4">
        <w:t>7</w:t>
      </w:r>
      <w:r w:rsidRPr="00A86511">
        <w:t>)</w:t>
      </w:r>
      <w:r w:rsidR="009123D4">
        <w:t xml:space="preserve"> and is further showcased when comparing</w:t>
      </w:r>
      <w:r>
        <w:t xml:space="preserve"> the scaling</w:t>
      </w:r>
      <w:r w:rsidR="00D33140">
        <w:t xml:space="preserve"> of</w:t>
      </w:r>
      <w:r w:rsidR="007E43AF">
        <w:t xml:space="preserve"> </w:t>
      </w:r>
      <w:r w:rsidR="007E43AF" w:rsidRPr="00957CFF">
        <w:rPr>
          <w:i/>
          <w:iCs/>
        </w:rPr>
        <w:t>S. morckhoviensis</w:t>
      </w:r>
      <w:r w:rsidR="0035465E">
        <w:rPr>
          <w:i/>
          <w:iCs/>
        </w:rPr>
        <w:t xml:space="preserve"> </w:t>
      </w:r>
      <w:r w:rsidR="00C374C1">
        <w:t>in</w:t>
      </w:r>
      <w:r>
        <w:t xml:space="preserve"> </w:t>
      </w:r>
      <w:r w:rsidR="003B35B8">
        <w:t xml:space="preserve">manual </w:t>
      </w:r>
      <w:r>
        <w:t>landmark and</w:t>
      </w:r>
      <w:r w:rsidR="003B35B8">
        <w:t xml:space="preserve"> landmark-free approaches</w:t>
      </w:r>
      <w:r>
        <w:t xml:space="preserve"> against the mean shape</w:t>
      </w:r>
      <w:r w:rsidR="00D373E0">
        <w:t xml:space="preserve"> estimated in both sets of analyses</w:t>
      </w:r>
      <w:r>
        <w:t xml:space="preserve"> (</w:t>
      </w:r>
      <w:r w:rsidR="001E5BE4">
        <w:t>Additional File, Figure A8</w:t>
      </w:r>
      <w:r>
        <w:t>)</w:t>
      </w:r>
      <w:r w:rsidR="0035465E">
        <w:t xml:space="preserve">. </w:t>
      </w:r>
      <w:r w:rsidR="00122A0F">
        <w:t>These scaling discrepancies primarily affect the premaxilla and nasal regions, which appear less distinct in DAA compared to manual landmarking</w:t>
      </w:r>
      <w:r w:rsidR="00D373E0">
        <w:t xml:space="preserve"> </w:t>
      </w:r>
      <w:r w:rsidR="00F01D45">
        <w:t>because of</w:t>
      </w:r>
      <w:r w:rsidR="00D373E0">
        <w:t xml:space="preserve"> </w:t>
      </w:r>
      <w:r w:rsidR="00610283">
        <w:t>the cetaceans being scaled to a smaller size</w:t>
      </w:r>
      <w:r w:rsidR="001E5BE4">
        <w:t xml:space="preserve"> </w:t>
      </w:r>
      <w:r w:rsidR="001E5BE4" w:rsidRPr="00A86511">
        <w:t>(</w:t>
      </w:r>
      <w:r w:rsidR="001E5BE4">
        <w:t>Additional File, Figure A</w:t>
      </w:r>
      <w:r w:rsidR="00F10F07">
        <w:t>7 and A</w:t>
      </w:r>
      <w:r w:rsidR="00066EC3">
        <w:t>8</w:t>
      </w:r>
      <w:r w:rsidR="001E5BE4" w:rsidRPr="00A86511">
        <w:t>)</w:t>
      </w:r>
      <w:r w:rsidR="00122A0F">
        <w:t xml:space="preserve">. The likely causes of these differences are twofold. First, because scaling in DAA is applied to the mesh based on the original landmarks, morphological regions not captured by landmarks are </w:t>
      </w:r>
      <w:r w:rsidR="00730292">
        <w:t xml:space="preserve">not considered in the </w:t>
      </w:r>
      <w:r w:rsidR="00122A0F">
        <w:t xml:space="preserve">scaling process. Second, while manual landmarking allows for relative bone sizes within the cranium to be explicitly considered, </w:t>
      </w:r>
      <w:r w:rsidR="00A75C32">
        <w:t xml:space="preserve">the </w:t>
      </w:r>
      <w:r w:rsidR="00122A0F">
        <w:t xml:space="preserve">DAA mesh-based scaling does not </w:t>
      </w:r>
      <w:r w:rsidR="005D70F7">
        <w:t>capture</w:t>
      </w:r>
      <w:r w:rsidR="00122A0F">
        <w:t xml:space="preserve"> these relationships</w:t>
      </w:r>
      <w:r w:rsidR="002129B4">
        <w:t xml:space="preserve"> among elements</w:t>
      </w:r>
      <w:r w:rsidR="00122A0F">
        <w:t xml:space="preserve">. </w:t>
      </w:r>
    </w:p>
    <w:p w14:paraId="3B33FB42" w14:textId="34D9C8E3" w:rsidR="002A50DF" w:rsidRDefault="002A1AD5" w:rsidP="00EB4B40">
      <w:pPr>
        <w:spacing w:line="480" w:lineRule="auto"/>
        <w:rPr>
          <w:noProof/>
          <w:lang w:val="en-US"/>
        </w:rPr>
      </w:pPr>
      <w:r>
        <w:t xml:space="preserve">The lack of </w:t>
      </w:r>
      <w:r w:rsidR="00731C4B">
        <w:t xml:space="preserve">representation of relative </w:t>
      </w:r>
      <w:r>
        <w:t xml:space="preserve">bone sizes and positions within the crania are also likely </w:t>
      </w:r>
      <w:r w:rsidR="009F5DF3">
        <w:t xml:space="preserve">important factors that lead to differences in how shape variation is captured. </w:t>
      </w:r>
      <w:r w:rsidR="004D469C">
        <w:t xml:space="preserve">For instance, the DAA approach appears to struggle in capturing telescoping in the cetaceans (where cranial bones overlap), leading to reduced differentiation. </w:t>
      </w:r>
      <w:r w:rsidR="000A0EAC">
        <w:t xml:space="preserve">As </w:t>
      </w:r>
      <w:r w:rsidR="00EC4591">
        <w:t xml:space="preserve">such, the absence of the midline convergence in the parietal </w:t>
      </w:r>
      <w:r w:rsidR="00EC4591">
        <w:lastRenderedPageBreak/>
        <w:t>bones within the cranial vault is not detected</w:t>
      </w:r>
      <w:r w:rsidR="00F40DCA">
        <w:t xml:space="preserve"> and</w:t>
      </w:r>
      <w:r w:rsidR="002663A8">
        <w:t xml:space="preserve"> the changing of these bones relative to another cannot be </w:t>
      </w:r>
      <w:r w:rsidR="00362E46">
        <w:t xml:space="preserve">captured using this approach. By contrast, DAA increases the differentiation of Primates from the other taxa by </w:t>
      </w:r>
      <w:r w:rsidR="0020516F">
        <w:t xml:space="preserve">capturing greater variation in the cranial vault and brain case, which are sparsely sampled in the manual landmarking approach. This is highlighted in the heatmaps of </w:t>
      </w:r>
      <w:r w:rsidR="0020516F">
        <w:rPr>
          <w:i/>
          <w:iCs/>
        </w:rPr>
        <w:t xml:space="preserve">C. calvus </w:t>
      </w:r>
      <w:r w:rsidR="0020516F">
        <w:t xml:space="preserve">(Figure </w:t>
      </w:r>
      <w:r w:rsidR="009772B1">
        <w:t>5</w:t>
      </w:r>
      <w:r w:rsidR="0020516F">
        <w:t xml:space="preserve">), </w:t>
      </w:r>
      <w:r w:rsidR="00404A9E">
        <w:t>where there is increased displacement captured in the cranial vault and parietal bones.</w:t>
      </w:r>
      <w:r w:rsidR="00B35AB1">
        <w:t xml:space="preserve"> </w:t>
      </w:r>
      <w:r w:rsidR="00836F75">
        <w:t>Similarly,</w:t>
      </w:r>
      <w:r w:rsidR="00B35AB1">
        <w:t xml:space="preserve"> rodents appear more distinct in the first two PC axes in the DAA, which we attribute to an increased emphasis on the incisor region, which is less covered</w:t>
      </w:r>
      <w:r w:rsidR="003270E1">
        <w:t xml:space="preserve"> in terms of spatial points</w:t>
      </w:r>
      <w:r w:rsidR="00B35AB1">
        <w:t xml:space="preserve"> in the manual landmarking approach. </w:t>
      </w:r>
      <w:r w:rsidR="002244EF">
        <w:t xml:space="preserve">The inability to capture the cranial vaults and incisor regions </w:t>
      </w:r>
      <w:r w:rsidR="00470F65">
        <w:t>is not an inherent limitation in the manual landmarking approach, but rather in this implementation.</w:t>
      </w:r>
      <w:r w:rsidR="00D46314">
        <w:t xml:space="preserve"> </w:t>
      </w:r>
      <w:r w:rsidR="00D46314" w:rsidRPr="0073290E">
        <w:t>The landmark</w:t>
      </w:r>
      <w:r w:rsidR="00D46314">
        <w:t xml:space="preserve"> </w:t>
      </w:r>
      <w:r w:rsidR="00D46314" w:rsidRPr="0073290E">
        <w:t xml:space="preserve">scheme used here which uses landmarks </w:t>
      </w:r>
      <w:r w:rsidR="00D46314">
        <w:t>and</w:t>
      </w:r>
      <w:r w:rsidR="00731C4B">
        <w:t xml:space="preserve"> curve</w:t>
      </w:r>
      <w:r w:rsidR="00D46314">
        <w:t xml:space="preserve"> sliding semilandmarks placed</w:t>
      </w:r>
      <w:r w:rsidR="00D46314" w:rsidRPr="0073290E">
        <w:t xml:space="preserve"> on sutures</w:t>
      </w:r>
      <w:r w:rsidR="009D1176">
        <w:t xml:space="preserve"> </w:t>
      </w:r>
      <w:r w:rsidR="00CF4285">
        <w:t>is applied to a</w:t>
      </w:r>
      <w:r w:rsidR="009D1176">
        <w:t xml:space="preserve"> phylogenetically broad dataset</w:t>
      </w:r>
      <w:r w:rsidR="00D46314">
        <w:t>, leaving</w:t>
      </w:r>
      <w:r w:rsidR="009D1176">
        <w:t xml:space="preserve"> anatomical regions such as</w:t>
      </w:r>
      <w:r w:rsidR="00D46314">
        <w:t xml:space="preserve"> </w:t>
      </w:r>
      <w:r w:rsidR="00235F85">
        <w:t>the cranial vaults and incisors</w:t>
      </w:r>
      <w:r w:rsidR="00D46314">
        <w:t xml:space="preserve"> </w:t>
      </w:r>
      <w:r w:rsidR="001845C8">
        <w:t>without measurement points.</w:t>
      </w:r>
      <w:r w:rsidR="00470F65">
        <w:t xml:space="preserve"> </w:t>
      </w:r>
      <w:r w:rsidR="001B791F" w:rsidRPr="0073290E">
        <w:t>To alleviate such issues, studies have sought to use a combination of fixed landmarks and</w:t>
      </w:r>
      <w:r w:rsidR="00731C4B">
        <w:t xml:space="preserve"> surface sliding semilandmark</w:t>
      </w:r>
      <w:r w:rsidR="001B791F" w:rsidRPr="0073290E">
        <w:t xml:space="preserve"> patches </w:t>
      </w:r>
      <w:r w:rsidR="001B791F" w:rsidRPr="0073290E">
        <w:rPr>
          <w:noProof/>
          <w:lang w:val="en-US"/>
        </w:rPr>
        <w:fldChar w:fldCharType="begin">
          <w:fldData xml:space="preserve">PEVuZE5vdGU+PENpdGU+PEF1dGhvcj5XYXRhbmFiZTwvQXV0aG9yPjxZZWFyPjIwMTk8L1llYXI+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</w:fldData>
        </w:fldChar>
      </w:r>
      <w:r w:rsidR="003C42E3">
        <w:rPr>
          <w:noProof/>
          <w:lang w:val="en-US"/>
        </w:rPr>
        <w:instrText xml:space="preserve"> ADDIN EN.CITE </w:instrText>
      </w:r>
      <w:r w:rsidR="003C42E3">
        <w:rPr>
          <w:noProof/>
          <w:lang w:val="en-US"/>
        </w:rPr>
        <w:fldChar w:fldCharType="begin">
          <w:fldData xml:space="preserve">PEVuZE5vdGU+PENpdGU+PEF1dGhvcj5XYXRhbmFiZTwvQXV0aG9yPjxZZWFyPjIwMTk8L1llYXI+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</w:fldData>
        </w:fldChar>
      </w:r>
      <w:r w:rsidR="003C42E3">
        <w:rPr>
          <w:noProof/>
          <w:lang w:val="en-US"/>
        </w:rPr>
        <w:instrText xml:space="preserve"> ADDIN EN.CITE.DATA </w:instrText>
      </w:r>
      <w:r w:rsidR="003C42E3">
        <w:rPr>
          <w:noProof/>
          <w:lang w:val="en-US"/>
        </w:rPr>
      </w:r>
      <w:r w:rsidR="003C42E3">
        <w:rPr>
          <w:noProof/>
          <w:lang w:val="en-US"/>
        </w:rPr>
        <w:fldChar w:fldCharType="end"/>
      </w:r>
      <w:r w:rsidR="001B791F" w:rsidRPr="0073290E">
        <w:rPr>
          <w:noProof/>
          <w:lang w:val="en-US"/>
        </w:rPr>
      </w:r>
      <w:r w:rsidR="001B791F" w:rsidRPr="0073290E">
        <w:rPr>
          <w:noProof/>
          <w:lang w:val="en-US"/>
        </w:rPr>
        <w:fldChar w:fldCharType="separate"/>
      </w:r>
      <w:r w:rsidR="003C42E3">
        <w:rPr>
          <w:noProof/>
          <w:lang w:val="en-US"/>
        </w:rPr>
        <w:t>[7, 58]</w:t>
      </w:r>
      <w:r w:rsidR="001B791F" w:rsidRPr="0073290E">
        <w:rPr>
          <w:noProof/>
          <w:lang w:val="en-US"/>
        </w:rPr>
        <w:fldChar w:fldCharType="end"/>
      </w:r>
      <w:r w:rsidR="001B791F" w:rsidRPr="0073290E">
        <w:rPr>
          <w:noProof/>
          <w:lang w:val="en-US"/>
        </w:rPr>
        <w:t>, but these methods are often difficult to reproduce, time-consuming and thus are rarely applied to large datasets.</w:t>
      </w:r>
      <w:r w:rsidR="00185FE0">
        <w:rPr>
          <w:noProof/>
          <w:lang w:val="en-US"/>
        </w:rPr>
        <w:t xml:space="preserve"> </w:t>
      </w:r>
      <w:r w:rsidR="001B791F">
        <w:rPr>
          <w:noProof/>
          <w:lang w:val="en-US"/>
        </w:rPr>
        <w:t xml:space="preserve">Morever, these techniques become more difficult to apply </w:t>
      </w:r>
      <w:r w:rsidR="00AB2D65">
        <w:rPr>
          <w:noProof/>
          <w:lang w:val="en-US"/>
        </w:rPr>
        <w:t xml:space="preserve">when comparing more disparate taxa, as overlapping homologous regions become harder to </w:t>
      </w:r>
      <w:r w:rsidR="00913152" w:rsidRPr="00913152">
        <w:rPr>
          <w:noProof/>
          <w:lang w:val="en-US"/>
        </w:rPr>
        <w:t>differentiat</w:t>
      </w:r>
      <w:r w:rsidR="009E0725">
        <w:rPr>
          <w:noProof/>
          <w:lang w:val="en-US"/>
        </w:rPr>
        <w:t xml:space="preserve">e </w:t>
      </w:r>
      <w:r w:rsidR="009E0725" w:rsidRPr="0073290E">
        <w:rPr>
          <w:noProof/>
          <w:lang w:val="en-US"/>
        </w:rPr>
        <w:fldChar w:fldCharType="begin"/>
      </w:r>
      <w:r w:rsidR="002F5782">
        <w:rPr>
          <w:noProof/>
          <w:lang w:val="en-US"/>
        </w:rPr>
        <w:instrText xml:space="preserve"> ADDIN EN.CITE &lt;EndNote&gt;&lt;Cite&gt;&lt;Author&gt;Goswami&lt;/Author&gt;&lt;Year&gt;2019&lt;/Year&gt;&lt;RecNum&gt;115&lt;/RecNum&gt;&lt;DisplayText&gt;[6]&lt;/DisplayText&gt;&lt;record&gt;&lt;rec-number&gt;115&lt;/rec-number&gt;&lt;foreign-keys&gt;&lt;key app="EN" db-id="stvxpdr5yrpspzes0zppeddup9p2da2vrpv9" timestamp="0"&gt;115&lt;/key&gt;&lt;/foreign-keys&gt;&lt;ref-type name="Journal Article"&gt;17&lt;/ref-type&gt;&lt;contributors&gt;&lt;authors&gt;&lt;author&gt;Goswami, Anjali&lt;/author&gt;&lt;author&gt;Watanabe, Akinobu&lt;/author&gt;&lt;author&gt;Felice, Ryan N.&lt;/author&gt;&lt;author&gt;Bardua, Carla&lt;/author&gt;&lt;author&gt;Fabre, Anne-Claire&lt;/author&gt;&lt;author&gt;Polly, P. David&lt;/author&gt;&lt;/authors&gt;&lt;/contributors&gt;&lt;titles&gt;&lt;title&gt;High-density morphometric analysis of shape and integration: the good, the bad, and the not-really-a-problem&lt;/title&gt;&lt;secondary-title&gt;Integrative and Comparative Biology&lt;/secondary-title&gt;&lt;/titles&gt;&lt;pages&gt;669-683&lt;/pages&gt;&lt;volume&gt;59&lt;/volume&gt;&lt;number&gt;3&lt;/number&gt;&lt;dates&gt;&lt;year&gt;2019&lt;/year&gt;&lt;/dates&gt;&lt;publisher&gt;Oxford University Press&lt;/publisher&gt;&lt;isbn&gt;1540-7063&lt;/isbn&gt;&lt;urls&gt;&lt;/urls&gt;&lt;electronic-resource-num&gt;https://doi.org/10.1093/icb/icz120&lt;/electronic-resource-num&gt;&lt;/record&gt;&lt;/Cite&gt;&lt;/EndNote&gt;</w:instrText>
      </w:r>
      <w:r w:rsidR="009E0725" w:rsidRPr="0073290E">
        <w:rPr>
          <w:noProof/>
          <w:lang w:val="en-US"/>
        </w:rPr>
        <w:fldChar w:fldCharType="separate"/>
      </w:r>
      <w:r w:rsidR="009E0725" w:rsidRPr="0073290E">
        <w:rPr>
          <w:noProof/>
          <w:lang w:val="en-US"/>
        </w:rPr>
        <w:t>[6]</w:t>
      </w:r>
      <w:r w:rsidR="009E0725" w:rsidRPr="0073290E">
        <w:rPr>
          <w:noProof/>
          <w:lang w:val="en-US"/>
        </w:rPr>
        <w:fldChar w:fldCharType="end"/>
      </w:r>
      <w:r w:rsidR="009E0725" w:rsidRPr="0073290E">
        <w:rPr>
          <w:noProof/>
          <w:lang w:val="en-US"/>
        </w:rPr>
        <w:t>.</w:t>
      </w:r>
      <w:r w:rsidR="004521C1">
        <w:rPr>
          <w:noProof/>
          <w:lang w:val="en-US"/>
        </w:rPr>
        <w:t xml:space="preserve"> </w:t>
      </w:r>
    </w:p>
    <w:p w14:paraId="5E72BCD8" w14:textId="5E4C276F" w:rsidR="002B3D70" w:rsidRDefault="00EB4B40" w:rsidP="007F5FF3">
      <w:pPr>
        <w:spacing w:line="480" w:lineRule="auto"/>
      </w:pPr>
      <w:r>
        <w:rPr>
          <w:noProof/>
          <w:lang w:val="en-US"/>
        </w:rPr>
        <w:t xml:space="preserve">On the other hand, the DAA approach </w:t>
      </w:r>
      <w:r w:rsidR="00B60163">
        <w:rPr>
          <w:noProof/>
          <w:lang w:val="en-US"/>
        </w:rPr>
        <w:t>more readily provides</w:t>
      </w:r>
      <w:r>
        <w:rPr>
          <w:noProof/>
          <w:lang w:val="en-US"/>
        </w:rPr>
        <w:t xml:space="preserve"> this extensive spatial coverag</w:t>
      </w:r>
      <w:r w:rsidR="005E3207">
        <w:rPr>
          <w:noProof/>
          <w:lang w:val="en-US"/>
        </w:rPr>
        <w:t>e</w:t>
      </w:r>
      <w:r w:rsidR="0035214A">
        <w:rPr>
          <w:noProof/>
          <w:lang w:val="en-US"/>
        </w:rPr>
        <w:t xml:space="preserve"> </w:t>
      </w:r>
      <w:r w:rsidR="00185FE0">
        <w:rPr>
          <w:noProof/>
          <w:lang w:val="en-US"/>
        </w:rPr>
        <w:t>with the number of control points</w:t>
      </w:r>
      <w:r w:rsidR="0035214A">
        <w:rPr>
          <w:noProof/>
          <w:lang w:val="en-US"/>
        </w:rPr>
        <w:t xml:space="preserve"> easily be</w:t>
      </w:r>
      <w:r w:rsidR="005E3207">
        <w:rPr>
          <w:noProof/>
          <w:lang w:val="en-US"/>
        </w:rPr>
        <w:t>ing</w:t>
      </w:r>
      <w:r w:rsidR="001C2EA2">
        <w:rPr>
          <w:noProof/>
          <w:lang w:val="en-US"/>
        </w:rPr>
        <w:t xml:space="preserve"> adjust</w:t>
      </w:r>
      <w:r w:rsidR="0035214A">
        <w:rPr>
          <w:noProof/>
          <w:lang w:val="en-US"/>
        </w:rPr>
        <w:t>ed using</w:t>
      </w:r>
      <w:r w:rsidR="001C2EA2">
        <w:rPr>
          <w:noProof/>
          <w:lang w:val="en-US"/>
        </w:rPr>
        <w:t xml:space="preserve"> the kernel width</w:t>
      </w:r>
      <w:r w:rsidR="005E3207">
        <w:rPr>
          <w:noProof/>
          <w:lang w:val="en-US"/>
        </w:rPr>
        <w:t xml:space="preserve"> parameter.</w:t>
      </w:r>
      <w:r w:rsidR="005D2FB6">
        <w:rPr>
          <w:noProof/>
          <w:lang w:val="en-US"/>
        </w:rPr>
        <w:t xml:space="preserve"> </w:t>
      </w:r>
      <w:r w:rsidR="002A50DF">
        <w:rPr>
          <w:noProof/>
          <w:lang w:val="en-US"/>
        </w:rPr>
        <w:t xml:space="preserve">A </w:t>
      </w:r>
      <w:r w:rsidR="002B3D70">
        <w:rPr>
          <w:noProof/>
          <w:lang w:val="en-US"/>
        </w:rPr>
        <w:t>key advantage of DAA is that this</w:t>
      </w:r>
      <w:r w:rsidR="002A50DF" w:rsidRPr="002A50DF">
        <w:rPr>
          <w:noProof/>
          <w:lang w:val="en-US"/>
        </w:rPr>
        <w:t xml:space="preserve"> spatial coverage is both uniform and automated rather than user-selected, reducing biases associated with the pre-selection of specific morphological regions </w:t>
      </w:r>
      <w:r w:rsidR="00481839" w:rsidRPr="0073290E">
        <w:rPr>
          <w:noProof/>
          <w:lang w:val="en-US"/>
        </w:rPr>
        <w:fldChar w:fldCharType="begin"/>
      </w:r>
      <w:r w:rsidR="003C42E3">
        <w:rPr>
          <w:noProof/>
          <w:lang w:val="en-US"/>
        </w:rPr>
        <w:instrText xml:space="preserve"> ADDIN EN.CITE &lt;EndNote&gt;&lt;Cite&gt;&lt;Author&gt;Palci&lt;/Author&gt;&lt;Year&gt;2019&lt;/Year&gt;&lt;RecNum&gt;233&lt;/RecNum&gt;&lt;DisplayText&gt;[59]&lt;/DisplayText&gt;&lt;record&gt;&lt;rec-number&gt;233&lt;/rec-number&gt;&lt;foreign-keys&gt;&lt;key app="EN" db-id="stvxpdr5yrpspzes0zppeddup9p2da2vrpv9" timestamp="0"&gt;233&lt;/key&gt;&lt;/foreign-keys&gt;&lt;ref-type name="Journal Article"&gt;17&lt;/ref-type&gt;&lt;contributors&gt;&lt;authors&gt;&lt;author&gt;Palci, Alessandro&lt;/author&gt;&lt;author&gt;Lee, Michael SY&lt;/author&gt;&lt;/authors&gt;&lt;/contributors&gt;&lt;titles&gt;&lt;title&gt;Geometric morphometrics, homology and cladistics: review and recommendations&lt;/title&gt;&lt;secondary-title&gt;Cladistics&lt;/secondary-title&gt;&lt;/titles&gt;&lt;pages&gt;230-242&lt;/pages&gt;&lt;volume&gt;35&lt;/volume&gt;&lt;number&gt;2&lt;/number&gt;&lt;dates&gt;&lt;year&gt;2019&lt;/year&gt;&lt;/dates&gt;&lt;isbn&gt;0748-3007&lt;/isbn&gt;&lt;urls&gt;&lt;/urls&gt;&lt;electronic-resource-num&gt; https://doi.org/10.1111/cla.12340&lt;/electronic-resource-num&gt;&lt;/record&gt;&lt;/Cite&gt;&lt;/EndNote&gt;</w:instrText>
      </w:r>
      <w:r w:rsidR="00481839" w:rsidRPr="0073290E">
        <w:rPr>
          <w:noProof/>
          <w:lang w:val="en-US"/>
        </w:rPr>
        <w:fldChar w:fldCharType="separate"/>
      </w:r>
      <w:r w:rsidR="003C42E3">
        <w:rPr>
          <w:noProof/>
          <w:lang w:val="en-US"/>
        </w:rPr>
        <w:t>[59]</w:t>
      </w:r>
      <w:r w:rsidR="00481839" w:rsidRPr="0073290E">
        <w:rPr>
          <w:noProof/>
          <w:lang w:val="en-US"/>
        </w:rPr>
        <w:fldChar w:fldCharType="end"/>
      </w:r>
      <w:r w:rsidR="006A3432">
        <w:rPr>
          <w:noProof/>
          <w:lang w:val="en-US"/>
        </w:rPr>
        <w:t xml:space="preserve">. </w:t>
      </w:r>
      <w:r w:rsidR="002B3D70" w:rsidRPr="002B3D70">
        <w:t xml:space="preserve">This </w:t>
      </w:r>
      <w:r w:rsidR="002B3D70">
        <w:t>standardis</w:t>
      </w:r>
      <w:r w:rsidR="002B3D70" w:rsidRPr="002B3D70">
        <w:t xml:space="preserve">ation ensures </w:t>
      </w:r>
      <w:r w:rsidR="002B3D70" w:rsidRPr="002B3D70">
        <w:lastRenderedPageBreak/>
        <w:t>more consistent capture of shape variation, reducing the risk of missing or inadequately covering critical anatomical areas, a limitation observed in the manual landmarking analysis conducted here. Consequently, the expanded spatial extent facilitated by DAA may result in more accurate and comprehensive com</w:t>
      </w:r>
      <w:r w:rsidR="002B3D70">
        <w:t>parisons of morphological shapes.</w:t>
      </w:r>
    </w:p>
    <w:p w14:paraId="7C0AAB44" w14:textId="79F17B76" w:rsidR="0036386F" w:rsidRDefault="002B3D70" w:rsidP="007F5FF3">
      <w:pPr>
        <w:spacing w:line="480" w:lineRule="auto"/>
      </w:pPr>
      <w:r>
        <w:t>T</w:t>
      </w:r>
      <w:r w:rsidRPr="002B3D70">
        <w:t>his uniformity also presents challenges, particularly when anatomical variation is extensive and the overlap of homologous regions becomes less distinct</w:t>
      </w:r>
      <w:r w:rsidR="00A464AE">
        <w:t xml:space="preserve">. </w:t>
      </w:r>
      <w:r w:rsidRPr="002B3D70">
        <w:t xml:space="preserve">Since control points are not constrained by specific anatomical landmarks, there is a risk of unintended </w:t>
      </w:r>
      <w:r w:rsidR="000C2545">
        <w:t>blurring of</w:t>
      </w:r>
      <w:r w:rsidRPr="002B3D70">
        <w:t xml:space="preserve"> anatomical regions, potentially leading to inaccuracies</w:t>
      </w:r>
      <w:r w:rsidR="00A464AE">
        <w:t xml:space="preserve">. </w:t>
      </w:r>
      <w:r w:rsidR="00414AAE">
        <w:t>This issue is especially pronounced when comparing specimens with large appendages, such as horns or teeth, to those without, or when analysing specimens with missing anatomical features, such as the postorbital bar or zygomatic arches, alongside those that retain them.</w:t>
      </w:r>
    </w:p>
    <w:p w14:paraId="4F2C8F35" w14:textId="2FD09615" w:rsidR="009A230A" w:rsidRDefault="009A230A" w:rsidP="007F5FF3">
      <w:pPr>
        <w:spacing w:line="480" w:lineRule="auto"/>
      </w:pPr>
      <w:r w:rsidRPr="009A230A">
        <w:t xml:space="preserve">These effects are evident in the results: as the number of control points increases, correlation in </w:t>
      </w:r>
      <w:r>
        <w:t xml:space="preserve">the Euclidean distances measured for within </w:t>
      </w:r>
      <w:r w:rsidRPr="009A230A">
        <w:t>Artiodactyla (a group with prominent horns) declines from 0.436 to 0.358. Similarly, in Pilosa</w:t>
      </w:r>
      <w:r w:rsidR="0090178D">
        <w:t xml:space="preserve">, </w:t>
      </w:r>
      <w:r w:rsidRPr="009A230A">
        <w:t xml:space="preserve">where two-thirds of specimens lack </w:t>
      </w:r>
      <w:r w:rsidR="00D60A48">
        <w:t>zygomatic arches</w:t>
      </w:r>
      <w:r w:rsidR="0090178D">
        <w:t xml:space="preserve">, </w:t>
      </w:r>
      <w:r w:rsidRPr="009A230A">
        <w:t>correlation drops sharply from 0.588 to 0.0351</w:t>
      </w:r>
      <w:r>
        <w:t xml:space="preserve"> (</w:t>
      </w:r>
      <w:r w:rsidR="008A2A44">
        <w:t>Additional File, Figure A7</w:t>
      </w:r>
      <w:r>
        <w:t xml:space="preserve">). </w:t>
      </w:r>
      <w:r w:rsidR="00492A73">
        <w:t xml:space="preserve">Unlike manual landmarking, DAA does not allow users to adjust measurements to account for such anatomical </w:t>
      </w:r>
      <w:r w:rsidR="000C2545">
        <w:t xml:space="preserve">anomalies, </w:t>
      </w:r>
      <w:r w:rsidR="00492A73">
        <w:t>likely contributing to the lower correlation between the two methods</w:t>
      </w:r>
      <w:r w:rsidR="00D60A48">
        <w:t xml:space="preserve">. </w:t>
      </w:r>
      <w:r w:rsidR="000C2545">
        <w:t xml:space="preserve">Our results show that this effect becomes </w:t>
      </w:r>
      <w:r w:rsidR="00D60A48">
        <w:t>more</w:t>
      </w:r>
      <w:r w:rsidR="00492A73">
        <w:t xml:space="preserve"> pronounced as </w:t>
      </w:r>
      <w:r w:rsidR="00D60A48">
        <w:t xml:space="preserve">the number of </w:t>
      </w:r>
      <w:r w:rsidR="00492A73">
        <w:t>control points are in</w:t>
      </w:r>
      <w:r w:rsidR="00D60A48">
        <w:t>creased</w:t>
      </w:r>
      <w:r w:rsidR="00492A73">
        <w:t>.</w:t>
      </w:r>
      <w:r w:rsidR="002F5782">
        <w:t xml:space="preserve"> </w:t>
      </w:r>
      <w:r w:rsidR="000C2545">
        <w:t>However</w:t>
      </w:r>
      <w:r w:rsidR="002F5782">
        <w:t>,</w:t>
      </w:r>
      <w:r w:rsidR="000C2545">
        <w:t xml:space="preserve"> it is worth noting that</w:t>
      </w:r>
      <w:r w:rsidR="002F5782">
        <w:t xml:space="preserve"> </w:t>
      </w:r>
      <w:r w:rsidR="000C2545">
        <w:t>landmark-based approaches generally</w:t>
      </w:r>
      <w:r w:rsidR="0002219A" w:rsidRPr="0002219A">
        <w:t xml:space="preserve"> exclude structures that vary in presence</w:t>
      </w:r>
      <w:r w:rsidR="000C2545">
        <w:t xml:space="preserve"> entirely</w:t>
      </w:r>
      <w:r w:rsidR="0002219A" w:rsidRPr="0002219A">
        <w:t xml:space="preserve">, </w:t>
      </w:r>
      <w:r w:rsidR="000C2545">
        <w:t xml:space="preserve">meaning that regions that contribute to significant variation are left out of analyses, </w:t>
      </w:r>
      <w:r w:rsidR="0002219A" w:rsidRPr="0002219A">
        <w:t xml:space="preserve">although </w:t>
      </w:r>
      <w:r w:rsidR="000C2545">
        <w:t>methods that account for variably present</w:t>
      </w:r>
      <w:r w:rsidR="0002219A" w:rsidRPr="0002219A">
        <w:t xml:space="preserve"> regions</w:t>
      </w:r>
      <w:r w:rsidR="000C2545">
        <w:t xml:space="preserve"> with semilandmarks</w:t>
      </w:r>
      <w:r w:rsidR="0002219A" w:rsidRPr="0002219A">
        <w:t xml:space="preserve"> </w:t>
      </w:r>
      <w:r w:rsidR="000C2545">
        <w:t>is discussed</w:t>
      </w:r>
      <w:r w:rsidR="0002219A" w:rsidRPr="0002219A">
        <w:t xml:space="preserve"> in Bardua et al.</w:t>
      </w:r>
      <w:r w:rsidR="002F5782">
        <w:fldChar w:fldCharType="begin"/>
      </w:r>
      <w:r w:rsidR="002F5782">
        <w:instrText xml:space="preserve"> ADDIN EN.CITE &lt;EndNote&gt;&lt;Cite&gt;&lt;Author&gt;Bardua&lt;/Author&gt;&lt;Year&gt;2019&lt;/Year&gt;&lt;RecNum&gt;116&lt;/RecNum&gt;&lt;DisplayText&gt;[7]&lt;/DisplayText&gt;&lt;record&gt;&lt;rec-number&gt;116&lt;/rec-number&gt;&lt;foreign-keys&gt;&lt;key app="EN" db-id="stvxpdr5yrpspzes0zppeddup9p2da2vrpv9" timestamp="0"&gt;116&lt;/key&gt;&lt;/foreign-keys&gt;&lt;ref-type name="Journal Article"&gt;17&lt;/ref-type&gt;&lt;contributors&gt;&lt;authors&gt;&lt;author&gt;Bardua, Carla&lt;/author&gt;&lt;author&gt;Felice, Ryan N.&lt;/author&gt;&lt;author&gt;Watanabe, Akinobu&lt;/author&gt;&lt;author&gt;Fabre, A. C.&lt;/author&gt;&lt;author&gt;Goswami, Anjali&lt;/author&gt;&lt;/authors&gt;&lt;/contributors&gt;&lt;titles&gt;&lt;title&gt;A practical guide to sliding and surface semilandmarks in morphometric analyses&lt;/title&gt;&lt;secondary-title&gt;Integrative Organismal Biology&lt;/secondary-title&gt;&lt;/titles&gt;&lt;periodical&gt;&lt;full-title&gt;Integrative Organismal Biology&lt;/full-title&gt;&lt;/periodical&gt;&lt;pages&gt;obz016&lt;/pages&gt;&lt;volume&gt;1&lt;/volume&gt;&lt;number&gt;1&lt;/number&gt;&lt;dates&gt;&lt;year&gt;2019&lt;/year&gt;&lt;/dates&gt;&lt;publisher&gt;Oxford University Press&lt;/publisher&gt;&lt;isbn&gt;2517-4843&lt;/isbn&gt;&lt;urls&gt;&lt;/urls&gt;&lt;electronic-resource-num&gt;https://doi.org/10.1093/iob/obz016&lt;/electronic-resource-num&gt;&lt;/record&gt;&lt;/Cite&gt;&lt;/EndNote&gt;</w:instrText>
      </w:r>
      <w:r w:rsidR="002F5782">
        <w:fldChar w:fldCharType="separate"/>
      </w:r>
      <w:r w:rsidR="002F5782">
        <w:rPr>
          <w:noProof/>
        </w:rPr>
        <w:t>[7]</w:t>
      </w:r>
      <w:r w:rsidR="002F5782">
        <w:fldChar w:fldCharType="end"/>
      </w:r>
      <w:r w:rsidR="0002219A">
        <w:t xml:space="preserve">. </w:t>
      </w:r>
    </w:p>
    <w:p w14:paraId="36D9DE59" w14:textId="77777777" w:rsidR="00E60F1C" w:rsidRPr="00E60F1C" w:rsidRDefault="00E60F1C" w:rsidP="00E60F1C">
      <w:pPr>
        <w:spacing w:line="480" w:lineRule="auto"/>
        <w:rPr>
          <w:b/>
          <w:iCs/>
          <w:noProof/>
          <w:lang w:val="en-US"/>
        </w:rPr>
      </w:pPr>
      <w:r w:rsidRPr="00E60F1C">
        <w:rPr>
          <w:b/>
          <w:iCs/>
          <w:noProof/>
          <w:lang w:val="en-US"/>
        </w:rPr>
        <w:lastRenderedPageBreak/>
        <w:t xml:space="preserve">Effects on Macroevolutionary Analyses </w:t>
      </w:r>
    </w:p>
    <w:p w14:paraId="7BCBBBC7" w14:textId="2EE8ED03" w:rsidR="002858AA" w:rsidRDefault="008671A3" w:rsidP="007F5FF3">
      <w:pPr>
        <w:spacing w:line="480" w:lineRule="auto"/>
      </w:pPr>
      <w:r>
        <w:t>All measured values of phylogenetic signal</w:t>
      </w:r>
      <w:r w:rsidR="0039268D">
        <w:t xml:space="preserve"> across both methods</w:t>
      </w:r>
      <w:r>
        <w:t xml:space="preserve"> were </w:t>
      </w:r>
      <w:r w:rsidR="00D4787C">
        <w:t>statistically significant, but w</w:t>
      </w:r>
      <w:r w:rsidR="00C46886">
        <w:t>e observed a decline</w:t>
      </w:r>
      <w:r w:rsidR="00FF4713">
        <w:t xml:space="preserve"> </w:t>
      </w:r>
      <w:r w:rsidR="00C46886">
        <w:t xml:space="preserve">when </w:t>
      </w:r>
      <w:r w:rsidR="0039268D">
        <w:t>transitioning</w:t>
      </w:r>
      <w:r w:rsidR="00C46886">
        <w:t xml:space="preserve"> from the manual landmarking approach to the DAA</w:t>
      </w:r>
      <w:r w:rsidR="00947DFC">
        <w:t xml:space="preserve">, with the most </w:t>
      </w:r>
      <w:r w:rsidR="00027856">
        <w:t xml:space="preserve">prominent decline occurring in </w:t>
      </w:r>
      <w:r w:rsidR="0045338B">
        <w:t>the analysis using the largest number of control points (</w:t>
      </w:r>
      <w:r w:rsidR="008070B6">
        <w:t>smallest</w:t>
      </w:r>
      <w:r w:rsidR="0045338B">
        <w:t xml:space="preserve"> kernel width</w:t>
      </w:r>
      <w:r w:rsidR="008A2A44">
        <w:t>,</w:t>
      </w:r>
      <w:r w:rsidR="00D42136">
        <w:t xml:space="preserve"> Table 2). </w:t>
      </w:r>
      <w:r w:rsidR="00FB4D16">
        <w:t xml:space="preserve">This </w:t>
      </w:r>
      <w:r w:rsidR="008070B6">
        <w:t xml:space="preserve">decline </w:t>
      </w:r>
      <w:r w:rsidR="0036386F">
        <w:t xml:space="preserve">in this dataset </w:t>
      </w:r>
      <w:r w:rsidR="008070B6">
        <w:t>likely results from capturing variation beyond biologically homologous structures</w:t>
      </w:r>
      <w:r w:rsidR="00DF48DA">
        <w:t xml:space="preserve"> </w:t>
      </w:r>
      <w:r w:rsidR="0034292A" w:rsidRPr="00F41BEB">
        <w:rPr>
          <w:rFonts w:eastAsia="Calibri"/>
          <w:noProof/>
          <w:lang w:val="en-US"/>
        </w:rPr>
        <w:fldChar w:fldCharType="begin"/>
      </w:r>
      <w:r w:rsidR="003C42E3">
        <w:rPr>
          <w:rFonts w:eastAsia="Calibri"/>
          <w:noProof/>
          <w:lang w:val="en-US"/>
        </w:rPr>
        <w:instrText xml:space="preserve"> ADDIN EN.CITE &lt;EndNote&gt;&lt;Cite&gt;&lt;Author&gt;Cardini&lt;/Author&gt;&lt;Year&gt;2020&lt;/Year&gt;&lt;RecNum&gt;315&lt;/RecNum&gt;&lt;DisplayText&gt;[60]&lt;/DisplayText&gt;&lt;record&gt;&lt;rec-number&gt;315&lt;/rec-number&gt;&lt;foreign-keys&gt;&lt;key app="EN" db-id="stvxpdr5yrpspzes0zppeddup9p2da2vrpv9" timestamp="1727181544"&gt;315&lt;/key&gt;&lt;/foreign-keys&gt;&lt;ref-type name="Journal Article"&gt;17&lt;/ref-type&gt;&lt;contributors&gt;&lt;authors&gt;&lt;author&gt;Cardini, Andrea&lt;/author&gt;&lt;/authors&gt;&lt;/contributors&gt;&lt;titles&gt;&lt;title&gt;Less tautology, more biology? A comment on “high-density” morphometrics&lt;/title&gt;&lt;secondary-title&gt;Zoomorphology&lt;/secondary-title&gt;&lt;/titles&gt;&lt;periodical&gt;&lt;full-title&gt;Zoomorphology&lt;/full-title&gt;&lt;/periodical&gt;&lt;pages&gt;513-529&lt;/pages&gt;&lt;volume&gt;139&lt;/volume&gt;&lt;number&gt;4&lt;/number&gt;&lt;dates&gt;&lt;year&gt;2020&lt;/year&gt;&lt;/dates&gt;&lt;isbn&gt;0720-213X&lt;/isbn&gt;&lt;urls&gt;&lt;/urls&gt;&lt;electronic-resource-num&gt;https://doi.org/10.1007/s00435-020-00499-w&lt;/electronic-resource-num&gt;&lt;/record&gt;&lt;/Cite&gt;&lt;/EndNote&gt;</w:instrText>
      </w:r>
      <w:r w:rsidR="0034292A" w:rsidRPr="00F41BEB">
        <w:rPr>
          <w:rFonts w:eastAsia="Calibri"/>
          <w:noProof/>
          <w:lang w:val="en-US"/>
        </w:rPr>
        <w:fldChar w:fldCharType="separate"/>
      </w:r>
      <w:r w:rsidR="003C42E3">
        <w:rPr>
          <w:rFonts w:eastAsia="Calibri"/>
          <w:noProof/>
          <w:lang w:val="en-US"/>
        </w:rPr>
        <w:t>[60]</w:t>
      </w:r>
      <w:r w:rsidR="0034292A" w:rsidRPr="00F41BEB">
        <w:rPr>
          <w:rFonts w:eastAsia="Calibri"/>
          <w:noProof/>
          <w:lang w:val="en-US"/>
        </w:rPr>
        <w:fldChar w:fldCharType="end"/>
      </w:r>
      <w:r w:rsidR="00FB4D16">
        <w:t xml:space="preserve">, </w:t>
      </w:r>
      <w:r w:rsidR="00261656">
        <w:t>something</w:t>
      </w:r>
      <w:r w:rsidR="00DF48DA">
        <w:t xml:space="preserve"> that </w:t>
      </w:r>
      <w:r w:rsidR="00261656">
        <w:t xml:space="preserve">becomes more prominent </w:t>
      </w:r>
      <w:r w:rsidR="00DF48DA">
        <w:t>as spatial resolution increases</w:t>
      </w:r>
      <w:r w:rsidR="00425369">
        <w:t xml:space="preserve">. </w:t>
      </w:r>
      <w:r w:rsidR="00DF48DA">
        <w:t xml:space="preserve">While a greater number of control points enhances spatial coverage, it also introduces noise due to the proximity of measured points </w:t>
      </w:r>
      <w:r w:rsidR="00211835" w:rsidRPr="0073290E">
        <w:rPr>
          <w:noProof/>
          <w:lang w:val="en-US"/>
        </w:rPr>
        <w:fldChar w:fldCharType="begin"/>
      </w:r>
      <w:r w:rsidR="002F5782">
        <w:rPr>
          <w:noProof/>
          <w:lang w:val="en-US"/>
        </w:rPr>
        <w:instrText xml:space="preserve"> ADDIN EN.CITE &lt;EndNote&gt;&lt;Cite&gt;&lt;Author&gt;Zelditch&lt;/Author&gt;&lt;Year&gt;2012&lt;/Year&gt;&lt;RecNum&gt;172&lt;/RecNum&gt;&lt;DisplayText&gt;[5]&lt;/DisplayText&gt;&lt;record&gt;&lt;rec-number&gt;172&lt;/rec-number&gt;&lt;foreign-keys&gt;&lt;key app="EN" db-id="stvxpdr5yrpspzes0zppeddup9p2da2vrpv9" timestamp="0"&gt;172&lt;/key&gt;&lt;/foreign-keys&gt;&lt;ref-type name="Book"&gt;6&lt;/ref-type&gt;&lt;contributors&gt;&lt;authors&gt;&lt;author&gt;Zelditch, Miriam Leah&lt;/author&gt;&lt;author&gt;Swiderski, Donald L&lt;/author&gt;&lt;author&gt;Sheets, H David&lt;/author&gt;&lt;/authors&gt;&lt;/contributors&gt;&lt;titles&gt;&lt;title&gt;Geometric morphometrics for biologists: a primer&lt;/title&gt;&lt;/titles&gt;&lt;dates&gt;&lt;year&gt;2012&lt;/year&gt;&lt;/dates&gt;&lt;publisher&gt;academic press&lt;/publisher&gt;&lt;isbn&gt;0123869048&lt;/isbn&gt;&lt;urls&gt;&lt;/urls&gt;&lt;electronic-resource-num&gt;https://doi.org/10.1016/B978-0-12-778460-1.X5000-5&lt;/electronic-resource-num&gt;&lt;/record&gt;&lt;/Cite&gt;&lt;/EndNote&gt;</w:instrText>
      </w:r>
      <w:r w:rsidR="00211835" w:rsidRPr="0073290E">
        <w:rPr>
          <w:noProof/>
          <w:lang w:val="en-US"/>
        </w:rPr>
        <w:fldChar w:fldCharType="separate"/>
      </w:r>
      <w:r w:rsidR="00211835" w:rsidRPr="0073290E">
        <w:rPr>
          <w:noProof/>
          <w:lang w:val="en-US"/>
        </w:rPr>
        <w:t>[5]</w:t>
      </w:r>
      <w:r w:rsidR="00211835" w:rsidRPr="0073290E">
        <w:rPr>
          <w:noProof/>
          <w:lang w:val="en-US"/>
        </w:rPr>
        <w:fldChar w:fldCharType="end"/>
      </w:r>
      <w:r w:rsidR="00211835">
        <w:rPr>
          <w:noProof/>
          <w:lang w:val="en-US"/>
        </w:rPr>
        <w:t xml:space="preserve"> </w:t>
      </w:r>
      <w:r w:rsidR="003939D2" w:rsidRPr="003939D2">
        <w:t>and the</w:t>
      </w:r>
      <w:r w:rsidR="00414AAE">
        <w:t xml:space="preserve"> increased</w:t>
      </w:r>
      <w:r w:rsidR="003939D2" w:rsidRPr="003939D2">
        <w:t xml:space="preserve"> placement of points in</w:t>
      </w:r>
      <w:r w:rsidR="00414AAE">
        <w:t xml:space="preserve"> regions</w:t>
      </w:r>
      <w:r w:rsidR="003939D2" w:rsidRPr="003939D2">
        <w:t xml:space="preserve"> such as teeth, horns, and nasal cavities</w:t>
      </w:r>
      <w:r w:rsidR="00414AAE">
        <w:t xml:space="preserve"> which are likely less consistent</w:t>
      </w:r>
      <w:r w:rsidR="00397CCF">
        <w:t>ly present or preserved</w:t>
      </w:r>
      <w:r w:rsidR="00414AAE">
        <w:t xml:space="preserve"> across specimens</w:t>
      </w:r>
      <w:r w:rsidR="00BD501C">
        <w:t xml:space="preserve"> (Figure 2)</w:t>
      </w:r>
      <w:r w:rsidR="00AA0F91">
        <w:t xml:space="preserve">. </w:t>
      </w:r>
      <w:r w:rsidR="00B10B0C">
        <w:t>Furthermore</w:t>
      </w:r>
      <w:r w:rsidR="00F11A68" w:rsidRPr="00F11A68">
        <w:t>, missing</w:t>
      </w:r>
      <w:r w:rsidR="00397CCF">
        <w:t xml:space="preserve"> (as opposed to absent)</w:t>
      </w:r>
      <w:r w:rsidR="00F11A68" w:rsidRPr="00F11A68">
        <w:t xml:space="preserve"> </w:t>
      </w:r>
      <w:r w:rsidR="00397CCF">
        <w:t xml:space="preserve">structures </w:t>
      </w:r>
      <w:r w:rsidR="00414AAE">
        <w:t xml:space="preserve">such as the </w:t>
      </w:r>
      <w:r w:rsidR="00397CCF">
        <w:t xml:space="preserve">delicate </w:t>
      </w:r>
      <w:r w:rsidR="00414AAE">
        <w:t>zygomatic arch</w:t>
      </w:r>
      <w:r w:rsidR="00F11A68" w:rsidRPr="00F11A68">
        <w:t xml:space="preserve"> </w:t>
      </w:r>
      <w:r w:rsidR="00397CCF">
        <w:t xml:space="preserve">or pterygoid in mammal skulls, </w:t>
      </w:r>
      <w:r w:rsidR="00F11A68" w:rsidRPr="00F11A68">
        <w:t xml:space="preserve">presents a greater challenge in DAA, especially at higher spatial resolutions, as it artificially amplifies </w:t>
      </w:r>
      <w:r w:rsidR="00397CCF">
        <w:t xml:space="preserve">non-biological </w:t>
      </w:r>
      <w:r w:rsidR="00F11A68" w:rsidRPr="00F11A68">
        <w:t xml:space="preserve">differences between individuals with complete crania and those with </w:t>
      </w:r>
      <w:r w:rsidR="00414AAE">
        <w:t>missing</w:t>
      </w:r>
      <w:r w:rsidR="00F11A68" w:rsidRPr="00F11A68">
        <w:t xml:space="preserve"> structures</w:t>
      </w:r>
      <w:r w:rsidR="0036386F">
        <w:t>.</w:t>
      </w:r>
      <w:r w:rsidR="002858AA">
        <w:t xml:space="preserve"> </w:t>
      </w:r>
    </w:p>
    <w:p w14:paraId="42875AD3" w14:textId="7E23F209" w:rsidR="00685FAB" w:rsidRPr="00F41BEB" w:rsidRDefault="00685FAB" w:rsidP="00685FAB">
      <w:pPr>
        <w:spacing w:line="480" w:lineRule="auto"/>
        <w:rPr>
          <w:rFonts w:eastAsia="Calibri"/>
          <w:noProof/>
          <w:lang w:val="en-US"/>
        </w:rPr>
      </w:pPr>
      <w:r w:rsidRPr="00F41BEB">
        <w:rPr>
          <w:rFonts w:eastAsia="Calibri"/>
          <w:noProof/>
          <w:lang w:val="en-US"/>
        </w:rPr>
        <w:t xml:space="preserve">Comparisons between the values of morphological disparity (Figure </w:t>
      </w:r>
      <w:r w:rsidR="00257CCE">
        <w:rPr>
          <w:rFonts w:eastAsia="Calibri"/>
          <w:noProof/>
          <w:lang w:val="en-US"/>
        </w:rPr>
        <w:t>6</w:t>
      </w:r>
      <w:r w:rsidRPr="00F41BEB">
        <w:rPr>
          <w:rFonts w:eastAsia="Calibri"/>
          <w:noProof/>
          <w:lang w:val="en-US"/>
        </w:rPr>
        <w:t xml:space="preserve">, Additional File, Table A2) obtained through manual landmarking and DAA consistently show lower magnitudes for the latter. However, as the kernel width decreases (and control points increase), the magnitude of disparity in DAA increases, with values for the 10.0mm kernel width becoming more comparable to those from manual landmarking. The higher values in manual landmarking are likely due to the selective placement of landmarks, which amplifies shape differences among individuals. In contrast, DAA, with its increased spatial resolution, gradually recovers these differences as more control points are introduced. On the other hand, the magnitude of the values </w:t>
      </w:r>
      <w:r w:rsidRPr="00F41BEB">
        <w:rPr>
          <w:rFonts w:eastAsia="Calibri"/>
          <w:noProof/>
          <w:lang w:val="en-US"/>
        </w:rPr>
        <w:lastRenderedPageBreak/>
        <w:t xml:space="preserve">obtained for the phylogenetic rates (Figure </w:t>
      </w:r>
      <w:r w:rsidR="00257CCE">
        <w:rPr>
          <w:rFonts w:eastAsia="Calibri"/>
          <w:noProof/>
          <w:lang w:val="en-US"/>
        </w:rPr>
        <w:t>6</w:t>
      </w:r>
      <w:r w:rsidRPr="00F41BEB">
        <w:rPr>
          <w:rFonts w:eastAsia="Calibri"/>
          <w:noProof/>
          <w:lang w:val="en-US"/>
        </w:rPr>
        <w:t xml:space="preserve">, Additional File, Table A2), was less affected by the selection of method and kernel width. This discrepancy likely stems from the fact that the measures of disparity are absolute values, while evolutionary rates are relative measures, comparing values within one class to another </w:t>
      </w:r>
      <w:r w:rsidRPr="00F41BEB">
        <w:rPr>
          <w:rFonts w:eastAsia="Calibri"/>
          <w:noProof/>
          <w:lang w:val="en-US"/>
        </w:rPr>
        <w:fldChar w:fldCharType="begin"/>
      </w:r>
      <w:r w:rsidR="002F5782">
        <w:rPr>
          <w:rFonts w:eastAsia="Calibri"/>
          <w:noProof/>
          <w:lang w:val="en-US"/>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Calibri" w:hAnsi="Cambria Math" w:cs="Cambria Math"/>
          <w:noProof/>
          <w:lang w:val="en-US"/>
        </w:rPr>
        <w:instrText>‐</w:instrText>
      </w:r>
      <w:r w:rsidR="002F5782">
        <w:rPr>
          <w:rFonts w:eastAsia="Calibri"/>
          <w:noProof/>
          <w:lang w:val="en-US"/>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sidRPr="00F41BEB">
        <w:rPr>
          <w:rFonts w:eastAsia="Calibri"/>
          <w:noProof/>
          <w:lang w:val="en-US"/>
        </w:rPr>
        <w:fldChar w:fldCharType="separate"/>
      </w:r>
      <w:r w:rsidR="00D304C4">
        <w:rPr>
          <w:rFonts w:eastAsia="Calibri"/>
          <w:noProof/>
          <w:lang w:val="en-US"/>
        </w:rPr>
        <w:t>[47]</w:t>
      </w:r>
      <w:r w:rsidRPr="00F41BEB">
        <w:rPr>
          <w:rFonts w:eastAsia="Calibri"/>
          <w:noProof/>
          <w:lang w:val="en-US"/>
        </w:rPr>
        <w:fldChar w:fldCharType="end"/>
      </w:r>
      <w:r w:rsidRPr="00F41BEB">
        <w:rPr>
          <w:rFonts w:eastAsia="Calibri"/>
          <w:noProof/>
          <w:lang w:val="en-US"/>
        </w:rPr>
        <w:t xml:space="preserve">. </w:t>
      </w:r>
    </w:p>
    <w:p w14:paraId="78360CD0" w14:textId="199FC0DE" w:rsidR="00685FAB" w:rsidRDefault="00685FAB" w:rsidP="007F5FF3">
      <w:pPr>
        <w:spacing w:line="480" w:lineRule="auto"/>
        <w:rPr>
          <w:rFonts w:eastAsia="Calibri"/>
          <w:noProof/>
          <w:lang w:val="en-US"/>
        </w:rPr>
      </w:pPr>
      <w:r w:rsidRPr="00F41BEB">
        <w:rPr>
          <w:rFonts w:eastAsia="Calibri"/>
          <w:noProof/>
          <w:lang w:val="en-US"/>
        </w:rPr>
        <w:t xml:space="preserve">The levels of correlation between the measures of morphological disparity and evolutionary rates also show some contrasts. The correlation for the evolutionary rates for both diet and locomotion were both high and significant (Table A2), but only the latter was significantly correlated for morphological disparity. The lower levels of correlation in the morphological disparity measured for the diet are likely due to the presence of multiple classes that are occupied solely by cetaceans, which exhibit markedly different results between the manual landmarking and DAA and are on the extreme values of the distribution. This difference leads to greater differences in these classes, resulting in a reduction in the overall correlation. </w:t>
      </w:r>
    </w:p>
    <w:p w14:paraId="20B6C4DD" w14:textId="2B774D56" w:rsidR="00261656" w:rsidRPr="00261656" w:rsidRDefault="00261656" w:rsidP="007F5FF3">
      <w:pPr>
        <w:spacing w:line="480" w:lineRule="auto"/>
      </w:pPr>
      <w:r w:rsidRPr="00B10B0C">
        <w:t>The retention of significant phylogenetic signal and the similarity in evolutionary rate estimates between manual landmarking and DAA with a larger kernel width suggest that DAA captures biologically meaningful patterns. While using an excessive number of control points may sometimes weaken biological inf</w:t>
      </w:r>
      <w:r>
        <w:t>erences, particularly when analys</w:t>
      </w:r>
      <w:r w:rsidRPr="00B10B0C">
        <w:t>ing incomplete specimens or those with signif</w:t>
      </w:r>
      <w:r>
        <w:t xml:space="preserve">icant morphological differences, </w:t>
      </w:r>
      <w:r w:rsidRPr="00B10B0C">
        <w:t>it also provides enhanced spatial resolution. This higher resolution allows for the detection of subtle morphological variations that might otherwise be overlooked in manual landmarking, facilitating deeper insights into both phylogenetic and ecological dynamics</w:t>
      </w:r>
      <w:r>
        <w:t xml:space="preserve">. </w:t>
      </w:r>
    </w:p>
    <w:p w14:paraId="07C84CA1" w14:textId="670A8B30" w:rsidR="0076317A" w:rsidRDefault="0076317A" w:rsidP="007F5FF3">
      <w:pPr>
        <w:spacing w:line="480" w:lineRule="auto"/>
        <w:rPr>
          <w:rFonts w:eastAsia="Calibri"/>
          <w:b/>
          <w:bCs/>
          <w:noProof/>
          <w:lang w:val="en-US"/>
        </w:rPr>
      </w:pPr>
      <w:r>
        <w:rPr>
          <w:rFonts w:eastAsia="Calibri"/>
          <w:b/>
          <w:bCs/>
          <w:noProof/>
          <w:lang w:val="en-US"/>
        </w:rPr>
        <w:t xml:space="preserve">Future Improvements and Applications for Landmark-free Approaches </w:t>
      </w:r>
    </w:p>
    <w:p w14:paraId="2F69BDB4" w14:textId="440D4310" w:rsidR="00216D93" w:rsidRDefault="003C0DE5" w:rsidP="00216D93">
      <w:pPr>
        <w:spacing w:line="480" w:lineRule="auto"/>
        <w:rPr>
          <w:noProof/>
          <w:lang w:val="en-US"/>
        </w:rPr>
      </w:pPr>
      <w:r>
        <w:lastRenderedPageBreak/>
        <w:t>Our</w:t>
      </w:r>
      <w:r w:rsidR="00880921" w:rsidRPr="00880921">
        <w:t xml:space="preserve"> results highlight that landmark-free approaches</w:t>
      </w:r>
      <w:r>
        <w:t xml:space="preserve"> are promising but further improvements are important for achieving the consistency and biological interpretability of analyses using</w:t>
      </w:r>
      <w:r w:rsidR="00880921" w:rsidRPr="00880921">
        <w:t xml:space="preserve"> manual landmarking methods.</w:t>
      </w:r>
      <w:r w:rsidR="00880921">
        <w:t xml:space="preserve"> </w:t>
      </w:r>
      <w:r w:rsidR="00216D93" w:rsidRPr="00216D93">
        <w:rPr>
          <w:rFonts w:eastAsia="Calibri"/>
          <w:noProof/>
        </w:rPr>
        <w:t xml:space="preserve">Many of </w:t>
      </w:r>
      <w:r w:rsidR="00D4099C">
        <w:rPr>
          <w:rFonts w:eastAsia="Calibri"/>
          <w:noProof/>
        </w:rPr>
        <w:t xml:space="preserve">the shortcomings of </w:t>
      </w:r>
      <w:r w:rsidR="00042657">
        <w:rPr>
          <w:rFonts w:eastAsia="Calibri"/>
          <w:noProof/>
        </w:rPr>
        <w:t>DAA</w:t>
      </w:r>
      <w:r w:rsidR="00216D93" w:rsidRPr="00216D93">
        <w:rPr>
          <w:rFonts w:eastAsia="Calibri"/>
          <w:noProof/>
        </w:rPr>
        <w:t xml:space="preserve"> were initially observed in manual landmarking methods, </w:t>
      </w:r>
      <w:r w:rsidR="00880921">
        <w:rPr>
          <w:rFonts w:eastAsia="Calibri"/>
          <w:noProof/>
        </w:rPr>
        <w:t>but</w:t>
      </w:r>
      <w:r w:rsidR="00216D93" w:rsidRPr="00216D93">
        <w:rPr>
          <w:rFonts w:eastAsia="Calibri"/>
          <w:noProof/>
        </w:rPr>
        <w:t xml:space="preserve"> have since been addressed.</w:t>
      </w:r>
      <w:r w:rsidR="002B2149">
        <w:rPr>
          <w:rFonts w:eastAsia="Calibri"/>
          <w:noProof/>
        </w:rPr>
        <w:t xml:space="preserve"> For example, within the dataset here, the inclusion of fossil data led to </w:t>
      </w:r>
      <w:r w:rsidR="00A91319">
        <w:rPr>
          <w:rFonts w:eastAsia="Calibri"/>
          <w:noProof/>
        </w:rPr>
        <w:t>having incomplete specimens that had missing anatomical structures. As noted previously, for groups such as Pilosa</w:t>
      </w:r>
      <w:r w:rsidR="00187D20">
        <w:rPr>
          <w:rFonts w:eastAsia="Calibri"/>
          <w:noProof/>
        </w:rPr>
        <w:t xml:space="preserve"> which had few complete specimens, the correlation with the manual landmarking data was lower, and progressive</w:t>
      </w:r>
      <w:r w:rsidR="00F2056E">
        <w:rPr>
          <w:rFonts w:eastAsia="Calibri"/>
          <w:noProof/>
        </w:rPr>
        <w:t xml:space="preserve">ly </w:t>
      </w:r>
      <w:r w:rsidR="00614B75">
        <w:rPr>
          <w:rFonts w:eastAsia="Calibri"/>
          <w:noProof/>
        </w:rPr>
        <w:t>decreased</w:t>
      </w:r>
      <w:r w:rsidR="00F2056E">
        <w:rPr>
          <w:rFonts w:eastAsia="Calibri"/>
          <w:noProof/>
        </w:rPr>
        <w:t xml:space="preserve"> as a larger number of control points were used. </w:t>
      </w:r>
      <w:r w:rsidR="00D90B75">
        <w:rPr>
          <w:rFonts w:eastAsia="Calibri"/>
          <w:noProof/>
        </w:rPr>
        <w:t>Furthermore,</w:t>
      </w:r>
      <w:r w:rsidR="00D90B75" w:rsidRPr="00D90B75">
        <w:t xml:space="preserve"> </w:t>
      </w:r>
      <w:r w:rsidR="00D90B75" w:rsidRPr="00D90B75">
        <w:rPr>
          <w:rFonts w:eastAsia="Calibri"/>
          <w:noProof/>
        </w:rPr>
        <w:t xml:space="preserve">specimens with missing anatomical features, such as </w:t>
      </w:r>
      <w:r w:rsidR="00D90B75" w:rsidRPr="00D90B75">
        <w:rPr>
          <w:rFonts w:eastAsia="Calibri"/>
          <w:i/>
          <w:iCs/>
          <w:noProof/>
        </w:rPr>
        <w:t>Euhapsis ellicottae</w:t>
      </w:r>
      <w:r w:rsidR="00D4099C">
        <w:rPr>
          <w:rFonts w:eastAsia="Calibri"/>
          <w:noProof/>
        </w:rPr>
        <w:t>, produced markedly different patterns of shape variation</w:t>
      </w:r>
      <w:r w:rsidR="001C55E3">
        <w:rPr>
          <w:rFonts w:eastAsia="Calibri"/>
          <w:noProof/>
        </w:rPr>
        <w:t xml:space="preserve"> (</w:t>
      </w:r>
      <w:r w:rsidR="00EA3784">
        <w:rPr>
          <w:rFonts w:eastAsia="Calibri"/>
          <w:noProof/>
        </w:rPr>
        <w:t xml:space="preserve">Figure </w:t>
      </w:r>
      <w:r w:rsidR="006A72A1">
        <w:rPr>
          <w:rFonts w:eastAsia="Calibri"/>
          <w:noProof/>
        </w:rPr>
        <w:t>3</w:t>
      </w:r>
      <w:r w:rsidR="00EA3784">
        <w:rPr>
          <w:rFonts w:eastAsia="Calibri"/>
          <w:noProof/>
        </w:rPr>
        <w:t>)</w:t>
      </w:r>
      <w:r w:rsidR="00D90B75">
        <w:rPr>
          <w:rFonts w:eastAsia="Calibri"/>
          <w:noProof/>
        </w:rPr>
        <w:t xml:space="preserve">. </w:t>
      </w:r>
      <w:r w:rsidR="00880921">
        <w:rPr>
          <w:rFonts w:eastAsia="Calibri"/>
          <w:noProof/>
        </w:rPr>
        <w:t>Unlike DAA, m</w:t>
      </w:r>
      <w:r w:rsidR="00F2056E">
        <w:rPr>
          <w:rFonts w:eastAsia="Calibri"/>
          <w:noProof/>
        </w:rPr>
        <w:t xml:space="preserve">anual landmarking approaches can mitigate these issues through strategies such as missing data estimation </w:t>
      </w:r>
      <w:r w:rsidR="00B2408F" w:rsidRPr="0073290E">
        <w:rPr>
          <w:noProof/>
          <w:lang w:val="en-US"/>
        </w:rPr>
        <w:fldChar w:fldCharType="begin"/>
      </w:r>
      <w:r w:rsidR="003C42E3">
        <w:rPr>
          <w:noProof/>
          <w:lang w:val="en-US"/>
        </w:rPr>
        <w:instrText xml:space="preserve"> ADDIN EN.CITE &lt;EndNote&gt;&lt;Cite&gt;&lt;Author&gt;Arbour&lt;/Author&gt;&lt;Year&gt;2014&lt;/Year&gt;&lt;RecNum&gt;236&lt;/RecNum&gt;&lt;DisplayText&gt;[61]&lt;/DisplayText&gt;&lt;record&gt;&lt;rec-number&gt;236&lt;/rec-number&gt;&lt;foreign-keys&gt;&lt;key app="EN" db-id="stvxpdr5yrpspzes0zppeddup9p2da2vrpv9" timestamp="0"&gt;236&lt;/key&gt;&lt;/foreign-keys&gt;&lt;ref-type name="Journal Article"&gt;17&lt;/ref-type&gt;&lt;contributors&gt;&lt;authors&gt;&lt;author&gt;Arbour, Jessica H&lt;/author&gt;&lt;author&gt;Brown, Caleb M&lt;/author&gt;&lt;/authors&gt;&lt;/contributors&gt;&lt;titles&gt;&lt;title&gt;Incomplete specimens in geometric morphometric analyses&lt;/title&gt;&lt;secondary-title&gt;Methods in Ecology and Evolution&lt;/secondary-title&gt;&lt;/titles&gt;&lt;periodical&gt;&lt;full-title&gt;Methods in Ecology and Evolution&lt;/full-title&gt;&lt;/periodical&gt;&lt;pages&gt;16-26&lt;/pages&gt;&lt;volume&gt;5&lt;/volume&gt;&lt;number&gt;1&lt;/number&gt;&lt;dates&gt;&lt;year&gt;2014&lt;/year&gt;&lt;/dates&gt;&lt;isbn&gt;2041-210X&lt;/isbn&gt;&lt;urls&gt;&lt;/urls&gt;&lt;electronic-resource-num&gt;https://doi.org/10.1111/2041-210X.12128&lt;/electronic-resource-num&gt;&lt;/record&gt;&lt;/Cite&gt;&lt;/EndNote&gt;</w:instrText>
      </w:r>
      <w:r w:rsidR="00B2408F" w:rsidRPr="0073290E">
        <w:rPr>
          <w:noProof/>
          <w:lang w:val="en-US"/>
        </w:rPr>
        <w:fldChar w:fldCharType="separate"/>
      </w:r>
      <w:r w:rsidR="003C42E3">
        <w:rPr>
          <w:noProof/>
          <w:lang w:val="en-US"/>
        </w:rPr>
        <w:t>[61]</w:t>
      </w:r>
      <w:r w:rsidR="00B2408F" w:rsidRPr="0073290E">
        <w:rPr>
          <w:noProof/>
          <w:lang w:val="en-US"/>
        </w:rPr>
        <w:fldChar w:fldCharType="end"/>
      </w:r>
      <w:r w:rsidR="00B2408F" w:rsidRPr="0073290E">
        <w:rPr>
          <w:noProof/>
          <w:lang w:val="en-US"/>
        </w:rPr>
        <w:t xml:space="preserve"> or interpolating missing landmarks </w:t>
      </w:r>
      <w:r w:rsidR="00B2408F" w:rsidRPr="0073290E">
        <w:rPr>
          <w:noProof/>
          <w:lang w:val="en-US"/>
        </w:rPr>
        <w:fldChar w:fldCharType="begin"/>
      </w:r>
      <w:r w:rsidR="003C42E3">
        <w:rPr>
          <w:noProof/>
          <w:lang w:val="en-US"/>
        </w:rPr>
        <w:instrText xml:space="preserve"> ADDIN EN.CITE &lt;EndNote&gt;&lt;Cite&gt;&lt;Author&gt;Mitteroecker&lt;/Author&gt;&lt;Year&gt;2009&lt;/Year&gt;&lt;RecNum&gt;239&lt;/RecNum&gt;&lt;DisplayText&gt;[62]&lt;/DisplayText&gt;&lt;record&gt;&lt;rec-number&gt;239&lt;/rec-number&gt;&lt;foreign-keys&gt;&lt;key app="EN" db-id="stvxpdr5yrpspzes0zppeddup9p2da2vrpv9" timestamp="0"&gt;239&lt;/key&gt;&lt;/foreign-keys&gt;&lt;ref-type name="Journal Article"&gt;17&lt;/ref-type&gt;&lt;contributors&gt;&lt;authors&gt;&lt;author&gt;Mitteroecker, Philipp&lt;/author&gt;&lt;author&gt;Gunz, Philipp&lt;/author&gt;&lt;/authors&gt;&lt;/contributors&gt;&lt;titles&gt;&lt;title&gt;Advances in geometric morphometrics&lt;/title&gt;&lt;secondary-title&gt;Evolutionary biology&lt;/secondary-title&gt;&lt;/titles&gt;&lt;pages&gt;235-247&lt;/pages&gt;&lt;volume&gt;36&lt;/volume&gt;&lt;dates&gt;&lt;year&gt;2009&lt;/year&gt;&lt;/dates&gt;&lt;isbn&gt;0071-3260&lt;/isbn&gt;&lt;urls&gt;&lt;/urls&gt;&lt;electronic-resource-num&gt;https://doi.org/10.1007/s11692-009-9055-x&lt;/electronic-resource-num&gt;&lt;/record&gt;&lt;/Cite&gt;&lt;/EndNote&gt;</w:instrText>
      </w:r>
      <w:r w:rsidR="00B2408F" w:rsidRPr="0073290E">
        <w:rPr>
          <w:noProof/>
          <w:lang w:val="en-US"/>
        </w:rPr>
        <w:fldChar w:fldCharType="separate"/>
      </w:r>
      <w:r w:rsidR="003C42E3">
        <w:rPr>
          <w:noProof/>
          <w:lang w:val="en-US"/>
        </w:rPr>
        <w:t>[62]</w:t>
      </w:r>
      <w:r w:rsidR="00B2408F" w:rsidRPr="0073290E">
        <w:rPr>
          <w:noProof/>
          <w:lang w:val="en-US"/>
        </w:rPr>
        <w:fldChar w:fldCharType="end"/>
      </w:r>
      <w:r w:rsidR="00B37EF6">
        <w:rPr>
          <w:noProof/>
          <w:lang w:val="en-US"/>
        </w:rPr>
        <w:t xml:space="preserve">, </w:t>
      </w:r>
      <w:r w:rsidR="00413A80">
        <w:t xml:space="preserve">and even without these interventions, manual approaches tend to produce less confounded results </w:t>
      </w:r>
      <w:r w:rsidR="00383A85">
        <w:rPr>
          <w:noProof/>
          <w:lang w:val="en-US"/>
        </w:rPr>
        <w:fldChar w:fldCharType="begin">
          <w:fldData xml:space="preserve">PEVuZE5vdGU+PENpdGU+PEF1dGhvcj5GcnVjaWFubzwvQXV0aG9yPjxZZWFyPjIwMTc8L1llYXI+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</w:fldData>
        </w:fldChar>
      </w:r>
      <w:r w:rsidR="003C42E3">
        <w:rPr>
          <w:noProof/>
          <w:lang w:val="en-US"/>
        </w:rPr>
        <w:instrText xml:space="preserve"> ADDIN EN.CITE </w:instrText>
      </w:r>
      <w:r w:rsidR="003C42E3">
        <w:rPr>
          <w:noProof/>
          <w:lang w:val="en-US"/>
        </w:rPr>
        <w:fldChar w:fldCharType="begin">
          <w:fldData xml:space="preserve">PEVuZE5vdGU+PENpdGU+PEF1dGhvcj5GcnVjaWFubzwvQXV0aG9yPjxZZWFyPjIwMTc8L1llYXI+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</w:fldData>
        </w:fldChar>
      </w:r>
      <w:r w:rsidR="003C42E3">
        <w:rPr>
          <w:noProof/>
          <w:lang w:val="en-US"/>
        </w:rPr>
        <w:instrText xml:space="preserve"> ADDIN EN.CITE.DATA </w:instrText>
      </w:r>
      <w:r w:rsidR="003C42E3">
        <w:rPr>
          <w:noProof/>
          <w:lang w:val="en-US"/>
        </w:rPr>
      </w:r>
      <w:r w:rsidR="003C42E3">
        <w:rPr>
          <w:noProof/>
          <w:lang w:val="en-US"/>
        </w:rPr>
        <w:fldChar w:fldCharType="end"/>
      </w:r>
      <w:r w:rsidR="00383A85">
        <w:rPr>
          <w:noProof/>
          <w:lang w:val="en-US"/>
        </w:rPr>
      </w:r>
      <w:r w:rsidR="00383A85">
        <w:rPr>
          <w:noProof/>
          <w:lang w:val="en-US"/>
        </w:rPr>
        <w:fldChar w:fldCharType="separate"/>
      </w:r>
      <w:r w:rsidR="003C42E3">
        <w:rPr>
          <w:noProof/>
          <w:lang w:val="en-US"/>
        </w:rPr>
        <w:t>[35, 56, 63]</w:t>
      </w:r>
      <w:r w:rsidR="00383A85">
        <w:rPr>
          <w:noProof/>
          <w:lang w:val="en-US"/>
        </w:rPr>
        <w:fldChar w:fldCharType="end"/>
      </w:r>
      <w:r w:rsidR="00383A85">
        <w:rPr>
          <w:noProof/>
          <w:lang w:val="en-US"/>
        </w:rPr>
        <w:t xml:space="preserve">. </w:t>
      </w:r>
      <w:r w:rsidR="0015103B">
        <w:rPr>
          <w:noProof/>
          <w:lang w:val="en-US"/>
        </w:rPr>
        <w:t xml:space="preserve">Solutions to overcome these issues in DAA are likely </w:t>
      </w:r>
      <w:r w:rsidR="00ED5EDF">
        <w:rPr>
          <w:noProof/>
          <w:lang w:val="en-US"/>
        </w:rPr>
        <w:t>t</w:t>
      </w:r>
      <w:r w:rsidR="0015103B">
        <w:rPr>
          <w:noProof/>
          <w:lang w:val="en-US"/>
        </w:rPr>
        <w:t xml:space="preserve">o come from emerging deep learning approaches, </w:t>
      </w:r>
      <w:r w:rsidR="00ED5EDF" w:rsidRPr="00ED5EDF">
        <w:rPr>
          <w:noProof/>
          <w:lang w:val="en-US"/>
        </w:rPr>
        <w:t>some of which have shown promise in predicting missing anatomical regions</w:t>
      </w:r>
      <w:r w:rsidR="00ED5EDF">
        <w:rPr>
          <w:noProof/>
          <w:lang w:val="en-US"/>
        </w:rPr>
        <w:t xml:space="preserve"> </w:t>
      </w:r>
      <w:r w:rsidR="00C118B1" w:rsidRPr="0073290E">
        <w:rPr>
          <w:noProof/>
          <w:lang w:val="en-US"/>
        </w:rPr>
        <w:fldChar w:fldCharType="begin"/>
      </w:r>
      <w:r w:rsidR="003C42E3">
        <w:rPr>
          <w:noProof/>
          <w:lang w:val="en-US"/>
        </w:rPr>
        <w:instrText xml:space="preserve"> ADDIN EN.CITE &lt;EndNote&gt;&lt;Cite&gt;&lt;Author&gt;Courtenay&lt;/Author&gt;&lt;Year&gt;2024&lt;/Year&gt;&lt;RecNum&gt;237&lt;/RecNum&gt;&lt;DisplayText&gt;[64]&lt;/DisplayText&gt;&lt;record&gt;&lt;rec-number&gt;237&lt;/rec-number&gt;&lt;foreign-keys&gt;&lt;key app="EN" db-id="stvxpdr5yrpspzes0zppeddup9p2da2vrpv9" timestamp="0"&gt;237&lt;/key&gt;&lt;/foreign-keys&gt;&lt;ref-type name="Journal Article"&gt;17&lt;/ref-type&gt;&lt;contributors&gt;&lt;authors&gt;&lt;author&gt;Courtenay, Lloyd Austin&lt;/author&gt;&lt;author&gt;Aramendi, Julia&lt;/author&gt;&lt;/authors&gt;&lt;/contributors&gt;&lt;titles&gt;&lt;title&gt;The&amp;apos;Reverse Engineering&amp;apos;approach to hominin long bone reconstruction: Transforming human evolution studies&lt;/title&gt;&lt;secondary-title&gt;Bulletins et mémoires de la Société d’Anthropologie de Paris. BMSAP&lt;/secondary-title&gt;&lt;/titles&gt;&lt;volume&gt;36&lt;/volume&gt;&lt;number&gt;36 (S)&lt;/number&gt;&lt;dates&gt;&lt;year&gt;2024&lt;/year&gt;&lt;/dates&gt;&lt;isbn&gt;1777-5469&lt;/isbn&gt;&lt;urls&gt;&lt;/urls&gt;&lt;electronic-resource-num&gt;https://doi.org/10.4000/bmsap.12606&lt;/electronic-resource-num&gt;&lt;/record&gt;&lt;/Cite&gt;&lt;/EndNote&gt;</w:instrText>
      </w:r>
      <w:r w:rsidR="00C118B1" w:rsidRPr="0073290E">
        <w:rPr>
          <w:noProof/>
          <w:lang w:val="en-US"/>
        </w:rPr>
        <w:fldChar w:fldCharType="separate"/>
      </w:r>
      <w:r w:rsidR="003C42E3">
        <w:rPr>
          <w:noProof/>
          <w:lang w:val="en-US"/>
        </w:rPr>
        <w:t>[64]</w:t>
      </w:r>
      <w:r w:rsidR="00C118B1" w:rsidRPr="0073290E">
        <w:rPr>
          <w:noProof/>
          <w:lang w:val="en-US"/>
        </w:rPr>
        <w:fldChar w:fldCharType="end"/>
      </w:r>
      <w:r w:rsidR="00C118B1" w:rsidRPr="0073290E">
        <w:rPr>
          <w:noProof/>
          <w:lang w:val="en-US"/>
        </w:rPr>
        <w:t xml:space="preserve">.  </w:t>
      </w:r>
    </w:p>
    <w:p w14:paraId="7C8F8125" w14:textId="2111E287" w:rsidR="00037845" w:rsidRPr="006D1EF6" w:rsidRDefault="00544B0C" w:rsidP="007F5FF3">
      <w:pPr>
        <w:spacing w:line="480" w:lineRule="auto"/>
        <w:rPr>
          <w:noProof/>
          <w:lang w:val="en-US"/>
        </w:rPr>
      </w:pPr>
      <w:r>
        <w:rPr>
          <w:noProof/>
          <w:lang w:val="en-US"/>
        </w:rPr>
        <w:t xml:space="preserve">Another important consideration is the landmark-free methods like DAA often include </w:t>
      </w:r>
      <w:r w:rsidR="001C55E3">
        <w:rPr>
          <w:noProof/>
          <w:lang w:val="en-US"/>
        </w:rPr>
        <w:t xml:space="preserve">anatomical features that would typically be excluded from manual landmarking analyses. In this dataset, features such as horns </w:t>
      </w:r>
      <w:r w:rsidR="002C3E00">
        <w:rPr>
          <w:noProof/>
          <w:lang w:val="en-US"/>
        </w:rPr>
        <w:t>and teeth</w:t>
      </w:r>
      <w:r w:rsidR="001B66C9">
        <w:rPr>
          <w:noProof/>
          <w:lang w:val="en-US"/>
        </w:rPr>
        <w:t xml:space="preserve"> were captured</w:t>
      </w:r>
      <w:r w:rsidR="002C3E00">
        <w:rPr>
          <w:noProof/>
          <w:lang w:val="en-US"/>
        </w:rPr>
        <w:t xml:space="preserve">, which impacts shape comparisons by </w:t>
      </w:r>
      <w:r w:rsidR="00647B1B">
        <w:rPr>
          <w:noProof/>
          <w:lang w:val="en-US"/>
        </w:rPr>
        <w:t>inflating the differences between specimens. For instance, when using w</w:t>
      </w:r>
      <w:r w:rsidR="00647B1B" w:rsidRPr="00647B1B">
        <w:rPr>
          <w:noProof/>
          <w:lang w:val="en-US"/>
        </w:rPr>
        <w:t xml:space="preserve">hen using a larger kernel width (fewer control points), specimens with large horns, such as </w:t>
      </w:r>
      <w:r w:rsidR="00647B1B" w:rsidRPr="00EF71D4">
        <w:rPr>
          <w:i/>
          <w:iCs/>
          <w:noProof/>
          <w:lang w:val="en-US"/>
        </w:rPr>
        <w:t>Arsinoitherium zitelli</w:t>
      </w:r>
      <w:r w:rsidR="00647B1B" w:rsidRPr="00647B1B">
        <w:rPr>
          <w:noProof/>
          <w:lang w:val="en-US"/>
        </w:rPr>
        <w:t xml:space="preserve">, and large teeth, such as </w:t>
      </w:r>
      <w:r w:rsidR="00647B1B" w:rsidRPr="00EF71D4">
        <w:rPr>
          <w:i/>
          <w:iCs/>
          <w:noProof/>
          <w:lang w:val="en-US"/>
        </w:rPr>
        <w:t>Odobenus rosmarus</w:t>
      </w:r>
      <w:r w:rsidR="00647B1B" w:rsidRPr="00647B1B">
        <w:rPr>
          <w:noProof/>
          <w:lang w:val="en-US"/>
        </w:rPr>
        <w:t xml:space="preserve">, plotted in distinct areas of PC1, separate from the rest of their clade (Figure </w:t>
      </w:r>
      <w:r w:rsidR="006A72A1">
        <w:rPr>
          <w:noProof/>
          <w:lang w:val="en-US"/>
        </w:rPr>
        <w:t>3</w:t>
      </w:r>
      <w:r w:rsidR="00647B1B" w:rsidRPr="00647B1B">
        <w:rPr>
          <w:noProof/>
          <w:lang w:val="en-US"/>
        </w:rPr>
        <w:t>).</w:t>
      </w:r>
      <w:r w:rsidR="001B66C9">
        <w:rPr>
          <w:noProof/>
          <w:lang w:val="en-US"/>
        </w:rPr>
        <w:t xml:space="preserve"> </w:t>
      </w:r>
      <w:r w:rsidR="008B41B5">
        <w:rPr>
          <w:noProof/>
          <w:lang w:val="en-US"/>
        </w:rPr>
        <w:t>Th</w:t>
      </w:r>
      <w:r w:rsidR="00CD715D">
        <w:rPr>
          <w:noProof/>
          <w:lang w:val="en-US"/>
        </w:rPr>
        <w:t>is</w:t>
      </w:r>
      <w:r w:rsidR="008B41B5">
        <w:rPr>
          <w:noProof/>
          <w:lang w:val="en-US"/>
        </w:rPr>
        <w:t xml:space="preserve"> effect is less obvious when using a higher number of control </w:t>
      </w:r>
      <w:r w:rsidR="008B41B5">
        <w:rPr>
          <w:noProof/>
          <w:lang w:val="en-US"/>
        </w:rPr>
        <w:lastRenderedPageBreak/>
        <w:t>points, but the increased capturing of these areas also likely contributes to the decreased correlation between methods</w:t>
      </w:r>
      <w:r w:rsidR="00E10507">
        <w:rPr>
          <w:noProof/>
          <w:lang w:val="en-US"/>
        </w:rPr>
        <w:t xml:space="preserve">. </w:t>
      </w:r>
      <w:r w:rsidR="00B10B0C">
        <w:rPr>
          <w:noProof/>
          <w:lang w:val="en-US"/>
        </w:rPr>
        <w:t>T</w:t>
      </w:r>
      <w:r w:rsidR="00B10B0C" w:rsidRPr="00B10B0C">
        <w:rPr>
          <w:noProof/>
          <w:lang w:val="en-US"/>
        </w:rPr>
        <w:t xml:space="preserve">he inclusion of such features can be seen as either an advantage or a drawback, depending on the </w:t>
      </w:r>
      <w:r w:rsidR="003C0DE5">
        <w:rPr>
          <w:noProof/>
          <w:lang w:val="en-US"/>
        </w:rPr>
        <w:t xml:space="preserve">question, dataset and variation of interest for an analysis. </w:t>
      </w:r>
    </w:p>
    <w:p w14:paraId="759A559A" w14:textId="21FC7A8B" w:rsidR="00D34274" w:rsidRDefault="00083DBE" w:rsidP="007F5FF3">
      <w:pPr>
        <w:spacing w:line="480" w:lineRule="auto"/>
        <w:rPr>
          <w:noProof/>
          <w:lang w:val="en-US"/>
        </w:rPr>
      </w:pPr>
      <w:r w:rsidRPr="00083DBE">
        <w:t>One</w:t>
      </w:r>
      <w:r>
        <w:t xml:space="preserve"> </w:t>
      </w:r>
      <w:r w:rsidR="00B10B0C">
        <w:t>area w</w:t>
      </w:r>
      <w:r w:rsidR="00B10B0C" w:rsidRPr="00B10B0C">
        <w:t>here DAA could be enhanced for more robust shape comparisons</w:t>
      </w:r>
      <w:r w:rsidR="00CF72F4">
        <w:t xml:space="preserve"> that retain homology</w:t>
      </w:r>
      <w:r w:rsidR="00B10B0C" w:rsidRPr="00B10B0C">
        <w:t xml:space="preserve"> is</w:t>
      </w:r>
      <w:r w:rsidR="00CF72F4">
        <w:t xml:space="preserve"> by applying it to</w:t>
      </w:r>
      <w:r w:rsidR="00B10B0C" w:rsidRPr="00B10B0C">
        <w:t xml:space="preserve"> isolate</w:t>
      </w:r>
      <w:r w:rsidR="00CF72F4">
        <w:t>d</w:t>
      </w:r>
      <w:r w:rsidR="00B10B0C" w:rsidRPr="00B10B0C">
        <w:t xml:space="preserve"> individual skeletal elements, </w:t>
      </w:r>
      <w:r w:rsidR="00CF72F4">
        <w:t xml:space="preserve">for example each bone within the </w:t>
      </w:r>
      <w:r w:rsidR="00B10B0C" w:rsidRPr="00B10B0C">
        <w:t>cranial structure</w:t>
      </w:r>
      <w:r w:rsidRPr="00083DBE">
        <w:t xml:space="preserve">. </w:t>
      </w:r>
      <w:r w:rsidR="00CF72F4">
        <w:t xml:space="preserve">Applying DAA to structures made of multiple elements, </w:t>
      </w:r>
      <w:r w:rsidRPr="00083DBE">
        <w:t xml:space="preserve">impedes studies on the independent evolution of specific elements </w:t>
      </w:r>
      <w:r w:rsidR="00485266" w:rsidRPr="0073290E">
        <w:rPr>
          <w:noProof/>
          <w:lang w:val="en-US"/>
        </w:rPr>
        <w:fldChar w:fldCharType="begin"/>
      </w:r>
      <w:r w:rsidR="003C42E3">
        <w:rPr>
          <w:noProof/>
          <w:lang w:val="en-US"/>
        </w:rPr>
        <w:instrText xml:space="preserve"> ADDIN EN.CITE &lt;EndNote&gt;&lt;Cite&gt;&lt;Author&gt;Goswami&lt;/Author&gt;&lt;Year&gt;2023&lt;/Year&gt;&lt;RecNum&gt;240&lt;/RecNum&gt;&lt;DisplayText&gt;[65]&lt;/DisplayText&gt;&lt;record&gt;&lt;rec-number&gt;240&lt;/rec-number&gt;&lt;foreign-keys&gt;&lt;key app="EN" db-id="stvxpdr5yrpspzes0zppeddup9p2da2vrpv9" timestamp="0"&gt;240&lt;/key&gt;&lt;/foreign-keys&gt;&lt;ref-type name="Journal Article"&gt;17&lt;/ref-type&gt;&lt;contributors&gt;&lt;authors&gt;&lt;author&gt;Goswami, Anjali&lt;/author&gt;&lt;author&gt;Noirault, Eve&lt;/author&gt;&lt;author&gt;Coombs, Ellen J&lt;/author&gt;&lt;author&gt;Clavel, Julien&lt;/author&gt;&lt;author&gt;Fabre, Anne-Claire&lt;/author&gt;&lt;author&gt;Halliday, Thomas JD&lt;/author&gt;&lt;author&gt;Churchill, Morgan&lt;/author&gt;&lt;author&gt;Curtis, Abigail&lt;/author&gt;&lt;author&gt;Watanabe, Akinobu&lt;/author&gt;&lt;author&gt;Simmons, Nancy B&lt;/author&gt;&lt;/authors&gt;&lt;/contributors&gt;&lt;titles&gt;&lt;title&gt;Developmental origin underlies evolutionary rate variation across the placental skull&lt;/title&gt;&lt;secondary-title&gt;Philosophical Transactions of the Royal Society B&lt;/secondary-title&gt;&lt;/titles&gt;&lt;pages&gt;20220083&lt;/pages&gt;&lt;volume&gt;378&lt;/volume&gt;&lt;number&gt;1880&lt;/number&gt;&lt;dates&gt;&lt;year&gt;2023&lt;/year&gt;&lt;/dates&gt;&lt;isbn&gt;0962-8436&lt;/isbn&gt;&lt;urls&gt;&lt;/urls&gt;&lt;electronic-resource-num&gt;https://doi.org/10.1098/rstb.2022.0083&lt;/electronic-resource-num&gt;&lt;/record&gt;&lt;/Cite&gt;&lt;/EndNote&gt;</w:instrText>
      </w:r>
      <w:r w:rsidR="00485266" w:rsidRPr="0073290E">
        <w:rPr>
          <w:noProof/>
          <w:lang w:val="en-US"/>
        </w:rPr>
        <w:fldChar w:fldCharType="separate"/>
      </w:r>
      <w:r w:rsidR="003C42E3">
        <w:rPr>
          <w:noProof/>
          <w:lang w:val="en-US"/>
        </w:rPr>
        <w:t>[65]</w:t>
      </w:r>
      <w:r w:rsidR="00485266" w:rsidRPr="0073290E">
        <w:rPr>
          <w:noProof/>
          <w:lang w:val="en-US"/>
        </w:rPr>
        <w:fldChar w:fldCharType="end"/>
      </w:r>
      <w:r w:rsidR="00485266" w:rsidRPr="0073290E">
        <w:rPr>
          <w:noProof/>
          <w:lang w:val="en-US"/>
        </w:rPr>
        <w:t xml:space="preserve"> </w:t>
      </w:r>
      <w:r>
        <w:rPr>
          <w:noProof/>
          <w:lang w:val="en-US"/>
        </w:rPr>
        <w:t>a</w:t>
      </w:r>
      <w:r w:rsidRPr="00083DBE">
        <w:rPr>
          <w:noProof/>
          <w:lang w:val="en-US"/>
        </w:rPr>
        <w:t>nd their relationship through phenotypic integration and modularity</w:t>
      </w:r>
      <w:r w:rsidR="00485266" w:rsidRPr="0073290E">
        <w:rPr>
          <w:noProof/>
          <w:lang w:val="en-US"/>
        </w:rPr>
        <w:t xml:space="preserve"> </w:t>
      </w:r>
      <w:r w:rsidR="00485266" w:rsidRPr="0073290E">
        <w:rPr>
          <w:noProof/>
          <w:lang w:val="en-US"/>
        </w:rPr>
        <w:fldChar w:fldCharType="begin"/>
      </w:r>
      <w:r w:rsidR="003C42E3">
        <w:rPr>
          <w:noProof/>
          <w:lang w:val="en-US"/>
        </w:rPr>
        <w:instrText xml:space="preserve"> ADDIN EN.CITE &lt;EndNote&gt;&lt;Cite&gt;&lt;Author&gt;Felice&lt;/Author&gt;&lt;Year&gt;2019&lt;/Year&gt;&lt;RecNum&gt;241&lt;/RecNum&gt;&lt;DisplayText&gt;[66, 67]&lt;/DisplayText&gt;&lt;record&gt;&lt;rec-number&gt;241&lt;/rec-number&gt;&lt;foreign-keys&gt;&lt;key app="EN" db-id="stvxpdr5yrpspzes0zppeddup9p2da2vrpv9" timestamp="0"&gt;241&lt;/key&gt;&lt;/foreign-keys&gt;&lt;ref-type name="Journal Article"&gt;17&lt;/ref-type&gt;&lt;contributors&gt;&lt;authors&gt;&lt;author&gt;Felice, Ryan N&lt;/author&gt;&lt;author&gt;Watanabe, Akinobu&lt;/author&gt;&lt;author&gt;Cuff, Andrew R&lt;/author&gt;&lt;author&gt;Noirault, Eve&lt;/author&gt;&lt;author&gt;Pol, Diego&lt;/author&gt;&lt;author&gt;Witmer, Lawrence M&lt;/author&gt;&lt;author&gt;Norell, Mark A&lt;/author&gt;&lt;author&gt;O&amp;apos;Connor, Patrick M&lt;/author&gt;&lt;author&gt;Goswami, Anjali&lt;/author&gt;&lt;/authors&gt;&lt;/contributors&gt;&lt;titles&gt;&lt;title&gt;Evolutionary integration and modularity in the archosaur cranium&lt;/title&gt;&lt;secondary-title&gt;Integrative and comparative biology&lt;/secondary-title&gt;&lt;/titles&gt;&lt;pages&gt;371-382&lt;/pages&gt;&lt;volume&gt;59&lt;/volume&gt;&lt;number&gt;2&lt;/number&gt;&lt;dates&gt;&lt;year&gt;2019&lt;/year&gt;&lt;/dates&gt;&lt;isbn&gt;1540-7063&lt;/isbn&gt;&lt;urls&gt;&lt;/urls&gt;&lt;electronic-resource-num&gt;https://doi.org/10.1093/icb/icz052&lt;/electronic-resource-num&gt;&lt;/record&gt;&lt;/Cite&gt;&lt;Cite&gt;&lt;Author&gt;Goswami&lt;/Author&gt;&lt;Year&gt;2014&lt;/Year&gt;&lt;RecNum&gt;4&lt;/RecNum&gt;&lt;record&gt;&lt;rec-number&gt;4&lt;/rec-number&gt;&lt;foreign-keys&gt;&lt;key app="EN" db-id="stvxpdr5yrpspzes0zppeddup9p2da2vrpv9" timestamp="0"&gt;4&lt;/key&gt;&lt;/foreign-keys&gt;&lt;ref-type name="Journal Article"&gt;17&lt;/ref-type&gt;&lt;contributors&gt;&lt;authors&gt;&lt;author&gt;Goswami, Anjali&lt;/author&gt;&lt;author&gt;Smaers, Jeroen B.&lt;/author&gt;&lt;author&gt;Soligo, Christophe&lt;/author&gt;&lt;author&gt;Polly, P. David&lt;/author&gt;&lt;/authors&gt;&lt;/contributors&gt;&lt;titles&gt;&lt;title&gt;The macroevolutionary consequences of phenotypic integration: from development to deep time&lt;/title&gt;&lt;secondary-title&gt;Philosophical Transactions of the Royal Society B: Biological Sciences&lt;/secondary-title&gt;&lt;/titles&gt;&lt;pages&gt;20130254&lt;/pages&gt;&lt;volume&gt;369&lt;/volume&gt;&lt;number&gt;1649&lt;/number&gt;&lt;dates&gt;&lt;year&gt;2014&lt;/year&gt;&lt;/dates&gt;&lt;publisher&gt;The Royal Society&lt;/publisher&gt;&lt;isbn&gt;0962-8436&lt;/isbn&gt;&lt;urls&gt;&lt;/urls&gt;&lt;electronic-resource-num&gt;https://doi.org/10.1098/rstb.2013.0254&lt;/electronic-resource-num&gt;&lt;/record&gt;&lt;/Cite&gt;&lt;/EndNote&gt;</w:instrText>
      </w:r>
      <w:r w:rsidR="00485266" w:rsidRPr="0073290E">
        <w:rPr>
          <w:noProof/>
          <w:lang w:val="en-US"/>
        </w:rPr>
        <w:fldChar w:fldCharType="separate"/>
      </w:r>
      <w:r w:rsidR="003C42E3">
        <w:rPr>
          <w:noProof/>
          <w:lang w:val="en-US"/>
        </w:rPr>
        <w:t>[66, 67]</w:t>
      </w:r>
      <w:r w:rsidR="00485266" w:rsidRPr="0073290E">
        <w:rPr>
          <w:noProof/>
          <w:lang w:val="en-US"/>
        </w:rPr>
        <w:fldChar w:fldCharType="end"/>
      </w:r>
      <w:r w:rsidR="0095245D">
        <w:rPr>
          <w:noProof/>
          <w:lang w:val="en-US"/>
        </w:rPr>
        <w:t>, but</w:t>
      </w:r>
      <w:r w:rsidR="00CF72F4">
        <w:rPr>
          <w:noProof/>
          <w:lang w:val="en-US"/>
        </w:rPr>
        <w:t xml:space="preserve"> may</w:t>
      </w:r>
      <w:r w:rsidR="0095245D">
        <w:rPr>
          <w:noProof/>
          <w:lang w:val="en-US"/>
        </w:rPr>
        <w:t xml:space="preserve"> also prevent obtaining accurate </w:t>
      </w:r>
      <w:r w:rsidR="00A54011">
        <w:rPr>
          <w:noProof/>
          <w:lang w:val="en-US"/>
        </w:rPr>
        <w:t xml:space="preserve">mesh </w:t>
      </w:r>
      <w:r w:rsidR="0095245D">
        <w:rPr>
          <w:noProof/>
          <w:lang w:val="en-US"/>
        </w:rPr>
        <w:t xml:space="preserve">scaling and comparisons between taxa. </w:t>
      </w:r>
      <w:r w:rsidR="001F3BAF" w:rsidRPr="001F3BAF">
        <w:rPr>
          <w:noProof/>
          <w:lang w:val="en-US"/>
        </w:rPr>
        <w:t xml:space="preserve">In contrast, manual landmarking techniques that capture regions along suture lines help ensure the retention of homology, which likely explains why groups like Cetacea may appear more disparate from other taxa in </w:t>
      </w:r>
      <w:r w:rsidR="00C34112">
        <w:rPr>
          <w:noProof/>
          <w:lang w:val="en-US"/>
        </w:rPr>
        <w:t xml:space="preserve">the </w:t>
      </w:r>
      <w:r w:rsidR="001F3BAF" w:rsidRPr="001F3BAF">
        <w:rPr>
          <w:noProof/>
          <w:lang w:val="en-US"/>
        </w:rPr>
        <w:t>manual landmarking analys</w:t>
      </w:r>
      <w:r w:rsidR="00C34112">
        <w:rPr>
          <w:noProof/>
          <w:lang w:val="en-US"/>
        </w:rPr>
        <w:t>is than DAA</w:t>
      </w:r>
      <w:r w:rsidR="001F3BAF">
        <w:rPr>
          <w:noProof/>
          <w:lang w:val="en-US"/>
        </w:rPr>
        <w:t>.</w:t>
      </w:r>
      <w:r w:rsidR="00701494">
        <w:rPr>
          <w:noProof/>
          <w:lang w:val="en-US"/>
        </w:rPr>
        <w:t xml:space="preserve"> </w:t>
      </w:r>
      <w:r w:rsidR="00F64545">
        <w:rPr>
          <w:noProof/>
          <w:lang w:val="en-US"/>
        </w:rPr>
        <w:t xml:space="preserve">We, therefore, suggest that parcellating meshes into different anatomical regions </w:t>
      </w:r>
      <w:r w:rsidR="00333455">
        <w:rPr>
          <w:noProof/>
          <w:lang w:val="en-US"/>
        </w:rPr>
        <w:t>using computer vision techniques</w:t>
      </w:r>
      <w:r w:rsidR="00E10507">
        <w:rPr>
          <w:noProof/>
          <w:lang w:val="en-US"/>
        </w:rPr>
        <w:t xml:space="preserve"> such as SPROUT </w:t>
      </w:r>
      <w:r w:rsidR="00E10507">
        <w:rPr>
          <w:noProof/>
          <w:lang w:val="en-US"/>
        </w:rPr>
        <w:fldChar w:fldCharType="begin"/>
      </w:r>
      <w:r w:rsidR="003C42E3">
        <w:rPr>
          <w:noProof/>
          <w:lang w:val="en-US"/>
        </w:rPr>
        <w:instrText xml:space="preserve"> ADDIN EN.CITE &lt;EndNote&gt;&lt;Cite&gt;&lt;Author&gt;He&lt;/Author&gt;&lt;Year&gt;2024&lt;/Year&gt;&lt;RecNum&gt;357&lt;/RecNum&gt;&lt;DisplayText&gt;[68]&lt;/DisplayText&gt;&lt;record&gt;&lt;rec-number&gt;357&lt;/rec-number&gt;&lt;foreign-keys&gt;&lt;key app="EN" db-id="tasefzw5b2p9euepe2cpwzvqsztr2dd9f5tz" timestamp="1739313568"&gt;357&lt;/key&gt;&lt;/foreign-keys&gt;&lt;ref-type name="Journal Article"&gt;17&lt;/ref-type&gt;&lt;contributors&gt;&lt;authors&gt;&lt;author&gt;He, Yichen&lt;/author&gt;&lt;author&gt;Camaiti, Marco&lt;/author&gt;&lt;author&gt;Roberts, Lucy E&lt;/author&gt;&lt;author&gt;Mulqueeney, James M&lt;/author&gt;&lt;author&gt;Didziokas, Marius&lt;/author&gt;&lt;author&gt;Goswami, Anjali&lt;/author&gt;&lt;/authors&gt;&lt;/contributors&gt;&lt;titles&gt;&lt;title&gt;Introducing SPROUT (Semi-automated Parcellation of Region Outputs Using Thresholding): an adaptable computer vision tool to generate 3D segmentations&lt;/title&gt;&lt;secondary-title&gt;bioRxiv&lt;/secondary-title&gt;&lt;/titles&gt;&lt;periodical&gt;&lt;full-title&gt;bioRxiv&lt;/full-title&gt;&lt;/periodical&gt;&lt;pages&gt;2024.11. 22.624847&lt;/pages&gt;&lt;dates&gt;&lt;year&gt;2024&lt;/year&gt;&lt;/dates&gt;&lt;urls&gt;&lt;/urls&gt;&lt;electronic-resource-num&gt;https://doi.org/10.1101/2024.11.22.624847&lt;/electronic-resource-num&gt;&lt;/record&gt;&lt;/Cite&gt;&lt;/EndNote&gt;</w:instrText>
      </w:r>
      <w:r w:rsidR="00E10507">
        <w:rPr>
          <w:noProof/>
          <w:lang w:val="en-US"/>
        </w:rPr>
        <w:fldChar w:fldCharType="separate"/>
      </w:r>
      <w:r w:rsidR="003C42E3">
        <w:rPr>
          <w:noProof/>
          <w:lang w:val="en-US"/>
        </w:rPr>
        <w:t>[68]</w:t>
      </w:r>
      <w:r w:rsidR="00E10507">
        <w:rPr>
          <w:noProof/>
          <w:lang w:val="en-US"/>
        </w:rPr>
        <w:fldChar w:fldCharType="end"/>
      </w:r>
      <w:r w:rsidR="00E10507" w:rsidRPr="00E10507">
        <w:rPr>
          <w:noProof/>
          <w:lang w:val="en-US"/>
        </w:rPr>
        <w:t xml:space="preserve">, MeshCNN </w:t>
      </w:r>
      <w:r w:rsidR="00E10507">
        <w:rPr>
          <w:noProof/>
          <w:lang w:val="en-US"/>
        </w:rPr>
        <w:fldChar w:fldCharType="begin"/>
      </w:r>
      <w:r w:rsidR="003C42E3">
        <w:rPr>
          <w:noProof/>
          <w:lang w:val="en-US"/>
        </w:rPr>
        <w:instrText xml:space="preserve"> ADDIN EN.CITE &lt;EndNote&gt;&lt;Cite&gt;&lt;Author&gt;Hanocka&lt;/Author&gt;&lt;Year&gt;2019&lt;/Year&gt;&lt;RecNum&gt;243&lt;/RecNum&gt;&lt;DisplayText&gt;[69]&lt;/DisplayText&gt;&lt;record&gt;&lt;rec-number&gt;243&lt;/rec-number&gt;&lt;foreign-keys&gt;&lt;key app="EN" db-id="stvxpdr5yrpspzes0zppeddup9p2da2vrpv9" timestamp="0"&gt;243&lt;/key&gt;&lt;/foreign-keys&gt;&lt;ref-type name="Journal Article"&gt;17&lt;/ref-type&gt;&lt;contributors&gt;&lt;authors&gt;&lt;author&gt;Hanocka, Rana&lt;/author&gt;&lt;author&gt;Hertz, Amir&lt;/author&gt;&lt;author&gt;Fish, Noa&lt;/author&gt;&lt;author&gt;Giryes, Raja&lt;/author&gt;&lt;author&gt;Fleishman, Shachar&lt;/author&gt;&lt;author&gt;Cohen-Or, Daniel&lt;/author&gt;&lt;/authors&gt;&lt;/contributors&gt;&lt;titles&gt;&lt;title&gt;Meshcnn: a network with an edge&lt;/title&gt;&lt;secondary-title&gt;ACM Transactions on Graphics (ToG)&lt;/secondary-title&gt;&lt;/titles&gt;&lt;pages&gt;1-12&lt;/pages&gt;&lt;volume&gt;38&lt;/volume&gt;&lt;number&gt;4&lt;/number&gt;&lt;dates&gt;&lt;year&gt;2019&lt;/year&gt;&lt;/dates&gt;&lt;isbn&gt;0730-0301&lt;/isbn&gt;&lt;urls&gt;&lt;/urls&gt;&lt;electronic-resource-num&gt;https://doi.org/10.1145/3306346.3322959&lt;/electronic-resource-num&gt;&lt;/record&gt;&lt;/Cite&gt;&lt;/EndNote&gt;</w:instrText>
      </w:r>
      <w:r w:rsidR="00E10507">
        <w:rPr>
          <w:noProof/>
          <w:lang w:val="en-US"/>
        </w:rPr>
        <w:fldChar w:fldCharType="separate"/>
      </w:r>
      <w:r w:rsidR="003C42E3">
        <w:rPr>
          <w:noProof/>
          <w:lang w:val="en-US"/>
        </w:rPr>
        <w:t>[69]</w:t>
      </w:r>
      <w:r w:rsidR="00E10507">
        <w:rPr>
          <w:noProof/>
          <w:lang w:val="en-US"/>
        </w:rPr>
        <w:fldChar w:fldCharType="end"/>
      </w:r>
      <w:r w:rsidR="00E10507">
        <w:rPr>
          <w:noProof/>
          <w:lang w:val="en-US"/>
        </w:rPr>
        <w:t xml:space="preserve"> </w:t>
      </w:r>
      <w:r w:rsidR="00E10507" w:rsidRPr="00E10507">
        <w:rPr>
          <w:noProof/>
          <w:lang w:val="en-US"/>
        </w:rPr>
        <w:t xml:space="preserve">or BounTI </w:t>
      </w:r>
      <w:r w:rsidR="00E10507">
        <w:rPr>
          <w:noProof/>
          <w:lang w:val="en-US"/>
        </w:rPr>
        <w:fldChar w:fldCharType="begin"/>
      </w:r>
      <w:r w:rsidR="003C42E3">
        <w:rPr>
          <w:noProof/>
          <w:lang w:val="en-US"/>
        </w:rPr>
        <w:instrText xml:space="preserve"> ADDIN EN.CITE &lt;EndNote&gt;&lt;Cite&gt;&lt;Author&gt;Didziokas&lt;/Author&gt;&lt;Year&gt;2024&lt;/Year&gt;&lt;RecNum&gt;314&lt;/RecNum&gt;&lt;DisplayText&gt;[70]&lt;/DisplayText&gt;&lt;record&gt;&lt;rec-number&gt;314&lt;/rec-number&gt;&lt;foreign-keys&gt;&lt;key app="EN" db-id="stvxpdr5yrpspzes0zppeddup9p2da2vrpv9" timestamp="1727118227"&gt;314&lt;/key&gt;&lt;/foreign-keys&gt;&lt;ref-type name="Journal Article"&gt;17&lt;/ref-type&gt;&lt;contributors&gt;&lt;authors&gt;&lt;author&gt;Didziokas, Marius&lt;/author&gt;&lt;author&gt;Pauws, Erwin&lt;/author&gt;&lt;author&gt;Kölby, Lars&lt;/author&gt;&lt;author&gt;Khonsari, Roman H&lt;/author&gt;&lt;author&gt;Moazen, Mehran&lt;/author&gt;&lt;/authors&gt;&lt;/contributors&gt;&lt;titles&gt;&lt;title&gt;BounTI (boundary</w:instrText>
      </w:r>
      <w:r w:rsidR="003C42E3">
        <w:rPr>
          <w:rFonts w:ascii="Cambria Math" w:hAnsi="Cambria Math" w:cs="Cambria Math"/>
          <w:noProof/>
          <w:lang w:val="en-US"/>
        </w:rPr>
        <w:instrText>‐</w:instrText>
      </w:r>
      <w:r w:rsidR="003C42E3">
        <w:rPr>
          <w:noProof/>
          <w:lang w:val="en-US"/>
        </w:rPr>
        <w:instrText>preserving threshold iteration): A user</w:instrText>
      </w:r>
      <w:r w:rsidR="003C42E3">
        <w:rPr>
          <w:rFonts w:ascii="Cambria Math" w:hAnsi="Cambria Math" w:cs="Cambria Math"/>
          <w:noProof/>
          <w:lang w:val="en-US"/>
        </w:rPr>
        <w:instrText>‐</w:instrText>
      </w:r>
      <w:r w:rsidR="003C42E3">
        <w:rPr>
          <w:noProof/>
          <w:lang w:val="en-US"/>
        </w:rPr>
        <w:instrText>friendly tool for automatic hard tissue segmentation&lt;/title&gt;&lt;secondary-title&gt;Journal of Anatomy&lt;/secondary-title&gt;&lt;/titles&gt;&lt;periodical&gt;&lt;full-title&gt;Journal of Anatomy&lt;/full-title&gt;&lt;/periodical&gt;&lt;dates&gt;&lt;year&gt;2024&lt;/year&gt;&lt;/dates&gt;&lt;isbn&gt;0021-8782&lt;/isbn&gt;&lt;urls&gt;&lt;/urls&gt;&lt;electronic-resource-num&gt;https://doi.org/10.1111/joa.14063&lt;/electronic-resource-num&gt;&lt;/record&gt;&lt;/Cite&gt;&lt;/EndNote&gt;</w:instrText>
      </w:r>
      <w:r w:rsidR="00E10507">
        <w:rPr>
          <w:noProof/>
          <w:lang w:val="en-US"/>
        </w:rPr>
        <w:fldChar w:fldCharType="separate"/>
      </w:r>
      <w:r w:rsidR="003C42E3">
        <w:rPr>
          <w:noProof/>
          <w:lang w:val="en-US"/>
        </w:rPr>
        <w:t>[70]</w:t>
      </w:r>
      <w:r w:rsidR="00E10507">
        <w:rPr>
          <w:noProof/>
          <w:lang w:val="en-US"/>
        </w:rPr>
        <w:fldChar w:fldCharType="end"/>
      </w:r>
      <w:r w:rsidR="00CF72F4">
        <w:rPr>
          <w:noProof/>
          <w:lang w:val="en-US"/>
        </w:rPr>
        <w:t xml:space="preserve"> and then applying DAA to the individual elements</w:t>
      </w:r>
      <w:r w:rsidR="00E10507">
        <w:rPr>
          <w:noProof/>
          <w:lang w:val="en-US"/>
        </w:rPr>
        <w:t xml:space="preserve"> </w:t>
      </w:r>
      <w:r w:rsidR="00E10507" w:rsidRPr="00E10507">
        <w:rPr>
          <w:noProof/>
          <w:lang w:val="en-US"/>
        </w:rPr>
        <w:t xml:space="preserve">may help improve </w:t>
      </w:r>
      <w:r w:rsidR="00CF72F4">
        <w:rPr>
          <w:noProof/>
          <w:lang w:val="en-US"/>
        </w:rPr>
        <w:t xml:space="preserve">the biological interpreation of </w:t>
      </w:r>
      <w:r w:rsidR="00E10507" w:rsidRPr="00E10507">
        <w:rPr>
          <w:noProof/>
          <w:lang w:val="en-US"/>
        </w:rPr>
        <w:t>comparisons</w:t>
      </w:r>
      <w:r w:rsidR="00CF72F4">
        <w:rPr>
          <w:noProof/>
          <w:lang w:val="en-US"/>
        </w:rPr>
        <w:t xml:space="preserve"> by focusing on homologus elements</w:t>
      </w:r>
      <w:r w:rsidR="00E10507" w:rsidRPr="00E10507">
        <w:rPr>
          <w:noProof/>
          <w:lang w:val="en-US"/>
        </w:rPr>
        <w:t xml:space="preserve">. </w:t>
      </w:r>
      <w:r w:rsidR="00E10507">
        <w:rPr>
          <w:noProof/>
          <w:lang w:val="en-US"/>
        </w:rPr>
        <w:t>Additionally,</w:t>
      </w:r>
      <w:r w:rsidR="00856BF9" w:rsidRPr="00856BF9">
        <w:rPr>
          <w:noProof/>
          <w:lang w:val="en-US"/>
        </w:rPr>
        <w:t xml:space="preserve"> the ability to assign control points to defined anatomical regions</w:t>
      </w:r>
      <w:r w:rsidR="003A2E16">
        <w:rPr>
          <w:noProof/>
          <w:lang w:val="en-US"/>
        </w:rPr>
        <w:t xml:space="preserve">, </w:t>
      </w:r>
      <w:r w:rsidR="00856BF9">
        <w:rPr>
          <w:noProof/>
          <w:lang w:val="en-US"/>
        </w:rPr>
        <w:t xml:space="preserve">could help to more </w:t>
      </w:r>
      <w:r w:rsidR="003A2E16">
        <w:rPr>
          <w:noProof/>
          <w:lang w:val="en-US"/>
        </w:rPr>
        <w:t xml:space="preserve">accurately capture biological variation and </w:t>
      </w:r>
      <w:r w:rsidR="00856BF9">
        <w:rPr>
          <w:noProof/>
          <w:lang w:val="en-US"/>
        </w:rPr>
        <w:t>better preserve</w:t>
      </w:r>
      <w:r w:rsidR="003A2E16">
        <w:rPr>
          <w:noProof/>
          <w:lang w:val="en-US"/>
        </w:rPr>
        <w:t xml:space="preserve"> homology </w:t>
      </w:r>
      <w:r w:rsidR="00856BF9">
        <w:rPr>
          <w:noProof/>
          <w:lang w:val="en-US"/>
        </w:rPr>
        <w:t xml:space="preserve">in the </w:t>
      </w:r>
      <w:r w:rsidR="002C0CCB">
        <w:rPr>
          <w:noProof/>
          <w:lang w:val="en-US"/>
        </w:rPr>
        <w:t>future use of landmark-free approaches.</w:t>
      </w:r>
      <w:r w:rsidR="003B09F5">
        <w:rPr>
          <w:noProof/>
          <w:lang w:val="en-US"/>
        </w:rPr>
        <w:t xml:space="preserve"> As noted above, the application of DAA to complex structures or individual elements will depened on the question or dataset of interest. </w:t>
      </w:r>
    </w:p>
    <w:p w14:paraId="09339A4A" w14:textId="77777777" w:rsidR="0016658D" w:rsidRDefault="008E125C" w:rsidP="007F5FF3">
      <w:pPr>
        <w:spacing w:line="480" w:lineRule="auto"/>
        <w:rPr>
          <w:b/>
          <w:bCs/>
          <w:noProof/>
          <w:lang w:val="en-US"/>
        </w:rPr>
      </w:pPr>
      <w:r>
        <w:rPr>
          <w:b/>
          <w:bCs/>
          <w:noProof/>
          <w:lang w:val="en-US"/>
        </w:rPr>
        <w:t xml:space="preserve">Implications for Future Studies </w:t>
      </w:r>
    </w:p>
    <w:p w14:paraId="31A7DF1A" w14:textId="0CF0B3EF" w:rsidR="008E125C" w:rsidRPr="0016658D" w:rsidRDefault="000003FD" w:rsidP="007F5FF3">
      <w:pPr>
        <w:spacing w:line="480" w:lineRule="auto"/>
        <w:rPr>
          <w:b/>
          <w:bCs/>
          <w:noProof/>
          <w:lang w:val="en-US"/>
        </w:rPr>
      </w:pPr>
      <w:r>
        <w:lastRenderedPageBreak/>
        <w:t xml:space="preserve">Transitioning from manual landmarking to automated approaches, whether through automated landmarking or landmark-free methods such as DAA presents significant challenges. </w:t>
      </w:r>
      <w:r w:rsidR="000E312B">
        <w:t xml:space="preserve">Nevertheless, only through rigorous testing, such as the analyses conducted here, can we refine these methods and extend their applications. </w:t>
      </w:r>
      <w:r w:rsidR="00503326">
        <w:t>If biologically meaningful results can be consistently obtained,</w:t>
      </w:r>
      <w:r w:rsidR="003B09F5">
        <w:t xml:space="preserve"> as our analyses suggest is possible,</w:t>
      </w:r>
      <w:r w:rsidR="00503326">
        <w:t xml:space="preserve"> these approaches hold the potential to be transformative in the field</w:t>
      </w:r>
      <w:r w:rsidR="008159C5">
        <w:t>.</w:t>
      </w:r>
      <w:r w:rsidR="0057241F">
        <w:t xml:space="preserve"> They will help to reduce manual data handling, </w:t>
      </w:r>
      <w:r w:rsidR="00561BFC">
        <w:t xml:space="preserve">which will reduce both inter- and intra-operator errors commonly associated with manual landmarking studies </w:t>
      </w:r>
      <w:r w:rsidR="00B525EC" w:rsidRPr="0073290E">
        <w:rPr>
          <w:noProof/>
          <w:lang w:val="en-US"/>
        </w:rPr>
        <w:fldChar w:fldCharType="begin"/>
      </w:r>
      <w:r w:rsidR="003C42E3">
        <w:rPr>
          <w:noProof/>
          <w:lang w:val="en-US"/>
        </w:rPr>
        <w:instrText xml:space="preserve"> ADDIN EN.CITE &lt;EndNote&gt;&lt;Cite&gt;&lt;Author&gt;Moccetti&lt;/Author&gt;&lt;Year&gt;2023&lt;/Year&gt;&lt;RecNum&gt;245&lt;/RecNum&gt;&lt;DisplayText&gt;[71, 72]&lt;/DisplayText&gt;&lt;record&gt;&lt;rec-number&gt;245&lt;/rec-number&gt;&lt;foreign-keys&gt;&lt;key app="EN" db-id="stvxpdr5yrpspzes0zppeddup9p2da2vrpv9" timestamp="0"&gt;245&lt;/key&gt;&lt;/foreign-keys&gt;&lt;ref-type name="Journal Article"&gt;17&lt;/ref-type&gt;&lt;contributors&gt;&lt;authors&gt;&lt;author&gt;Moccetti, Paolo&lt;/author&gt;&lt;author&gt;Rodger, Jessica R&lt;/author&gt;&lt;author&gt;Bolland, Jonathan D&lt;/author&gt;&lt;author&gt;Kaiser-Wilks, Phoebe&lt;/author&gt;&lt;author&gt;Smith, Rowan&lt;/author&gt;&lt;author&gt;Nunn, Andy D&lt;/author&gt;&lt;author&gt;Adams, Colin E&lt;/author&gt;&lt;author&gt;Bright, Jen A&lt;/author&gt;&lt;author&gt;Honkanen, Hannele M&lt;/author&gt;&lt;author&gt;Lothian, Angus J&lt;/author&gt;&lt;/authors&gt;&lt;/contributors&gt;&lt;titles&gt;&lt;title&gt;Is shape in the eye of the beholder? Assessing landmarking error in geometric morphometric analyses on live fish&lt;/title&gt;&lt;secondary-title&gt;PeerJ&lt;/secondary-title&gt;&lt;/titles&gt;&lt;periodical&gt;&lt;full-title&gt;PeerJ&lt;/full-title&gt;&lt;/periodical&gt;&lt;pages&gt;e15545&lt;/pages&gt;&lt;volume&gt;11&lt;/volume&gt;&lt;dates&gt;&lt;year&gt;2023&lt;/year&gt;&lt;/dates&gt;&lt;isbn&gt;2167-8359&lt;/isbn&gt;&lt;urls&gt;&lt;/urls&gt;&lt;electronic-resource-num&gt;https://doi.org/10.7717/peerj.15545&lt;/electronic-resource-num&gt;&lt;/record&gt;&lt;/Cite&gt;&lt;Cite&gt;&lt;Author&gt;Robinson&lt;/Author&gt;&lt;Year&gt;2017&lt;/Year&gt;&lt;RecNum&gt;246&lt;/RecNum&gt;&lt;record&gt;&lt;rec-number&gt;246&lt;/rec-number&gt;&lt;foreign-keys&gt;&lt;key app="EN" db-id="stvxpdr5yrpspzes0zppeddup9p2da2vrpv9" timestamp="0"&gt;246&lt;/key&gt;&lt;/foreign-keys&gt;&lt;ref-type name="Journal Article"&gt;17&lt;/ref-type&gt;&lt;contributors&gt;&lt;authors&gt;&lt;author&gt;Robinson, Chris&lt;/author&gt;&lt;author&gt;Terhune, Claire E&lt;/author&gt;&lt;/authors&gt;&lt;/contributors&gt;&lt;titles&gt;&lt;title&gt;Error in geometric morphometric data collection: Combining data from multiple sources&lt;/title&gt;&lt;secondary-title&gt;American journal of physical anthropology&lt;/secondary-title&gt;&lt;/titles&gt;&lt;pages&gt;62-75&lt;/pages&gt;&lt;volume&gt;164&lt;/volume&gt;&lt;number&gt;1&lt;/number&gt;&lt;dates&gt;&lt;year&gt;2017&lt;/year&gt;&lt;/dates&gt;&lt;isbn&gt;0002-9483&lt;/isbn&gt;&lt;urls&gt;&lt;/urls&gt;&lt;electronic-resource-num&gt;https://doi.org/10.1002/ajpa.23257&lt;/electronic-resource-num&gt;&lt;/record&gt;&lt;/Cite&gt;&lt;/EndNote&gt;</w:instrText>
      </w:r>
      <w:r w:rsidR="00B525EC" w:rsidRPr="0073290E">
        <w:rPr>
          <w:noProof/>
          <w:lang w:val="en-US"/>
        </w:rPr>
        <w:fldChar w:fldCharType="separate"/>
      </w:r>
      <w:r w:rsidR="003C42E3">
        <w:rPr>
          <w:noProof/>
          <w:lang w:val="en-US"/>
        </w:rPr>
        <w:t>[71, 72]</w:t>
      </w:r>
      <w:r w:rsidR="00B525EC" w:rsidRPr="0073290E">
        <w:rPr>
          <w:noProof/>
          <w:lang w:val="en-US"/>
        </w:rPr>
        <w:fldChar w:fldCharType="end"/>
      </w:r>
      <w:r w:rsidR="00B525EC" w:rsidRPr="0073290E">
        <w:rPr>
          <w:rFonts w:eastAsia="Arial"/>
          <w:bCs/>
          <w:iCs/>
          <w:noProof/>
          <w:lang w:val="en-US"/>
        </w:rPr>
        <w:t>.</w:t>
      </w:r>
      <w:r w:rsidR="00B525EC">
        <w:rPr>
          <w:rFonts w:eastAsia="Arial"/>
          <w:bCs/>
          <w:iCs/>
          <w:noProof/>
          <w:lang w:val="en-US"/>
        </w:rPr>
        <w:t xml:space="preserve"> </w:t>
      </w:r>
      <w:r w:rsidR="00713751">
        <w:rPr>
          <w:rFonts w:eastAsia="Arial"/>
          <w:bCs/>
          <w:iCs/>
          <w:noProof/>
          <w:lang w:val="en-US"/>
        </w:rPr>
        <w:t>The</w:t>
      </w:r>
      <w:r w:rsidR="00D86AE2">
        <w:rPr>
          <w:rFonts w:eastAsia="Arial"/>
          <w:bCs/>
          <w:iCs/>
          <w:noProof/>
          <w:lang w:val="en-US"/>
        </w:rPr>
        <w:t xml:space="preserve"> eff</w:t>
      </w:r>
      <w:r w:rsidR="00A17A73">
        <w:rPr>
          <w:rFonts w:eastAsia="Arial"/>
          <w:bCs/>
          <w:iCs/>
          <w:noProof/>
          <w:lang w:val="en-US"/>
        </w:rPr>
        <w:t>iciency of extracting shape variation</w:t>
      </w:r>
      <w:r w:rsidR="005F452D">
        <w:rPr>
          <w:rFonts w:eastAsia="Arial"/>
          <w:bCs/>
          <w:iCs/>
          <w:noProof/>
          <w:lang w:val="en-US"/>
        </w:rPr>
        <w:t xml:space="preserve"> will</w:t>
      </w:r>
      <w:r w:rsidR="00713751">
        <w:rPr>
          <w:rFonts w:eastAsia="Arial"/>
          <w:bCs/>
          <w:iCs/>
          <w:noProof/>
          <w:lang w:val="en-US"/>
        </w:rPr>
        <w:t xml:space="preserve"> also</w:t>
      </w:r>
      <w:r w:rsidR="005F452D">
        <w:rPr>
          <w:rFonts w:eastAsia="Arial"/>
          <w:bCs/>
          <w:iCs/>
          <w:noProof/>
          <w:lang w:val="en-US"/>
        </w:rPr>
        <w:t xml:space="preserve"> be significantly improved, allowing large-scale analyses that would traditionally take months or years to be completed in weeks or days. </w:t>
      </w:r>
      <w:r w:rsidR="003E5CDB">
        <w:rPr>
          <w:rFonts w:eastAsia="Arial"/>
          <w:bCs/>
          <w:iCs/>
          <w:noProof/>
          <w:lang w:val="en-US"/>
        </w:rPr>
        <w:t>In an era of rapdily expanding phenotypic datasets, driven by increasing acessibility of 3D imaging technologies</w:t>
      </w:r>
      <w:r w:rsidR="00880DE0">
        <w:rPr>
          <w:rFonts w:eastAsia="Arial"/>
          <w:bCs/>
          <w:iCs/>
          <w:noProof/>
          <w:lang w:val="en-US"/>
        </w:rPr>
        <w:t xml:space="preserve"> </w:t>
      </w:r>
      <w:r w:rsidR="00880DE0" w:rsidRPr="0073290E">
        <w:rPr>
          <w:noProof/>
          <w:lang w:val="en-US"/>
        </w:rPr>
        <w:fldChar w:fldCharType="begin"/>
      </w:r>
      <w:r w:rsidR="003C42E3">
        <w:rPr>
          <w:noProof/>
          <w:lang w:val="en-US"/>
        </w:rPr>
        <w:instrText xml:space="preserve"> ADDIN EN.CITE &lt;EndNote&gt;&lt;Cite&gt;&lt;Author&gt;Goswami&lt;/Author&gt;&lt;Year&gt;2024&lt;/Year&gt;&lt;RecNum&gt;196&lt;/RecNum&gt;&lt;DisplayText&gt;[73]&lt;/DisplayText&gt;&lt;record&gt;&lt;rec-number&gt;196&lt;/rec-number&gt;&lt;foreign-keys&gt;&lt;key app="EN" db-id="vttzv2pepdpx0qesp2d5x2ssffwxwp2wxf05" timestamp="1715170219"&gt;196&lt;/key&gt;&lt;/foreign-keys&gt;&lt;ref-type name="Journal Article"&gt;17&lt;/ref-type&gt;&lt;contributors&gt;&lt;authors&gt;&lt;author&gt;Goswami, Anjali&lt;/author&gt;&lt;author&gt;Clavel, Julien&lt;/author&gt;&lt;/authors&gt;&lt;/contributors&gt;&lt;titles&gt;&lt;title&gt;Morphological evolution in a time of Phenomics&lt;/title&gt;&lt;/titles&gt;&lt;dates&gt;&lt;year&gt;2024&lt;/year&gt;&lt;/dates&gt;&lt;urls&gt;&lt;/urls&gt;&lt;electronic-resource-num&gt;https://doi.org/10.32942/X22G7Q &lt;/electronic-resource-num&gt;&lt;/record&gt;&lt;/Cite&gt;&lt;/EndNote&gt;</w:instrText>
      </w:r>
      <w:r w:rsidR="00880DE0" w:rsidRPr="0073290E">
        <w:rPr>
          <w:noProof/>
          <w:lang w:val="en-US"/>
        </w:rPr>
        <w:fldChar w:fldCharType="separate"/>
      </w:r>
      <w:r w:rsidR="003C42E3">
        <w:rPr>
          <w:noProof/>
          <w:lang w:val="en-US"/>
        </w:rPr>
        <w:t>[73]</w:t>
      </w:r>
      <w:r w:rsidR="00880DE0" w:rsidRPr="0073290E">
        <w:rPr>
          <w:noProof/>
          <w:lang w:val="en-US"/>
        </w:rPr>
        <w:fldChar w:fldCharType="end"/>
      </w:r>
      <w:r w:rsidR="003E5CDB">
        <w:rPr>
          <w:rFonts w:eastAsia="Arial"/>
          <w:bCs/>
          <w:iCs/>
          <w:noProof/>
          <w:lang w:val="en-US"/>
        </w:rPr>
        <w:t>, the ability to swiftly a</w:t>
      </w:r>
      <w:r w:rsidR="00ED6C5D">
        <w:rPr>
          <w:rFonts w:eastAsia="Arial"/>
          <w:bCs/>
          <w:iCs/>
          <w:noProof/>
          <w:lang w:val="en-US"/>
        </w:rPr>
        <w:t>nd accurately analyse morphological variation is crucial</w:t>
      </w:r>
      <w:r w:rsidR="00880DE0">
        <w:rPr>
          <w:rFonts w:eastAsia="Arial"/>
          <w:bCs/>
          <w:iCs/>
          <w:noProof/>
          <w:lang w:val="en-US"/>
        </w:rPr>
        <w:t xml:space="preserve">. </w:t>
      </w:r>
      <w:r w:rsidR="00ED6C5D">
        <w:rPr>
          <w:rFonts w:eastAsia="Arial"/>
          <w:bCs/>
          <w:iCs/>
          <w:noProof/>
          <w:lang w:val="en-US"/>
        </w:rPr>
        <w:t xml:space="preserve"> </w:t>
      </w:r>
    </w:p>
    <w:p w14:paraId="259DD6D4" w14:textId="715EFBAD" w:rsidR="005A364D" w:rsidRDefault="005A364D" w:rsidP="007F5FF3">
      <w:pPr>
        <w:spacing w:line="480" w:lineRule="auto"/>
        <w:rPr>
          <w:noProof/>
          <w:lang w:val="en-US"/>
        </w:rPr>
      </w:pPr>
      <w:r w:rsidRPr="005A364D">
        <w:t>Despite these advantages, methodological considerations remain. One of the primary challenges in landmark-free approaches such as DAA is the shift away from fixed, unambiguously homologous points for shape comparisons. While manual landmarking has long been the gold standard, its reliance on a l</w:t>
      </w:r>
      <w:r>
        <w:t xml:space="preserve">imited set of homologous points, </w:t>
      </w:r>
      <w:r w:rsidRPr="005A364D">
        <w:t>especially acros</w:t>
      </w:r>
      <w:r>
        <w:t xml:space="preserve">s phylogenetically distant taxa, </w:t>
      </w:r>
      <w:r w:rsidRPr="005A364D">
        <w:t>can be both a strength and a limitation</w:t>
      </w:r>
      <w:r>
        <w:t xml:space="preserve"> </w:t>
      </w:r>
      <w:r w:rsidR="00FF03CA" w:rsidRPr="0073290E">
        <w:rPr>
          <w:noProof/>
          <w:lang w:val="en-US"/>
        </w:rPr>
        <w:fldChar w:fldCharType="begin"/>
      </w:r>
      <w:r w:rsidR="003C42E3">
        <w:rPr>
          <w:noProof/>
          <w:lang w:val="en-US"/>
        </w:rPr>
        <w:instrText xml:space="preserve"> ADDIN EN.CITE &lt;EndNote&gt;&lt;Cite&gt;&lt;Author&gt;Palci&lt;/Author&gt;&lt;Year&gt;2019&lt;/Year&gt;&lt;RecNum&gt;233&lt;/RecNum&gt;&lt;DisplayText&gt;[59]&lt;/DisplayText&gt;&lt;record&gt;&lt;rec-number&gt;233&lt;/rec-number&gt;&lt;foreign-keys&gt;&lt;key app="EN" db-id="stvxpdr5yrpspzes0zppeddup9p2da2vrpv9" timestamp="0"&gt;233&lt;/key&gt;&lt;/foreign-keys&gt;&lt;ref-type name="Journal Article"&gt;17&lt;/ref-type&gt;&lt;contributors&gt;&lt;authors&gt;&lt;author&gt;Palci, Alessandro&lt;/author&gt;&lt;author&gt;Lee, Michael SY&lt;/author&gt;&lt;/authors&gt;&lt;/contributors&gt;&lt;titles&gt;&lt;title&gt;Geometric morphometrics, homology and cladistics: review and recommendations&lt;/title&gt;&lt;secondary-title&gt;Cladistics&lt;/secondary-title&gt;&lt;/titles&gt;&lt;pages&gt;230-242&lt;/pages&gt;&lt;volume&gt;35&lt;/volume&gt;&lt;number&gt;2&lt;/number&gt;&lt;dates&gt;&lt;year&gt;2019&lt;/year&gt;&lt;/dates&gt;&lt;isbn&gt;0748-3007&lt;/isbn&gt;&lt;urls&gt;&lt;/urls&gt;&lt;electronic-resource-num&gt; https://doi.org/10.1111/cla.12340&lt;/electronic-resource-num&gt;&lt;/record&gt;&lt;/Cite&gt;&lt;/EndNote&gt;</w:instrText>
      </w:r>
      <w:r w:rsidR="00FF03CA" w:rsidRPr="0073290E">
        <w:rPr>
          <w:noProof/>
          <w:lang w:val="en-US"/>
        </w:rPr>
        <w:fldChar w:fldCharType="separate"/>
      </w:r>
      <w:r w:rsidR="003C42E3">
        <w:rPr>
          <w:noProof/>
          <w:lang w:val="en-US"/>
        </w:rPr>
        <w:t>[59]</w:t>
      </w:r>
      <w:r w:rsidR="00FF03CA" w:rsidRPr="0073290E">
        <w:rPr>
          <w:noProof/>
          <w:lang w:val="en-US"/>
        </w:rPr>
        <w:fldChar w:fldCharType="end"/>
      </w:r>
      <w:r w:rsidR="00FF03CA">
        <w:rPr>
          <w:noProof/>
          <w:lang w:val="en-US"/>
        </w:rPr>
        <w:t>.</w:t>
      </w:r>
      <w:r w:rsidR="00CA1255" w:rsidRPr="00CA1255">
        <w:t xml:space="preserve"> </w:t>
      </w:r>
      <w:r w:rsidRPr="005A364D">
        <w:rPr>
          <w:noProof/>
          <w:lang w:val="en-US"/>
        </w:rPr>
        <w:t xml:space="preserve">On the one hand, it ensures biological validity by </w:t>
      </w:r>
      <w:r w:rsidR="003B09F5">
        <w:rPr>
          <w:noProof/>
          <w:lang w:val="en-US"/>
        </w:rPr>
        <w:t xml:space="preserve">limiting analyses to </w:t>
      </w:r>
      <w:r w:rsidRPr="005A364D">
        <w:rPr>
          <w:noProof/>
          <w:lang w:val="en-US"/>
        </w:rPr>
        <w:t>directly comparable</w:t>
      </w:r>
      <w:r w:rsidR="003B09F5">
        <w:rPr>
          <w:noProof/>
          <w:lang w:val="en-US"/>
        </w:rPr>
        <w:t xml:space="preserve"> (i.e. homologous regions)</w:t>
      </w:r>
      <w:r w:rsidRPr="005A364D">
        <w:rPr>
          <w:noProof/>
          <w:lang w:val="en-US"/>
        </w:rPr>
        <w:t xml:space="preserve"> a</w:t>
      </w:r>
      <w:r>
        <w:rPr>
          <w:noProof/>
          <w:lang w:val="en-US"/>
        </w:rPr>
        <w:t xml:space="preserve">natomical regions. On the other hand, </w:t>
      </w:r>
      <w:r w:rsidRPr="005A364D">
        <w:rPr>
          <w:noProof/>
          <w:lang w:val="en-US"/>
        </w:rPr>
        <w:t xml:space="preserve">it restricts spatial resolution and may </w:t>
      </w:r>
      <w:r w:rsidR="003B09F5">
        <w:rPr>
          <w:noProof/>
          <w:lang w:val="en-US"/>
        </w:rPr>
        <w:t>exclude</w:t>
      </w:r>
      <w:r w:rsidRPr="005A364D">
        <w:rPr>
          <w:noProof/>
          <w:lang w:val="en-US"/>
        </w:rPr>
        <w:t xml:space="preserve"> aspects of morphological variation that are relevant to broader evolutionary questions</w:t>
      </w:r>
      <w:r>
        <w:rPr>
          <w:noProof/>
          <w:lang w:val="en-US"/>
        </w:rPr>
        <w:t xml:space="preserve">. </w:t>
      </w:r>
    </w:p>
    <w:p w14:paraId="3CA38213" w14:textId="010B1409" w:rsidR="005E0CFA" w:rsidRPr="0024248B" w:rsidRDefault="0024248B" w:rsidP="007F5FF3">
      <w:pPr>
        <w:spacing w:line="480" w:lineRule="auto"/>
      </w:pPr>
      <w:r w:rsidRPr="0024248B">
        <w:t>The potential benefits of increased spatial resolution in DAA become apparent as finer control point distributions are implemented.</w:t>
      </w:r>
      <w:r>
        <w:t xml:space="preserve"> The increased resolution </w:t>
      </w:r>
      <w:r w:rsidRPr="0024248B">
        <w:t xml:space="preserve">allows for a broader capture of morphological diversity, including anatomical features such as </w:t>
      </w:r>
      <w:r w:rsidRPr="0024248B">
        <w:lastRenderedPageBreak/>
        <w:t>horns, which are often underrepresented in manual landmarking approaches.</w:t>
      </w:r>
      <w:r>
        <w:t xml:space="preserve"> However, </w:t>
      </w:r>
      <w:r w:rsidRPr="0024248B">
        <w:t>this improvement can also introduce greater variability in results, potentially reducing phylogenetic signal and altering interpretations compared to tra</w:t>
      </w:r>
      <w:r>
        <w:t xml:space="preserve">ditional landmark-based analyses </w:t>
      </w:r>
      <w:r w:rsidR="009E592F" w:rsidRPr="0073290E">
        <w:rPr>
          <w:noProof/>
          <w:lang w:val="en-US"/>
        </w:rPr>
        <w:fldChar w:fldCharType="begin"/>
      </w:r>
      <w:r w:rsidR="003C42E3">
        <w:rPr>
          <w:noProof/>
          <w:lang w:val="en-US"/>
        </w:rPr>
        <w:instrText xml:space="preserve"> ADDIN EN.CITE &lt;EndNote&gt;&lt;Cite&gt;&lt;Author&gt;Cardini&lt;/Author&gt;&lt;Year&gt;2020&lt;/Year&gt;&lt;RecNum&gt;315&lt;/RecNum&gt;&lt;DisplayText&gt;[60]&lt;/DisplayText&gt;&lt;record&gt;&lt;rec-number&gt;315&lt;/rec-number&gt;&lt;foreign-keys&gt;&lt;key app="EN" db-id="stvxpdr5yrpspzes0zppeddup9p2da2vrpv9" timestamp="1727181544"&gt;315&lt;/key&gt;&lt;/foreign-keys&gt;&lt;ref-type name="Journal Article"&gt;17&lt;/ref-type&gt;&lt;contributors&gt;&lt;authors&gt;&lt;author&gt;Cardini, Andrea&lt;/author&gt;&lt;/authors&gt;&lt;/contributors&gt;&lt;titles&gt;&lt;title&gt;Less tautology, more biology? A comment on “high-density” morphometrics&lt;/title&gt;&lt;secondary-title&gt;Zoomorphology&lt;/secondary-title&gt;&lt;/titles&gt;&lt;periodical&gt;&lt;full-title&gt;Zoomorphology&lt;/full-title&gt;&lt;/periodical&gt;&lt;pages&gt;513-529&lt;/pages&gt;&lt;volume&gt;139&lt;/volume&gt;&lt;number&gt;4&lt;/number&gt;&lt;dates&gt;&lt;year&gt;2020&lt;/year&gt;&lt;/dates&gt;&lt;isbn&gt;0720-213X&lt;/isbn&gt;&lt;urls&gt;&lt;/urls&gt;&lt;electronic-resource-num&gt;https://doi.org/10.1007/s00435-020-00499-w&lt;/electronic-resource-num&gt;&lt;/record&gt;&lt;/Cite&gt;&lt;/EndNote&gt;</w:instrText>
      </w:r>
      <w:r w:rsidR="009E592F" w:rsidRPr="0073290E">
        <w:rPr>
          <w:noProof/>
          <w:lang w:val="en-US"/>
        </w:rPr>
        <w:fldChar w:fldCharType="separate"/>
      </w:r>
      <w:r w:rsidR="003C42E3">
        <w:rPr>
          <w:noProof/>
          <w:lang w:val="en-US"/>
        </w:rPr>
        <w:t>[60]</w:t>
      </w:r>
      <w:r w:rsidR="009E592F" w:rsidRPr="0073290E">
        <w:rPr>
          <w:noProof/>
          <w:lang w:val="en-US"/>
        </w:rPr>
        <w:fldChar w:fldCharType="end"/>
      </w:r>
      <w:r w:rsidR="00C720DD">
        <w:rPr>
          <w:noProof/>
          <w:lang w:val="en-US"/>
        </w:rPr>
        <w:t>.</w:t>
      </w:r>
      <w:r w:rsidR="005A364D">
        <w:rPr>
          <w:noProof/>
          <w:lang w:val="en-US"/>
        </w:rPr>
        <w:t xml:space="preserve"> </w:t>
      </w:r>
      <w:r>
        <w:rPr>
          <w:noProof/>
          <w:lang w:val="en-US"/>
        </w:rPr>
        <w:t xml:space="preserve">This reflects that </w:t>
      </w:r>
      <w:r w:rsidRPr="0024248B">
        <w:rPr>
          <w:noProof/>
          <w:lang w:val="en-US"/>
        </w:rPr>
        <w:t>landmark-free methods such as DAA differ substantially from manual landmarking</w:t>
      </w:r>
      <w:r>
        <w:rPr>
          <w:noProof/>
          <w:lang w:val="en-US"/>
        </w:rPr>
        <w:t xml:space="preserve"> in their application, so these differences should be considered when comparing results. </w:t>
      </w:r>
    </w:p>
    <w:p w14:paraId="05950EC4" w14:textId="628FAE3C" w:rsidR="009E07D1" w:rsidRDefault="0024248B" w:rsidP="007F5FF3">
      <w:pPr>
        <w:spacing w:line="480" w:lineRule="auto"/>
        <w:rPr>
          <w:b/>
          <w:bCs/>
        </w:rPr>
      </w:pPr>
      <w:r w:rsidRPr="0024248B">
        <w:t>At present, landmark-free methods like DAA are still evolving, and their applicability should be carefully considered, particularly when integrating datasets with mixed modalities that cannot be easily standardi</w:t>
      </w:r>
      <w:r w:rsidR="00F67488">
        <w:t>s</w:t>
      </w:r>
      <w:r w:rsidRPr="0024248B">
        <w:t>ed, or when dealing with specimens that have missing or incomplete anatomical structures.</w:t>
      </w:r>
      <w:r>
        <w:rPr>
          <w:noProof/>
          <w:lang w:val="en-US"/>
        </w:rPr>
        <w:t xml:space="preserve"> Nevertheless</w:t>
      </w:r>
      <w:r w:rsidR="00941CC3">
        <w:rPr>
          <w:noProof/>
          <w:lang w:val="en-US"/>
        </w:rPr>
        <w:t>,</w:t>
      </w:r>
      <w:r w:rsidR="00715E88">
        <w:rPr>
          <w:noProof/>
          <w:lang w:val="en-US"/>
        </w:rPr>
        <w:t xml:space="preserve"> </w:t>
      </w:r>
      <w:r w:rsidR="001F0AF7">
        <w:rPr>
          <w:noProof/>
          <w:lang w:val="en-US"/>
        </w:rPr>
        <w:t xml:space="preserve">with </w:t>
      </w:r>
      <w:r w:rsidR="001F0AF7">
        <w:t>the advancements made in this study and previous research</w:t>
      </w:r>
      <w:r w:rsidR="00715E88">
        <w:rPr>
          <w:noProof/>
          <w:lang w:val="en-US"/>
        </w:rPr>
        <w:t xml:space="preserve"> </w:t>
      </w:r>
      <w:r w:rsidR="00715E88">
        <w:rPr>
          <w:noProof/>
          <w:lang w:val="en-US"/>
        </w:rPr>
        <w:fldChar w:fldCharType="begin">
          <w:fldData xml:space="preserve">PEVuZE5vdGU+PENpdGU+PEF1dGhvcj5Cb3llcjwvQXV0aG9yPjxZZWFyPjIwMTU8L1llYXI+PFJl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==
</w:fldData>
        </w:fldChar>
      </w:r>
      <w:r w:rsidR="002F5782">
        <w:rPr>
          <w:noProof/>
          <w:lang w:val="en-US"/>
        </w:rPr>
        <w:instrText xml:space="preserve"> ADDIN EN.CITE </w:instrText>
      </w:r>
      <w:r w:rsidR="002F5782">
        <w:rPr>
          <w:noProof/>
          <w:lang w:val="en-US"/>
        </w:rPr>
        <w:fldChar w:fldCharType="begin">
          <w:fldData xml:space="preserve">PEVuZE5vdGU+PENpdGU+PEF1dGhvcj5Cb3llcjwvQXV0aG9yPjxZZWFyPjIwMTU8L1llYXI+PFJl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==
</w:fldData>
        </w:fldChar>
      </w:r>
      <w:r w:rsidR="002F5782">
        <w:rPr>
          <w:noProof/>
          <w:lang w:val="en-US"/>
        </w:rPr>
        <w:instrText xml:space="preserve"> ADDIN EN.CITE.DATA </w:instrText>
      </w:r>
      <w:r w:rsidR="002F5782">
        <w:rPr>
          <w:noProof/>
          <w:lang w:val="en-US"/>
        </w:rPr>
      </w:r>
      <w:r w:rsidR="002F5782">
        <w:rPr>
          <w:noProof/>
          <w:lang w:val="en-US"/>
        </w:rPr>
        <w:fldChar w:fldCharType="end"/>
      </w:r>
      <w:r w:rsidR="00715E88">
        <w:rPr>
          <w:noProof/>
          <w:lang w:val="en-US"/>
        </w:rPr>
      </w:r>
      <w:r w:rsidR="00715E88">
        <w:rPr>
          <w:noProof/>
          <w:lang w:val="en-US"/>
        </w:rPr>
        <w:fldChar w:fldCharType="separate"/>
      </w:r>
      <w:r w:rsidR="00715E88">
        <w:rPr>
          <w:noProof/>
          <w:lang w:val="en-US"/>
        </w:rPr>
        <w:t>[24, 39]</w:t>
      </w:r>
      <w:r w:rsidR="00715E88">
        <w:rPr>
          <w:noProof/>
          <w:lang w:val="en-US"/>
        </w:rPr>
        <w:fldChar w:fldCharType="end"/>
      </w:r>
      <w:r w:rsidR="00715E88">
        <w:rPr>
          <w:noProof/>
          <w:lang w:val="en-US"/>
        </w:rPr>
        <w:t xml:space="preserve">, </w:t>
      </w:r>
      <w:r w:rsidR="00F67488">
        <w:rPr>
          <w:noProof/>
          <w:lang w:val="en-US"/>
        </w:rPr>
        <w:t>a</w:t>
      </w:r>
      <w:r w:rsidRPr="0024248B">
        <w:t>long with the proposed next steps outlined earlier, we believe landmark-free approaches offer a promising avenue for achieving high-resolution spatial comparisons across taxa, even in cases where homologous points are scarce or difficult to define</w:t>
      </w:r>
      <w:r>
        <w:t xml:space="preserve">. </w:t>
      </w:r>
      <w:r w:rsidR="009E07D1">
        <w:rPr>
          <w:b/>
          <w:bCs/>
        </w:rPr>
        <w:t xml:space="preserve">Conclusions </w:t>
      </w:r>
    </w:p>
    <w:p w14:paraId="7201FB33" w14:textId="7EBDFC50" w:rsidR="00574B65" w:rsidRDefault="00574B65" w:rsidP="007526DA">
      <w:pPr>
        <w:spacing w:line="480" w:lineRule="auto"/>
      </w:pPr>
      <w:r>
        <w:t>Landmark-free methods such as DAA represent a powerful and innovative approach to morphometric analyses, particularly for large-scale comparative studies. By eliminating the need for manual landmark placement, these methods enhance efficiency, reduce user bias, and allow for higher spatial resolution in shape comparisons. Our results demonstrate that DAA successfully captures biologically meaningful patterns while maintaining congruence with manual landmarking approaches.</w:t>
      </w:r>
    </w:p>
    <w:p w14:paraId="50D6544D" w14:textId="4FD9FC85" w:rsidR="00574B65" w:rsidRDefault="00574B65" w:rsidP="00574B65">
      <w:pPr>
        <w:spacing w:line="480" w:lineRule="auto"/>
      </w:pPr>
      <w:r>
        <w:t xml:space="preserve">Although some reductions in phylogenetic signal and variations in shape space stability were observed with differing control point densities, these challenges </w:t>
      </w:r>
      <w:r>
        <w:lastRenderedPageBreak/>
        <w:t>provide opportunities for refinement rather than fundamental limitations. Continued advancements in mesh parcellation, automated segmentation, and computer vision techniques for imputing missing anatomical regions and filtering non-homologous features (e.g., horns, teeth) are likely to further strengthen the reliability of landmark-free methods. These developments will improve the ability of DAA to preserve homology and handle incomplete specimens, making it an increasingly viable alternative to traditional approaches.</w:t>
      </w:r>
    </w:p>
    <w:p w14:paraId="50582E8E" w14:textId="7425F22E" w:rsidR="00574B65" w:rsidRDefault="00574B65" w:rsidP="007F5FF3">
      <w:pPr>
        <w:spacing w:line="480" w:lineRule="auto"/>
      </w:pPr>
      <w:r>
        <w:t xml:space="preserve">Given its scalability and potential for high-resolution shape analyses across taxa with few shared homologous points, DAA and similar landmark-free methods are poised to become an integral part of the morphometric toolkit. As the field progresses, integrating these approaches with existing methods </w:t>
      </w:r>
      <w:r w:rsidR="000049F2">
        <w:t>may</w:t>
      </w:r>
      <w:r>
        <w:t xml:space="preserve"> unlock new insights into morphological evolution while maintaining the rigor and biological validity of shape analyses. </w:t>
      </w:r>
    </w:p>
    <w:p w14:paraId="647522F1" w14:textId="77777777" w:rsidR="0016658D" w:rsidRPr="00C7154A" w:rsidRDefault="0016658D" w:rsidP="0016658D">
      <w:pPr>
        <w:spacing w:line="480" w:lineRule="auto"/>
        <w:rPr>
          <w:b/>
        </w:rPr>
      </w:pPr>
      <w:bookmarkStart w:id="0" w:name="_Hlk195189895"/>
      <w:r w:rsidRPr="00C7154A">
        <w:rPr>
          <w:b/>
        </w:rPr>
        <w:t>Declarations</w:t>
      </w:r>
    </w:p>
    <w:p w14:paraId="7CCA59B4" w14:textId="77777777" w:rsidR="0016658D" w:rsidRPr="00FC2A41" w:rsidRDefault="0016658D" w:rsidP="0016658D">
      <w:pPr>
        <w:spacing w:line="480" w:lineRule="auto"/>
      </w:pPr>
      <w:r>
        <w:rPr>
          <w:b/>
        </w:rPr>
        <w:t xml:space="preserve">Ethics </w:t>
      </w:r>
      <w:r w:rsidRPr="00FC2A41">
        <w:rPr>
          <w:b/>
        </w:rPr>
        <w:t>approval and consent to participate</w:t>
      </w:r>
      <w:r>
        <w:rPr>
          <w:b/>
        </w:rPr>
        <w:t xml:space="preserve">. </w:t>
      </w:r>
      <w:r w:rsidRPr="00FC2A41">
        <w:t>Not applicable.</w:t>
      </w:r>
    </w:p>
    <w:p w14:paraId="79E04CA4" w14:textId="77777777" w:rsidR="0016658D" w:rsidRDefault="0016658D" w:rsidP="0016658D">
      <w:pPr>
        <w:spacing w:line="480" w:lineRule="auto"/>
        <w:rPr>
          <w:b/>
        </w:rPr>
      </w:pPr>
      <w:r w:rsidRPr="00FC2A41">
        <w:rPr>
          <w:b/>
        </w:rPr>
        <w:t>Consent for publication</w:t>
      </w:r>
      <w:r>
        <w:rPr>
          <w:b/>
        </w:rPr>
        <w:t xml:space="preserve">. </w:t>
      </w:r>
      <w:r w:rsidRPr="005A0802">
        <w:t>Not applicable.</w:t>
      </w:r>
    </w:p>
    <w:p w14:paraId="2CE93254" w14:textId="26E48A4D" w:rsidR="0016658D" w:rsidRPr="005A0802" w:rsidRDefault="0016658D" w:rsidP="0016658D">
      <w:pPr>
        <w:spacing w:line="480" w:lineRule="auto"/>
        <w:rPr>
          <w:bCs/>
        </w:rPr>
      </w:pPr>
      <w:r w:rsidRPr="002E3018">
        <w:rPr>
          <w:b/>
        </w:rPr>
        <w:t xml:space="preserve">Availability of data and materials. </w:t>
      </w:r>
      <w:bookmarkStart w:id="1" w:name="_Hlk195190616"/>
      <w:r w:rsidRPr="002E3018">
        <w:rPr>
          <w:bCs/>
        </w:rPr>
        <w:t xml:space="preserve">All </w:t>
      </w:r>
      <w:r w:rsidR="004A6F1F">
        <w:rPr>
          <w:bCs/>
        </w:rPr>
        <w:t xml:space="preserve">the </w:t>
      </w:r>
      <w:r w:rsidRPr="002E3018">
        <w:rPr>
          <w:bCs/>
        </w:rPr>
        <w:t xml:space="preserve">final data used in the paper are </w:t>
      </w:r>
      <w:r w:rsidR="005A45EB">
        <w:rPr>
          <w:bCs/>
        </w:rPr>
        <w:t xml:space="preserve">freely </w:t>
      </w:r>
      <w:r w:rsidRPr="002E3018">
        <w:rPr>
          <w:bCs/>
        </w:rPr>
        <w:t xml:space="preserve">available in the Supplementary Material and at </w:t>
      </w:r>
      <w:hyperlink r:id="rId7" w:history="1">
        <w:r w:rsidRPr="002E3018">
          <w:rPr>
            <w:rStyle w:val="Hyperlink"/>
            <w:bCs/>
          </w:rPr>
          <w:t>https://github.com/JamesMulqueeney/Deterministic-Atlas-Analysis</w:t>
        </w:r>
      </w:hyperlink>
      <w:r w:rsidRPr="002E3018">
        <w:rPr>
          <w:bCs/>
        </w:rPr>
        <w:t>. All</w:t>
      </w:r>
      <w:r w:rsidR="004A6F1F">
        <w:rPr>
          <w:bCs/>
        </w:rPr>
        <w:t xml:space="preserve"> the</w:t>
      </w:r>
      <w:r w:rsidRPr="002E3018">
        <w:rPr>
          <w:bCs/>
        </w:rPr>
        <w:t xml:space="preserve"> </w:t>
      </w:r>
      <w:r w:rsidR="004531A0" w:rsidRPr="002E3018">
        <w:rPr>
          <w:bCs/>
        </w:rPr>
        <w:t>code used</w:t>
      </w:r>
      <w:r w:rsidRPr="002E3018">
        <w:rPr>
          <w:bCs/>
        </w:rPr>
        <w:t xml:space="preserve"> in the paper </w:t>
      </w:r>
      <w:r w:rsidR="0033324A">
        <w:rPr>
          <w:bCs/>
        </w:rPr>
        <w:t>is</w:t>
      </w:r>
      <w:r w:rsidR="004A6F1F">
        <w:rPr>
          <w:bCs/>
        </w:rPr>
        <w:t xml:space="preserve"> </w:t>
      </w:r>
      <w:r w:rsidRPr="002E3018">
        <w:rPr>
          <w:bCs/>
        </w:rPr>
        <w:t xml:space="preserve">also stored in this GitHub repository. All 3D meshes for each specimen are available for free download on phenome10k.org or </w:t>
      </w:r>
      <w:r w:rsidR="004531A0" w:rsidRPr="002E3018">
        <w:rPr>
          <w:bCs/>
        </w:rPr>
        <w:t>morphosource.org.</w:t>
      </w:r>
      <w:r w:rsidRPr="002E3018">
        <w:rPr>
          <w:bCs/>
        </w:rPr>
        <w:t xml:space="preserve"> Each of the corresponding accession numbers</w:t>
      </w:r>
      <w:r w:rsidR="00CF1355">
        <w:rPr>
          <w:bCs/>
        </w:rPr>
        <w:t xml:space="preserve"> </w:t>
      </w:r>
      <w:r w:rsidR="00CF1355" w:rsidRPr="00CF1355">
        <w:rPr>
          <w:bCs/>
        </w:rPr>
        <w:t>and accessibility details</w:t>
      </w:r>
      <w:r w:rsidRPr="002E3018">
        <w:rPr>
          <w:bCs/>
        </w:rPr>
        <w:t xml:space="preserve"> are found in the supplementary material file, Data_A20-Specimen_Details.csv</w:t>
      </w:r>
      <w:r w:rsidR="002E3018" w:rsidRPr="002E3018">
        <w:rPr>
          <w:bCs/>
        </w:rPr>
        <w:t xml:space="preserve">, which can be found in the </w:t>
      </w:r>
      <w:r w:rsidR="004A6F1F">
        <w:rPr>
          <w:bCs/>
        </w:rPr>
        <w:t xml:space="preserve">Supplementary Material or </w:t>
      </w:r>
      <w:r w:rsidR="002E3018" w:rsidRPr="002E3018">
        <w:rPr>
          <w:bCs/>
        </w:rPr>
        <w:t>GitHub page</w:t>
      </w:r>
      <w:r w:rsidRPr="002E3018">
        <w:rPr>
          <w:bCs/>
        </w:rPr>
        <w:t>.</w:t>
      </w:r>
      <w:r w:rsidR="004531A0">
        <w:rPr>
          <w:bCs/>
        </w:rPr>
        <w:t xml:space="preserve"> </w:t>
      </w:r>
      <w:r w:rsidRPr="002E3018">
        <w:rPr>
          <w:bCs/>
        </w:rPr>
        <w:t xml:space="preserve">Processed data and other </w:t>
      </w:r>
      <w:r w:rsidRPr="002E3018">
        <w:rPr>
          <w:bCs/>
        </w:rPr>
        <w:lastRenderedPageBreak/>
        <w:t xml:space="preserve">large files are </w:t>
      </w:r>
      <w:r w:rsidR="005A45EB">
        <w:rPr>
          <w:bCs/>
        </w:rPr>
        <w:t xml:space="preserve">freely </w:t>
      </w:r>
      <w:r w:rsidRPr="002E3018">
        <w:rPr>
          <w:bCs/>
        </w:rPr>
        <w:t>available in the following</w:t>
      </w:r>
      <w:r w:rsidR="007E43B6" w:rsidRPr="002E3018">
        <w:rPr>
          <w:bCs/>
        </w:rPr>
        <w:t xml:space="preserve"> DOI: </w:t>
      </w:r>
      <w:hyperlink r:id="rId8" w:tgtFrame="_blank" w:history="1">
        <w:r w:rsidR="007E43B6" w:rsidRPr="005A0802">
          <w:rPr>
            <w:rStyle w:val="Hyperlink"/>
            <w:bdr w:val="none" w:sz="0" w:space="0" w:color="auto" w:frame="1"/>
            <w:shd w:val="clear" w:color="auto" w:fill="FFFFFF"/>
          </w:rPr>
          <w:t>https://doi.org/10.5258/SOTON/D3451</w:t>
        </w:r>
      </w:hyperlink>
      <w:r w:rsidR="007E43B6" w:rsidRPr="002E3018">
        <w:rPr>
          <w:bCs/>
        </w:rPr>
        <w:t>.</w:t>
      </w:r>
      <w:r w:rsidRPr="002E3018">
        <w:rPr>
          <w:bCs/>
        </w:rPr>
        <w:t xml:space="preserve"> Extensive descriptions on the methodology and functions can be found at </w:t>
      </w:r>
      <w:hyperlink r:id="rId9" w:history="1">
        <w:r w:rsidRPr="002E3018">
          <w:rPr>
            <w:rStyle w:val="Hyperlink"/>
            <w:bCs/>
          </w:rPr>
          <w:t>https://gitlab.com/icm-institute/aramislab/deformetrica/-/wikis/home</w:t>
        </w:r>
      </w:hyperlink>
      <w:r w:rsidRPr="002E3018">
        <w:rPr>
          <w:bCs/>
        </w:rPr>
        <w:t xml:space="preserve"> and the full descriptions of the pipeline can be found at </w:t>
      </w:r>
      <w:hyperlink r:id="rId10" w:history="1">
        <w:r w:rsidRPr="002E3018">
          <w:rPr>
            <w:rStyle w:val="Hyperlink"/>
            <w:bCs/>
          </w:rPr>
          <w:t>https://gitlab.com/ntoussaint/landmark-free-morphometry</w:t>
        </w:r>
      </w:hyperlink>
      <w:r w:rsidRPr="002E3018">
        <w:rPr>
          <w:bCs/>
        </w:rPr>
        <w:t>.</w:t>
      </w:r>
    </w:p>
    <w:bookmarkEnd w:id="1"/>
    <w:p w14:paraId="093C9902" w14:textId="5EAA7FF0" w:rsidR="0016658D" w:rsidRPr="0073290E" w:rsidRDefault="0016658D" w:rsidP="0016658D">
      <w:pPr>
        <w:spacing w:line="480" w:lineRule="auto"/>
      </w:pPr>
      <w:r w:rsidRPr="0073290E">
        <w:rPr>
          <w:b/>
        </w:rPr>
        <w:t xml:space="preserve">Competing interests. </w:t>
      </w:r>
      <w:r w:rsidR="00206594" w:rsidRPr="00206594">
        <w:t>The authors declare that they have no competing interests</w:t>
      </w:r>
      <w:r w:rsidR="00206594">
        <w:t xml:space="preserve">. </w:t>
      </w:r>
    </w:p>
    <w:p w14:paraId="74C6A90E" w14:textId="66582498" w:rsidR="0016658D" w:rsidRPr="0073290E" w:rsidRDefault="0016658D" w:rsidP="0016658D">
      <w:pPr>
        <w:spacing w:line="480" w:lineRule="auto"/>
      </w:pPr>
      <w:r w:rsidRPr="0073290E">
        <w:rPr>
          <w:b/>
        </w:rPr>
        <w:t xml:space="preserve">Funding. </w:t>
      </w:r>
      <w:r w:rsidRPr="0073290E">
        <w:t xml:space="preserve">J.M.M was supported by the Natural Environmental Research Council [grant number NE/S007210/1]. J.M.M and T.H.G.E were supported through the Natural Environmental Research Council [grant number NE/P019269/1]. A.G was supported by Leverhulme Trust grant RPG-2021-424 and European Research Council grant STG-2014-637171. </w:t>
      </w:r>
    </w:p>
    <w:p w14:paraId="04507B4C" w14:textId="77777777" w:rsidR="0016658D" w:rsidRPr="0073290E" w:rsidRDefault="0016658D" w:rsidP="0016658D">
      <w:pPr>
        <w:spacing w:line="480" w:lineRule="auto"/>
        <w:rPr>
          <w:b/>
        </w:rPr>
      </w:pPr>
      <w:r w:rsidRPr="0073290E">
        <w:rPr>
          <w:b/>
        </w:rPr>
        <w:t xml:space="preserve">Authors’ contributions. </w:t>
      </w:r>
      <w:r w:rsidRPr="0073290E">
        <w:rPr>
          <w:bCs/>
        </w:rPr>
        <w:t xml:space="preserve">J.M.M, T.H.G.E and A.G designed the concept of the study. A.G performed the data collection. J.M.M performed all the analysis and statistical comparisons. J.M.M wrote the initial draft manuscript, which was iterated with A.G. and T.H.G.E. All authors provided ideas and discussion to the paper and have read and approved the final version. </w:t>
      </w:r>
    </w:p>
    <w:p w14:paraId="6EC8C672" w14:textId="140FAF78" w:rsidR="0016658D" w:rsidRPr="0016658D" w:rsidRDefault="0016658D" w:rsidP="007F5FF3">
      <w:pPr>
        <w:spacing w:line="480" w:lineRule="auto"/>
        <w:rPr>
          <w:bCs/>
        </w:rPr>
      </w:pPr>
      <w:r w:rsidRPr="0073290E">
        <w:rPr>
          <w:b/>
        </w:rPr>
        <w:t xml:space="preserve">Acknowledgements. </w:t>
      </w:r>
      <w:r w:rsidRPr="0073290E">
        <w:rPr>
          <w:bCs/>
        </w:rPr>
        <w:t xml:space="preserve">The authors would like to thank all the other members of the Goswami and Ezard Labs who generously provided ideas for the concept of the paper. </w:t>
      </w:r>
      <w:r>
        <w:rPr>
          <w:bCs/>
        </w:rPr>
        <w:t xml:space="preserve">We would also like to thank Vera Weisbecker, Rex Mitchell, </w:t>
      </w:r>
      <w:r w:rsidRPr="00BB410F">
        <w:rPr>
          <w:bCs/>
        </w:rPr>
        <w:t>P. David Polly</w:t>
      </w:r>
      <w:r>
        <w:rPr>
          <w:bCs/>
        </w:rPr>
        <w:t xml:space="preserve"> and all of the anonymous reviewers of this manuscript for their thoughtful comments.  </w:t>
      </w:r>
    </w:p>
    <w:bookmarkEnd w:id="0"/>
    <w:p w14:paraId="4A5E7814" w14:textId="0A46B60B" w:rsidR="00A42A2C" w:rsidRDefault="00574B65" w:rsidP="007F5FF3">
      <w:pPr>
        <w:spacing w:line="480" w:lineRule="auto"/>
        <w:rPr>
          <w:b/>
          <w:bCs/>
        </w:rPr>
      </w:pPr>
      <w:r>
        <w:rPr>
          <w:b/>
        </w:rPr>
        <w:t>Materials</w:t>
      </w:r>
      <w:r w:rsidR="00636A66">
        <w:rPr>
          <w:b/>
          <w:bCs/>
        </w:rPr>
        <w:t xml:space="preserve"> and Methods </w:t>
      </w:r>
    </w:p>
    <w:p w14:paraId="64A7E5B1" w14:textId="0220DE5D" w:rsidR="00E849C0" w:rsidRPr="0073290E" w:rsidRDefault="00E849C0" w:rsidP="00E849C0">
      <w:pPr>
        <w:spacing w:beforeLines="100" w:before="240" w:afterLines="100" w:after="240" w:line="480" w:lineRule="auto"/>
        <w:textAlignment w:val="baseline"/>
        <w:rPr>
          <w:rFonts w:eastAsia="Times New Roman"/>
          <w:lang w:eastAsia="en-GB"/>
        </w:rPr>
      </w:pPr>
      <w:r w:rsidRPr="0073290E">
        <w:rPr>
          <w:rFonts w:eastAsia="Arial"/>
          <w:bCs/>
          <w:iCs/>
          <w:noProof/>
          <w:lang w:val="en-US"/>
        </w:rPr>
        <w:t xml:space="preserve">We obtained .ply meshes and geometric morphometric data for manually collected landmarks and semilandmarks from Goswami </w:t>
      </w:r>
      <w:r w:rsidRPr="0073290E">
        <w:rPr>
          <w:rFonts w:eastAsia="Times New Roman"/>
          <w:i/>
          <w:iCs/>
          <w:lang w:eastAsia="en-GB"/>
        </w:rPr>
        <w:t>et al.</w:t>
      </w:r>
      <w:r w:rsidRPr="0073290E">
        <w:rPr>
          <w:rFonts w:eastAsia="Times New Roman"/>
          <w:lang w:eastAsia="en-GB"/>
        </w:rPr>
        <w:t xml:space="preserve"> </w:t>
      </w:r>
      <w:r w:rsidRPr="0073290E">
        <w:rPr>
          <w:rFonts w:eastAsia="Times New Roman"/>
          <w:lang w:eastAsia="en-GB"/>
        </w:rPr>
        <w:fldChar w:fldCharType="begin"/>
      </w:r>
      <w:r w:rsidR="002F5782">
        <w:rPr>
          <w:rFonts w:eastAsia="Times New Roman"/>
          <w:lang w:eastAsia="en-GB"/>
        </w:rPr>
        <w:instrText xml:space="preserve"> ADDIN EN.CITE &lt;EndNote&gt;&lt;Cite ExcludeAuth="1"&gt;&lt;Author&gt;Goswami&lt;/Author&gt;&lt;Year&gt;2022&lt;/Year&gt;&lt;RecNum&gt;173&lt;/RecNum&gt;&lt;DisplayText&gt;[40]&lt;/DisplayText&gt;&lt;record&gt;&lt;rec-number&gt;173&lt;/rec-number&gt;&lt;foreign-keys&gt;&lt;key app="EN" db-id="stvxpdr5yrpspzes0zppeddup9p2da2vrpv9" timestamp="0"&gt;173&lt;/key&gt;&lt;/foreign-keys&gt;&lt;ref-type name="Journal Article"&gt;17&lt;/ref-type&gt;&lt;contributors&gt;&lt;authors&gt;&lt;author&gt;Goswami, Anjali&lt;/author&gt;&lt;author&gt;Noirault, Eve&lt;/author&gt;&lt;author&gt;Coombs, Ellen J&lt;/author&gt;&lt;author&gt;Clavel, Julien&lt;/author&gt;&lt;author&gt;Fabre, Anne-Claire&lt;/author&gt;&lt;author&gt;Halliday, Thomas JD&lt;/author&gt;&lt;author&gt;Churchill, Morgan&lt;/author&gt;&lt;author&gt;Curtis, Abigail&lt;/author&gt;&lt;author&gt;Watanabe, Akinobu&lt;/author&gt;&lt;author&gt;Simmons, Nancy B&lt;/author&gt;&lt;/authors&gt;&lt;/contributors&gt;&lt;titles&gt;&lt;title&gt;Attenuated evolution of mammals through the Cenozoic&lt;/title&gt;&lt;secondary-title&gt;Science&lt;/secondary-title&gt;&lt;/titles&gt;&lt;periodical&gt;&lt;full-title&gt;Science&lt;/full-title&gt;&lt;/periodical&gt;&lt;pages&gt;377-383&lt;/pages&gt;&lt;volume&gt;378&lt;/volume&gt;&lt;number&gt;6618&lt;/number&gt;&lt;dates&gt;&lt;year&gt;2022&lt;/year&gt;&lt;/dates&gt;&lt;isbn&gt;0036-8075&lt;/isbn&gt;&lt;urls&gt;&lt;/urls&gt;&lt;electronic-resource-num&gt;https://doi.org/10.1126/science.abm7525&lt;/electronic-resource-num&gt;&lt;/record&gt;&lt;/Cite&gt;&lt;/EndNote&gt;</w:instrText>
      </w:r>
      <w:r w:rsidRPr="0073290E">
        <w:rPr>
          <w:rFonts w:eastAsia="Times New Roman"/>
          <w:lang w:eastAsia="en-GB"/>
        </w:rPr>
        <w:fldChar w:fldCharType="separate"/>
      </w:r>
      <w:r w:rsidR="00D304C4">
        <w:rPr>
          <w:rFonts w:eastAsia="Times New Roman"/>
          <w:noProof/>
          <w:lang w:eastAsia="en-GB"/>
        </w:rPr>
        <w:t>[40]</w:t>
      </w:r>
      <w:r w:rsidRPr="0073290E">
        <w:rPr>
          <w:rFonts w:eastAsia="Times New Roman"/>
          <w:lang w:eastAsia="en-GB"/>
        </w:rPr>
        <w:fldChar w:fldCharType="end"/>
      </w:r>
      <w:r w:rsidRPr="0073290E">
        <w:rPr>
          <w:rFonts w:eastAsia="Times New Roman"/>
          <w:lang w:eastAsia="en-GB"/>
        </w:rPr>
        <w:t xml:space="preserve">. This dataset comprised 322 </w:t>
      </w:r>
      <w:r w:rsidRPr="0073290E">
        <w:rPr>
          <w:rFonts w:eastAsia="Times New Roman"/>
          <w:lang w:eastAsia="en-GB"/>
        </w:rPr>
        <w:lastRenderedPageBreak/>
        <w:t>crown and stem placental mammals, including 207 extant and 115 extinct s</w:t>
      </w:r>
      <w:r>
        <w:rPr>
          <w:rFonts w:eastAsia="Times New Roman"/>
          <w:lang w:eastAsia="en-GB"/>
        </w:rPr>
        <w:t>pecies (Additional file, data A</w:t>
      </w:r>
      <w:r w:rsidR="00A062F4">
        <w:rPr>
          <w:rFonts w:eastAsia="Times New Roman"/>
          <w:lang w:eastAsia="en-GB"/>
        </w:rPr>
        <w:t>20</w:t>
      </w:r>
      <w:r w:rsidRPr="0073290E">
        <w:rPr>
          <w:rFonts w:eastAsia="Times New Roman"/>
          <w:lang w:eastAsia="en-GB"/>
        </w:rPr>
        <w:t xml:space="preserve">).  </w:t>
      </w:r>
    </w:p>
    <w:p w14:paraId="1823921E" w14:textId="234C9381" w:rsidR="00E849C0" w:rsidRPr="0073290E" w:rsidRDefault="00E849C0" w:rsidP="00E849C0">
      <w:pPr>
        <w:spacing w:beforeLines="100" w:before="240" w:afterLines="100" w:after="240" w:line="480" w:lineRule="auto"/>
        <w:textAlignment w:val="baseline"/>
        <w:rPr>
          <w:rFonts w:eastAsia="Times New Roman"/>
          <w:lang w:eastAsia="en-GB"/>
        </w:rPr>
      </w:pPr>
      <w:r w:rsidRPr="0073290E">
        <w:rPr>
          <w:rFonts w:eastAsia="Times New Roman"/>
          <w:lang w:eastAsia="en-GB"/>
        </w:rPr>
        <w:t xml:space="preserve">The manual landmarking scheme consisted of 66 three-dimensional landmarks and 69 semilandmark curves collected for the left side of the skull, utilising Stratovan Checkpoint (Stratovan, Davis, CA, USA). Landmarks and semilandmarks were imported into R v.4.3.1 for analysis, where curves were resampled to a common number of semilandmarks and slid to minimise bending energy using Morpho </w:t>
      </w:r>
      <w:r w:rsidRPr="0073290E">
        <w:rPr>
          <w:rFonts w:eastAsia="Times New Roman"/>
          <w:lang w:eastAsia="en-GB"/>
        </w:rPr>
        <w:fldChar w:fldCharType="begin"/>
      </w:r>
      <w:r w:rsidR="002F5782">
        <w:rPr>
          <w:rFonts w:eastAsia="Times New Roman"/>
          <w:lang w:eastAsia="en-GB"/>
        </w:rPr>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rsidRPr="0073290E">
        <w:rPr>
          <w:rFonts w:eastAsia="Times New Roman"/>
          <w:lang w:eastAsia="en-GB"/>
        </w:rPr>
        <w:fldChar w:fldCharType="separate"/>
      </w:r>
      <w:r w:rsidR="00D304C4">
        <w:rPr>
          <w:rFonts w:eastAsia="Times New Roman"/>
          <w:noProof/>
          <w:lang w:eastAsia="en-GB"/>
        </w:rPr>
        <w:t>[46]</w:t>
      </w:r>
      <w:r w:rsidRPr="0073290E">
        <w:rPr>
          <w:rFonts w:eastAsia="Times New Roman"/>
          <w:lang w:eastAsia="en-GB"/>
        </w:rPr>
        <w:fldChar w:fldCharType="end"/>
      </w:r>
      <w:r w:rsidRPr="0073290E">
        <w:rPr>
          <w:rFonts w:eastAsia="Times New Roman"/>
          <w:lang w:eastAsia="en-GB"/>
        </w:rPr>
        <w:t xml:space="preserve"> v.2.11, which measures and optimises local shape differences versus the mean shape. Generalised Procrustes analysis in geomorph </w:t>
      </w:r>
      <w:r w:rsidRPr="0073290E">
        <w:rPr>
          <w:rFonts w:eastAsia="Times New Roman"/>
          <w:lang w:eastAsia="en-GB"/>
        </w:rPr>
        <w:fldChar w:fldCharType="begin"/>
      </w:r>
      <w:r w:rsidR="002F5782">
        <w:rPr>
          <w:rFonts w:eastAsia="Times New Roman"/>
          <w:lang w:eastAsia="en-GB"/>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imes New Roman" w:hAnsi="Cambria Math" w:cs="Cambria Math"/>
          <w:lang w:eastAsia="en-GB"/>
        </w:rPr>
        <w:instrText>‐</w:instrText>
      </w:r>
      <w:r w:rsidR="002F5782">
        <w:rPr>
          <w:rFonts w:eastAsia="Times New Roman"/>
          <w:lang w:eastAsia="en-GB"/>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sidRPr="0073290E">
        <w:rPr>
          <w:rFonts w:eastAsia="Times New Roman"/>
          <w:lang w:eastAsia="en-GB"/>
        </w:rPr>
        <w:fldChar w:fldCharType="separate"/>
      </w:r>
      <w:r w:rsidR="00D304C4">
        <w:rPr>
          <w:rFonts w:eastAsia="Times New Roman"/>
          <w:noProof/>
          <w:lang w:eastAsia="en-GB"/>
        </w:rPr>
        <w:t>[47]</w:t>
      </w:r>
      <w:r w:rsidRPr="0073290E">
        <w:rPr>
          <w:rFonts w:eastAsia="Times New Roman"/>
          <w:lang w:eastAsia="en-GB"/>
        </w:rPr>
        <w:fldChar w:fldCharType="end"/>
      </w:r>
      <w:r w:rsidRPr="0073290E">
        <w:rPr>
          <w:rFonts w:eastAsia="Times New Roman"/>
          <w:lang w:eastAsia="en-GB"/>
        </w:rPr>
        <w:t xml:space="preserve"> v.4.05 was then used to register the landmarks, resulting in a total of 754 3D landmarks and sliding semilan</w:t>
      </w:r>
      <w:r>
        <w:rPr>
          <w:rFonts w:eastAsia="Times New Roman"/>
          <w:lang w:eastAsia="en-GB"/>
        </w:rPr>
        <w:t xml:space="preserve">dmarks (Additional file, </w:t>
      </w:r>
      <w:r w:rsidR="003D3859">
        <w:rPr>
          <w:rFonts w:eastAsia="Times New Roman"/>
          <w:lang w:eastAsia="en-GB"/>
        </w:rPr>
        <w:t>D</w:t>
      </w:r>
      <w:r>
        <w:rPr>
          <w:rFonts w:eastAsia="Times New Roman"/>
          <w:lang w:eastAsia="en-GB"/>
        </w:rPr>
        <w:t>ata A</w:t>
      </w:r>
      <w:r w:rsidR="00A062F4">
        <w:rPr>
          <w:rFonts w:eastAsia="Times New Roman"/>
          <w:lang w:eastAsia="en-GB"/>
        </w:rPr>
        <w:t>21</w:t>
      </w:r>
      <w:r>
        <w:rPr>
          <w:rFonts w:eastAsia="Times New Roman"/>
          <w:lang w:eastAsia="en-GB"/>
        </w:rPr>
        <w:t>-</w:t>
      </w:r>
      <w:r w:rsidR="00A062F4">
        <w:rPr>
          <w:rFonts w:eastAsia="Times New Roman"/>
          <w:lang w:eastAsia="en-GB"/>
        </w:rPr>
        <w:t>22</w:t>
      </w:r>
      <w:r w:rsidRPr="0073290E">
        <w:rPr>
          <w:rFonts w:eastAsia="Times New Roman"/>
          <w:lang w:eastAsia="en-GB"/>
        </w:rPr>
        <w:t xml:space="preserve">). Principal component analysis was performed using </w:t>
      </w:r>
      <w:r>
        <w:rPr>
          <w:rFonts w:eastAsia="Times New Roman"/>
          <w:lang w:eastAsia="en-GB"/>
        </w:rPr>
        <w:t xml:space="preserve">Procrustes-aligned 3D data in R. </w:t>
      </w:r>
    </w:p>
    <w:p w14:paraId="5707155C" w14:textId="407CCB18" w:rsidR="003452CC" w:rsidRPr="0073290E" w:rsidRDefault="003452CC" w:rsidP="003452CC">
      <w:pPr>
        <w:pStyle w:val="paragraph"/>
        <w:spacing w:beforeLines="100" w:before="240" w:beforeAutospacing="0" w:afterLines="100" w:after="240" w:afterAutospacing="0" w:line="480" w:lineRule="auto"/>
        <w:textAlignment w:val="baseline"/>
        <w:rPr>
          <w:rFonts w:ascii="Arial" w:hAnsi="Arial" w:cs="Arial"/>
          <w:b/>
          <w:bCs/>
          <w:iCs/>
        </w:rPr>
      </w:pPr>
      <w:r w:rsidRPr="0073290E">
        <w:rPr>
          <w:rFonts w:ascii="Arial" w:hAnsi="Arial" w:cs="Arial"/>
          <w:b/>
          <w:bCs/>
          <w:iCs/>
        </w:rPr>
        <w:t xml:space="preserve">Mesh </w:t>
      </w:r>
      <w:r w:rsidR="00AD7A2D">
        <w:rPr>
          <w:rFonts w:ascii="Arial" w:hAnsi="Arial" w:cs="Arial"/>
          <w:b/>
          <w:bCs/>
          <w:iCs/>
        </w:rPr>
        <w:t>P</w:t>
      </w:r>
      <w:r w:rsidRPr="0073290E">
        <w:rPr>
          <w:rFonts w:ascii="Arial" w:hAnsi="Arial" w:cs="Arial"/>
          <w:b/>
          <w:bCs/>
          <w:iCs/>
        </w:rPr>
        <w:t xml:space="preserve">rocessing </w:t>
      </w:r>
    </w:p>
    <w:p w14:paraId="6C79280F" w14:textId="322E8DA4" w:rsidR="00E849C0" w:rsidRDefault="009E0C0C" w:rsidP="007F5FF3">
      <w:pPr>
        <w:spacing w:line="480" w:lineRule="auto"/>
      </w:pPr>
      <w:r w:rsidRPr="0073290E">
        <w:rPr>
          <w:rFonts w:eastAsia="Arial"/>
          <w:bCs/>
          <w:iCs/>
          <w:noProof/>
          <w:lang w:val="en-US"/>
        </w:rPr>
        <w:t>To facilitate a direct comparison between the manual landmarking data and the Deterministic Atlas Analysis (DAA) method, it is essential to remove any effects of translation, rotation, and scaling</w:t>
      </w:r>
      <w:r w:rsidR="00DB3048">
        <w:rPr>
          <w:rFonts w:eastAsia="Arial"/>
          <w:bCs/>
          <w:iCs/>
          <w:noProof/>
          <w:lang w:val="en-US"/>
        </w:rPr>
        <w:t>. To achieve this</w:t>
      </w:r>
      <w:r w:rsidR="00E72BAE">
        <w:rPr>
          <w:rFonts w:eastAsia="Arial"/>
          <w:bCs/>
          <w:iCs/>
          <w:noProof/>
          <w:lang w:val="en-US"/>
        </w:rPr>
        <w:t xml:space="preserve">, </w:t>
      </w:r>
      <w:r w:rsidR="008D2F29">
        <w:rPr>
          <w:rFonts w:eastAsia="Arial"/>
          <w:bCs/>
          <w:iCs/>
          <w:noProof/>
          <w:lang w:val="en-US"/>
        </w:rPr>
        <w:t xml:space="preserve">we applied a Procrustes transformation to standardise all 322 meshes, using the </w:t>
      </w:r>
      <w:r w:rsidR="008D2F29">
        <w:rPr>
          <w:rFonts w:eastAsia="Arial"/>
          <w:bCs/>
          <w:i/>
          <w:noProof/>
          <w:lang w:val="en-US"/>
        </w:rPr>
        <w:t xml:space="preserve">rotmesh.onto </w:t>
      </w:r>
      <w:r w:rsidR="008D2F29">
        <w:rPr>
          <w:rFonts w:eastAsia="Arial"/>
          <w:bCs/>
          <w:iCs/>
          <w:noProof/>
          <w:lang w:val="en-US"/>
        </w:rPr>
        <w:t xml:space="preserve">function in Morpho </w:t>
      </w:r>
      <w:r w:rsidR="00A94159" w:rsidRPr="0073290E">
        <w:fldChar w:fldCharType="begin"/>
      </w:r>
      <w:r w:rsidR="002F5782">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rsidR="00A94159" w:rsidRPr="0073290E">
        <w:fldChar w:fldCharType="separate"/>
      </w:r>
      <w:r w:rsidR="00D304C4">
        <w:rPr>
          <w:noProof/>
        </w:rPr>
        <w:t>[46]</w:t>
      </w:r>
      <w:r w:rsidR="00A94159" w:rsidRPr="0073290E">
        <w:fldChar w:fldCharType="end"/>
      </w:r>
      <w:r w:rsidR="00A94159" w:rsidRPr="0073290E">
        <w:t xml:space="preserve"> v.2.12</w:t>
      </w:r>
      <w:r w:rsidR="00920CC0">
        <w:t xml:space="preserve">. </w:t>
      </w:r>
      <w:r w:rsidR="00304569">
        <w:t xml:space="preserve">This function aligns each mesh to a target landmark configuration by applying a rigid-body transformation (translation and rotation). When scaling is enabled, it also performs a scaling adjustment based </w:t>
      </w:r>
      <w:r w:rsidR="00304569" w:rsidRPr="00304569">
        <w:t>on</w:t>
      </w:r>
      <w:r w:rsidR="00304569" w:rsidRPr="00304569">
        <w:rPr>
          <w:b/>
          <w:bCs/>
        </w:rPr>
        <w:t xml:space="preserve"> </w:t>
      </w:r>
      <w:r w:rsidR="00304569" w:rsidRPr="00304569">
        <w:rPr>
          <w:rStyle w:val="Strong"/>
          <w:b w:val="0"/>
        </w:rPr>
        <w:t>generali</w:t>
      </w:r>
      <w:r w:rsidR="00304569">
        <w:rPr>
          <w:rStyle w:val="Strong"/>
          <w:b w:val="0"/>
        </w:rPr>
        <w:t>s</w:t>
      </w:r>
      <w:r w:rsidR="00304569" w:rsidRPr="00304569">
        <w:rPr>
          <w:rStyle w:val="Strong"/>
          <w:b w:val="0"/>
        </w:rPr>
        <w:t>ed Procrustes analysis (GPA)</w:t>
      </w:r>
      <w:r w:rsidR="00304569" w:rsidRPr="00304569">
        <w:rPr>
          <w:b/>
          <w:bCs/>
        </w:rPr>
        <w:t>,</w:t>
      </w:r>
      <w:r w:rsidR="00304569">
        <w:t xml:space="preserve"> minimi</w:t>
      </w:r>
      <w:r w:rsidR="00CA5787">
        <w:t>s</w:t>
      </w:r>
      <w:r w:rsidR="00304569">
        <w:t>ing the least-squares differences between corresponding input and reference landmarks according to the ratio of their centroid sizes.</w:t>
      </w:r>
      <w:r w:rsidR="00CA5787">
        <w:t xml:space="preserve"> </w:t>
      </w:r>
      <w:r w:rsidR="00C468D6">
        <w:t xml:space="preserve">In </w:t>
      </w:r>
      <w:r w:rsidR="00CA5787">
        <w:t>our analysis</w:t>
      </w:r>
      <w:r w:rsidR="00C468D6">
        <w:t xml:space="preserve">, </w:t>
      </w:r>
      <w:r w:rsidR="00B421B6">
        <w:t xml:space="preserve">all data were mapped onto the coordinates of the first mesh in our </w:t>
      </w:r>
      <w:r w:rsidR="004E108D">
        <w:t>dataset specifically that</w:t>
      </w:r>
      <w:r w:rsidR="00B421B6">
        <w:t xml:space="preserve"> of </w:t>
      </w:r>
      <w:r w:rsidR="00FC7237" w:rsidRPr="0073290E">
        <w:rPr>
          <w:i/>
        </w:rPr>
        <w:t>Acinonyx jubatus</w:t>
      </w:r>
      <w:r w:rsidR="00FC7237">
        <w:rPr>
          <w:iCs/>
        </w:rPr>
        <w:t xml:space="preserve">, </w:t>
      </w:r>
      <w:r w:rsidR="00796EF3">
        <w:t xml:space="preserve">using the mirrored manual landmark </w:t>
      </w:r>
      <w:r w:rsidR="00796EF3">
        <w:lastRenderedPageBreak/>
        <w:t>data, which had not undergone GPA-based scaling, as the reference</w:t>
      </w:r>
      <w:r w:rsidR="005C2998">
        <w:t xml:space="preserve"> (Additional File, </w:t>
      </w:r>
      <w:r w:rsidR="003D3859">
        <w:t>Data A</w:t>
      </w:r>
      <w:r w:rsidR="00464E55">
        <w:t>22</w:t>
      </w:r>
      <w:r w:rsidR="003D3859">
        <w:t>)</w:t>
      </w:r>
      <w:r w:rsidR="00180A6D">
        <w:t xml:space="preserve">. </w:t>
      </w:r>
      <w:r w:rsidR="00496695">
        <w:t>This approach ensured the dataset was free of size-related effects, allowing for direct comparisons of shape variation.</w:t>
      </w:r>
    </w:p>
    <w:p w14:paraId="49AF96D4" w14:textId="0F1FEBC6" w:rsidR="005672DE" w:rsidRPr="0073290E" w:rsidRDefault="005672DE" w:rsidP="005672DE">
      <w:pPr>
        <w:spacing w:line="480" w:lineRule="auto"/>
      </w:pPr>
      <w:r w:rsidRPr="0073290E">
        <w:t>The meshes in the selected dataset were produced using a combination of computed tomography (CT) and surface scanning techniques (see Additional File, data A</w:t>
      </w:r>
      <w:r w:rsidR="00464E55">
        <w:t>20</w:t>
      </w:r>
      <w:r w:rsidRPr="0073290E">
        <w:t xml:space="preserve">), resulting </w:t>
      </w:r>
      <w:r>
        <w:t xml:space="preserve">in </w:t>
      </w:r>
      <w:r w:rsidRPr="0073290E">
        <w:t xml:space="preserve">the varied properties among the meshes. Notably, the CT-derived meshes have open surfaces (Figure 1a), while surface scan data is characterised by closed surfaces. Previous studies have indicated that these differences in topology can significantly influence the outcomes of landmark-free methods </w:t>
      </w:r>
      <w:r w:rsidRPr="0073290E">
        <w:fldChar w:fldCharType="begin"/>
      </w:r>
      <w:r w:rsidR="002F5782">
        <w:instrText xml:space="preserve"> ADDIN EN.CITE &lt;EndNote&gt;&lt;Cite&gt;&lt;Author&gt;Koehl&lt;/Author&gt;&lt;Year&gt;2013&lt;/Year&gt;&lt;RecNum&gt;228&lt;/RecNum&gt;&lt;DisplayText&gt;[48, 49]&lt;/DisplayText&gt;&lt;record&gt;&lt;rec-number&gt;228&lt;/rec-number&gt;&lt;foreign-keys&gt;&lt;key app="EN" db-id="stvxpdr5yrpspzes0zppeddup9p2da2vrpv9" timestamp="0"&gt;228&lt;/key&gt;&lt;/foreign-keys&gt;&lt;ref-type name="Journal Article"&gt;17&lt;/ref-type&gt;&lt;contributors&gt;&lt;authors&gt;&lt;author&gt;Koehl, Patrice&lt;/author&gt;&lt;author&gt;Hass, Joel&lt;/author&gt;&lt;/authors&gt;&lt;/contributors&gt;&lt;titles&gt;&lt;title&gt;Automatic alignment of genus-zero surfaces&lt;/title&gt;&lt;secondary-title&gt;IEEE transactions on pattern analysis and machine intelligence&lt;/secondary-title&gt;&lt;/titles&gt;&lt;pages&gt;466-478&lt;/pages&gt;&lt;volume&gt;36&lt;/volume&gt;&lt;number&gt;3&lt;/number&gt;&lt;dates&gt;&lt;year&gt;2013&lt;/year&gt;&lt;/dates&gt;&lt;isbn&gt;0162-8828&lt;/isbn&gt;&lt;urls&gt;&lt;/urls&gt;&lt;electronic-resource-num&gt;https://doi.org/10.1109/TPAMI.2013.139&lt;/electronic-resource-num&gt;&lt;/record&gt;&lt;/Cite&gt;&lt;Cite&gt;&lt;Author&gt;Koehl&lt;/Author&gt;&lt;Year&gt;2015&lt;/Year&gt;&lt;RecNum&gt;227&lt;/RecNum&gt;&lt;record&gt;&lt;rec-number&gt;227&lt;/rec-number&gt;&lt;foreign-keys&gt;&lt;key app="EN" db-id="stvxpdr5yrpspzes0zppeddup9p2da2vrpv9" timestamp="0"&gt;227&lt;/key&gt;&lt;/foreign-keys&gt;&lt;ref-type name="Journal Article"&gt;17&lt;/ref-type&gt;&lt;contributors&gt;&lt;authors&gt;&lt;author&gt;Koehl, Patrice&lt;/author&gt;&lt;author&gt;Hass, Joel&lt;/author&gt;&lt;/authors&gt;&lt;/contributors&gt;&lt;titles&gt;&lt;title&gt;Landmark-free geometric methods in biological shape analysis&lt;/title&gt;&lt;secondary-title&gt;Journal of The Royal Society Interface&lt;/secondary-title&gt;&lt;/titles&gt;&lt;pages&gt;20150795&lt;/pages&gt;&lt;volume&gt;12&lt;/volume&gt;&lt;number&gt;113&lt;/number&gt;&lt;dates&gt;&lt;year&gt;2015&lt;/year&gt;&lt;/dates&gt;&lt;isbn&gt;1742-5689&lt;/isbn&gt;&lt;urls&gt;&lt;/urls&gt;&lt;electronic-resource-num&gt;https://doi.org/10.1098/rsif.2015.0795&lt;/electronic-resource-num&gt;&lt;/record&gt;&lt;/Cite&gt;&lt;/EndNote&gt;</w:instrText>
      </w:r>
      <w:r w:rsidRPr="0073290E">
        <w:fldChar w:fldCharType="separate"/>
      </w:r>
      <w:r w:rsidR="00D304C4">
        <w:rPr>
          <w:noProof/>
        </w:rPr>
        <w:t>[48, 49]</w:t>
      </w:r>
      <w:r w:rsidRPr="0073290E">
        <w:fldChar w:fldCharType="end"/>
      </w:r>
      <w:r w:rsidRPr="0073290E">
        <w:t>. Thus</w:t>
      </w:r>
      <w:r>
        <w:t>,</w:t>
      </w:r>
      <w:r w:rsidRPr="0073290E">
        <w:t xml:space="preserve"> we aimed to investigate the impact of utilising mixed modalities when comparing shapes through the DAA method. To address potential effects stemming from the presence of both open and closed surfaces we created two distinct input datasets: (1) “Aligned-only” meshes, which comprise the original aligned meshes with both open and closed surfaces, and (2) “Poisson” meshes, which consist exclusively of watertight closed meshes. </w:t>
      </w:r>
    </w:p>
    <w:p w14:paraId="703A197B" w14:textId="7518D45C" w:rsidR="005672DE" w:rsidRPr="0073290E" w:rsidRDefault="005672DE" w:rsidP="005672DE">
      <w:pPr>
        <w:spacing w:line="480" w:lineRule="auto"/>
        <w:rPr>
          <w:rFonts w:eastAsia="Times New Roman"/>
          <w:lang w:eastAsia="en-GB"/>
        </w:rPr>
      </w:pPr>
      <w:r w:rsidRPr="0073290E">
        <w:t xml:space="preserve">To generate these watertight meshes, we </w:t>
      </w:r>
      <w:r>
        <w:t>used</w:t>
      </w:r>
      <w:r w:rsidRPr="0073290E">
        <w:t xml:space="preserve"> voxelisation and segmentation in Dragonfly v.2021.3 (Object Research Systems, Canada) to initially close any open holes. Subsequently, to ensure that the meshes were watertight and to evenly redistribute the faces and </w:t>
      </w:r>
      <w:r w:rsidR="00D20F42">
        <w:t>vertices</w:t>
      </w:r>
      <w:r w:rsidRPr="0073290E">
        <w:t xml:space="preserve"> across the mesh, we applied </w:t>
      </w:r>
      <w:r w:rsidRPr="0073290E">
        <w:rPr>
          <w:rFonts w:eastAsia="Times New Roman"/>
          <w:lang w:eastAsia="en-GB"/>
        </w:rPr>
        <w:t xml:space="preserve">a Screened Poisson distribution </w:t>
      </w:r>
      <w:r w:rsidRPr="0073290E">
        <w:rPr>
          <w:rFonts w:eastAsia="Times New Roman"/>
          <w:lang w:eastAsia="en-GB"/>
        </w:rPr>
        <w:fldChar w:fldCharType="begin"/>
      </w:r>
      <w:r w:rsidR="002F5782">
        <w:rPr>
          <w:rFonts w:eastAsia="Times New Roman"/>
          <w:lang w:eastAsia="en-GB"/>
        </w:rPr>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rsidRPr="0073290E">
        <w:rPr>
          <w:rFonts w:eastAsia="Times New Roman"/>
          <w:lang w:eastAsia="en-GB"/>
        </w:rPr>
        <w:fldChar w:fldCharType="separate"/>
      </w:r>
      <w:r w:rsidR="00D304C4">
        <w:rPr>
          <w:rFonts w:eastAsia="Times New Roman"/>
          <w:noProof/>
          <w:lang w:eastAsia="en-GB"/>
        </w:rPr>
        <w:t>[50]</w:t>
      </w:r>
      <w:r w:rsidRPr="0073290E">
        <w:rPr>
          <w:rFonts w:eastAsia="Times New Roman"/>
          <w:lang w:eastAsia="en-GB"/>
        </w:rPr>
        <w:fldChar w:fldCharType="end"/>
      </w:r>
      <w:r w:rsidRPr="0073290E">
        <w:rPr>
          <w:rFonts w:eastAsia="Times New Roman"/>
          <w:lang w:eastAsia="en-GB"/>
        </w:rPr>
        <w:t xml:space="preserve"> in Meshlab v.2023.12 </w:t>
      </w:r>
      <w:r w:rsidRPr="0073290E">
        <w:rPr>
          <w:rFonts w:eastAsia="Times New Roman"/>
          <w:lang w:eastAsia="en-GB"/>
        </w:rPr>
        <w:fldChar w:fldCharType="begin"/>
      </w:r>
      <w:r w:rsidR="003C42E3">
        <w:rPr>
          <w:rFonts w:eastAsia="Times New Roman"/>
          <w:lang w:eastAsia="en-GB"/>
        </w:rPr>
        <w:instrText xml:space="preserve"> ADDIN EN.CITE &lt;EndNote&gt;&lt;Cite&gt;&lt;Author&gt;Cignoni&lt;/Author&gt;&lt;Year&gt;2011&lt;/Year&gt;&lt;RecNum&gt;225&lt;/RecNum&gt;&lt;DisplayText&gt;[74]&lt;/DisplayText&gt;&lt;record&gt;&lt;rec-number&gt;225&lt;/rec-number&gt;&lt;foreign-keys&gt;&lt;key app="EN" db-id="stvxpdr5yrpspzes0zppeddup9p2da2vrpv9" timestamp="0"&gt;225&lt;/key&gt;&lt;/foreign-keys&gt;&lt;ref-type name="Journal Article"&gt;17&lt;/ref-type&gt;&lt;contributors&gt;&lt;authors&gt;&lt;author&gt;Cignoni, Paolo&lt;/author&gt;&lt;author&gt;Ranzuglia, Guido&lt;/author&gt;&lt;author&gt;Callieri, M&lt;/author&gt;&lt;author&gt;Corsini, M&lt;/author&gt;&lt;author&gt;Ganovelli, F&lt;/author&gt;&lt;author&gt;Pietroni, N&lt;/author&gt;&lt;author&gt;Tarini, M&lt;/author&gt;&lt;/authors&gt;&lt;/contributors&gt;&lt;titles&gt;&lt;title&gt;MeshLab&lt;/title&gt;&lt;/titles&gt;&lt;dates&gt;&lt;year&gt;2011&lt;/year&gt;&lt;/dates&gt;&lt;urls&gt;&lt;/urls&gt;&lt;/record&gt;&lt;/Cite&gt;&lt;/EndNote&gt;</w:instrText>
      </w:r>
      <w:r w:rsidRPr="0073290E">
        <w:rPr>
          <w:rFonts w:eastAsia="Times New Roman"/>
          <w:lang w:eastAsia="en-GB"/>
        </w:rPr>
        <w:fldChar w:fldCharType="separate"/>
      </w:r>
      <w:r w:rsidR="003C42E3">
        <w:rPr>
          <w:rFonts w:eastAsia="Times New Roman"/>
          <w:noProof/>
          <w:lang w:eastAsia="en-GB"/>
        </w:rPr>
        <w:t>[74]</w:t>
      </w:r>
      <w:r w:rsidRPr="0073290E">
        <w:rPr>
          <w:rFonts w:eastAsia="Times New Roman"/>
          <w:lang w:eastAsia="en-GB"/>
        </w:rPr>
        <w:fldChar w:fldCharType="end"/>
      </w:r>
      <w:r w:rsidRPr="0073290E">
        <w:rPr>
          <w:rFonts w:eastAsia="Times New Roman"/>
          <w:lang w:eastAsia="en-GB"/>
        </w:rPr>
        <w:t xml:space="preserve">. The Poisson reconstruction algorithm focuses on </w:t>
      </w:r>
      <w:r>
        <w:rPr>
          <w:rFonts w:eastAsia="Times New Roman"/>
          <w:lang w:eastAsia="en-GB"/>
        </w:rPr>
        <w:t xml:space="preserve">the </w:t>
      </w:r>
      <w:r w:rsidRPr="0073290E">
        <w:rPr>
          <w:rFonts w:eastAsia="Times New Roman"/>
          <w:lang w:eastAsia="en-GB"/>
        </w:rPr>
        <w:t xml:space="preserve">reconstruction </w:t>
      </w:r>
      <w:r>
        <w:rPr>
          <w:rFonts w:eastAsia="Times New Roman"/>
          <w:lang w:eastAsia="en-GB"/>
        </w:rPr>
        <w:t xml:space="preserve">of </w:t>
      </w:r>
      <w:r w:rsidRPr="0073290E">
        <w:rPr>
          <w:rFonts w:eastAsia="Times New Roman"/>
          <w:lang w:eastAsia="en-GB"/>
        </w:rPr>
        <w:t xml:space="preserve">smooth surfaces while approximating the underlying point clouds, as described by the equation </w:t>
      </w:r>
      <w:r w:rsidRPr="0073290E">
        <w:rPr>
          <w:rFonts w:eastAsia="Times New Roman"/>
          <w:lang w:eastAsia="en-GB"/>
        </w:rPr>
        <w:fldChar w:fldCharType="begin"/>
      </w:r>
      <w:r w:rsidR="002F5782">
        <w:rPr>
          <w:rFonts w:eastAsia="Times New Roman"/>
          <w:lang w:eastAsia="en-GB"/>
        </w:rPr>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rsidRPr="0073290E">
        <w:rPr>
          <w:rFonts w:eastAsia="Times New Roman"/>
          <w:lang w:eastAsia="en-GB"/>
        </w:rPr>
        <w:fldChar w:fldCharType="separate"/>
      </w:r>
      <w:r w:rsidR="00D304C4">
        <w:rPr>
          <w:rFonts w:eastAsia="Times New Roman"/>
          <w:noProof/>
          <w:lang w:eastAsia="en-GB"/>
        </w:rPr>
        <w:t>[50]</w:t>
      </w:r>
      <w:r w:rsidRPr="0073290E">
        <w:rPr>
          <w:rFonts w:eastAsia="Times New Roman"/>
          <w:lang w:eastAsia="en-GB"/>
        </w:rPr>
        <w:fldChar w:fldCharType="end"/>
      </w:r>
      <w:r w:rsidRPr="0073290E">
        <w:rPr>
          <w:rFonts w:eastAsia="Times New Roman"/>
          <w:lang w:eastAsia="en-GB"/>
        </w:rPr>
        <w:t xml:space="preserve">: </w:t>
      </w:r>
    </w:p>
    <w:p w14:paraId="7FF0750C" w14:textId="77777777" w:rsidR="005672DE" w:rsidRPr="0073290E" w:rsidRDefault="005672DE" w:rsidP="005672DE">
      <w:pPr>
        <w:spacing w:line="480" w:lineRule="auto"/>
        <w:rPr>
          <w:rFonts w:eastAsiaTheme="minorEastAsia"/>
        </w:rPr>
      </w:pPr>
      <m:oMathPara>
        <m:oMath>
          <m:r>
            <m:rPr>
              <m:sty m:val="bi"/>
            </m:rPr>
            <w:rPr>
              <w:rFonts w:ascii="Cambria Math" w:hAnsi="Cambria Math"/>
            </w:rPr>
            <m:t>∆</m:t>
          </m:r>
          <m:r>
            <m:rPr>
              <m:sty m:val="p"/>
            </m:rPr>
            <w:rPr>
              <w:rFonts w:ascii="Cambria Math" w:hAnsi="Cambria Math"/>
            </w:rPr>
            <m:t>χ ≡</m:t>
          </m:r>
          <m:r>
            <m:rPr>
              <m:sty m:val="p"/>
            </m:rPr>
            <w:rPr>
              <w:rFonts w:ascii="Cambria Math" w:hAnsi="Cambria Math" w:cs="Cambria Math"/>
            </w:rPr>
            <m:t>∇</m:t>
          </m:r>
          <m:r>
            <m:rPr>
              <m:sty m:val="p"/>
            </m:rPr>
            <w:rPr>
              <w:rFonts w:ascii="Cambria Math" w:hAnsi="Cambria Math"/>
            </w:rPr>
            <m:t>·</m:t>
          </m:r>
          <m:r>
            <m:rPr>
              <m:sty m:val="p"/>
            </m:rPr>
            <w:rPr>
              <w:rFonts w:ascii="Cambria Math" w:hAnsi="Cambria Math" w:cs="Cambria Math"/>
            </w:rPr>
            <m:t>∇</m:t>
          </m:r>
          <m:r>
            <m:rPr>
              <m:sty m:val="p"/>
            </m:rPr>
            <w:rPr>
              <w:rFonts w:ascii="Cambria Math" w:hAnsi="Cambria Math"/>
            </w:rPr>
            <m:t xml:space="preserve">χ = </m:t>
          </m:r>
          <m:r>
            <m:rPr>
              <m:sty m:val="p"/>
            </m:rPr>
            <w:rPr>
              <w:rFonts w:ascii="Cambria Math" w:hAnsi="Cambria Math" w:cs="Cambria Math"/>
            </w:rPr>
            <m:t>∇</m:t>
          </m:r>
          <m:r>
            <m:rPr>
              <m:sty m:val="p"/>
            </m:rPr>
            <w:rPr>
              <w:rFonts w:ascii="Cambria Math" w:hAnsi="Cambria Math"/>
            </w:rPr>
            <m:t>. V.</m:t>
          </m:r>
        </m:oMath>
      </m:oMathPara>
    </w:p>
    <w:p w14:paraId="46C746D1" w14:textId="77777777" w:rsidR="005672DE" w:rsidRPr="0073290E" w:rsidRDefault="005672DE" w:rsidP="005672DE">
      <w:pPr>
        <w:spacing w:line="480" w:lineRule="auto"/>
        <w:rPr>
          <w:rFonts w:eastAsiaTheme="minorEastAsia"/>
        </w:rPr>
      </w:pPr>
      <w:r w:rsidRPr="0073290E">
        <w:lastRenderedPageBreak/>
        <w:t xml:space="preserve">Where </w:t>
      </w:r>
      <m:oMath>
        <m:r>
          <m:rPr>
            <m:sty m:val="bi"/>
          </m:rPr>
          <w:rPr>
            <w:rFonts w:ascii="Cambria Math" w:hAnsi="Cambria Math"/>
          </w:rPr>
          <m:t>∆</m:t>
        </m:r>
        <m:r>
          <m:rPr>
            <m:sty m:val="p"/>
          </m:rPr>
          <w:rPr>
            <w:rFonts w:ascii="Cambria Math" w:hAnsi="Cambria Math"/>
          </w:rPr>
          <m:t>χ</m:t>
        </m:r>
      </m:oMath>
      <w:r w:rsidRPr="0073290E">
        <w:rPr>
          <w:rFonts w:eastAsiaTheme="minorEastAsia"/>
        </w:rPr>
        <w:t xml:space="preserve"> is the </w:t>
      </w:r>
      <w:r w:rsidRPr="0073290E">
        <w:t>Laplacian of th</w:t>
      </w:r>
      <w:r>
        <w:t>e scalar function, which defines</w:t>
      </w:r>
      <w:r w:rsidRPr="0073290E">
        <w:t xml:space="preserve"> the implicit surface to be reconstructed, </w:t>
      </w:r>
      <m:oMath>
        <m:r>
          <m:rPr>
            <m:sty m:val="p"/>
          </m:rPr>
          <w:rPr>
            <w:rFonts w:ascii="Cambria Math" w:hAnsi="Cambria Math" w:cs="Cambria Math"/>
          </w:rPr>
          <m:t>∇</m:t>
        </m:r>
        <m:r>
          <m:rPr>
            <m:sty m:val="p"/>
          </m:rPr>
          <w:rPr>
            <w:rFonts w:ascii="Cambria Math" w:hAnsi="Cambria Math"/>
          </w:rPr>
          <m:t>·</m:t>
        </m:r>
      </m:oMath>
      <w:r w:rsidRPr="0073290E">
        <w:rPr>
          <w:rFonts w:eastAsiaTheme="minorEastAsia"/>
        </w:rPr>
        <w:t xml:space="preserve"> </w:t>
      </w:r>
      <w:r w:rsidRPr="0073290E">
        <w:t xml:space="preserve">denotes the divergence operator and </w:t>
      </w:r>
      <m:oMath>
        <m:r>
          <m:rPr>
            <m:sty m:val="p"/>
          </m:rPr>
          <w:rPr>
            <w:rFonts w:ascii="Cambria Math" w:hAnsi="Cambria Math"/>
          </w:rPr>
          <m:t>V</m:t>
        </m:r>
      </m:oMath>
      <w:r w:rsidRPr="0073290E">
        <w:rPr>
          <w:rFonts w:eastAsiaTheme="minorEastAsia"/>
        </w:rPr>
        <w:t xml:space="preserve"> is a vector field derived from the normals of the point cloud data. The purpose of the </w:t>
      </w:r>
      <m:oMath>
        <m:r>
          <m:rPr>
            <m:sty m:val="bi"/>
          </m:rPr>
          <w:rPr>
            <w:rFonts w:ascii="Cambria Math" w:hAnsi="Cambria Math"/>
          </w:rPr>
          <m:t>∆</m:t>
        </m:r>
        <m:r>
          <m:rPr>
            <m:sty m:val="p"/>
          </m:rPr>
          <w:rPr>
            <w:rFonts w:ascii="Cambria Math" w:hAnsi="Cambria Math"/>
          </w:rPr>
          <m:t>χ</m:t>
        </m:r>
      </m:oMath>
      <w:r w:rsidRPr="0073290E">
        <w:rPr>
          <w:rFonts w:eastAsiaTheme="minorEastAsia"/>
        </w:rPr>
        <w:t xml:space="preserve"> function is to preserve the topology and geometric properties of the mesh by aligning it with that of </w:t>
      </w:r>
      <m:oMath>
        <m:r>
          <m:rPr>
            <m:sty m:val="p"/>
          </m:rPr>
          <w:rPr>
            <w:rFonts w:ascii="Cambria Math" w:hAnsi="Cambria Math"/>
          </w:rPr>
          <m:t>V</m:t>
        </m:r>
      </m:oMath>
      <w:r w:rsidRPr="0073290E">
        <w:rPr>
          <w:rFonts w:eastAsiaTheme="minorEastAsia"/>
        </w:rPr>
        <w:t xml:space="preserve">. </w:t>
      </w:r>
    </w:p>
    <w:p w14:paraId="047E564E" w14:textId="4244DF2B" w:rsidR="005672DE" w:rsidRPr="003F64CD" w:rsidRDefault="005672DE" w:rsidP="007F5FF3">
      <w:pPr>
        <w:spacing w:line="480" w:lineRule="auto"/>
        <w:rPr>
          <w:rFonts w:eastAsiaTheme="minorEastAsia"/>
        </w:rPr>
      </w:pPr>
      <w:r w:rsidRPr="0073290E">
        <w:rPr>
          <w:rFonts w:eastAsiaTheme="minorEastAsia"/>
        </w:rPr>
        <w:t>Once meshes for both input datasets for DAA</w:t>
      </w:r>
      <w:r w:rsidR="00F24217">
        <w:rPr>
          <w:rFonts w:eastAsiaTheme="minorEastAsia"/>
        </w:rPr>
        <w:t xml:space="preserve"> were processed</w:t>
      </w:r>
      <w:r w:rsidRPr="0073290E">
        <w:rPr>
          <w:rFonts w:eastAsiaTheme="minorEastAsia"/>
        </w:rPr>
        <w:t xml:space="preserve">, we decimated the “Aligned-only” and “Poisson” meshes to 50,000 faces using a quadratic mesh decimation approach using trimesh v.3.19.4 in Python v.3.8.8. This decimation was conducted to reduce computational demand while maintaining the overall geometric topology. </w:t>
      </w:r>
    </w:p>
    <w:p w14:paraId="1F1C65FE" w14:textId="77777777" w:rsidR="00646457" w:rsidRDefault="00646457" w:rsidP="00646457">
      <w:pPr>
        <w:spacing w:line="480" w:lineRule="auto"/>
        <w:rPr>
          <w:b/>
          <w:bCs/>
          <w:iCs/>
        </w:rPr>
      </w:pPr>
      <w:r w:rsidRPr="0073290E">
        <w:rPr>
          <w:b/>
          <w:bCs/>
          <w:iCs/>
        </w:rPr>
        <w:t>Deterministic Atlas Analysis (DAA)</w:t>
      </w:r>
    </w:p>
    <w:p w14:paraId="76AC9C59" w14:textId="093A6132" w:rsidR="005F531C" w:rsidRDefault="00AB5E17" w:rsidP="00646457">
      <w:pPr>
        <w:spacing w:line="480" w:lineRule="auto"/>
      </w:pPr>
      <w:r w:rsidRPr="00AB5E17">
        <w:rPr>
          <w:rStyle w:val="Strong"/>
          <w:b w:val="0"/>
          <w:bCs w:val="0"/>
        </w:rPr>
        <w:t>Deterministic Atlas Analysis (DAA)</w:t>
      </w:r>
      <w:r w:rsidRPr="00AB5E17">
        <w:rPr>
          <w:b/>
        </w:rPr>
        <w:t xml:space="preserve"> </w:t>
      </w:r>
      <w:r w:rsidRPr="00AB5E17">
        <w:rPr>
          <w:bCs/>
        </w:rPr>
        <w:t>is a method based on</w:t>
      </w:r>
      <w:r w:rsidRPr="00AB5E17">
        <w:rPr>
          <w:b/>
        </w:rPr>
        <w:t xml:space="preserve"> </w:t>
      </w:r>
      <w:r w:rsidRPr="00AB5E17">
        <w:rPr>
          <w:rStyle w:val="Strong"/>
          <w:b w:val="0"/>
          <w:bCs w:val="0"/>
        </w:rPr>
        <w:t>Large Deformation Diffeomorphic Metric Mapping (LDDMM)</w:t>
      </w:r>
      <w:r w:rsidRPr="00AB5E17">
        <w:rPr>
          <w:b/>
        </w:rPr>
        <w:t>,</w:t>
      </w:r>
      <w:r w:rsidRPr="00AB5E17">
        <w:rPr>
          <w:bCs/>
        </w:rPr>
        <w:t xml:space="preserve"> which compares shapes by applying </w:t>
      </w:r>
      <w:r w:rsidRPr="00124B61">
        <w:rPr>
          <w:rStyle w:val="Strong"/>
          <w:b w:val="0"/>
          <w:bCs w:val="0"/>
        </w:rPr>
        <w:t>diffeomorphic transformations</w:t>
      </w:r>
      <w:r w:rsidRPr="00124B61">
        <w:rPr>
          <w:b/>
        </w:rPr>
        <w:t xml:space="preserve"> </w:t>
      </w:r>
      <w:r w:rsidRPr="00AB5E17">
        <w:rPr>
          <w:bCs/>
        </w:rPr>
        <w:t>within 2D or 3D ambient space.</w:t>
      </w:r>
      <w:r w:rsidR="006F39E9">
        <w:rPr>
          <w:bCs/>
        </w:rPr>
        <w:t xml:space="preserve"> DAA is unique in that it learns a template shape which corresponds to the average of the selected dataset</w:t>
      </w:r>
      <w:r w:rsidR="00663D4F">
        <w:rPr>
          <w:bCs/>
        </w:rPr>
        <w:t xml:space="preserve"> </w:t>
      </w:r>
      <w:r w:rsidR="00663D4F">
        <w:rPr>
          <w:bCs/>
        </w:rPr>
        <w:fldChar w:fldCharType="begin"/>
      </w:r>
      <w:r w:rsidR="002F5782">
        <w:rPr>
          <w:bCs/>
        </w:rPr>
        <w:instrText xml:space="preserve"> ADDIN EN.CITE &lt;EndNote&gt;&lt;Cite&gt;&lt;Author&gt;Durrleman&lt;/Author&gt;&lt;Year&gt;2014&lt;/Year&gt;&lt;RecNum&gt;169&lt;/RecNum&gt;&lt;DisplayText&gt;[33]&lt;/DisplayText&gt;&lt;record&gt;&lt;rec-number&gt;169&lt;/rec-number&gt;&lt;foreign-keys&gt;&lt;key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EndNote&gt;</w:instrText>
      </w:r>
      <w:r w:rsidR="00663D4F">
        <w:rPr>
          <w:bCs/>
        </w:rPr>
        <w:fldChar w:fldCharType="separate"/>
      </w:r>
      <w:r w:rsidR="00663D4F">
        <w:rPr>
          <w:bCs/>
          <w:noProof/>
        </w:rPr>
        <w:t>[33]</w:t>
      </w:r>
      <w:r w:rsidR="00663D4F">
        <w:rPr>
          <w:bCs/>
        </w:rPr>
        <w:fldChar w:fldCharType="end"/>
      </w:r>
      <w:r w:rsidR="006F39E9">
        <w:rPr>
          <w:bCs/>
        </w:rPr>
        <w:t>, in this case the 322 selected specimens</w:t>
      </w:r>
      <w:r w:rsidR="00B5254A">
        <w:rPr>
          <w:bCs/>
        </w:rPr>
        <w:t xml:space="preserve">. </w:t>
      </w:r>
      <w:r w:rsidR="00B5254A">
        <w:t xml:space="preserve">However, before estimating this mean shape, the method requires the selection of an </w:t>
      </w:r>
      <w:r w:rsidR="00B5254A" w:rsidRPr="00115160">
        <w:rPr>
          <w:rStyle w:val="Strong"/>
          <w:b w:val="0"/>
          <w:bCs w:val="0"/>
        </w:rPr>
        <w:t>initial template</w:t>
      </w:r>
      <w:r w:rsidR="00B5254A">
        <w:t xml:space="preserve"> from within the dataset. Given that previous studies suggest a single template may bias results</w:t>
      </w:r>
      <w:r w:rsidR="00115160">
        <w:t xml:space="preserve"> </w:t>
      </w:r>
      <w:r w:rsidR="008551F3">
        <w:rPr>
          <w:bCs/>
        </w:rPr>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rPr>
          <w:bCs/>
        </w:rPr>
        <w:instrText xml:space="preserve"> ADDIN EN.CITE </w:instrText>
      </w:r>
      <w:r w:rsidR="00D304C4">
        <w:rPr>
          <w:bCs/>
        </w:rPr>
        <w:fldChar w:fldCharType="begin">
          <w:fldData xml:space="preserve">PEVuZE5vdGU+PENpdGU+PEF1dGhvcj5Sb2hsZmluZzwvQXV0aG9yPjxZZWFyPjIwMDQ8L1llYXI+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</w:fldData>
        </w:fldChar>
      </w:r>
      <w:r w:rsidR="00D304C4">
        <w:rPr>
          <w:bCs/>
        </w:rPr>
        <w:instrText xml:space="preserve"> ADDIN EN.CITE.DATA </w:instrText>
      </w:r>
      <w:r w:rsidR="00D304C4">
        <w:rPr>
          <w:bCs/>
        </w:rPr>
      </w:r>
      <w:r w:rsidR="00D304C4">
        <w:rPr>
          <w:bCs/>
        </w:rPr>
        <w:fldChar w:fldCharType="end"/>
      </w:r>
      <w:r w:rsidR="008551F3">
        <w:rPr>
          <w:bCs/>
        </w:rPr>
      </w:r>
      <w:r w:rsidR="008551F3">
        <w:rPr>
          <w:bCs/>
        </w:rPr>
        <w:fldChar w:fldCharType="separate"/>
      </w:r>
      <w:r w:rsidR="00D304C4">
        <w:rPr>
          <w:bCs/>
          <w:noProof/>
        </w:rPr>
        <w:t>[51-53]</w:t>
      </w:r>
      <w:r w:rsidR="008551F3">
        <w:rPr>
          <w:bCs/>
        </w:rPr>
        <w:fldChar w:fldCharType="end"/>
      </w:r>
      <w:r w:rsidR="007C4155">
        <w:rPr>
          <w:bCs/>
        </w:rPr>
        <w:t>,</w:t>
      </w:r>
      <w:r w:rsidR="00115160">
        <w:rPr>
          <w:bCs/>
        </w:rPr>
        <w:t xml:space="preserve"> </w:t>
      </w:r>
      <w:r w:rsidR="00115160">
        <w:t>we tested three different specimens as the template chosen based on the manual landmarking results</w:t>
      </w:r>
      <w:r w:rsidR="00104974">
        <w:rPr>
          <w:bCs/>
        </w:rPr>
        <w:t xml:space="preserve">. </w:t>
      </w:r>
      <w:r w:rsidR="006F1F97">
        <w:rPr>
          <w:bCs/>
        </w:rPr>
        <w:t>S</w:t>
      </w:r>
      <w:r w:rsidR="006F1F97">
        <w:t xml:space="preserve">pecifically, we selected </w:t>
      </w:r>
      <w:r w:rsidR="006F1F97">
        <w:rPr>
          <w:rStyle w:val="Emphasis"/>
        </w:rPr>
        <w:t>Arctictis binturong</w:t>
      </w:r>
      <w:r w:rsidR="006F1F97">
        <w:t xml:space="preserve"> to represent a shape close to the mean, </w:t>
      </w:r>
      <w:r w:rsidR="006F1F97">
        <w:rPr>
          <w:rStyle w:val="Emphasis"/>
        </w:rPr>
        <w:t>Cacajao calvus</w:t>
      </w:r>
      <w:r w:rsidR="006F1F97">
        <w:t xml:space="preserve"> as an intermediate form, and </w:t>
      </w:r>
      <w:r w:rsidR="006F1F97">
        <w:rPr>
          <w:rStyle w:val="Emphasis"/>
        </w:rPr>
        <w:t>Schizodelphis morckhoviensis</w:t>
      </w:r>
      <w:r w:rsidR="006F1F97">
        <w:t xml:space="preserve"> as an extreme shap</w:t>
      </w:r>
      <w:r w:rsidR="00805AB8">
        <w:t xml:space="preserve">e. </w:t>
      </w:r>
    </w:p>
    <w:p w14:paraId="091FB588" w14:textId="77777777" w:rsidR="0016658D" w:rsidRDefault="00335004" w:rsidP="0016658D">
      <w:pPr>
        <w:spacing w:line="480" w:lineRule="auto"/>
        <w:rPr>
          <w:rStyle w:val="mord"/>
          <w:rFonts w:eastAsiaTheme="minorEastAsia"/>
        </w:rPr>
      </w:pPr>
      <w:r>
        <w:t xml:space="preserve">For each initial template, </w:t>
      </w:r>
      <w:r w:rsidRPr="00335004">
        <w:rPr>
          <w:rStyle w:val="Strong"/>
          <w:b w:val="0"/>
          <w:bCs w:val="0"/>
        </w:rPr>
        <w:t>DAA</w:t>
      </w:r>
      <w:r w:rsidRPr="00335004">
        <w:rPr>
          <w:b/>
        </w:rPr>
        <w:t xml:space="preserve"> </w:t>
      </w:r>
      <w:r>
        <w:t xml:space="preserve">automatically estimates a new </w:t>
      </w:r>
      <w:r w:rsidRPr="00335004">
        <w:rPr>
          <w:rStyle w:val="Strong"/>
          <w:b w:val="0"/>
          <w:bCs w:val="0"/>
        </w:rPr>
        <w:t>mean shape</w:t>
      </w:r>
      <w:r w:rsidRPr="00335004">
        <w:rPr>
          <w:b/>
        </w:rPr>
        <w:t xml:space="preserve"> </w:t>
      </w:r>
      <w:r>
        <w:t>that represents the average morphology of the 322 specimens</w:t>
      </w:r>
      <w:r w:rsidR="007A06E9">
        <w:t xml:space="preserve">. </w:t>
      </w:r>
      <w:r w:rsidR="00B72168" w:rsidRPr="00B72168">
        <w:t xml:space="preserve">This process relies on </w:t>
      </w:r>
      <w:r w:rsidR="00B72168" w:rsidRPr="00B72168">
        <w:lastRenderedPageBreak/>
        <w:t>geodesic regression, a method that operates within a Riemannian manifold</w:t>
      </w:r>
      <w:r w:rsidR="00B72168">
        <w:rPr>
          <w:rStyle w:val="Strong"/>
          <w:b w:val="0"/>
          <w:bCs w:val="0"/>
        </w:rPr>
        <w:t xml:space="preserve"> </w:t>
      </w:r>
      <w:r w:rsidR="00302ABC">
        <w:rPr>
          <w:iCs/>
        </w:rPr>
        <w:fldChar w:fldCharType="begin"/>
      </w:r>
      <w:r w:rsidR="00302ABC">
        <w:rPr>
          <w:iCs/>
        </w:rPr>
        <w:instrText xml:space="preserve"> ADDIN EN.CITE &lt;EndNote&gt;&lt;Cite&gt;&lt;Author&gt;Fletcher&lt;/Author&gt;&lt;Year&gt;2011&lt;/Year&gt;&lt;RecNum&gt;354&lt;/RecNum&gt;&lt;DisplayText&gt;[36, 37]&lt;/DisplayText&gt;&lt;record&gt;&lt;rec-number&gt;354&lt;/rec-number&gt;&lt;foreign-keys&gt;&lt;key app="EN" db-id="tasefzw5b2p9euepe2cpwzvqsztr2dd9f5tz" timestamp="1739296131"&gt;354&lt;/key&gt;&lt;/foreign-keys&gt;&lt;ref-type name="Conference Proceedings"&gt;10&lt;/ref-type&gt;&lt;contributors&gt;&lt;authors&gt;&lt;author&gt;Fletcher, Thomas&lt;/author&gt;&lt;/authors&gt;&lt;/contributors&gt;&lt;titles&gt;&lt;title&gt;Geodesic regression on Riemannian manifolds&lt;/title&gt;&lt;secondary-title&gt;Proceedings of the Third International Workshop on Mathematical Foundations of Computational Anatomy-Geometrical and Statistical Methods for Modelling Biological Shape Variability&lt;/secondary-title&gt;&lt;/titles&gt;&lt;pages&gt;75-86&lt;/pages&gt;&lt;dates&gt;&lt;year&gt;2011&lt;/year&gt;&lt;/dates&gt;&lt;urls&gt;&lt;/urls&gt;&lt;/record&gt;&lt;/Cite&gt;&lt;Cite&gt;&lt;Author&gt;Fishbaugh&lt;/Author&gt;&lt;Year&gt;2014&lt;/Year&gt;&lt;RecNum&gt;355&lt;/RecNum&gt;&lt;record&gt;&lt;rec-number&gt;355&lt;/rec-number&gt;&lt;foreign-keys&gt;&lt;key app="EN" db-id="tasefzw5b2p9euepe2cpwzvqsztr2dd9f5tz" timestamp="1739296296"&gt;355&lt;/key&gt;&lt;/foreign-keys&gt;&lt;ref-type name="Conference Proceedings"&gt;10&lt;/ref-type&gt;&lt;contributors&gt;&lt;authors&gt;&lt;author&gt;Fishbaugh, James&lt;/author&gt;&lt;author&gt;Prastawa, Marcel&lt;/author&gt;&lt;author&gt;Gerig, Guido&lt;/author&gt;&lt;author&gt;Durrleman, Stanley&lt;/author&gt;&lt;/authors&gt;&lt;/contributors&gt;&lt;titles&gt;&lt;title&gt;Geodesic regression of image and shape data for improved modeling of 4D trajectories&lt;/title&gt;&lt;secondary-title&gt;2014 IEEE 11th International Symposium on Biomedical Imaging (ISBI)&lt;/secondary-title&gt;&lt;/titles&gt;&lt;pages&gt;385-388&lt;/pages&gt;&lt;dates&gt;&lt;year&gt;2014&lt;/year&gt;&lt;/dates&gt;&lt;publisher&gt;IEEE&lt;/publisher&gt;&lt;isbn&gt;1467319619&lt;/isbn&gt;&lt;urls&gt;&lt;/urls&gt;&lt;electronic-resource-num&gt;https://doi.org/10.1109/ISBI.2014.6867889&lt;/electronic-resource-num&gt;&lt;/record&gt;&lt;/Cite&gt;&lt;/EndNote&gt;</w:instrText>
      </w:r>
      <w:r w:rsidR="00302ABC">
        <w:rPr>
          <w:iCs/>
        </w:rPr>
        <w:fldChar w:fldCharType="separate"/>
      </w:r>
      <w:r w:rsidR="00302ABC">
        <w:rPr>
          <w:iCs/>
          <w:noProof/>
        </w:rPr>
        <w:t>[36, 37]</w:t>
      </w:r>
      <w:r w:rsidR="00302ABC">
        <w:rPr>
          <w:iCs/>
        </w:rPr>
        <w:fldChar w:fldCharType="end"/>
      </w:r>
      <w:r w:rsidR="00302ABC">
        <w:rPr>
          <w:iCs/>
        </w:rPr>
        <w:t xml:space="preserve">, </w:t>
      </w:r>
      <w:r w:rsidR="0089654B">
        <w:rPr>
          <w:iCs/>
        </w:rPr>
        <w:t>enabling</w:t>
      </w:r>
      <w:r w:rsidR="00805888">
        <w:rPr>
          <w:iCs/>
        </w:rPr>
        <w:t xml:space="preserve"> the generalisation of shape differences across curved surfaces in higher-dimensional space. For the geodesic</w:t>
      </w:r>
      <w:r w:rsidR="0089654B">
        <w:rPr>
          <w:iCs/>
        </w:rPr>
        <w:t xml:space="preserve"> regression model that </w:t>
      </w:r>
      <w:r w:rsidR="00805888">
        <w:rPr>
          <w:iCs/>
        </w:rPr>
        <w:t>best fits the</w:t>
      </w:r>
      <w:r w:rsidR="001D3434">
        <w:rPr>
          <w:iCs/>
        </w:rPr>
        <w:t xml:space="preserve"> collection of</w:t>
      </w:r>
      <w:r w:rsidR="005C41D0">
        <w:rPr>
          <w:iCs/>
        </w:rPr>
        <w:t xml:space="preserve"> </w:t>
      </w:r>
      <w:r w:rsidR="0044216C">
        <w:t xml:space="preserve">meshes </w:t>
      </w:r>
      <m:oMath>
        <m:sSub>
          <m:sSubPr>
            <m:ctrlPr>
              <w:rPr>
                <w:rStyle w:val="mord"/>
                <w:rFonts w:ascii="Cambria Math"/>
                <w:i/>
              </w:rPr>
            </m:ctrlPr>
          </m:sSubPr>
          <m:e>
            <m:sSub>
              <m:sSubPr>
                <m:ctrlPr>
                  <w:rPr>
                    <w:rStyle w:val="mord"/>
                    <w:rFonts w:ascii="Cambria Math"/>
                    <w:i/>
                  </w:rPr>
                </m:ctrlPr>
              </m:sSubPr>
              <m:e>
                <m:r>
                  <w:rPr>
                    <w:rStyle w:val="mord"/>
                    <w:rFonts w:ascii="Cambria Math"/>
                  </w:rPr>
                  <m:t>(C</m:t>
                </m:r>
              </m:e>
              <m:sub>
                <m:r>
                  <w:rPr>
                    <w:rStyle w:val="mord"/>
                    <w:rFonts w:ascii="Cambria Math"/>
                  </w:rPr>
                  <m:t>i</m:t>
                </m:r>
              </m:sub>
            </m:sSub>
            <m:r>
              <w:rPr>
                <w:rStyle w:val="mord"/>
                <w:rFonts w:ascii="Cambria Math"/>
              </w:rPr>
              <m:t>)</m:t>
            </m:r>
          </m:e>
          <m:sub>
            <m:r>
              <w:rPr>
                <w:rStyle w:val="mord"/>
                <w:rFonts w:ascii="Cambria Math"/>
              </w:rPr>
              <m:t>i=1,</m:t>
            </m:r>
            <m:r>
              <w:rPr>
                <w:rStyle w:val="mord"/>
                <w:rFonts w:ascii="Cambria Math"/>
              </w:rPr>
              <m:t>…</m:t>
            </m:r>
            <m:r>
              <w:rPr>
                <w:rStyle w:val="mord"/>
                <w:rFonts w:ascii="Cambria Math"/>
              </w:rPr>
              <m:t>,n</m:t>
            </m:r>
          </m:sub>
        </m:sSub>
      </m:oMath>
      <w:r w:rsidR="0044216C">
        <w:rPr>
          <w:rStyle w:val="mord"/>
          <w:rFonts w:eastAsiaTheme="minorEastAsia"/>
        </w:rPr>
        <w:t xml:space="preserve"> observed at times </w:t>
      </w:r>
      <m:oMath>
        <m:sSub>
          <m:sSubPr>
            <m:ctrlPr>
              <w:rPr>
                <w:rStyle w:val="mord"/>
                <w:rFonts w:ascii="Cambria Math"/>
                <w:i/>
              </w:rPr>
            </m:ctrlPr>
          </m:sSubPr>
          <m:e>
            <m:sSub>
              <m:sSubPr>
                <m:ctrlPr>
                  <w:rPr>
                    <w:rStyle w:val="mord"/>
                    <w:rFonts w:ascii="Cambria Math"/>
                    <w:i/>
                  </w:rPr>
                </m:ctrlPr>
              </m:sSubPr>
              <m:e>
                <m:r>
                  <w:rPr>
                    <w:rStyle w:val="mord"/>
                    <w:rFonts w:ascii="Cambria Math"/>
                  </w:rPr>
                  <m:t>(t</m:t>
                </m:r>
              </m:e>
              <m:sub>
                <m:r>
                  <w:rPr>
                    <w:rStyle w:val="mord"/>
                    <w:rFonts w:ascii="Cambria Math"/>
                  </w:rPr>
                  <m:t>i</m:t>
                </m:r>
              </m:sub>
            </m:sSub>
            <m:r>
              <w:rPr>
                <w:rStyle w:val="mord"/>
                <w:rFonts w:ascii="Cambria Math"/>
              </w:rPr>
              <m:t>)</m:t>
            </m:r>
          </m:e>
          <m:sub>
            <m:r>
              <w:rPr>
                <w:rStyle w:val="mord"/>
                <w:rFonts w:ascii="Cambria Math"/>
              </w:rPr>
              <m:t>i=1,</m:t>
            </m:r>
            <m:r>
              <w:rPr>
                <w:rStyle w:val="mord"/>
                <w:rFonts w:ascii="Cambria Math"/>
              </w:rPr>
              <m:t>…</m:t>
            </m:r>
            <m:r>
              <w:rPr>
                <w:rStyle w:val="mord"/>
                <w:rFonts w:ascii="Cambria Math"/>
              </w:rPr>
              <m:t>,n</m:t>
            </m:r>
          </m:sub>
        </m:sSub>
      </m:oMath>
      <w:r w:rsidR="0044216C">
        <w:rPr>
          <w:rStyle w:val="mord"/>
          <w:rFonts w:eastAsiaTheme="minorEastAsia"/>
        </w:rPr>
        <w:t xml:space="preserve">, </w:t>
      </w:r>
      <w:r w:rsidR="005C41D0">
        <w:rPr>
          <w:rStyle w:val="mord"/>
          <w:rFonts w:eastAsiaTheme="minorEastAsia"/>
        </w:rPr>
        <w:t>the alignment is optimised by minimising a loss function, which is mathematically defined as</w:t>
      </w:r>
      <w:r w:rsidR="00B27937">
        <w:rPr>
          <w:rStyle w:val="mord"/>
          <w:rFonts w:eastAsiaTheme="minorEastAsia"/>
        </w:rPr>
        <w:t xml:space="preserve"> </w:t>
      </w:r>
      <w:r w:rsidR="00B27937">
        <w:rPr>
          <w:rStyle w:val="mord"/>
          <w:rFonts w:eastAsiaTheme="minorEastAsia"/>
        </w:rPr>
        <w:fldChar w:fldCharType="begin"/>
      </w:r>
      <w:r w:rsidR="002F5782">
        <w:rPr>
          <w:rStyle w:val="mord"/>
          <w:rFonts w:eastAsiaTheme="minorEastAsia"/>
        </w:rPr>
        <w:instrText xml:space="preserve"> ADDIN EN.CITE &lt;EndNote&gt;&lt;Cite&gt;&lt;Author&gt;Bône&lt;/Author&gt;&lt;Year&gt;2018&lt;/Year&gt;&lt;RecNum&gt;302&lt;/RecNum&gt;&lt;DisplayText&gt;[34]&lt;/DisplayText&gt;&lt;record&gt;&lt;rec-number&gt;302&lt;/rec-number&gt;&lt;foreign-keys&gt;&lt;key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B27937">
        <w:rPr>
          <w:rStyle w:val="mord"/>
          <w:rFonts w:eastAsiaTheme="minorEastAsia"/>
        </w:rPr>
        <w:fldChar w:fldCharType="separate"/>
      </w:r>
      <w:r w:rsidR="00B27937">
        <w:rPr>
          <w:rStyle w:val="mord"/>
          <w:rFonts w:eastAsiaTheme="minorEastAsia"/>
          <w:noProof/>
        </w:rPr>
        <w:t>[34]</w:t>
      </w:r>
      <w:r w:rsidR="00B27937">
        <w:rPr>
          <w:rStyle w:val="mord"/>
          <w:rFonts w:eastAsiaTheme="minorEastAsia"/>
        </w:rPr>
        <w:fldChar w:fldCharType="end"/>
      </w:r>
      <w:r w:rsidR="005C41D0">
        <w:rPr>
          <w:rStyle w:val="mord"/>
          <w:rFonts w:eastAsiaTheme="minorEastAsia"/>
        </w:rPr>
        <w:t xml:space="preserve">: </w:t>
      </w:r>
    </w:p>
    <w:p w14:paraId="6C436BFC" w14:textId="2BB63BC5" w:rsidR="007D6754" w:rsidRPr="00786886" w:rsidRDefault="00000000" w:rsidP="0016658D">
      <w:pPr>
        <w:spacing w:line="480" w:lineRule="auto"/>
        <w:rPr>
          <w:rStyle w:val="mord"/>
          <w:rFonts w:eastAsiaTheme="minorEastAsia"/>
        </w:rPr>
      </w:pPr>
      <m:oMathPara>
        <m:oMath>
          <m:sSub>
            <m:sSubPr>
              <m:ctrlPr>
                <w:rPr>
                  <w:rStyle w:val="mord"/>
                  <w:rFonts w:ascii="Cambria Math" w:hAnsi="Cambria Math"/>
                </w:rPr>
              </m:ctrlPr>
            </m:sSubPr>
            <m:e>
              <m:r>
                <m:rPr>
                  <m:sty m:val="p"/>
                </m:rPr>
                <w:rPr>
                  <w:rStyle w:val="mord"/>
                  <w:rFonts w:ascii="Cambria Math" w:hAnsi="Cambria Math"/>
                </w:rPr>
                <m:t>f</m:t>
              </m:r>
              <m:d>
                <m:dPr>
                  <m:ctrlPr>
                    <w:rPr>
                      <w:rStyle w:val="mopen"/>
                      <w:rFonts w:ascii="Cambria Math" w:hAnsi="Cambria Math"/>
                    </w:rPr>
                  </m:ctrlPr>
                </m:dPr>
                <m:e>
                  <m:r>
                    <w:rPr>
                      <w:rStyle w:val="mord"/>
                      <w:rFonts w:ascii="Cambria Math" w:hAnsi="Cambria Math"/>
                    </w:rPr>
                    <m:t>T</m:t>
                  </m:r>
                  <m:r>
                    <w:rPr>
                      <w:rStyle w:val="mpunct"/>
                      <w:rFonts w:ascii="Cambria Math" w:hAnsi="Cambria Math"/>
                    </w:rPr>
                    <m:t>,</m:t>
                  </m:r>
                  <m:r>
                    <w:rPr>
                      <w:rStyle w:val="mord"/>
                      <w:rFonts w:ascii="Cambria Math" w:hAnsi="Cambria Math"/>
                    </w:rPr>
                    <m:t>q</m:t>
                  </m:r>
                  <m:r>
                    <w:rPr>
                      <w:rStyle w:val="mpunct"/>
                      <w:rFonts w:ascii="Cambria Math" w:hAnsi="Cambria Math"/>
                    </w:rPr>
                    <m:t>,(</m:t>
                  </m:r>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ctrlPr>
                    <w:rPr>
                      <w:rStyle w:val="mord"/>
                      <w:rFonts w:ascii="Cambria Math"/>
                    </w:rPr>
                  </m:ctrlPr>
                </m:e>
              </m:d>
            </m:e>
            <m:sub>
              <m:r>
                <w:rPr>
                  <w:rStyle w:val="mord"/>
                  <w:rFonts w:ascii="Cambria Math" w:hAnsi="Cambria Math"/>
                </w:rPr>
                <m:t>i=1,…,n</m:t>
              </m:r>
            </m:sub>
          </m:sSub>
          <m:r>
            <w:rPr>
              <w:rStyle w:val="mord"/>
              <w:rFonts w:ascii="Cambria Math"/>
            </w:rPr>
            <m:t xml:space="preserve">)= </m:t>
          </m:r>
          <m:nary>
            <m:naryPr>
              <m:chr m:val="∑"/>
              <m:limLoc m:val="undOvr"/>
              <m:ctrlPr>
                <w:rPr>
                  <w:rStyle w:val="mord"/>
                  <w:rFonts w:ascii="Cambria Math"/>
                  <w:i/>
                </w:rPr>
              </m:ctrlPr>
            </m:naryPr>
            <m:sub>
              <m:r>
                <w:rPr>
                  <w:rStyle w:val="mord"/>
                  <w:rFonts w:ascii="Cambria Math"/>
                </w:rPr>
                <m:t>i=1</m:t>
              </m:r>
            </m:sub>
            <m:sup>
              <m:r>
                <w:rPr>
                  <w:rStyle w:val="mord"/>
                  <w:rFonts w:ascii="Cambria Math"/>
                </w:rPr>
                <m:t>n</m:t>
              </m:r>
            </m:sup>
            <m:e>
              <m:d>
                <m:dPr>
                  <m:ctrlPr>
                    <w:rPr>
                      <w:rStyle w:val="mord"/>
                      <w:rFonts w:ascii="Cambria Math"/>
                      <w:i/>
                    </w:rPr>
                  </m:ctrlPr>
                </m:dPr>
                <m:e>
                  <m:r>
                    <w:rPr>
                      <w:rStyle w:val="mord"/>
                      <w:rFonts w:ascii="Cambria Math"/>
                    </w:rPr>
                    <m:t>d</m:t>
                  </m:r>
                  <m:d>
                    <m:dPr>
                      <m:ctrlPr>
                        <w:rPr>
                          <w:rStyle w:val="mord"/>
                          <w:rFonts w:ascii="Cambria Math"/>
                          <w:i/>
                        </w:rPr>
                      </m:ctrlPr>
                    </m:dPr>
                    <m:e>
                      <m:sSub>
                        <m:sSubPr>
                          <m:ctrlPr>
                            <w:rPr>
                              <w:rStyle w:val="mord"/>
                              <w:rFonts w:ascii="Cambria Math"/>
                              <w:i/>
                            </w:rPr>
                          </m:ctrlPr>
                        </m:sSubPr>
                        <m:e>
                          <m:r>
                            <m:rPr>
                              <m:sty m:val="p"/>
                            </m:rPr>
                            <w:rPr>
                              <w:rFonts w:ascii="Cambria Math" w:hAnsi="Cambria Math"/>
                            </w:rPr>
                            <m:t>Φ</m:t>
                          </m:r>
                        </m:e>
                        <m:sub>
                          <m:r>
                            <w:rPr>
                              <w:rStyle w:val="mord"/>
                              <w:rFonts w:ascii="Cambria Math" w:hAnsi="Cambria Math"/>
                            </w:rPr>
                            <m:t>q,</m:t>
                          </m:r>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r>
                            <w:rPr>
                              <w:rStyle w:val="mord"/>
                              <w:rFonts w:ascii="Cambria Math" w:hAnsi="Cambria Math"/>
                            </w:rPr>
                            <m:t xml:space="preserve"> </m:t>
                          </m:r>
                        </m:sub>
                      </m:sSub>
                      <m:d>
                        <m:dPr>
                          <m:ctrlPr>
                            <w:rPr>
                              <w:rStyle w:val="mord"/>
                              <w:rFonts w:ascii="Cambria Math"/>
                              <w:i/>
                            </w:rPr>
                          </m:ctrlPr>
                        </m:dPr>
                        <m:e>
                          <m:r>
                            <w:rPr>
                              <w:rStyle w:val="mord"/>
                              <w:rFonts w:ascii="Cambria Math"/>
                            </w:rPr>
                            <m:t>T</m:t>
                          </m:r>
                        </m:e>
                      </m:d>
                      <m:r>
                        <w:rPr>
                          <w:rStyle w:val="mord"/>
                          <w:rFonts w:ascii="Cambria Math"/>
                        </w:rPr>
                        <m:t xml:space="preserve">, </m:t>
                      </m:r>
                      <m:sSub>
                        <m:sSubPr>
                          <m:ctrlPr>
                            <w:rPr>
                              <w:rStyle w:val="mord"/>
                              <w:rFonts w:ascii="Cambria Math"/>
                              <w:i/>
                            </w:rPr>
                          </m:ctrlPr>
                        </m:sSubPr>
                        <m:e>
                          <m:r>
                            <w:rPr>
                              <w:rStyle w:val="mord"/>
                              <w:rFonts w:ascii="Cambria Math"/>
                            </w:rPr>
                            <m:t>C</m:t>
                          </m:r>
                        </m:e>
                        <m:sub>
                          <m:r>
                            <w:rPr>
                              <w:rStyle w:val="mord"/>
                              <w:rFonts w:ascii="Cambria Math"/>
                            </w:rPr>
                            <m:t>i</m:t>
                          </m:r>
                        </m:sub>
                      </m:sSub>
                    </m:e>
                  </m:d>
                </m:e>
              </m:d>
              <m:r>
                <w:rPr>
                  <w:rStyle w:val="mord"/>
                  <w:rFonts w:ascii="Cambria Math"/>
                </w:rPr>
                <m:t xml:space="preserve">+R(q, </m:t>
              </m:r>
            </m:e>
          </m:nary>
          <m:sSub>
            <m:sSubPr>
              <m:ctrlPr>
                <w:rPr>
                  <w:rStyle w:val="mord"/>
                  <w:rFonts w:ascii="Cambria Math"/>
                  <w:i/>
                </w:rPr>
              </m:ctrlPr>
            </m:sSubPr>
            <m:e>
              <m:r>
                <w:rPr>
                  <w:rStyle w:val="mord"/>
                  <w:rFonts w:ascii="Cambria Math" w:hAnsi="Cambria Math"/>
                </w:rPr>
                <m:t>μ</m:t>
              </m:r>
            </m:e>
            <m:sub>
              <m:r>
                <w:rPr>
                  <w:rStyle w:val="mord"/>
                  <w:rFonts w:ascii="Cambria Math"/>
                </w:rPr>
                <m:t>i</m:t>
              </m:r>
            </m:sub>
          </m:sSub>
          <m:r>
            <w:rPr>
              <w:rStyle w:val="mord"/>
              <w:rFonts w:ascii="Cambria Math"/>
            </w:rPr>
            <m:t>))</m:t>
          </m:r>
        </m:oMath>
      </m:oMathPara>
    </w:p>
    <w:p w14:paraId="641F8972" w14:textId="0EFDE16F" w:rsidR="00773217" w:rsidRDefault="008D7B2E" w:rsidP="00773217">
      <w:pPr>
        <w:spacing w:line="480" w:lineRule="auto"/>
      </w:pPr>
      <w:r>
        <w:rPr>
          <w:rStyle w:val="mord"/>
          <w:rFonts w:eastAsia="Arial"/>
          <w:noProof/>
        </w:rPr>
        <w:t xml:space="preserve">Where </w:t>
      </w:r>
      <m:oMath>
        <m:sSub>
          <m:sSubPr>
            <m:ctrlPr>
              <w:rPr>
                <w:rStyle w:val="mord"/>
                <w:rFonts w:ascii="Cambria Math" w:hAnsi="Cambria Math"/>
              </w:rPr>
            </m:ctrlPr>
          </m:sSubPr>
          <m:e>
            <m:r>
              <m:rPr>
                <m:sty m:val="p"/>
              </m:rPr>
              <w:rPr>
                <w:rStyle w:val="mord"/>
                <w:rFonts w:ascii="Cambria Math" w:hAnsi="Cambria Math"/>
              </w:rPr>
              <m:t>f</m:t>
            </m:r>
            <m:d>
              <m:dPr>
                <m:ctrlPr>
                  <w:rPr>
                    <w:rStyle w:val="mopen"/>
                    <w:rFonts w:ascii="Cambria Math" w:hAnsi="Cambria Math"/>
                  </w:rPr>
                </m:ctrlPr>
              </m:dPr>
              <m:e>
                <m:r>
                  <w:rPr>
                    <w:rStyle w:val="mord"/>
                    <w:rFonts w:ascii="Cambria Math" w:hAnsi="Cambria Math"/>
                  </w:rPr>
                  <m:t>T</m:t>
                </m:r>
                <m:r>
                  <w:rPr>
                    <w:rStyle w:val="mpunct"/>
                    <w:rFonts w:ascii="Cambria Math" w:hAnsi="Cambria Math"/>
                  </w:rPr>
                  <m:t>,</m:t>
                </m:r>
                <m:r>
                  <w:rPr>
                    <w:rStyle w:val="mord"/>
                    <w:rFonts w:ascii="Cambria Math" w:hAnsi="Cambria Math"/>
                  </w:rPr>
                  <m:t>q</m:t>
                </m:r>
                <m:r>
                  <w:rPr>
                    <w:rStyle w:val="mpunct"/>
                    <w:rFonts w:ascii="Cambria Math" w:hAnsi="Cambria Math"/>
                  </w:rPr>
                  <m:t>,(</m:t>
                </m:r>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ctrlPr>
                  <w:rPr>
                    <w:rStyle w:val="mord"/>
                    <w:rFonts w:ascii="Cambria Math"/>
                  </w:rPr>
                </m:ctrlPr>
              </m:e>
            </m:d>
          </m:e>
          <m:sub>
            <m:r>
              <w:rPr>
                <w:rStyle w:val="mord"/>
                <w:rFonts w:ascii="Cambria Math" w:hAnsi="Cambria Math"/>
              </w:rPr>
              <m:t>i=1,…,n</m:t>
            </m:r>
          </m:sub>
        </m:sSub>
        <m:r>
          <w:rPr>
            <w:rStyle w:val="mord"/>
            <w:rFonts w:ascii="Cambria Math"/>
          </w:rPr>
          <m:t>)</m:t>
        </m:r>
      </m:oMath>
      <w:r>
        <w:rPr>
          <w:rStyle w:val="mord"/>
          <w:rFonts w:eastAsia="Arial"/>
          <w:noProof/>
        </w:rPr>
        <w:t xml:space="preserve"> represents the total cost of aligning template </w:t>
      </w:r>
      <m:oMath>
        <m:r>
          <w:rPr>
            <w:rStyle w:val="mord"/>
            <w:rFonts w:ascii="Cambria Math" w:hAnsi="Cambria Math"/>
          </w:rPr>
          <m:t>T</m:t>
        </m:r>
      </m:oMath>
      <w:r>
        <w:rPr>
          <w:rStyle w:val="mpunct"/>
          <w:rFonts w:eastAsia="Arial"/>
          <w:noProof/>
        </w:rPr>
        <w:t xml:space="preserve"> to all obseved specimen shapes </w:t>
      </w:r>
      <m:oMath>
        <m:sSub>
          <m:sSubPr>
            <m:ctrlPr>
              <w:rPr>
                <w:rStyle w:val="mord"/>
                <w:rFonts w:ascii="Cambria Math"/>
                <w:i/>
              </w:rPr>
            </m:ctrlPr>
          </m:sSubPr>
          <m:e>
            <m:r>
              <w:rPr>
                <w:rStyle w:val="mord"/>
                <w:rFonts w:ascii="Cambria Math"/>
              </w:rPr>
              <m:t>C</m:t>
            </m:r>
          </m:e>
          <m:sub>
            <m:r>
              <w:rPr>
                <w:rStyle w:val="mord"/>
                <w:rFonts w:ascii="Cambria Math"/>
              </w:rPr>
              <m:t>i</m:t>
            </m:r>
          </m:sub>
        </m:sSub>
      </m:oMath>
      <w:r>
        <w:rPr>
          <w:rStyle w:val="mord"/>
          <w:rFonts w:eastAsia="Arial"/>
          <w:noProof/>
        </w:rPr>
        <w:t xml:space="preserve"> </w:t>
      </w:r>
      <w:r w:rsidR="00E11F95">
        <w:rPr>
          <w:rStyle w:val="mord"/>
          <w:rFonts w:eastAsia="Arial"/>
          <w:noProof/>
        </w:rPr>
        <w:t>across</w:t>
      </w:r>
      <w:r>
        <w:rPr>
          <w:rStyle w:val="mord"/>
          <w:rFonts w:eastAsia="Arial"/>
          <w:noProof/>
        </w:rPr>
        <w:t xml:space="preserve"> the dataset</w:t>
      </w:r>
      <w:r w:rsidR="000B1FC0">
        <w:rPr>
          <w:rStyle w:val="mord"/>
          <w:rFonts w:eastAsia="Arial"/>
          <w:noProof/>
        </w:rPr>
        <w:t>, with the summation performed over all</w:t>
      </w:r>
      <w:r w:rsidR="006113AF">
        <w:rPr>
          <w:rStyle w:val="mord"/>
          <w:rFonts w:eastAsia="Arial"/>
          <w:noProof/>
        </w:rPr>
        <w:t xml:space="preserve"> </w:t>
      </w:r>
      <w:r w:rsidR="00E11F95">
        <w:rPr>
          <w:rStyle w:val="mord"/>
          <w:rFonts w:eastAsia="Arial"/>
          <w:noProof/>
        </w:rPr>
        <w:t>specimens</w:t>
      </w:r>
      <w:r w:rsidR="00BD2F8A">
        <w:rPr>
          <w:rStyle w:val="mord"/>
          <w:rFonts w:eastAsia="Arial"/>
          <w:noProof/>
        </w:rPr>
        <w:t xml:space="preserve"> </w:t>
      </w:r>
      <m:oMath>
        <m:r>
          <w:rPr>
            <w:rStyle w:val="mord"/>
            <w:rFonts w:ascii="Cambria Math"/>
          </w:rPr>
          <m:t>n</m:t>
        </m:r>
      </m:oMath>
      <w:r w:rsidR="00BD2F8A">
        <w:rPr>
          <w:rStyle w:val="mord"/>
          <w:rFonts w:eastAsia="Arial"/>
          <w:noProof/>
        </w:rPr>
        <w:t>.</w:t>
      </w:r>
      <w:r w:rsidR="006113AF">
        <w:rPr>
          <w:rStyle w:val="mord"/>
          <w:rFonts w:eastAsia="Arial"/>
          <w:noProof/>
        </w:rPr>
        <w:t xml:space="preserve"> </w:t>
      </w:r>
      <w:r w:rsidR="00B52279">
        <w:rPr>
          <w:rStyle w:val="mord"/>
          <w:rFonts w:eastAsia="Arial"/>
          <w:noProof/>
        </w:rPr>
        <w:t xml:space="preserve">The term </w:t>
      </w:r>
      <m:oMath>
        <m:d>
          <m:dPr>
            <m:ctrlPr>
              <w:rPr>
                <w:rStyle w:val="mord"/>
                <w:rFonts w:ascii="Cambria Math"/>
                <w:i/>
              </w:rPr>
            </m:ctrlPr>
          </m:dPr>
          <m:e>
            <m:r>
              <w:rPr>
                <w:rStyle w:val="mord"/>
                <w:rFonts w:ascii="Cambria Math"/>
              </w:rPr>
              <m:t>d</m:t>
            </m:r>
            <m:d>
              <m:dPr>
                <m:ctrlPr>
                  <w:rPr>
                    <w:rStyle w:val="mord"/>
                    <w:rFonts w:ascii="Cambria Math"/>
                    <w:i/>
                  </w:rPr>
                </m:ctrlPr>
              </m:dPr>
              <m:e>
                <m:sSub>
                  <m:sSubPr>
                    <m:ctrlPr>
                      <w:rPr>
                        <w:rStyle w:val="mord"/>
                        <w:rFonts w:ascii="Cambria Math"/>
                        <w:i/>
                      </w:rPr>
                    </m:ctrlPr>
                  </m:sSubPr>
                  <m:e>
                    <m:r>
                      <m:rPr>
                        <m:sty m:val="p"/>
                      </m:rPr>
                      <w:rPr>
                        <w:rFonts w:ascii="Cambria Math" w:hAnsi="Cambria Math"/>
                      </w:rPr>
                      <m:t>Φ</m:t>
                    </m:r>
                  </m:e>
                  <m:sub>
                    <m:r>
                      <w:rPr>
                        <w:rStyle w:val="mord"/>
                        <w:rFonts w:ascii="Cambria Math" w:hAnsi="Cambria Math"/>
                      </w:rPr>
                      <m:t>q,</m:t>
                    </m:r>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r>
                      <w:rPr>
                        <w:rStyle w:val="mord"/>
                        <w:rFonts w:ascii="Cambria Math" w:hAnsi="Cambria Math"/>
                      </w:rPr>
                      <m:t xml:space="preserve"> </m:t>
                    </m:r>
                  </m:sub>
                </m:sSub>
                <m:d>
                  <m:dPr>
                    <m:ctrlPr>
                      <w:rPr>
                        <w:rStyle w:val="mord"/>
                        <w:rFonts w:ascii="Cambria Math"/>
                        <w:i/>
                      </w:rPr>
                    </m:ctrlPr>
                  </m:dPr>
                  <m:e>
                    <m:r>
                      <w:rPr>
                        <w:rStyle w:val="mord"/>
                        <w:rFonts w:ascii="Cambria Math"/>
                      </w:rPr>
                      <m:t>T</m:t>
                    </m:r>
                  </m:e>
                </m:d>
                <m:r>
                  <w:rPr>
                    <w:rStyle w:val="mord"/>
                    <w:rFonts w:ascii="Cambria Math"/>
                  </w:rPr>
                  <m:t xml:space="preserve">, </m:t>
                </m:r>
                <m:sSub>
                  <m:sSubPr>
                    <m:ctrlPr>
                      <w:rPr>
                        <w:rStyle w:val="mord"/>
                        <w:rFonts w:ascii="Cambria Math"/>
                        <w:i/>
                      </w:rPr>
                    </m:ctrlPr>
                  </m:sSubPr>
                  <m:e>
                    <m:r>
                      <w:rPr>
                        <w:rStyle w:val="mord"/>
                        <w:rFonts w:ascii="Cambria Math"/>
                      </w:rPr>
                      <m:t>C</m:t>
                    </m:r>
                  </m:e>
                  <m:sub>
                    <m:r>
                      <w:rPr>
                        <w:rStyle w:val="mord"/>
                        <w:rFonts w:ascii="Cambria Math"/>
                      </w:rPr>
                      <m:t>i</m:t>
                    </m:r>
                  </m:sub>
                </m:sSub>
              </m:e>
            </m:d>
          </m:e>
        </m:d>
      </m:oMath>
      <w:r w:rsidR="005C66BF">
        <w:rPr>
          <w:rStyle w:val="mord"/>
          <w:rFonts w:eastAsia="Arial"/>
          <w:noProof/>
        </w:rPr>
        <w:t xml:space="preserve"> quantifies </w:t>
      </w:r>
      <w:r w:rsidR="00B316CD">
        <w:rPr>
          <w:rStyle w:val="mord"/>
          <w:rFonts w:eastAsia="Arial"/>
          <w:noProof/>
        </w:rPr>
        <w:t>the deformation distance between the transformed template</w:t>
      </w:r>
      <w:r w:rsidR="00810F07">
        <w:rPr>
          <w:rStyle w:val="mord"/>
          <w:rFonts w:eastAsia="Arial"/>
          <w:noProof/>
        </w:rPr>
        <w:t xml:space="preserve"> </w:t>
      </w:r>
      <m:oMath>
        <m:sSub>
          <m:sSubPr>
            <m:ctrlPr>
              <w:rPr>
                <w:rStyle w:val="mord"/>
                <w:rFonts w:ascii="Cambria Math"/>
                <w:i/>
              </w:rPr>
            </m:ctrlPr>
          </m:sSubPr>
          <m:e>
            <m:r>
              <m:rPr>
                <m:sty m:val="p"/>
              </m:rPr>
              <w:rPr>
                <w:rFonts w:ascii="Cambria Math" w:hAnsi="Cambria Math"/>
              </w:rPr>
              <m:t>Φ</m:t>
            </m:r>
          </m:e>
          <m:sub>
            <m:r>
              <w:rPr>
                <w:rStyle w:val="mord"/>
                <w:rFonts w:ascii="Cambria Math" w:hAnsi="Cambria Math"/>
              </w:rPr>
              <m:t>q,</m:t>
            </m:r>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r>
              <w:rPr>
                <w:rStyle w:val="mord"/>
                <w:rFonts w:ascii="Cambria Math" w:hAnsi="Cambria Math"/>
              </w:rPr>
              <m:t xml:space="preserve"> </m:t>
            </m:r>
          </m:sub>
        </m:sSub>
      </m:oMath>
      <w:r w:rsidR="00810F07">
        <w:rPr>
          <w:rStyle w:val="mord"/>
          <w:rFonts w:eastAsia="Arial"/>
          <w:noProof/>
        </w:rPr>
        <w:t xml:space="preserve">and the observes shape </w:t>
      </w:r>
      <m:oMath>
        <m:sSub>
          <m:sSubPr>
            <m:ctrlPr>
              <w:rPr>
                <w:rStyle w:val="mord"/>
                <w:rFonts w:ascii="Cambria Math"/>
                <w:i/>
              </w:rPr>
            </m:ctrlPr>
          </m:sSubPr>
          <m:e>
            <m:r>
              <w:rPr>
                <w:rStyle w:val="mord"/>
                <w:rFonts w:ascii="Cambria Math"/>
              </w:rPr>
              <m:t>C</m:t>
            </m:r>
          </m:e>
          <m:sub>
            <m:r>
              <w:rPr>
                <w:rStyle w:val="mord"/>
                <w:rFonts w:ascii="Cambria Math"/>
              </w:rPr>
              <m:t>i</m:t>
            </m:r>
          </m:sub>
        </m:sSub>
      </m:oMath>
      <w:r w:rsidR="00935994">
        <w:rPr>
          <w:rStyle w:val="mord"/>
          <w:rFonts w:eastAsia="Arial"/>
          <w:noProof/>
        </w:rPr>
        <w:t xml:space="preserve">. This transformation is parameterised by the momenta </w:t>
      </w:r>
      <m:oMath>
        <m:r>
          <w:rPr>
            <w:rStyle w:val="mord"/>
            <w:rFonts w:ascii="Cambria Math" w:hAnsi="Cambria Math"/>
          </w:rPr>
          <m:t>q</m:t>
        </m:r>
      </m:oMath>
      <w:r w:rsidR="007A6C6B">
        <w:rPr>
          <w:rStyle w:val="mord"/>
          <w:rFonts w:eastAsia="Arial"/>
          <w:noProof/>
        </w:rPr>
        <w:t xml:space="preserve"> and the mean shape estimate </w:t>
      </w:r>
      <m:oMath>
        <m:sSub>
          <m:sSubPr>
            <m:ctrlPr>
              <w:rPr>
                <w:rStyle w:val="mord"/>
                <w:rFonts w:ascii="Cambria Math" w:hAnsi="Cambria Math"/>
                <w:i/>
              </w:rPr>
            </m:ctrlPr>
          </m:sSubPr>
          <m:e>
            <m:r>
              <w:rPr>
                <w:rStyle w:val="mord"/>
                <w:rFonts w:ascii="Cambria Math" w:hAnsi="Cambria Math"/>
              </w:rPr>
              <m:t>μ</m:t>
            </m:r>
          </m:e>
          <m:sub>
            <m:r>
              <w:rPr>
                <w:rStyle w:val="mord"/>
                <w:rFonts w:ascii="Cambria Math" w:hAnsi="Cambria Math"/>
              </w:rPr>
              <m:t>i</m:t>
            </m:r>
          </m:sub>
        </m:sSub>
      </m:oMath>
      <w:r w:rsidR="00FA375A">
        <w:rPr>
          <w:rStyle w:val="mord"/>
          <w:rFonts w:eastAsia="Arial"/>
          <w:noProof/>
        </w:rPr>
        <w:t>, which collectively describe the optimal deformation trajectory. The term</w:t>
      </w:r>
      <w:r w:rsidR="00F70F0F" w:rsidRPr="00BB24AD">
        <w:rPr>
          <w:rStyle w:val="mord"/>
          <w:rFonts w:ascii="Cambria Math"/>
          <w:i/>
        </w:rPr>
        <w:t xml:space="preserve"> </w:t>
      </w:r>
      <m:oMath>
        <m:r>
          <w:rPr>
            <w:rStyle w:val="mord"/>
            <w:rFonts w:ascii="Cambria Math"/>
          </w:rPr>
          <m:t>R(q,</m:t>
        </m:r>
        <m:sSub>
          <m:sSubPr>
            <m:ctrlPr>
              <w:rPr>
                <w:rStyle w:val="mord"/>
                <w:rFonts w:ascii="Cambria Math"/>
                <w:i/>
              </w:rPr>
            </m:ctrlPr>
          </m:sSubPr>
          <m:e>
            <m:r>
              <w:rPr>
                <w:rStyle w:val="mord"/>
                <w:rFonts w:ascii="Cambria Math" w:hAnsi="Cambria Math"/>
              </w:rPr>
              <m:t>μ</m:t>
            </m:r>
          </m:e>
          <m:sub>
            <m:r>
              <w:rPr>
                <w:rStyle w:val="mord"/>
                <w:rFonts w:ascii="Cambria Math"/>
              </w:rPr>
              <m:t>i</m:t>
            </m:r>
          </m:sub>
        </m:sSub>
        <m:r>
          <w:rPr>
            <w:rStyle w:val="mord"/>
            <w:rFonts w:ascii="Cambria Math"/>
          </w:rPr>
          <m:t>))</m:t>
        </m:r>
      </m:oMath>
      <w:r w:rsidR="00F70F0F">
        <w:rPr>
          <w:rStyle w:val="mord"/>
          <w:rFonts w:ascii="Cambria Math" w:eastAsiaTheme="minorEastAsia"/>
          <w:i/>
        </w:rPr>
        <w:t xml:space="preserve"> </w:t>
      </w:r>
      <w:r w:rsidR="00053873">
        <w:rPr>
          <w:rStyle w:val="mord"/>
          <w:rFonts w:eastAsiaTheme="minorEastAsia"/>
          <w:iCs/>
        </w:rPr>
        <w:t xml:space="preserve">serves as the regularisation function, allowing smoothness in the deformations and preventing overfitting to local variations. </w:t>
      </w:r>
      <w:r w:rsidR="0029294C">
        <w:rPr>
          <w:rStyle w:val="mord"/>
          <w:rFonts w:eastAsiaTheme="minorEastAsia"/>
          <w:iCs/>
        </w:rPr>
        <w:t xml:space="preserve">Through this testing, we found that </w:t>
      </w:r>
      <w:r w:rsidR="00107893">
        <w:rPr>
          <w:rStyle w:val="mord"/>
          <w:rFonts w:eastAsiaTheme="minorEastAsia"/>
          <w:i/>
        </w:rPr>
        <w:t>A. binturong</w:t>
      </w:r>
      <w:r w:rsidR="00107893">
        <w:rPr>
          <w:rStyle w:val="mord"/>
          <w:rFonts w:eastAsiaTheme="minorEastAsia"/>
          <w:iCs/>
        </w:rPr>
        <w:t>, the shape closest to the mean in the manual landmarking analysis was the best performing initial template (</w:t>
      </w:r>
      <w:r w:rsidR="00813807">
        <w:rPr>
          <w:rStyle w:val="mord"/>
          <w:rFonts w:eastAsiaTheme="minorEastAsia"/>
          <w:iCs/>
        </w:rPr>
        <w:t>additional material)</w:t>
      </w:r>
      <w:r w:rsidR="0049745B">
        <w:rPr>
          <w:rStyle w:val="mord"/>
          <w:rFonts w:eastAsiaTheme="minorEastAsia"/>
          <w:iCs/>
        </w:rPr>
        <w:t xml:space="preserve">. </w:t>
      </w:r>
      <w:r w:rsidR="006A60A8" w:rsidRPr="0073290E">
        <w:t>Subsequently, we tested a range of Gaussian kernel widths: 40.0mm, 20.0mm, and 10.0mm, to assess the influence of this parameter on</w:t>
      </w:r>
      <w:r w:rsidR="004B4EED">
        <w:t xml:space="preserve"> capturing shape variation. </w:t>
      </w:r>
      <w:r w:rsidR="004B4EED" w:rsidRPr="0073290E">
        <w:t>The Gaussian kernel width determines the spatial extent of</w:t>
      </w:r>
      <w:r w:rsidR="00CF6513">
        <w:t xml:space="preserve"> the </w:t>
      </w:r>
      <w:r w:rsidR="004265EA">
        <w:t xml:space="preserve">diffeomorphic comparisons </w:t>
      </w:r>
      <w:r w:rsidR="00B27937">
        <w:t xml:space="preserve">through a smoothness constraint. </w:t>
      </w:r>
      <w:r w:rsidR="00942C3D">
        <w:t xml:space="preserve">This spatial extent is controlled by </w:t>
      </w:r>
      <w:r w:rsidR="003B631A">
        <w:t>generating control points</w:t>
      </w:r>
      <w:r w:rsidR="00C03026">
        <w:t xml:space="preserve"> </w:t>
      </w:r>
      <w:r w:rsidR="00C03026" w:rsidRPr="0073290E">
        <w:rPr>
          <w:i/>
        </w:rPr>
        <w:t>p</w:t>
      </w:r>
      <w:r w:rsidR="00C03026">
        <w:t xml:space="preserve">, </w:t>
      </w:r>
      <w:r w:rsidR="00C03026" w:rsidRPr="0073290E">
        <w:t>which serve as references for shape comparisons, effectively replacing traditional landmarks</w:t>
      </w:r>
      <w:r w:rsidR="00D73E1C">
        <w:t xml:space="preserve">. </w:t>
      </w:r>
      <w:r w:rsidR="00773217">
        <w:t xml:space="preserve">Within this framework, the deformations for a set of </w:t>
      </w:r>
      <w:r w:rsidR="00773217">
        <w:rPr>
          <w:i/>
          <w:iCs/>
        </w:rPr>
        <w:t xml:space="preserve">n </w:t>
      </w:r>
      <w:r w:rsidR="00773217">
        <w:t>control points can be defined as follows</w:t>
      </w:r>
      <w:r w:rsidR="004F3E20">
        <w:t xml:space="preserve"> </w:t>
      </w:r>
      <w:r w:rsidR="004F3E20">
        <w:fldChar w:fldCharType="begin"/>
      </w:r>
      <w:r w:rsidR="002F5782">
        <w:instrText xml:space="preserve"> ADDIN EN.CITE &lt;EndNote&gt;&lt;Cite&gt;&lt;Author&gt;Bône&lt;/Author&gt;&lt;Year&gt;2018&lt;/Year&gt;&lt;RecNum&gt;302&lt;/RecNum&gt;&lt;DisplayText&gt;[34]&lt;/DisplayText&gt;&lt;record&gt;&lt;rec-number&gt;302&lt;/rec-number&gt;&lt;foreign-keys&gt;&lt;key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4F3E20">
        <w:fldChar w:fldCharType="separate"/>
      </w:r>
      <w:r w:rsidR="004F3E20">
        <w:rPr>
          <w:noProof/>
        </w:rPr>
        <w:t>[34]</w:t>
      </w:r>
      <w:r w:rsidR="004F3E20">
        <w:fldChar w:fldCharType="end"/>
      </w:r>
      <w:r w:rsidR="00773217">
        <w:t xml:space="preserve">: </w:t>
      </w:r>
    </w:p>
    <w:p w14:paraId="28E8C710" w14:textId="77777777" w:rsidR="00773217" w:rsidRPr="007E626D" w:rsidRDefault="00773217" w:rsidP="00773217">
      <w:pPr>
        <w:spacing w:line="480" w:lineRule="auto"/>
        <w:jc w:val="center"/>
      </w:pPr>
      <m:oMathPara>
        <m:oMath>
          <m:r>
            <w:rPr>
              <w:rFonts w:ascii="Cambria Math" w:hAnsi="Cambria Math"/>
            </w:rPr>
            <w:lastRenderedPageBreak/>
            <m:t>X</m:t>
          </m:r>
          <m:d>
            <m:dPr>
              <m:ctrlPr>
                <w:rPr>
                  <w:rFonts w:ascii="Cambria Math" w:hAnsi="Cambria Math"/>
                  <w:i/>
                </w:rPr>
              </m:ctrlPr>
            </m:dPr>
            <m:e>
              <m:r>
                <w:rPr>
                  <w:rFonts w:ascii="Cambria Math" w:hAnsi="Cambria Math"/>
                </w:rPr>
                <m:t>x</m:t>
              </m:r>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p</m:t>
              </m:r>
            </m:sup>
            <m:e>
              <m:r>
                <w:rPr>
                  <w:rFonts w:ascii="Cambria Math" w:hAnsi="Cambria Math"/>
                </w:rPr>
                <m:t xml:space="preserve">K </m:t>
              </m:r>
              <m:d>
                <m:dPr>
                  <m:ctrlPr>
                    <w:rPr>
                      <w:rFonts w:ascii="Cambria Math" w:hAnsi="Cambria Math"/>
                      <w:i/>
                    </w:rPr>
                  </m:ctrlPr>
                </m:dPr>
                <m:e>
                  <m:r>
                    <w:rPr>
                      <w:rFonts w:ascii="Cambria Math" w:hAnsi="Cambria Math"/>
                    </w:rPr>
                    <m:t xml:space="preserve">x, </m:t>
                  </m:r>
                  <m:sSub>
                    <m:sSubPr>
                      <m:ctrlPr>
                        <w:rPr>
                          <w:rFonts w:ascii="Cambria Math" w:hAnsi="Cambria Math"/>
                          <w:i/>
                        </w:rPr>
                      </m:ctrlPr>
                    </m:sSubPr>
                    <m:e>
                      <m:r>
                        <w:rPr>
                          <w:rFonts w:ascii="Cambria Math" w:hAnsi="Cambria Math"/>
                        </w:rPr>
                        <m:t>q</m:t>
                      </m:r>
                    </m:e>
                    <m:sub>
                      <m:r>
                        <w:rPr>
                          <w:rFonts w:ascii="Cambria Math" w:hAnsi="Cambria Math"/>
                        </w:rPr>
                        <m:t>i</m:t>
                      </m:r>
                    </m:sub>
                  </m:sSub>
                </m:e>
              </m:d>
              <m:r>
                <m:rPr>
                  <m:sty m:val="p"/>
                </m:rPr>
                <w:rPr>
                  <w:rFonts w:ascii="Cambria Math" w:hAnsi="Cambria Math" w:cs="Cambria Math"/>
                </w:rPr>
                <m:t xml:space="preserve">⋅ </m:t>
              </m:r>
              <m:sSub>
                <m:sSubPr>
                  <m:ctrlPr>
                    <w:rPr>
                      <w:rFonts w:ascii="Cambria Math" w:hAnsi="Cambria Math" w:cs="Cambria Math"/>
                    </w:rPr>
                  </m:ctrlPr>
                </m:sSubPr>
                <m:e>
                  <m:r>
                    <w:rPr>
                      <w:rFonts w:ascii="Cambria Math" w:hAnsi="Cambria Math" w:cs="Cambria Math"/>
                    </w:rPr>
                    <m:t>μ</m:t>
                  </m:r>
                </m:e>
                <m:sub>
                  <m:r>
                    <w:rPr>
                      <w:rFonts w:ascii="Cambria Math" w:hAnsi="Cambria Math" w:cs="Cambria Math"/>
                    </w:rPr>
                    <m:t>i</m:t>
                  </m:r>
                </m:sub>
              </m:sSub>
            </m:e>
          </m:nary>
        </m:oMath>
      </m:oMathPara>
    </w:p>
    <w:p w14:paraId="55719A97" w14:textId="25A8BF90" w:rsidR="00D518C8" w:rsidRPr="004C362D" w:rsidRDefault="00A31335" w:rsidP="00D518C8">
      <w:pPr>
        <w:spacing w:line="480" w:lineRule="auto"/>
        <w:rPr>
          <w:rFonts w:eastAsiaTheme="minorEastAsia"/>
        </w:rPr>
      </w:pPr>
      <w:r>
        <w:rPr>
          <w:iCs/>
        </w:rPr>
        <w:t xml:space="preserve">Where </w:t>
      </w:r>
      <m:oMath>
        <m:sSub>
          <m:sSubPr>
            <m:ctrlPr>
              <w:rPr>
                <w:rStyle w:val="mord"/>
                <w:rFonts w:ascii="Cambria Math"/>
                <w:i/>
              </w:rPr>
            </m:ctrlPr>
          </m:sSubPr>
          <m:e>
            <m:sSub>
              <m:sSubPr>
                <m:ctrlPr>
                  <w:rPr>
                    <w:rStyle w:val="mord"/>
                    <w:rFonts w:ascii="Cambria Math"/>
                    <w:i/>
                  </w:rPr>
                </m:ctrlPr>
              </m:sSubPr>
              <m:e>
                <m:r>
                  <w:rPr>
                    <w:rStyle w:val="mord"/>
                    <w:rFonts w:ascii="Cambria Math"/>
                  </w:rPr>
                  <m:t>(q</m:t>
                </m:r>
              </m:e>
              <m:sub>
                <m:r>
                  <w:rPr>
                    <w:rStyle w:val="mord"/>
                    <w:rFonts w:ascii="Cambria Math"/>
                  </w:rPr>
                  <m:t>i</m:t>
                </m:r>
              </m:sub>
            </m:sSub>
            <m:r>
              <w:rPr>
                <w:rStyle w:val="mord"/>
                <w:rFonts w:ascii="Cambria Math"/>
              </w:rPr>
              <m:t>)</m:t>
            </m:r>
          </m:e>
          <m:sub>
            <m:r>
              <w:rPr>
                <w:rStyle w:val="mord"/>
                <w:rFonts w:ascii="Cambria Math"/>
              </w:rPr>
              <m:t>i=1,</m:t>
            </m:r>
            <m:r>
              <w:rPr>
                <w:rStyle w:val="mord"/>
                <w:rFonts w:ascii="Cambria Math"/>
              </w:rPr>
              <m:t>…</m:t>
            </m:r>
            <m:r>
              <w:rPr>
                <w:rStyle w:val="mord"/>
                <w:rFonts w:ascii="Cambria Math"/>
              </w:rPr>
              <m:t>,n</m:t>
            </m:r>
          </m:sub>
        </m:sSub>
      </m:oMath>
      <w:r w:rsidR="00837C5A">
        <w:rPr>
          <w:rStyle w:val="mord"/>
          <w:rFonts w:eastAsiaTheme="minorEastAsia"/>
        </w:rPr>
        <w:t xml:space="preserve"> represents the control points, each associated with the momentum vectors (momenta) </w:t>
      </w:r>
      <m:oMath>
        <m:sSub>
          <m:sSubPr>
            <m:ctrlPr>
              <w:rPr>
                <w:rStyle w:val="mord"/>
                <w:rFonts w:ascii="Cambria Math"/>
                <w:i/>
              </w:rPr>
            </m:ctrlPr>
          </m:sSubPr>
          <m:e>
            <m:sSub>
              <m:sSubPr>
                <m:ctrlPr>
                  <w:rPr>
                    <w:rStyle w:val="mord"/>
                    <w:rFonts w:ascii="Cambria Math"/>
                    <w:i/>
                  </w:rPr>
                </m:ctrlPr>
              </m:sSubPr>
              <m:e>
                <m:r>
                  <w:rPr>
                    <w:rStyle w:val="mord"/>
                    <w:rFonts w:ascii="Cambria Math"/>
                  </w:rPr>
                  <m:t>(</m:t>
                </m:r>
                <m:r>
                  <w:rPr>
                    <w:rFonts w:ascii="Cambria Math" w:hAnsi="Cambria Math" w:cs="Cambria Math"/>
                  </w:rPr>
                  <m:t>μ</m:t>
                </m:r>
              </m:e>
              <m:sub>
                <m:r>
                  <w:rPr>
                    <w:rStyle w:val="mord"/>
                    <w:rFonts w:ascii="Cambria Math"/>
                  </w:rPr>
                  <m:t>i</m:t>
                </m:r>
              </m:sub>
            </m:sSub>
            <m:r>
              <w:rPr>
                <w:rStyle w:val="mord"/>
                <w:rFonts w:ascii="Cambria Math"/>
              </w:rPr>
              <m:t>)</m:t>
            </m:r>
          </m:e>
          <m:sub>
            <m:r>
              <w:rPr>
                <w:rStyle w:val="mord"/>
                <w:rFonts w:ascii="Cambria Math"/>
              </w:rPr>
              <m:t>i=1,</m:t>
            </m:r>
            <m:r>
              <w:rPr>
                <w:rStyle w:val="mord"/>
                <w:rFonts w:ascii="Cambria Math"/>
              </w:rPr>
              <m:t>…</m:t>
            </m:r>
            <m:r>
              <w:rPr>
                <w:rStyle w:val="mord"/>
                <w:rFonts w:ascii="Cambria Math"/>
              </w:rPr>
              <m:t>,n</m:t>
            </m:r>
          </m:sub>
        </m:sSub>
      </m:oMath>
      <w:r w:rsidR="0068212E">
        <w:rPr>
          <w:rStyle w:val="mord"/>
          <w:rFonts w:eastAsiaTheme="minorEastAsia"/>
        </w:rPr>
        <w:t xml:space="preserve"> that generate a vector field </w:t>
      </w:r>
      <m:oMath>
        <m:r>
          <w:rPr>
            <w:rFonts w:ascii="Cambria Math" w:hAnsi="Cambria Math"/>
          </w:rPr>
          <m:t>X</m:t>
        </m:r>
      </m:oMath>
      <w:r w:rsidR="00CB5ED5">
        <w:rPr>
          <w:rFonts w:eastAsiaTheme="minorEastAsia"/>
        </w:rPr>
        <w:t xml:space="preserve"> within 3D space. </w:t>
      </w:r>
      <w:r w:rsidR="00E05E7A">
        <w:rPr>
          <w:rFonts w:eastAsiaTheme="minorEastAsia"/>
        </w:rPr>
        <w:t>Specifically, t</w:t>
      </w:r>
      <w:r w:rsidR="00CB5ED5">
        <w:rPr>
          <w:rFonts w:eastAsiaTheme="minorEastAsia"/>
        </w:rPr>
        <w:t xml:space="preserve">he term </w:t>
      </w:r>
      <m:oMath>
        <m:r>
          <w:rPr>
            <w:rFonts w:ascii="Cambria Math" w:hAnsi="Cambria Math"/>
          </w:rPr>
          <m:t>X</m:t>
        </m:r>
        <m:d>
          <m:dPr>
            <m:ctrlPr>
              <w:rPr>
                <w:rFonts w:ascii="Cambria Math" w:hAnsi="Cambria Math"/>
                <w:i/>
              </w:rPr>
            </m:ctrlPr>
          </m:dPr>
          <m:e>
            <m:r>
              <w:rPr>
                <w:rFonts w:ascii="Cambria Math" w:hAnsi="Cambria Math"/>
              </w:rPr>
              <m:t>x</m:t>
            </m:r>
          </m:e>
        </m:d>
      </m:oMath>
      <w:r w:rsidR="00E05E7A">
        <w:rPr>
          <w:rFonts w:eastAsiaTheme="minorEastAsia"/>
        </w:rPr>
        <w:t xml:space="preserve"> described the vector field at position </w:t>
      </w:r>
      <m:oMath>
        <m:r>
          <w:rPr>
            <w:rFonts w:ascii="Cambria Math" w:hAnsi="Cambria Math"/>
          </w:rPr>
          <m:t>x</m:t>
        </m:r>
      </m:oMath>
      <w:r w:rsidR="00AF38FE">
        <w:rPr>
          <w:rFonts w:eastAsiaTheme="minorEastAsia"/>
        </w:rPr>
        <w:t xml:space="preserve">. Here, the size of the kernel width is inversely </w:t>
      </w:r>
      <w:r w:rsidR="00953179">
        <w:rPr>
          <w:rFonts w:eastAsiaTheme="minorEastAsia"/>
        </w:rPr>
        <w:t xml:space="preserve">related to the number of control points, meaning a larger kernel width results in fewer control points. </w:t>
      </w:r>
      <w:r w:rsidR="00D518C8" w:rsidRPr="0073290E">
        <w:t xml:space="preserve">The spatial extent of these points is mathematically defined </w:t>
      </w:r>
      <w:r w:rsidR="00CD3477">
        <w:t xml:space="preserve">through a Gaussian kernel </w:t>
      </w:r>
      <w:r w:rsidR="00D518C8" w:rsidRPr="0073290E">
        <w:t xml:space="preserve">as follows </w:t>
      </w:r>
      <w:r w:rsidR="00D518C8" w:rsidRPr="0073290E">
        <w:rPr>
          <w:iCs/>
        </w:rPr>
        <w:fldChar w:fldCharType="begin"/>
      </w:r>
      <w:r w:rsidR="002F5782">
        <w:rPr>
          <w:iCs/>
        </w:rPr>
        <w:instrText xml:space="preserve"> ADDIN EN.CITE &lt;EndNote&gt;&lt;Cite&gt;&lt;Author&gt;Bône&lt;/Author&gt;&lt;Year&gt;2018&lt;/Year&gt;&lt;RecNum&gt;302&lt;/RecNum&gt;&lt;DisplayText&gt;[34]&lt;/DisplayText&gt;&lt;record&gt;&lt;rec-number&gt;302&lt;/rec-number&gt;&lt;foreign-keys&gt;&lt;key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D518C8" w:rsidRPr="0073290E">
        <w:rPr>
          <w:iCs/>
        </w:rPr>
        <w:fldChar w:fldCharType="separate"/>
      </w:r>
      <w:r w:rsidR="00D518C8">
        <w:rPr>
          <w:iCs/>
          <w:noProof/>
        </w:rPr>
        <w:t>[34]</w:t>
      </w:r>
      <w:r w:rsidR="00D518C8" w:rsidRPr="0073290E">
        <w:rPr>
          <w:iCs/>
        </w:rPr>
        <w:fldChar w:fldCharType="end"/>
      </w:r>
      <w:r w:rsidR="00D518C8" w:rsidRPr="0073290E">
        <w:rPr>
          <w:iCs/>
        </w:rPr>
        <w:t xml:space="preserve"> </w:t>
      </w:r>
      <w:r w:rsidR="00D518C8" w:rsidRPr="0073290E">
        <w:t xml:space="preserve">: </w:t>
      </w:r>
    </w:p>
    <w:p w14:paraId="03CF2C8F" w14:textId="77777777" w:rsidR="00771746" w:rsidRPr="0073290E" w:rsidRDefault="00000000" w:rsidP="00771746">
      <w:pPr>
        <w:spacing w:line="480" w:lineRule="auto"/>
        <w:jc w:val="center"/>
        <w:rPr>
          <w:rStyle w:val="mord"/>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σ</m:t>
              </m:r>
            </m:sub>
          </m:sSub>
          <m:d>
            <m:dPr>
              <m:ctrlPr>
                <w:rPr>
                  <w:rFonts w:ascii="Cambria Math" w:hAnsi="Cambria Math"/>
                  <w:i/>
                </w:rPr>
              </m:ctrlPr>
            </m:dPr>
            <m:e>
              <m:r>
                <m:rPr>
                  <m:sty m:val="p"/>
                </m:rPr>
                <w:rPr>
                  <w:rStyle w:val="mord"/>
                  <w:rFonts w:ascii="Cambria Math" w:hAnsi="Cambria Math"/>
                </w:rPr>
                <m:t>x</m:t>
              </m:r>
              <m:r>
                <m:rPr>
                  <m:sty m:val="p"/>
                </m:rPr>
                <w:rPr>
                  <w:rStyle w:val="mpunct"/>
                  <w:rFonts w:ascii="Cambria Math" w:hAnsi="Cambria Math"/>
                </w:rPr>
                <m:t>,</m:t>
              </m:r>
              <m:r>
                <m:rPr>
                  <m:sty m:val="p"/>
                </m:rPr>
                <w:rPr>
                  <w:rStyle w:val="mord"/>
                  <w:rFonts w:ascii="Cambria Math" w:hAnsi="Cambria Math"/>
                </w:rPr>
                <m:t>y</m:t>
              </m:r>
              <m:ctrlPr>
                <w:rPr>
                  <w:rStyle w:val="mord"/>
                  <w:rFonts w:ascii="Cambria Math"/>
                </w:rPr>
              </m:ctrlPr>
            </m:e>
          </m:d>
          <m:r>
            <w:rPr>
              <w:rStyle w:val="mord"/>
              <w:rFonts w:ascii="Cambria Math"/>
            </w:rPr>
            <m:t>=</m:t>
          </m:r>
          <m:func>
            <m:funcPr>
              <m:ctrlPr>
                <w:rPr>
                  <w:rStyle w:val="mord"/>
                  <w:rFonts w:ascii="Cambria Math" w:hAnsi="Cambria Math" w:cs="Cambria Math"/>
                  <w:i/>
                </w:rPr>
              </m:ctrlPr>
            </m:funcPr>
            <m:fName>
              <m:r>
                <m:rPr>
                  <m:sty m:val="p"/>
                </m:rPr>
                <w:rPr>
                  <w:rStyle w:val="mord"/>
                  <w:rFonts w:ascii="Cambria Math"/>
                </w:rPr>
                <m:t>exp</m:t>
              </m:r>
              <m:ctrlPr>
                <w:rPr>
                  <w:rStyle w:val="mord"/>
                  <w:rFonts w:ascii="Cambria Math"/>
                  <w:i/>
                </w:rPr>
              </m:ctrlPr>
            </m:fName>
            <m:e>
              <m:d>
                <m:dPr>
                  <m:ctrlPr>
                    <w:rPr>
                      <w:rStyle w:val="mord"/>
                      <w:rFonts w:ascii="Cambria Math" w:hAnsi="Cambria Math"/>
                      <w:i/>
                    </w:rPr>
                  </m:ctrlPr>
                </m:dPr>
                <m:e>
                  <m:r>
                    <w:rPr>
                      <w:rStyle w:val="mord"/>
                      <w:rFonts w:ascii="Cambria Math" w:hAnsi="Cambria Math"/>
                    </w:rPr>
                    <m:t>-</m:t>
                  </m:r>
                  <m:f>
                    <m:fPr>
                      <m:ctrlPr>
                        <w:rPr>
                          <w:rStyle w:val="mord"/>
                          <w:rFonts w:ascii="Cambria Math" w:hAnsi="Cambria Math"/>
                          <w:i/>
                        </w:rPr>
                      </m:ctrlPr>
                    </m:fPr>
                    <m:num>
                      <m:sSup>
                        <m:sSupPr>
                          <m:ctrlPr>
                            <w:rPr>
                              <w:rFonts w:ascii="Cambria Math" w:hAnsi="Cambria Math" w:cs="Cambria Math"/>
                            </w:rPr>
                          </m:ctrlPr>
                        </m:sSupPr>
                        <m:e>
                          <m:box>
                            <m:boxPr>
                              <m:opEmu m:val="1"/>
                              <m:ctrlPr>
                                <w:rPr>
                                  <w:rFonts w:ascii="Cambria Math" w:hAnsi="Cambria Math" w:cs="Cambria Math"/>
                                  <w:i/>
                                </w:rPr>
                              </m:ctrlPr>
                            </m:boxPr>
                            <m:e>
                              <m:r>
                                <m:rPr>
                                  <m:sty m:val="p"/>
                                </m:rPr>
                                <w:rPr>
                                  <w:rFonts w:ascii="Cambria Math" w:hAnsi="Cambria Math" w:cs="Cambria Math"/>
                                </w:rPr>
                                <m:t>∥x-y∥</m:t>
                              </m:r>
                            </m:e>
                          </m:box>
                        </m:e>
                        <m:sup>
                          <m:r>
                            <w:rPr>
                              <w:rFonts w:ascii="Cambria Math" w:hAnsi="Cambria Math" w:cs="Cambria Math"/>
                            </w:rPr>
                            <m:t>2</m:t>
                          </m:r>
                        </m:sup>
                      </m:sSup>
                    </m:num>
                    <m:den>
                      <m:sSup>
                        <m:sSupPr>
                          <m:ctrlPr>
                            <w:rPr>
                              <w:rStyle w:val="mord"/>
                              <w:rFonts w:ascii="Cambria Math" w:hAnsi="Cambria Math"/>
                              <w:i/>
                            </w:rPr>
                          </m:ctrlPr>
                        </m:sSupPr>
                        <m:e>
                          <m:r>
                            <w:rPr>
                              <w:rStyle w:val="mord"/>
                              <w:rFonts w:ascii="Cambria Math" w:hAnsi="Cambria Math"/>
                            </w:rPr>
                            <m:t>σ</m:t>
                          </m:r>
                        </m:e>
                        <m:sup>
                          <m:r>
                            <w:rPr>
                              <w:rStyle w:val="mord"/>
                              <w:rFonts w:ascii="Cambria Math" w:hAnsi="Cambria Math"/>
                            </w:rPr>
                            <m:t>2</m:t>
                          </m:r>
                        </m:sup>
                      </m:sSup>
                    </m:den>
                  </m:f>
                </m:e>
              </m:d>
            </m:e>
          </m:func>
        </m:oMath>
      </m:oMathPara>
    </w:p>
    <w:p w14:paraId="089AF18F" w14:textId="7C27EBD6" w:rsidR="00771746" w:rsidRDefault="0099238C" w:rsidP="007F5FF3">
      <w:pPr>
        <w:spacing w:line="480" w:lineRule="auto"/>
        <w:rPr>
          <w:rStyle w:val="katex-mathml"/>
          <w:iCs/>
        </w:rPr>
      </w:pPr>
      <w:r>
        <w:rPr>
          <w:iCs/>
        </w:rPr>
        <w:t xml:space="preserve">Where </w:t>
      </w:r>
      <w:r w:rsidR="004E01E7" w:rsidRPr="0073290E">
        <w:rPr>
          <w:rStyle w:val="mord"/>
          <w:i/>
        </w:rPr>
        <w:t>x</w:t>
      </w:r>
      <w:r w:rsidR="004E01E7" w:rsidRPr="0073290E">
        <w:t xml:space="preserve"> and </w:t>
      </w:r>
      <w:r w:rsidR="004E01E7" w:rsidRPr="0073290E">
        <w:rPr>
          <w:rStyle w:val="katex-mathml"/>
          <w:i/>
        </w:rPr>
        <w:t>y</w:t>
      </w:r>
      <w:r w:rsidR="004E01E7">
        <w:rPr>
          <w:rStyle w:val="katex-mathml"/>
          <w:i/>
        </w:rPr>
        <w:t xml:space="preserve"> </w:t>
      </w:r>
      <w:r w:rsidR="004E01E7">
        <w:rPr>
          <w:rStyle w:val="katex-mathml"/>
          <w:iCs/>
        </w:rPr>
        <w:t xml:space="preserve">represent points in space, </w:t>
      </w:r>
      <w:r w:rsidR="00DF38A7" w:rsidRPr="0073290E">
        <w:rPr>
          <w:rStyle w:val="mord"/>
        </w:rPr>
        <w:t>σ</w:t>
      </w:r>
      <w:r w:rsidR="00DF38A7" w:rsidRPr="0073290E">
        <w:t xml:space="preserve"> is the kernel width (or scale)</w:t>
      </w:r>
      <w:r w:rsidR="00DF38A7">
        <w:t xml:space="preserve">, which determines the extent of the interaction between the points, and </w:t>
      </w:r>
      <w:r w:rsidR="006C42E7" w:rsidRPr="0073290E">
        <w:rPr>
          <w:rStyle w:val="mord"/>
          <w:rFonts w:ascii="Cambria Math" w:hAnsi="Cambria Math" w:cs="Cambria Math"/>
        </w:rPr>
        <w:t>∥</w:t>
      </w:r>
      <w:r w:rsidR="006C42E7" w:rsidRPr="0073290E">
        <w:rPr>
          <w:rStyle w:val="mord"/>
          <w:i/>
        </w:rPr>
        <w:t>x</w:t>
      </w:r>
      <w:r w:rsidR="006C42E7" w:rsidRPr="0073290E">
        <w:rPr>
          <w:rStyle w:val="mbin"/>
        </w:rPr>
        <w:t>−</w:t>
      </w:r>
      <w:r w:rsidR="006C42E7" w:rsidRPr="0073290E">
        <w:rPr>
          <w:rStyle w:val="mord"/>
          <w:i/>
        </w:rPr>
        <w:t>y</w:t>
      </w:r>
      <w:r w:rsidR="006C42E7" w:rsidRPr="0073290E">
        <w:rPr>
          <w:rStyle w:val="mord"/>
          <w:rFonts w:ascii="Cambria Math" w:hAnsi="Cambria Math" w:cs="Cambria Math"/>
        </w:rPr>
        <w:t>∥</w:t>
      </w:r>
      <w:r w:rsidR="006C42E7">
        <w:rPr>
          <w:rStyle w:val="mord"/>
          <w:rFonts w:ascii="Cambria Math" w:hAnsi="Cambria Math" w:cs="Cambria Math"/>
        </w:rPr>
        <w:t xml:space="preserve"> </w:t>
      </w:r>
      <w:r w:rsidR="006C42E7">
        <w:rPr>
          <w:rStyle w:val="mord"/>
        </w:rPr>
        <w:t xml:space="preserve">is the Euclidean distance between </w:t>
      </w:r>
      <w:r w:rsidR="006C42E7" w:rsidRPr="0073290E">
        <w:rPr>
          <w:rStyle w:val="mord"/>
          <w:i/>
        </w:rPr>
        <w:t>x</w:t>
      </w:r>
      <w:r w:rsidR="006C42E7" w:rsidRPr="0073290E">
        <w:t xml:space="preserve"> and </w:t>
      </w:r>
      <w:r w:rsidR="006C42E7" w:rsidRPr="0073290E">
        <w:rPr>
          <w:rStyle w:val="katex-mathml"/>
          <w:i/>
        </w:rPr>
        <w:t>y</w:t>
      </w:r>
      <w:r w:rsidR="006C42E7">
        <w:rPr>
          <w:rStyle w:val="katex-mathml"/>
          <w:iCs/>
        </w:rPr>
        <w:t>.</w:t>
      </w:r>
    </w:p>
    <w:p w14:paraId="132CF92B" w14:textId="3A50DC5C" w:rsidR="00150248" w:rsidRPr="00150248" w:rsidRDefault="00810796" w:rsidP="00150248">
      <w:pPr>
        <w:spacing w:line="480" w:lineRule="auto"/>
        <w:rPr>
          <w:iCs/>
        </w:rPr>
      </w:pPr>
      <w:r>
        <w:rPr>
          <w:iCs/>
        </w:rPr>
        <w:t xml:space="preserve">Within this framework, </w:t>
      </w:r>
      <w:r w:rsidR="00E17DC2">
        <w:rPr>
          <w:iCs/>
        </w:rPr>
        <w:t>a time dynamic is prescribed to the control points and the moment</w:t>
      </w:r>
      <w:r w:rsidR="0036161B">
        <w:rPr>
          <w:iCs/>
        </w:rPr>
        <w:t>a</w:t>
      </w:r>
      <w:r w:rsidR="00E17DC2">
        <w:rPr>
          <w:iCs/>
        </w:rPr>
        <w:t xml:space="preserve">, which </w:t>
      </w:r>
      <w:r w:rsidR="00583135">
        <w:rPr>
          <w:iCs/>
        </w:rPr>
        <w:t xml:space="preserve">correspond to the geodesic equation considered in the ambient space. </w:t>
      </w:r>
      <w:r w:rsidR="00166427">
        <w:rPr>
          <w:iCs/>
        </w:rPr>
        <w:t>Within Hamiltonian equations these are described as</w:t>
      </w:r>
      <w:r w:rsidR="006E7AB5">
        <w:rPr>
          <w:iCs/>
        </w:rPr>
        <w:t xml:space="preserve"> </w:t>
      </w:r>
      <w:r w:rsidR="006E7AB5">
        <w:rPr>
          <w:iCs/>
        </w:rPr>
        <w:fldChar w:fldCharType="begin"/>
      </w:r>
      <w:r w:rsidR="002F5782">
        <w:rPr>
          <w:iCs/>
        </w:rPr>
        <w:instrText xml:space="preserve"> ADDIN EN.CITE &lt;EndNote&gt;&lt;Cite&gt;&lt;Author&gt;Bône&lt;/Author&gt;&lt;Year&gt;2018&lt;/Year&gt;&lt;RecNum&gt;302&lt;/RecNum&gt;&lt;DisplayText&gt;[34]&lt;/DisplayText&gt;&lt;record&gt;&lt;rec-number&gt;302&lt;/rec-number&gt;&lt;foreign-keys&gt;&lt;key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6E7AB5">
        <w:rPr>
          <w:iCs/>
        </w:rPr>
        <w:fldChar w:fldCharType="separate"/>
      </w:r>
      <w:r w:rsidR="006E7AB5">
        <w:rPr>
          <w:iCs/>
          <w:noProof/>
        </w:rPr>
        <w:t>[34]</w:t>
      </w:r>
      <w:r w:rsidR="006E7AB5">
        <w:rPr>
          <w:iCs/>
        </w:rPr>
        <w:fldChar w:fldCharType="end"/>
      </w:r>
      <w:r w:rsidR="0016658D">
        <w:rPr>
          <w:iCs/>
        </w:rPr>
        <w:t>:</w:t>
      </w:r>
      <w:r w:rsidR="00150248" w:rsidRPr="00150248">
        <w:rPr>
          <w:rFonts w:ascii="Cambria Math" w:hAnsi="Cambria Math"/>
          <w:i/>
        </w:rPr>
        <w:br/>
      </w:r>
      <m:oMathPara>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Cs/>
                        </w:rPr>
                      </m:ctrlPr>
                    </m:accPr>
                    <m:e>
                      <m:r>
                        <w:rPr>
                          <w:rFonts w:ascii="Cambria Math" w:hAnsi="Cambria Math"/>
                        </w:rPr>
                        <m:t>q</m:t>
                      </m:r>
                    </m:e>
                  </m:acc>
                  <m:d>
                    <m:dPr>
                      <m:ctrlPr>
                        <w:rPr>
                          <w:rFonts w:ascii="Cambria Math" w:hAnsi="Cambria Math"/>
                          <w:iCs/>
                        </w:rPr>
                      </m:ctrlPr>
                    </m:dPr>
                    <m:e>
                      <m:r>
                        <w:rPr>
                          <w:rFonts w:ascii="Cambria Math" w:hAnsi="Cambria Math"/>
                        </w:rPr>
                        <m:t>t</m:t>
                      </m:r>
                      <m:ctrlPr>
                        <w:rPr>
                          <w:rFonts w:ascii="Cambria Math" w:hAnsi="Cambria Math"/>
                          <w:i/>
                          <w:iCs/>
                        </w:rPr>
                      </m:ctrlPr>
                    </m:e>
                  </m:d>
                  <m:r>
                    <w:rPr>
                      <w:rFonts w:ascii="Cambria Math" w:hAnsi="Cambria Math"/>
                    </w:rPr>
                    <m:t>=K[q</m:t>
                  </m:r>
                  <m:d>
                    <m:dPr>
                      <m:ctrlPr>
                        <w:rPr>
                          <w:rFonts w:ascii="Cambria Math" w:hAnsi="Cambria Math"/>
                          <w:i/>
                          <w:iCs/>
                        </w:rPr>
                      </m:ctrlPr>
                    </m:dPr>
                    <m:e>
                      <m:r>
                        <w:rPr>
                          <w:rFonts w:ascii="Cambria Math" w:hAnsi="Cambria Math"/>
                        </w:rPr>
                        <m:t>t</m:t>
                      </m:r>
                    </m:e>
                  </m:d>
                  <m:r>
                    <w:rPr>
                      <w:rFonts w:ascii="Cambria Math" w:hAnsi="Cambria Math"/>
                    </w:rPr>
                    <m:t>, q</m:t>
                  </m:r>
                  <m:d>
                    <m:dPr>
                      <m:ctrlPr>
                        <w:rPr>
                          <w:rFonts w:ascii="Cambria Math" w:hAnsi="Cambria Math"/>
                          <w:i/>
                          <w:iCs/>
                        </w:rPr>
                      </m:ctrlPr>
                    </m:dPr>
                    <m:e>
                      <m:r>
                        <w:rPr>
                          <w:rFonts w:ascii="Cambria Math" w:hAnsi="Cambria Math"/>
                        </w:rPr>
                        <m:t>t</m:t>
                      </m:r>
                    </m:e>
                  </m:d>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t)</m:t>
                  </m:r>
                  <m:r>
                    <m:rPr>
                      <m:sty m:val="p"/>
                    </m:rPr>
                    <w:rPr>
                      <w:rFonts w:ascii="Cambria Math" w:hAnsi="Cambria Math"/>
                    </w:rPr>
                    <m:t>​</m:t>
                  </m:r>
                </m:e>
                <m:e>
                  <m:acc>
                    <m:accPr>
                      <m:chr m:val="̇"/>
                      <m:ctrlPr>
                        <w:rPr>
                          <w:rFonts w:ascii="Cambria Math" w:hAnsi="Cambria Math"/>
                          <w:i/>
                          <w:iCs/>
                        </w:rPr>
                      </m:ctrlPr>
                    </m:accPr>
                    <m:e>
                      <m:r>
                        <w:rPr>
                          <w:rFonts w:ascii="Cambria Math" w:hAnsi="Cambria Math"/>
                        </w:rPr>
                        <m:t>μ</m:t>
                      </m:r>
                    </m:e>
                  </m:acc>
                  <m:d>
                    <m:dPr>
                      <m:ctrlPr>
                        <w:rPr>
                          <w:rFonts w:ascii="Cambria Math" w:hAnsi="Cambria Math"/>
                          <w:i/>
                          <w:iCs/>
                        </w:rPr>
                      </m:ctrlPr>
                    </m:dPr>
                    <m:e>
                      <m:r>
                        <w:rPr>
                          <w:rFonts w:ascii="Cambria Math" w:hAnsi="Cambria Math"/>
                        </w:rPr>
                        <m:t>t</m:t>
                      </m:r>
                    </m:e>
                  </m:d>
                  <m:r>
                    <w:rPr>
                      <w:rFonts w:ascii="Cambria Math" w:hAnsi="Cambria Math"/>
                    </w:rPr>
                    <m:t xml:space="preserve">=- </m:t>
                  </m:r>
                  <m:f>
                    <m:fPr>
                      <m:ctrlPr>
                        <w:rPr>
                          <w:rFonts w:ascii="Cambria Math" w:hAnsi="Cambria Math"/>
                          <w:i/>
                          <w:iCs/>
                        </w:rPr>
                      </m:ctrlPr>
                    </m:fPr>
                    <m:num>
                      <m:r>
                        <w:rPr>
                          <w:rFonts w:ascii="Cambria Math" w:hAnsi="Cambria Math"/>
                        </w:rPr>
                        <m:t>1</m:t>
                      </m:r>
                    </m:num>
                    <m:den>
                      <m:r>
                        <w:rPr>
                          <w:rFonts w:ascii="Cambria Math" w:hAnsi="Cambria Math"/>
                        </w:rPr>
                        <m:t>2</m:t>
                      </m:r>
                    </m:den>
                  </m:f>
                  <m:sSub>
                    <m:sSubPr>
                      <m:ctrlPr>
                        <w:rPr>
                          <w:rFonts w:ascii="Cambria Math" w:hAnsi="Cambria Math"/>
                          <w:i/>
                          <w:iCs/>
                        </w:rPr>
                      </m:ctrlPr>
                    </m:sSubPr>
                    <m:e>
                      <m:r>
                        <m:rPr>
                          <m:sty m:val="p"/>
                        </m:rPr>
                        <w:rPr>
                          <w:rFonts w:ascii="Cambria Math" w:hAnsi="Cambria Math"/>
                        </w:rPr>
                        <m:t>∇</m:t>
                      </m:r>
                    </m:e>
                    <m:sub>
                      <m:r>
                        <w:rPr>
                          <w:rFonts w:ascii="Cambria Math" w:hAnsi="Cambria Math"/>
                        </w:rPr>
                        <m:t>q</m:t>
                      </m:r>
                    </m:sub>
                  </m:sSub>
                  <m:d>
                    <m:dPr>
                      <m:begChr m:val="{"/>
                      <m:endChr m:val="}"/>
                      <m:ctrlPr>
                        <w:rPr>
                          <w:rFonts w:ascii="Cambria Math" w:hAnsi="Cambria Math"/>
                          <w:i/>
                          <w:iCs/>
                        </w:rPr>
                      </m:ctrlPr>
                    </m:dPr>
                    <m:e>
                      <m:r>
                        <w:rPr>
                          <w:rFonts w:ascii="Cambria Math" w:hAnsi="Cambria Math"/>
                        </w:rPr>
                        <m:t>K[q</m:t>
                      </m:r>
                      <m:d>
                        <m:dPr>
                          <m:ctrlPr>
                            <w:rPr>
                              <w:rFonts w:ascii="Cambria Math" w:hAnsi="Cambria Math"/>
                              <w:i/>
                              <w:iCs/>
                            </w:rPr>
                          </m:ctrlPr>
                        </m:dPr>
                        <m:e>
                          <m:r>
                            <w:rPr>
                              <w:rFonts w:ascii="Cambria Math" w:hAnsi="Cambria Math"/>
                            </w:rPr>
                            <m:t>t</m:t>
                          </m:r>
                        </m:e>
                      </m:d>
                      <m:r>
                        <w:rPr>
                          <w:rFonts w:ascii="Cambria Math" w:hAnsi="Cambria Math"/>
                        </w:rPr>
                        <m:t>, q</m:t>
                      </m:r>
                      <m:d>
                        <m:dPr>
                          <m:ctrlPr>
                            <w:rPr>
                              <w:rFonts w:ascii="Cambria Math" w:hAnsi="Cambria Math"/>
                              <w:i/>
                              <w:iCs/>
                            </w:rPr>
                          </m:ctrlPr>
                        </m:dPr>
                        <m:e>
                          <m:r>
                            <w:rPr>
                              <w:rFonts w:ascii="Cambria Math" w:hAnsi="Cambria Math"/>
                            </w:rPr>
                            <m:t>t</m:t>
                          </m:r>
                        </m:e>
                      </m:d>
                      <m:r>
                        <m:rPr>
                          <m:sty m:val="p"/>
                        </m:rPr>
                        <w:rPr>
                          <w:rFonts w:ascii="Cambria Math" w:hAnsi="Cambria Math"/>
                        </w:rPr>
                        <m:t xml:space="preserve">⋅ </m:t>
                      </m:r>
                      <m:sSup>
                        <m:sSupPr>
                          <m:ctrlPr>
                            <w:rPr>
                              <w:rFonts w:ascii="Cambria Math" w:hAnsi="Cambria Math"/>
                              <w:iCs/>
                            </w:rPr>
                          </m:ctrlPr>
                        </m:sSupPr>
                        <m:e>
                          <m:r>
                            <w:rPr>
                              <w:rFonts w:ascii="Cambria Math" w:hAnsi="Cambria Math"/>
                            </w:rPr>
                            <m:t>μ</m:t>
                          </m:r>
                          <m:r>
                            <m:rPr>
                              <m:sty m:val="p"/>
                            </m:rPr>
                            <w:rPr>
                              <w:rFonts w:ascii="Cambria Math" w:hAnsi="Cambria Math"/>
                            </w:rPr>
                            <m:t>(</m:t>
                          </m:r>
                          <m:r>
                            <w:rPr>
                              <w:rFonts w:ascii="Cambria Math" w:hAnsi="Cambria Math"/>
                            </w:rPr>
                            <m:t>t)</m:t>
                          </m:r>
                        </m:e>
                        <m:sup>
                          <m:r>
                            <w:rPr>
                              <w:rFonts w:ascii="Cambria Math" w:hAnsi="Cambria Math"/>
                            </w:rPr>
                            <m:t>T</m:t>
                          </m:r>
                        </m:sup>
                      </m:sSup>
                      <m:r>
                        <w:rPr>
                          <w:rFonts w:ascii="Cambria Math" w:hAnsi="Cambria Math"/>
                        </w:rPr>
                        <m:t>μ</m:t>
                      </m:r>
                      <m:r>
                        <m:rPr>
                          <m:sty m:val="p"/>
                        </m:rPr>
                        <w:rPr>
                          <w:rFonts w:ascii="Cambria Math" w:hAnsi="Cambria Math"/>
                        </w:rPr>
                        <m:t>(</m:t>
                      </m:r>
                      <m:r>
                        <w:rPr>
                          <w:rFonts w:ascii="Cambria Math" w:hAnsi="Cambria Math"/>
                        </w:rPr>
                        <m:t>t)</m:t>
                      </m:r>
                    </m:e>
                  </m:d>
                </m:e>
              </m:eqArr>
            </m:e>
          </m:d>
        </m:oMath>
      </m:oMathPara>
    </w:p>
    <w:p w14:paraId="00FA3D1E" w14:textId="70381D44" w:rsidR="00986292" w:rsidRDefault="001515E8" w:rsidP="007F5FF3">
      <w:pPr>
        <w:spacing w:line="480" w:lineRule="auto"/>
        <w:rPr>
          <w:iCs/>
        </w:rPr>
      </w:pPr>
      <w:r>
        <w:rPr>
          <w:iCs/>
        </w:rPr>
        <w:t xml:space="preserve">Within this system these equations are solved using </w:t>
      </w:r>
      <w:r w:rsidR="00736693">
        <w:rPr>
          <w:iCs/>
        </w:rPr>
        <w:t xml:space="preserve">the numerical integration methods of Euler </w:t>
      </w:r>
      <w:r w:rsidR="006E7AB5">
        <w:rPr>
          <w:iCs/>
        </w:rPr>
        <w:t>and Runge-Kutta</w:t>
      </w:r>
      <w:r w:rsidR="00B77380">
        <w:rPr>
          <w:iCs/>
        </w:rPr>
        <w:t xml:space="preserve">, to approximate the trajectory of the control points and momenta over time. Each iteration of the data involves computing convolutions between the control points and momenta </w:t>
      </w:r>
      <w:r w:rsidR="009639A4">
        <w:rPr>
          <w:iCs/>
        </w:rPr>
        <w:t xml:space="preserve">within a quadratic </w:t>
      </w:r>
      <w:r w:rsidR="00803D24">
        <w:rPr>
          <w:iCs/>
        </w:rPr>
        <w:t xml:space="preserve">form </w:t>
      </w:r>
      <w:r w:rsidR="00B77380">
        <w:rPr>
          <w:iCs/>
        </w:rPr>
        <w:t xml:space="preserve">to update the system dynamics. </w:t>
      </w:r>
      <w:r>
        <w:rPr>
          <w:iCs/>
        </w:rPr>
        <w:t xml:space="preserve"> </w:t>
      </w:r>
    </w:p>
    <w:p w14:paraId="60502749" w14:textId="711D4778" w:rsidR="00745D8B" w:rsidRDefault="006029F1" w:rsidP="007F5FF3">
      <w:pPr>
        <w:spacing w:line="480" w:lineRule="auto"/>
        <w:rPr>
          <w:iCs/>
        </w:rPr>
      </w:pPr>
      <w:r>
        <w:rPr>
          <w:iCs/>
        </w:rPr>
        <w:lastRenderedPageBreak/>
        <w:t>When using meshes, deformations can be described through their vertices</w:t>
      </w:r>
      <w:r w:rsidR="008067DF">
        <w:rPr>
          <w:iCs/>
        </w:rPr>
        <w:t xml:space="preserve">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e>
          <m:sub>
            <m:r>
              <w:rPr>
                <w:rFonts w:ascii="Cambria Math" w:hAnsi="Cambria Math"/>
              </w:rPr>
              <m:t>p-1, …,d</m:t>
            </m:r>
          </m:sub>
        </m:sSub>
      </m:oMath>
      <w:r w:rsidR="008067DF">
        <w:rPr>
          <w:rFonts w:eastAsiaTheme="minorEastAsia"/>
        </w:rPr>
        <w:t xml:space="preserve"> and their connectivity. For each mesh it is possible to compute the centres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e>
          <m:sub>
            <m:r>
              <w:rPr>
                <w:rFonts w:ascii="Cambria Math" w:hAnsi="Cambria Math"/>
              </w:rPr>
              <m:t>p-1, …,f</m:t>
            </m:r>
          </m:sub>
        </m:sSub>
      </m:oMath>
      <w:r w:rsidR="00995D52">
        <w:rPr>
          <w:rFonts w:eastAsiaTheme="minorEastAsia"/>
        </w:rPr>
        <w:t xml:space="preserve"> and nor</w:t>
      </w:r>
      <w:r w:rsidR="00A35258">
        <w:rPr>
          <w:rFonts w:eastAsiaTheme="minorEastAsia"/>
        </w:rPr>
        <w:t>mals of the faces or edges</w:t>
      </w:r>
      <w:r w:rsidR="00995D52">
        <w:rPr>
          <w:rFonts w:eastAsiaTheme="minorEastAsia"/>
        </w:rPr>
        <w:t xml:space="preserve">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m:t>
            </m:r>
          </m:e>
          <m:sub>
            <m:r>
              <w:rPr>
                <w:rFonts w:ascii="Cambria Math" w:hAnsi="Cambria Math"/>
              </w:rPr>
              <m:t>p-1, …,f</m:t>
            </m:r>
          </m:sub>
        </m:sSub>
      </m:oMath>
      <w:r w:rsidR="00A35258">
        <w:rPr>
          <w:rFonts w:eastAsiaTheme="minorEastAsia"/>
        </w:rPr>
        <w:t xml:space="preserve">. </w:t>
      </w:r>
      <w:r w:rsidR="00C71751">
        <w:rPr>
          <w:rFonts w:eastAsiaTheme="minorEastAsia"/>
        </w:rPr>
        <w:t xml:space="preserve">In this context, two types of distances are considered to quantify the differences between meshes. </w:t>
      </w:r>
      <w:r w:rsidR="006C522F">
        <w:rPr>
          <w:rFonts w:eastAsiaTheme="minorEastAsia"/>
        </w:rPr>
        <w:t xml:space="preserve">The first measures the current pointwise distance between corresponding points of two meshes defined as: </w:t>
      </w:r>
    </w:p>
    <w:p w14:paraId="11035DAA" w14:textId="297C1926" w:rsidR="0036161B" w:rsidRDefault="00000000" w:rsidP="007F5FF3">
      <w:pPr>
        <w:spacing w:line="480" w:lineRule="auto"/>
        <w:rPr>
          <w:rFonts w:eastAsiaTheme="minorEastAsia"/>
        </w:rPr>
      </w:pPr>
      <m:oMathPara>
        <m:oMath>
          <m:sSup>
            <m:sSupPr>
              <m:ctrlPr>
                <w:rPr>
                  <w:rFonts w:ascii="Cambria Math" w:hAnsi="Cambria Math"/>
                  <w:i/>
                  <w:iCs/>
                </w:rPr>
              </m:ctrlPr>
            </m:sSupPr>
            <m:e>
              <m:r>
                <w:rPr>
                  <w:rFonts w:ascii="Cambria Math" w:hAnsi="Cambria Math"/>
                </w:rPr>
                <m:t>(</m:t>
              </m:r>
              <m:sSub>
                <m:sSubPr>
                  <m:ctrlPr>
                    <w:rPr>
                      <w:rFonts w:ascii="Cambria Math" w:hAnsi="Cambria Math"/>
                      <w:i/>
                      <w:iCs/>
                    </w:rPr>
                  </m:ctrlPr>
                </m:sSubPr>
                <m:e>
                  <m:d>
                    <m:dPr>
                      <m:ctrlPr>
                        <w:rPr>
                          <w:rFonts w:ascii="Cambria Math" w:hAnsi="Cambria Math"/>
                          <w:i/>
                          <w:iCs/>
                        </w:rPr>
                      </m:ctrlPr>
                    </m:d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σ</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σ</m:t>
                          </m:r>
                        </m:sup>
                      </m:sSubSup>
                    </m:e>
                  </m:d>
                </m:e>
                <m:sub>
                  <m:r>
                    <w:rPr>
                      <w:rFonts w:ascii="Cambria Math" w:hAnsi="Cambria Math"/>
                    </w:rPr>
                    <m:t xml:space="preserve">p-1,…, </m:t>
                  </m:r>
                  <m:sSup>
                    <m:sSupPr>
                      <m:ctrlPr>
                        <w:rPr>
                          <w:rFonts w:ascii="Cambria Math" w:hAnsi="Cambria Math"/>
                          <w:i/>
                          <w:iCs/>
                        </w:rPr>
                      </m:ctrlPr>
                    </m:sSupPr>
                    <m:e>
                      <m:r>
                        <w:rPr>
                          <w:rFonts w:ascii="Cambria Math" w:hAnsi="Cambria Math"/>
                        </w:rPr>
                        <m:t>f</m:t>
                      </m:r>
                    </m:e>
                    <m:sup>
                      <m:r>
                        <w:rPr>
                          <w:rFonts w:ascii="Cambria Math" w:hAnsi="Cambria Math"/>
                        </w:rPr>
                        <m:t>σ</m:t>
                      </m:r>
                    </m:sup>
                  </m:sSup>
                </m:sub>
              </m:sSub>
              <m:r>
                <w:rPr>
                  <w:rFonts w:ascii="Cambria Math" w:hAnsi="Cambria Math"/>
                </w:rPr>
                <m:t xml:space="preserve"> (</m:t>
              </m:r>
              <m:sSub>
                <m:sSubPr>
                  <m:ctrlPr>
                    <w:rPr>
                      <w:rFonts w:ascii="Cambria Math" w:hAnsi="Cambria Math"/>
                      <w:i/>
                      <w:iCs/>
                    </w:rPr>
                  </m:ctrlPr>
                </m:sSubPr>
                <m:e>
                  <m:d>
                    <m:dPr>
                      <m:ctrlPr>
                        <w:rPr>
                          <w:rFonts w:ascii="Cambria Math" w:hAnsi="Cambria Math"/>
                          <w:i/>
                          <w:iCs/>
                        </w:rPr>
                      </m:ctrlPr>
                    </m:d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β</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β</m:t>
                          </m:r>
                        </m:sup>
                      </m:sSubSup>
                    </m:e>
                  </m:d>
                </m:e>
                <m:sub>
                  <m:r>
                    <w:rPr>
                      <w:rFonts w:ascii="Cambria Math" w:hAnsi="Cambria Math"/>
                    </w:rPr>
                    <m:t xml:space="preserve">q-1,…, </m:t>
                  </m:r>
                  <m:sSup>
                    <m:sSupPr>
                      <m:ctrlPr>
                        <w:rPr>
                          <w:rFonts w:ascii="Cambria Math" w:hAnsi="Cambria Math"/>
                          <w:i/>
                          <w:iCs/>
                        </w:rPr>
                      </m:ctrlPr>
                    </m:sSupPr>
                    <m:e>
                      <m:r>
                        <w:rPr>
                          <w:rFonts w:ascii="Cambria Math" w:hAnsi="Cambria Math"/>
                        </w:rPr>
                        <m:t>f</m:t>
                      </m:r>
                    </m:e>
                    <m:sup>
                      <m:r>
                        <w:rPr>
                          <w:rFonts w:ascii="Cambria Math" w:hAnsi="Cambria Math"/>
                        </w:rPr>
                        <m:t>σ</m:t>
                      </m:r>
                    </m:sup>
                  </m:sSup>
                </m:sub>
              </m:sSub>
              <m:r>
                <w:rPr>
                  <w:rFonts w:ascii="Cambria Math" w:hAnsi="Cambria Math"/>
                </w:rPr>
                <m:t>)</m:t>
              </m:r>
            </m:e>
            <m:sup>
              <m:r>
                <w:rPr>
                  <w:rFonts w:ascii="Cambria Math" w:hAnsi="Cambria Math"/>
                </w:rPr>
                <m:t>2</m:t>
              </m:r>
            </m:sup>
          </m:sSup>
          <m:r>
            <w:rPr>
              <w:rFonts w:ascii="Cambria Math" w:hAnsi="Cambria Math"/>
            </w:rPr>
            <m:t xml:space="preserve">= </m:t>
          </m:r>
          <m:nary>
            <m:naryPr>
              <m:chr m:val="∑"/>
              <m:limLoc m:val="undOvr"/>
              <m:supHide m:val="1"/>
              <m:ctrlPr>
                <w:rPr>
                  <w:rFonts w:ascii="Cambria Math" w:hAnsi="Cambria Math"/>
                  <w:i/>
                  <w:iCs/>
                </w:rPr>
              </m:ctrlPr>
            </m:naryPr>
            <m:sub>
              <m:r>
                <w:rPr>
                  <w:rFonts w:ascii="Cambria Math" w:hAnsi="Cambria Math"/>
                </w:rPr>
                <m:t>q</m:t>
              </m:r>
            </m:sub>
            <m:sup/>
            <m:e>
              <m:nary>
                <m:naryPr>
                  <m:chr m:val="∑"/>
                  <m:limLoc m:val="undOvr"/>
                  <m:supHide m:val="1"/>
                  <m:ctrlPr>
                    <w:rPr>
                      <w:rFonts w:ascii="Cambria Math" w:hAnsi="Cambria Math"/>
                      <w:i/>
                      <w:iCs/>
                    </w:rPr>
                  </m:ctrlPr>
                </m:naryPr>
                <m:sub>
                  <m:r>
                    <w:rPr>
                      <w:rFonts w:ascii="Cambria Math" w:hAnsi="Cambria Math"/>
                    </w:rPr>
                    <m:t>q</m:t>
                  </m:r>
                </m:sub>
                <m:sup/>
                <m:e>
                  <m:sSup>
                    <m:sSupPr>
                      <m:ctrlPr>
                        <w:rPr>
                          <w:rFonts w:ascii="Cambria Math" w:hAnsi="Cambria Math"/>
                          <w:i/>
                          <w:iCs/>
                        </w:rPr>
                      </m:ctrlPr>
                    </m:sSupPr>
                    <m:e>
                      <m:r>
                        <w:rPr>
                          <w:rFonts w:ascii="Cambria Math" w:hAnsi="Cambria Math"/>
                        </w:rPr>
                        <m:t>K</m:t>
                      </m:r>
                    </m:e>
                    <m:sup>
                      <m:r>
                        <w:rPr>
                          <w:rFonts w:ascii="Cambria Math" w:hAnsi="Cambria Math"/>
                        </w:rPr>
                        <m:t>W</m:t>
                      </m:r>
                    </m:sup>
                  </m:sSup>
                </m:e>
              </m:nary>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σ</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β</m:t>
                  </m:r>
                </m:sup>
              </m:sSubSup>
              <m:r>
                <w:rPr>
                  <w:rFonts w:ascii="Cambria Math" w:hAnsi="Cambria Math"/>
                </w:rPr>
                <m:t>)((</m:t>
              </m:r>
              <m:sSup>
                <m:sSupPr>
                  <m:ctrlPr>
                    <w:rPr>
                      <w:rFonts w:ascii="Cambria Math" w:hAnsi="Cambria Math"/>
                      <w:i/>
                      <w:iCs/>
                    </w:rPr>
                  </m:ctrlPr>
                </m:sSup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α</m:t>
                      </m:r>
                    </m:sup>
                  </m:sSubSup>
                  <m:r>
                    <w:rPr>
                      <w:rFonts w:ascii="Cambria Math" w:hAnsi="Cambria Math"/>
                    </w:rPr>
                    <m:t>)</m:t>
                  </m:r>
                </m:e>
                <m:sup>
                  <m:r>
                    <m:rPr>
                      <m:sty m:val="p"/>
                    </m:rPr>
                    <w:rPr>
                      <w:rFonts w:ascii="Cambria Math" w:hAnsi="Cambria Math"/>
                    </w:rPr>
                    <m:t>⊤</m:t>
                  </m:r>
                </m:sup>
              </m:sSup>
            </m:e>
          </m:nary>
          <m:sSubSup>
            <m:sSubSupPr>
              <m:ctrlPr>
                <w:rPr>
                  <w:rFonts w:ascii="Cambria Math" w:hAnsi="Cambria Math"/>
                  <w:i/>
                  <w:iCs/>
                </w:rPr>
              </m:ctrlPr>
            </m:sSubSupPr>
            <m:e>
              <m:r>
                <w:rPr>
                  <w:rFonts w:ascii="Cambria Math" w:hAnsi="Cambria Math"/>
                </w:rPr>
                <m:t>n</m:t>
              </m:r>
            </m:e>
            <m:sub>
              <m:r>
                <w:rPr>
                  <w:rFonts w:ascii="Cambria Math" w:hAnsi="Cambria Math"/>
                </w:rPr>
                <m:t>q</m:t>
              </m:r>
            </m:sub>
            <m:sup>
              <m:r>
                <w:rPr>
                  <w:rFonts w:ascii="Cambria Math" w:hAnsi="Cambria Math"/>
                </w:rPr>
                <m:t>β</m:t>
              </m:r>
            </m:sup>
          </m:sSubSup>
          <m:r>
            <w:rPr>
              <w:rFonts w:ascii="Cambria Math" w:hAnsi="Cambria Math"/>
            </w:rPr>
            <m:t>).</m:t>
          </m:r>
          <m:r>
            <m:rPr>
              <m:sty m:val="p"/>
            </m:rPr>
            <w:rPr>
              <w:rFonts w:ascii="Cambria Math" w:hAnsi="Cambria Math"/>
            </w:rPr>
            <w:br/>
          </m:r>
        </m:oMath>
      </m:oMathPara>
      <w:r w:rsidR="00EB26A7">
        <w:t xml:space="preserve">Where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W</m:t>
            </m:r>
          </m:sup>
        </m:sSup>
      </m:oMath>
      <w:r w:rsidR="00EB26A7">
        <w:rPr>
          <w:rFonts w:eastAsiaTheme="minorEastAsia"/>
        </w:rPr>
        <w:t xml:space="preserve"> is the gaussian kernel with the width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W</m:t>
            </m:r>
          </m:sup>
        </m:sSup>
      </m:oMath>
      <w:r w:rsidR="005C53DD">
        <w:rPr>
          <w:rFonts w:eastAsiaTheme="minorEastAsia"/>
        </w:rPr>
        <w:t xml:space="preserve">. </w:t>
      </w:r>
      <w:r w:rsidR="00FF53AF">
        <w:rPr>
          <w:rFonts w:eastAsiaTheme="minorEastAsia"/>
        </w:rPr>
        <w:t xml:space="preserve">The second measure </w:t>
      </w:r>
      <w:r w:rsidR="00746F7D">
        <w:rPr>
          <w:rFonts w:eastAsiaTheme="minorEastAsia"/>
        </w:rPr>
        <w:t>is the</w:t>
      </w:r>
      <w:r w:rsidR="00FF53AF">
        <w:rPr>
          <w:rFonts w:eastAsiaTheme="minorEastAsia"/>
        </w:rPr>
        <w:t xml:space="preserve"> varifold distances between meshes which can be described as: </w:t>
      </w:r>
    </w:p>
    <w:p w14:paraId="4243E181" w14:textId="088D3FEF" w:rsidR="00497556" w:rsidRPr="00497556" w:rsidRDefault="00497556" w:rsidP="00497556">
      <w:pPr>
        <w:spacing w:line="480" w:lineRule="auto"/>
        <w:rPr>
          <w:iCs/>
        </w:rPr>
      </w:pPr>
      <m:oMathPara>
        <m:oMath>
          <m:r>
            <w:rPr>
              <w:rFonts w:ascii="Cambria Math" w:hAnsi="Cambria Math"/>
            </w:rPr>
            <m:t>d</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d>
                    <m:dPr>
                      <m:ctrlPr>
                        <w:rPr>
                          <w:rFonts w:ascii="Cambria Math" w:hAnsi="Cambria Math"/>
                          <w:i/>
                          <w:iCs/>
                        </w:rPr>
                      </m:ctrlPr>
                    </m:d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σ</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σ</m:t>
                          </m:r>
                        </m:sup>
                      </m:sSubSup>
                    </m:e>
                  </m:d>
                </m:e>
                <m:sub>
                  <m:r>
                    <w:rPr>
                      <w:rFonts w:ascii="Cambria Math" w:hAnsi="Cambria Math"/>
                    </w:rPr>
                    <m:t xml:space="preserve">p-1,…, </m:t>
                  </m:r>
                  <m:sSup>
                    <m:sSupPr>
                      <m:ctrlPr>
                        <w:rPr>
                          <w:rFonts w:ascii="Cambria Math" w:hAnsi="Cambria Math"/>
                          <w:i/>
                          <w:iCs/>
                        </w:rPr>
                      </m:ctrlPr>
                    </m:sSupPr>
                    <m:e>
                      <m:r>
                        <w:rPr>
                          <w:rFonts w:ascii="Cambria Math" w:hAnsi="Cambria Math"/>
                        </w:rPr>
                        <m:t>f</m:t>
                      </m:r>
                    </m:e>
                    <m:sup>
                      <m:r>
                        <w:rPr>
                          <w:rFonts w:ascii="Cambria Math" w:hAnsi="Cambria Math"/>
                        </w:rPr>
                        <m:t>σ</m:t>
                      </m:r>
                    </m:sup>
                  </m:sSup>
                </m:sub>
              </m:sSub>
              <m:r>
                <w:rPr>
                  <w:rFonts w:ascii="Cambria Math" w:hAnsi="Cambria Math"/>
                </w:rPr>
                <m:t xml:space="preserve"> (</m:t>
              </m:r>
              <m:sSub>
                <m:sSubPr>
                  <m:ctrlPr>
                    <w:rPr>
                      <w:rFonts w:ascii="Cambria Math" w:hAnsi="Cambria Math"/>
                      <w:i/>
                      <w:iCs/>
                    </w:rPr>
                  </m:ctrlPr>
                </m:sSubPr>
                <m:e>
                  <m:d>
                    <m:dPr>
                      <m:ctrlPr>
                        <w:rPr>
                          <w:rFonts w:ascii="Cambria Math" w:hAnsi="Cambria Math"/>
                          <w:i/>
                          <w:iCs/>
                        </w:rPr>
                      </m:ctrlPr>
                    </m:d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β</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β</m:t>
                          </m:r>
                        </m:sup>
                      </m:sSubSup>
                    </m:e>
                  </m:d>
                </m:e>
                <m:sub>
                  <m:r>
                    <w:rPr>
                      <w:rFonts w:ascii="Cambria Math" w:hAnsi="Cambria Math"/>
                    </w:rPr>
                    <m:t xml:space="preserve">q-1,…, </m:t>
                  </m:r>
                  <m:sSup>
                    <m:sSupPr>
                      <m:ctrlPr>
                        <w:rPr>
                          <w:rFonts w:ascii="Cambria Math" w:hAnsi="Cambria Math"/>
                          <w:i/>
                          <w:iCs/>
                        </w:rPr>
                      </m:ctrlPr>
                    </m:sSupPr>
                    <m:e>
                      <m:r>
                        <w:rPr>
                          <w:rFonts w:ascii="Cambria Math" w:hAnsi="Cambria Math"/>
                        </w:rPr>
                        <m:t>f</m:t>
                      </m:r>
                    </m:e>
                    <m:sup>
                      <m:r>
                        <w:rPr>
                          <w:rFonts w:ascii="Cambria Math" w:hAnsi="Cambria Math"/>
                        </w:rPr>
                        <m:t>σ</m:t>
                      </m:r>
                    </m:sup>
                  </m:sSup>
                </m:sub>
              </m:sSub>
              <m:r>
                <w:rPr>
                  <w:rFonts w:ascii="Cambria Math" w:hAnsi="Cambria Math"/>
                </w:rPr>
                <m:t>)</m:t>
              </m:r>
            </m:e>
            <m:sup>
              <m:r>
                <w:rPr>
                  <w:rFonts w:ascii="Cambria Math" w:hAnsi="Cambria Math"/>
                </w:rPr>
                <m:t>2</m:t>
              </m:r>
            </m:sup>
          </m:sSup>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q</m:t>
              </m:r>
            </m:sub>
            <m:sup/>
            <m:e>
              <m:nary>
                <m:naryPr>
                  <m:chr m:val="∑"/>
                  <m:limLoc m:val="undOvr"/>
                  <m:supHide m:val="1"/>
                  <m:ctrlPr>
                    <w:rPr>
                      <w:rFonts w:ascii="Cambria Math" w:hAnsi="Cambria Math"/>
                      <w:i/>
                      <w:iCs/>
                    </w:rPr>
                  </m:ctrlPr>
                </m:naryPr>
                <m:sub>
                  <m:r>
                    <w:rPr>
                      <w:rFonts w:ascii="Cambria Math" w:hAnsi="Cambria Math"/>
                    </w:rPr>
                    <m:t>q</m:t>
                  </m:r>
                </m:sub>
                <m:sup/>
                <m:e>
                  <m:sSup>
                    <m:sSupPr>
                      <m:ctrlPr>
                        <w:rPr>
                          <w:rFonts w:ascii="Cambria Math" w:hAnsi="Cambria Math"/>
                          <w:i/>
                          <w:iCs/>
                        </w:rPr>
                      </m:ctrlPr>
                    </m:sSupPr>
                    <m:e>
                      <m:r>
                        <w:rPr>
                          <w:rFonts w:ascii="Cambria Math" w:hAnsi="Cambria Math"/>
                        </w:rPr>
                        <m:t>K</m:t>
                      </m:r>
                    </m:e>
                    <m:sup>
                      <m:r>
                        <w:rPr>
                          <w:rFonts w:ascii="Cambria Math" w:hAnsi="Cambria Math"/>
                        </w:rPr>
                        <m:t>W</m:t>
                      </m:r>
                    </m:sup>
                  </m:sSup>
                </m:e>
              </m:nary>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σ</m:t>
                  </m:r>
                </m:sup>
              </m:sSubSup>
              <m:r>
                <w:rPr>
                  <w:rFonts w:ascii="Cambria Math" w:hAnsi="Cambria Math"/>
                </w:rPr>
                <m:t>,</m:t>
              </m:r>
              <m:sSubSup>
                <m:sSubSupPr>
                  <m:ctrlPr>
                    <w:rPr>
                      <w:rFonts w:ascii="Cambria Math" w:hAnsi="Cambria Math"/>
                      <w:i/>
                      <w:iCs/>
                    </w:rPr>
                  </m:ctrlPr>
                </m:sSubSupPr>
                <m:e>
                  <m:r>
                    <w:rPr>
                      <w:rFonts w:ascii="Cambria Math" w:hAnsi="Cambria Math"/>
                    </w:rPr>
                    <m:t>c</m:t>
                  </m:r>
                </m:e>
                <m:sub>
                  <m:r>
                    <w:rPr>
                      <w:rFonts w:ascii="Cambria Math" w:hAnsi="Cambria Math"/>
                    </w:rPr>
                    <m:t>p</m:t>
                  </m:r>
                </m:sub>
                <m:sup>
                  <m:r>
                    <w:rPr>
                      <w:rFonts w:ascii="Cambria Math" w:hAnsi="Cambria Math"/>
                    </w:rPr>
                    <m:t>β</m:t>
                  </m:r>
                </m:sup>
              </m:sSubSup>
              <m:r>
                <w:rPr>
                  <w:rFonts w:ascii="Cambria Math" w:hAnsi="Cambria Math"/>
                </w:rPr>
                <m:t>)</m:t>
              </m:r>
            </m:e>
          </m:nary>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sSup>
                    <m:sSupPr>
                      <m:ctrlPr>
                        <w:rPr>
                          <w:rFonts w:ascii="Cambria Math" w:hAnsi="Cambria Math"/>
                          <w:i/>
                          <w:iCs/>
                        </w:rPr>
                      </m:ctrlPr>
                    </m:sSupPr>
                    <m:e>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α</m:t>
                          </m:r>
                        </m:sup>
                      </m:sSubSup>
                      <m:r>
                        <w:rPr>
                          <w:rFonts w:ascii="Cambria Math" w:hAnsi="Cambria Math"/>
                        </w:rPr>
                        <m:t>)</m:t>
                      </m:r>
                    </m:e>
                    <m:sup>
                      <m:r>
                        <m:rPr>
                          <m:sty m:val="p"/>
                        </m:rPr>
                        <w:rPr>
                          <w:rFonts w:ascii="Cambria Math" w:hAnsi="Cambria Math"/>
                        </w:rPr>
                        <m:t>⊤</m:t>
                      </m:r>
                    </m:sup>
                  </m:sSup>
                  <m:sSubSup>
                    <m:sSubSupPr>
                      <m:ctrlPr>
                        <w:rPr>
                          <w:rFonts w:ascii="Cambria Math" w:hAnsi="Cambria Math"/>
                          <w:i/>
                          <w:iCs/>
                        </w:rPr>
                      </m:ctrlPr>
                    </m:sSubSupPr>
                    <m:e>
                      <m:r>
                        <w:rPr>
                          <w:rFonts w:ascii="Cambria Math" w:hAnsi="Cambria Math"/>
                        </w:rPr>
                        <m:t>n</m:t>
                      </m:r>
                    </m:e>
                    <m:sub>
                      <m:r>
                        <w:rPr>
                          <w:rFonts w:ascii="Cambria Math" w:hAnsi="Cambria Math"/>
                        </w:rPr>
                        <m:t>q</m:t>
                      </m:r>
                    </m:sub>
                    <m:sup>
                      <m:r>
                        <w:rPr>
                          <w:rFonts w:ascii="Cambria Math" w:hAnsi="Cambria Math"/>
                        </w:rPr>
                        <m:t>β</m:t>
                      </m:r>
                    </m:sup>
                  </m:sSubSup>
                  <m:r>
                    <w:rPr>
                      <w:rFonts w:ascii="Cambria Math" w:hAnsi="Cambria Math"/>
                    </w:rPr>
                    <m:t>]</m:t>
                  </m:r>
                </m:e>
                <m:sup>
                  <m:r>
                    <w:rPr>
                      <w:rFonts w:ascii="Cambria Math" w:hAnsi="Cambria Math"/>
                    </w:rPr>
                    <m:t>2</m:t>
                  </m:r>
                </m:sup>
              </m:sSup>
            </m:num>
            <m:den>
              <m:r>
                <m:rPr>
                  <m:sty m:val="p"/>
                </m:rP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α</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q</m:t>
                  </m:r>
                </m:sub>
                <m:sup>
                  <m:r>
                    <w:rPr>
                      <w:rFonts w:ascii="Cambria Math" w:hAnsi="Cambria Math"/>
                    </w:rPr>
                    <m:t>β</m:t>
                  </m:r>
                </m:sup>
              </m:sSubSup>
              <m:r>
                <m:rPr>
                  <m:sty m:val="p"/>
                </m:rPr>
                <w:rPr>
                  <w:rFonts w:ascii="Cambria Math" w:hAnsi="Cambria Math"/>
                </w:rPr>
                <m:t>∥</m:t>
              </m:r>
            </m:den>
          </m:f>
        </m:oMath>
      </m:oMathPara>
    </w:p>
    <w:p w14:paraId="202534B0" w14:textId="7D1F2A37" w:rsidR="00375DDD" w:rsidRDefault="00F767EA" w:rsidP="007F5FF3">
      <w:pPr>
        <w:spacing w:line="480" w:lineRule="auto"/>
        <w:rPr>
          <w:rFonts w:eastAsiaTheme="minorEastAsia"/>
        </w:rPr>
      </w:pPr>
      <w:r>
        <w:rPr>
          <w:iCs/>
        </w:rPr>
        <w:t xml:space="preserve">Where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W</m:t>
            </m:r>
          </m:sup>
        </m:sSup>
      </m:oMath>
      <w:r>
        <w:rPr>
          <w:rFonts w:eastAsiaTheme="minorEastAsia"/>
        </w:rPr>
        <w:t xml:space="preserve"> is the gaussian kernel with the width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W</m:t>
            </m:r>
          </m:sup>
        </m:sSup>
        <m:r>
          <w:rPr>
            <w:rFonts w:ascii="Cambria Math" w:eastAsiaTheme="minorEastAsia" w:hAnsi="Cambria Math"/>
          </w:rPr>
          <m:t xml:space="preserve">. </m:t>
        </m:r>
      </m:oMath>
      <w:r w:rsidR="00945EEA">
        <w:rPr>
          <w:rFonts w:eastAsiaTheme="minorEastAsia"/>
        </w:rPr>
        <w:t xml:space="preserve"> </w:t>
      </w:r>
      <w:r w:rsidR="00041276">
        <w:rPr>
          <w:rFonts w:eastAsiaTheme="minorEastAsia"/>
        </w:rPr>
        <w:t xml:space="preserve">Based on this mathematical framework, we executed the analyses using </w:t>
      </w:r>
      <w:r w:rsidR="00041276">
        <w:rPr>
          <w:rFonts w:eastAsiaTheme="minorEastAsia"/>
          <w:i/>
          <w:iCs/>
        </w:rPr>
        <w:t>Deformetrica 4</w:t>
      </w:r>
      <w:r w:rsidR="00041276">
        <w:rPr>
          <w:rFonts w:eastAsiaTheme="minorEastAsia"/>
        </w:rPr>
        <w:t xml:space="preserve"> </w:t>
      </w:r>
      <w:r w:rsidR="00041276">
        <w:rPr>
          <w:rFonts w:eastAsiaTheme="minorEastAsia"/>
        </w:rPr>
        <w:fldChar w:fldCharType="begin"/>
      </w:r>
      <w:r w:rsidR="002F5782">
        <w:rPr>
          <w:rFonts w:eastAsiaTheme="minorEastAsia"/>
        </w:rPr>
        <w:instrText xml:space="preserve"> ADDIN EN.CITE &lt;EndNote&gt;&lt;Cite&gt;&lt;Author&gt;Durrleman&lt;/Author&gt;&lt;Year&gt;2014&lt;/Year&gt;&lt;RecNum&gt;169&lt;/RecNum&gt;&lt;DisplayText&gt;[33, 34]&lt;/DisplayText&gt;&lt;record&gt;&lt;rec-number&gt;169&lt;/rec-number&gt;&lt;foreign-keys&gt;&lt;key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Cite&gt;&lt;Author&gt;Bône&lt;/Author&gt;&lt;Year&gt;2018&lt;/Year&gt;&lt;RecNum&gt;302&lt;/RecNum&gt;&lt;record&gt;&lt;rec-number&gt;302&lt;/rec-number&gt;&lt;foreign-keys&gt;&lt;key app="EN" db-id="stvxpdr5yrpspzes0zppeddup9p2da2vrpv9" timestamp="0"&gt;302&lt;/key&gt;&lt;/foreign-keys&gt;&lt;ref-type name="Conference Proceedings"&gt;10&lt;/ref-type&gt;&lt;contributors&gt;&lt;authors&gt;&lt;author&gt;Bône, Alexandre&lt;/author&gt;&lt;author&gt;Louis, Maxime&lt;/author&gt;&lt;author&gt;Martin, Benoît&lt;/author&gt;&lt;author&gt;Durrleman, Stanley&lt;/author&gt;&lt;/authors&gt;&lt;/contributors&gt;&lt;titles&gt;&lt;title&gt;Deformetrica 4: an open-source software for statistical shape analysis&lt;/title&gt;&lt;secondary-title&gt;Shape in Medical Imaging: International Workshop, ShapeMI 2018, Held in Conjunction with MICCAI 2018, Granada, Spain, September 20, 2018, Proceedings&lt;/secondary-title&gt;&lt;/titles&gt;&lt;pages&gt;3-13&lt;/pages&gt;&lt;dates&gt;&lt;year&gt;2018&lt;/year&gt;&lt;/dates&gt;&lt;publisher&gt;Springer&lt;/publisher&gt;&lt;isbn&gt;3030047466&lt;/isbn&gt;&lt;urls&gt;&lt;/urls&gt;&lt;electronic-resource-num&gt;https://doi.org/10.1007/978-3-030-04747-4_1&lt;/electronic-resource-num&gt;&lt;/record&gt;&lt;/Cite&gt;&lt;/EndNote&gt;</w:instrText>
      </w:r>
      <w:r w:rsidR="00041276">
        <w:rPr>
          <w:rFonts w:eastAsiaTheme="minorEastAsia"/>
        </w:rPr>
        <w:fldChar w:fldCharType="separate"/>
      </w:r>
      <w:r w:rsidR="00041276">
        <w:rPr>
          <w:rFonts w:eastAsiaTheme="minorEastAsia"/>
          <w:noProof/>
        </w:rPr>
        <w:t>[33, 34]</w:t>
      </w:r>
      <w:r w:rsidR="00041276">
        <w:rPr>
          <w:rFonts w:eastAsiaTheme="minorEastAsia"/>
        </w:rPr>
        <w:fldChar w:fldCharType="end"/>
      </w:r>
      <w:r w:rsidR="00041276">
        <w:rPr>
          <w:rFonts w:eastAsiaTheme="minorEastAsia"/>
        </w:rPr>
        <w:t xml:space="preserve">. </w:t>
      </w:r>
      <w:r w:rsidR="003D0AD0">
        <w:rPr>
          <w:rFonts w:eastAsiaTheme="minorEastAsia"/>
        </w:rPr>
        <w:t xml:space="preserve">All analyses were executed for 150 iterations using an initial step size of 0.01 and with the noise parameter set to 10.0. </w:t>
      </w:r>
    </w:p>
    <w:p w14:paraId="2EAA0E53" w14:textId="6CEFDFD2" w:rsidR="0010520B" w:rsidRDefault="0010520B" w:rsidP="007F5FF3">
      <w:pPr>
        <w:spacing w:line="480" w:lineRule="auto"/>
        <w:rPr>
          <w:rFonts w:eastAsiaTheme="minorEastAsia"/>
          <w:b/>
          <w:bCs/>
        </w:rPr>
      </w:pPr>
      <w:r>
        <w:rPr>
          <w:rFonts w:eastAsiaTheme="minorEastAsia"/>
          <w:b/>
          <w:bCs/>
        </w:rPr>
        <w:t>Kernel Principal Component Analysis (kPCA)</w:t>
      </w:r>
    </w:p>
    <w:p w14:paraId="617EA3F6" w14:textId="61AD0284" w:rsidR="000E42E1" w:rsidRDefault="0003700C" w:rsidP="007F5FF3">
      <w:pPr>
        <w:spacing w:line="480" w:lineRule="auto"/>
      </w:pPr>
      <w:r>
        <w:rPr>
          <w:rFonts w:eastAsiaTheme="minorEastAsia"/>
        </w:rPr>
        <w:t>The DAA produces three key outputs</w:t>
      </w:r>
      <w:r w:rsidR="00BA2DF8">
        <w:rPr>
          <w:rFonts w:eastAsiaTheme="minorEastAsia"/>
        </w:rPr>
        <w:t xml:space="preserve">: (1) the initial position of the control points in relation to the atlas, (2) the </w:t>
      </w:r>
      <w:r w:rsidR="0026541C">
        <w:rPr>
          <w:rFonts w:eastAsiaTheme="minorEastAsia"/>
        </w:rPr>
        <w:t xml:space="preserve">momenta for each of the 322 specimens that represent the measured deformations and (3) the final </w:t>
      </w:r>
      <w:r w:rsidR="00EB1EF0">
        <w:rPr>
          <w:rFonts w:eastAsiaTheme="minorEastAsia"/>
        </w:rPr>
        <w:t xml:space="preserve">atlas template. </w:t>
      </w:r>
      <w:r w:rsidR="00CA27E6">
        <w:rPr>
          <w:rFonts w:eastAsiaTheme="minorEastAsia"/>
        </w:rPr>
        <w:t xml:space="preserve">To be able to compare the shape variation, we focus on comparing the values of the momenta. </w:t>
      </w:r>
      <w:r w:rsidR="009936B4" w:rsidRPr="0073290E">
        <w:rPr>
          <w:rStyle w:val="katex-mathml"/>
        </w:rPr>
        <w:t xml:space="preserve">The initial properties of these momenta are non-linear due to the use of </w:t>
      </w:r>
      <w:r w:rsidR="00B81422">
        <w:rPr>
          <w:rStyle w:val="katex-mathml"/>
        </w:rPr>
        <w:t xml:space="preserve">a </w:t>
      </w:r>
      <w:r w:rsidR="009936B4" w:rsidRPr="0073290E">
        <w:rPr>
          <w:rStyle w:val="katex-mathml"/>
        </w:rPr>
        <w:t xml:space="preserve">geodesic on a non-linear manifold of diffeomorphisms </w:t>
      </w:r>
      <w:r w:rsidR="009936B4" w:rsidRPr="0073290E">
        <w:fldChar w:fldCharType="begin"/>
      </w:r>
      <w:r w:rsidR="002F5782">
        <w:instrText xml:space="preserve"> ADDIN EN.CITE &lt;EndNote&gt;&lt;Cite&gt;&lt;Author&gt;Beg&lt;/Author&gt;&lt;Year&gt;2005&lt;/Year&gt;&lt;RecNum&gt;303&lt;/RecNum&gt;&lt;DisplayText&gt;[32]&lt;/DisplayText&gt;&lt;record&gt;&lt;rec-number&gt;303&lt;/rec-number&gt;&lt;foreign-keys&gt;&lt;key app="EN" db-id="stvxpdr5yrpspzes0zppeddup9p2da2vrpv9" timestamp="1726857032"&gt;303&lt;/key&gt;&lt;/foreign-keys&gt;&lt;ref-type name="Journal Article"&gt;17&lt;/ref-type&gt;&lt;contributors&gt;&lt;authors&gt;&lt;author&gt;Beg, M Faisal&lt;/author&gt;&lt;author&gt;Miller, Michael I&lt;/author&gt;&lt;author&gt;Trouvé, Alain&lt;/author&gt;&lt;author&gt;Younes, Laurent&lt;/author&gt;&lt;/authors&gt;&lt;/contributors&gt;&lt;titles&gt;&lt;title&gt;Computing large deformation metric mappings via geodesic flows of diffeomorphisms&lt;/title&gt;&lt;secondary-title&gt;International journal of computer vision&lt;/secondary-title&gt;&lt;/titles&gt;&lt;periodical&gt;&lt;full-title&gt;International journal of computer vision&lt;/full-title&gt;&lt;/periodical&gt;&lt;pages&gt;139-157&lt;/pages&gt;&lt;volume&gt;61&lt;/volume&gt;&lt;dates&gt;&lt;year&gt;2005&lt;/year&gt;&lt;/dates&gt;&lt;isbn&gt;0920-5691&lt;/isbn&gt;&lt;urls&gt;&lt;/urls&gt;&lt;electronic-resource-num&gt;https://doi.org/10.1023/B:VISI.0000043755.93987.aa&lt;/electronic-resource-num&gt;&lt;/record&gt;&lt;/Cite&gt;&lt;/EndNote&gt;</w:instrText>
      </w:r>
      <w:r w:rsidR="009936B4" w:rsidRPr="0073290E">
        <w:fldChar w:fldCharType="separate"/>
      </w:r>
      <w:r w:rsidR="009936B4">
        <w:rPr>
          <w:noProof/>
        </w:rPr>
        <w:t>[32]</w:t>
      </w:r>
      <w:r w:rsidR="009936B4" w:rsidRPr="0073290E">
        <w:fldChar w:fldCharType="end"/>
      </w:r>
      <w:r w:rsidR="009936B4" w:rsidRPr="0073290E">
        <w:t>.</w:t>
      </w:r>
      <w:r w:rsidR="009936B4">
        <w:t xml:space="preserve"> </w:t>
      </w:r>
      <w:r w:rsidR="00CE0B9E">
        <w:t>Thus, to be able to compare these values</w:t>
      </w:r>
      <w:r w:rsidR="003D7A33">
        <w:t xml:space="preserve">, the results must be projected into linear space. To do this we use non-linear kernel </w:t>
      </w:r>
      <w:r w:rsidR="003D7A33">
        <w:lastRenderedPageBreak/>
        <w:t xml:space="preserve">principal component </w:t>
      </w:r>
      <w:r w:rsidR="00274715">
        <w:t xml:space="preserve">analysis (kPCA) </w:t>
      </w:r>
      <w:r w:rsidR="00274715">
        <w:fldChar w:fldCharType="begin"/>
      </w:r>
      <w:r w:rsidR="002F5782">
        <w:instrText xml:space="preserve"> ADDIN EN.CITE &lt;EndNote&gt;&lt;Cite&gt;&lt;Author&gt;Schölkopf&lt;/Author&gt;&lt;Year&gt;1997&lt;/Year&gt;&lt;RecNum&gt;197&lt;/RecNum&gt;&lt;DisplayText&gt;[38]&lt;/DisplayText&gt;&lt;record&gt;&lt;rec-number&gt;197&lt;/rec-number&gt;&lt;foreign-keys&gt;&lt;key app="EN" db-id="stvxpdr5yrpspzes0zppeddup9p2da2vrpv9" timestamp="0"&gt;197&lt;/key&gt;&lt;/foreign-keys&gt;&lt;ref-type name="Conference Proceedings"&gt;10&lt;/ref-type&gt;&lt;contributors&gt;&lt;authors&gt;&lt;author&gt;Schölkopf, Bernhard&lt;/author&gt;&lt;author&gt;Smola, Alexander&lt;/author&gt;&lt;author&gt;Müller, Klaus-Robert&lt;/author&gt;&lt;/authors&gt;&lt;/contributors&gt;&lt;titles&gt;&lt;title&gt;Kernel principal component analysis&lt;/title&gt;&lt;secondary-title&gt;International conference on artificial neural networks&lt;/secondary-title&gt;&lt;/titles&gt;&lt;pages&gt;583-588&lt;/pages&gt;&lt;dates&gt;&lt;year&gt;1997&lt;/year&gt;&lt;/dates&gt;&lt;publisher&gt;Springer&lt;/publisher&gt;&lt;urls&gt;&lt;/urls&gt;&lt;electronic-resource-num&gt;https://doi.org/10.1007/BFb0020217&lt;/electronic-resource-num&gt;&lt;/record&gt;&lt;/Cite&gt;&lt;/EndNote&gt;</w:instrText>
      </w:r>
      <w:r w:rsidR="00274715">
        <w:fldChar w:fldCharType="separate"/>
      </w:r>
      <w:r w:rsidR="00274715">
        <w:rPr>
          <w:noProof/>
        </w:rPr>
        <w:t>[38]</w:t>
      </w:r>
      <w:r w:rsidR="00274715">
        <w:fldChar w:fldCharType="end"/>
      </w:r>
      <w:r w:rsidR="00274715">
        <w:t xml:space="preserve">. </w:t>
      </w:r>
      <w:r w:rsidR="00E5538A">
        <w:t>This technique differs from traditional PCA</w:t>
      </w:r>
      <w:r w:rsidR="004235F4">
        <w:t xml:space="preserve"> and is more appropriate here as it can handle non-linear data. It </w:t>
      </w:r>
      <w:r w:rsidR="00A315DF">
        <w:t>can</w:t>
      </w:r>
      <w:r w:rsidR="004235F4">
        <w:t xml:space="preserve"> do this </w:t>
      </w:r>
      <w:r w:rsidR="007A2719">
        <w:t>by projecting the momenta into a higher-dimensional space, which then makes the data linear</w:t>
      </w:r>
      <w:r w:rsidR="005929CE">
        <w:t xml:space="preserve">ly </w:t>
      </w:r>
      <w:r w:rsidR="00B71D05">
        <w:t>separable</w:t>
      </w:r>
      <w:r w:rsidR="005929CE">
        <w:t>.</w:t>
      </w:r>
      <w:r w:rsidR="000E5056">
        <w:t xml:space="preserve"> This is done by calculating the dot product of the</w:t>
      </w:r>
      <w:r w:rsidR="00470568">
        <w:t xml:space="preserve"> </w:t>
      </w:r>
      <w:r w:rsidR="00A315DF">
        <w:t xml:space="preserve">mapped data points </w:t>
      </w:r>
      <w:r w:rsidR="00A315DF">
        <w:fldChar w:fldCharType="begin"/>
      </w:r>
      <w:r w:rsidR="002F5782">
        <w:instrText xml:space="preserve"> ADDIN EN.CITE &lt;EndNote&gt;&lt;Cite&gt;&lt;Author&gt;Schölkopf&lt;/Author&gt;&lt;Year&gt;1997&lt;/Year&gt;&lt;RecNum&gt;197&lt;/RecNum&gt;&lt;DisplayText&gt;[38]&lt;/DisplayText&gt;&lt;record&gt;&lt;rec-number&gt;197&lt;/rec-number&gt;&lt;foreign-keys&gt;&lt;key app="EN" db-id="stvxpdr5yrpspzes0zppeddup9p2da2vrpv9" timestamp="0"&gt;197&lt;/key&gt;&lt;/foreign-keys&gt;&lt;ref-type name="Conference Proceedings"&gt;10&lt;/ref-type&gt;&lt;contributors&gt;&lt;authors&gt;&lt;author&gt;Schölkopf, Bernhard&lt;/author&gt;&lt;author&gt;Smola, Alexander&lt;/author&gt;&lt;author&gt;Müller, Klaus-Robert&lt;/author&gt;&lt;/authors&gt;&lt;/contributors&gt;&lt;titles&gt;&lt;title&gt;Kernel principal component analysis&lt;/title&gt;&lt;secondary-title&gt;International conference on artificial neural networks&lt;/secondary-title&gt;&lt;/titles&gt;&lt;pages&gt;583-588&lt;/pages&gt;&lt;dates&gt;&lt;year&gt;1997&lt;/year&gt;&lt;/dates&gt;&lt;publisher&gt;Springer&lt;/publisher&gt;&lt;urls&gt;&lt;/urls&gt;&lt;electronic-resource-num&gt;https://doi.org/10.1007/BFb0020217&lt;/electronic-resource-num&gt;&lt;/record&gt;&lt;/Cite&gt;&lt;/EndNote&gt;</w:instrText>
      </w:r>
      <w:r w:rsidR="00A315DF">
        <w:fldChar w:fldCharType="separate"/>
      </w:r>
      <w:r w:rsidR="00A315DF">
        <w:rPr>
          <w:noProof/>
        </w:rPr>
        <w:t>[38]</w:t>
      </w:r>
      <w:r w:rsidR="00A315DF">
        <w:fldChar w:fldCharType="end"/>
      </w:r>
      <w:r w:rsidR="00A315DF">
        <w:t xml:space="preserve">: </w:t>
      </w:r>
    </w:p>
    <w:p w14:paraId="17787495" w14:textId="77777777" w:rsidR="000E42E1" w:rsidRPr="0073290E" w:rsidRDefault="000E42E1" w:rsidP="000E42E1">
      <w:pPr>
        <w:spacing w:line="480" w:lineRule="auto"/>
        <w:jc w:val="center"/>
        <w:rPr>
          <w:rStyle w:val="mopen"/>
          <w:rFonts w:eastAsiaTheme="minorEastAsia"/>
        </w:rPr>
      </w:pPr>
      <m:oMathPara>
        <m:oMath>
          <m:r>
            <m:rPr>
              <m:sty m:val="p"/>
            </m:rPr>
            <w:rPr>
              <w:rStyle w:val="mord"/>
              <w:rFonts w:ascii="Cambria Math" w:hAnsi="Cambria Math"/>
            </w:rPr>
            <m:t>K</m:t>
          </m:r>
          <m:d>
            <m:dPr>
              <m:ctrlPr>
                <w:rPr>
                  <w:rStyle w:val="mopen"/>
                  <w:rFonts w:ascii="Cambria Math" w:hAnsi="Cambria Math"/>
                </w:rPr>
              </m:ctrlPr>
            </m:dPr>
            <m:e>
              <m:sSub>
                <m:sSubPr>
                  <m:ctrlPr>
                    <w:rPr>
                      <w:rStyle w:val="mopen"/>
                      <w:rFonts w:ascii="Cambria Math" w:hAnsi="Cambria Math"/>
                    </w:rPr>
                  </m:ctrlPr>
                </m:sSubPr>
                <m:e>
                  <m:r>
                    <w:rPr>
                      <w:rStyle w:val="mopen"/>
                      <w:rFonts w:ascii="Cambria Math" w:hAnsi="Cambria Math"/>
                    </w:rPr>
                    <m:t>x</m:t>
                  </m:r>
                </m:e>
                <m:sub>
                  <m:r>
                    <w:rPr>
                      <w:rStyle w:val="mopen"/>
                      <w:rFonts w:ascii="Cambria Math" w:hAnsi="Cambria Math"/>
                    </w:rPr>
                    <m:t>i</m:t>
                  </m:r>
                </m:sub>
              </m:sSub>
              <m:r>
                <m:rPr>
                  <m:sty m:val="p"/>
                </m:rPr>
                <w:rPr>
                  <w:rStyle w:val="mpunct"/>
                  <w:rFonts w:ascii="Cambria Math" w:hAnsi="Cambria Math"/>
                </w:rPr>
                <m:t>,</m:t>
              </m:r>
              <m:sSub>
                <m:sSubPr>
                  <m:ctrlPr>
                    <w:rPr>
                      <w:rStyle w:val="mpunct"/>
                      <w:rFonts w:ascii="Cambria Math" w:hAnsi="Cambria Math"/>
                    </w:rPr>
                  </m:ctrlPr>
                </m:sSubPr>
                <m:e>
                  <m:r>
                    <w:rPr>
                      <w:rStyle w:val="mpunct"/>
                      <w:rFonts w:ascii="Cambria Math" w:hAnsi="Cambria Math"/>
                    </w:rPr>
                    <m:t>x</m:t>
                  </m:r>
                </m:e>
                <m:sub>
                  <m:r>
                    <w:rPr>
                      <w:rStyle w:val="mpunct"/>
                      <w:rFonts w:ascii="Cambria Math" w:hAnsi="Cambria Math"/>
                    </w:rPr>
                    <m:t>j</m:t>
                  </m:r>
                </m:sub>
              </m:sSub>
              <m:ctrlPr>
                <w:rPr>
                  <w:rStyle w:val="mclose"/>
                  <w:rFonts w:ascii="Cambria Math" w:hAnsi="Cambria Math"/>
                </w:rPr>
              </m:ctrlPr>
            </m:e>
          </m:d>
          <m:r>
            <m:rPr>
              <m:sty m:val="p"/>
            </m:rPr>
            <w:rPr>
              <w:rStyle w:val="mrel"/>
              <w:rFonts w:ascii="Cambria Math" w:hAnsi="Cambria Math"/>
            </w:rPr>
            <m:t>=</m:t>
          </m:r>
          <m:d>
            <m:dPr>
              <m:begChr m:val="⟨"/>
              <m:endChr m:val=""/>
              <m:ctrlPr>
                <w:rPr>
                  <w:rFonts w:ascii="Cambria Math" w:hAnsi="Cambria Math"/>
                </w:rPr>
              </m:ctrlPr>
            </m:dPr>
            <m:e>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ctrlPr>
                    <w:rPr>
                      <w:rFonts w:ascii="Cambria Math" w:hAnsi="Cambria Math"/>
                      <w:i/>
                    </w:rPr>
                  </m:ctrlPr>
                </m:e>
              </m:d>
              <m:r>
                <w:rPr>
                  <w:rFonts w:ascii="Cambria Math" w:hAnsi="Cambria Math"/>
                </w:rPr>
                <m:t>,</m:t>
              </m:r>
              <m:d>
                <m:dPr>
                  <m:begChr m:val=""/>
                  <m:endChr m:val="⟩"/>
                  <m:ctrlPr>
                    <w:rPr>
                      <w:rFonts w:ascii="Cambria Math" w:hAnsi="Cambria Math"/>
                    </w:rPr>
                  </m:ctrlPr>
                </m:dPr>
                <m:e>
                  <m:r>
                    <w:rPr>
                      <w:rFonts w:ascii="Cambria Math" w:hAnsi="Cambria Math"/>
                    </w:rPr>
                    <m:t xml:space="preserve"> ϕ</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m:t>
                          </m:r>
                        </m:sub>
                      </m:sSub>
                      <m:ctrlPr>
                        <w:rPr>
                          <w:rFonts w:ascii="Cambria Math" w:hAnsi="Cambria Math"/>
                          <w:i/>
                        </w:rPr>
                      </m:ctrlPr>
                    </m:e>
                  </m:d>
                </m:e>
              </m:d>
            </m:e>
          </m:d>
        </m:oMath>
      </m:oMathPara>
    </w:p>
    <w:p w14:paraId="68FD3E47" w14:textId="2E2CBEBF" w:rsidR="009D1510" w:rsidRPr="009D1510" w:rsidRDefault="0058210E" w:rsidP="009D1510">
      <w:pPr>
        <w:spacing w:line="480" w:lineRule="auto"/>
      </w:pPr>
      <w:r>
        <w:t xml:space="preserve">Which is projected into the principal component space: </w:t>
      </w:r>
      <w:r w:rsidR="009D1510" w:rsidRPr="009D1510">
        <w:rPr>
          <w:rFonts w:ascii="Cambria Math" w:eastAsiaTheme="minorEastAsia" w:hAnsi="Cambria Math"/>
          <w:i/>
        </w:rPr>
        <w:br/>
      </w:r>
      <m:oMathPara>
        <m:oMath>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k</m:t>
                  </m:r>
                </m:sup>
              </m:sSup>
              <m:r>
                <w:rPr>
                  <w:rFonts w:ascii="Cambria Math" w:hAnsi="Cambria Math"/>
                </w:rPr>
                <m:t>. ϕ</m:t>
              </m:r>
              <m:d>
                <m:dPr>
                  <m:ctrlPr>
                    <w:rPr>
                      <w:rFonts w:ascii="Cambria Math" w:hAnsi="Cambria Math"/>
                      <w:i/>
                    </w:rPr>
                  </m:ctrlPr>
                </m:dPr>
                <m:e>
                  <m:r>
                    <w:rPr>
                      <w:rFonts w:ascii="Cambria Math" w:hAnsi="Cambria Math"/>
                    </w:rPr>
                    <m:t>x</m:t>
                  </m:r>
                </m:e>
              </m:d>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r>
                <w:rPr>
                  <w:rFonts w:ascii="Cambria Math" w:hAnsi="Cambria Math"/>
                </w:rPr>
                <m:t>(</m:t>
              </m:r>
            </m:e>
          </m:nary>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ctrlPr>
                <w:rPr>
                  <w:rFonts w:ascii="Cambria Math" w:hAnsi="Cambria Math"/>
                  <w:i/>
                </w:rPr>
              </m:ctrlPr>
            </m:e>
          </m:d>
          <m:r>
            <w:rPr>
              <w:rFonts w:ascii="Cambria Math" w:hAnsi="Cambria Math"/>
            </w:rPr>
            <m:t>. ϕ</m:t>
          </m:r>
          <m:r>
            <m:rPr>
              <m:sty m:val="p"/>
            </m:rPr>
            <w:rPr>
              <w:rFonts w:ascii="Cambria Math" w:hAnsi="Cambria Math"/>
            </w:rPr>
            <m:t>(</m:t>
          </m:r>
          <m:r>
            <w:rPr>
              <w:rFonts w:ascii="Cambria Math" w:hAnsi="Cambria Math"/>
            </w:rPr>
            <m:t>x)).</m:t>
          </m:r>
        </m:oMath>
      </m:oMathPara>
    </w:p>
    <w:p w14:paraId="3E721F74" w14:textId="77777777" w:rsidR="005A22E2" w:rsidRPr="0073290E" w:rsidRDefault="005A22E2" w:rsidP="005A22E2">
      <w:pPr>
        <w:spacing w:line="480" w:lineRule="auto"/>
        <w:rPr>
          <w:rFonts w:eastAsiaTheme="minorEastAsia"/>
        </w:rPr>
      </w:pPr>
      <w:r w:rsidRPr="0073290E">
        <w:rPr>
          <w:rFonts w:eastAsiaTheme="minorEastAsia"/>
        </w:rPr>
        <w:t xml:space="preserve">Where </w:t>
      </w:r>
      <m:oMath>
        <m:sSup>
          <m:sSupPr>
            <m:ctrlPr>
              <w:rPr>
                <w:rStyle w:val="mopen"/>
                <w:rFonts w:ascii="Cambria Math" w:eastAsiaTheme="minorEastAsia" w:hAnsi="Cambria Math"/>
                <w:i/>
              </w:rPr>
            </m:ctrlPr>
          </m:sSupPr>
          <m:e>
            <m:r>
              <w:rPr>
                <w:rStyle w:val="mopen"/>
                <w:rFonts w:ascii="Cambria Math" w:eastAsiaTheme="minorEastAsia" w:hAnsi="Cambria Math"/>
              </w:rPr>
              <m:t>V</m:t>
            </m:r>
          </m:e>
          <m:sup>
            <m:r>
              <w:rPr>
                <w:rStyle w:val="mopen"/>
                <w:rFonts w:ascii="Cambria Math" w:eastAsiaTheme="minorEastAsia" w:hAnsi="Cambria Math"/>
              </w:rPr>
              <m:t>k</m:t>
            </m:r>
          </m:sup>
        </m:sSup>
      </m:oMath>
      <w:r w:rsidRPr="0073290E">
        <w:rPr>
          <w:rStyle w:val="mopen"/>
          <w:rFonts w:eastAsiaTheme="minorEastAsia"/>
        </w:rPr>
        <w:t xml:space="preserve"> is the </w:t>
      </w:r>
      <m:oMath>
        <m:r>
          <w:rPr>
            <w:rStyle w:val="mopen"/>
            <w:rFonts w:ascii="Cambria Math" w:eastAsiaTheme="minorEastAsia" w:hAnsi="Cambria Math"/>
          </w:rPr>
          <m:t>k</m:t>
        </m:r>
      </m:oMath>
      <w:r w:rsidRPr="0073290E">
        <w:rPr>
          <w:rStyle w:val="mopen"/>
          <w:rFonts w:eastAsiaTheme="minorEastAsia"/>
        </w:rPr>
        <w:t xml:space="preserve"> -th eigenvector in the feature space and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k</m:t>
            </m:r>
          </m:sup>
        </m:sSubSup>
      </m:oMath>
      <w:r w:rsidRPr="0073290E">
        <w:rPr>
          <w:rFonts w:eastAsiaTheme="minorEastAsia"/>
        </w:rPr>
        <w:t xml:space="preserve"> are the components of the</w:t>
      </w:r>
      <m:oMath>
        <m:r>
          <w:rPr>
            <w:rStyle w:val="Hyperlink"/>
            <w:rFonts w:ascii="Cambria Math" w:eastAsiaTheme="minorEastAsia" w:hAnsi="Cambria Math"/>
          </w:rPr>
          <m:t xml:space="preserve"> </m:t>
        </m:r>
        <m:r>
          <w:rPr>
            <w:rStyle w:val="mopen"/>
            <w:rFonts w:ascii="Cambria Math" w:eastAsiaTheme="minorEastAsia" w:hAnsi="Cambria Math"/>
          </w:rPr>
          <m:t>k</m:t>
        </m:r>
      </m:oMath>
      <w:r w:rsidRPr="0073290E">
        <w:rPr>
          <w:rFonts w:eastAsiaTheme="minorEastAsia"/>
        </w:rPr>
        <w:t xml:space="preserve"> -th eigenvector from the kernel matrix decomposition. </w:t>
      </w:r>
    </w:p>
    <w:p w14:paraId="29700E04" w14:textId="456DBCCB" w:rsidR="00C0240E" w:rsidRDefault="00210814" w:rsidP="007F5FF3">
      <w:pPr>
        <w:spacing w:line="480" w:lineRule="auto"/>
      </w:pPr>
      <w:r>
        <w:rPr>
          <w:rFonts w:eastAsiaTheme="minorEastAsia"/>
        </w:rPr>
        <w:t xml:space="preserve">When using a manual landmarking approach, the number of PC axes is defined by the number of specimens (n -1), in this case 321 axes. As a result, </w:t>
      </w:r>
      <w:r w:rsidR="009546AA">
        <w:rPr>
          <w:rFonts w:eastAsiaTheme="minorEastAsia"/>
        </w:rPr>
        <w:t>for the DAA analyses, we opted to project the measured moment</w:t>
      </w:r>
      <w:r w:rsidR="00281335">
        <w:rPr>
          <w:rFonts w:eastAsiaTheme="minorEastAsia"/>
        </w:rPr>
        <w:t>a</w:t>
      </w:r>
      <w:r w:rsidR="009546AA">
        <w:rPr>
          <w:rFonts w:eastAsiaTheme="minorEastAsia"/>
        </w:rPr>
        <w:t xml:space="preserve"> into 321 PC axes to align with </w:t>
      </w:r>
      <w:r w:rsidR="00AB7DE8">
        <w:rPr>
          <w:rFonts w:eastAsiaTheme="minorEastAsia"/>
        </w:rPr>
        <w:t xml:space="preserve">the results from the manual landmarking. </w:t>
      </w:r>
      <w:r w:rsidR="001E0410">
        <w:rPr>
          <w:rFonts w:eastAsiaTheme="minorEastAsia"/>
        </w:rPr>
        <w:t xml:space="preserve">For the kPCA, each axes represents the maximum variance of the kernel matrix as opposed to the original space </w:t>
      </w:r>
      <w:r w:rsidR="00B0377B">
        <w:rPr>
          <w:rFonts w:eastAsiaTheme="minorEastAsia"/>
        </w:rPr>
        <w:t>as is the case with traditional PCA. Each ax</w:t>
      </w:r>
      <w:r w:rsidR="00957ABC">
        <w:rPr>
          <w:rFonts w:eastAsiaTheme="minorEastAsia"/>
        </w:rPr>
        <w:t>i</w:t>
      </w:r>
      <w:r w:rsidR="00B0377B">
        <w:rPr>
          <w:rFonts w:eastAsiaTheme="minorEastAsia"/>
        </w:rPr>
        <w:t xml:space="preserve">s is still ordered </w:t>
      </w:r>
      <w:r w:rsidR="00B02A00">
        <w:rPr>
          <w:rFonts w:eastAsiaTheme="minorEastAsia"/>
        </w:rPr>
        <w:t xml:space="preserve">in relation to the amount of variation described for the data. </w:t>
      </w:r>
      <w:r w:rsidR="00957ABC">
        <w:rPr>
          <w:rFonts w:eastAsiaTheme="minorEastAsia"/>
        </w:rPr>
        <w:t>This project</w:t>
      </w:r>
      <w:r w:rsidR="00AC2D8F">
        <w:rPr>
          <w:rFonts w:eastAsiaTheme="minorEastAsia"/>
        </w:rPr>
        <w:t xml:space="preserve">ion into 321 axes </w:t>
      </w:r>
      <w:r w:rsidR="00C0240E" w:rsidRPr="0073290E">
        <w:rPr>
          <w:rStyle w:val="katex-mathml"/>
          <w:rFonts w:eastAsiaTheme="minorEastAsia"/>
        </w:rPr>
        <w:t xml:space="preserve">was conducted using 1000 iterations and a kernel gamma of </w:t>
      </w:r>
      <w:r w:rsidR="00C0240E" w:rsidRPr="0073290E">
        <w:t>2.5×10</w:t>
      </w:r>
      <w:r w:rsidR="00C0240E" w:rsidRPr="0073290E">
        <w:rPr>
          <w:vertAlign w:val="superscript"/>
        </w:rPr>
        <w:t>−6</w:t>
      </w:r>
      <w:r w:rsidR="00C0240E" w:rsidRPr="0073290E">
        <w:t xml:space="preserve">, where the gamma value determines the width (or smoothness) of the kernel. </w:t>
      </w:r>
    </w:p>
    <w:p w14:paraId="1D8783DA" w14:textId="3E516C8B" w:rsidR="00DC0DCD" w:rsidRPr="0073290E" w:rsidRDefault="00C0240E" w:rsidP="00DC0DCD">
      <w:pPr>
        <w:spacing w:line="480" w:lineRule="auto"/>
      </w:pPr>
      <w:r>
        <w:t>All</w:t>
      </w:r>
      <w:r w:rsidR="0018268C">
        <w:t xml:space="preserve"> analyses (DAA and kPCA) </w:t>
      </w:r>
      <w:r w:rsidR="00DC0DCD" w:rsidRPr="0073290E">
        <w:t>were executed on a workstation running Ubuntu (22.04.2) for Windows, equipped with an Intel(R) Core</w:t>
      </w:r>
      <w:r w:rsidR="00DC0DCD">
        <w:t xml:space="preserve"> </w:t>
      </w:r>
      <w:r w:rsidR="00DC0DCD" w:rsidRPr="0073290E">
        <w:t>(TM) i7-7700 CPU operating at 3.60 GHz, 64.0 GB of RAM, and an NVIDIA GeForce RTX 2090 graphics card with 8.0 GB of dedicated GPU memory.</w:t>
      </w:r>
    </w:p>
    <w:p w14:paraId="4CB5A011" w14:textId="4898CC0A" w:rsidR="00D266EE" w:rsidRPr="00D266EE" w:rsidRDefault="00D266EE" w:rsidP="00D266EE">
      <w:pPr>
        <w:spacing w:line="480" w:lineRule="auto"/>
        <w:rPr>
          <w:rFonts w:eastAsia="Calibri"/>
          <w:b/>
          <w:bCs/>
          <w:iCs/>
        </w:rPr>
      </w:pPr>
      <w:r w:rsidRPr="00D266EE">
        <w:rPr>
          <w:rFonts w:eastAsia="Calibri"/>
          <w:b/>
          <w:bCs/>
          <w:iCs/>
        </w:rPr>
        <w:lastRenderedPageBreak/>
        <w:t xml:space="preserve">Comparing the </w:t>
      </w:r>
      <w:r w:rsidR="002918C9">
        <w:rPr>
          <w:rFonts w:eastAsia="Calibri"/>
          <w:b/>
          <w:bCs/>
          <w:iCs/>
        </w:rPr>
        <w:t>M</w:t>
      </w:r>
      <w:r w:rsidRPr="00D266EE">
        <w:rPr>
          <w:rFonts w:eastAsia="Calibri"/>
          <w:b/>
          <w:bCs/>
          <w:iCs/>
        </w:rPr>
        <w:t xml:space="preserve">anual </w:t>
      </w:r>
      <w:r w:rsidR="002918C9">
        <w:rPr>
          <w:rFonts w:eastAsia="Calibri"/>
          <w:b/>
          <w:bCs/>
          <w:iCs/>
        </w:rPr>
        <w:t>L</w:t>
      </w:r>
      <w:r w:rsidRPr="00D266EE">
        <w:rPr>
          <w:rFonts w:eastAsia="Calibri"/>
          <w:b/>
          <w:bCs/>
          <w:iCs/>
        </w:rPr>
        <w:t xml:space="preserve">andmarking and </w:t>
      </w:r>
      <w:r w:rsidR="002918C9">
        <w:rPr>
          <w:rFonts w:eastAsia="Calibri"/>
          <w:b/>
          <w:bCs/>
          <w:iCs/>
        </w:rPr>
        <w:t>L</w:t>
      </w:r>
      <w:r w:rsidRPr="00D266EE">
        <w:rPr>
          <w:rFonts w:eastAsia="Calibri"/>
          <w:b/>
          <w:bCs/>
          <w:iCs/>
        </w:rPr>
        <w:t xml:space="preserve">andmark-free </w:t>
      </w:r>
      <w:r w:rsidR="002918C9">
        <w:rPr>
          <w:rFonts w:eastAsia="Calibri"/>
          <w:b/>
          <w:bCs/>
          <w:iCs/>
        </w:rPr>
        <w:t>M</w:t>
      </w:r>
      <w:r w:rsidRPr="00D266EE">
        <w:rPr>
          <w:rFonts w:eastAsia="Calibri"/>
          <w:b/>
          <w:bCs/>
          <w:iCs/>
        </w:rPr>
        <w:t xml:space="preserve">ethods  </w:t>
      </w:r>
    </w:p>
    <w:p w14:paraId="6ECA893C" w14:textId="3DCD1315" w:rsidR="00D266EE" w:rsidRPr="00D266EE" w:rsidRDefault="00D266EE" w:rsidP="00D266EE">
      <w:pPr>
        <w:spacing w:line="480" w:lineRule="auto"/>
        <w:rPr>
          <w:rFonts w:eastAsia="Calibri"/>
          <w:bCs/>
          <w:iCs/>
        </w:rPr>
      </w:pPr>
      <w:r w:rsidRPr="00D266EE">
        <w:rPr>
          <w:rFonts w:eastAsia="Arial"/>
          <w:bCs/>
          <w:iCs/>
          <w:noProof/>
          <w:lang w:val="en-US"/>
        </w:rPr>
        <w:t xml:space="preserve">To compare the results obtained from manual landmarking with those generated by each DAA, we assessed a variety of statistical measures. First, to estimate the correlation in shape measurements between individuals estimated using the two distinct methods and across kernel widths, we calculated the Euclidean distances from each specimen to the atlas specimen, </w:t>
      </w:r>
      <w:r w:rsidRPr="00D266EE">
        <w:rPr>
          <w:rFonts w:eastAsia="Arial"/>
          <w:bCs/>
          <w:i/>
          <w:iCs/>
          <w:noProof/>
          <w:lang w:val="en-US"/>
        </w:rPr>
        <w:t>A. binturong</w:t>
      </w:r>
      <w:r w:rsidR="00124E5A">
        <w:rPr>
          <w:rFonts w:eastAsia="Arial"/>
          <w:bCs/>
          <w:iCs/>
          <w:noProof/>
          <w:lang w:val="en-US"/>
        </w:rPr>
        <w:t>. This was done</w:t>
      </w:r>
      <w:r w:rsidRPr="00D266EE">
        <w:rPr>
          <w:rFonts w:eastAsia="Arial"/>
          <w:bCs/>
          <w:iCs/>
          <w:noProof/>
          <w:lang w:val="en-US"/>
        </w:rPr>
        <w:t xml:space="preserve"> across all 321 axes for both the manual landmarking and each DAA. This distance is defined as </w:t>
      </w:r>
      <w:r w:rsidRPr="00D266EE">
        <w:rPr>
          <w:rFonts w:eastAsia="Calibri"/>
          <w:bCs/>
          <w:iCs/>
        </w:rPr>
        <w:fldChar w:fldCharType="begin"/>
      </w:r>
      <w:r w:rsidR="002F5782">
        <w:rPr>
          <w:rFonts w:eastAsia="Calibri"/>
          <w:bCs/>
          <w:iCs/>
        </w:rPr>
        <w:instrText xml:space="preserve"> ADDIN EN.CITE &lt;EndNote&gt;&lt;Cite&gt;&lt;Author&gt;Danielsson&lt;/Author&gt;&lt;Year&gt;1980&lt;/Year&gt;&lt;RecNum&gt;304&lt;/RecNum&gt;&lt;DisplayText&gt;[41]&lt;/DisplayText&gt;&lt;record&gt;&lt;rec-number&gt;304&lt;/rec-number&gt;&lt;foreign-keys&gt;&lt;key app="EN" db-id="stvxpdr5yrpspzes0zppeddup9p2da2vrpv9" timestamp="1726859053"&gt;304&lt;/key&gt;&lt;/foreign-keys&gt;&lt;ref-type name="Journal Article"&gt;17&lt;/ref-type&gt;&lt;contributors&gt;&lt;authors&gt;&lt;author&gt;Danielsson, Per-Erik&lt;/author&gt;&lt;/authors&gt;&lt;/contributors&gt;&lt;titles&gt;&lt;title&gt;Euclidean distance mapping&lt;/title&gt;&lt;secondary-title&gt;Computer Graphics and image processing&lt;/secondary-title&gt;&lt;/titles&gt;&lt;periodical&gt;&lt;full-title&gt;Computer Graphics and image processing&lt;/full-title&gt;&lt;/periodical&gt;&lt;pages&gt;227-248&lt;/pages&gt;&lt;volume&gt;14&lt;/volume&gt;&lt;number&gt;3&lt;/number&gt;&lt;dates&gt;&lt;year&gt;1980&lt;/year&gt;&lt;/dates&gt;&lt;isbn&gt;0146-664X&lt;/isbn&gt;&lt;urls&gt;&lt;/urls&gt;&lt;electronic-resource-num&gt;https://doi.org/10.1016/0146-664X(80)90054-4&lt;/electronic-resource-num&gt;&lt;/record&gt;&lt;/Cite&gt;&lt;/EndNote&gt;</w:instrText>
      </w:r>
      <w:r w:rsidRPr="00D266EE">
        <w:rPr>
          <w:rFonts w:eastAsia="Calibri"/>
          <w:bCs/>
          <w:iCs/>
        </w:rPr>
        <w:fldChar w:fldCharType="separate"/>
      </w:r>
      <w:r w:rsidR="00D304C4">
        <w:rPr>
          <w:rFonts w:eastAsia="Calibri"/>
          <w:bCs/>
          <w:iCs/>
          <w:noProof/>
        </w:rPr>
        <w:t>[41]</w:t>
      </w:r>
      <w:r w:rsidRPr="00D266EE">
        <w:rPr>
          <w:rFonts w:eastAsia="Calibri"/>
          <w:bCs/>
          <w:iCs/>
        </w:rPr>
        <w:fldChar w:fldCharType="end"/>
      </w:r>
      <w:r w:rsidRPr="00D266EE">
        <w:rPr>
          <w:rFonts w:eastAsia="Calibri"/>
          <w:bCs/>
          <w:iCs/>
        </w:rPr>
        <w:t xml:space="preserve">: </w:t>
      </w:r>
    </w:p>
    <w:p w14:paraId="6AFFB390" w14:textId="77777777" w:rsidR="00D266EE" w:rsidRPr="00D266EE" w:rsidRDefault="00D266EE" w:rsidP="00D266EE">
      <w:pPr>
        <w:spacing w:line="480" w:lineRule="auto"/>
        <w:rPr>
          <w:rFonts w:eastAsia="Calibri"/>
        </w:rPr>
      </w:pPr>
      <m:oMathPara>
        <m:oMath>
          <m:r>
            <w:rPr>
              <w:rFonts w:ascii="Cambria Math" w:eastAsia="Calibri" w:hAnsi="Cambria Math"/>
            </w:rPr>
            <m:t>d</m:t>
          </m:r>
          <m:d>
            <m:dPr>
              <m:ctrlPr>
                <w:rPr>
                  <w:rFonts w:ascii="Cambria Math" w:eastAsia="Calibri" w:hAnsi="Cambria Math"/>
                  <w:i/>
                </w:rPr>
              </m:ctrlPr>
            </m:dPr>
            <m:e>
              <m:r>
                <w:rPr>
                  <w:rFonts w:ascii="Cambria Math" w:eastAsia="Calibri" w:hAnsi="Cambria Math"/>
                </w:rPr>
                <m:t>p,q</m:t>
              </m:r>
            </m:e>
          </m:d>
          <m:r>
            <w:rPr>
              <w:rFonts w:ascii="Cambria Math" w:eastAsia="Calibri" w:hAnsi="Cambria Math"/>
            </w:rPr>
            <m:t xml:space="preserve">= </m:t>
          </m:r>
          <m:rad>
            <m:radPr>
              <m:degHide m:val="1"/>
              <m:ctrlPr>
                <w:rPr>
                  <w:rFonts w:ascii="Cambria Math" w:eastAsia="Calibri" w:hAnsi="Cambria Math"/>
                  <w:i/>
                </w:rPr>
              </m:ctrlPr>
            </m:radPr>
            <m:deg/>
            <m:e>
              <m:nary>
                <m:naryPr>
                  <m:chr m:val="∑"/>
                  <m:limLoc m:val="undOvr"/>
                  <m:ctrlPr>
                    <w:rPr>
                      <w:rFonts w:ascii="Cambria Math" w:eastAsia="Calibri" w:hAnsi="Cambria Math"/>
                      <w:i/>
                    </w:rPr>
                  </m:ctrlPr>
                </m:naryPr>
                <m:sub>
                  <m:r>
                    <w:rPr>
                      <w:rFonts w:ascii="Cambria Math" w:eastAsia="Calibri" w:hAnsi="Cambria Math"/>
                    </w:rPr>
                    <m:t>i=1</m:t>
                  </m:r>
                </m:sub>
                <m:sup>
                  <m:r>
                    <w:rPr>
                      <w:rFonts w:ascii="Cambria Math" w:eastAsia="Calibri" w:hAnsi="Cambria Math"/>
                    </w:rPr>
                    <m:t>n</m:t>
                  </m:r>
                </m:sup>
                <m:e>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 xml:space="preserve">i </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 xml:space="preserve">i </m:t>
                      </m:r>
                    </m:sub>
                  </m:sSub>
                  <m:r>
                    <w:rPr>
                      <w:rFonts w:ascii="Cambria Math" w:eastAsia="Calibri" w:hAnsi="Cambria Math"/>
                    </w:rPr>
                    <m:t xml:space="preserve">) </m:t>
                  </m:r>
                </m:e>
              </m:nary>
            </m:e>
          </m:rad>
        </m:oMath>
      </m:oMathPara>
    </w:p>
    <w:p w14:paraId="6E988363" w14:textId="2E1FDD59" w:rsidR="00D266EE" w:rsidRPr="00D266EE" w:rsidRDefault="00D266EE" w:rsidP="00D266EE">
      <w:pPr>
        <w:spacing w:line="480" w:lineRule="auto"/>
        <w:rPr>
          <w:rFonts w:eastAsia="Yu Mincho"/>
        </w:rPr>
      </w:pPr>
      <w:r w:rsidRPr="00D266EE">
        <w:rPr>
          <w:rFonts w:eastAsia="Calibri"/>
        </w:rPr>
        <w:t xml:space="preserve">Where, </w:t>
      </w:r>
      <w:r w:rsidRPr="00D266EE">
        <w:rPr>
          <w:rFonts w:eastAsia="Calibri"/>
          <w:i/>
        </w:rPr>
        <w:t>p, q</w:t>
      </w:r>
      <w:r w:rsidRPr="00D266EE">
        <w:rPr>
          <w:rFonts w:eastAsia="Calibri"/>
        </w:rPr>
        <w:t xml:space="preserve"> are two points in Euclidean n-space,</w:t>
      </w:r>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 xml:space="preserve">i </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 xml:space="preserve">i </m:t>
            </m:r>
          </m:sub>
        </m:sSub>
      </m:oMath>
      <w:r w:rsidRPr="00D266EE">
        <w:rPr>
          <w:rFonts w:eastAsia="Yu Mincho"/>
        </w:rPr>
        <w:t xml:space="preserve"> are Euclidean vectors, starting from the origin of space (initial point). </w:t>
      </w:r>
      <w:r w:rsidR="00D5648C">
        <w:rPr>
          <w:rFonts w:eastAsia="Yu Mincho"/>
        </w:rPr>
        <w:t xml:space="preserve">We then compared the </w:t>
      </w:r>
      <w:r w:rsidR="00D5648C" w:rsidRPr="0073290E">
        <w:rPr>
          <w:rFonts w:eastAsia="Arial"/>
          <w:bCs/>
          <w:iCs/>
          <w:noProof/>
          <w:lang w:val="en-US"/>
        </w:rPr>
        <w:t>distances derived from the manual landmarking with those from the DAA, emp</w:t>
      </w:r>
      <w:r w:rsidR="00D5648C">
        <w:rPr>
          <w:rFonts w:eastAsia="Arial"/>
          <w:bCs/>
          <w:iCs/>
          <w:noProof/>
          <w:lang w:val="en-US"/>
        </w:rPr>
        <w:t>loy</w:t>
      </w:r>
      <w:r w:rsidR="00D5648C" w:rsidRPr="0073290E">
        <w:rPr>
          <w:rFonts w:eastAsia="Arial"/>
          <w:bCs/>
          <w:iCs/>
          <w:noProof/>
          <w:lang w:val="en-US"/>
        </w:rPr>
        <w:t>ing bivariate plots and assessing their correlations using linear regression models in R v.</w:t>
      </w:r>
      <w:r w:rsidR="00D5648C">
        <w:rPr>
          <w:rFonts w:eastAsia="Arial"/>
          <w:bCs/>
          <w:iCs/>
          <w:noProof/>
          <w:lang w:val="en-US"/>
        </w:rPr>
        <w:t>4.3.1. This analysis allowed us</w:t>
      </w:r>
      <w:r w:rsidR="00D5648C" w:rsidRPr="0073290E">
        <w:rPr>
          <w:rFonts w:eastAsia="Arial"/>
          <w:bCs/>
          <w:iCs/>
          <w:noProof/>
          <w:lang w:val="en-US"/>
        </w:rPr>
        <w:t xml:space="preserve"> to quantify the overall correlations across the entire dataset</w:t>
      </w:r>
      <w:r w:rsidR="00F16AA3">
        <w:rPr>
          <w:rFonts w:eastAsia="Arial"/>
          <w:bCs/>
          <w:iCs/>
          <w:noProof/>
          <w:lang w:val="en-US"/>
        </w:rPr>
        <w:t>.</w:t>
      </w:r>
    </w:p>
    <w:p w14:paraId="183F6AAD" w14:textId="21762BAA" w:rsidR="0010520B" w:rsidRDefault="002016B5" w:rsidP="007F5FF3">
      <w:pPr>
        <w:spacing w:line="480" w:lineRule="auto"/>
        <w:rPr>
          <w:rFonts w:eastAsiaTheme="minorEastAsia"/>
        </w:rPr>
      </w:pPr>
      <w:r>
        <w:t xml:space="preserve">To further evaluate the correlation between the two methods, we measured the overall correspondence between the distance matrices, using two complementary approaches. First, we applied a Mantel test </w:t>
      </w:r>
      <w:r>
        <w:fldChar w:fldCharType="begin"/>
      </w:r>
      <w:r w:rsidR="00D304C4">
        <w:instrText xml:space="preserve"> ADDIN EN.CITE &lt;EndNote&gt;&lt;Cite&gt;&lt;Author&gt;Mantel&lt;/Author&gt;&lt;Year&gt;1967&lt;/Year&gt;&lt;RecNum&gt;350&lt;/RecNum&gt;&lt;DisplayText&gt;[42, 43]&lt;/DisplayText&gt;&lt;record&gt;&lt;rec-number&gt;350&lt;/rec-number&gt;&lt;foreign-keys&gt;&lt;key app="EN" db-id="tasefzw5b2p9euepe2cpwzvqsztr2dd9f5tz" timestamp="1739291547"&gt;350&lt;/key&gt;&lt;/foreign-keys&gt;&lt;ref-type name="Journal Article"&gt;17&lt;/ref-type&gt;&lt;contributors&gt;&lt;authors&gt;&lt;author&gt;Mantel, Nathan&lt;/author&gt;&lt;/authors&gt;&lt;/contributors&gt;&lt;titles&gt;&lt;title&gt;The detection of disease clustering and a generalized regression approach&lt;/title&gt;&lt;secondary-title&gt;Cancer research&lt;/secondary-title&gt;&lt;/titles&gt;&lt;periodical&gt;&lt;full-title&gt;Cancer research&lt;/full-title&gt;&lt;/periodical&gt;&lt;pages&gt;209-220&lt;/pages&gt;&lt;volume&gt;27&lt;/volume&gt;&lt;number&gt;2_Part_1&lt;/number&gt;&lt;dates&gt;&lt;year&gt;1967&lt;/year&gt;&lt;/dates&gt;&lt;isbn&gt;0008-5472&lt;/isbn&gt;&lt;urls&gt;&lt;/urls&gt;&lt;/record&gt;&lt;/Cite&gt;&lt;Cite&gt;&lt;Author&gt;Legendre&lt;/Author&gt;&lt;Year&gt;2010&lt;/Year&gt;&lt;RecNum&gt;359&lt;/RecNum&gt;&lt;record&gt;&lt;rec-number&gt;359&lt;/rec-number&gt;&lt;foreign-keys&gt;&lt;key app="EN" db-id="tasefzw5b2p9euepe2cpwzvqsztr2dd9f5tz" timestamp="1739482443"&gt;359&lt;/key&gt;&lt;/foreign-keys&gt;&lt;ref-type name="Journal Article"&gt;17&lt;/ref-type&gt;&lt;contributors&gt;&lt;authors&gt;&lt;author&gt;Legendre, Pierre&lt;/author&gt;&lt;author&gt;FORTIN, MARIE</w:instrText>
      </w:r>
      <w:r w:rsidR="00D304C4">
        <w:rPr>
          <w:rFonts w:ascii="Cambria Math" w:hAnsi="Cambria Math" w:cs="Cambria Math"/>
        </w:rPr>
        <w:instrText>‐</w:instrText>
      </w:r>
      <w:r w:rsidR="00D304C4">
        <w:instrText>JOSÉE&lt;/author&gt;&lt;/authors&gt;&lt;/contributors&gt;&lt;titles&gt;&lt;title&gt;Comparison of the Mantel test and alternative approaches for detecting complex multivariate relationships in the spatial analysis of genetic data&lt;/title&gt;&lt;secondary-title&gt;Molecular ecology resources&lt;/secondary-title&gt;&lt;/titles&gt;&lt;periodical&gt;&lt;full-title&gt;Molecular ecology resources&lt;/full-title&gt;&lt;/periodical&gt;&lt;pages&gt;831-844&lt;/pages&gt;&lt;volume&gt;10&lt;/volume&gt;&lt;number&gt;5&lt;/number&gt;&lt;dates&gt;&lt;year&gt;2010&lt;/year&gt;&lt;/dates&gt;&lt;isbn&gt;1755-098X&lt;/isbn&gt;&lt;urls&gt;&lt;/urls&gt;&lt;electronic-resource-num&gt;https://doi.org/10.1111/j.1755-0998.2010.02866.x&lt;/electronic-resource-num&gt;&lt;/record&gt;&lt;/Cite&gt;&lt;/EndNote&gt;</w:instrText>
      </w:r>
      <w:r>
        <w:fldChar w:fldCharType="separate"/>
      </w:r>
      <w:r w:rsidR="00D304C4">
        <w:rPr>
          <w:noProof/>
        </w:rPr>
        <w:t>[42, 43]</w:t>
      </w:r>
      <w:r>
        <w:fldChar w:fldCharType="end"/>
      </w:r>
      <w:r>
        <w:t xml:space="preserve"> to assess the statistical correlation </w:t>
      </w:r>
      <w:r w:rsidR="00C70C08">
        <w:t xml:space="preserve">between the matrices. </w:t>
      </w:r>
      <w:r w:rsidR="00A65C42">
        <w:t xml:space="preserve">This works by measuring the association of pairwise distances between </w:t>
      </w:r>
      <w:r w:rsidR="00613FE5">
        <w:t xml:space="preserve">each of the selected matrices. </w:t>
      </w:r>
      <w:r w:rsidR="00C70C08">
        <w:t xml:space="preserve">Second, we used the Procrustean Randomisation Test (PROTEST) </w:t>
      </w:r>
      <w:r w:rsidR="00F95D40" w:rsidRPr="0073290E">
        <w:rPr>
          <w:rFonts w:eastAsiaTheme="minorEastAsia"/>
        </w:rPr>
        <w:fldChar w:fldCharType="begin"/>
      </w:r>
      <w:r w:rsidR="002F5782">
        <w:rPr>
          <w:rFonts w:eastAsiaTheme="minorEastAsia"/>
        </w:rPr>
        <w:instrText xml:space="preserve"> ADDIN EN.CITE &lt;EndNote&gt;&lt;Cite&gt;&lt;Author&gt;Jackson&lt;/Author&gt;&lt;Year&gt;1995&lt;/Year&gt;&lt;RecNum&gt;305&lt;/RecNum&gt;&lt;DisplayText&gt;[44, 45]&lt;/DisplayText&gt;&lt;record&gt;&lt;rec-number&gt;305&lt;/rec-number&gt;&lt;foreign-keys&gt;&lt;key app="EN" db-id="stvxpdr5yrpspzes0zppeddup9p2da2vrpv9" timestamp="1727095887"&gt;305&lt;/key&gt;&lt;/foreign-keys&gt;&lt;ref-type name="Journal Article"&gt;17&lt;/ref-type&gt;&lt;contributors&gt;&lt;authors&gt;&lt;author&gt;Jackson, Donald A&lt;/author&gt;&lt;/authors&gt;&lt;/contributors&gt;&lt;titles&gt;&lt;title&gt;PROTEST: a PROcrustean randomization TEST of community environment concordance&lt;/title&gt;&lt;secondary-title&gt;Ecoscience&lt;/secondary-title&gt;&lt;/titles&gt;&lt;periodical&gt;&lt;full-title&gt;Ecoscience&lt;/full-title&gt;&lt;/periodical&gt;&lt;pages&gt;297-303&lt;/pages&gt;&lt;volume&gt;2&lt;/volume&gt;&lt;number&gt;3&lt;/number&gt;&lt;dates&gt;&lt;year&gt;1995&lt;/year&gt;&lt;/dates&gt;&lt;isbn&gt;1195-6860&lt;/isbn&gt;&lt;urls&gt;&lt;/urls&gt;&lt;electronic-resource-num&gt;https://doi.org/10.1080/11956860.1995.11682297&lt;/electronic-resource-num&gt;&lt;/record&gt;&lt;/Cite&gt;&lt;Cite&gt;&lt;Author&gt;Peres-Neto&lt;/Author&gt;&lt;Year&gt;2001&lt;/Year&gt;&lt;RecNum&gt;307&lt;/RecNum&gt;&lt;record&gt;&lt;rec-number&gt;307&lt;/rec-number&gt;&lt;foreign-keys&gt;&lt;key app="EN" db-id="stvxpdr5yrpspzes0zppeddup9p2da2vrpv9" timestamp="1727095967"&gt;307&lt;/key&gt;&lt;/foreign-keys&gt;&lt;ref-type name="Journal Article"&gt;17&lt;/ref-type&gt;&lt;contributors&gt;&lt;authors&gt;&lt;author&gt;Peres-Neto, Pedro R&lt;/author&gt;&lt;author&gt;Jackson, Donald A&lt;/author&gt;&lt;/authors&gt;&lt;/contributors&gt;&lt;titles&gt;&lt;title&gt;How well do multivariate data sets match? The advantages of a Procrustean superimposition approach over the Mantel test&lt;/title&gt;&lt;secondary-title&gt;Oecologia&lt;/secondary-title&gt;&lt;/titles&gt;&lt;periodical&gt;&lt;full-title&gt;Oecologia&lt;/full-title&gt;&lt;/periodical&gt;&lt;pages&gt;169-178&lt;/pages&gt;&lt;volume&gt;129&lt;/volume&gt;&lt;dates&gt;&lt;year&gt;2001&lt;/year&gt;&lt;/dates&gt;&lt;isbn&gt;0029-8549&lt;/isbn&gt;&lt;urls&gt;&lt;/urls&gt;&lt;electronic-resource-num&gt;https://doi.org/10.1007/s004420100720&lt;/electronic-resource-num&gt;&lt;/record&gt;&lt;/Cite&gt;&lt;/EndNote&gt;</w:instrText>
      </w:r>
      <w:r w:rsidR="00F95D40" w:rsidRPr="0073290E">
        <w:rPr>
          <w:rFonts w:eastAsiaTheme="minorEastAsia"/>
        </w:rPr>
        <w:fldChar w:fldCharType="separate"/>
      </w:r>
      <w:r w:rsidR="00D304C4">
        <w:rPr>
          <w:rFonts w:eastAsiaTheme="minorEastAsia"/>
          <w:noProof/>
        </w:rPr>
        <w:t>[44, 45]</w:t>
      </w:r>
      <w:r w:rsidR="00F95D40" w:rsidRPr="0073290E">
        <w:rPr>
          <w:rFonts w:eastAsiaTheme="minorEastAsia"/>
        </w:rPr>
        <w:fldChar w:fldCharType="end"/>
      </w:r>
      <w:r w:rsidR="00F95D40">
        <w:rPr>
          <w:rFonts w:eastAsiaTheme="minorEastAsia"/>
        </w:rPr>
        <w:t xml:space="preserve"> </w:t>
      </w:r>
      <w:r w:rsidR="006526EB">
        <w:rPr>
          <w:rFonts w:eastAsiaTheme="minorEastAsia"/>
        </w:rPr>
        <w:t xml:space="preserve">to directly quantify the degree of overlap between the matrices. </w:t>
      </w:r>
      <w:r w:rsidR="00A65C42" w:rsidRPr="0073290E">
        <w:rPr>
          <w:rFonts w:eastAsiaTheme="minorEastAsia"/>
        </w:rPr>
        <w:t>This test evaluates the significance of the Procrustes fit between two different configurations</w:t>
      </w:r>
      <w:r w:rsidR="00A65C42">
        <w:rPr>
          <w:rFonts w:eastAsiaTheme="minorEastAsia"/>
        </w:rPr>
        <w:t xml:space="preserve">. </w:t>
      </w:r>
      <w:r w:rsidR="006526EB">
        <w:rPr>
          <w:rFonts w:eastAsiaTheme="minorEastAsia"/>
        </w:rPr>
        <w:t>Both analyses were performed using</w:t>
      </w:r>
      <w:r w:rsidR="00D8566F">
        <w:rPr>
          <w:rFonts w:eastAsiaTheme="minorEastAsia"/>
        </w:rPr>
        <w:t xml:space="preserve"> </w:t>
      </w:r>
      <w:r w:rsidR="006526EB">
        <w:rPr>
          <w:rFonts w:eastAsiaTheme="minorEastAsia"/>
        </w:rPr>
        <w:t>vegan</w:t>
      </w:r>
      <w:r w:rsidR="00D8566F">
        <w:rPr>
          <w:rFonts w:eastAsiaTheme="minorEastAsia"/>
        </w:rPr>
        <w:t xml:space="preserve"> </w:t>
      </w:r>
      <w:r w:rsidR="00D8566F" w:rsidRPr="0073290E">
        <w:rPr>
          <w:rFonts w:eastAsiaTheme="minorEastAsia"/>
        </w:rPr>
        <w:fldChar w:fldCharType="begin"/>
      </w:r>
      <w:r w:rsidR="003C42E3">
        <w:rPr>
          <w:rFonts w:eastAsiaTheme="minorEastAsia"/>
        </w:rPr>
        <w:instrText xml:space="preserve"> ADDIN EN.CITE &lt;EndNote&gt;&lt;Cite&gt;&lt;Author&gt;Oksanen&lt;/Author&gt;&lt;Year&gt;2013&lt;/Year&gt;&lt;RecNum&gt;308&lt;/RecNum&gt;&lt;DisplayText&gt;[75]&lt;/DisplayText&gt;&lt;record&gt;&lt;rec-number&gt;308&lt;/rec-number&gt;&lt;foreign-keys&gt;&lt;key app="EN" db-id="stvxpdr5yrpspzes0zppeddup9p2da2vrpv9" timestamp="1727096252"&gt;308&lt;/key&gt;&lt;/foreign-keys&gt;&lt;ref-type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Helene&lt;/author&gt;&lt;/authors&gt;&lt;/contributors&gt;&lt;titles&gt;&lt;title&gt;Package ‘vegan’&lt;/title&gt;&lt;secondary-title&gt;Community ecology package, version&lt;/secondary-title&gt;&lt;/titles&gt;&lt;periodical&gt;&lt;full-title&gt;Community ecology package, version&lt;/full-title&gt;&lt;/periodical&gt;&lt;pages&gt;1-295&lt;/pages&gt;&lt;volume&gt;2&lt;/volume&gt;&lt;number&gt;9&lt;/number&gt;&lt;dates&gt;&lt;year&gt;2013&lt;/year&gt;&lt;/dates&gt;&lt;urls&gt;&lt;/urls&gt;&lt;/record&gt;&lt;/Cite&gt;&lt;/EndNote&gt;</w:instrText>
      </w:r>
      <w:r w:rsidR="00D8566F" w:rsidRPr="0073290E">
        <w:rPr>
          <w:rFonts w:eastAsiaTheme="minorEastAsia"/>
        </w:rPr>
        <w:fldChar w:fldCharType="separate"/>
      </w:r>
      <w:r w:rsidR="003C42E3">
        <w:rPr>
          <w:rFonts w:eastAsiaTheme="minorEastAsia"/>
          <w:noProof/>
        </w:rPr>
        <w:t>[75]</w:t>
      </w:r>
      <w:r w:rsidR="00D8566F" w:rsidRPr="0073290E">
        <w:rPr>
          <w:rFonts w:eastAsiaTheme="minorEastAsia"/>
        </w:rPr>
        <w:fldChar w:fldCharType="end"/>
      </w:r>
      <w:r w:rsidR="00D8566F" w:rsidRPr="0073290E">
        <w:rPr>
          <w:rFonts w:eastAsiaTheme="minorEastAsia"/>
        </w:rPr>
        <w:t xml:space="preserve"> v.2.6 in R.</w:t>
      </w:r>
      <w:r w:rsidR="00823BD6">
        <w:rPr>
          <w:rFonts w:eastAsiaTheme="minorEastAsia"/>
        </w:rPr>
        <w:t xml:space="preserve"> We applied </w:t>
      </w:r>
      <w:r w:rsidR="002D3EBD">
        <w:rPr>
          <w:rFonts w:eastAsiaTheme="minorEastAsia"/>
        </w:rPr>
        <w:t>both</w:t>
      </w:r>
      <w:r w:rsidR="00823BD6">
        <w:rPr>
          <w:rFonts w:eastAsiaTheme="minorEastAsia"/>
        </w:rPr>
        <w:t xml:space="preserve"> techniques across all 321 axes to </w:t>
      </w:r>
      <w:r w:rsidR="00823BD6">
        <w:rPr>
          <w:rFonts w:eastAsiaTheme="minorEastAsia"/>
        </w:rPr>
        <w:lastRenderedPageBreak/>
        <w:t xml:space="preserve">assess the overall </w:t>
      </w:r>
      <w:r w:rsidR="00935B49">
        <w:rPr>
          <w:rFonts w:eastAsiaTheme="minorEastAsia"/>
        </w:rPr>
        <w:t xml:space="preserve">correlation between datasets, conducting each across </w:t>
      </w:r>
      <w:r w:rsidR="00747813">
        <w:rPr>
          <w:rFonts w:eastAsiaTheme="minorEastAsia"/>
        </w:rPr>
        <w:t xml:space="preserve">9999 permutations. </w:t>
      </w:r>
    </w:p>
    <w:p w14:paraId="2EF2F7E2" w14:textId="0CCA416A" w:rsidR="00C31698" w:rsidRDefault="006E3810" w:rsidP="00C31698">
      <w:pPr>
        <w:spacing w:line="480" w:lineRule="auto"/>
        <w:rPr>
          <w:rFonts w:eastAsiaTheme="minorEastAsia"/>
        </w:rPr>
      </w:pPr>
      <w:r w:rsidRPr="0073290E">
        <w:rPr>
          <w:rFonts w:eastAsiaTheme="minorEastAsia"/>
        </w:rPr>
        <w:t>We also measured the correlation between the percentage of variation (eigenvalues) explained by each of 321 axes for the manual landmarking and DAA</w:t>
      </w:r>
      <w:r>
        <w:rPr>
          <w:rFonts w:eastAsiaTheme="minorEastAsia"/>
        </w:rPr>
        <w:t>, using</w:t>
      </w:r>
      <w:r w:rsidR="00C31698">
        <w:rPr>
          <w:rFonts w:eastAsiaTheme="minorEastAsia"/>
        </w:rPr>
        <w:t xml:space="preserve"> </w:t>
      </w:r>
      <w:r w:rsidR="00C31698" w:rsidRPr="0073290E">
        <w:rPr>
          <w:rFonts w:eastAsiaTheme="minorEastAsia"/>
        </w:rPr>
        <w:t xml:space="preserve">linear regression models to determine the overall correlation and statistical significance of each result. </w:t>
      </w:r>
    </w:p>
    <w:p w14:paraId="0AAD029D" w14:textId="2EE25EE2" w:rsidR="00452937" w:rsidRPr="0073290E" w:rsidRDefault="00452937" w:rsidP="00452937">
      <w:pPr>
        <w:spacing w:line="480" w:lineRule="auto"/>
        <w:rPr>
          <w:rFonts w:eastAsiaTheme="minorEastAsia"/>
        </w:rPr>
      </w:pPr>
      <w:r w:rsidRPr="0073290E">
        <w:rPr>
          <w:rFonts w:eastAsiaTheme="minorEastAsia"/>
          <w:b/>
        </w:rPr>
        <w:t xml:space="preserve">Comparison </w:t>
      </w:r>
      <w:r w:rsidR="002918C9">
        <w:rPr>
          <w:rFonts w:eastAsiaTheme="minorEastAsia"/>
          <w:b/>
        </w:rPr>
        <w:t xml:space="preserve">of Methods Using Heatmaps </w:t>
      </w:r>
      <w:r w:rsidRPr="0073290E">
        <w:rPr>
          <w:rFonts w:eastAsiaTheme="minorEastAsia"/>
          <w:b/>
        </w:rPr>
        <w:t xml:space="preserve"> </w:t>
      </w:r>
      <w:r w:rsidRPr="0073290E">
        <w:rPr>
          <w:rFonts w:eastAsiaTheme="minorEastAsia"/>
        </w:rPr>
        <w:t xml:space="preserve">  </w:t>
      </w:r>
    </w:p>
    <w:p w14:paraId="676729FC" w14:textId="747440FC" w:rsidR="00197DF4" w:rsidRDefault="00E151CA" w:rsidP="00C31698">
      <w:pPr>
        <w:spacing w:line="480" w:lineRule="auto"/>
        <w:rPr>
          <w:rFonts w:eastAsiaTheme="minorEastAsia"/>
        </w:rPr>
      </w:pPr>
      <w:r w:rsidRPr="0073290E">
        <w:rPr>
          <w:rFonts w:eastAsiaTheme="minorEastAsia"/>
        </w:rPr>
        <w:t>To examine how the estimates of shape variation correlate with the measurements obtained directly from each cranium,</w:t>
      </w:r>
      <w:r>
        <w:rPr>
          <w:rFonts w:eastAsiaTheme="minorEastAsia"/>
        </w:rPr>
        <w:t xml:space="preserve"> </w:t>
      </w:r>
      <w:r w:rsidR="00BC5CE9">
        <w:rPr>
          <w:rFonts w:eastAsiaTheme="minorEastAsia"/>
        </w:rPr>
        <w:t xml:space="preserve">we generated heatmaps for all eight orders that contained more than ten specimens in the analysis (Additional File, Figure A7). </w:t>
      </w:r>
      <w:r w:rsidR="0026526C">
        <w:rPr>
          <w:rFonts w:eastAsiaTheme="minorEastAsia"/>
        </w:rPr>
        <w:t>Generating these heatmaps relied on comparing each of the selected specimens with the estimated mean shapes from both methods.</w:t>
      </w:r>
    </w:p>
    <w:p w14:paraId="276B1D96" w14:textId="3BC23365" w:rsidR="00452937" w:rsidRPr="001258F3" w:rsidRDefault="009D18CD" w:rsidP="00C31698">
      <w:pPr>
        <w:spacing w:line="480" w:lineRule="auto"/>
        <w:rPr>
          <w:rFonts w:eastAsiaTheme="minorEastAsia"/>
        </w:rPr>
      </w:pPr>
      <w:r w:rsidRPr="009D18CD">
        <w:rPr>
          <w:rFonts w:eastAsiaTheme="minorEastAsia"/>
        </w:rPr>
        <w:t xml:space="preserve">For the manual landmarking approach, we first mirrored the GPA-aligned manual landmark data to ensure coverage on both sides of the crania. Using these mirrored landmarks, we calculated the average position of each landmark across the 322 specimens to create a mean landmark configuration. For each of the </w:t>
      </w:r>
      <w:r w:rsidR="001E79EE">
        <w:rPr>
          <w:rFonts w:eastAsiaTheme="minorEastAsia"/>
        </w:rPr>
        <w:t>eight</w:t>
      </w:r>
      <w:r w:rsidRPr="009D18CD">
        <w:rPr>
          <w:rFonts w:eastAsiaTheme="minorEastAsia"/>
        </w:rPr>
        <w:t xml:space="preserve"> selected specimens, we then warped the mesh to this mean configuration, using the specimen-specific manual landmarks as the reference matrix to quantify the deformation. This transformation was performed using a thin-plate spline interpolation via the </w:t>
      </w:r>
      <w:r w:rsidRPr="00B81422">
        <w:rPr>
          <w:rFonts w:eastAsiaTheme="minorEastAsia"/>
          <w:i/>
        </w:rPr>
        <w:t xml:space="preserve">tps3d </w:t>
      </w:r>
      <w:r w:rsidRPr="009D18CD">
        <w:rPr>
          <w:rFonts w:eastAsiaTheme="minorEastAsia"/>
        </w:rPr>
        <w:t>function in Morpho</w:t>
      </w:r>
      <w:r>
        <w:rPr>
          <w:rFonts w:eastAsiaTheme="minorEastAsia"/>
        </w:rPr>
        <w:t xml:space="preserve"> </w:t>
      </w:r>
      <w:r w:rsidR="00FD2ADE">
        <w:rPr>
          <w:rStyle w:val="Emphasis"/>
          <w:i w:val="0"/>
          <w:iCs w:val="0"/>
        </w:rPr>
        <w:fldChar w:fldCharType="begin"/>
      </w:r>
      <w:r w:rsidR="002F5782">
        <w:rPr>
          <w:rStyle w:val="Emphasis"/>
          <w:i w:val="0"/>
          <w:iCs w:val="0"/>
        </w:rPr>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rsidR="00FD2ADE">
        <w:rPr>
          <w:rStyle w:val="Emphasis"/>
          <w:i w:val="0"/>
          <w:iCs w:val="0"/>
        </w:rPr>
        <w:fldChar w:fldCharType="separate"/>
      </w:r>
      <w:r w:rsidR="00D304C4">
        <w:rPr>
          <w:rStyle w:val="Emphasis"/>
          <w:i w:val="0"/>
          <w:iCs w:val="0"/>
          <w:noProof/>
        </w:rPr>
        <w:t>[46]</w:t>
      </w:r>
      <w:r w:rsidR="00FD2ADE">
        <w:rPr>
          <w:rStyle w:val="Emphasis"/>
          <w:i w:val="0"/>
          <w:iCs w:val="0"/>
        </w:rPr>
        <w:fldChar w:fldCharType="end"/>
      </w:r>
      <w:r w:rsidR="001258F3">
        <w:rPr>
          <w:rStyle w:val="Emphasis"/>
          <w:i w:val="0"/>
          <w:iCs w:val="0"/>
        </w:rPr>
        <w:t xml:space="preserve">. The </w:t>
      </w:r>
      <w:r w:rsidR="001258F3">
        <w:rPr>
          <w:rStyle w:val="Emphasis"/>
        </w:rPr>
        <w:t xml:space="preserve">meshDist </w:t>
      </w:r>
      <w:r w:rsidR="001258F3">
        <w:rPr>
          <w:rStyle w:val="Emphasis"/>
          <w:i w:val="0"/>
          <w:iCs w:val="0"/>
        </w:rPr>
        <w:t>function</w:t>
      </w:r>
      <w:r w:rsidR="000F0C65">
        <w:rPr>
          <w:rStyle w:val="Emphasis"/>
          <w:i w:val="0"/>
          <w:iCs w:val="0"/>
        </w:rPr>
        <w:t xml:space="preserve">, </w:t>
      </w:r>
      <w:r w:rsidR="005065A1">
        <w:rPr>
          <w:rStyle w:val="Emphasis"/>
          <w:i w:val="0"/>
          <w:iCs w:val="0"/>
        </w:rPr>
        <w:t>was then used to measure</w:t>
      </w:r>
      <w:r w:rsidR="000F0C65">
        <w:rPr>
          <w:rStyle w:val="Emphasis"/>
          <w:i w:val="0"/>
          <w:iCs w:val="0"/>
        </w:rPr>
        <w:t xml:space="preserve"> the Euclidean distances </w:t>
      </w:r>
      <w:r w:rsidR="005065A1">
        <w:rPr>
          <w:rStyle w:val="Emphasis"/>
          <w:i w:val="0"/>
          <w:iCs w:val="0"/>
        </w:rPr>
        <w:t>of the</w:t>
      </w:r>
      <w:r w:rsidR="000F0C65">
        <w:rPr>
          <w:rStyle w:val="Emphasis"/>
          <w:i w:val="0"/>
          <w:iCs w:val="0"/>
        </w:rPr>
        <w:t xml:space="preserve"> corresponding vertices </w:t>
      </w:r>
      <w:r w:rsidR="005065A1">
        <w:rPr>
          <w:rStyle w:val="Emphasis"/>
          <w:i w:val="0"/>
          <w:iCs w:val="0"/>
        </w:rPr>
        <w:t>between the original and warped mesh</w:t>
      </w:r>
      <w:r w:rsidR="00FB7A11">
        <w:rPr>
          <w:rStyle w:val="Emphasis"/>
          <w:i w:val="0"/>
          <w:iCs w:val="0"/>
        </w:rPr>
        <w:t>es</w:t>
      </w:r>
      <w:r w:rsidR="005065A1">
        <w:rPr>
          <w:rStyle w:val="Emphasis"/>
          <w:i w:val="0"/>
          <w:iCs w:val="0"/>
        </w:rPr>
        <w:t xml:space="preserve">. </w:t>
      </w:r>
    </w:p>
    <w:p w14:paraId="68CAE123" w14:textId="6C327407" w:rsidR="0056282A" w:rsidRDefault="00E02463" w:rsidP="007F5FF3">
      <w:pPr>
        <w:spacing w:line="480" w:lineRule="auto"/>
      </w:pPr>
      <w:r>
        <w:t xml:space="preserve">For the DAA method, the mean shape of the population is automatically estimated during atlas construction using the geodesic regression function and is provided </w:t>
      </w:r>
      <w:r>
        <w:lastRenderedPageBreak/>
        <w:t xml:space="preserve">directly as an output </w:t>
      </w:r>
      <w:r w:rsidR="00E66EB5">
        <w:fldChar w:fldCharType="begin"/>
      </w:r>
      <w:r w:rsidR="002F5782">
        <w:instrText xml:space="preserve"> ADDIN EN.CITE &lt;EndNote&gt;&lt;Cite&gt;&lt;Author&gt;Durrleman&lt;/Author&gt;&lt;Year&gt;2014&lt;/Year&gt;&lt;RecNum&gt;169&lt;/RecNum&gt;&lt;DisplayText&gt;[33]&lt;/DisplayText&gt;&lt;record&gt;&lt;rec-number&gt;169&lt;/rec-number&gt;&lt;foreign-keys&gt;&lt;key app="EN" db-id="stvxpdr5yrpspzes0zppeddup9p2da2vrpv9" timestamp="0"&gt;169&lt;/key&gt;&lt;/foreign-keys&gt;&lt;ref-type name="Journal Article"&gt;17&lt;/ref-type&gt;&lt;contributors&gt;&lt;authors&gt;&lt;author&gt;Durrleman, Stanley&lt;/author&gt;&lt;author&gt;Prastawa, Marcel&lt;/author&gt;&lt;author&gt;Charon, Nicolas&lt;/author&gt;&lt;author&gt;Korenberg, Julie R&lt;/author&gt;&lt;author&gt;Joshi, Sarang&lt;/author&gt;&lt;author&gt;Gerig, Guido&lt;/author&gt;&lt;author&gt;Trouvé, Alain&lt;/author&gt;&lt;/authors&gt;&lt;/contributors&gt;&lt;titles&gt;&lt;title&gt;Morphometry of anatomical shape complexes with dense deformations and sparse parameters&lt;/title&gt;&lt;secondary-title&gt;NeuroImage&lt;/secondary-title&gt;&lt;/titles&gt;&lt;pages&gt;35-49&lt;/pages&gt;&lt;volume&gt;101&lt;/volume&gt;&lt;dates&gt;&lt;year&gt;2014&lt;/year&gt;&lt;/dates&gt;&lt;isbn&gt;1053-8119&lt;/isbn&gt;&lt;urls&gt;&lt;/urls&gt;&lt;electronic-resource-num&gt;https://doi.org/10.1016/j.neuroimage.2014.06.043&lt;/electronic-resource-num&gt;&lt;/record&gt;&lt;/Cite&gt;&lt;/EndNote&gt;</w:instrText>
      </w:r>
      <w:r w:rsidR="00E66EB5">
        <w:fldChar w:fldCharType="separate"/>
      </w:r>
      <w:r w:rsidR="00E66EB5">
        <w:rPr>
          <w:noProof/>
        </w:rPr>
        <w:t>[33]</w:t>
      </w:r>
      <w:r w:rsidR="00E66EB5">
        <w:fldChar w:fldCharType="end"/>
      </w:r>
      <w:r>
        <w:t>.</w:t>
      </w:r>
      <w:r w:rsidR="004B4F10">
        <w:t xml:space="preserve"> Consequently, a separate morphing procedure based on control points is not required. Since the mean shape varies depending on the selected kernel width, we compared each of the eight specimens with the mean shape predicted under each analysis.</w:t>
      </w:r>
      <w:r w:rsidR="004A1559">
        <w:t xml:space="preserve"> To do this, we used the </w:t>
      </w:r>
      <w:r w:rsidR="004A1559">
        <w:rPr>
          <w:i/>
          <w:iCs/>
        </w:rPr>
        <w:t xml:space="preserve">meshDist </w:t>
      </w:r>
      <w:r w:rsidR="004A1559">
        <w:t xml:space="preserve">function in Morpho </w:t>
      </w:r>
      <w:r w:rsidR="004A1559">
        <w:fldChar w:fldCharType="begin"/>
      </w:r>
      <w:r w:rsidR="002F5782">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rsidR="004A1559">
        <w:fldChar w:fldCharType="separate"/>
      </w:r>
      <w:r w:rsidR="00D304C4">
        <w:rPr>
          <w:noProof/>
        </w:rPr>
        <w:t>[46]</w:t>
      </w:r>
      <w:r w:rsidR="004A1559">
        <w:fldChar w:fldCharType="end"/>
      </w:r>
      <w:r w:rsidR="00D857AA">
        <w:t xml:space="preserve"> to </w:t>
      </w:r>
      <w:r w:rsidR="00827622">
        <w:t xml:space="preserve">calculate the Euclidean distances between corresponding vertices of each specimen and the predicted mean atlas shape. </w:t>
      </w:r>
      <w:r w:rsidR="004173E0">
        <w:t xml:space="preserve">Heatmaps were used to visualise the magnitude of the Euclidean distances. </w:t>
      </w:r>
    </w:p>
    <w:p w14:paraId="2215B84B" w14:textId="47088876" w:rsidR="0046052D" w:rsidRDefault="00266C02" w:rsidP="007F5FF3">
      <w:pPr>
        <w:spacing w:line="480" w:lineRule="auto"/>
        <w:rPr>
          <w:b/>
          <w:bCs/>
        </w:rPr>
      </w:pPr>
      <w:r w:rsidRPr="00266C02">
        <w:rPr>
          <w:b/>
          <w:bCs/>
        </w:rPr>
        <w:t>Comparisons of Downstream Macroevolutionary Analyses</w:t>
      </w:r>
    </w:p>
    <w:p w14:paraId="43035BEB" w14:textId="2A430315" w:rsidR="00FE26AD" w:rsidRDefault="00FE26AD" w:rsidP="00FE26AD">
      <w:pPr>
        <w:spacing w:line="480" w:lineRule="auto"/>
      </w:pPr>
      <w:r w:rsidRPr="0073290E">
        <w:t>We assessed the impact of using each of the different methodologies on the downstream ma</w:t>
      </w:r>
      <w:r>
        <w:t xml:space="preserve">croevolutionary analyses. First, </w:t>
      </w:r>
      <w:r w:rsidRPr="0073290E">
        <w:t xml:space="preserve">we randomly selected a phylogenetic tree as used in Goswami </w:t>
      </w:r>
      <w:r w:rsidRPr="0073290E">
        <w:rPr>
          <w:i/>
        </w:rPr>
        <w:t xml:space="preserve">et al. </w:t>
      </w:r>
      <w:r w:rsidRPr="0073290E">
        <w:fldChar w:fldCharType="begin"/>
      </w:r>
      <w:r w:rsidR="002F5782">
        <w:instrText xml:space="preserve"> ADDIN EN.CITE &lt;EndNote&gt;&lt;Cite&gt;&lt;Author&gt;Goswami&lt;/Author&gt;&lt;Year&gt;2022&lt;/Year&gt;&lt;RecNum&gt;173&lt;/RecNum&gt;&lt;DisplayText&gt;[40]&lt;/DisplayText&gt;&lt;record&gt;&lt;rec-number&gt;173&lt;/rec-number&gt;&lt;foreign-keys&gt;&lt;key app="EN" db-id="stvxpdr5yrpspzes0zppeddup9p2da2vrpv9" timestamp="0"&gt;173&lt;/key&gt;&lt;/foreign-keys&gt;&lt;ref-type name="Journal Article"&gt;17&lt;/ref-type&gt;&lt;contributors&gt;&lt;authors&gt;&lt;author&gt;Goswami, Anjali&lt;/author&gt;&lt;author&gt;Noirault, Eve&lt;/author&gt;&lt;author&gt;Coombs, Ellen J&lt;/author&gt;&lt;author&gt;Clavel, Julien&lt;/author&gt;&lt;author&gt;Fabre, Anne-Claire&lt;/author&gt;&lt;author&gt;Halliday, Thomas JD&lt;/author&gt;&lt;author&gt;Churchill, Morgan&lt;/author&gt;&lt;author&gt;Curtis, Abigail&lt;/author&gt;&lt;author&gt;Watanabe, Akinobu&lt;/author&gt;&lt;author&gt;Simmons, Nancy B&lt;/author&gt;&lt;/authors&gt;&lt;/contributors&gt;&lt;titles&gt;&lt;title&gt;Attenuated evolution of mammals through the Cenozoic&lt;/title&gt;&lt;secondary-title&gt;Science&lt;/secondary-title&gt;&lt;/titles&gt;&lt;periodical&gt;&lt;full-title&gt;Science&lt;/full-title&gt;&lt;/periodical&gt;&lt;pages&gt;377-383&lt;/pages&gt;&lt;volume&gt;378&lt;/volume&gt;&lt;number&gt;6618&lt;/number&gt;&lt;dates&gt;&lt;year&gt;2022&lt;/year&gt;&lt;/dates&gt;&lt;isbn&gt;0036-8075&lt;/isbn&gt;&lt;urls&gt;&lt;/urls&gt;&lt;electronic-resource-num&gt;https://doi.org/10.1126/science.abm7525&lt;/electronic-resource-num&gt;&lt;/record&gt;&lt;/Cite&gt;&lt;/EndNote&gt;</w:instrText>
      </w:r>
      <w:r w:rsidRPr="0073290E">
        <w:fldChar w:fldCharType="separate"/>
      </w:r>
      <w:r w:rsidR="00D304C4">
        <w:rPr>
          <w:noProof/>
        </w:rPr>
        <w:t>[40]</w:t>
      </w:r>
      <w:r w:rsidRPr="0073290E">
        <w:fldChar w:fldCharType="end"/>
      </w:r>
      <w:r w:rsidRPr="0073290E">
        <w:t xml:space="preserve"> to pair with the results of the morphometric analyses. Using geomorph </w:t>
      </w:r>
      <w:r w:rsidRPr="0073290E">
        <w:rPr>
          <w:rFonts w:eastAsia="Times New Roman"/>
          <w:lang w:eastAsia="en-GB"/>
        </w:rPr>
        <w:fldChar w:fldCharType="begin"/>
      </w:r>
      <w:r w:rsidR="002F5782">
        <w:rPr>
          <w:rFonts w:eastAsia="Times New Roman"/>
          <w:lang w:eastAsia="en-GB"/>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imes New Roman" w:hAnsi="Cambria Math" w:cs="Cambria Math"/>
          <w:lang w:eastAsia="en-GB"/>
        </w:rPr>
        <w:instrText>‐</w:instrText>
      </w:r>
      <w:r w:rsidR="002F5782">
        <w:rPr>
          <w:rFonts w:eastAsia="Times New Roman"/>
          <w:lang w:eastAsia="en-GB"/>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sidRPr="0073290E">
        <w:rPr>
          <w:rFonts w:eastAsia="Times New Roman"/>
          <w:lang w:eastAsia="en-GB"/>
        </w:rPr>
        <w:fldChar w:fldCharType="separate"/>
      </w:r>
      <w:r w:rsidR="00D304C4">
        <w:rPr>
          <w:rFonts w:eastAsia="Times New Roman"/>
          <w:noProof/>
          <w:lang w:eastAsia="en-GB"/>
        </w:rPr>
        <w:t>[47]</w:t>
      </w:r>
      <w:r w:rsidRPr="0073290E">
        <w:rPr>
          <w:rFonts w:eastAsia="Times New Roman"/>
          <w:lang w:eastAsia="en-GB"/>
        </w:rPr>
        <w:fldChar w:fldCharType="end"/>
      </w:r>
      <w:r w:rsidRPr="0073290E">
        <w:rPr>
          <w:rFonts w:eastAsia="Times New Roman"/>
          <w:lang w:eastAsia="en-GB"/>
        </w:rPr>
        <w:t xml:space="preserve"> </w:t>
      </w:r>
      <w:r w:rsidRPr="0073290E">
        <w:t xml:space="preserve">v.4.05 in R, we calculated and compared the phylogenetic signal for each analysis through the </w:t>
      </w:r>
      <w:r w:rsidRPr="0073290E">
        <w:rPr>
          <w:i/>
        </w:rPr>
        <w:t xml:space="preserve">physignal </w:t>
      </w:r>
      <w:r w:rsidRPr="0073290E">
        <w:t>function, applying the K</w:t>
      </w:r>
      <w:r w:rsidRPr="001C5C6C">
        <w:rPr>
          <w:vertAlign w:val="subscript"/>
        </w:rPr>
        <w:t>mult</w:t>
      </w:r>
      <w:r w:rsidRPr="0073290E">
        <w:t xml:space="preserve"> statistic </w:t>
      </w:r>
      <w:r w:rsidRPr="0073290E">
        <w:rPr>
          <w:rFonts w:eastAsia="Times New Roman"/>
          <w:lang w:eastAsia="en-GB"/>
        </w:rPr>
        <w:fldChar w:fldCharType="begin"/>
      </w:r>
      <w:r w:rsidR="003C42E3">
        <w:rPr>
          <w:rFonts w:eastAsia="Times New Roman"/>
          <w:lang w:eastAsia="en-GB"/>
        </w:rPr>
        <w:instrText xml:space="preserve"> ADDIN EN.CITE &lt;EndNote&gt;&lt;Cite&gt;&lt;Author&gt;Adams&lt;/Author&gt;&lt;Year&gt;2014&lt;/Year&gt;&lt;RecNum&gt;106&lt;/RecNum&gt;&lt;DisplayText&gt;[54]&lt;/DisplayText&gt;&lt;record&gt;&lt;rec-number&gt;106&lt;/rec-number&gt;&lt;foreign-keys&gt;&lt;key app="EN" db-id="stvxpdr5yrpspzes0zppeddup9p2da2vrpv9" timestamp="0"&gt;106&lt;/key&gt;&lt;/foreign-keys&gt;&lt;ref-type name="Journal Article"&gt;17&lt;/ref-type&gt;&lt;contributors&gt;&lt;authors&gt;&lt;author&gt;Adams, Dean C.&lt;/author&gt;&lt;/authors&gt;&lt;/contributors&gt;&lt;titles&gt;&lt;title&gt;A generalized K statistic for estimating phylogenetic signal from shape and other high-dimensional multivariate data&lt;/title&gt;&lt;secondary-title&gt;Systematic biology&lt;/secondary-title&gt;&lt;/titles&gt;&lt;periodical&gt;&lt;full-title&gt;Systematic biology&lt;/full-title&gt;&lt;/periodical&gt;&lt;pages&gt;685-697&lt;/pages&gt;&lt;volume&gt;63&lt;/volume&gt;&lt;number&gt;5&lt;/number&gt;&lt;dates&gt;&lt;year&gt;2014&lt;/year&gt;&lt;/dates&gt;&lt;publisher&gt;Oxford University Press&lt;/publisher&gt;&lt;isbn&gt;1076-836X&lt;/isbn&gt;&lt;urls&gt;&lt;/urls&gt;&lt;electronic-resource-num&gt;https://doi.org/10.1093/sysbio/syu030&lt;/electronic-resource-num&gt;&lt;/record&gt;&lt;/Cite&gt;&lt;/EndNote&gt;</w:instrText>
      </w:r>
      <w:r w:rsidRPr="0073290E">
        <w:rPr>
          <w:rFonts w:eastAsia="Times New Roman"/>
          <w:lang w:eastAsia="en-GB"/>
        </w:rPr>
        <w:fldChar w:fldCharType="separate"/>
      </w:r>
      <w:r w:rsidR="003C42E3">
        <w:rPr>
          <w:rFonts w:eastAsia="Times New Roman"/>
          <w:noProof/>
          <w:lang w:eastAsia="en-GB"/>
        </w:rPr>
        <w:t>[54]</w:t>
      </w:r>
      <w:r w:rsidRPr="0073290E">
        <w:rPr>
          <w:rFonts w:eastAsia="Times New Roman"/>
          <w:lang w:eastAsia="en-GB"/>
        </w:rPr>
        <w:fldChar w:fldCharType="end"/>
      </w:r>
      <w:r w:rsidRPr="0073290E">
        <w:rPr>
          <w:rFonts w:eastAsia="Times New Roman"/>
          <w:lang w:eastAsia="en-GB"/>
        </w:rPr>
        <w:t xml:space="preserve"> through 99 iterations</w:t>
      </w:r>
      <w:r>
        <w:rPr>
          <w:rFonts w:eastAsia="Times New Roman"/>
          <w:lang w:eastAsia="en-GB"/>
        </w:rPr>
        <w:t xml:space="preserve"> to test the fit of the data with the phylogeny</w:t>
      </w:r>
      <w:r w:rsidRPr="0073290E">
        <w:rPr>
          <w:rFonts w:eastAsia="Times New Roman"/>
          <w:lang w:eastAsia="en-GB"/>
        </w:rPr>
        <w:t xml:space="preserve">. Next, we measured and </w:t>
      </w:r>
      <w:r>
        <w:rPr>
          <w:rFonts w:eastAsia="Times New Roman"/>
          <w:lang w:eastAsia="en-GB"/>
        </w:rPr>
        <w:t>compared</w:t>
      </w:r>
      <w:r w:rsidRPr="0073290E">
        <w:rPr>
          <w:rFonts w:eastAsia="Times New Roman"/>
          <w:lang w:eastAsia="en-GB"/>
        </w:rPr>
        <w:t xml:space="preserve"> the morphological disparity and evolutionary rates associated with different dietary categories and locomotor types (the only complete categories for </w:t>
      </w:r>
      <w:r>
        <w:rPr>
          <w:rFonts w:eastAsia="Times New Roman"/>
          <w:lang w:eastAsia="en-GB"/>
        </w:rPr>
        <w:t xml:space="preserve">all of </w:t>
      </w:r>
      <w:r w:rsidRPr="0073290E">
        <w:rPr>
          <w:rFonts w:eastAsia="Times New Roman"/>
          <w:lang w:eastAsia="en-GB"/>
        </w:rPr>
        <w:t xml:space="preserve">the 322 specimens), employing the </w:t>
      </w:r>
      <w:r w:rsidRPr="0073290E">
        <w:rPr>
          <w:rFonts w:eastAsia="Times New Roman"/>
          <w:i/>
          <w:lang w:eastAsia="en-GB"/>
        </w:rPr>
        <w:t xml:space="preserve">morphol.disparity </w:t>
      </w:r>
      <w:r w:rsidRPr="0073290E">
        <w:rPr>
          <w:rFonts w:eastAsia="Times New Roman"/>
          <w:lang w:eastAsia="en-GB"/>
        </w:rPr>
        <w:t xml:space="preserve">and </w:t>
      </w:r>
      <w:r w:rsidRPr="0073290E">
        <w:rPr>
          <w:rFonts w:eastAsia="Times New Roman"/>
          <w:i/>
          <w:lang w:eastAsia="en-GB"/>
        </w:rPr>
        <w:t xml:space="preserve">compare.evol.rates </w:t>
      </w:r>
      <w:r w:rsidRPr="0073290E">
        <w:rPr>
          <w:rFonts w:eastAsia="Times New Roman"/>
          <w:lang w:eastAsia="en-GB"/>
        </w:rPr>
        <w:t xml:space="preserve">functions in </w:t>
      </w:r>
      <w:r w:rsidRPr="0073290E">
        <w:t xml:space="preserve">geomorph </w:t>
      </w:r>
      <w:r w:rsidRPr="0073290E">
        <w:rPr>
          <w:rFonts w:eastAsia="Times New Roman"/>
          <w:lang w:eastAsia="en-GB"/>
        </w:rPr>
        <w:fldChar w:fldCharType="begin"/>
      </w:r>
      <w:r w:rsidR="002F5782">
        <w:rPr>
          <w:rFonts w:eastAsia="Times New Roman"/>
          <w:lang w:eastAsia="en-GB"/>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imes New Roman" w:hAnsi="Cambria Math" w:cs="Cambria Math"/>
          <w:lang w:eastAsia="en-GB"/>
        </w:rPr>
        <w:instrText>‐</w:instrText>
      </w:r>
      <w:r w:rsidR="002F5782">
        <w:rPr>
          <w:rFonts w:eastAsia="Times New Roman"/>
          <w:lang w:eastAsia="en-GB"/>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sidRPr="0073290E">
        <w:rPr>
          <w:rFonts w:eastAsia="Times New Roman"/>
          <w:lang w:eastAsia="en-GB"/>
        </w:rPr>
        <w:fldChar w:fldCharType="separate"/>
      </w:r>
      <w:r w:rsidR="00D304C4">
        <w:rPr>
          <w:rFonts w:eastAsia="Times New Roman"/>
          <w:noProof/>
          <w:lang w:eastAsia="en-GB"/>
        </w:rPr>
        <w:t>[47]</w:t>
      </w:r>
      <w:r w:rsidRPr="0073290E">
        <w:rPr>
          <w:rFonts w:eastAsia="Times New Roman"/>
          <w:lang w:eastAsia="en-GB"/>
        </w:rPr>
        <w:fldChar w:fldCharType="end"/>
      </w:r>
      <w:r w:rsidRPr="0073290E">
        <w:rPr>
          <w:rFonts w:eastAsia="Times New Roman"/>
          <w:lang w:eastAsia="en-GB"/>
        </w:rPr>
        <w:t xml:space="preserve"> </w:t>
      </w:r>
      <w:r w:rsidRPr="0073290E">
        <w:t xml:space="preserve">v.4.05, respectively. For the evolutionary rates estimate, we used a simulation-based method, running each analysis through 100 iterations to ensure robust comparisons. We compared the values of morphological disparity and evolutionary rates for the manual landmarking and DAA using Spearman’s rank correlation coefficient and producing bivariate plots in R. </w:t>
      </w:r>
    </w:p>
    <w:p w14:paraId="7C86DAAD" w14:textId="7B8CC874" w:rsidR="00167C99" w:rsidRPr="00167C99" w:rsidRDefault="00167C99" w:rsidP="007F5FF3">
      <w:pPr>
        <w:spacing w:line="480" w:lineRule="auto"/>
        <w:rPr>
          <w:b/>
          <w:bCs/>
        </w:rPr>
      </w:pPr>
      <w:r>
        <w:rPr>
          <w:b/>
          <w:bCs/>
        </w:rPr>
        <w:t xml:space="preserve">References </w:t>
      </w:r>
    </w:p>
    <w:p w14:paraId="7AF83178" w14:textId="7E389F16" w:rsidR="00B81422" w:rsidRPr="00B81422" w:rsidRDefault="00167C99" w:rsidP="00B81422">
      <w:pPr>
        <w:pStyle w:val="EndNoteBibliography"/>
        <w:spacing w:after="0"/>
        <w:ind w:left="720" w:hanging="720"/>
      </w:pPr>
      <w:r>
        <w:rPr>
          <w:b/>
          <w:bCs/>
        </w:rPr>
        <w:lastRenderedPageBreak/>
        <w:fldChar w:fldCharType="begin"/>
      </w:r>
      <w:r>
        <w:rPr>
          <w:b/>
          <w:bCs/>
        </w:rPr>
        <w:instrText xml:space="preserve"> ADDIN EN.REFLIST </w:instrText>
      </w:r>
      <w:r>
        <w:rPr>
          <w:b/>
          <w:bCs/>
        </w:rPr>
        <w:fldChar w:fldCharType="separate"/>
      </w:r>
      <w:r w:rsidR="00B81422" w:rsidRPr="00B81422">
        <w:t>1.</w:t>
      </w:r>
      <w:r w:rsidR="00B81422" w:rsidRPr="00B81422">
        <w:tab/>
        <w:t xml:space="preserve">Rohlf FJ: </w:t>
      </w:r>
      <w:r w:rsidR="00B81422" w:rsidRPr="00B81422">
        <w:rPr>
          <w:b/>
        </w:rPr>
        <w:t>Morphometrics</w:t>
      </w:r>
      <w:r w:rsidR="00B81422" w:rsidRPr="00B81422">
        <w:t xml:space="preserve">. </w:t>
      </w:r>
      <w:r w:rsidR="00B81422" w:rsidRPr="00B81422">
        <w:rPr>
          <w:i/>
        </w:rPr>
        <w:t xml:space="preserve">Annual Review of ecology and Systematics </w:t>
      </w:r>
      <w:r w:rsidR="00B81422" w:rsidRPr="00B81422">
        <w:t xml:space="preserve">1990, </w:t>
      </w:r>
      <w:r w:rsidR="00B81422" w:rsidRPr="00B81422">
        <w:rPr>
          <w:b/>
        </w:rPr>
        <w:t>21</w:t>
      </w:r>
      <w:r w:rsidR="00B81422" w:rsidRPr="00B81422">
        <w:t>(1):299-316.</w:t>
      </w:r>
      <w:hyperlink r:id="rId11" w:history="1">
        <w:r w:rsidR="00B81422" w:rsidRPr="00B81422">
          <w:rPr>
            <w:rStyle w:val="Hyperlink"/>
          </w:rPr>
          <w:t>https://doi.org/10.1146/annurev.es.21.110190.001503</w:t>
        </w:r>
      </w:hyperlink>
      <w:r w:rsidR="00B81422" w:rsidRPr="00B81422">
        <w:t>.</w:t>
      </w:r>
    </w:p>
    <w:p w14:paraId="617C12B8" w14:textId="0F106C8F" w:rsidR="00B81422" w:rsidRPr="00B81422" w:rsidRDefault="00B81422" w:rsidP="00B81422">
      <w:pPr>
        <w:pStyle w:val="EndNoteBibliography"/>
        <w:spacing w:after="0"/>
        <w:ind w:left="720" w:hanging="720"/>
      </w:pPr>
      <w:r w:rsidRPr="00B81422">
        <w:t>2.</w:t>
      </w:r>
      <w:r w:rsidRPr="00B81422">
        <w:tab/>
        <w:t xml:space="preserve">Mitteroecker P, Schaefer K: </w:t>
      </w:r>
      <w:r w:rsidRPr="00B81422">
        <w:rPr>
          <w:b/>
        </w:rPr>
        <w:t>Thirty years of geometric morphometrics: Achievements, challenges, and the ongoing quest for biological meaningfulness</w:t>
      </w:r>
      <w:r w:rsidRPr="00B81422">
        <w:t xml:space="preserve">. </w:t>
      </w:r>
      <w:r w:rsidRPr="00B81422">
        <w:rPr>
          <w:i/>
        </w:rPr>
        <w:t xml:space="preserve">American Journal of Biological Anthropology </w:t>
      </w:r>
      <w:r w:rsidRPr="00B81422">
        <w:t>2022.</w:t>
      </w:r>
      <w:hyperlink r:id="rId12" w:history="1">
        <w:r w:rsidRPr="00B81422">
          <w:rPr>
            <w:rStyle w:val="Hyperlink"/>
          </w:rPr>
          <w:t>https://doi.org/10.1002/ajpa.24531</w:t>
        </w:r>
      </w:hyperlink>
      <w:r w:rsidRPr="00B81422">
        <w:t>.</w:t>
      </w:r>
    </w:p>
    <w:p w14:paraId="1204D351" w14:textId="6601B1E9" w:rsidR="00B81422" w:rsidRPr="00B81422" w:rsidRDefault="00B81422" w:rsidP="00B81422">
      <w:pPr>
        <w:pStyle w:val="EndNoteBibliography"/>
        <w:spacing w:after="0"/>
        <w:ind w:left="720" w:hanging="720"/>
      </w:pPr>
      <w:r w:rsidRPr="00B81422">
        <w:t>3.</w:t>
      </w:r>
      <w:r w:rsidRPr="00B81422">
        <w:tab/>
        <w:t xml:space="preserve">Adams DC, Rohlf FJ, Slice DE: </w:t>
      </w:r>
      <w:r w:rsidRPr="00B81422">
        <w:rPr>
          <w:b/>
        </w:rPr>
        <w:t>Geometric morphometrics: ten years of progress following the ‘revolution’</w:t>
      </w:r>
      <w:r w:rsidRPr="00B81422">
        <w:t xml:space="preserve">. </w:t>
      </w:r>
      <w:r w:rsidRPr="00B81422">
        <w:rPr>
          <w:i/>
        </w:rPr>
        <w:t xml:space="preserve">Italian journal of zoology </w:t>
      </w:r>
      <w:r w:rsidRPr="00B81422">
        <w:t xml:space="preserve">2004, </w:t>
      </w:r>
      <w:r w:rsidRPr="00B81422">
        <w:rPr>
          <w:b/>
        </w:rPr>
        <w:t>71</w:t>
      </w:r>
      <w:r w:rsidRPr="00B81422">
        <w:t>(1):5-16.</w:t>
      </w:r>
      <w:hyperlink r:id="rId13" w:history="1">
        <w:r w:rsidRPr="00B81422">
          <w:rPr>
            <w:rStyle w:val="Hyperlink"/>
          </w:rPr>
          <w:t>https://doi.org/10.1080/11250000409356545</w:t>
        </w:r>
      </w:hyperlink>
      <w:r w:rsidRPr="00B81422">
        <w:t>.</w:t>
      </w:r>
    </w:p>
    <w:p w14:paraId="779B015B" w14:textId="76A0FFD3" w:rsidR="00B81422" w:rsidRPr="00B81422" w:rsidRDefault="00B81422" w:rsidP="00B81422">
      <w:pPr>
        <w:pStyle w:val="EndNoteBibliography"/>
        <w:spacing w:after="0"/>
        <w:ind w:left="720" w:hanging="720"/>
      </w:pPr>
      <w:r w:rsidRPr="00B81422">
        <w:t>4.</w:t>
      </w:r>
      <w:r w:rsidRPr="00B81422">
        <w:tab/>
        <w:t xml:space="preserve">Bookstein FL: </w:t>
      </w:r>
      <w:r w:rsidRPr="00B81422">
        <w:rPr>
          <w:b/>
        </w:rPr>
        <w:t>Landmark methods for forms without landmarks: morphometrics of group differences in outline shape</w:t>
      </w:r>
      <w:r w:rsidRPr="00B81422">
        <w:t xml:space="preserve">. </w:t>
      </w:r>
      <w:r w:rsidRPr="00B81422">
        <w:rPr>
          <w:i/>
        </w:rPr>
        <w:t xml:space="preserve">Medical image analysis </w:t>
      </w:r>
      <w:r w:rsidRPr="00B81422">
        <w:t xml:space="preserve">1997, </w:t>
      </w:r>
      <w:r w:rsidRPr="00B81422">
        <w:rPr>
          <w:b/>
        </w:rPr>
        <w:t>1</w:t>
      </w:r>
      <w:r w:rsidRPr="00B81422">
        <w:t>(3):225-243.</w:t>
      </w:r>
      <w:hyperlink r:id="rId14" w:history="1">
        <w:r w:rsidRPr="00B81422">
          <w:rPr>
            <w:rStyle w:val="Hyperlink"/>
          </w:rPr>
          <w:t>https://doi.org/10.1016/S1361-8415(97)85012-8</w:t>
        </w:r>
      </w:hyperlink>
      <w:r w:rsidRPr="00B81422">
        <w:t>.</w:t>
      </w:r>
    </w:p>
    <w:p w14:paraId="7B73099B" w14:textId="1CF1BC69" w:rsidR="00B81422" w:rsidRPr="00B81422" w:rsidRDefault="00B81422" w:rsidP="00B81422">
      <w:pPr>
        <w:pStyle w:val="EndNoteBibliography"/>
        <w:spacing w:after="0"/>
        <w:ind w:left="720" w:hanging="720"/>
      </w:pPr>
      <w:r w:rsidRPr="00B81422">
        <w:t>5.</w:t>
      </w:r>
      <w:r w:rsidRPr="00B81422">
        <w:tab/>
        <w:t xml:space="preserve">Zelditch ML, Swiderski DL, Sheets HD: </w:t>
      </w:r>
      <w:r w:rsidRPr="00B81422">
        <w:rPr>
          <w:b/>
        </w:rPr>
        <w:t>Geometric morphometrics for biologists: a primer</w:t>
      </w:r>
      <w:r w:rsidRPr="00B81422">
        <w:t>: academic press; 2012.</w:t>
      </w:r>
      <w:hyperlink r:id="rId15" w:history="1">
        <w:r w:rsidRPr="00B81422">
          <w:rPr>
            <w:rStyle w:val="Hyperlink"/>
          </w:rPr>
          <w:t>https://doi.org/10.1016/B978-0-12-778460-1.X5000-5</w:t>
        </w:r>
      </w:hyperlink>
      <w:r w:rsidRPr="00B81422">
        <w:t>.</w:t>
      </w:r>
    </w:p>
    <w:p w14:paraId="6E096874" w14:textId="3FA233AE" w:rsidR="00B81422" w:rsidRPr="00B81422" w:rsidRDefault="00B81422" w:rsidP="00B81422">
      <w:pPr>
        <w:pStyle w:val="EndNoteBibliography"/>
        <w:spacing w:after="0"/>
        <w:ind w:left="720" w:hanging="720"/>
      </w:pPr>
      <w:r w:rsidRPr="00B81422">
        <w:t>6.</w:t>
      </w:r>
      <w:r w:rsidRPr="00B81422">
        <w:tab/>
        <w:t xml:space="preserve">Goswami A, Watanabe A, Felice RN, Bardua C, Fabre A-C, Polly PD: </w:t>
      </w:r>
      <w:r w:rsidRPr="00B81422">
        <w:rPr>
          <w:b/>
        </w:rPr>
        <w:t>High-density morphometric analysis of shape and integration: the good, the bad, and the not-really-a-problem</w:t>
      </w:r>
      <w:r w:rsidRPr="00B81422">
        <w:t xml:space="preserve">. </w:t>
      </w:r>
      <w:r w:rsidRPr="00B81422">
        <w:rPr>
          <w:i/>
        </w:rPr>
        <w:t xml:space="preserve">Integrative and Comparative Biology </w:t>
      </w:r>
      <w:r w:rsidRPr="00B81422">
        <w:t xml:space="preserve">2019, </w:t>
      </w:r>
      <w:r w:rsidRPr="00B81422">
        <w:rPr>
          <w:b/>
        </w:rPr>
        <w:t>59</w:t>
      </w:r>
      <w:r w:rsidRPr="00B81422">
        <w:t>(3):669-683.</w:t>
      </w:r>
      <w:hyperlink r:id="rId16" w:history="1">
        <w:r w:rsidRPr="00B81422">
          <w:rPr>
            <w:rStyle w:val="Hyperlink"/>
          </w:rPr>
          <w:t>https://doi.org/10.1093/icb/icz120</w:t>
        </w:r>
      </w:hyperlink>
      <w:r w:rsidRPr="00B81422">
        <w:t>.</w:t>
      </w:r>
    </w:p>
    <w:p w14:paraId="552069CE" w14:textId="0552CCBF" w:rsidR="00B81422" w:rsidRPr="00B81422" w:rsidRDefault="00B81422" w:rsidP="00B81422">
      <w:pPr>
        <w:pStyle w:val="EndNoteBibliography"/>
        <w:spacing w:after="0"/>
        <w:ind w:left="720" w:hanging="720"/>
      </w:pPr>
      <w:r w:rsidRPr="00B81422">
        <w:t>7.</w:t>
      </w:r>
      <w:r w:rsidRPr="00B81422">
        <w:tab/>
        <w:t xml:space="preserve">Bardua C, Felice RN, Watanabe A, Fabre AC, Goswami A: </w:t>
      </w:r>
      <w:r w:rsidRPr="00B81422">
        <w:rPr>
          <w:b/>
        </w:rPr>
        <w:t>A practical guide to sliding and surface semilandmarks in morphometric analyses</w:t>
      </w:r>
      <w:r w:rsidRPr="00B81422">
        <w:t xml:space="preserve">. </w:t>
      </w:r>
      <w:r w:rsidRPr="00B81422">
        <w:rPr>
          <w:i/>
        </w:rPr>
        <w:t xml:space="preserve">Integrative Organismal Biology </w:t>
      </w:r>
      <w:r w:rsidRPr="00B81422">
        <w:t xml:space="preserve">2019, </w:t>
      </w:r>
      <w:r w:rsidRPr="00B81422">
        <w:rPr>
          <w:b/>
        </w:rPr>
        <w:t>1</w:t>
      </w:r>
      <w:r w:rsidRPr="00B81422">
        <w:t>(1):obz016.</w:t>
      </w:r>
      <w:hyperlink r:id="rId17" w:history="1">
        <w:r w:rsidRPr="00B81422">
          <w:rPr>
            <w:rStyle w:val="Hyperlink"/>
          </w:rPr>
          <w:t>https://doi.org/10.1093/iob/obz016</w:t>
        </w:r>
      </w:hyperlink>
      <w:r w:rsidRPr="00B81422">
        <w:t>.</w:t>
      </w:r>
    </w:p>
    <w:p w14:paraId="4208EB0C" w14:textId="3F2DF891" w:rsidR="00B81422" w:rsidRPr="00B81422" w:rsidRDefault="00B81422" w:rsidP="00B81422">
      <w:pPr>
        <w:pStyle w:val="EndNoteBibliography"/>
        <w:spacing w:after="0"/>
        <w:ind w:left="720" w:hanging="720"/>
      </w:pPr>
      <w:r w:rsidRPr="00B81422">
        <w:t>8.</w:t>
      </w:r>
      <w:r w:rsidRPr="00B81422">
        <w:tab/>
        <w:t xml:space="preserve">Shearer BM, Cooke SB, Halenar LB, Reber SL, Plummer JE, Delson E, Tallman M: </w:t>
      </w:r>
      <w:r w:rsidRPr="00B81422">
        <w:rPr>
          <w:b/>
        </w:rPr>
        <w:t>Evaluating causes of error in landmark-based data collection using scanners</w:t>
      </w:r>
      <w:r w:rsidRPr="00B81422">
        <w:t xml:space="preserve">. </w:t>
      </w:r>
      <w:r w:rsidRPr="00B81422">
        <w:rPr>
          <w:i/>
        </w:rPr>
        <w:t xml:space="preserve">PloS one </w:t>
      </w:r>
      <w:r w:rsidRPr="00B81422">
        <w:t xml:space="preserve">2017, </w:t>
      </w:r>
      <w:r w:rsidRPr="00B81422">
        <w:rPr>
          <w:b/>
        </w:rPr>
        <w:t>12</w:t>
      </w:r>
      <w:r w:rsidRPr="00B81422">
        <w:t>(11):e0187452.</w:t>
      </w:r>
      <w:hyperlink r:id="rId18" w:history="1">
        <w:r w:rsidRPr="00B81422">
          <w:rPr>
            <w:rStyle w:val="Hyperlink"/>
          </w:rPr>
          <w:t>https://doi.org/10.1371/journal.pone.0187452</w:t>
        </w:r>
      </w:hyperlink>
      <w:r w:rsidRPr="00B81422">
        <w:t>.</w:t>
      </w:r>
    </w:p>
    <w:p w14:paraId="05B6CD86" w14:textId="394B7DC8" w:rsidR="00B81422" w:rsidRPr="00B81422" w:rsidRDefault="00B81422" w:rsidP="00B81422">
      <w:pPr>
        <w:pStyle w:val="EndNoteBibliography"/>
        <w:spacing w:after="0"/>
        <w:ind w:left="720" w:hanging="720"/>
      </w:pPr>
      <w:r w:rsidRPr="00B81422">
        <w:t>9.</w:t>
      </w:r>
      <w:r w:rsidRPr="00B81422">
        <w:tab/>
        <w:t xml:space="preserve">Maire E, Withers PJ: </w:t>
      </w:r>
      <w:r w:rsidRPr="00B81422">
        <w:rPr>
          <w:b/>
        </w:rPr>
        <w:t>Quantitative X-ray tomography</w:t>
      </w:r>
      <w:r w:rsidRPr="00B81422">
        <w:t xml:space="preserve">. </w:t>
      </w:r>
      <w:r w:rsidRPr="00B81422">
        <w:rPr>
          <w:i/>
        </w:rPr>
        <w:t xml:space="preserve">International materials reviews </w:t>
      </w:r>
      <w:r w:rsidRPr="00B81422">
        <w:t xml:space="preserve">2014, </w:t>
      </w:r>
      <w:r w:rsidRPr="00B81422">
        <w:rPr>
          <w:b/>
        </w:rPr>
        <w:t>59</w:t>
      </w:r>
      <w:r w:rsidRPr="00B81422">
        <w:t>(1):1-43.</w:t>
      </w:r>
      <w:hyperlink r:id="rId19" w:history="1">
        <w:r w:rsidRPr="00B81422">
          <w:rPr>
            <w:rStyle w:val="Hyperlink"/>
          </w:rPr>
          <w:t>https://doi.org/10.1179/1743280413Y.0000000023</w:t>
        </w:r>
      </w:hyperlink>
      <w:r w:rsidRPr="00B81422">
        <w:t>.</w:t>
      </w:r>
    </w:p>
    <w:p w14:paraId="63EE2732" w14:textId="2896D381" w:rsidR="00B81422" w:rsidRPr="00B81422" w:rsidRDefault="00B81422" w:rsidP="00B81422">
      <w:pPr>
        <w:pStyle w:val="EndNoteBibliography"/>
        <w:spacing w:after="0"/>
        <w:ind w:left="720" w:hanging="720"/>
      </w:pPr>
      <w:r w:rsidRPr="00B81422">
        <w:t>10.</w:t>
      </w:r>
      <w:r w:rsidRPr="00B81422">
        <w:tab/>
        <w:t xml:space="preserve">Withers PJ, Bouman C, Carmignato S, Cnudde V, Grimaldi D, Hagen CK, Maire E, Manley M, Du Plessis A, Stock SR: </w:t>
      </w:r>
      <w:r w:rsidRPr="00B81422">
        <w:rPr>
          <w:b/>
        </w:rPr>
        <w:t>X-ray computed tomography</w:t>
      </w:r>
      <w:r w:rsidRPr="00B81422">
        <w:t xml:space="preserve">. </w:t>
      </w:r>
      <w:r w:rsidRPr="00B81422">
        <w:rPr>
          <w:i/>
        </w:rPr>
        <w:t xml:space="preserve">Nature Reviews Methods Primers </w:t>
      </w:r>
      <w:r w:rsidRPr="00B81422">
        <w:t xml:space="preserve">2021, </w:t>
      </w:r>
      <w:r w:rsidRPr="00B81422">
        <w:rPr>
          <w:b/>
        </w:rPr>
        <w:t>1</w:t>
      </w:r>
      <w:r w:rsidRPr="00B81422">
        <w:t>(1):18.</w:t>
      </w:r>
      <w:hyperlink r:id="rId20" w:history="1">
        <w:r w:rsidRPr="00B81422">
          <w:rPr>
            <w:rStyle w:val="Hyperlink"/>
          </w:rPr>
          <w:t>https://doi.org/10.1038/s43586-021-00015-4</w:t>
        </w:r>
      </w:hyperlink>
      <w:r w:rsidRPr="00B81422">
        <w:t>.</w:t>
      </w:r>
    </w:p>
    <w:p w14:paraId="03C22A3D" w14:textId="3E69D1B1" w:rsidR="00B81422" w:rsidRPr="00B81422" w:rsidRDefault="00B81422" w:rsidP="00B81422">
      <w:pPr>
        <w:pStyle w:val="EndNoteBibliography"/>
        <w:spacing w:after="0"/>
        <w:ind w:left="720" w:hanging="720"/>
      </w:pPr>
      <w:r w:rsidRPr="00B81422">
        <w:t>11.</w:t>
      </w:r>
      <w:r w:rsidRPr="00B81422">
        <w:tab/>
        <w:t xml:space="preserve">Lösel PD, Monchanin C, Lebrun R, Jayme A, Relle J, Devaud J-M, Heuveline V, Lihoreau M: </w:t>
      </w:r>
      <w:r w:rsidRPr="00B81422">
        <w:rPr>
          <w:b/>
        </w:rPr>
        <w:t>Natural variability in bee brain size and symmetry revealed by micro-CT imaging and deep learning</w:t>
      </w:r>
      <w:r w:rsidRPr="00B81422">
        <w:t xml:space="preserve">. </w:t>
      </w:r>
      <w:r w:rsidRPr="00B81422">
        <w:rPr>
          <w:i/>
        </w:rPr>
        <w:t xml:space="preserve">bioRxiv </w:t>
      </w:r>
      <w:r w:rsidRPr="00B81422">
        <w:t>2022:2022.2010. 2012.511944.</w:t>
      </w:r>
      <w:hyperlink r:id="rId21" w:history="1">
        <w:r w:rsidRPr="00B81422">
          <w:rPr>
            <w:rStyle w:val="Hyperlink"/>
          </w:rPr>
          <w:t>https://doi.org/10.1371/journal.pcbi.1011529</w:t>
        </w:r>
      </w:hyperlink>
      <w:r w:rsidRPr="00B81422">
        <w:t>.</w:t>
      </w:r>
    </w:p>
    <w:p w14:paraId="17DEA69F" w14:textId="6CB84BB2" w:rsidR="00B81422" w:rsidRPr="00B81422" w:rsidRDefault="00B81422" w:rsidP="00B81422">
      <w:pPr>
        <w:pStyle w:val="EndNoteBibliography"/>
        <w:spacing w:after="0"/>
        <w:ind w:left="720" w:hanging="720"/>
      </w:pPr>
      <w:r w:rsidRPr="00B81422">
        <w:t>12.</w:t>
      </w:r>
      <w:r w:rsidRPr="00B81422">
        <w:tab/>
        <w:t xml:space="preserve">Mulqueeney JM, Searle-Barnes A, Brombacher A, Sweeney M, Goswami A, Ezard TH: </w:t>
      </w:r>
      <w:r w:rsidRPr="00B81422">
        <w:rPr>
          <w:b/>
        </w:rPr>
        <w:t>How many specimens make a sufficient training set for automated three-dimensional feature extraction?</w:t>
      </w:r>
      <w:r w:rsidRPr="00B81422">
        <w:t xml:space="preserve"> </w:t>
      </w:r>
      <w:r w:rsidRPr="00B81422">
        <w:rPr>
          <w:i/>
        </w:rPr>
        <w:t xml:space="preserve">Royal Society Open Science </w:t>
      </w:r>
      <w:r w:rsidRPr="00B81422">
        <w:t xml:space="preserve">2024, </w:t>
      </w:r>
      <w:r w:rsidRPr="00B81422">
        <w:rPr>
          <w:b/>
        </w:rPr>
        <w:t>11</w:t>
      </w:r>
      <w:r w:rsidRPr="00B81422">
        <w:t>(6):rsos. 240113.</w:t>
      </w:r>
      <w:hyperlink r:id="rId22" w:history="1">
        <w:r w:rsidRPr="00B81422">
          <w:rPr>
            <w:rStyle w:val="Hyperlink"/>
          </w:rPr>
          <w:t>https://doi.org/10.1098/rsos.240113</w:t>
        </w:r>
      </w:hyperlink>
      <w:r w:rsidRPr="00B81422">
        <w:t>.</w:t>
      </w:r>
    </w:p>
    <w:p w14:paraId="5BC91692" w14:textId="653354F5" w:rsidR="00B81422" w:rsidRPr="00B81422" w:rsidRDefault="00B81422" w:rsidP="00B81422">
      <w:pPr>
        <w:pStyle w:val="EndNoteBibliography"/>
        <w:spacing w:after="0"/>
        <w:ind w:left="720" w:hanging="720"/>
      </w:pPr>
      <w:r w:rsidRPr="00B81422">
        <w:t>13.</w:t>
      </w:r>
      <w:r w:rsidRPr="00B81422">
        <w:tab/>
        <w:t xml:space="preserve">Boyer DM, Gunnell GF, Kaufman S, McGeary TM: </w:t>
      </w:r>
      <w:r w:rsidRPr="00B81422">
        <w:rPr>
          <w:b/>
        </w:rPr>
        <w:t>Morphosource: archiving and sharing 3-D digital specimen data</w:t>
      </w:r>
      <w:r w:rsidRPr="00B81422">
        <w:t xml:space="preserve">. </w:t>
      </w:r>
      <w:r w:rsidRPr="00B81422">
        <w:rPr>
          <w:i/>
        </w:rPr>
        <w:t xml:space="preserve">The Paleontological Society Papers </w:t>
      </w:r>
      <w:r w:rsidRPr="00B81422">
        <w:t xml:space="preserve">2016, </w:t>
      </w:r>
      <w:r w:rsidRPr="00B81422">
        <w:rPr>
          <w:b/>
        </w:rPr>
        <w:t>22</w:t>
      </w:r>
      <w:r w:rsidRPr="00B81422">
        <w:t>:157-181.</w:t>
      </w:r>
      <w:hyperlink r:id="rId23" w:history="1">
        <w:r w:rsidRPr="00B81422">
          <w:rPr>
            <w:rStyle w:val="Hyperlink"/>
          </w:rPr>
          <w:t>https://doi.org/10.1017/scs.2017.13</w:t>
        </w:r>
      </w:hyperlink>
      <w:r w:rsidRPr="00B81422">
        <w:t>.</w:t>
      </w:r>
    </w:p>
    <w:p w14:paraId="445EB04A" w14:textId="26524CA4" w:rsidR="00B81422" w:rsidRPr="00B81422" w:rsidRDefault="00B81422" w:rsidP="00B81422">
      <w:pPr>
        <w:pStyle w:val="EndNoteBibliography"/>
        <w:spacing w:after="0"/>
        <w:ind w:left="720" w:hanging="720"/>
      </w:pPr>
      <w:r w:rsidRPr="00B81422">
        <w:t>14.</w:t>
      </w:r>
      <w:r w:rsidRPr="00B81422">
        <w:tab/>
        <w:t xml:space="preserve">Davies TG, Rahman IA, Lautenschlager S, Cunningham JA, Asher RJ, Barrett PM, Bates KT, Bengtson S, Benson RB, Boyer DM: </w:t>
      </w:r>
      <w:r w:rsidRPr="00B81422">
        <w:rPr>
          <w:b/>
        </w:rPr>
        <w:t>Open data and digital morphology</w:t>
      </w:r>
      <w:r w:rsidRPr="00B81422">
        <w:t xml:space="preserve">. </w:t>
      </w:r>
      <w:r w:rsidRPr="00B81422">
        <w:rPr>
          <w:i/>
        </w:rPr>
        <w:t xml:space="preserve">Proceedings of the Royal Society B: Biological Sciences </w:t>
      </w:r>
      <w:r w:rsidRPr="00B81422">
        <w:t xml:space="preserve">2017, </w:t>
      </w:r>
      <w:r w:rsidRPr="00B81422">
        <w:rPr>
          <w:b/>
        </w:rPr>
        <w:t>284</w:t>
      </w:r>
      <w:r w:rsidRPr="00B81422">
        <w:t>(1852):20170194.</w:t>
      </w:r>
      <w:hyperlink r:id="rId24" w:history="1">
        <w:r w:rsidRPr="00B81422">
          <w:rPr>
            <w:rStyle w:val="Hyperlink"/>
          </w:rPr>
          <w:t>https://doi.org/10.1098/rspb.2017.0194</w:t>
        </w:r>
      </w:hyperlink>
      <w:r w:rsidRPr="00B81422">
        <w:t>.</w:t>
      </w:r>
    </w:p>
    <w:p w14:paraId="66552388" w14:textId="5469CCC8" w:rsidR="00B81422" w:rsidRPr="00B81422" w:rsidRDefault="00B81422" w:rsidP="00B81422">
      <w:pPr>
        <w:pStyle w:val="EndNoteBibliography"/>
        <w:spacing w:after="0"/>
        <w:ind w:left="720" w:hanging="720"/>
      </w:pPr>
      <w:r w:rsidRPr="00B81422">
        <w:t>15.</w:t>
      </w:r>
      <w:r w:rsidRPr="00B81422">
        <w:tab/>
        <w:t xml:space="preserve">Blackburn DC, Boyer DM, Gray JA, Winchester J, Bates JM, Baumgart SL, Braker E, Coldren D, Conway KW, Rabosky AD: </w:t>
      </w:r>
      <w:r w:rsidRPr="00B81422">
        <w:rPr>
          <w:b/>
        </w:rPr>
        <w:t xml:space="preserve">Increasing the impact of </w:t>
      </w:r>
      <w:r w:rsidRPr="00B81422">
        <w:rPr>
          <w:b/>
        </w:rPr>
        <w:lastRenderedPageBreak/>
        <w:t>vertebrate scientific collections through 3D imaging: The openVertebrate (oVert) Thematic Collections Network</w:t>
      </w:r>
      <w:r w:rsidRPr="00B81422">
        <w:t xml:space="preserve">. </w:t>
      </w:r>
      <w:r w:rsidRPr="00B81422">
        <w:rPr>
          <w:i/>
        </w:rPr>
        <w:t xml:space="preserve">BioScience </w:t>
      </w:r>
      <w:r w:rsidRPr="00B81422">
        <w:t xml:space="preserve">2024, </w:t>
      </w:r>
      <w:r w:rsidRPr="00B81422">
        <w:rPr>
          <w:b/>
        </w:rPr>
        <w:t>74</w:t>
      </w:r>
      <w:r w:rsidRPr="00B81422">
        <w:t>(3):169-186.</w:t>
      </w:r>
      <w:hyperlink r:id="rId25" w:history="1">
        <w:r w:rsidRPr="00B81422">
          <w:rPr>
            <w:rStyle w:val="Hyperlink"/>
          </w:rPr>
          <w:t>https://doi.org/10.1093/biosci/biad120</w:t>
        </w:r>
      </w:hyperlink>
      <w:r w:rsidRPr="00B81422">
        <w:t>.</w:t>
      </w:r>
    </w:p>
    <w:p w14:paraId="6A691F48" w14:textId="35A81975" w:rsidR="00B81422" w:rsidRPr="00B81422" w:rsidRDefault="00B81422" w:rsidP="00B81422">
      <w:pPr>
        <w:pStyle w:val="EndNoteBibliography"/>
        <w:spacing w:after="0"/>
        <w:ind w:left="720" w:hanging="720"/>
      </w:pPr>
      <w:r w:rsidRPr="00B81422">
        <w:t>16.</w:t>
      </w:r>
      <w:r w:rsidRPr="00B81422">
        <w:tab/>
        <w:t xml:space="preserve">He Y, Mulqueeney J, Watt E, Salili-James A, Barber N, Camaiti M, Hunt E, Kippax-Chui O, Knapp A, Lanzetti A: </w:t>
      </w:r>
      <w:r w:rsidRPr="00B81422">
        <w:rPr>
          <w:b/>
        </w:rPr>
        <w:t>Opportunities and challenges in applying AI to evolutionary morphology</w:t>
      </w:r>
      <w:r w:rsidRPr="00B81422">
        <w:t xml:space="preserve">. </w:t>
      </w:r>
      <w:r w:rsidRPr="00B81422">
        <w:rPr>
          <w:i/>
        </w:rPr>
        <w:t xml:space="preserve">Integrative Organismal Biology </w:t>
      </w:r>
      <w:r w:rsidRPr="00B81422">
        <w:t>2024:obae036.</w:t>
      </w:r>
      <w:hyperlink r:id="rId26" w:history="1">
        <w:r w:rsidRPr="00B81422">
          <w:rPr>
            <w:rStyle w:val="Hyperlink"/>
          </w:rPr>
          <w:t>https://doi.org/10.1093/iob/obae036</w:t>
        </w:r>
      </w:hyperlink>
      <w:r w:rsidRPr="00B81422">
        <w:t>.</w:t>
      </w:r>
    </w:p>
    <w:p w14:paraId="1AF9442C" w14:textId="68218E09" w:rsidR="00B81422" w:rsidRPr="00B81422" w:rsidRDefault="00B81422" w:rsidP="00B81422">
      <w:pPr>
        <w:pStyle w:val="EndNoteBibliography"/>
        <w:spacing w:after="0"/>
        <w:ind w:left="720" w:hanging="720"/>
      </w:pPr>
      <w:r w:rsidRPr="00B81422">
        <w:t>17.</w:t>
      </w:r>
      <w:r w:rsidRPr="00B81422">
        <w:tab/>
        <w:t xml:space="preserve">Felice RN, Randau M, Goswami A: </w:t>
      </w:r>
      <w:r w:rsidRPr="00B81422">
        <w:rPr>
          <w:b/>
        </w:rPr>
        <w:t>A fly in a tube: macroevolutionary expectations for integrated phenotypes</w:t>
      </w:r>
      <w:r w:rsidRPr="00B81422">
        <w:t xml:space="preserve">. </w:t>
      </w:r>
      <w:r w:rsidRPr="00B81422">
        <w:rPr>
          <w:i/>
        </w:rPr>
        <w:t xml:space="preserve">Evolution </w:t>
      </w:r>
      <w:r w:rsidRPr="00B81422">
        <w:t xml:space="preserve">2018, </w:t>
      </w:r>
      <w:r w:rsidRPr="00B81422">
        <w:rPr>
          <w:b/>
        </w:rPr>
        <w:t>72</w:t>
      </w:r>
      <w:r w:rsidRPr="00B81422">
        <w:t>(12):2580-2594.</w:t>
      </w:r>
      <w:hyperlink r:id="rId27" w:history="1">
        <w:r w:rsidRPr="00B81422">
          <w:rPr>
            <w:rStyle w:val="Hyperlink"/>
          </w:rPr>
          <w:t>https://doi.org/10.1111/evo.13608</w:t>
        </w:r>
      </w:hyperlink>
      <w:r w:rsidRPr="00B81422">
        <w:t>.</w:t>
      </w:r>
    </w:p>
    <w:p w14:paraId="438E311A" w14:textId="456F025E" w:rsidR="00B81422" w:rsidRPr="00B81422" w:rsidRDefault="00B81422" w:rsidP="00B81422">
      <w:pPr>
        <w:pStyle w:val="EndNoteBibliography"/>
        <w:spacing w:after="0"/>
        <w:ind w:left="720" w:hanging="720"/>
      </w:pPr>
      <w:r w:rsidRPr="00B81422">
        <w:t>18.</w:t>
      </w:r>
      <w:r w:rsidRPr="00B81422">
        <w:tab/>
        <w:t xml:space="preserve">Collyer ML, Sekora DJ, Adams DC: </w:t>
      </w:r>
      <w:r w:rsidRPr="00B81422">
        <w:rPr>
          <w:b/>
        </w:rPr>
        <w:t>A method for analysis of phenotypic change for phenotypes described by high-dimensional data</w:t>
      </w:r>
      <w:r w:rsidRPr="00B81422">
        <w:t xml:space="preserve">. </w:t>
      </w:r>
      <w:r w:rsidRPr="00B81422">
        <w:rPr>
          <w:i/>
        </w:rPr>
        <w:t xml:space="preserve">Heredity </w:t>
      </w:r>
      <w:r w:rsidRPr="00B81422">
        <w:t xml:space="preserve">2015, </w:t>
      </w:r>
      <w:r w:rsidRPr="00B81422">
        <w:rPr>
          <w:b/>
        </w:rPr>
        <w:t>115</w:t>
      </w:r>
      <w:r w:rsidRPr="00B81422">
        <w:t>(4):357-365.</w:t>
      </w:r>
      <w:hyperlink r:id="rId28" w:history="1">
        <w:r w:rsidRPr="00B81422">
          <w:rPr>
            <w:rStyle w:val="Hyperlink"/>
          </w:rPr>
          <w:t>https://doi.org/10.1038/hdy.2014.75</w:t>
        </w:r>
      </w:hyperlink>
      <w:r w:rsidRPr="00B81422">
        <w:t>.</w:t>
      </w:r>
    </w:p>
    <w:p w14:paraId="0FED71F2" w14:textId="1F0E069A" w:rsidR="00B81422" w:rsidRPr="00B81422" w:rsidRDefault="00B81422" w:rsidP="00B81422">
      <w:pPr>
        <w:pStyle w:val="EndNoteBibliography"/>
        <w:spacing w:after="0"/>
        <w:ind w:left="720" w:hanging="720"/>
      </w:pPr>
      <w:r w:rsidRPr="00B81422">
        <w:t>19.</w:t>
      </w:r>
      <w:r w:rsidRPr="00B81422">
        <w:tab/>
        <w:t xml:space="preserve">Young R, Maga AM: </w:t>
      </w:r>
      <w:r w:rsidRPr="00B81422">
        <w:rPr>
          <w:b/>
        </w:rPr>
        <w:t>Performance of single and multi-atlas based automated landmarking methods compared to expert annotations in volumetric microCT datasets of mouse mandibles</w:t>
      </w:r>
      <w:r w:rsidRPr="00B81422">
        <w:t xml:space="preserve">. </w:t>
      </w:r>
      <w:r w:rsidRPr="00B81422">
        <w:rPr>
          <w:i/>
        </w:rPr>
        <w:t xml:space="preserve">Frontiers in zoology </w:t>
      </w:r>
      <w:r w:rsidRPr="00B81422">
        <w:t xml:space="preserve">2015, </w:t>
      </w:r>
      <w:r w:rsidRPr="00B81422">
        <w:rPr>
          <w:b/>
        </w:rPr>
        <w:t>12</w:t>
      </w:r>
      <w:r w:rsidRPr="00B81422">
        <w:t>:1-12.</w:t>
      </w:r>
      <w:hyperlink r:id="rId29" w:history="1">
        <w:r w:rsidRPr="00B81422">
          <w:rPr>
            <w:rStyle w:val="Hyperlink"/>
          </w:rPr>
          <w:t>https://doi.org/10.1186/s12983-015-0127-8</w:t>
        </w:r>
      </w:hyperlink>
      <w:r w:rsidRPr="00B81422">
        <w:t>.</w:t>
      </w:r>
    </w:p>
    <w:p w14:paraId="6F8D383E" w14:textId="1C364B91" w:rsidR="00B81422" w:rsidRPr="00B81422" w:rsidRDefault="00B81422" w:rsidP="00B81422">
      <w:pPr>
        <w:pStyle w:val="EndNoteBibliography"/>
        <w:spacing w:after="0"/>
        <w:ind w:left="720" w:hanging="720"/>
      </w:pPr>
      <w:r w:rsidRPr="00B81422">
        <w:t>20.</w:t>
      </w:r>
      <w:r w:rsidRPr="00B81422">
        <w:tab/>
        <w:t xml:space="preserve">Li M, Cole JB, Manyama M, Larson JR, Liberton DK, Riccardi SL, Ferrara TM, Santorico SA, Bannister JJ, Forkert ND: </w:t>
      </w:r>
      <w:r w:rsidRPr="00B81422">
        <w:rPr>
          <w:b/>
        </w:rPr>
        <w:t>Rapid automated landmarking for morphometric analysis of three</w:t>
      </w:r>
      <w:r w:rsidRPr="00B81422">
        <w:rPr>
          <w:rFonts w:ascii="Cambria Math" w:hAnsi="Cambria Math" w:cs="Cambria Math"/>
          <w:b/>
        </w:rPr>
        <w:t>‐</w:t>
      </w:r>
      <w:r w:rsidRPr="00B81422">
        <w:rPr>
          <w:b/>
        </w:rPr>
        <w:t>dimensional facial scans</w:t>
      </w:r>
      <w:r w:rsidRPr="00B81422">
        <w:t xml:space="preserve">. </w:t>
      </w:r>
      <w:r w:rsidRPr="00B81422">
        <w:rPr>
          <w:i/>
        </w:rPr>
        <w:t xml:space="preserve">Journal of anatomy </w:t>
      </w:r>
      <w:r w:rsidRPr="00B81422">
        <w:t xml:space="preserve">2017, </w:t>
      </w:r>
      <w:r w:rsidRPr="00B81422">
        <w:rPr>
          <w:b/>
        </w:rPr>
        <w:t>230</w:t>
      </w:r>
      <w:r w:rsidRPr="00B81422">
        <w:t>(4):607-618.</w:t>
      </w:r>
      <w:hyperlink r:id="rId30" w:history="1">
        <w:r w:rsidRPr="00B81422">
          <w:rPr>
            <w:rStyle w:val="Hyperlink"/>
          </w:rPr>
          <w:t>https://doi.org/10.1111/joa.12576</w:t>
        </w:r>
      </w:hyperlink>
      <w:r w:rsidRPr="00B81422">
        <w:t>.</w:t>
      </w:r>
    </w:p>
    <w:p w14:paraId="4A054CF5" w14:textId="62541D4D" w:rsidR="00B81422" w:rsidRPr="00B81422" w:rsidRDefault="00B81422" w:rsidP="00B81422">
      <w:pPr>
        <w:pStyle w:val="EndNoteBibliography"/>
        <w:spacing w:after="0"/>
        <w:ind w:left="720" w:hanging="720"/>
      </w:pPr>
      <w:r w:rsidRPr="00B81422">
        <w:t>21.</w:t>
      </w:r>
      <w:r w:rsidRPr="00B81422">
        <w:tab/>
        <w:t xml:space="preserve">Devine J, Aponte JD, Katz DC, Liu W, Vercio LDL, Forkert ND, Marcucio R, Percival CJ, Hallgrímsson B: </w:t>
      </w:r>
      <w:r w:rsidRPr="00B81422">
        <w:rPr>
          <w:b/>
        </w:rPr>
        <w:t>A registration and deep learning approach to automated landmark detection for geometric morphometrics</w:t>
      </w:r>
      <w:r w:rsidRPr="00B81422">
        <w:t xml:space="preserve">. </w:t>
      </w:r>
      <w:r w:rsidRPr="00B81422">
        <w:rPr>
          <w:i/>
        </w:rPr>
        <w:t xml:space="preserve">Evolutionary Biology </w:t>
      </w:r>
      <w:r w:rsidRPr="00B81422">
        <w:t xml:space="preserve">2020, </w:t>
      </w:r>
      <w:r w:rsidRPr="00B81422">
        <w:rPr>
          <w:b/>
        </w:rPr>
        <w:t>47</w:t>
      </w:r>
      <w:r w:rsidRPr="00B81422">
        <w:t>(3):246-259.</w:t>
      </w:r>
      <w:hyperlink r:id="rId31" w:history="1">
        <w:r w:rsidRPr="00B81422">
          <w:rPr>
            <w:rStyle w:val="Hyperlink"/>
          </w:rPr>
          <w:t>https://doi.org/10.1007/s11692-020-09508-8</w:t>
        </w:r>
      </w:hyperlink>
      <w:r w:rsidRPr="00B81422">
        <w:t>.</w:t>
      </w:r>
    </w:p>
    <w:p w14:paraId="51CDAD9E" w14:textId="7F6CBC98" w:rsidR="00B81422" w:rsidRPr="00B81422" w:rsidRDefault="00B81422" w:rsidP="00B81422">
      <w:pPr>
        <w:pStyle w:val="EndNoteBibliography"/>
        <w:spacing w:after="0"/>
        <w:ind w:left="720" w:hanging="720"/>
      </w:pPr>
      <w:r w:rsidRPr="00B81422">
        <w:t>22.</w:t>
      </w:r>
      <w:r w:rsidRPr="00B81422">
        <w:tab/>
        <w:t xml:space="preserve">Porto A, Rolfe S, Maga AM: </w:t>
      </w:r>
      <w:r w:rsidRPr="00B81422">
        <w:rPr>
          <w:b/>
        </w:rPr>
        <w:t>ALPACA: A fast and accurate computer vision approach for automated landmarking of three</w:t>
      </w:r>
      <w:r w:rsidRPr="00B81422">
        <w:rPr>
          <w:rFonts w:ascii="Cambria Math" w:hAnsi="Cambria Math" w:cs="Cambria Math"/>
          <w:b/>
        </w:rPr>
        <w:t>‐</w:t>
      </w:r>
      <w:r w:rsidRPr="00B81422">
        <w:rPr>
          <w:b/>
        </w:rPr>
        <w:t>dimensional biological structures</w:t>
      </w:r>
      <w:r w:rsidRPr="00B81422">
        <w:t xml:space="preserve">. </w:t>
      </w:r>
      <w:r w:rsidRPr="00B81422">
        <w:rPr>
          <w:i/>
        </w:rPr>
        <w:t xml:space="preserve">Methods in Ecology and Evolution </w:t>
      </w:r>
      <w:r w:rsidRPr="00B81422">
        <w:t xml:space="preserve">2021, </w:t>
      </w:r>
      <w:r w:rsidRPr="00B81422">
        <w:rPr>
          <w:b/>
        </w:rPr>
        <w:t>12</w:t>
      </w:r>
      <w:r w:rsidRPr="00B81422">
        <w:t>(11):2129-2144.</w:t>
      </w:r>
      <w:hyperlink r:id="rId32" w:history="1">
        <w:r w:rsidRPr="00B81422">
          <w:rPr>
            <w:rStyle w:val="Hyperlink"/>
          </w:rPr>
          <w:t>https://doi.org/10.1111/2041-210X.13689</w:t>
        </w:r>
      </w:hyperlink>
      <w:r w:rsidRPr="00B81422">
        <w:t>.</w:t>
      </w:r>
    </w:p>
    <w:p w14:paraId="0819A72A" w14:textId="61FBFBB7" w:rsidR="00B81422" w:rsidRPr="00B81422" w:rsidRDefault="00B81422" w:rsidP="00B81422">
      <w:pPr>
        <w:pStyle w:val="EndNoteBibliography"/>
        <w:spacing w:after="0"/>
        <w:ind w:left="720" w:hanging="720"/>
      </w:pPr>
      <w:r w:rsidRPr="00B81422">
        <w:t>23.</w:t>
      </w:r>
      <w:r w:rsidRPr="00B81422">
        <w:tab/>
        <w:t xml:space="preserve">Zhang C, Porto A, Rolfe S, Kocatulum A, Maga AM: </w:t>
      </w:r>
      <w:r w:rsidRPr="00B81422">
        <w:rPr>
          <w:b/>
        </w:rPr>
        <w:t>Automated landmarking via multiple templates</w:t>
      </w:r>
      <w:r w:rsidRPr="00B81422">
        <w:t xml:space="preserve">. </w:t>
      </w:r>
      <w:r w:rsidRPr="00B81422">
        <w:rPr>
          <w:i/>
        </w:rPr>
        <w:t xml:space="preserve">Plos one </w:t>
      </w:r>
      <w:r w:rsidRPr="00B81422">
        <w:t xml:space="preserve">2022, </w:t>
      </w:r>
      <w:r w:rsidRPr="00B81422">
        <w:rPr>
          <w:b/>
        </w:rPr>
        <w:t>17</w:t>
      </w:r>
      <w:r w:rsidRPr="00B81422">
        <w:t>(12):e0278035.</w:t>
      </w:r>
      <w:hyperlink r:id="rId33" w:history="1">
        <w:r w:rsidRPr="00B81422">
          <w:rPr>
            <w:rStyle w:val="Hyperlink"/>
          </w:rPr>
          <w:t>https://doi.org/10.1371/journal.pone.0278035</w:t>
        </w:r>
      </w:hyperlink>
      <w:r w:rsidRPr="00B81422">
        <w:t>.</w:t>
      </w:r>
    </w:p>
    <w:p w14:paraId="1DF4B00E" w14:textId="72C9ABC2" w:rsidR="00B81422" w:rsidRPr="00B81422" w:rsidRDefault="00B81422" w:rsidP="00B81422">
      <w:pPr>
        <w:pStyle w:val="EndNoteBibliography"/>
        <w:spacing w:after="0"/>
        <w:ind w:left="720" w:hanging="720"/>
      </w:pPr>
      <w:r w:rsidRPr="00B81422">
        <w:t>24.</w:t>
      </w:r>
      <w:r w:rsidRPr="00B81422">
        <w:tab/>
        <w:t xml:space="preserve">Boyer DM, Puente J, Gladman JT, Glynn C, Mukherjee S, Yapuncich GS, Daubechies I: </w:t>
      </w:r>
      <w:r w:rsidRPr="00B81422">
        <w:rPr>
          <w:b/>
        </w:rPr>
        <w:t>A new fully automated approach for aligning and comparing shapes</w:t>
      </w:r>
      <w:r w:rsidRPr="00B81422">
        <w:t xml:space="preserve">. </w:t>
      </w:r>
      <w:r w:rsidRPr="00B81422">
        <w:rPr>
          <w:i/>
        </w:rPr>
        <w:t xml:space="preserve">The Anatomical Record </w:t>
      </w:r>
      <w:r w:rsidRPr="00B81422">
        <w:t xml:space="preserve">2015, </w:t>
      </w:r>
      <w:r w:rsidRPr="00B81422">
        <w:rPr>
          <w:b/>
        </w:rPr>
        <w:t>298</w:t>
      </w:r>
      <w:r w:rsidRPr="00B81422">
        <w:t>(1):249-276.</w:t>
      </w:r>
      <w:hyperlink r:id="rId34" w:history="1">
        <w:r w:rsidRPr="00B81422">
          <w:rPr>
            <w:rStyle w:val="Hyperlink"/>
          </w:rPr>
          <w:t>https://doi.org/10.1002/ar.23084</w:t>
        </w:r>
      </w:hyperlink>
      <w:r w:rsidRPr="00B81422">
        <w:t>.</w:t>
      </w:r>
    </w:p>
    <w:p w14:paraId="144861B8" w14:textId="065D4EF0" w:rsidR="00B81422" w:rsidRPr="00B81422" w:rsidRDefault="00B81422" w:rsidP="00B81422">
      <w:pPr>
        <w:pStyle w:val="EndNoteBibliography"/>
        <w:spacing w:after="0"/>
        <w:ind w:left="720" w:hanging="720"/>
      </w:pPr>
      <w:r w:rsidRPr="00B81422">
        <w:t>25.</w:t>
      </w:r>
      <w:r w:rsidRPr="00B81422">
        <w:tab/>
        <w:t xml:space="preserve">Pomidor BJ, Makedonska J, Slice DE: </w:t>
      </w:r>
      <w:r w:rsidRPr="00B81422">
        <w:rPr>
          <w:b/>
        </w:rPr>
        <w:t>A landmark-free method for three-dimensional shape analysis</w:t>
      </w:r>
      <w:r w:rsidRPr="00B81422">
        <w:t xml:space="preserve">. </w:t>
      </w:r>
      <w:r w:rsidRPr="00B81422">
        <w:rPr>
          <w:i/>
        </w:rPr>
        <w:t xml:space="preserve">PloS one </w:t>
      </w:r>
      <w:r w:rsidRPr="00B81422">
        <w:t xml:space="preserve">2016, </w:t>
      </w:r>
      <w:r w:rsidRPr="00B81422">
        <w:rPr>
          <w:b/>
        </w:rPr>
        <w:t>11</w:t>
      </w:r>
      <w:r w:rsidRPr="00B81422">
        <w:t>(3):e0150368.</w:t>
      </w:r>
      <w:hyperlink r:id="rId35" w:history="1">
        <w:r w:rsidRPr="00B81422">
          <w:rPr>
            <w:rStyle w:val="Hyperlink"/>
          </w:rPr>
          <w:t>https://doi.org/10.1371/journal.pone.0150368</w:t>
        </w:r>
      </w:hyperlink>
      <w:r w:rsidRPr="00B81422">
        <w:t>.</w:t>
      </w:r>
    </w:p>
    <w:p w14:paraId="13161409" w14:textId="7DB51C52" w:rsidR="00B81422" w:rsidRPr="00B81422" w:rsidRDefault="00B81422" w:rsidP="00B81422">
      <w:pPr>
        <w:pStyle w:val="EndNoteBibliography"/>
        <w:spacing w:after="0"/>
        <w:ind w:left="720" w:hanging="720"/>
      </w:pPr>
      <w:r w:rsidRPr="00B81422">
        <w:t>26.</w:t>
      </w:r>
      <w:r w:rsidRPr="00B81422">
        <w:tab/>
        <w:t xml:space="preserve">Pomidor BJ, Dean MD: </w:t>
      </w:r>
      <w:r w:rsidRPr="00B81422">
        <w:rPr>
          <w:b/>
        </w:rPr>
        <w:t>GPSA2: combining landmark-free and landmark-based methods in geometric morphometrics</w:t>
      </w:r>
      <w:r w:rsidRPr="00B81422">
        <w:t xml:space="preserve">. </w:t>
      </w:r>
      <w:r w:rsidRPr="00B81422">
        <w:rPr>
          <w:i/>
        </w:rPr>
        <w:t xml:space="preserve">bioRxiv </w:t>
      </w:r>
      <w:r w:rsidRPr="00B81422">
        <w:t>2024:2024.2008. 2003.604701.</w:t>
      </w:r>
      <w:hyperlink r:id="rId36" w:history="1">
        <w:r w:rsidRPr="00B81422">
          <w:rPr>
            <w:rStyle w:val="Hyperlink"/>
          </w:rPr>
          <w:t>https://doi.org/10.1101/2024.08.03.604701</w:t>
        </w:r>
      </w:hyperlink>
      <w:r w:rsidRPr="00B81422">
        <w:t>.</w:t>
      </w:r>
    </w:p>
    <w:p w14:paraId="3F91D1B5" w14:textId="71149F78" w:rsidR="00B81422" w:rsidRPr="00B81422" w:rsidRDefault="00B81422" w:rsidP="00B81422">
      <w:pPr>
        <w:pStyle w:val="EndNoteBibliography"/>
        <w:spacing w:after="0"/>
        <w:ind w:left="720" w:hanging="720"/>
      </w:pPr>
      <w:r w:rsidRPr="00B81422">
        <w:t>27.</w:t>
      </w:r>
      <w:r w:rsidRPr="00B81422">
        <w:tab/>
        <w:t xml:space="preserve">Hammond P, Hutton TJ, Allanson JE, Campbell LE, Hennekam RC, Holden S, Patton MA, Shaw A, Temple IK, Trotter M: </w:t>
      </w:r>
      <w:r w:rsidRPr="00B81422">
        <w:rPr>
          <w:b/>
        </w:rPr>
        <w:t>3D analysis of facial morphology</w:t>
      </w:r>
      <w:r w:rsidRPr="00B81422">
        <w:t xml:space="preserve">. </w:t>
      </w:r>
      <w:r w:rsidRPr="00B81422">
        <w:rPr>
          <w:i/>
        </w:rPr>
        <w:t xml:space="preserve">American journal of medical genetics Part A </w:t>
      </w:r>
      <w:r w:rsidRPr="00B81422">
        <w:t xml:space="preserve">2004, </w:t>
      </w:r>
      <w:r w:rsidRPr="00B81422">
        <w:rPr>
          <w:b/>
        </w:rPr>
        <w:t>126</w:t>
      </w:r>
      <w:r w:rsidRPr="00B81422">
        <w:t>(4):339-348.</w:t>
      </w:r>
      <w:hyperlink r:id="rId37" w:history="1">
        <w:r w:rsidRPr="00B81422">
          <w:rPr>
            <w:rStyle w:val="Hyperlink"/>
          </w:rPr>
          <w:t>https://doi.org/10.1002/ajmg.a.20665</w:t>
        </w:r>
      </w:hyperlink>
      <w:r w:rsidRPr="00B81422">
        <w:t>.</w:t>
      </w:r>
    </w:p>
    <w:p w14:paraId="679724D2" w14:textId="359EEB84" w:rsidR="00B81422" w:rsidRPr="00B81422" w:rsidRDefault="00B81422" w:rsidP="00B81422">
      <w:pPr>
        <w:pStyle w:val="EndNoteBibliography"/>
        <w:spacing w:after="0"/>
        <w:ind w:left="720" w:hanging="720"/>
      </w:pPr>
      <w:r w:rsidRPr="00B81422">
        <w:t>28.</w:t>
      </w:r>
      <w:r w:rsidRPr="00B81422">
        <w:tab/>
        <w:t xml:space="preserve">Hammond P, Suttie M: </w:t>
      </w:r>
      <w:r w:rsidRPr="00B81422">
        <w:rPr>
          <w:b/>
        </w:rPr>
        <w:t>Large</w:t>
      </w:r>
      <w:r w:rsidRPr="00B81422">
        <w:rPr>
          <w:rFonts w:ascii="Cambria Math" w:hAnsi="Cambria Math" w:cs="Cambria Math"/>
          <w:b/>
        </w:rPr>
        <w:t>‐</w:t>
      </w:r>
      <w:r w:rsidRPr="00B81422">
        <w:rPr>
          <w:b/>
        </w:rPr>
        <w:t>scale objective phenotyping of 3D facial morphology</w:t>
      </w:r>
      <w:r w:rsidRPr="00B81422">
        <w:t xml:space="preserve">. </w:t>
      </w:r>
      <w:r w:rsidRPr="00B81422">
        <w:rPr>
          <w:i/>
        </w:rPr>
        <w:t xml:space="preserve">Human mutation </w:t>
      </w:r>
      <w:r w:rsidRPr="00B81422">
        <w:t xml:space="preserve">2012, </w:t>
      </w:r>
      <w:r w:rsidRPr="00B81422">
        <w:rPr>
          <w:b/>
        </w:rPr>
        <w:t>33</w:t>
      </w:r>
      <w:r w:rsidRPr="00B81422">
        <w:t>(5):817-825.</w:t>
      </w:r>
      <w:hyperlink r:id="rId38" w:history="1">
        <w:r w:rsidRPr="00B81422">
          <w:rPr>
            <w:rStyle w:val="Hyperlink"/>
          </w:rPr>
          <w:t>https://doi.org/10.1002/humu.22054</w:t>
        </w:r>
      </w:hyperlink>
      <w:r w:rsidRPr="00B81422">
        <w:t>.</w:t>
      </w:r>
    </w:p>
    <w:p w14:paraId="07EB2EB3" w14:textId="5BABBD00" w:rsidR="00B81422" w:rsidRPr="00B81422" w:rsidRDefault="00B81422" w:rsidP="00B81422">
      <w:pPr>
        <w:pStyle w:val="EndNoteBibliography"/>
        <w:spacing w:after="0"/>
        <w:ind w:left="720" w:hanging="720"/>
      </w:pPr>
      <w:r w:rsidRPr="00B81422">
        <w:lastRenderedPageBreak/>
        <w:t>29.</w:t>
      </w:r>
      <w:r w:rsidRPr="00B81422">
        <w:tab/>
        <w:t xml:space="preserve">Rolfe S, Maga AM: </w:t>
      </w:r>
      <w:r w:rsidRPr="00B81422">
        <w:rPr>
          <w:b/>
        </w:rPr>
        <w:t>DeCA: A Dense Correspondence Analysis Toolkit for Shape Analysis</w:t>
      </w:r>
      <w:r w:rsidRPr="00B81422">
        <w:t xml:space="preserve">. In: </w:t>
      </w:r>
      <w:r w:rsidRPr="00B81422">
        <w:rPr>
          <w:i/>
        </w:rPr>
        <w:t>International Workshop on Shape in Medical Imaging: 2023</w:t>
      </w:r>
      <w:r w:rsidRPr="00B81422">
        <w:t>. Springer: 259-270.</w:t>
      </w:r>
      <w:hyperlink r:id="rId39" w:history="1">
        <w:r w:rsidRPr="00B81422">
          <w:rPr>
            <w:rStyle w:val="Hyperlink"/>
          </w:rPr>
          <w:t>https://doi.org/10.1007/978-3-031-46914-5_21</w:t>
        </w:r>
      </w:hyperlink>
      <w:r w:rsidRPr="00B81422">
        <w:t>.</w:t>
      </w:r>
    </w:p>
    <w:p w14:paraId="6B44CEA4" w14:textId="65FB435E" w:rsidR="00B81422" w:rsidRPr="00B81422" w:rsidRDefault="00B81422" w:rsidP="00B81422">
      <w:pPr>
        <w:pStyle w:val="EndNoteBibliography"/>
        <w:spacing w:after="0"/>
        <w:ind w:left="720" w:hanging="720"/>
      </w:pPr>
      <w:r w:rsidRPr="00B81422">
        <w:t>30.</w:t>
      </w:r>
      <w:r w:rsidRPr="00B81422">
        <w:tab/>
        <w:t xml:space="preserve">Wang B, Sudijono T, Kirveslahti H, Gao T, Boyer DM, Mukherjee S, Crawford L: </w:t>
      </w:r>
      <w:r w:rsidRPr="00B81422">
        <w:rPr>
          <w:b/>
        </w:rPr>
        <w:t>A statistical pipeline for identifying physical features that differentiate classes of 3D shapes</w:t>
      </w:r>
      <w:r w:rsidRPr="00B81422">
        <w:t xml:space="preserve">. </w:t>
      </w:r>
      <w:r w:rsidRPr="00B81422">
        <w:rPr>
          <w:i/>
        </w:rPr>
        <w:t xml:space="preserve">The Annals of Applied Statistics </w:t>
      </w:r>
      <w:r w:rsidRPr="00B81422">
        <w:t xml:space="preserve">2021, </w:t>
      </w:r>
      <w:r w:rsidRPr="00B81422">
        <w:rPr>
          <w:b/>
        </w:rPr>
        <w:t>15</w:t>
      </w:r>
      <w:r w:rsidRPr="00B81422">
        <w:t>(2):638-661.</w:t>
      </w:r>
      <w:hyperlink r:id="rId40" w:history="1">
        <w:r w:rsidRPr="00B81422">
          <w:rPr>
            <w:rStyle w:val="Hyperlink"/>
          </w:rPr>
          <w:t>https://doi.org/10.1214/20-AOAS143</w:t>
        </w:r>
      </w:hyperlink>
      <w:r w:rsidRPr="00B81422">
        <w:t>.</w:t>
      </w:r>
    </w:p>
    <w:p w14:paraId="78AD433B" w14:textId="66DB6B17" w:rsidR="00B81422" w:rsidRPr="00B81422" w:rsidRDefault="00B81422" w:rsidP="00B81422">
      <w:pPr>
        <w:pStyle w:val="EndNoteBibliography"/>
        <w:spacing w:after="0"/>
        <w:ind w:left="720" w:hanging="720"/>
      </w:pPr>
      <w:r w:rsidRPr="00B81422">
        <w:t>31.</w:t>
      </w:r>
      <w:r w:rsidRPr="00B81422">
        <w:tab/>
        <w:t xml:space="preserve">Lin H, Zhang W, Mulqueeney JM, Brombacher A, Searle-Barnes A, Nixon M, Cai X, Ezard T: </w:t>
      </w:r>
      <w:r w:rsidRPr="00B81422">
        <w:rPr>
          <w:b/>
        </w:rPr>
        <w:t>3DKMI: A MATLAB package to generate shape signatures from Krawtchouk moments and an application to species delimitation in planktonic foraminifera</w:t>
      </w:r>
      <w:r w:rsidRPr="00B81422">
        <w:t xml:space="preserve">. </w:t>
      </w:r>
      <w:r w:rsidRPr="00B81422">
        <w:rPr>
          <w:i/>
        </w:rPr>
        <w:t xml:space="preserve">Methods in Ecology and Evolution </w:t>
      </w:r>
      <w:r w:rsidRPr="00B81422">
        <w:t>2024.</w:t>
      </w:r>
      <w:hyperlink r:id="rId41" w:history="1">
        <w:r w:rsidRPr="00B81422">
          <w:rPr>
            <w:rStyle w:val="Hyperlink"/>
          </w:rPr>
          <w:t>https://doi.org/10.1111/2041-210X.14388</w:t>
        </w:r>
      </w:hyperlink>
      <w:r w:rsidRPr="00B81422">
        <w:t>.</w:t>
      </w:r>
    </w:p>
    <w:p w14:paraId="6C1F94F7" w14:textId="160A3087" w:rsidR="00B81422" w:rsidRPr="00B81422" w:rsidRDefault="00B81422" w:rsidP="00B81422">
      <w:pPr>
        <w:pStyle w:val="EndNoteBibliography"/>
        <w:spacing w:after="0"/>
        <w:ind w:left="720" w:hanging="720"/>
      </w:pPr>
      <w:r w:rsidRPr="00B81422">
        <w:t>32.</w:t>
      </w:r>
      <w:r w:rsidRPr="00B81422">
        <w:tab/>
        <w:t xml:space="preserve">Beg MF, Miller MI, Trouvé A, Younes L: </w:t>
      </w:r>
      <w:r w:rsidRPr="00B81422">
        <w:rPr>
          <w:b/>
        </w:rPr>
        <w:t>Computing large deformation metric mappings via geodesic flows of diffeomorphisms</w:t>
      </w:r>
      <w:r w:rsidRPr="00B81422">
        <w:t xml:space="preserve">. </w:t>
      </w:r>
      <w:r w:rsidRPr="00B81422">
        <w:rPr>
          <w:i/>
        </w:rPr>
        <w:t xml:space="preserve">International journal of computer vision </w:t>
      </w:r>
      <w:r w:rsidRPr="00B81422">
        <w:t xml:space="preserve">2005, </w:t>
      </w:r>
      <w:r w:rsidRPr="00B81422">
        <w:rPr>
          <w:b/>
        </w:rPr>
        <w:t>61</w:t>
      </w:r>
      <w:r w:rsidRPr="00B81422">
        <w:t>:139-157.</w:t>
      </w:r>
      <w:hyperlink r:id="rId42" w:history="1">
        <w:r w:rsidRPr="00B81422">
          <w:rPr>
            <w:rStyle w:val="Hyperlink"/>
          </w:rPr>
          <w:t>https://doi.org/10.1023/B:VISI.0000043755.93987.aa</w:t>
        </w:r>
      </w:hyperlink>
      <w:r w:rsidRPr="00B81422">
        <w:t>.</w:t>
      </w:r>
    </w:p>
    <w:p w14:paraId="0D6B8D9E" w14:textId="1358781A" w:rsidR="00B81422" w:rsidRPr="00B81422" w:rsidRDefault="00B81422" w:rsidP="00B81422">
      <w:pPr>
        <w:pStyle w:val="EndNoteBibliography"/>
        <w:spacing w:after="0"/>
        <w:ind w:left="720" w:hanging="720"/>
      </w:pPr>
      <w:r w:rsidRPr="00B81422">
        <w:t>33.</w:t>
      </w:r>
      <w:r w:rsidRPr="00B81422">
        <w:tab/>
        <w:t xml:space="preserve">Durrleman S, Prastawa M, Charon N, Korenberg JR, Joshi S, Gerig G, Trouvé A: </w:t>
      </w:r>
      <w:r w:rsidRPr="00B81422">
        <w:rPr>
          <w:b/>
        </w:rPr>
        <w:t>Morphometry of anatomical shape complexes with dense deformations and sparse parameters</w:t>
      </w:r>
      <w:r w:rsidRPr="00B81422">
        <w:t xml:space="preserve">. </w:t>
      </w:r>
      <w:r w:rsidRPr="00B81422">
        <w:rPr>
          <w:i/>
        </w:rPr>
        <w:t xml:space="preserve">NeuroImage </w:t>
      </w:r>
      <w:r w:rsidRPr="00B81422">
        <w:t xml:space="preserve">2014, </w:t>
      </w:r>
      <w:r w:rsidRPr="00B81422">
        <w:rPr>
          <w:b/>
        </w:rPr>
        <w:t>101</w:t>
      </w:r>
      <w:r w:rsidRPr="00B81422">
        <w:t>:35-49.</w:t>
      </w:r>
      <w:hyperlink r:id="rId43" w:history="1">
        <w:r w:rsidRPr="00B81422">
          <w:rPr>
            <w:rStyle w:val="Hyperlink"/>
          </w:rPr>
          <w:t>https://doi.org/10.1016/j.neuroimage.2014.06.043</w:t>
        </w:r>
      </w:hyperlink>
      <w:r w:rsidRPr="00B81422">
        <w:t>.</w:t>
      </w:r>
    </w:p>
    <w:p w14:paraId="2068370B" w14:textId="2030A2D6" w:rsidR="00B81422" w:rsidRPr="00B81422" w:rsidRDefault="00B81422" w:rsidP="00B81422">
      <w:pPr>
        <w:pStyle w:val="EndNoteBibliography"/>
        <w:spacing w:after="0"/>
        <w:ind w:left="720" w:hanging="720"/>
      </w:pPr>
      <w:r w:rsidRPr="00B81422">
        <w:t>34.</w:t>
      </w:r>
      <w:r w:rsidRPr="00B81422">
        <w:tab/>
        <w:t xml:space="preserve">Bône A, Louis M, Martin B, Durrleman S: </w:t>
      </w:r>
      <w:r w:rsidRPr="00B81422">
        <w:rPr>
          <w:b/>
        </w:rPr>
        <w:t>Deformetrica 4: an open-source software for statistical shape analysis</w:t>
      </w:r>
      <w:r w:rsidRPr="00B81422">
        <w:t xml:space="preserve">. In: </w:t>
      </w:r>
      <w:r w:rsidRPr="00B81422">
        <w:rPr>
          <w:i/>
        </w:rPr>
        <w:t>Shape in Medical Imaging: International Workshop, ShapeMI 2018, Held in Conjunction with MICCAI 2018, Granada, Spain, September 20, 2018, Proceedings: 2018</w:t>
      </w:r>
      <w:r w:rsidRPr="00B81422">
        <w:t>. Springer: 3-13.</w:t>
      </w:r>
      <w:hyperlink r:id="rId44" w:history="1">
        <w:r w:rsidRPr="00B81422">
          <w:rPr>
            <w:rStyle w:val="Hyperlink"/>
          </w:rPr>
          <w:t>https://doi.org/10.1007/978-3-030-04747-4_1</w:t>
        </w:r>
      </w:hyperlink>
      <w:r w:rsidRPr="00B81422">
        <w:t>.</w:t>
      </w:r>
    </w:p>
    <w:p w14:paraId="360137B7" w14:textId="2706DF7B" w:rsidR="00B81422" w:rsidRPr="00B81422" w:rsidRDefault="00B81422" w:rsidP="00B81422">
      <w:pPr>
        <w:pStyle w:val="EndNoteBibliography"/>
        <w:spacing w:after="0"/>
        <w:ind w:left="720" w:hanging="720"/>
      </w:pPr>
      <w:r w:rsidRPr="00B81422">
        <w:t>35.</w:t>
      </w:r>
      <w:r w:rsidRPr="00B81422">
        <w:tab/>
        <w:t xml:space="preserve">Fruciano C, Celik MA, Butler K, Dooley T, Weisbecker V, Phillips MJ: </w:t>
      </w:r>
      <w:r w:rsidRPr="00B81422">
        <w:rPr>
          <w:b/>
        </w:rPr>
        <w:t>Sharing is caring? Measurement error and the issues arising from combining 3D morphometric datasets</w:t>
      </w:r>
      <w:r w:rsidRPr="00B81422">
        <w:t xml:space="preserve">. </w:t>
      </w:r>
      <w:r w:rsidRPr="00B81422">
        <w:rPr>
          <w:i/>
        </w:rPr>
        <w:t xml:space="preserve">Ecology and evolution </w:t>
      </w:r>
      <w:r w:rsidRPr="00B81422">
        <w:t xml:space="preserve">2017, </w:t>
      </w:r>
      <w:r w:rsidRPr="00B81422">
        <w:rPr>
          <w:b/>
        </w:rPr>
        <w:t>7</w:t>
      </w:r>
      <w:r w:rsidRPr="00B81422">
        <w:t>(17):7034-7046.</w:t>
      </w:r>
      <w:hyperlink r:id="rId45" w:history="1">
        <w:r w:rsidRPr="00B81422">
          <w:rPr>
            <w:rStyle w:val="Hyperlink"/>
          </w:rPr>
          <w:t>https://doi.org/10.1002/ece3.3256</w:t>
        </w:r>
      </w:hyperlink>
      <w:r w:rsidRPr="00B81422">
        <w:t>.</w:t>
      </w:r>
    </w:p>
    <w:p w14:paraId="5BBA699F" w14:textId="77777777" w:rsidR="00B81422" w:rsidRPr="00B81422" w:rsidRDefault="00B81422" w:rsidP="00B81422">
      <w:pPr>
        <w:pStyle w:val="EndNoteBibliography"/>
        <w:spacing w:after="0"/>
        <w:ind w:left="720" w:hanging="720"/>
      </w:pPr>
      <w:r w:rsidRPr="00B81422">
        <w:t>36.</w:t>
      </w:r>
      <w:r w:rsidRPr="00B81422">
        <w:tab/>
        <w:t xml:space="preserve">Fletcher T: </w:t>
      </w:r>
      <w:r w:rsidRPr="00B81422">
        <w:rPr>
          <w:b/>
        </w:rPr>
        <w:t>Geodesic regression on Riemannian manifolds</w:t>
      </w:r>
      <w:r w:rsidRPr="00B81422">
        <w:t xml:space="preserve">. In: </w:t>
      </w:r>
      <w:r w:rsidRPr="00B81422">
        <w:rPr>
          <w:i/>
        </w:rPr>
        <w:t>Proceedings of the Third International Workshop on Mathematical Foundations of Computational Anatomy-Geometrical and Statistical Methods for Modelling Biological Shape Variability: 2011</w:t>
      </w:r>
      <w:r w:rsidRPr="00B81422">
        <w:t>. 75-86.</w:t>
      </w:r>
    </w:p>
    <w:p w14:paraId="6C27039F" w14:textId="1E0ADAEF" w:rsidR="00B81422" w:rsidRPr="00B81422" w:rsidRDefault="00B81422" w:rsidP="00B81422">
      <w:pPr>
        <w:pStyle w:val="EndNoteBibliography"/>
        <w:spacing w:after="0"/>
        <w:ind w:left="720" w:hanging="720"/>
      </w:pPr>
      <w:r w:rsidRPr="00B81422">
        <w:t>37.</w:t>
      </w:r>
      <w:r w:rsidRPr="00B81422">
        <w:tab/>
        <w:t xml:space="preserve">Fishbaugh J, Prastawa M, Gerig G, Durrleman S: </w:t>
      </w:r>
      <w:r w:rsidRPr="00B81422">
        <w:rPr>
          <w:b/>
        </w:rPr>
        <w:t>Geodesic regression of image and shape data for improved modeling of 4D trajectories</w:t>
      </w:r>
      <w:r w:rsidRPr="00B81422">
        <w:t xml:space="preserve">. In: </w:t>
      </w:r>
      <w:r w:rsidRPr="00B81422">
        <w:rPr>
          <w:i/>
        </w:rPr>
        <w:t>2014 IEEE 11th International Symposium on Biomedical Imaging (ISBI): 2014</w:t>
      </w:r>
      <w:r w:rsidRPr="00B81422">
        <w:t>. IEEE: 385-388.</w:t>
      </w:r>
      <w:hyperlink r:id="rId46" w:history="1">
        <w:r w:rsidRPr="00B81422">
          <w:rPr>
            <w:rStyle w:val="Hyperlink"/>
          </w:rPr>
          <w:t>https://doi.org/10.1109/ISBI.2014.6867889</w:t>
        </w:r>
      </w:hyperlink>
      <w:r w:rsidRPr="00B81422">
        <w:t>.</w:t>
      </w:r>
    </w:p>
    <w:p w14:paraId="62E8210C" w14:textId="1D431EC6" w:rsidR="00B81422" w:rsidRPr="00B81422" w:rsidRDefault="00B81422" w:rsidP="00B81422">
      <w:pPr>
        <w:pStyle w:val="EndNoteBibliography"/>
        <w:spacing w:after="0"/>
        <w:ind w:left="720" w:hanging="720"/>
      </w:pPr>
      <w:r w:rsidRPr="00B81422">
        <w:t>38.</w:t>
      </w:r>
      <w:r w:rsidRPr="00B81422">
        <w:tab/>
        <w:t xml:space="preserve">Schölkopf B, Smola A, Müller K-R: </w:t>
      </w:r>
      <w:r w:rsidRPr="00B81422">
        <w:rPr>
          <w:b/>
        </w:rPr>
        <w:t>Kernel principal component analysis</w:t>
      </w:r>
      <w:r w:rsidRPr="00B81422">
        <w:t xml:space="preserve">. In: </w:t>
      </w:r>
      <w:r w:rsidRPr="00B81422">
        <w:rPr>
          <w:i/>
        </w:rPr>
        <w:t>International conference on artificial neural networks: 1997</w:t>
      </w:r>
      <w:r w:rsidRPr="00B81422">
        <w:t>. Springer: 583-588.</w:t>
      </w:r>
      <w:hyperlink r:id="rId47" w:history="1">
        <w:r w:rsidRPr="00B81422">
          <w:rPr>
            <w:rStyle w:val="Hyperlink"/>
          </w:rPr>
          <w:t>https://doi.org/10.1007/BFb0020217</w:t>
        </w:r>
      </w:hyperlink>
      <w:r w:rsidRPr="00B81422">
        <w:t>.</w:t>
      </w:r>
    </w:p>
    <w:p w14:paraId="3D533FD6" w14:textId="77F3E05B" w:rsidR="00B81422" w:rsidRPr="00B81422" w:rsidRDefault="00B81422" w:rsidP="00B81422">
      <w:pPr>
        <w:pStyle w:val="EndNoteBibliography"/>
        <w:spacing w:after="0"/>
        <w:ind w:left="720" w:hanging="720"/>
      </w:pPr>
      <w:r w:rsidRPr="00B81422">
        <w:t>39.</w:t>
      </w:r>
      <w:r w:rsidRPr="00B81422">
        <w:tab/>
        <w:t xml:space="preserve">Toussaint N, Redhead Y, Vidal-García M, Lo Vercio L, Liu W, Fisher EMC, Hallgrímsson B, Tybulewicz VLJ, Schnabel JA, Green JBA: </w:t>
      </w:r>
      <w:r w:rsidRPr="00B81422">
        <w:rPr>
          <w:b/>
        </w:rPr>
        <w:t>A landmark-free morphometrics pipeline for high-resolution phenotyping: application to a mouse model of Down syndrome</w:t>
      </w:r>
      <w:r w:rsidRPr="00B81422">
        <w:t xml:space="preserve">. </w:t>
      </w:r>
      <w:r w:rsidRPr="00B81422">
        <w:rPr>
          <w:i/>
        </w:rPr>
        <w:t xml:space="preserve">Development </w:t>
      </w:r>
      <w:r w:rsidRPr="00B81422">
        <w:t xml:space="preserve">2021, </w:t>
      </w:r>
      <w:r w:rsidRPr="00B81422">
        <w:rPr>
          <w:b/>
        </w:rPr>
        <w:t>148</w:t>
      </w:r>
      <w:r w:rsidRPr="00B81422">
        <w:t>(18):dev188631.</w:t>
      </w:r>
      <w:hyperlink r:id="rId48" w:history="1">
        <w:r w:rsidRPr="00B81422">
          <w:rPr>
            <w:rStyle w:val="Hyperlink"/>
          </w:rPr>
          <w:t>https://doi.org/10.1242/dev.188631</w:t>
        </w:r>
      </w:hyperlink>
      <w:r w:rsidRPr="00B81422">
        <w:t>.</w:t>
      </w:r>
    </w:p>
    <w:p w14:paraId="4D960904" w14:textId="590B6033" w:rsidR="00B81422" w:rsidRPr="00B81422" w:rsidRDefault="00B81422" w:rsidP="00B81422">
      <w:pPr>
        <w:pStyle w:val="EndNoteBibliography"/>
        <w:spacing w:after="0"/>
        <w:ind w:left="720" w:hanging="720"/>
      </w:pPr>
      <w:r w:rsidRPr="00B81422">
        <w:t>40.</w:t>
      </w:r>
      <w:r w:rsidRPr="00B81422">
        <w:tab/>
        <w:t xml:space="preserve">Goswami A, Noirault E, Coombs EJ, Clavel J, Fabre A-C, Halliday TJ, Churchill M, Curtis A, Watanabe A, Simmons NB: </w:t>
      </w:r>
      <w:r w:rsidRPr="00B81422">
        <w:rPr>
          <w:b/>
        </w:rPr>
        <w:t>Attenuated evolution of mammals through the Cenozoic</w:t>
      </w:r>
      <w:r w:rsidRPr="00B81422">
        <w:t xml:space="preserve">. </w:t>
      </w:r>
      <w:r w:rsidRPr="00B81422">
        <w:rPr>
          <w:i/>
        </w:rPr>
        <w:t xml:space="preserve">Science </w:t>
      </w:r>
      <w:r w:rsidRPr="00B81422">
        <w:t xml:space="preserve">2022, </w:t>
      </w:r>
      <w:r w:rsidRPr="00B81422">
        <w:rPr>
          <w:b/>
        </w:rPr>
        <w:t>378</w:t>
      </w:r>
      <w:r w:rsidRPr="00B81422">
        <w:t>(6618):377-383.</w:t>
      </w:r>
      <w:hyperlink r:id="rId49" w:history="1">
        <w:r w:rsidRPr="00B81422">
          <w:rPr>
            <w:rStyle w:val="Hyperlink"/>
          </w:rPr>
          <w:t>https://doi.org/10.1126/science.abm7525</w:t>
        </w:r>
      </w:hyperlink>
      <w:r w:rsidRPr="00B81422">
        <w:t>.</w:t>
      </w:r>
    </w:p>
    <w:p w14:paraId="565EF152" w14:textId="69775438" w:rsidR="00B81422" w:rsidRPr="00B81422" w:rsidRDefault="00B81422" w:rsidP="00B81422">
      <w:pPr>
        <w:pStyle w:val="EndNoteBibliography"/>
        <w:spacing w:after="0"/>
        <w:ind w:left="720" w:hanging="720"/>
      </w:pPr>
      <w:r w:rsidRPr="00B81422">
        <w:lastRenderedPageBreak/>
        <w:t>41.</w:t>
      </w:r>
      <w:r w:rsidRPr="00B81422">
        <w:tab/>
        <w:t xml:space="preserve">Danielsson P-E: </w:t>
      </w:r>
      <w:r w:rsidRPr="00B81422">
        <w:rPr>
          <w:b/>
        </w:rPr>
        <w:t>Euclidean distance mapping</w:t>
      </w:r>
      <w:r w:rsidRPr="00B81422">
        <w:t xml:space="preserve">. </w:t>
      </w:r>
      <w:r w:rsidRPr="00B81422">
        <w:rPr>
          <w:i/>
        </w:rPr>
        <w:t xml:space="preserve">Computer Graphics and image processing </w:t>
      </w:r>
      <w:r w:rsidRPr="00B81422">
        <w:t xml:space="preserve">1980, </w:t>
      </w:r>
      <w:r w:rsidRPr="00B81422">
        <w:rPr>
          <w:b/>
        </w:rPr>
        <w:t>14</w:t>
      </w:r>
      <w:r w:rsidRPr="00B81422">
        <w:t>(3):227-248.</w:t>
      </w:r>
      <w:hyperlink r:id="rId50" w:history="1">
        <w:r w:rsidRPr="00B81422">
          <w:rPr>
            <w:rStyle w:val="Hyperlink"/>
          </w:rPr>
          <w:t>https://doi.org/10.1016/0146-664X(80)90054-4</w:t>
        </w:r>
      </w:hyperlink>
      <w:r w:rsidRPr="00B81422">
        <w:t>.</w:t>
      </w:r>
    </w:p>
    <w:p w14:paraId="2A016F8D" w14:textId="77777777" w:rsidR="00B81422" w:rsidRPr="00B81422" w:rsidRDefault="00B81422" w:rsidP="00B81422">
      <w:pPr>
        <w:pStyle w:val="EndNoteBibliography"/>
        <w:spacing w:after="0"/>
        <w:ind w:left="720" w:hanging="720"/>
      </w:pPr>
      <w:r w:rsidRPr="00B81422">
        <w:t>42.</w:t>
      </w:r>
      <w:r w:rsidRPr="00B81422">
        <w:tab/>
        <w:t xml:space="preserve">Mantel N: </w:t>
      </w:r>
      <w:r w:rsidRPr="00B81422">
        <w:rPr>
          <w:b/>
        </w:rPr>
        <w:t>The detection of disease clustering and a generalized regression approach</w:t>
      </w:r>
      <w:r w:rsidRPr="00B81422">
        <w:t xml:space="preserve">. </w:t>
      </w:r>
      <w:r w:rsidRPr="00B81422">
        <w:rPr>
          <w:i/>
        </w:rPr>
        <w:t xml:space="preserve">Cancer research </w:t>
      </w:r>
      <w:r w:rsidRPr="00B81422">
        <w:t xml:space="preserve">1967, </w:t>
      </w:r>
      <w:r w:rsidRPr="00B81422">
        <w:rPr>
          <w:b/>
        </w:rPr>
        <w:t>27</w:t>
      </w:r>
      <w:r w:rsidRPr="00B81422">
        <w:t>(2_Part_1):209-220.</w:t>
      </w:r>
    </w:p>
    <w:p w14:paraId="5C4C3EB7" w14:textId="2F5FE742" w:rsidR="00B81422" w:rsidRPr="00B81422" w:rsidRDefault="00B81422" w:rsidP="00B81422">
      <w:pPr>
        <w:pStyle w:val="EndNoteBibliography"/>
        <w:spacing w:after="0"/>
        <w:ind w:left="720" w:hanging="720"/>
      </w:pPr>
      <w:r w:rsidRPr="00B81422">
        <w:t>43.</w:t>
      </w:r>
      <w:r w:rsidRPr="00B81422">
        <w:tab/>
        <w:t xml:space="preserve">Legendre P, FORTIN MJ: </w:t>
      </w:r>
      <w:r w:rsidRPr="00B81422">
        <w:rPr>
          <w:b/>
        </w:rPr>
        <w:t>Comparison of the Mantel test and alternative approaches for detecting complex multivariate relationships in the spatial analysis of genetic data</w:t>
      </w:r>
      <w:r w:rsidRPr="00B81422">
        <w:t xml:space="preserve">. </w:t>
      </w:r>
      <w:r w:rsidRPr="00B81422">
        <w:rPr>
          <w:i/>
        </w:rPr>
        <w:t xml:space="preserve">Molecular ecology resources </w:t>
      </w:r>
      <w:r w:rsidRPr="00B81422">
        <w:t xml:space="preserve">2010, </w:t>
      </w:r>
      <w:r w:rsidRPr="00B81422">
        <w:rPr>
          <w:b/>
        </w:rPr>
        <w:t>10</w:t>
      </w:r>
      <w:r w:rsidRPr="00B81422">
        <w:t>(5):831-844.</w:t>
      </w:r>
      <w:hyperlink r:id="rId51" w:history="1">
        <w:r w:rsidRPr="00B81422">
          <w:rPr>
            <w:rStyle w:val="Hyperlink"/>
          </w:rPr>
          <w:t>https://doi.org/10.1111/j.1755-0998.2010.02866.x</w:t>
        </w:r>
      </w:hyperlink>
      <w:r w:rsidRPr="00B81422">
        <w:t>.</w:t>
      </w:r>
    </w:p>
    <w:p w14:paraId="186922B4" w14:textId="63D13878" w:rsidR="00B81422" w:rsidRPr="00B81422" w:rsidRDefault="00B81422" w:rsidP="00B81422">
      <w:pPr>
        <w:pStyle w:val="EndNoteBibliography"/>
        <w:spacing w:after="0"/>
        <w:ind w:left="720" w:hanging="720"/>
      </w:pPr>
      <w:r w:rsidRPr="00B81422">
        <w:t>44.</w:t>
      </w:r>
      <w:r w:rsidRPr="00B81422">
        <w:tab/>
        <w:t xml:space="preserve">Jackson DA: </w:t>
      </w:r>
      <w:r w:rsidRPr="00B81422">
        <w:rPr>
          <w:b/>
        </w:rPr>
        <w:t>PROTEST: a PROcrustean randomization TEST of community environment concordance</w:t>
      </w:r>
      <w:r w:rsidRPr="00B81422">
        <w:t xml:space="preserve">. </w:t>
      </w:r>
      <w:r w:rsidRPr="00B81422">
        <w:rPr>
          <w:i/>
        </w:rPr>
        <w:t xml:space="preserve">Ecoscience </w:t>
      </w:r>
      <w:r w:rsidRPr="00B81422">
        <w:t xml:space="preserve">1995, </w:t>
      </w:r>
      <w:r w:rsidRPr="00B81422">
        <w:rPr>
          <w:b/>
        </w:rPr>
        <w:t>2</w:t>
      </w:r>
      <w:r w:rsidRPr="00B81422">
        <w:t>(3):297-303.</w:t>
      </w:r>
      <w:hyperlink r:id="rId52" w:history="1">
        <w:r w:rsidRPr="00B81422">
          <w:rPr>
            <w:rStyle w:val="Hyperlink"/>
          </w:rPr>
          <w:t>https://doi.org/10.1080/11956860.1995.11682297</w:t>
        </w:r>
      </w:hyperlink>
      <w:r w:rsidRPr="00B81422">
        <w:t>.</w:t>
      </w:r>
    </w:p>
    <w:p w14:paraId="02358ACA" w14:textId="20B853EB" w:rsidR="00B81422" w:rsidRPr="00B81422" w:rsidRDefault="00B81422" w:rsidP="00B81422">
      <w:pPr>
        <w:pStyle w:val="EndNoteBibliography"/>
        <w:spacing w:after="0"/>
        <w:ind w:left="720" w:hanging="720"/>
      </w:pPr>
      <w:r w:rsidRPr="00B81422">
        <w:t>45.</w:t>
      </w:r>
      <w:r w:rsidRPr="00B81422">
        <w:tab/>
        <w:t xml:space="preserve">Peres-Neto PR, Jackson DA: </w:t>
      </w:r>
      <w:r w:rsidRPr="00B81422">
        <w:rPr>
          <w:b/>
        </w:rPr>
        <w:t>How well do multivariate data sets match? The advantages of a Procrustean superimposition approach over the Mantel test</w:t>
      </w:r>
      <w:r w:rsidRPr="00B81422">
        <w:t xml:space="preserve">. </w:t>
      </w:r>
      <w:r w:rsidRPr="00B81422">
        <w:rPr>
          <w:i/>
        </w:rPr>
        <w:t xml:space="preserve">Oecologia </w:t>
      </w:r>
      <w:r w:rsidRPr="00B81422">
        <w:t xml:space="preserve">2001, </w:t>
      </w:r>
      <w:r w:rsidRPr="00B81422">
        <w:rPr>
          <w:b/>
        </w:rPr>
        <w:t>129</w:t>
      </w:r>
      <w:r w:rsidRPr="00B81422">
        <w:t>:169-178.</w:t>
      </w:r>
      <w:hyperlink r:id="rId53" w:history="1">
        <w:r w:rsidRPr="00B81422">
          <w:rPr>
            <w:rStyle w:val="Hyperlink"/>
          </w:rPr>
          <w:t>https://doi.org/10.1007/s004420100720</w:t>
        </w:r>
      </w:hyperlink>
      <w:r w:rsidRPr="00B81422">
        <w:t>.</w:t>
      </w:r>
    </w:p>
    <w:p w14:paraId="3BE8427E" w14:textId="71D4612F" w:rsidR="00B81422" w:rsidRPr="00B81422" w:rsidRDefault="00B81422" w:rsidP="00B81422">
      <w:pPr>
        <w:pStyle w:val="EndNoteBibliography"/>
        <w:spacing w:after="0"/>
        <w:ind w:left="720" w:hanging="720"/>
      </w:pPr>
      <w:r w:rsidRPr="00B81422">
        <w:t>46.</w:t>
      </w:r>
      <w:r w:rsidRPr="00B81422">
        <w:tab/>
        <w:t xml:space="preserve">Schlager S: </w:t>
      </w:r>
      <w:r w:rsidRPr="00B81422">
        <w:rPr>
          <w:b/>
        </w:rPr>
        <w:t>Morpho and Rvcg–Shape Analysis in R: R-Packages for geometric morphometrics, shape analysis and surface manipulations</w:t>
      </w:r>
      <w:r w:rsidRPr="00B81422">
        <w:t xml:space="preserve">. In: </w:t>
      </w:r>
      <w:r w:rsidRPr="00B81422">
        <w:rPr>
          <w:i/>
        </w:rPr>
        <w:t>Statistical shape and deformation analysis.</w:t>
      </w:r>
      <w:r w:rsidRPr="00B81422">
        <w:t xml:space="preserve"> Elsevier; 2017: 217-256.</w:t>
      </w:r>
      <w:hyperlink r:id="rId54" w:history="1">
        <w:r w:rsidRPr="00B81422">
          <w:rPr>
            <w:rStyle w:val="Hyperlink"/>
          </w:rPr>
          <w:t>https://doi.org/10.1016/B978-0-12-810493-4.00011-0</w:t>
        </w:r>
      </w:hyperlink>
      <w:r w:rsidRPr="00B81422">
        <w:t>.</w:t>
      </w:r>
    </w:p>
    <w:p w14:paraId="7BCCA7B5" w14:textId="3E9C7CEC" w:rsidR="00B81422" w:rsidRPr="00B81422" w:rsidRDefault="00B81422" w:rsidP="00B81422">
      <w:pPr>
        <w:pStyle w:val="EndNoteBibliography"/>
        <w:spacing w:after="0"/>
        <w:ind w:left="720" w:hanging="720"/>
      </w:pPr>
      <w:r w:rsidRPr="00B81422">
        <w:t>47.</w:t>
      </w:r>
      <w:r w:rsidRPr="00B81422">
        <w:tab/>
        <w:t>Adams DC, Otárola</w:t>
      </w:r>
      <w:r w:rsidRPr="00B81422">
        <w:rPr>
          <w:rFonts w:ascii="Cambria Math" w:hAnsi="Cambria Math" w:cs="Cambria Math"/>
        </w:rPr>
        <w:t>‐</w:t>
      </w:r>
      <w:r w:rsidRPr="00B81422">
        <w:t xml:space="preserve">Castillo E: </w:t>
      </w:r>
      <w:r w:rsidRPr="00B81422">
        <w:rPr>
          <w:b/>
        </w:rPr>
        <w:t>geomorph: an R package for the collection and analysis of geometric morphometric shape data</w:t>
      </w:r>
      <w:r w:rsidRPr="00B81422">
        <w:t xml:space="preserve">. </w:t>
      </w:r>
      <w:r w:rsidRPr="00B81422">
        <w:rPr>
          <w:i/>
        </w:rPr>
        <w:t xml:space="preserve">Methods in ecology and evolution </w:t>
      </w:r>
      <w:r w:rsidRPr="00B81422">
        <w:t xml:space="preserve">2013, </w:t>
      </w:r>
      <w:r w:rsidRPr="00B81422">
        <w:rPr>
          <w:b/>
        </w:rPr>
        <w:t>4</w:t>
      </w:r>
      <w:r w:rsidRPr="00B81422">
        <w:t>(4):393-399.</w:t>
      </w:r>
      <w:hyperlink r:id="rId55" w:history="1">
        <w:r w:rsidRPr="00B81422">
          <w:rPr>
            <w:rStyle w:val="Hyperlink"/>
          </w:rPr>
          <w:t>https://doi.org/10.1111/2041-210X.12035</w:t>
        </w:r>
      </w:hyperlink>
      <w:r w:rsidRPr="00B81422">
        <w:t>.</w:t>
      </w:r>
    </w:p>
    <w:p w14:paraId="458C2CD7" w14:textId="75B1515E" w:rsidR="00B81422" w:rsidRPr="00B81422" w:rsidRDefault="00B81422" w:rsidP="00B81422">
      <w:pPr>
        <w:pStyle w:val="EndNoteBibliography"/>
        <w:spacing w:after="0"/>
        <w:ind w:left="720" w:hanging="720"/>
      </w:pPr>
      <w:r w:rsidRPr="00B81422">
        <w:t>48.</w:t>
      </w:r>
      <w:r w:rsidRPr="00B81422">
        <w:tab/>
        <w:t xml:space="preserve">Koehl P, Hass J: </w:t>
      </w:r>
      <w:r w:rsidRPr="00B81422">
        <w:rPr>
          <w:b/>
        </w:rPr>
        <w:t>Automatic alignment of genus-zero surfaces</w:t>
      </w:r>
      <w:r w:rsidRPr="00B81422">
        <w:t xml:space="preserve">. </w:t>
      </w:r>
      <w:r w:rsidRPr="00B81422">
        <w:rPr>
          <w:i/>
        </w:rPr>
        <w:t xml:space="preserve">IEEE transactions on pattern analysis and machine intelligence </w:t>
      </w:r>
      <w:r w:rsidRPr="00B81422">
        <w:t xml:space="preserve">2013, </w:t>
      </w:r>
      <w:r w:rsidRPr="00B81422">
        <w:rPr>
          <w:b/>
        </w:rPr>
        <w:t>36</w:t>
      </w:r>
      <w:r w:rsidRPr="00B81422">
        <w:t>(3):466-478.</w:t>
      </w:r>
      <w:hyperlink r:id="rId56" w:history="1">
        <w:r w:rsidRPr="00B81422">
          <w:rPr>
            <w:rStyle w:val="Hyperlink"/>
          </w:rPr>
          <w:t>https://doi.org/10.1109/TPAMI.2013.139</w:t>
        </w:r>
      </w:hyperlink>
      <w:r w:rsidRPr="00B81422">
        <w:t>.</w:t>
      </w:r>
    </w:p>
    <w:p w14:paraId="5FB35BF4" w14:textId="28F48FFE" w:rsidR="00B81422" w:rsidRPr="00B81422" w:rsidRDefault="00B81422" w:rsidP="00B81422">
      <w:pPr>
        <w:pStyle w:val="EndNoteBibliography"/>
        <w:spacing w:after="0"/>
        <w:ind w:left="720" w:hanging="720"/>
      </w:pPr>
      <w:r w:rsidRPr="00B81422">
        <w:t>49.</w:t>
      </w:r>
      <w:r w:rsidRPr="00B81422">
        <w:tab/>
        <w:t xml:space="preserve">Koehl P, Hass J: </w:t>
      </w:r>
      <w:r w:rsidRPr="00B81422">
        <w:rPr>
          <w:b/>
        </w:rPr>
        <w:t>Landmark-free geometric methods in biological shape analysis</w:t>
      </w:r>
      <w:r w:rsidRPr="00B81422">
        <w:t xml:space="preserve">. </w:t>
      </w:r>
      <w:r w:rsidRPr="00B81422">
        <w:rPr>
          <w:i/>
        </w:rPr>
        <w:t xml:space="preserve">Journal of The Royal Society Interface </w:t>
      </w:r>
      <w:r w:rsidRPr="00B81422">
        <w:t xml:space="preserve">2015, </w:t>
      </w:r>
      <w:r w:rsidRPr="00B81422">
        <w:rPr>
          <w:b/>
        </w:rPr>
        <w:t>12</w:t>
      </w:r>
      <w:r w:rsidRPr="00B81422">
        <w:t>(113):20150795.</w:t>
      </w:r>
      <w:hyperlink r:id="rId57" w:history="1">
        <w:r w:rsidRPr="00B81422">
          <w:rPr>
            <w:rStyle w:val="Hyperlink"/>
          </w:rPr>
          <w:t>https://doi.org/10.1098/rsif.2015.0795</w:t>
        </w:r>
      </w:hyperlink>
      <w:r w:rsidRPr="00B81422">
        <w:t>.</w:t>
      </w:r>
    </w:p>
    <w:p w14:paraId="46516407" w14:textId="1C7F6C76" w:rsidR="00B81422" w:rsidRPr="00B81422" w:rsidRDefault="00B81422" w:rsidP="00B81422">
      <w:pPr>
        <w:pStyle w:val="EndNoteBibliography"/>
        <w:spacing w:after="0"/>
        <w:ind w:left="720" w:hanging="720"/>
      </w:pPr>
      <w:r w:rsidRPr="00B81422">
        <w:t>50.</w:t>
      </w:r>
      <w:r w:rsidRPr="00B81422">
        <w:tab/>
        <w:t xml:space="preserve">Kazhdan M, Hoppe H: </w:t>
      </w:r>
      <w:r w:rsidRPr="00B81422">
        <w:rPr>
          <w:b/>
        </w:rPr>
        <w:t>Screened poisson surface reconstruction</w:t>
      </w:r>
      <w:r w:rsidRPr="00B81422">
        <w:t xml:space="preserve">. </w:t>
      </w:r>
      <w:r w:rsidRPr="00B81422">
        <w:rPr>
          <w:i/>
        </w:rPr>
        <w:t xml:space="preserve">ACM Transactions on Graphics (ToG) </w:t>
      </w:r>
      <w:r w:rsidRPr="00B81422">
        <w:t xml:space="preserve">2013, </w:t>
      </w:r>
      <w:r w:rsidRPr="00B81422">
        <w:rPr>
          <w:b/>
        </w:rPr>
        <w:t>32</w:t>
      </w:r>
      <w:r w:rsidRPr="00B81422">
        <w:t>(3):1-13.</w:t>
      </w:r>
      <w:hyperlink r:id="rId58" w:history="1">
        <w:r w:rsidRPr="00B81422">
          <w:rPr>
            <w:rStyle w:val="Hyperlink"/>
          </w:rPr>
          <w:t>https://doi.org/10.1145/2487228.2487237</w:t>
        </w:r>
      </w:hyperlink>
      <w:r w:rsidRPr="00B81422">
        <w:t>.</w:t>
      </w:r>
    </w:p>
    <w:p w14:paraId="6C73B48F" w14:textId="771A7A80" w:rsidR="00B81422" w:rsidRPr="00B81422" w:rsidRDefault="00B81422" w:rsidP="00B81422">
      <w:pPr>
        <w:pStyle w:val="EndNoteBibliography"/>
        <w:spacing w:after="0"/>
        <w:ind w:left="720" w:hanging="720"/>
      </w:pPr>
      <w:r w:rsidRPr="00B81422">
        <w:t>51.</w:t>
      </w:r>
      <w:r w:rsidRPr="00B81422">
        <w:tab/>
        <w:t xml:space="preserve">Rohlfing T, Brandt R, Menzel R, Maurer Jr CR: </w:t>
      </w:r>
      <w:r w:rsidRPr="00B81422">
        <w:rPr>
          <w:b/>
        </w:rPr>
        <w:t>Evaluation of atlas selection strategies for atlas-based image segmentation with application to confocal microscopy images of bee brains</w:t>
      </w:r>
      <w:r w:rsidRPr="00B81422">
        <w:t xml:space="preserve">. </w:t>
      </w:r>
      <w:r w:rsidRPr="00B81422">
        <w:rPr>
          <w:i/>
        </w:rPr>
        <w:t xml:space="preserve">NeuroImage </w:t>
      </w:r>
      <w:r w:rsidRPr="00B81422">
        <w:t xml:space="preserve">2004, </w:t>
      </w:r>
      <w:r w:rsidRPr="00B81422">
        <w:rPr>
          <w:b/>
        </w:rPr>
        <w:t>21</w:t>
      </w:r>
      <w:r w:rsidRPr="00B81422">
        <w:t>(4):1428-1442.</w:t>
      </w:r>
      <w:hyperlink r:id="rId59" w:history="1">
        <w:r w:rsidRPr="00B81422">
          <w:rPr>
            <w:rStyle w:val="Hyperlink"/>
          </w:rPr>
          <w:t>https://doi.org/10.1016/j.neuroimage.2003.11.010</w:t>
        </w:r>
      </w:hyperlink>
      <w:r w:rsidRPr="00B81422">
        <w:t>.</w:t>
      </w:r>
    </w:p>
    <w:p w14:paraId="37229D31" w14:textId="21C0F756" w:rsidR="00B81422" w:rsidRPr="00B81422" w:rsidRDefault="00B81422" w:rsidP="00B81422">
      <w:pPr>
        <w:pStyle w:val="EndNoteBibliography"/>
        <w:spacing w:after="0"/>
        <w:ind w:left="720" w:hanging="720"/>
      </w:pPr>
      <w:r w:rsidRPr="00B81422">
        <w:t>52.</w:t>
      </w:r>
      <w:r w:rsidRPr="00B81422">
        <w:tab/>
        <w:t xml:space="preserve">Evans AC, Janke AL, Collins DL, Baillet S: </w:t>
      </w:r>
      <w:r w:rsidRPr="00B81422">
        <w:rPr>
          <w:b/>
        </w:rPr>
        <w:t>Brain templates and atlases</w:t>
      </w:r>
      <w:r w:rsidRPr="00B81422">
        <w:t xml:space="preserve">. </w:t>
      </w:r>
      <w:r w:rsidRPr="00B81422">
        <w:rPr>
          <w:i/>
        </w:rPr>
        <w:t xml:space="preserve">Neuroimage </w:t>
      </w:r>
      <w:r w:rsidRPr="00B81422">
        <w:t xml:space="preserve">2012, </w:t>
      </w:r>
      <w:r w:rsidRPr="00B81422">
        <w:rPr>
          <w:b/>
        </w:rPr>
        <w:t>62</w:t>
      </w:r>
      <w:r w:rsidRPr="00B81422">
        <w:t>(2):911-922.</w:t>
      </w:r>
      <w:hyperlink r:id="rId60" w:history="1">
        <w:r w:rsidRPr="00B81422">
          <w:rPr>
            <w:rStyle w:val="Hyperlink"/>
          </w:rPr>
          <w:t>https://doi.org/10.1016/j.neuroimage.2012.01.024</w:t>
        </w:r>
      </w:hyperlink>
      <w:r w:rsidRPr="00B81422">
        <w:t>.</w:t>
      </w:r>
    </w:p>
    <w:p w14:paraId="286D49E4" w14:textId="2DD50C0E" w:rsidR="00B81422" w:rsidRPr="00B81422" w:rsidRDefault="00B81422" w:rsidP="00B81422">
      <w:pPr>
        <w:pStyle w:val="EndNoteBibliography"/>
        <w:spacing w:after="0"/>
        <w:ind w:left="720" w:hanging="720"/>
      </w:pPr>
      <w:r w:rsidRPr="00B81422">
        <w:t>53.</w:t>
      </w:r>
      <w:r w:rsidRPr="00B81422">
        <w:tab/>
        <w:t xml:space="preserve">Avants BB, Duda JT, Kilroy E, Krasileva K, Jann K, Kandel BT, Tustison NJ, Yan L, Jog M, Smith R: </w:t>
      </w:r>
      <w:r w:rsidRPr="00B81422">
        <w:rPr>
          <w:b/>
        </w:rPr>
        <w:t>The pediatric template of brain perfusion</w:t>
      </w:r>
      <w:r w:rsidRPr="00B81422">
        <w:t xml:space="preserve">. </w:t>
      </w:r>
      <w:r w:rsidRPr="00B81422">
        <w:rPr>
          <w:i/>
        </w:rPr>
        <w:t xml:space="preserve">Scientific data </w:t>
      </w:r>
      <w:r w:rsidRPr="00B81422">
        <w:t xml:space="preserve">2015, </w:t>
      </w:r>
      <w:r w:rsidRPr="00B81422">
        <w:rPr>
          <w:b/>
        </w:rPr>
        <w:t>2</w:t>
      </w:r>
      <w:r w:rsidRPr="00B81422">
        <w:t>(1):1-17.</w:t>
      </w:r>
      <w:hyperlink r:id="rId61" w:history="1">
        <w:r w:rsidRPr="00B81422">
          <w:rPr>
            <w:rStyle w:val="Hyperlink"/>
          </w:rPr>
          <w:t>https://doi.org/10.1038/sdata.2015.3</w:t>
        </w:r>
      </w:hyperlink>
      <w:r w:rsidRPr="00B81422">
        <w:t>.</w:t>
      </w:r>
    </w:p>
    <w:p w14:paraId="2C96473A" w14:textId="4E8C467B" w:rsidR="00B81422" w:rsidRPr="00B81422" w:rsidRDefault="00B81422" w:rsidP="00B81422">
      <w:pPr>
        <w:pStyle w:val="EndNoteBibliography"/>
        <w:spacing w:after="0"/>
        <w:ind w:left="720" w:hanging="720"/>
      </w:pPr>
      <w:r w:rsidRPr="00B81422">
        <w:t>54.</w:t>
      </w:r>
      <w:r w:rsidRPr="00B81422">
        <w:tab/>
        <w:t xml:space="preserve">Adams DC: </w:t>
      </w:r>
      <w:r w:rsidRPr="00B81422">
        <w:rPr>
          <w:b/>
        </w:rPr>
        <w:t>A generalized K statistic for estimating phylogenetic signal from shape and other high-dimensional multivariate data</w:t>
      </w:r>
      <w:r w:rsidRPr="00B81422">
        <w:t xml:space="preserve">. </w:t>
      </w:r>
      <w:r w:rsidRPr="00B81422">
        <w:rPr>
          <w:i/>
        </w:rPr>
        <w:t xml:space="preserve">Systematic biology </w:t>
      </w:r>
      <w:r w:rsidRPr="00B81422">
        <w:t xml:space="preserve">2014, </w:t>
      </w:r>
      <w:r w:rsidRPr="00B81422">
        <w:rPr>
          <w:b/>
        </w:rPr>
        <w:t>63</w:t>
      </w:r>
      <w:r w:rsidRPr="00B81422">
        <w:t>(5):685-697.</w:t>
      </w:r>
      <w:hyperlink r:id="rId62" w:history="1">
        <w:r w:rsidRPr="00B81422">
          <w:rPr>
            <w:rStyle w:val="Hyperlink"/>
          </w:rPr>
          <w:t>https://doi.org/10.1093/sysbio/syu030</w:t>
        </w:r>
      </w:hyperlink>
      <w:r w:rsidRPr="00B81422">
        <w:t>.</w:t>
      </w:r>
    </w:p>
    <w:p w14:paraId="11C23F00" w14:textId="77777777" w:rsidR="00B81422" w:rsidRPr="00B81422" w:rsidRDefault="00B81422" w:rsidP="00B81422">
      <w:pPr>
        <w:pStyle w:val="EndNoteBibliography"/>
        <w:spacing w:after="0"/>
        <w:ind w:left="720" w:hanging="720"/>
      </w:pPr>
      <w:r w:rsidRPr="00B81422">
        <w:t>55.</w:t>
      </w:r>
      <w:r w:rsidRPr="00B81422">
        <w:tab/>
        <w:t xml:space="preserve">Percival CJ, Devine J, Darwin BC, Liu W, van Eede M, Henkelman RM, Hallgrimsson B: </w:t>
      </w:r>
      <w:r w:rsidRPr="00B81422">
        <w:rPr>
          <w:b/>
        </w:rPr>
        <w:t>The effect of automated landmark identification on morphometric analyses</w:t>
      </w:r>
      <w:r w:rsidRPr="00B81422">
        <w:t xml:space="preserve">. </w:t>
      </w:r>
      <w:r w:rsidRPr="00B81422">
        <w:rPr>
          <w:i/>
        </w:rPr>
        <w:t xml:space="preserve">Journal of anatomy </w:t>
      </w:r>
      <w:r w:rsidRPr="00B81422">
        <w:t xml:space="preserve">2019, </w:t>
      </w:r>
      <w:r w:rsidRPr="00B81422">
        <w:rPr>
          <w:b/>
        </w:rPr>
        <w:t>234</w:t>
      </w:r>
      <w:r w:rsidRPr="00B81422">
        <w:t>(6):917-935.</w:t>
      </w:r>
    </w:p>
    <w:p w14:paraId="20874120" w14:textId="56C0ACC5" w:rsidR="00B81422" w:rsidRPr="00B81422" w:rsidRDefault="00B81422" w:rsidP="00B81422">
      <w:pPr>
        <w:pStyle w:val="EndNoteBibliography"/>
        <w:spacing w:after="0"/>
        <w:ind w:left="720" w:hanging="720"/>
      </w:pPr>
      <w:r w:rsidRPr="00B81422">
        <w:t>56.</w:t>
      </w:r>
      <w:r w:rsidRPr="00B81422">
        <w:tab/>
        <w:t xml:space="preserve">Marcy AE, Fruciano C, Phillips MJ, Mardon K, Weisbecker V: </w:t>
      </w:r>
      <w:r w:rsidRPr="00B81422">
        <w:rPr>
          <w:b/>
        </w:rPr>
        <w:t xml:space="preserve">Low resolution scans can provide a sufficiently accurate, cost-and time-effective </w:t>
      </w:r>
      <w:r w:rsidRPr="00B81422">
        <w:rPr>
          <w:b/>
        </w:rPr>
        <w:lastRenderedPageBreak/>
        <w:t>alternative to high resolution scans for 3D shape analyses</w:t>
      </w:r>
      <w:r w:rsidRPr="00B81422">
        <w:t xml:space="preserve">. </w:t>
      </w:r>
      <w:r w:rsidRPr="00B81422">
        <w:rPr>
          <w:i/>
        </w:rPr>
        <w:t xml:space="preserve">PeerJ </w:t>
      </w:r>
      <w:r w:rsidRPr="00B81422">
        <w:t xml:space="preserve">2018, </w:t>
      </w:r>
      <w:r w:rsidRPr="00B81422">
        <w:rPr>
          <w:b/>
        </w:rPr>
        <w:t>6</w:t>
      </w:r>
      <w:r w:rsidRPr="00B81422">
        <w:t>:e5032.</w:t>
      </w:r>
      <w:hyperlink r:id="rId63" w:history="1">
        <w:r w:rsidRPr="00B81422">
          <w:rPr>
            <w:rStyle w:val="Hyperlink"/>
          </w:rPr>
          <w:t>https://doi.org/10.7717/peerj.5032</w:t>
        </w:r>
      </w:hyperlink>
      <w:r w:rsidRPr="00B81422">
        <w:t>.</w:t>
      </w:r>
    </w:p>
    <w:p w14:paraId="7106F9FD" w14:textId="0B2A55DC" w:rsidR="00B81422" w:rsidRPr="00B81422" w:rsidRDefault="00B81422" w:rsidP="00B81422">
      <w:pPr>
        <w:pStyle w:val="EndNoteBibliography"/>
        <w:spacing w:after="0"/>
        <w:ind w:left="720" w:hanging="720"/>
      </w:pPr>
      <w:r w:rsidRPr="00B81422">
        <w:t>57.</w:t>
      </w:r>
      <w:r w:rsidRPr="00B81422">
        <w:tab/>
        <w:t xml:space="preserve">Cardini A, Polly PD: </w:t>
      </w:r>
      <w:r w:rsidRPr="00B81422">
        <w:rPr>
          <w:b/>
        </w:rPr>
        <w:t>Larger mammals have longer faces because of size-related constraints on skull form</w:t>
      </w:r>
      <w:r w:rsidRPr="00B81422">
        <w:t xml:space="preserve">. </w:t>
      </w:r>
      <w:r w:rsidRPr="00B81422">
        <w:rPr>
          <w:i/>
        </w:rPr>
        <w:t xml:space="preserve">Nature communications </w:t>
      </w:r>
      <w:r w:rsidRPr="00B81422">
        <w:t xml:space="preserve">2013, </w:t>
      </w:r>
      <w:r w:rsidRPr="00B81422">
        <w:rPr>
          <w:b/>
        </w:rPr>
        <w:t>4</w:t>
      </w:r>
      <w:r w:rsidRPr="00B81422">
        <w:t>(1):2458.</w:t>
      </w:r>
      <w:hyperlink r:id="rId64" w:history="1">
        <w:r w:rsidRPr="00B81422">
          <w:rPr>
            <w:rStyle w:val="Hyperlink"/>
          </w:rPr>
          <w:t>https://doi.org/10.1038/ncomms3458</w:t>
        </w:r>
      </w:hyperlink>
      <w:r w:rsidRPr="00B81422">
        <w:t>.</w:t>
      </w:r>
    </w:p>
    <w:p w14:paraId="7EC21D22" w14:textId="2CD1C134" w:rsidR="00B81422" w:rsidRPr="00B81422" w:rsidRDefault="00B81422" w:rsidP="00B81422">
      <w:pPr>
        <w:pStyle w:val="EndNoteBibliography"/>
        <w:spacing w:after="0"/>
        <w:ind w:left="720" w:hanging="720"/>
      </w:pPr>
      <w:r w:rsidRPr="00B81422">
        <w:t>58.</w:t>
      </w:r>
      <w:r w:rsidRPr="00B81422">
        <w:tab/>
        <w:t xml:space="preserve">Watanabe A, Fabre A-C, Felice RN, Maisano JA, Müller J, Herrel A, Goswami A: </w:t>
      </w:r>
      <w:r w:rsidRPr="00B81422">
        <w:rPr>
          <w:b/>
        </w:rPr>
        <w:t>Ecomorphological diversification in squamates from conserved pattern of cranial integration</w:t>
      </w:r>
      <w:r w:rsidRPr="00B81422">
        <w:t xml:space="preserve">. </w:t>
      </w:r>
      <w:r w:rsidRPr="00B81422">
        <w:rPr>
          <w:i/>
        </w:rPr>
        <w:t xml:space="preserve">Proceedings of the National Academy of Sciences </w:t>
      </w:r>
      <w:r w:rsidRPr="00B81422">
        <w:t xml:space="preserve">2019, </w:t>
      </w:r>
      <w:r w:rsidRPr="00B81422">
        <w:rPr>
          <w:b/>
        </w:rPr>
        <w:t>116</w:t>
      </w:r>
      <w:r w:rsidRPr="00B81422">
        <w:t>(29):14688-14697.</w:t>
      </w:r>
      <w:hyperlink r:id="rId65" w:history="1">
        <w:r w:rsidRPr="00B81422">
          <w:rPr>
            <w:rStyle w:val="Hyperlink"/>
          </w:rPr>
          <w:t>https://doi.org/10.1073/pnas.182096711</w:t>
        </w:r>
      </w:hyperlink>
      <w:r w:rsidRPr="00B81422">
        <w:t>.</w:t>
      </w:r>
    </w:p>
    <w:p w14:paraId="209D0667" w14:textId="5478F63C" w:rsidR="00B81422" w:rsidRPr="00B81422" w:rsidRDefault="00B81422" w:rsidP="00B81422">
      <w:pPr>
        <w:pStyle w:val="EndNoteBibliography"/>
        <w:spacing w:after="0"/>
        <w:ind w:left="720" w:hanging="720"/>
      </w:pPr>
      <w:r w:rsidRPr="00B81422">
        <w:t>59.</w:t>
      </w:r>
      <w:r w:rsidRPr="00B81422">
        <w:tab/>
        <w:t xml:space="preserve">Palci A, Lee MS: </w:t>
      </w:r>
      <w:r w:rsidRPr="00B81422">
        <w:rPr>
          <w:b/>
        </w:rPr>
        <w:t>Geometric morphometrics, homology and cladistics: review and recommendations</w:t>
      </w:r>
      <w:r w:rsidRPr="00B81422">
        <w:t xml:space="preserve">. </w:t>
      </w:r>
      <w:r w:rsidRPr="00B81422">
        <w:rPr>
          <w:i/>
        </w:rPr>
        <w:t xml:space="preserve">Cladistics </w:t>
      </w:r>
      <w:r w:rsidRPr="00B81422">
        <w:t xml:space="preserve">2019, </w:t>
      </w:r>
      <w:r w:rsidRPr="00B81422">
        <w:rPr>
          <w:b/>
        </w:rPr>
        <w:t>35</w:t>
      </w:r>
      <w:r w:rsidRPr="00B81422">
        <w:t xml:space="preserve">(2):230-242. </w:t>
      </w:r>
      <w:hyperlink r:id="rId66" w:history="1">
        <w:r w:rsidRPr="00B81422">
          <w:rPr>
            <w:rStyle w:val="Hyperlink"/>
          </w:rPr>
          <w:t>https://doi.org/10.1111/cla.12340</w:t>
        </w:r>
      </w:hyperlink>
      <w:r w:rsidRPr="00B81422">
        <w:t>.</w:t>
      </w:r>
    </w:p>
    <w:p w14:paraId="21FAE3F3" w14:textId="0DC2C951" w:rsidR="00B81422" w:rsidRPr="00B81422" w:rsidRDefault="00B81422" w:rsidP="00B81422">
      <w:pPr>
        <w:pStyle w:val="EndNoteBibliography"/>
        <w:spacing w:after="0"/>
        <w:ind w:left="720" w:hanging="720"/>
      </w:pPr>
      <w:r w:rsidRPr="00B81422">
        <w:t>60.</w:t>
      </w:r>
      <w:r w:rsidRPr="00B81422">
        <w:tab/>
        <w:t xml:space="preserve">Cardini A: </w:t>
      </w:r>
      <w:r w:rsidRPr="00B81422">
        <w:rPr>
          <w:b/>
        </w:rPr>
        <w:t>Less tautology, more biology? A comment on “high-density” morphometrics</w:t>
      </w:r>
      <w:r w:rsidRPr="00B81422">
        <w:t xml:space="preserve">. </w:t>
      </w:r>
      <w:r w:rsidRPr="00B81422">
        <w:rPr>
          <w:i/>
        </w:rPr>
        <w:t xml:space="preserve">Zoomorphology </w:t>
      </w:r>
      <w:r w:rsidRPr="00B81422">
        <w:t xml:space="preserve">2020, </w:t>
      </w:r>
      <w:r w:rsidRPr="00B81422">
        <w:rPr>
          <w:b/>
        </w:rPr>
        <w:t>139</w:t>
      </w:r>
      <w:r w:rsidRPr="00B81422">
        <w:t>(4):513-529.</w:t>
      </w:r>
      <w:hyperlink r:id="rId67" w:history="1">
        <w:r w:rsidRPr="00B81422">
          <w:rPr>
            <w:rStyle w:val="Hyperlink"/>
          </w:rPr>
          <w:t>https://doi.org/10.1007/s00435-020-00499-w</w:t>
        </w:r>
      </w:hyperlink>
      <w:r w:rsidRPr="00B81422">
        <w:t>.</w:t>
      </w:r>
    </w:p>
    <w:p w14:paraId="0F940BBB" w14:textId="55EFD722" w:rsidR="00B81422" w:rsidRPr="00B81422" w:rsidRDefault="00B81422" w:rsidP="00B81422">
      <w:pPr>
        <w:pStyle w:val="EndNoteBibliography"/>
        <w:spacing w:after="0"/>
        <w:ind w:left="720" w:hanging="720"/>
      </w:pPr>
      <w:r w:rsidRPr="00B81422">
        <w:t>61.</w:t>
      </w:r>
      <w:r w:rsidRPr="00B81422">
        <w:tab/>
        <w:t xml:space="preserve">Arbour JH, Brown CM: </w:t>
      </w:r>
      <w:r w:rsidRPr="00B81422">
        <w:rPr>
          <w:b/>
        </w:rPr>
        <w:t>Incomplete specimens in geometric morphometric analyses</w:t>
      </w:r>
      <w:r w:rsidRPr="00B81422">
        <w:t xml:space="preserve">. </w:t>
      </w:r>
      <w:r w:rsidRPr="00B81422">
        <w:rPr>
          <w:i/>
        </w:rPr>
        <w:t xml:space="preserve">Methods in Ecology and Evolution </w:t>
      </w:r>
      <w:r w:rsidRPr="00B81422">
        <w:t xml:space="preserve">2014, </w:t>
      </w:r>
      <w:r w:rsidRPr="00B81422">
        <w:rPr>
          <w:b/>
        </w:rPr>
        <w:t>5</w:t>
      </w:r>
      <w:r w:rsidRPr="00B81422">
        <w:t>(1):16-26.</w:t>
      </w:r>
      <w:hyperlink r:id="rId68" w:history="1">
        <w:r w:rsidRPr="00B81422">
          <w:rPr>
            <w:rStyle w:val="Hyperlink"/>
          </w:rPr>
          <w:t>https://doi.org/10.1111/2041-210X.12128</w:t>
        </w:r>
      </w:hyperlink>
      <w:r w:rsidRPr="00B81422">
        <w:t>.</w:t>
      </w:r>
    </w:p>
    <w:p w14:paraId="179E0F82" w14:textId="3872853F" w:rsidR="00B81422" w:rsidRPr="00B81422" w:rsidRDefault="00B81422" w:rsidP="00B81422">
      <w:pPr>
        <w:pStyle w:val="EndNoteBibliography"/>
        <w:spacing w:after="0"/>
        <w:ind w:left="720" w:hanging="720"/>
      </w:pPr>
      <w:r w:rsidRPr="00B81422">
        <w:t>62.</w:t>
      </w:r>
      <w:r w:rsidRPr="00B81422">
        <w:tab/>
        <w:t xml:space="preserve">Mitteroecker P, Gunz P: </w:t>
      </w:r>
      <w:r w:rsidRPr="00B81422">
        <w:rPr>
          <w:b/>
        </w:rPr>
        <w:t>Advances in geometric morphometrics</w:t>
      </w:r>
      <w:r w:rsidRPr="00B81422">
        <w:t xml:space="preserve">. </w:t>
      </w:r>
      <w:r w:rsidRPr="00B81422">
        <w:rPr>
          <w:i/>
        </w:rPr>
        <w:t xml:space="preserve">Evolutionary biology </w:t>
      </w:r>
      <w:r w:rsidRPr="00B81422">
        <w:t xml:space="preserve">2009, </w:t>
      </w:r>
      <w:r w:rsidRPr="00B81422">
        <w:rPr>
          <w:b/>
        </w:rPr>
        <w:t>36</w:t>
      </w:r>
      <w:r w:rsidRPr="00B81422">
        <w:t>:235-247.</w:t>
      </w:r>
      <w:hyperlink r:id="rId69" w:history="1">
        <w:r w:rsidRPr="00B81422">
          <w:rPr>
            <w:rStyle w:val="Hyperlink"/>
          </w:rPr>
          <w:t>https://doi.org/10.1007/s11692-009-9055-x</w:t>
        </w:r>
      </w:hyperlink>
      <w:r w:rsidRPr="00B81422">
        <w:t>.</w:t>
      </w:r>
    </w:p>
    <w:p w14:paraId="0F8F4A19" w14:textId="7D7CB852" w:rsidR="00B81422" w:rsidRPr="00B81422" w:rsidRDefault="00B81422" w:rsidP="00B81422">
      <w:pPr>
        <w:pStyle w:val="EndNoteBibliography"/>
        <w:spacing w:after="0"/>
        <w:ind w:left="720" w:hanging="720"/>
      </w:pPr>
      <w:r w:rsidRPr="00B81422">
        <w:t>63.</w:t>
      </w:r>
      <w:r w:rsidRPr="00B81422">
        <w:tab/>
        <w:t xml:space="preserve">Mitchell DR, Kirchhoff CA, Cooke SB, Terhune CE: </w:t>
      </w:r>
      <w:r w:rsidRPr="00B81422">
        <w:rPr>
          <w:b/>
        </w:rPr>
        <w:t>Bolstering geometric morphometrics sample sizes with damaged and pathologic specimens: Is near enough good enough?</w:t>
      </w:r>
      <w:r w:rsidRPr="00B81422">
        <w:t xml:space="preserve"> </w:t>
      </w:r>
      <w:r w:rsidRPr="00B81422">
        <w:rPr>
          <w:i/>
        </w:rPr>
        <w:t xml:space="preserve">Journal of Anatomy </w:t>
      </w:r>
      <w:r w:rsidRPr="00B81422">
        <w:t xml:space="preserve">2021, </w:t>
      </w:r>
      <w:r w:rsidRPr="00B81422">
        <w:rPr>
          <w:b/>
        </w:rPr>
        <w:t>238</w:t>
      </w:r>
      <w:r w:rsidRPr="00B81422">
        <w:t>(6):1444-1455.</w:t>
      </w:r>
      <w:hyperlink r:id="rId70" w:history="1">
        <w:r w:rsidRPr="00B81422">
          <w:rPr>
            <w:rStyle w:val="Hyperlink"/>
          </w:rPr>
          <w:t>https://doi.org/10.1111/joa.13390</w:t>
        </w:r>
      </w:hyperlink>
      <w:r w:rsidRPr="00B81422">
        <w:t>.</w:t>
      </w:r>
    </w:p>
    <w:p w14:paraId="7661D590" w14:textId="09EF7144" w:rsidR="00B81422" w:rsidRPr="00B81422" w:rsidRDefault="00B81422" w:rsidP="00B81422">
      <w:pPr>
        <w:pStyle w:val="EndNoteBibliography"/>
        <w:spacing w:after="0"/>
        <w:ind w:left="720" w:hanging="720"/>
      </w:pPr>
      <w:r w:rsidRPr="00B81422">
        <w:t>64.</w:t>
      </w:r>
      <w:r w:rsidRPr="00B81422">
        <w:tab/>
        <w:t xml:space="preserve">Courtenay LA, Aramendi J: </w:t>
      </w:r>
      <w:r w:rsidRPr="00B81422">
        <w:rPr>
          <w:b/>
        </w:rPr>
        <w:t>The'Reverse Engineering'approach to hominin long bone reconstruction: Transforming human evolution studies</w:t>
      </w:r>
      <w:r w:rsidRPr="00B81422">
        <w:t xml:space="preserve">. </w:t>
      </w:r>
      <w:r w:rsidRPr="00B81422">
        <w:rPr>
          <w:i/>
        </w:rPr>
        <w:t xml:space="preserve">Bulletins et mémoires de la Société d’Anthropologie de Paris BMSAP </w:t>
      </w:r>
      <w:r w:rsidRPr="00B81422">
        <w:t xml:space="preserve">2024, </w:t>
      </w:r>
      <w:r w:rsidRPr="00B81422">
        <w:rPr>
          <w:b/>
        </w:rPr>
        <w:t>36</w:t>
      </w:r>
      <w:r w:rsidRPr="00B81422">
        <w:t>(36 (S)).</w:t>
      </w:r>
      <w:hyperlink r:id="rId71" w:history="1">
        <w:r w:rsidRPr="00B81422">
          <w:rPr>
            <w:rStyle w:val="Hyperlink"/>
          </w:rPr>
          <w:t>https://doi.org/10.4000/bmsap.12606</w:t>
        </w:r>
      </w:hyperlink>
      <w:r w:rsidRPr="00B81422">
        <w:t>.</w:t>
      </w:r>
    </w:p>
    <w:p w14:paraId="22F56F3B" w14:textId="0A3CC6F7" w:rsidR="00B81422" w:rsidRPr="00B81422" w:rsidRDefault="00B81422" w:rsidP="00B81422">
      <w:pPr>
        <w:pStyle w:val="EndNoteBibliography"/>
        <w:spacing w:after="0"/>
        <w:ind w:left="720" w:hanging="720"/>
      </w:pPr>
      <w:r w:rsidRPr="00B81422">
        <w:t>65.</w:t>
      </w:r>
      <w:r w:rsidRPr="00B81422">
        <w:tab/>
        <w:t xml:space="preserve">Goswami A, Noirault E, Coombs EJ, Clavel J, Fabre A-C, Halliday TJ, Churchill M, Curtis A, Watanabe A, Simmons NB: </w:t>
      </w:r>
      <w:r w:rsidRPr="00B81422">
        <w:rPr>
          <w:b/>
        </w:rPr>
        <w:t>Developmental origin underlies evolutionary rate variation across the placental skull</w:t>
      </w:r>
      <w:r w:rsidRPr="00B81422">
        <w:t xml:space="preserve">. </w:t>
      </w:r>
      <w:r w:rsidRPr="00B81422">
        <w:rPr>
          <w:i/>
        </w:rPr>
        <w:t xml:space="preserve">Philosophical Transactions of the Royal Society B </w:t>
      </w:r>
      <w:r w:rsidRPr="00B81422">
        <w:t xml:space="preserve">2023, </w:t>
      </w:r>
      <w:r w:rsidRPr="00B81422">
        <w:rPr>
          <w:b/>
        </w:rPr>
        <w:t>378</w:t>
      </w:r>
      <w:r w:rsidRPr="00B81422">
        <w:t>(1880):20220083.</w:t>
      </w:r>
      <w:hyperlink r:id="rId72" w:history="1">
        <w:r w:rsidRPr="00B81422">
          <w:rPr>
            <w:rStyle w:val="Hyperlink"/>
          </w:rPr>
          <w:t>https://doi.org/10.1098/rstb.2022.0083</w:t>
        </w:r>
      </w:hyperlink>
      <w:r w:rsidRPr="00B81422">
        <w:t>.</w:t>
      </w:r>
    </w:p>
    <w:p w14:paraId="0E9BE2BB" w14:textId="3CA29291" w:rsidR="00B81422" w:rsidRPr="00B81422" w:rsidRDefault="00B81422" w:rsidP="00B81422">
      <w:pPr>
        <w:pStyle w:val="EndNoteBibliography"/>
        <w:spacing w:after="0"/>
        <w:ind w:left="720" w:hanging="720"/>
      </w:pPr>
      <w:r w:rsidRPr="00B81422">
        <w:t>66.</w:t>
      </w:r>
      <w:r w:rsidRPr="00B81422">
        <w:tab/>
        <w:t xml:space="preserve">Felice RN, Watanabe A, Cuff AR, Noirault E, Pol D, Witmer LM, Norell MA, O'Connor PM, Goswami A: </w:t>
      </w:r>
      <w:r w:rsidRPr="00B81422">
        <w:rPr>
          <w:b/>
        </w:rPr>
        <w:t>Evolutionary integration and modularity in the archosaur cranium</w:t>
      </w:r>
      <w:r w:rsidRPr="00B81422">
        <w:t xml:space="preserve">. </w:t>
      </w:r>
      <w:r w:rsidRPr="00B81422">
        <w:rPr>
          <w:i/>
        </w:rPr>
        <w:t xml:space="preserve">Integrative and comparative biology </w:t>
      </w:r>
      <w:r w:rsidRPr="00B81422">
        <w:t xml:space="preserve">2019, </w:t>
      </w:r>
      <w:r w:rsidRPr="00B81422">
        <w:rPr>
          <w:b/>
        </w:rPr>
        <w:t>59</w:t>
      </w:r>
      <w:r w:rsidRPr="00B81422">
        <w:t>(2):371-382.</w:t>
      </w:r>
      <w:hyperlink r:id="rId73" w:history="1">
        <w:r w:rsidRPr="00B81422">
          <w:rPr>
            <w:rStyle w:val="Hyperlink"/>
          </w:rPr>
          <w:t>https://doi.org/10.1093/icb/icz052</w:t>
        </w:r>
      </w:hyperlink>
      <w:r w:rsidRPr="00B81422">
        <w:t>.</w:t>
      </w:r>
    </w:p>
    <w:p w14:paraId="5BF692CD" w14:textId="0439A9AE" w:rsidR="00B81422" w:rsidRPr="00B81422" w:rsidRDefault="00B81422" w:rsidP="00B81422">
      <w:pPr>
        <w:pStyle w:val="EndNoteBibliography"/>
        <w:spacing w:after="0"/>
        <w:ind w:left="720" w:hanging="720"/>
      </w:pPr>
      <w:r w:rsidRPr="00B81422">
        <w:t>67.</w:t>
      </w:r>
      <w:r w:rsidRPr="00B81422">
        <w:tab/>
        <w:t xml:space="preserve">Goswami A, Smaers JB, Soligo C, Polly PD: </w:t>
      </w:r>
      <w:r w:rsidRPr="00B81422">
        <w:rPr>
          <w:b/>
        </w:rPr>
        <w:t>The macroevolutionary consequences of phenotypic integration: from development to deep time</w:t>
      </w:r>
      <w:r w:rsidRPr="00B81422">
        <w:t xml:space="preserve">. </w:t>
      </w:r>
      <w:r w:rsidRPr="00B81422">
        <w:rPr>
          <w:i/>
        </w:rPr>
        <w:t xml:space="preserve">Philosophical Transactions of the Royal Society B: Biological Sciences </w:t>
      </w:r>
      <w:r w:rsidRPr="00B81422">
        <w:t xml:space="preserve">2014, </w:t>
      </w:r>
      <w:r w:rsidRPr="00B81422">
        <w:rPr>
          <w:b/>
        </w:rPr>
        <w:t>369</w:t>
      </w:r>
      <w:r w:rsidRPr="00B81422">
        <w:t>(1649):20130254.</w:t>
      </w:r>
      <w:hyperlink r:id="rId74" w:history="1">
        <w:r w:rsidRPr="00B81422">
          <w:rPr>
            <w:rStyle w:val="Hyperlink"/>
          </w:rPr>
          <w:t>https://doi.org/10.1098/rstb.2013.0254</w:t>
        </w:r>
      </w:hyperlink>
      <w:r w:rsidRPr="00B81422">
        <w:t>.</w:t>
      </w:r>
    </w:p>
    <w:p w14:paraId="189FCC10" w14:textId="2CB9D67A" w:rsidR="00B81422" w:rsidRPr="00B81422" w:rsidRDefault="00B81422" w:rsidP="00B81422">
      <w:pPr>
        <w:pStyle w:val="EndNoteBibliography"/>
        <w:spacing w:after="0"/>
        <w:ind w:left="720" w:hanging="720"/>
      </w:pPr>
      <w:r w:rsidRPr="00B81422">
        <w:t>68.</w:t>
      </w:r>
      <w:r w:rsidRPr="00B81422">
        <w:tab/>
        <w:t xml:space="preserve">He Y, Camaiti M, Roberts LE, Mulqueeney JM, Didziokas M, Goswami A: </w:t>
      </w:r>
      <w:r w:rsidRPr="00B81422">
        <w:rPr>
          <w:b/>
        </w:rPr>
        <w:t>Introducing SPROUT (Semi-automated Parcellation of Region Outputs Using Thresholding): an adaptable computer vision tool to generate 3D segmentations</w:t>
      </w:r>
      <w:r w:rsidRPr="00B81422">
        <w:t xml:space="preserve">. </w:t>
      </w:r>
      <w:r w:rsidRPr="00B81422">
        <w:rPr>
          <w:i/>
        </w:rPr>
        <w:t xml:space="preserve">bioRxiv </w:t>
      </w:r>
      <w:r w:rsidRPr="00B81422">
        <w:t>2024:2024.2011. 2022.624847.</w:t>
      </w:r>
      <w:hyperlink r:id="rId75" w:history="1">
        <w:r w:rsidRPr="00B81422">
          <w:rPr>
            <w:rStyle w:val="Hyperlink"/>
          </w:rPr>
          <w:t>https://doi.org/10.1101/2024.11.22.624847</w:t>
        </w:r>
      </w:hyperlink>
      <w:r w:rsidRPr="00B81422">
        <w:t>.</w:t>
      </w:r>
    </w:p>
    <w:p w14:paraId="223EF6D0" w14:textId="56C3AC2E" w:rsidR="00B81422" w:rsidRPr="00B81422" w:rsidRDefault="00B81422" w:rsidP="00B81422">
      <w:pPr>
        <w:pStyle w:val="EndNoteBibliography"/>
        <w:spacing w:after="0"/>
        <w:ind w:left="720" w:hanging="720"/>
      </w:pPr>
      <w:r w:rsidRPr="00B81422">
        <w:lastRenderedPageBreak/>
        <w:t>69.</w:t>
      </w:r>
      <w:r w:rsidRPr="00B81422">
        <w:tab/>
        <w:t xml:space="preserve">Hanocka R, Hertz A, Fish N, Giryes R, Fleishman S, Cohen-Or D: </w:t>
      </w:r>
      <w:r w:rsidRPr="00B81422">
        <w:rPr>
          <w:b/>
        </w:rPr>
        <w:t>Meshcnn: a network with an edge</w:t>
      </w:r>
      <w:r w:rsidRPr="00B81422">
        <w:t xml:space="preserve">. </w:t>
      </w:r>
      <w:r w:rsidRPr="00B81422">
        <w:rPr>
          <w:i/>
        </w:rPr>
        <w:t xml:space="preserve">ACM Transactions on Graphics (ToG) </w:t>
      </w:r>
      <w:r w:rsidRPr="00B81422">
        <w:t xml:space="preserve">2019, </w:t>
      </w:r>
      <w:r w:rsidRPr="00B81422">
        <w:rPr>
          <w:b/>
        </w:rPr>
        <w:t>38</w:t>
      </w:r>
      <w:r w:rsidRPr="00B81422">
        <w:t>(4):1-12.</w:t>
      </w:r>
      <w:hyperlink r:id="rId76" w:history="1">
        <w:r w:rsidRPr="00B81422">
          <w:rPr>
            <w:rStyle w:val="Hyperlink"/>
          </w:rPr>
          <w:t>https://doi.org/10.1145/3306346.3322959</w:t>
        </w:r>
      </w:hyperlink>
      <w:r w:rsidRPr="00B81422">
        <w:t>.</w:t>
      </w:r>
    </w:p>
    <w:p w14:paraId="1B46AAD4" w14:textId="03A94D04" w:rsidR="00B81422" w:rsidRPr="00B81422" w:rsidRDefault="00B81422" w:rsidP="00B81422">
      <w:pPr>
        <w:pStyle w:val="EndNoteBibliography"/>
        <w:spacing w:after="0"/>
        <w:ind w:left="720" w:hanging="720"/>
      </w:pPr>
      <w:r w:rsidRPr="00B81422">
        <w:t>70.</w:t>
      </w:r>
      <w:r w:rsidRPr="00B81422">
        <w:tab/>
        <w:t xml:space="preserve">Didziokas M, Pauws E, Kölby L, Khonsari RH, Moazen M: </w:t>
      </w:r>
      <w:r w:rsidRPr="00B81422">
        <w:rPr>
          <w:b/>
        </w:rPr>
        <w:t>BounTI (boundary</w:t>
      </w:r>
      <w:r w:rsidRPr="00B81422">
        <w:rPr>
          <w:rFonts w:ascii="Cambria Math" w:hAnsi="Cambria Math" w:cs="Cambria Math"/>
          <w:b/>
        </w:rPr>
        <w:t>‐</w:t>
      </w:r>
      <w:r w:rsidRPr="00B81422">
        <w:rPr>
          <w:b/>
        </w:rPr>
        <w:t>preserving threshold iteration): A user</w:t>
      </w:r>
      <w:r w:rsidRPr="00B81422">
        <w:rPr>
          <w:rFonts w:ascii="Cambria Math" w:hAnsi="Cambria Math" w:cs="Cambria Math"/>
          <w:b/>
        </w:rPr>
        <w:t>‐</w:t>
      </w:r>
      <w:r w:rsidRPr="00B81422">
        <w:rPr>
          <w:b/>
        </w:rPr>
        <w:t>friendly tool for automatic hard tissue segmentation</w:t>
      </w:r>
      <w:r w:rsidRPr="00B81422">
        <w:t xml:space="preserve">. </w:t>
      </w:r>
      <w:r w:rsidRPr="00B81422">
        <w:rPr>
          <w:i/>
        </w:rPr>
        <w:t xml:space="preserve">Journal of Anatomy </w:t>
      </w:r>
      <w:r w:rsidRPr="00B81422">
        <w:t>2024.</w:t>
      </w:r>
      <w:hyperlink r:id="rId77" w:history="1">
        <w:r w:rsidRPr="00B81422">
          <w:rPr>
            <w:rStyle w:val="Hyperlink"/>
          </w:rPr>
          <w:t>https://doi.org/10.1111/joa.14063</w:t>
        </w:r>
      </w:hyperlink>
      <w:r w:rsidRPr="00B81422">
        <w:t>.</w:t>
      </w:r>
    </w:p>
    <w:p w14:paraId="0CB9A63A" w14:textId="071A17B0" w:rsidR="00B81422" w:rsidRPr="00B81422" w:rsidRDefault="00B81422" w:rsidP="00B81422">
      <w:pPr>
        <w:pStyle w:val="EndNoteBibliography"/>
        <w:spacing w:after="0"/>
        <w:ind w:left="720" w:hanging="720"/>
      </w:pPr>
      <w:r w:rsidRPr="00B81422">
        <w:t>71.</w:t>
      </w:r>
      <w:r w:rsidRPr="00B81422">
        <w:tab/>
        <w:t xml:space="preserve">Moccetti P, Rodger JR, Bolland JD, Kaiser-Wilks P, Smith R, Nunn AD, Adams CE, Bright JA, Honkanen HM, Lothian AJ: </w:t>
      </w:r>
      <w:r w:rsidRPr="00B81422">
        <w:rPr>
          <w:b/>
        </w:rPr>
        <w:t>Is shape in the eye of the beholder? Assessing landmarking error in geometric morphometric analyses on live fish</w:t>
      </w:r>
      <w:r w:rsidRPr="00B81422">
        <w:t xml:space="preserve">. </w:t>
      </w:r>
      <w:r w:rsidRPr="00B81422">
        <w:rPr>
          <w:i/>
        </w:rPr>
        <w:t xml:space="preserve">PeerJ </w:t>
      </w:r>
      <w:r w:rsidRPr="00B81422">
        <w:t xml:space="preserve">2023, </w:t>
      </w:r>
      <w:r w:rsidRPr="00B81422">
        <w:rPr>
          <w:b/>
        </w:rPr>
        <w:t>11</w:t>
      </w:r>
      <w:r w:rsidRPr="00B81422">
        <w:t>:e15545.</w:t>
      </w:r>
      <w:hyperlink r:id="rId78" w:history="1">
        <w:r w:rsidRPr="00B81422">
          <w:rPr>
            <w:rStyle w:val="Hyperlink"/>
          </w:rPr>
          <w:t>https://doi.org/10.7717/peerj.15545</w:t>
        </w:r>
      </w:hyperlink>
      <w:r w:rsidRPr="00B81422">
        <w:t>.</w:t>
      </w:r>
    </w:p>
    <w:p w14:paraId="07483706" w14:textId="359B69E0" w:rsidR="00B81422" w:rsidRPr="00B81422" w:rsidRDefault="00B81422" w:rsidP="00B81422">
      <w:pPr>
        <w:pStyle w:val="EndNoteBibliography"/>
        <w:spacing w:after="0"/>
        <w:ind w:left="720" w:hanging="720"/>
      </w:pPr>
      <w:r w:rsidRPr="00B81422">
        <w:t>72.</w:t>
      </w:r>
      <w:r w:rsidRPr="00B81422">
        <w:tab/>
        <w:t xml:space="preserve">Robinson C, Terhune CE: </w:t>
      </w:r>
      <w:r w:rsidRPr="00B81422">
        <w:rPr>
          <w:b/>
        </w:rPr>
        <w:t>Error in geometric morphometric data collection: Combining data from multiple sources</w:t>
      </w:r>
      <w:r w:rsidRPr="00B81422">
        <w:t xml:space="preserve">. </w:t>
      </w:r>
      <w:r w:rsidRPr="00B81422">
        <w:rPr>
          <w:i/>
        </w:rPr>
        <w:t xml:space="preserve">American journal of physical anthropology </w:t>
      </w:r>
      <w:r w:rsidRPr="00B81422">
        <w:t xml:space="preserve">2017, </w:t>
      </w:r>
      <w:r w:rsidRPr="00B81422">
        <w:rPr>
          <w:b/>
        </w:rPr>
        <w:t>164</w:t>
      </w:r>
      <w:r w:rsidRPr="00B81422">
        <w:t>(1):62-75.</w:t>
      </w:r>
      <w:hyperlink r:id="rId79" w:history="1">
        <w:r w:rsidRPr="00B81422">
          <w:rPr>
            <w:rStyle w:val="Hyperlink"/>
          </w:rPr>
          <w:t>https://doi.org/10.1002/ajpa.23257</w:t>
        </w:r>
      </w:hyperlink>
      <w:r w:rsidRPr="00B81422">
        <w:t>.</w:t>
      </w:r>
    </w:p>
    <w:p w14:paraId="7E7EFEE6" w14:textId="23129D04" w:rsidR="00B81422" w:rsidRPr="00B81422" w:rsidRDefault="00B81422" w:rsidP="00B81422">
      <w:pPr>
        <w:pStyle w:val="EndNoteBibliography"/>
        <w:spacing w:after="0"/>
        <w:ind w:left="720" w:hanging="720"/>
      </w:pPr>
      <w:r w:rsidRPr="00B81422">
        <w:t>73.</w:t>
      </w:r>
      <w:r w:rsidRPr="00B81422">
        <w:tab/>
        <w:t xml:space="preserve">Goswami A, Clavel J: </w:t>
      </w:r>
      <w:r w:rsidRPr="00B81422">
        <w:rPr>
          <w:b/>
        </w:rPr>
        <w:t>Morphological evolution in a time of Phenomics</w:t>
      </w:r>
      <w:r w:rsidRPr="00B81422">
        <w:t>. 2024.</w:t>
      </w:r>
      <w:hyperlink r:id="rId80" w:history="1">
        <w:r w:rsidRPr="00B81422">
          <w:rPr>
            <w:rStyle w:val="Hyperlink"/>
          </w:rPr>
          <w:t>https://doi.org/10.32942/X22G7Q</w:t>
        </w:r>
      </w:hyperlink>
      <w:r w:rsidRPr="00B81422">
        <w:t xml:space="preserve"> </w:t>
      </w:r>
    </w:p>
    <w:p w14:paraId="19878D18" w14:textId="77777777" w:rsidR="00B81422" w:rsidRPr="00B81422" w:rsidRDefault="00B81422" w:rsidP="00B81422">
      <w:pPr>
        <w:pStyle w:val="EndNoteBibliography"/>
        <w:spacing w:after="0"/>
        <w:ind w:left="720" w:hanging="720"/>
      </w:pPr>
      <w:r w:rsidRPr="00B81422">
        <w:t>74.</w:t>
      </w:r>
      <w:r w:rsidRPr="00B81422">
        <w:tab/>
        <w:t xml:space="preserve">Cignoni P, Ranzuglia G, Callieri M, Corsini M, Ganovelli F, Pietroni N, Tarini M: </w:t>
      </w:r>
      <w:r w:rsidRPr="00B81422">
        <w:rPr>
          <w:b/>
        </w:rPr>
        <w:t>MeshLab</w:t>
      </w:r>
      <w:r w:rsidRPr="00B81422">
        <w:t>. 2011.</w:t>
      </w:r>
    </w:p>
    <w:p w14:paraId="116D7BF1" w14:textId="77777777" w:rsidR="00B81422" w:rsidRPr="00B81422" w:rsidRDefault="00B81422" w:rsidP="00B81422">
      <w:pPr>
        <w:pStyle w:val="EndNoteBibliography"/>
        <w:ind w:left="720" w:hanging="720"/>
      </w:pPr>
      <w:r w:rsidRPr="00B81422">
        <w:t>75.</w:t>
      </w:r>
      <w:r w:rsidRPr="00B81422">
        <w:tab/>
        <w:t xml:space="preserve">Oksanen J, Blanchet FG, Kindt R, Legendre P, Minchin PR, O’hara R, Simpson GL, Solymos P, Stevens MHH, Wagner H: </w:t>
      </w:r>
      <w:r w:rsidRPr="00B81422">
        <w:rPr>
          <w:b/>
        </w:rPr>
        <w:t>Package ‘vegan’</w:t>
      </w:r>
      <w:r w:rsidRPr="00B81422">
        <w:t xml:space="preserve">. </w:t>
      </w:r>
      <w:r w:rsidRPr="00B81422">
        <w:rPr>
          <w:i/>
        </w:rPr>
        <w:t xml:space="preserve">Community ecology package, version </w:t>
      </w:r>
      <w:r w:rsidRPr="00B81422">
        <w:t xml:space="preserve">2013, </w:t>
      </w:r>
      <w:r w:rsidRPr="00B81422">
        <w:rPr>
          <w:b/>
        </w:rPr>
        <w:t>2</w:t>
      </w:r>
      <w:r w:rsidRPr="00B81422">
        <w:t>(9):1-295.</w:t>
      </w:r>
    </w:p>
    <w:p w14:paraId="4C91D00E" w14:textId="6D407511" w:rsidR="002F6C29" w:rsidRDefault="00167C99" w:rsidP="00481F16">
      <w:pPr>
        <w:spacing w:line="480" w:lineRule="auto"/>
        <w:rPr>
          <w:b/>
          <w:bCs/>
        </w:rPr>
      </w:pPr>
      <w:r>
        <w:rPr>
          <w:b/>
          <w:bCs/>
        </w:rPr>
        <w:fldChar w:fldCharType="end"/>
      </w:r>
    </w:p>
    <w:p w14:paraId="59665D71" w14:textId="13CD786E" w:rsidR="00481F16" w:rsidRDefault="00481F16" w:rsidP="00481F16">
      <w:pPr>
        <w:spacing w:line="480" w:lineRule="auto"/>
        <w:rPr>
          <w:b/>
          <w:bCs/>
        </w:rPr>
      </w:pPr>
      <w:r>
        <w:rPr>
          <w:b/>
          <w:bCs/>
        </w:rPr>
        <w:t xml:space="preserve">Tables </w:t>
      </w:r>
    </w:p>
    <w:p w14:paraId="471BA6F2" w14:textId="29FE67BB" w:rsidR="00481F16" w:rsidRPr="00E73989" w:rsidRDefault="00481F16" w:rsidP="00481F16">
      <w:pPr>
        <w:spacing w:line="480" w:lineRule="auto"/>
      </w:pPr>
      <w:r>
        <w:rPr>
          <w:b/>
        </w:rPr>
        <w:t xml:space="preserve">Table 1. </w:t>
      </w:r>
      <w:r>
        <w:t xml:space="preserve">Correlation comparisons between manual landmarking result and DAA for both the “Aligned-only” and “Poisson” meshes. The results show the correlations between matrices evaluated using the Mantel Test </w:t>
      </w:r>
      <w:r>
        <w:fldChar w:fldCharType="begin"/>
      </w:r>
      <w:r w:rsidR="000D618C">
        <w:instrText xml:space="preserve"> ADDIN EN.CITE &lt;EndNote&gt;&lt;Cite&gt;&lt;Author&gt;Mantel&lt;/Author&gt;&lt;Year&gt;1967&lt;/Year&gt;&lt;RecNum&gt;350&lt;/RecNum&gt;&lt;DisplayText&gt;[42, 43]&lt;/DisplayText&gt;&lt;record&gt;&lt;rec-number&gt;350&lt;/rec-number&gt;&lt;foreign-keys&gt;&lt;key app="EN" db-id="tasefzw5b2p9euepe2cpwzvqsztr2dd9f5tz" timestamp="1739291547"&gt;350&lt;/key&gt;&lt;/foreign-keys&gt;&lt;ref-type name="Journal Article"&gt;17&lt;/ref-type&gt;&lt;contributors&gt;&lt;authors&gt;&lt;author&gt;Mantel, Nathan&lt;/author&gt;&lt;/authors&gt;&lt;/contributors&gt;&lt;titles&gt;&lt;title&gt;The detection of disease clustering and a generalized regression approach&lt;/title&gt;&lt;secondary-title&gt;Cancer research&lt;/secondary-title&gt;&lt;/titles&gt;&lt;periodical&gt;&lt;full-title&gt;Cancer research&lt;/full-title&gt;&lt;/periodical&gt;&lt;pages&gt;209-220&lt;/pages&gt;&lt;volume&gt;27&lt;/volume&gt;&lt;number&gt;2_Part_1&lt;/number&gt;&lt;dates&gt;&lt;year&gt;1967&lt;/year&gt;&lt;/dates&gt;&lt;isbn&gt;0008-5472&lt;/isbn&gt;&lt;urls&gt;&lt;/urls&gt;&lt;/record&gt;&lt;/Cite&gt;&lt;Cite&gt;&lt;Author&gt;Legendre&lt;/Author&gt;&lt;Year&gt;2010&lt;/Year&gt;&lt;RecNum&gt;359&lt;/RecNum&gt;&lt;record&gt;&lt;rec-number&gt;359&lt;/rec-number&gt;&lt;foreign-keys&gt;&lt;key app="EN" db-id="tasefzw5b2p9euepe2cpwzvqsztr2dd9f5tz" timestamp="1739482443"&gt;359&lt;/key&gt;&lt;/foreign-keys&gt;&lt;ref-type name="Journal Article"&gt;17&lt;/ref-type&gt;&lt;contributors&gt;&lt;authors&gt;&lt;author&gt;Legendre, Pierre&lt;/author&gt;&lt;author&gt;FORTIN, MARIE</w:instrText>
      </w:r>
      <w:r w:rsidR="000D618C">
        <w:rPr>
          <w:rFonts w:ascii="Cambria Math" w:hAnsi="Cambria Math" w:cs="Cambria Math"/>
        </w:rPr>
        <w:instrText>‐</w:instrText>
      </w:r>
      <w:r w:rsidR="000D618C">
        <w:instrText>JOSÉE&lt;/author&gt;&lt;/authors&gt;&lt;/contributors&gt;&lt;titles&gt;&lt;title&gt;Comparison of the Mantel test and alternative approaches for detecting complex multivariate relationships in the spatial analysis of genetic data&lt;/title&gt;&lt;secondary-title&gt;Molecular ecology resources&lt;/secondary-title&gt;&lt;/titles&gt;&lt;periodical&gt;&lt;full-title&gt;Molecular ecology resources&lt;/full-title&gt;&lt;/periodical&gt;&lt;pages&gt;831-844&lt;/pages&gt;&lt;volume&gt;10&lt;/volume&gt;&lt;number&gt;5&lt;/number&gt;&lt;dates&gt;&lt;year&gt;2010&lt;/year&gt;&lt;/dates&gt;&lt;isbn&gt;1755-098X&lt;/isbn&gt;&lt;urls&gt;&lt;/urls&gt;&lt;electronic-resource-num&gt;https://doi.org/10.1111/j.1755-0998.2010.02866.x&lt;/electronic-resource-num&gt;&lt;/record&gt;&lt;/Cite&gt;&lt;/EndNote&gt;</w:instrText>
      </w:r>
      <w:r>
        <w:fldChar w:fldCharType="separate"/>
      </w:r>
      <w:r w:rsidR="000D618C">
        <w:rPr>
          <w:noProof/>
        </w:rPr>
        <w:t>[42, 43]</w:t>
      </w:r>
      <w:r>
        <w:fldChar w:fldCharType="end"/>
      </w:r>
      <w:r>
        <w:t xml:space="preserve">, with results demonstrated using the Mantel r statistic, where a value of 0 shows no correlation, and 1 shows a perfect correlation, the Procrustes sum of squares, where a value of 0 indicates a perfect fit and 1 indicates high dissimilarity, and the Procrustes root mean squares estimates (high value means more error) using the PROcrustean randomisation TEST (PROTEST) </w:t>
      </w:r>
      <w:r>
        <w:rPr>
          <w:rFonts w:eastAsiaTheme="minorEastAsia"/>
        </w:rPr>
        <w:fldChar w:fldCharType="begin"/>
      </w:r>
      <w:r w:rsidR="002F5782">
        <w:rPr>
          <w:rFonts w:eastAsiaTheme="minorEastAsia"/>
        </w:rPr>
        <w:instrText xml:space="preserve"> ADDIN EN.CITE &lt;EndNote&gt;&lt;Cite&gt;&lt;Author&gt;Jackson&lt;/Author&gt;&lt;Year&gt;1995&lt;/Year&gt;&lt;RecNum&gt;305&lt;/RecNum&gt;&lt;DisplayText&gt;[44, 45]&lt;/DisplayText&gt;&lt;record&gt;&lt;rec-number&gt;305&lt;/rec-number&gt;&lt;foreign-keys&gt;&lt;key app="EN" db-id="stvxpdr5yrpspzes0zppeddup9p2da2vrpv9" timestamp="1727095887"&gt;305&lt;/key&gt;&lt;/foreign-keys&gt;&lt;ref-type name="Journal Article"&gt;17&lt;/ref-type&gt;&lt;contributors&gt;&lt;authors&gt;&lt;author&gt;Jackson, Donald A&lt;/author&gt;&lt;/authors&gt;&lt;/contributors&gt;&lt;titles&gt;&lt;title&gt;PROTEST: a PROcrustean randomization TEST of community environment concordance&lt;/title&gt;&lt;secondary-title&gt;Ecoscience&lt;/secondary-title&gt;&lt;/titles&gt;&lt;periodical&gt;&lt;full-title&gt;Ecoscience&lt;/full-title&gt;&lt;/periodical&gt;&lt;pages&gt;297-303&lt;/pages&gt;&lt;volume&gt;2&lt;/volume&gt;&lt;number&gt;3&lt;/number&gt;&lt;dates&gt;&lt;year&gt;1995&lt;/year&gt;&lt;/dates&gt;&lt;isbn&gt;1195-6860&lt;/isbn&gt;&lt;urls&gt;&lt;/urls&gt;&lt;electronic-resource-num&gt;https://doi.org/10.1080/11956860.1995.11682297&lt;/electronic-resource-num&gt;&lt;/record&gt;&lt;/Cite&gt;&lt;Cite&gt;&lt;Author&gt;Peres-Neto&lt;/Author&gt;&lt;Year&gt;2001&lt;/Year&gt;&lt;RecNum&gt;307&lt;/RecNum&gt;&lt;record&gt;&lt;rec-number&gt;307&lt;/rec-number&gt;&lt;foreign-keys&gt;&lt;key app="EN" db-id="stvxpdr5yrpspzes0zppeddup9p2da2vrpv9" timestamp="1727095967"&gt;307&lt;/key&gt;&lt;/foreign-keys&gt;&lt;ref-type name="Journal Article"&gt;17&lt;/ref-type&gt;&lt;contributors&gt;&lt;authors&gt;&lt;author&gt;Peres-Neto, Pedro R&lt;/author&gt;&lt;author&gt;Jackson, Donald A&lt;/author&gt;&lt;/authors&gt;&lt;/contributors&gt;&lt;titles&gt;&lt;title&gt;How well do multivariate data sets match? The advantages of a Procrustean superimposition approach over the Mantel test&lt;/title&gt;&lt;secondary-title&gt;Oecologia&lt;/secondary-title&gt;&lt;/titles&gt;&lt;periodical&gt;&lt;full-title&gt;Oecologia&lt;/full-title&gt;&lt;/periodical&gt;&lt;pages&gt;169-178&lt;/pages&gt;&lt;volume&gt;129&lt;/volume&gt;&lt;dates&gt;&lt;year&gt;2001&lt;/year&gt;&lt;/dates&gt;&lt;isbn&gt;0029-8549&lt;/isbn&gt;&lt;urls&gt;&lt;/urls&gt;&lt;electronic-resource-num&gt;https://doi.org/10.1007/s004420100720&lt;/electronic-resource-num&gt;&lt;/record&gt;&lt;/Cite&gt;&lt;/EndNote&gt;</w:instrText>
      </w:r>
      <w:r>
        <w:rPr>
          <w:rFonts w:eastAsiaTheme="minorEastAsia"/>
        </w:rPr>
        <w:fldChar w:fldCharType="separate"/>
      </w:r>
      <w:r w:rsidR="000D618C">
        <w:rPr>
          <w:rFonts w:eastAsiaTheme="minorEastAsia"/>
          <w:noProof/>
        </w:rPr>
        <w:t>[44, 45]</w:t>
      </w:r>
      <w:r>
        <w:rPr>
          <w:rFonts w:eastAsiaTheme="minorEastAsia"/>
        </w:rPr>
        <w:fldChar w:fldCharType="end"/>
      </w:r>
      <w:r>
        <w:rPr>
          <w:rFonts w:eastAsiaTheme="minorEastAsia"/>
        </w:rPr>
        <w:t>. The correlation between the percentages of variation (eigenvalues) across each of the 321 axes is also given where an R</w:t>
      </w:r>
      <w:r>
        <w:rPr>
          <w:rFonts w:eastAsiaTheme="minorEastAsia"/>
          <w:vertAlign w:val="superscript"/>
        </w:rPr>
        <w:t>2</w:t>
      </w:r>
      <w:r>
        <w:rPr>
          <w:rFonts w:eastAsiaTheme="minorEastAsia"/>
        </w:rPr>
        <w:t xml:space="preserve"> value of 1 indicates a perfect fit. All results are significant (p &lt; 0.01), with the best values for each statistic being highlighted in bold.  </w:t>
      </w:r>
    </w:p>
    <w:tbl>
      <w:tblPr>
        <w:tblStyle w:val="TableGrid"/>
        <w:tblW w:w="9575" w:type="dxa"/>
        <w:tblLook w:val="04A0" w:firstRow="1" w:lastRow="0" w:firstColumn="1" w:lastColumn="0" w:noHBand="0" w:noVBand="1"/>
      </w:tblPr>
      <w:tblGrid>
        <w:gridCol w:w="1915"/>
        <w:gridCol w:w="1915"/>
        <w:gridCol w:w="1915"/>
        <w:gridCol w:w="1915"/>
        <w:gridCol w:w="1915"/>
      </w:tblGrid>
      <w:tr w:rsidR="00481F16" w:rsidRPr="00914B5F" w14:paraId="194872EB" w14:textId="77777777" w:rsidTr="0004305B">
        <w:trPr>
          <w:trHeight w:val="2649"/>
        </w:trPr>
        <w:tc>
          <w:tcPr>
            <w:tcW w:w="1915" w:type="dxa"/>
          </w:tcPr>
          <w:p w14:paraId="0AE0652A" w14:textId="77777777" w:rsidR="00481F16" w:rsidRPr="00914B5F" w:rsidRDefault="00481F16" w:rsidP="0004305B">
            <w:pPr>
              <w:spacing w:line="480" w:lineRule="auto"/>
              <w:jc w:val="center"/>
              <w:rPr>
                <w:rFonts w:ascii="Arial" w:hAnsi="Arial" w:cs="Arial"/>
                <w:b/>
              </w:rPr>
            </w:pPr>
            <w:r w:rsidRPr="00914B5F">
              <w:rPr>
                <w:rFonts w:ascii="Arial" w:hAnsi="Arial" w:cs="Arial"/>
                <w:b/>
              </w:rPr>
              <w:lastRenderedPageBreak/>
              <w:t>Data Set</w:t>
            </w:r>
          </w:p>
        </w:tc>
        <w:tc>
          <w:tcPr>
            <w:tcW w:w="1915" w:type="dxa"/>
          </w:tcPr>
          <w:p w14:paraId="5D95A82A" w14:textId="77777777" w:rsidR="00481F16" w:rsidRPr="00914B5F" w:rsidRDefault="00481F16" w:rsidP="0004305B">
            <w:pPr>
              <w:spacing w:line="480" w:lineRule="auto"/>
              <w:jc w:val="center"/>
              <w:rPr>
                <w:b/>
              </w:rPr>
            </w:pPr>
            <w:r w:rsidRPr="00914B5F">
              <w:rPr>
                <w:rFonts w:ascii="Arial" w:hAnsi="Arial" w:cs="Arial"/>
                <w:bCs/>
              </w:rPr>
              <w:t>Mantel r statistic</w:t>
            </w:r>
          </w:p>
        </w:tc>
        <w:tc>
          <w:tcPr>
            <w:tcW w:w="1915" w:type="dxa"/>
          </w:tcPr>
          <w:p w14:paraId="51613E08" w14:textId="77777777" w:rsidR="00481F16" w:rsidRPr="00914B5F" w:rsidRDefault="00481F16" w:rsidP="0004305B">
            <w:pPr>
              <w:spacing w:line="480" w:lineRule="auto"/>
              <w:jc w:val="center"/>
              <w:rPr>
                <w:rFonts w:ascii="Arial" w:hAnsi="Arial" w:cs="Arial"/>
                <w:b/>
              </w:rPr>
            </w:pPr>
            <w:r w:rsidRPr="00914B5F">
              <w:rPr>
                <w:rFonts w:ascii="Arial" w:hAnsi="Arial" w:cs="Arial"/>
                <w:b/>
              </w:rPr>
              <w:t>Procrustes sum of squares</w:t>
            </w:r>
          </w:p>
        </w:tc>
        <w:tc>
          <w:tcPr>
            <w:tcW w:w="1915" w:type="dxa"/>
          </w:tcPr>
          <w:p w14:paraId="1A958C87" w14:textId="77777777" w:rsidR="00481F16" w:rsidRPr="00914B5F" w:rsidRDefault="00481F16" w:rsidP="0004305B">
            <w:pPr>
              <w:spacing w:line="480" w:lineRule="auto"/>
              <w:jc w:val="center"/>
              <w:rPr>
                <w:rFonts w:ascii="Arial" w:hAnsi="Arial" w:cs="Arial"/>
                <w:b/>
              </w:rPr>
            </w:pPr>
            <w:r w:rsidRPr="00914B5F">
              <w:rPr>
                <w:rFonts w:ascii="Arial" w:hAnsi="Arial" w:cs="Arial"/>
                <w:b/>
              </w:rPr>
              <w:t>Procrustes root mean squared error</w:t>
            </w:r>
          </w:p>
        </w:tc>
        <w:tc>
          <w:tcPr>
            <w:tcW w:w="1915" w:type="dxa"/>
          </w:tcPr>
          <w:p w14:paraId="763CE5CA" w14:textId="77777777" w:rsidR="00481F16" w:rsidRPr="00914B5F" w:rsidRDefault="00481F16" w:rsidP="0004305B">
            <w:pPr>
              <w:spacing w:line="480" w:lineRule="auto"/>
              <w:jc w:val="center"/>
              <w:rPr>
                <w:rFonts w:ascii="Arial" w:hAnsi="Arial" w:cs="Arial"/>
                <w:b/>
              </w:rPr>
            </w:pPr>
            <w:r w:rsidRPr="00914B5F">
              <w:rPr>
                <w:rFonts w:ascii="Arial" w:hAnsi="Arial" w:cs="Arial"/>
                <w:b/>
              </w:rPr>
              <w:t>Eigenvalue correlation (R</w:t>
            </w:r>
            <w:r w:rsidRPr="00914B5F">
              <w:rPr>
                <w:rFonts w:ascii="Arial" w:hAnsi="Arial" w:cs="Arial"/>
                <w:b/>
                <w:vertAlign w:val="superscript"/>
              </w:rPr>
              <w:t>2</w:t>
            </w:r>
            <w:r w:rsidRPr="00914B5F">
              <w:rPr>
                <w:rFonts w:ascii="Arial" w:hAnsi="Arial" w:cs="Arial"/>
                <w:b/>
              </w:rPr>
              <w:t>)</w:t>
            </w:r>
          </w:p>
        </w:tc>
      </w:tr>
      <w:tr w:rsidR="00481F16" w:rsidRPr="00914B5F" w14:paraId="184B84E7" w14:textId="77777777" w:rsidTr="0004305B">
        <w:trPr>
          <w:trHeight w:val="912"/>
        </w:trPr>
        <w:tc>
          <w:tcPr>
            <w:tcW w:w="1915" w:type="dxa"/>
          </w:tcPr>
          <w:p w14:paraId="0B6D50A8" w14:textId="77777777" w:rsidR="00481F16" w:rsidRPr="00914B5F" w:rsidRDefault="00481F16" w:rsidP="0004305B">
            <w:pPr>
              <w:spacing w:line="480" w:lineRule="auto"/>
              <w:jc w:val="center"/>
              <w:rPr>
                <w:rFonts w:ascii="Arial" w:hAnsi="Arial" w:cs="Arial"/>
              </w:rPr>
            </w:pPr>
            <w:r w:rsidRPr="00914B5F">
              <w:rPr>
                <w:rFonts w:ascii="Arial" w:hAnsi="Arial" w:cs="Arial"/>
              </w:rPr>
              <w:t>Aligned-only 40</w:t>
            </w:r>
          </w:p>
        </w:tc>
        <w:tc>
          <w:tcPr>
            <w:tcW w:w="1915" w:type="dxa"/>
          </w:tcPr>
          <w:p w14:paraId="7BBBE1BE" w14:textId="77777777" w:rsidR="00481F16" w:rsidRPr="00914B5F" w:rsidRDefault="00481F16" w:rsidP="0004305B">
            <w:pPr>
              <w:spacing w:line="480" w:lineRule="auto"/>
              <w:jc w:val="center"/>
            </w:pPr>
            <w:r w:rsidRPr="00914B5F">
              <w:rPr>
                <w:rFonts w:ascii="Arial" w:hAnsi="Arial" w:cs="Arial"/>
                <w:bCs/>
              </w:rPr>
              <w:t>0.2799</w:t>
            </w:r>
          </w:p>
        </w:tc>
        <w:tc>
          <w:tcPr>
            <w:tcW w:w="1915" w:type="dxa"/>
          </w:tcPr>
          <w:p w14:paraId="71D0365F" w14:textId="77777777" w:rsidR="00481F16" w:rsidRPr="00914B5F" w:rsidRDefault="00481F16" w:rsidP="0004305B">
            <w:pPr>
              <w:spacing w:line="480" w:lineRule="auto"/>
              <w:jc w:val="center"/>
              <w:rPr>
                <w:rFonts w:ascii="Arial" w:hAnsi="Arial" w:cs="Arial"/>
              </w:rPr>
            </w:pPr>
            <w:r w:rsidRPr="00914B5F">
              <w:rPr>
                <w:rFonts w:ascii="Arial" w:hAnsi="Arial" w:cs="Arial"/>
              </w:rPr>
              <w:t>0.762</w:t>
            </w:r>
          </w:p>
        </w:tc>
        <w:tc>
          <w:tcPr>
            <w:tcW w:w="1915" w:type="dxa"/>
          </w:tcPr>
          <w:p w14:paraId="5BC2E08F" w14:textId="77777777" w:rsidR="00481F16" w:rsidRPr="00914B5F" w:rsidRDefault="00481F16" w:rsidP="0004305B">
            <w:pPr>
              <w:spacing w:line="480" w:lineRule="auto"/>
              <w:jc w:val="center"/>
              <w:rPr>
                <w:rFonts w:ascii="Arial" w:hAnsi="Arial" w:cs="Arial"/>
              </w:rPr>
            </w:pPr>
            <w:r w:rsidRPr="00914B5F">
              <w:rPr>
                <w:rFonts w:ascii="Arial" w:hAnsi="Arial" w:cs="Arial"/>
              </w:rPr>
              <w:t>0.049</w:t>
            </w:r>
          </w:p>
        </w:tc>
        <w:tc>
          <w:tcPr>
            <w:tcW w:w="1915" w:type="dxa"/>
          </w:tcPr>
          <w:p w14:paraId="5E2DA623" w14:textId="77777777" w:rsidR="00481F16" w:rsidRPr="00914B5F" w:rsidRDefault="00481F16" w:rsidP="0004305B">
            <w:pPr>
              <w:spacing w:line="480" w:lineRule="auto"/>
              <w:jc w:val="center"/>
              <w:rPr>
                <w:rFonts w:ascii="Arial" w:hAnsi="Arial" w:cs="Arial"/>
              </w:rPr>
            </w:pPr>
            <w:r w:rsidRPr="00914B5F">
              <w:rPr>
                <w:rFonts w:ascii="Arial" w:hAnsi="Arial" w:cs="Arial"/>
              </w:rPr>
              <w:t>0.942</w:t>
            </w:r>
          </w:p>
        </w:tc>
      </w:tr>
      <w:tr w:rsidR="00481F16" w:rsidRPr="00914B5F" w14:paraId="761D6AAA" w14:textId="77777777" w:rsidTr="0004305B">
        <w:trPr>
          <w:trHeight w:val="912"/>
        </w:trPr>
        <w:tc>
          <w:tcPr>
            <w:tcW w:w="1915" w:type="dxa"/>
          </w:tcPr>
          <w:p w14:paraId="243652E2" w14:textId="77777777" w:rsidR="00481F16" w:rsidRPr="00914B5F" w:rsidRDefault="00481F16" w:rsidP="0004305B">
            <w:pPr>
              <w:spacing w:line="480" w:lineRule="auto"/>
              <w:jc w:val="center"/>
              <w:rPr>
                <w:rFonts w:ascii="Arial" w:hAnsi="Arial" w:cs="Arial"/>
              </w:rPr>
            </w:pPr>
            <w:r w:rsidRPr="00914B5F">
              <w:rPr>
                <w:rFonts w:ascii="Arial" w:hAnsi="Arial" w:cs="Arial"/>
              </w:rPr>
              <w:t>Aligned-only 20</w:t>
            </w:r>
          </w:p>
        </w:tc>
        <w:tc>
          <w:tcPr>
            <w:tcW w:w="1915" w:type="dxa"/>
          </w:tcPr>
          <w:p w14:paraId="53166E15" w14:textId="77777777" w:rsidR="00481F16" w:rsidRPr="00914B5F" w:rsidRDefault="00481F16" w:rsidP="0004305B">
            <w:pPr>
              <w:spacing w:line="480" w:lineRule="auto"/>
              <w:jc w:val="center"/>
            </w:pPr>
            <w:r w:rsidRPr="00914B5F">
              <w:rPr>
                <w:rFonts w:ascii="Arial" w:hAnsi="Arial" w:cs="Arial"/>
                <w:bCs/>
              </w:rPr>
              <w:t>0.2647</w:t>
            </w:r>
          </w:p>
        </w:tc>
        <w:tc>
          <w:tcPr>
            <w:tcW w:w="1915" w:type="dxa"/>
          </w:tcPr>
          <w:p w14:paraId="1E8A0E7F" w14:textId="77777777" w:rsidR="00481F16" w:rsidRPr="00914B5F" w:rsidRDefault="00481F16" w:rsidP="0004305B">
            <w:pPr>
              <w:spacing w:line="480" w:lineRule="auto"/>
              <w:jc w:val="center"/>
              <w:rPr>
                <w:rFonts w:ascii="Arial" w:hAnsi="Arial" w:cs="Arial"/>
              </w:rPr>
            </w:pPr>
            <w:r w:rsidRPr="00914B5F">
              <w:rPr>
                <w:rFonts w:ascii="Arial" w:hAnsi="Arial" w:cs="Arial"/>
              </w:rPr>
              <w:t>0.666</w:t>
            </w:r>
          </w:p>
        </w:tc>
        <w:tc>
          <w:tcPr>
            <w:tcW w:w="1915" w:type="dxa"/>
          </w:tcPr>
          <w:p w14:paraId="315AE312" w14:textId="77777777" w:rsidR="00481F16" w:rsidRPr="00914B5F" w:rsidRDefault="00481F16" w:rsidP="0004305B">
            <w:pPr>
              <w:spacing w:line="480" w:lineRule="auto"/>
              <w:jc w:val="center"/>
              <w:rPr>
                <w:rFonts w:ascii="Arial" w:hAnsi="Arial" w:cs="Arial"/>
              </w:rPr>
            </w:pPr>
            <w:r w:rsidRPr="00914B5F">
              <w:rPr>
                <w:rFonts w:ascii="Arial" w:hAnsi="Arial" w:cs="Arial"/>
              </w:rPr>
              <w:t>0.045</w:t>
            </w:r>
          </w:p>
        </w:tc>
        <w:tc>
          <w:tcPr>
            <w:tcW w:w="1915" w:type="dxa"/>
          </w:tcPr>
          <w:p w14:paraId="06C60794" w14:textId="77777777" w:rsidR="00481F16" w:rsidRPr="00914B5F" w:rsidRDefault="00481F16" w:rsidP="0004305B">
            <w:pPr>
              <w:spacing w:line="480" w:lineRule="auto"/>
              <w:jc w:val="center"/>
              <w:rPr>
                <w:rFonts w:ascii="Arial" w:hAnsi="Arial" w:cs="Arial"/>
              </w:rPr>
            </w:pPr>
            <w:r w:rsidRPr="00914B5F">
              <w:rPr>
                <w:rFonts w:ascii="Arial" w:hAnsi="Arial" w:cs="Arial"/>
              </w:rPr>
              <w:t>0.962</w:t>
            </w:r>
          </w:p>
        </w:tc>
      </w:tr>
      <w:tr w:rsidR="00481F16" w:rsidRPr="00914B5F" w14:paraId="2ECAEE4C" w14:textId="77777777" w:rsidTr="0004305B">
        <w:trPr>
          <w:trHeight w:val="866"/>
        </w:trPr>
        <w:tc>
          <w:tcPr>
            <w:tcW w:w="1915" w:type="dxa"/>
          </w:tcPr>
          <w:p w14:paraId="6191FAE9" w14:textId="77777777" w:rsidR="00481F16" w:rsidRPr="00914B5F" w:rsidRDefault="00481F16" w:rsidP="0004305B">
            <w:pPr>
              <w:spacing w:line="480" w:lineRule="auto"/>
              <w:jc w:val="center"/>
              <w:rPr>
                <w:rFonts w:ascii="Arial" w:hAnsi="Arial" w:cs="Arial"/>
              </w:rPr>
            </w:pPr>
            <w:r w:rsidRPr="00914B5F">
              <w:rPr>
                <w:rFonts w:ascii="Arial" w:hAnsi="Arial" w:cs="Arial"/>
              </w:rPr>
              <w:t>Aligned-only 10</w:t>
            </w:r>
          </w:p>
        </w:tc>
        <w:tc>
          <w:tcPr>
            <w:tcW w:w="1915" w:type="dxa"/>
          </w:tcPr>
          <w:p w14:paraId="38539FED" w14:textId="77777777" w:rsidR="00481F16" w:rsidRPr="00914B5F" w:rsidRDefault="00481F16" w:rsidP="0004305B">
            <w:pPr>
              <w:spacing w:line="480" w:lineRule="auto"/>
              <w:jc w:val="center"/>
            </w:pPr>
            <w:r w:rsidRPr="00914B5F">
              <w:rPr>
                <w:rFonts w:ascii="Arial" w:hAnsi="Arial" w:cs="Arial"/>
                <w:bCs/>
              </w:rPr>
              <w:t>0.3098</w:t>
            </w:r>
          </w:p>
        </w:tc>
        <w:tc>
          <w:tcPr>
            <w:tcW w:w="1915" w:type="dxa"/>
          </w:tcPr>
          <w:p w14:paraId="7B2B146C" w14:textId="77777777" w:rsidR="00481F16" w:rsidRPr="00914B5F" w:rsidRDefault="00481F16" w:rsidP="0004305B">
            <w:pPr>
              <w:spacing w:line="480" w:lineRule="auto"/>
              <w:jc w:val="center"/>
              <w:rPr>
                <w:rFonts w:ascii="Arial" w:hAnsi="Arial" w:cs="Arial"/>
              </w:rPr>
            </w:pPr>
            <w:r w:rsidRPr="00914B5F">
              <w:rPr>
                <w:rFonts w:ascii="Arial" w:hAnsi="Arial" w:cs="Arial"/>
              </w:rPr>
              <w:t>0.608</w:t>
            </w:r>
          </w:p>
        </w:tc>
        <w:tc>
          <w:tcPr>
            <w:tcW w:w="1915" w:type="dxa"/>
          </w:tcPr>
          <w:p w14:paraId="3EBB5E75" w14:textId="77777777" w:rsidR="00481F16" w:rsidRPr="00914B5F" w:rsidRDefault="00481F16" w:rsidP="0004305B">
            <w:pPr>
              <w:spacing w:line="480" w:lineRule="auto"/>
              <w:jc w:val="center"/>
              <w:rPr>
                <w:rFonts w:ascii="Arial" w:hAnsi="Arial" w:cs="Arial"/>
              </w:rPr>
            </w:pPr>
            <w:r w:rsidRPr="00914B5F">
              <w:rPr>
                <w:rFonts w:ascii="Arial" w:hAnsi="Arial" w:cs="Arial"/>
              </w:rPr>
              <w:t>0.043</w:t>
            </w:r>
          </w:p>
        </w:tc>
        <w:tc>
          <w:tcPr>
            <w:tcW w:w="1915" w:type="dxa"/>
          </w:tcPr>
          <w:p w14:paraId="352385A6" w14:textId="77777777" w:rsidR="00481F16" w:rsidRPr="00914B5F" w:rsidRDefault="00481F16" w:rsidP="0004305B">
            <w:pPr>
              <w:spacing w:line="480" w:lineRule="auto"/>
              <w:jc w:val="center"/>
              <w:rPr>
                <w:rFonts w:ascii="Arial" w:hAnsi="Arial" w:cs="Arial"/>
              </w:rPr>
            </w:pPr>
            <w:r w:rsidRPr="00914B5F">
              <w:rPr>
                <w:rFonts w:ascii="Arial" w:hAnsi="Arial" w:cs="Arial"/>
              </w:rPr>
              <w:t>0.975</w:t>
            </w:r>
          </w:p>
        </w:tc>
      </w:tr>
      <w:tr w:rsidR="00481F16" w:rsidRPr="00914B5F" w14:paraId="62B93377" w14:textId="77777777" w:rsidTr="0004305B">
        <w:trPr>
          <w:trHeight w:val="912"/>
        </w:trPr>
        <w:tc>
          <w:tcPr>
            <w:tcW w:w="1915" w:type="dxa"/>
          </w:tcPr>
          <w:p w14:paraId="3A24ADE8" w14:textId="77777777" w:rsidR="00481F16" w:rsidRPr="00914B5F" w:rsidRDefault="00481F16" w:rsidP="0004305B">
            <w:pPr>
              <w:spacing w:line="480" w:lineRule="auto"/>
              <w:jc w:val="center"/>
              <w:rPr>
                <w:rFonts w:ascii="Arial" w:hAnsi="Arial" w:cs="Arial"/>
              </w:rPr>
            </w:pPr>
            <w:r w:rsidRPr="00914B5F">
              <w:rPr>
                <w:rFonts w:ascii="Arial" w:hAnsi="Arial" w:cs="Arial"/>
              </w:rPr>
              <w:t>Poisson 40</w:t>
            </w:r>
          </w:p>
        </w:tc>
        <w:tc>
          <w:tcPr>
            <w:tcW w:w="1915" w:type="dxa"/>
          </w:tcPr>
          <w:p w14:paraId="2C305E05" w14:textId="77777777" w:rsidR="00481F16" w:rsidRPr="00914B5F" w:rsidRDefault="00481F16" w:rsidP="0004305B">
            <w:pPr>
              <w:spacing w:line="480" w:lineRule="auto"/>
              <w:jc w:val="center"/>
            </w:pPr>
            <w:r w:rsidRPr="00914B5F">
              <w:rPr>
                <w:rFonts w:ascii="Arial" w:hAnsi="Arial" w:cs="Arial"/>
                <w:b/>
              </w:rPr>
              <w:t>0.6574</w:t>
            </w:r>
          </w:p>
        </w:tc>
        <w:tc>
          <w:tcPr>
            <w:tcW w:w="1915" w:type="dxa"/>
          </w:tcPr>
          <w:p w14:paraId="5693BD42" w14:textId="77777777" w:rsidR="00481F16" w:rsidRPr="00914B5F" w:rsidRDefault="00481F16" w:rsidP="0004305B">
            <w:pPr>
              <w:spacing w:line="480" w:lineRule="auto"/>
              <w:jc w:val="center"/>
              <w:rPr>
                <w:rFonts w:ascii="Arial" w:hAnsi="Arial" w:cs="Arial"/>
              </w:rPr>
            </w:pPr>
            <w:r w:rsidRPr="00914B5F">
              <w:rPr>
                <w:rFonts w:ascii="Arial" w:hAnsi="Arial" w:cs="Arial"/>
              </w:rPr>
              <w:t>0.503</w:t>
            </w:r>
          </w:p>
        </w:tc>
        <w:tc>
          <w:tcPr>
            <w:tcW w:w="1915" w:type="dxa"/>
          </w:tcPr>
          <w:p w14:paraId="7CD065D7" w14:textId="77777777" w:rsidR="00481F16" w:rsidRPr="00914B5F" w:rsidRDefault="00481F16" w:rsidP="0004305B">
            <w:pPr>
              <w:spacing w:line="480" w:lineRule="auto"/>
              <w:jc w:val="center"/>
              <w:rPr>
                <w:rFonts w:ascii="Arial" w:hAnsi="Arial" w:cs="Arial"/>
              </w:rPr>
            </w:pPr>
            <w:r w:rsidRPr="00914B5F">
              <w:rPr>
                <w:rFonts w:ascii="Arial" w:hAnsi="Arial" w:cs="Arial"/>
              </w:rPr>
              <w:t>0.040</w:t>
            </w:r>
          </w:p>
        </w:tc>
        <w:tc>
          <w:tcPr>
            <w:tcW w:w="1915" w:type="dxa"/>
          </w:tcPr>
          <w:p w14:paraId="61DFD347" w14:textId="77777777" w:rsidR="00481F16" w:rsidRPr="00914B5F" w:rsidRDefault="00481F16" w:rsidP="0004305B">
            <w:pPr>
              <w:spacing w:line="480" w:lineRule="auto"/>
              <w:jc w:val="center"/>
              <w:rPr>
                <w:rFonts w:ascii="Arial" w:hAnsi="Arial" w:cs="Arial"/>
                <w:b/>
              </w:rPr>
            </w:pPr>
            <w:r w:rsidRPr="00914B5F">
              <w:rPr>
                <w:rFonts w:ascii="Arial" w:hAnsi="Arial" w:cs="Arial"/>
                <w:b/>
              </w:rPr>
              <w:t>0.993</w:t>
            </w:r>
          </w:p>
        </w:tc>
      </w:tr>
      <w:tr w:rsidR="00481F16" w:rsidRPr="00914B5F" w14:paraId="132E2AEE" w14:textId="77777777" w:rsidTr="0004305B">
        <w:trPr>
          <w:trHeight w:val="912"/>
        </w:trPr>
        <w:tc>
          <w:tcPr>
            <w:tcW w:w="1915" w:type="dxa"/>
          </w:tcPr>
          <w:p w14:paraId="75F852EA" w14:textId="77777777" w:rsidR="00481F16" w:rsidRPr="00914B5F" w:rsidRDefault="00481F16" w:rsidP="0004305B">
            <w:pPr>
              <w:spacing w:line="480" w:lineRule="auto"/>
              <w:jc w:val="center"/>
              <w:rPr>
                <w:rFonts w:ascii="Arial" w:hAnsi="Arial" w:cs="Arial"/>
              </w:rPr>
            </w:pPr>
            <w:r w:rsidRPr="00914B5F">
              <w:rPr>
                <w:rFonts w:ascii="Arial" w:hAnsi="Arial" w:cs="Arial"/>
              </w:rPr>
              <w:t>Poisson 20</w:t>
            </w:r>
          </w:p>
        </w:tc>
        <w:tc>
          <w:tcPr>
            <w:tcW w:w="1915" w:type="dxa"/>
          </w:tcPr>
          <w:p w14:paraId="5291D06B" w14:textId="77777777" w:rsidR="00481F16" w:rsidRPr="00914B5F" w:rsidRDefault="00481F16" w:rsidP="0004305B">
            <w:pPr>
              <w:spacing w:line="480" w:lineRule="auto"/>
              <w:jc w:val="center"/>
              <w:rPr>
                <w:b/>
              </w:rPr>
            </w:pPr>
            <w:r w:rsidRPr="00914B5F">
              <w:rPr>
                <w:rFonts w:ascii="Arial" w:hAnsi="Arial" w:cs="Arial"/>
                <w:bCs/>
              </w:rPr>
              <w:t>0.6107</w:t>
            </w:r>
          </w:p>
        </w:tc>
        <w:tc>
          <w:tcPr>
            <w:tcW w:w="1915" w:type="dxa"/>
          </w:tcPr>
          <w:p w14:paraId="3EF58AFD" w14:textId="77777777" w:rsidR="00481F16" w:rsidRPr="00914B5F" w:rsidRDefault="00481F16" w:rsidP="0004305B">
            <w:pPr>
              <w:spacing w:line="480" w:lineRule="auto"/>
              <w:jc w:val="center"/>
              <w:rPr>
                <w:rFonts w:ascii="Arial" w:hAnsi="Arial" w:cs="Arial"/>
                <w:b/>
              </w:rPr>
            </w:pPr>
            <w:r w:rsidRPr="00914B5F">
              <w:rPr>
                <w:rFonts w:ascii="Arial" w:hAnsi="Arial" w:cs="Arial"/>
                <w:b/>
              </w:rPr>
              <w:t>0.418</w:t>
            </w:r>
          </w:p>
        </w:tc>
        <w:tc>
          <w:tcPr>
            <w:tcW w:w="1915" w:type="dxa"/>
          </w:tcPr>
          <w:p w14:paraId="6CE1D7E3" w14:textId="77777777" w:rsidR="00481F16" w:rsidRPr="00914B5F" w:rsidRDefault="00481F16" w:rsidP="0004305B">
            <w:pPr>
              <w:spacing w:line="480" w:lineRule="auto"/>
              <w:jc w:val="center"/>
              <w:rPr>
                <w:rFonts w:ascii="Arial" w:hAnsi="Arial" w:cs="Arial"/>
                <w:b/>
              </w:rPr>
            </w:pPr>
            <w:r w:rsidRPr="00914B5F">
              <w:rPr>
                <w:rFonts w:ascii="Arial" w:hAnsi="Arial" w:cs="Arial"/>
                <w:b/>
              </w:rPr>
              <w:t>0.036</w:t>
            </w:r>
          </w:p>
        </w:tc>
        <w:tc>
          <w:tcPr>
            <w:tcW w:w="1915" w:type="dxa"/>
          </w:tcPr>
          <w:p w14:paraId="2F240059" w14:textId="77777777" w:rsidR="00481F16" w:rsidRPr="00914B5F" w:rsidRDefault="00481F16" w:rsidP="0004305B">
            <w:pPr>
              <w:spacing w:line="480" w:lineRule="auto"/>
              <w:jc w:val="center"/>
              <w:rPr>
                <w:rFonts w:ascii="Arial" w:hAnsi="Arial" w:cs="Arial"/>
              </w:rPr>
            </w:pPr>
            <w:r w:rsidRPr="00914B5F">
              <w:rPr>
                <w:rFonts w:ascii="Arial" w:hAnsi="Arial" w:cs="Arial"/>
              </w:rPr>
              <w:t>0.978</w:t>
            </w:r>
          </w:p>
        </w:tc>
      </w:tr>
      <w:tr w:rsidR="00481F16" w:rsidRPr="00914B5F" w14:paraId="04F541F0" w14:textId="77777777" w:rsidTr="0004305B">
        <w:trPr>
          <w:trHeight w:val="912"/>
        </w:trPr>
        <w:tc>
          <w:tcPr>
            <w:tcW w:w="1915" w:type="dxa"/>
          </w:tcPr>
          <w:p w14:paraId="6D31A2B5" w14:textId="77777777" w:rsidR="00481F16" w:rsidRPr="00914B5F" w:rsidRDefault="00481F16" w:rsidP="0004305B">
            <w:pPr>
              <w:spacing w:line="480" w:lineRule="auto"/>
              <w:jc w:val="center"/>
              <w:rPr>
                <w:rFonts w:ascii="Arial" w:hAnsi="Arial" w:cs="Arial"/>
              </w:rPr>
            </w:pPr>
            <w:r w:rsidRPr="00914B5F">
              <w:rPr>
                <w:rFonts w:ascii="Arial" w:hAnsi="Arial" w:cs="Arial"/>
              </w:rPr>
              <w:t>Poisson 10</w:t>
            </w:r>
          </w:p>
        </w:tc>
        <w:tc>
          <w:tcPr>
            <w:tcW w:w="1915" w:type="dxa"/>
          </w:tcPr>
          <w:p w14:paraId="243BE714" w14:textId="77777777" w:rsidR="00481F16" w:rsidRPr="00914B5F" w:rsidRDefault="00481F16" w:rsidP="0004305B">
            <w:pPr>
              <w:spacing w:line="480" w:lineRule="auto"/>
              <w:jc w:val="center"/>
            </w:pPr>
            <w:r w:rsidRPr="00914B5F">
              <w:rPr>
                <w:rFonts w:ascii="Arial" w:hAnsi="Arial" w:cs="Arial"/>
                <w:bCs/>
              </w:rPr>
              <w:t>0.5879</w:t>
            </w:r>
          </w:p>
        </w:tc>
        <w:tc>
          <w:tcPr>
            <w:tcW w:w="1915" w:type="dxa"/>
          </w:tcPr>
          <w:p w14:paraId="291C9E58" w14:textId="77777777" w:rsidR="00481F16" w:rsidRPr="00914B5F" w:rsidRDefault="00481F16" w:rsidP="0004305B">
            <w:pPr>
              <w:spacing w:line="480" w:lineRule="auto"/>
              <w:jc w:val="center"/>
              <w:rPr>
                <w:rFonts w:ascii="Arial" w:hAnsi="Arial" w:cs="Arial"/>
              </w:rPr>
            </w:pPr>
            <w:r w:rsidRPr="00914B5F">
              <w:rPr>
                <w:rFonts w:ascii="Arial" w:hAnsi="Arial" w:cs="Arial"/>
              </w:rPr>
              <w:t>0.430</w:t>
            </w:r>
          </w:p>
        </w:tc>
        <w:tc>
          <w:tcPr>
            <w:tcW w:w="1915" w:type="dxa"/>
          </w:tcPr>
          <w:p w14:paraId="49F352A9" w14:textId="77777777" w:rsidR="00481F16" w:rsidRPr="00914B5F" w:rsidRDefault="00481F16" w:rsidP="0004305B">
            <w:pPr>
              <w:spacing w:line="480" w:lineRule="auto"/>
              <w:jc w:val="center"/>
              <w:rPr>
                <w:rFonts w:ascii="Arial" w:hAnsi="Arial" w:cs="Arial"/>
              </w:rPr>
            </w:pPr>
            <w:r w:rsidRPr="00914B5F">
              <w:rPr>
                <w:rFonts w:ascii="Arial" w:hAnsi="Arial" w:cs="Arial"/>
              </w:rPr>
              <w:t>0.037</w:t>
            </w:r>
          </w:p>
        </w:tc>
        <w:tc>
          <w:tcPr>
            <w:tcW w:w="1915" w:type="dxa"/>
          </w:tcPr>
          <w:p w14:paraId="16B6FC2F" w14:textId="77777777" w:rsidR="00481F16" w:rsidRPr="00914B5F" w:rsidRDefault="00481F16" w:rsidP="0004305B">
            <w:pPr>
              <w:spacing w:line="480" w:lineRule="auto"/>
              <w:jc w:val="center"/>
              <w:rPr>
                <w:rFonts w:ascii="Arial" w:hAnsi="Arial" w:cs="Arial"/>
              </w:rPr>
            </w:pPr>
            <w:r w:rsidRPr="00914B5F">
              <w:rPr>
                <w:rFonts w:ascii="Arial" w:hAnsi="Arial" w:cs="Arial"/>
              </w:rPr>
              <w:t xml:space="preserve">0.962 </w:t>
            </w:r>
          </w:p>
        </w:tc>
      </w:tr>
    </w:tbl>
    <w:p w14:paraId="4FEF43C4" w14:textId="77777777" w:rsidR="00481F16" w:rsidRDefault="00481F16" w:rsidP="00481F16">
      <w:pPr>
        <w:spacing w:line="480" w:lineRule="auto"/>
        <w:rPr>
          <w:b/>
          <w:bCs/>
        </w:rPr>
      </w:pPr>
    </w:p>
    <w:p w14:paraId="29079D28" w14:textId="01A92D5B" w:rsidR="00481F16" w:rsidRPr="00993EE8" w:rsidRDefault="00481F16" w:rsidP="00481F16">
      <w:pPr>
        <w:spacing w:line="480" w:lineRule="auto"/>
      </w:pPr>
      <w:r>
        <w:rPr>
          <w:b/>
        </w:rPr>
        <w:t xml:space="preserve">Table 2. </w:t>
      </w:r>
      <w:r>
        <w:t xml:space="preserve">Comparison of phylogenetic signals measured using the </w:t>
      </w:r>
      <w:r w:rsidRPr="00993EE8">
        <w:rPr>
          <w:i/>
        </w:rPr>
        <w:t>physignal</w:t>
      </w:r>
      <w:r>
        <w:rPr>
          <w:i/>
        </w:rPr>
        <w:t xml:space="preserve"> </w:t>
      </w:r>
      <w:r>
        <w:t>function applying the K</w:t>
      </w:r>
      <w:r w:rsidRPr="00EB30A9">
        <w:rPr>
          <w:vertAlign w:val="subscript"/>
        </w:rPr>
        <w:t xml:space="preserve">mult </w:t>
      </w:r>
      <w:r>
        <w:t xml:space="preserve">statistic </w:t>
      </w:r>
      <w:r>
        <w:rPr>
          <w:rFonts w:eastAsia="Times New Roman"/>
          <w:lang w:eastAsia="en-GB"/>
        </w:rPr>
        <w:fldChar w:fldCharType="begin"/>
      </w:r>
      <w:r w:rsidR="003C42E3">
        <w:rPr>
          <w:rFonts w:eastAsia="Times New Roman"/>
          <w:lang w:eastAsia="en-GB"/>
        </w:rPr>
        <w:instrText xml:space="preserve"> ADDIN EN.CITE &lt;EndNote&gt;&lt;Cite&gt;&lt;Author&gt;Adams&lt;/Author&gt;&lt;Year&gt;2014&lt;/Year&gt;&lt;RecNum&gt;106&lt;/RecNum&gt;&lt;DisplayText&gt;[54]&lt;/DisplayText&gt;&lt;record&gt;&lt;rec-number&gt;106&lt;/rec-number&gt;&lt;foreign-keys&gt;&lt;key app="EN" db-id="stvxpdr5yrpspzes0zppeddup9p2da2vrpv9" timestamp="0"&gt;106&lt;/key&gt;&lt;/foreign-keys&gt;&lt;ref-type name="Journal Article"&gt;17&lt;/ref-type&gt;&lt;contributors&gt;&lt;authors&gt;&lt;author&gt;Adams, Dean C.&lt;/author&gt;&lt;/authors&gt;&lt;/contributors&gt;&lt;titles&gt;&lt;title&gt;A generalized K statistic for estimating phylogenetic signal from shape and other high-dimensional multivariate data&lt;/title&gt;&lt;secondary-title&gt;Systematic biology&lt;/secondary-title&gt;&lt;/titles&gt;&lt;periodical&gt;&lt;full-title&gt;Systematic biology&lt;/full-title&gt;&lt;/periodical&gt;&lt;pages&gt;685-697&lt;/pages&gt;&lt;volume&gt;63&lt;/volume&gt;&lt;number&gt;5&lt;/number&gt;&lt;dates&gt;&lt;year&gt;2014&lt;/year&gt;&lt;/dates&gt;&lt;publisher&gt;Oxford University Press&lt;/publisher&gt;&lt;isbn&gt;1076-836X&lt;/isbn&gt;&lt;urls&gt;&lt;/urls&gt;&lt;electronic-resource-num&gt;https://doi.org/10.1093/sysbio/syu030&lt;/electronic-resource-num&gt;&lt;/record&gt;&lt;/Cite&gt;&lt;/EndNote&gt;</w:instrText>
      </w:r>
      <w:r>
        <w:rPr>
          <w:rFonts w:eastAsia="Times New Roman"/>
          <w:lang w:eastAsia="en-GB"/>
        </w:rPr>
        <w:fldChar w:fldCharType="separate"/>
      </w:r>
      <w:r w:rsidR="003C42E3">
        <w:rPr>
          <w:rFonts w:eastAsia="Times New Roman"/>
          <w:noProof/>
          <w:lang w:eastAsia="en-GB"/>
        </w:rPr>
        <w:t>[54]</w:t>
      </w:r>
      <w:r>
        <w:rPr>
          <w:rFonts w:eastAsia="Times New Roman"/>
          <w:lang w:eastAsia="en-GB"/>
        </w:rPr>
        <w:fldChar w:fldCharType="end"/>
      </w:r>
      <w:r>
        <w:rPr>
          <w:rFonts w:eastAsia="Times New Roman"/>
          <w:lang w:eastAsia="en-GB"/>
        </w:rPr>
        <w:t xml:space="preserve"> through 99 iterations using</w:t>
      </w:r>
      <w:r>
        <w:t xml:space="preserve"> geomorph </w:t>
      </w:r>
      <w:r>
        <w:rPr>
          <w:rFonts w:eastAsia="Times New Roman"/>
          <w:lang w:eastAsia="en-GB"/>
        </w:rPr>
        <w:fldChar w:fldCharType="begin"/>
      </w:r>
      <w:r w:rsidR="002F5782">
        <w:rPr>
          <w:rFonts w:eastAsia="Times New Roman"/>
          <w:lang w:eastAsia="en-GB"/>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imes New Roman" w:hAnsi="Cambria Math" w:cs="Cambria Math"/>
          <w:lang w:eastAsia="en-GB"/>
        </w:rPr>
        <w:instrText>‐</w:instrText>
      </w:r>
      <w:r w:rsidR="002F5782">
        <w:rPr>
          <w:rFonts w:eastAsia="Times New Roman"/>
          <w:lang w:eastAsia="en-GB"/>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Pr>
          <w:rFonts w:eastAsia="Times New Roman"/>
          <w:lang w:eastAsia="en-GB"/>
        </w:rPr>
        <w:fldChar w:fldCharType="separate"/>
      </w:r>
      <w:r w:rsidR="000D618C">
        <w:rPr>
          <w:rFonts w:eastAsia="Times New Roman"/>
          <w:noProof/>
          <w:lang w:eastAsia="en-GB"/>
        </w:rPr>
        <w:t>[47]</w:t>
      </w:r>
      <w:r>
        <w:rPr>
          <w:rFonts w:eastAsia="Times New Roman"/>
          <w:lang w:eastAsia="en-GB"/>
        </w:rPr>
        <w:fldChar w:fldCharType="end"/>
      </w:r>
      <w:r>
        <w:rPr>
          <w:rFonts w:eastAsia="Times New Roman"/>
          <w:lang w:eastAsia="en-GB"/>
        </w:rPr>
        <w:t xml:space="preserve"> </w:t>
      </w:r>
      <w:r>
        <w:t xml:space="preserve">v.4.05 in R. All values are statistically significant (p &lt; 0.01). </w:t>
      </w:r>
    </w:p>
    <w:tbl>
      <w:tblPr>
        <w:tblStyle w:val="TableGrid"/>
        <w:tblW w:w="8230" w:type="dxa"/>
        <w:tblInd w:w="-5" w:type="dxa"/>
        <w:tblLook w:val="04A0" w:firstRow="1" w:lastRow="0" w:firstColumn="1" w:lastColumn="0" w:noHBand="0" w:noVBand="1"/>
      </w:tblPr>
      <w:tblGrid>
        <w:gridCol w:w="4115"/>
        <w:gridCol w:w="4115"/>
      </w:tblGrid>
      <w:tr w:rsidR="00481F16" w:rsidRPr="009C3545" w14:paraId="0A17774D" w14:textId="77777777" w:rsidTr="0004305B">
        <w:trPr>
          <w:trHeight w:val="304"/>
        </w:trPr>
        <w:tc>
          <w:tcPr>
            <w:tcW w:w="4115" w:type="dxa"/>
            <w:noWrap/>
            <w:hideMark/>
          </w:tcPr>
          <w:p w14:paraId="2424D10A" w14:textId="77777777" w:rsidR="00481F16" w:rsidRPr="009C3545" w:rsidRDefault="00481F16" w:rsidP="0004305B">
            <w:pPr>
              <w:spacing w:line="480" w:lineRule="auto"/>
              <w:rPr>
                <w:rFonts w:ascii="Arial" w:hAnsi="Arial" w:cs="Arial"/>
                <w:b/>
              </w:rPr>
            </w:pPr>
            <w:r w:rsidRPr="009C3545">
              <w:rPr>
                <w:rFonts w:ascii="Arial" w:hAnsi="Arial" w:cs="Arial"/>
                <w:b/>
              </w:rPr>
              <w:t xml:space="preserve">Dataset </w:t>
            </w:r>
          </w:p>
        </w:tc>
        <w:tc>
          <w:tcPr>
            <w:tcW w:w="4115" w:type="dxa"/>
            <w:noWrap/>
            <w:hideMark/>
          </w:tcPr>
          <w:p w14:paraId="33742761" w14:textId="77777777" w:rsidR="00481F16" w:rsidRPr="009C3545" w:rsidRDefault="00481F16" w:rsidP="0004305B">
            <w:pPr>
              <w:spacing w:line="480" w:lineRule="auto"/>
              <w:rPr>
                <w:rFonts w:ascii="Arial" w:hAnsi="Arial" w:cs="Arial"/>
                <w:b/>
              </w:rPr>
            </w:pPr>
            <w:r w:rsidRPr="009C3545">
              <w:rPr>
                <w:rFonts w:ascii="Arial" w:hAnsi="Arial" w:cs="Arial"/>
                <w:b/>
              </w:rPr>
              <w:t xml:space="preserve">Phylogenetic Signal </w:t>
            </w:r>
          </w:p>
        </w:tc>
      </w:tr>
      <w:tr w:rsidR="00481F16" w:rsidRPr="009C3545" w14:paraId="0F7F645A" w14:textId="77777777" w:rsidTr="0004305B">
        <w:trPr>
          <w:trHeight w:val="304"/>
        </w:trPr>
        <w:tc>
          <w:tcPr>
            <w:tcW w:w="4115" w:type="dxa"/>
            <w:noWrap/>
            <w:hideMark/>
          </w:tcPr>
          <w:p w14:paraId="41488E41" w14:textId="77777777" w:rsidR="00481F16" w:rsidRPr="009C3545" w:rsidRDefault="00481F16" w:rsidP="0004305B">
            <w:pPr>
              <w:spacing w:line="480" w:lineRule="auto"/>
              <w:rPr>
                <w:rFonts w:ascii="Arial" w:hAnsi="Arial" w:cs="Arial"/>
              </w:rPr>
            </w:pPr>
            <w:r w:rsidRPr="009C3545">
              <w:rPr>
                <w:rFonts w:ascii="Arial" w:hAnsi="Arial" w:cs="Arial"/>
              </w:rPr>
              <w:t xml:space="preserve">Manual </w:t>
            </w:r>
          </w:p>
        </w:tc>
        <w:tc>
          <w:tcPr>
            <w:tcW w:w="4115" w:type="dxa"/>
            <w:noWrap/>
            <w:hideMark/>
          </w:tcPr>
          <w:p w14:paraId="17861FD1" w14:textId="77777777" w:rsidR="00481F16" w:rsidRPr="009C3545" w:rsidRDefault="00481F16" w:rsidP="0004305B">
            <w:pPr>
              <w:spacing w:line="480" w:lineRule="auto"/>
              <w:rPr>
                <w:rFonts w:ascii="Arial" w:hAnsi="Arial" w:cs="Arial"/>
              </w:rPr>
            </w:pPr>
            <w:r w:rsidRPr="009C3545">
              <w:rPr>
                <w:rFonts w:ascii="Arial" w:hAnsi="Arial" w:cs="Arial"/>
              </w:rPr>
              <w:t>0.494</w:t>
            </w:r>
          </w:p>
        </w:tc>
      </w:tr>
      <w:tr w:rsidR="00481F16" w:rsidRPr="009C3545" w14:paraId="634FF93E" w14:textId="77777777" w:rsidTr="0004305B">
        <w:trPr>
          <w:trHeight w:val="304"/>
        </w:trPr>
        <w:tc>
          <w:tcPr>
            <w:tcW w:w="4115" w:type="dxa"/>
            <w:noWrap/>
            <w:hideMark/>
          </w:tcPr>
          <w:p w14:paraId="253998DA" w14:textId="77777777" w:rsidR="00481F16" w:rsidRPr="009C3545" w:rsidRDefault="00481F16" w:rsidP="0004305B">
            <w:pPr>
              <w:spacing w:line="480" w:lineRule="auto"/>
              <w:rPr>
                <w:rFonts w:ascii="Arial" w:hAnsi="Arial" w:cs="Arial"/>
              </w:rPr>
            </w:pPr>
            <w:r w:rsidRPr="009C3545">
              <w:rPr>
                <w:rFonts w:ascii="Arial" w:hAnsi="Arial" w:cs="Arial"/>
              </w:rPr>
              <w:t>Poisson 40</w:t>
            </w:r>
          </w:p>
        </w:tc>
        <w:tc>
          <w:tcPr>
            <w:tcW w:w="4115" w:type="dxa"/>
            <w:noWrap/>
            <w:hideMark/>
          </w:tcPr>
          <w:p w14:paraId="2DA9B9F7" w14:textId="77777777" w:rsidR="00481F16" w:rsidRPr="009C3545" w:rsidRDefault="00481F16" w:rsidP="0004305B">
            <w:pPr>
              <w:spacing w:line="480" w:lineRule="auto"/>
              <w:rPr>
                <w:rFonts w:ascii="Arial" w:hAnsi="Arial" w:cs="Arial"/>
              </w:rPr>
            </w:pPr>
            <w:r w:rsidRPr="009C3545">
              <w:rPr>
                <w:rFonts w:ascii="Arial" w:hAnsi="Arial" w:cs="Arial"/>
              </w:rPr>
              <w:t>0.477</w:t>
            </w:r>
          </w:p>
        </w:tc>
      </w:tr>
      <w:tr w:rsidR="00481F16" w:rsidRPr="009C3545" w14:paraId="20D3C3EB" w14:textId="77777777" w:rsidTr="0004305B">
        <w:trPr>
          <w:trHeight w:val="304"/>
        </w:trPr>
        <w:tc>
          <w:tcPr>
            <w:tcW w:w="4115" w:type="dxa"/>
            <w:noWrap/>
            <w:hideMark/>
          </w:tcPr>
          <w:p w14:paraId="0E19A86D" w14:textId="77777777" w:rsidR="00481F16" w:rsidRPr="009C3545" w:rsidRDefault="00481F16" w:rsidP="0004305B">
            <w:pPr>
              <w:spacing w:line="480" w:lineRule="auto"/>
              <w:rPr>
                <w:rFonts w:ascii="Arial" w:hAnsi="Arial" w:cs="Arial"/>
              </w:rPr>
            </w:pPr>
            <w:r w:rsidRPr="009C3545">
              <w:rPr>
                <w:rFonts w:ascii="Arial" w:hAnsi="Arial" w:cs="Arial"/>
              </w:rPr>
              <w:t>Poisson 20</w:t>
            </w:r>
          </w:p>
        </w:tc>
        <w:tc>
          <w:tcPr>
            <w:tcW w:w="4115" w:type="dxa"/>
            <w:noWrap/>
            <w:hideMark/>
          </w:tcPr>
          <w:p w14:paraId="095F1C77" w14:textId="77777777" w:rsidR="00481F16" w:rsidRPr="009C3545" w:rsidRDefault="00481F16" w:rsidP="0004305B">
            <w:pPr>
              <w:spacing w:line="480" w:lineRule="auto"/>
              <w:rPr>
                <w:rFonts w:ascii="Arial" w:hAnsi="Arial" w:cs="Arial"/>
              </w:rPr>
            </w:pPr>
            <w:r w:rsidRPr="009C3545">
              <w:rPr>
                <w:rFonts w:ascii="Arial" w:hAnsi="Arial" w:cs="Arial"/>
              </w:rPr>
              <w:t>0.405</w:t>
            </w:r>
          </w:p>
        </w:tc>
      </w:tr>
      <w:tr w:rsidR="00481F16" w:rsidRPr="009C3545" w14:paraId="6A2FC44B" w14:textId="77777777" w:rsidTr="0004305B">
        <w:trPr>
          <w:trHeight w:val="304"/>
        </w:trPr>
        <w:tc>
          <w:tcPr>
            <w:tcW w:w="4115" w:type="dxa"/>
            <w:noWrap/>
            <w:hideMark/>
          </w:tcPr>
          <w:p w14:paraId="770FDB2B" w14:textId="77777777" w:rsidR="00481F16" w:rsidRPr="009C3545" w:rsidRDefault="00481F16" w:rsidP="0004305B">
            <w:pPr>
              <w:spacing w:line="480" w:lineRule="auto"/>
              <w:rPr>
                <w:rFonts w:ascii="Arial" w:hAnsi="Arial" w:cs="Arial"/>
              </w:rPr>
            </w:pPr>
            <w:r w:rsidRPr="009C3545">
              <w:rPr>
                <w:rFonts w:ascii="Arial" w:hAnsi="Arial" w:cs="Arial"/>
              </w:rPr>
              <w:t>Poisson 10</w:t>
            </w:r>
          </w:p>
        </w:tc>
        <w:tc>
          <w:tcPr>
            <w:tcW w:w="4115" w:type="dxa"/>
            <w:noWrap/>
            <w:hideMark/>
          </w:tcPr>
          <w:p w14:paraId="365807CB" w14:textId="77777777" w:rsidR="00481F16" w:rsidRPr="009C3545" w:rsidRDefault="00481F16" w:rsidP="0004305B">
            <w:pPr>
              <w:spacing w:line="480" w:lineRule="auto"/>
              <w:rPr>
                <w:rFonts w:ascii="Arial" w:hAnsi="Arial" w:cs="Arial"/>
              </w:rPr>
            </w:pPr>
            <w:r w:rsidRPr="009C3545">
              <w:rPr>
                <w:rFonts w:ascii="Arial" w:hAnsi="Arial" w:cs="Arial"/>
              </w:rPr>
              <w:t>0.303</w:t>
            </w:r>
          </w:p>
        </w:tc>
      </w:tr>
    </w:tbl>
    <w:p w14:paraId="458A7160" w14:textId="77777777" w:rsidR="00481F16" w:rsidRDefault="00481F16" w:rsidP="00481F16">
      <w:pPr>
        <w:spacing w:line="480" w:lineRule="auto"/>
        <w:rPr>
          <w:b/>
          <w:bCs/>
        </w:rPr>
      </w:pPr>
    </w:p>
    <w:p w14:paraId="6B2C3A94" w14:textId="77777777" w:rsidR="00481F16" w:rsidRDefault="00481F16" w:rsidP="00481F16">
      <w:pPr>
        <w:spacing w:line="480" w:lineRule="auto"/>
        <w:rPr>
          <w:b/>
          <w:bCs/>
        </w:rPr>
      </w:pPr>
      <w:r>
        <w:rPr>
          <w:b/>
          <w:bCs/>
        </w:rPr>
        <w:lastRenderedPageBreak/>
        <w:t xml:space="preserve">Figures </w:t>
      </w:r>
    </w:p>
    <w:p w14:paraId="1AD01D47" w14:textId="77777777" w:rsidR="00481F16" w:rsidRDefault="00481F16" w:rsidP="00481F16">
      <w:pPr>
        <w:spacing w:line="480" w:lineRule="auto"/>
      </w:pPr>
      <w:r>
        <w:rPr>
          <w:b/>
          <w:bCs/>
          <w:noProof/>
          <w:lang w:val="en-US"/>
        </w:rPr>
        <w:drawing>
          <wp:inline distT="0" distB="0" distL="0" distR="0" wp14:anchorId="511829DE" wp14:editId="270B1AB8">
            <wp:extent cx="5113867" cy="2827187"/>
            <wp:effectExtent l="0" t="0" r="0" b="0"/>
            <wp:docPr id="18" name="Picture 18" descr="A close-up of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skull&#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46113" cy="2845014"/>
                    </a:xfrm>
                    <a:prstGeom prst="rect">
                      <a:avLst/>
                    </a:prstGeom>
                  </pic:spPr>
                </pic:pic>
              </a:graphicData>
            </a:graphic>
          </wp:inline>
        </w:drawing>
      </w:r>
    </w:p>
    <w:p w14:paraId="3CFFFAA5" w14:textId="77777777" w:rsidR="00481F16" w:rsidRDefault="00481F16" w:rsidP="00481F16">
      <w:pPr>
        <w:spacing w:line="480" w:lineRule="auto"/>
      </w:pPr>
    </w:p>
    <w:p w14:paraId="433F5B37" w14:textId="1AE867A8" w:rsidR="00481F16" w:rsidRDefault="00481F16" w:rsidP="00481F16">
      <w:pPr>
        <w:spacing w:line="480" w:lineRule="auto"/>
      </w:pPr>
      <w:r>
        <w:rPr>
          <w:b/>
        </w:rPr>
        <w:t xml:space="preserve">Figure 1. </w:t>
      </w:r>
      <w:r>
        <w:t xml:space="preserve">The process of transforming the (a) original mesh used in the “Aligned-only” analysis generated from computed tomography (CT) data into (b) a Poisson mesh requires the filling of holes using voxelisation and the use of a Poisson surface reconstruction algorithm </w:t>
      </w:r>
      <w:r>
        <w:fldChar w:fldCharType="begin"/>
      </w:r>
      <w:r w:rsidR="002F5782">
        <w:instrText xml:space="preserve"> ADDIN EN.CITE &lt;EndNote&gt;&lt;Cite&gt;&lt;Author&gt;Kazhdan&lt;/Author&gt;&lt;Year&gt;2013&lt;/Year&gt;&lt;RecNum&gt;247&lt;/RecNum&gt;&lt;DisplayText&gt;[50]&lt;/DisplayText&gt;&lt;record&gt;&lt;rec-number&gt;247&lt;/rec-number&gt;&lt;foreign-keys&gt;&lt;key app="EN" db-id="stvxpdr5yrpspzes0zppeddup9p2da2vrpv9" timestamp="0"&gt;247&lt;/key&gt;&lt;/foreign-keys&gt;&lt;ref-type name="Journal Article"&gt;17&lt;/ref-type&gt;&lt;contributors&gt;&lt;authors&gt;&lt;author&gt;Kazhdan, Michael&lt;/author&gt;&lt;author&gt;Hoppe, Hugues&lt;/author&gt;&lt;/authors&gt;&lt;/contributors&gt;&lt;titles&gt;&lt;title&gt;Screened poisson surface reconstruction&lt;/title&gt;&lt;secondary-title&gt;ACM Transactions on Graphics (ToG)&lt;/secondary-title&gt;&lt;/titles&gt;&lt;pages&gt;1-13&lt;/pages&gt;&lt;volume&gt;32&lt;/volume&gt;&lt;number&gt;3&lt;/number&gt;&lt;dates&gt;&lt;year&gt;2013&lt;/year&gt;&lt;/dates&gt;&lt;isbn&gt;0730-0301&lt;/isbn&gt;&lt;urls&gt;&lt;/urls&gt;&lt;electronic-resource-num&gt;https://doi.org/10.1145/2487228.2487237&lt;/electronic-resource-num&gt;&lt;/record&gt;&lt;/Cite&gt;&lt;/EndNote&gt;</w:instrText>
      </w:r>
      <w:r>
        <w:fldChar w:fldCharType="separate"/>
      </w:r>
      <w:r w:rsidR="000D618C">
        <w:rPr>
          <w:noProof/>
        </w:rPr>
        <w:t>[50]</w:t>
      </w:r>
      <w:r>
        <w:fldChar w:fldCharType="end"/>
      </w:r>
      <w:r>
        <w:t xml:space="preserve"> to generate watertight surfaces from orientated point sets. This allows to fill in the holes and evenly redistribute the faces and the vertices of the mesh prior to decimation. The effect here is demonstrated for the example of </w:t>
      </w:r>
      <w:r>
        <w:rPr>
          <w:i/>
        </w:rPr>
        <w:t>Acinonyx jubatus</w:t>
      </w:r>
      <w:r>
        <w:t xml:space="preserve">. </w:t>
      </w:r>
    </w:p>
    <w:p w14:paraId="709B2D8F" w14:textId="77777777" w:rsidR="00481F16" w:rsidRDefault="00481F16" w:rsidP="00481F16">
      <w:pPr>
        <w:spacing w:line="480" w:lineRule="auto"/>
      </w:pPr>
      <w:r>
        <w:rPr>
          <w:rFonts w:eastAsia="Calibri"/>
          <w:noProof/>
          <w:lang w:val="en-US"/>
        </w:rPr>
        <w:lastRenderedPageBreak/>
        <w:drawing>
          <wp:inline distT="0" distB="0" distL="0" distR="0" wp14:anchorId="700CBBFD" wp14:editId="0ABDFA03">
            <wp:extent cx="5063778" cy="4785542"/>
            <wp:effectExtent l="0" t="0" r="3810" b="0"/>
            <wp:docPr id="942138671" name="Picture 1" descr="A collage of images of sku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8671" name="Picture 1" descr="A collage of images of skull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74021" cy="4795222"/>
                    </a:xfrm>
                    <a:prstGeom prst="rect">
                      <a:avLst/>
                    </a:prstGeom>
                    <a:noFill/>
                    <a:ln>
                      <a:noFill/>
                    </a:ln>
                  </pic:spPr>
                </pic:pic>
              </a:graphicData>
            </a:graphic>
          </wp:inline>
        </w:drawing>
      </w:r>
    </w:p>
    <w:p w14:paraId="0C2FCC53" w14:textId="77777777" w:rsidR="00481F16" w:rsidRDefault="00481F16" w:rsidP="00481F16">
      <w:pPr>
        <w:spacing w:line="480" w:lineRule="auto"/>
      </w:pPr>
      <w:r>
        <w:rPr>
          <w:b/>
          <w:bCs/>
        </w:rPr>
        <w:t xml:space="preserve">Figure 2. </w:t>
      </w:r>
      <w:r>
        <w:t xml:space="preserve">Comparative assessment of morphometric methods applied to the 3D mesh of the atlas specimen </w:t>
      </w:r>
      <w:r>
        <w:rPr>
          <w:rStyle w:val="Emphasis"/>
        </w:rPr>
        <w:t>Arctictis binturong</w:t>
      </w:r>
      <w:r>
        <w:t xml:space="preserve"> (MNHN 1936-1529). The figure contrasts (a) a manual landmarking approach using 754 landmarks and sliding semilandmarks with mapped control points through Deterministic Atlas Analysis (DAA) under different kernel widths: (b) 40.0 mm, generating 45 control points; (c) 20.0 mm, producing 270 control points; and (d) 10.0 mm, resulting in 1,782 control points.</w:t>
      </w:r>
    </w:p>
    <w:p w14:paraId="20BE4BEB" w14:textId="2A5A1B3F" w:rsidR="00481F16" w:rsidRPr="004F1794" w:rsidRDefault="0016658D" w:rsidP="00481F16">
      <w:pPr>
        <w:spacing w:line="480" w:lineRule="auto"/>
        <w:rPr>
          <w:b/>
          <w:bCs/>
        </w:rPr>
      </w:pPr>
      <w:r>
        <w:rPr>
          <w:b/>
          <w:bCs/>
        </w:rPr>
        <w:lastRenderedPageBreak/>
        <w:t xml:space="preserve">      </w:t>
      </w:r>
      <w:r w:rsidR="00481F16">
        <w:rPr>
          <w:b/>
          <w:bCs/>
          <w:noProof/>
          <w:lang w:val="en-US"/>
          <w14:ligatures w14:val="standardContextual"/>
        </w:rPr>
        <w:drawing>
          <wp:inline distT="0" distB="0" distL="0" distR="0" wp14:anchorId="6E8E13F9" wp14:editId="5BA11F02">
            <wp:extent cx="4852072" cy="6129867"/>
            <wp:effectExtent l="0" t="0" r="5715" b="4445"/>
            <wp:docPr id="921370768"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70768" name="Picture 2" descr="A screenshot of a computer screen&#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860748" cy="6140828"/>
                    </a:xfrm>
                    <a:prstGeom prst="rect">
                      <a:avLst/>
                    </a:prstGeom>
                  </pic:spPr>
                </pic:pic>
              </a:graphicData>
            </a:graphic>
          </wp:inline>
        </w:drawing>
      </w:r>
    </w:p>
    <w:p w14:paraId="3F733FF3" w14:textId="77777777" w:rsidR="00481F16" w:rsidRDefault="00481F16" w:rsidP="00481F16">
      <w:pPr>
        <w:spacing w:line="480" w:lineRule="auto"/>
      </w:pPr>
      <w:r>
        <w:rPr>
          <w:b/>
        </w:rPr>
        <w:t xml:space="preserve">Figure 3. </w:t>
      </w:r>
      <w:r>
        <w:t>Principal component plots (PC) for PC1 and PC2 obtained for the shape analysis using the “Poisson” meshes, comparing the results between (a) manual landmarking with 754 landmarks and sliding semilandmarks and the DAA method using kernel widths of (b) 40.0 mm, yielding 45 control points, (c) 20.0 mm, yielding 270 control points, and (d) 10.0 mm, yielding 1,782 control points.</w:t>
      </w:r>
    </w:p>
    <w:p w14:paraId="4369355A" w14:textId="77777777" w:rsidR="00481F16" w:rsidRPr="0024791D" w:rsidRDefault="00481F16" w:rsidP="00481F16">
      <w:pPr>
        <w:spacing w:line="480" w:lineRule="auto"/>
      </w:pPr>
      <w:r>
        <w:rPr>
          <w:b/>
          <w:noProof/>
          <w:lang w:val="en-US"/>
        </w:rPr>
        <w:lastRenderedPageBreak/>
        <w:drawing>
          <wp:inline distT="0" distB="0" distL="0" distR="0" wp14:anchorId="4F2F6AC4" wp14:editId="691FAF47">
            <wp:extent cx="5731510" cy="4048125"/>
            <wp:effectExtent l="0" t="0" r="2540" b="9525"/>
            <wp:docPr id="1" name="Picture 1" descr="A group of image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images of a graph&#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3630A300" w14:textId="77777777" w:rsidR="00481F16" w:rsidRDefault="00481F16" w:rsidP="00481F16">
      <w:pPr>
        <w:tabs>
          <w:tab w:val="left" w:pos="1325"/>
        </w:tabs>
        <w:spacing w:line="480" w:lineRule="auto"/>
      </w:pPr>
      <w:r w:rsidRPr="00554FCF">
        <w:rPr>
          <w:b/>
        </w:rPr>
        <w:t xml:space="preserve">Figure </w:t>
      </w:r>
      <w:r>
        <w:rPr>
          <w:b/>
        </w:rPr>
        <w:t>4</w:t>
      </w:r>
      <w:r w:rsidRPr="00554FCF">
        <w:rPr>
          <w:b/>
        </w:rPr>
        <w:t xml:space="preserve">. </w:t>
      </w:r>
      <w:r>
        <w:t xml:space="preserve">Pairwise Euclidean distance comparisons between each specimen and the atlas, </w:t>
      </w:r>
      <w:r w:rsidRPr="00825F57">
        <w:rPr>
          <w:i/>
        </w:rPr>
        <w:t>Arctictis binturong</w:t>
      </w:r>
      <w:r>
        <w:t xml:space="preserve"> (MNHN 1936-1529) measured across 321 axes. Distances are shown for the manual landmark data and “Aligned-only” meshes using Deterministic Atlas Analysis (DAA) with </w:t>
      </w:r>
      <w:r w:rsidRPr="00825F57">
        <w:t xml:space="preserve">a kernel width of </w:t>
      </w:r>
      <w:r>
        <w:t xml:space="preserve">(a) </w:t>
      </w:r>
      <w:r w:rsidRPr="00825F57">
        <w:t>40</w:t>
      </w:r>
      <w:r>
        <w:t>.0</w:t>
      </w:r>
      <w:r w:rsidRPr="00825F57">
        <w:t xml:space="preserve"> mm </w:t>
      </w:r>
      <w:r>
        <w:t>producing</w:t>
      </w:r>
      <w:r w:rsidRPr="00825F57">
        <w:t xml:space="preserve"> 45 control points, (b) a kernel width of 20</w:t>
      </w:r>
      <w:r>
        <w:t>.0</w:t>
      </w:r>
      <w:r w:rsidRPr="00825F57">
        <w:t xml:space="preserve"> mm </w:t>
      </w:r>
      <w:r>
        <w:t xml:space="preserve">producing </w:t>
      </w:r>
      <w:r w:rsidRPr="00825F57">
        <w:t>270 control points, and (c) a kernel width of 10</w:t>
      </w:r>
      <w:r>
        <w:t>.0</w:t>
      </w:r>
      <w:r w:rsidRPr="00825F57">
        <w:t xml:space="preserve"> mm </w:t>
      </w:r>
      <w:r>
        <w:t>producing</w:t>
      </w:r>
      <w:r w:rsidRPr="00825F57">
        <w:t xml:space="preserve"> 1,782 control points. Similarly, distances for Poisson meshes are displayed for (d) a kernel width of 40</w:t>
      </w:r>
      <w:r>
        <w:t>.0</w:t>
      </w:r>
      <w:r w:rsidRPr="00825F57">
        <w:t xml:space="preserve"> mm </w:t>
      </w:r>
      <w:r>
        <w:t>producing</w:t>
      </w:r>
      <w:r w:rsidRPr="00825F57">
        <w:t xml:space="preserve"> 45 control points, (e) a kernel width of 20</w:t>
      </w:r>
      <w:r>
        <w:t>.0</w:t>
      </w:r>
      <w:r w:rsidRPr="00825F57">
        <w:t xml:space="preserve"> mm </w:t>
      </w:r>
      <w:r>
        <w:t>producing</w:t>
      </w:r>
      <w:r w:rsidRPr="00825F57">
        <w:t xml:space="preserve"> 270 control points, and (f) a kernel width of 10</w:t>
      </w:r>
      <w:r>
        <w:t>.0</w:t>
      </w:r>
      <w:r w:rsidRPr="00825F57">
        <w:t xml:space="preserve"> mm </w:t>
      </w:r>
      <w:r>
        <w:t>producing</w:t>
      </w:r>
      <w:r w:rsidRPr="00825F57">
        <w:t xml:space="preserve"> 1,782 control points. The red line represents</w:t>
      </w:r>
      <w:r>
        <w:t xml:space="preserve"> the correlation between values with a 95% confidence interval. All correlations were significant (p &lt; 0.01). </w:t>
      </w:r>
    </w:p>
    <w:p w14:paraId="02EA00A9" w14:textId="780AAFD6" w:rsidR="00481F16" w:rsidRPr="00825F57" w:rsidRDefault="002D295C" w:rsidP="00481F16">
      <w:pPr>
        <w:tabs>
          <w:tab w:val="left" w:pos="1325"/>
        </w:tabs>
        <w:spacing w:line="480" w:lineRule="auto"/>
      </w:pPr>
      <w:r>
        <w:lastRenderedPageBreak/>
        <w:t xml:space="preserve">           </w:t>
      </w:r>
      <w:r w:rsidR="00481F16">
        <w:rPr>
          <w:noProof/>
          <w:lang w:val="en-US"/>
          <w14:ligatures w14:val="standardContextual"/>
        </w:rPr>
        <w:drawing>
          <wp:inline distT="0" distB="0" distL="0" distR="0" wp14:anchorId="7F941AF8" wp14:editId="6FDB96AD">
            <wp:extent cx="4644390" cy="4356753"/>
            <wp:effectExtent l="0" t="0" r="3810" b="5715"/>
            <wp:docPr id="1244161632" name="Picture 3" descr="A collage of images of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61632" name="Picture 3" descr="A collage of images of a skull&#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54187" cy="4365943"/>
                    </a:xfrm>
                    <a:prstGeom prst="rect">
                      <a:avLst/>
                    </a:prstGeom>
                  </pic:spPr>
                </pic:pic>
              </a:graphicData>
            </a:graphic>
          </wp:inline>
        </w:drawing>
      </w:r>
    </w:p>
    <w:p w14:paraId="6627F5B6" w14:textId="4EB28D20" w:rsidR="00481F16" w:rsidRDefault="00481F16" w:rsidP="00481F16">
      <w:pPr>
        <w:spacing w:line="480" w:lineRule="auto"/>
      </w:pPr>
      <w:r w:rsidRPr="6A70A507">
        <w:rPr>
          <w:b/>
          <w:bCs/>
        </w:rPr>
        <w:t xml:space="preserve">Figure </w:t>
      </w:r>
      <w:r>
        <w:rPr>
          <w:b/>
          <w:bCs/>
        </w:rPr>
        <w:t>5</w:t>
      </w:r>
      <w:r w:rsidRPr="6A70A507">
        <w:rPr>
          <w:b/>
          <w:bCs/>
        </w:rPr>
        <w:t xml:space="preserve">. </w:t>
      </w:r>
      <w:r>
        <w:t xml:space="preserve">Displacement heatmaps for the specimen, </w:t>
      </w:r>
      <w:r w:rsidRPr="6A70A507">
        <w:rPr>
          <w:rStyle w:val="Emphasis"/>
        </w:rPr>
        <w:t>Cacajao calvus</w:t>
      </w:r>
      <w:r>
        <w:t xml:space="preserve"> (NHMUK ZD 1928.4.27.6) generated by comparing its shape with the estimated mean shape of the 322 specimens across each analysis using Euclidean distances measured the using the </w:t>
      </w:r>
      <w:r w:rsidRPr="6A70A507">
        <w:rPr>
          <w:i/>
          <w:iCs/>
        </w:rPr>
        <w:t xml:space="preserve">meshDist </w:t>
      </w:r>
      <w:r>
        <w:t xml:space="preserve">function in Morpho </w:t>
      </w:r>
      <w:r>
        <w:fldChar w:fldCharType="begin"/>
      </w:r>
      <w:r w:rsidR="002F5782">
        <w:instrText xml:space="preserve"> ADDIN EN.CITE &lt;EndNote&gt;&lt;Cite&gt;&lt;Author&gt;Schlager&lt;/Author&gt;&lt;Year&gt;2017&lt;/Year&gt;&lt;RecNum&gt;217&lt;/RecNum&gt;&lt;DisplayText&gt;[46]&lt;/DisplayText&gt;&lt;record&gt;&lt;rec-number&gt;217&lt;/rec-number&gt;&lt;foreign-keys&gt;&lt;key app="EN" db-id="stvxpdr5yrpspzes0zppeddup9p2da2vrpv9" timestamp="0"&gt;217&lt;/key&gt;&lt;/foreign-keys&gt;&lt;ref-type name="Book Section"&gt;5&lt;/ref-type&gt;&lt;contributors&gt;&lt;authors&gt;&lt;author&gt;Schlager, Stefan&lt;/author&gt;&lt;/authors&gt;&lt;/contributors&gt;&lt;titles&gt;&lt;title&gt;Morpho and Rvcg–Shape Analysis in R: R-Packages for geometric morphometrics, shape analysis and surface manipulations&lt;/title&gt;&lt;secondary-title&gt;Statistical shape and deformation analysis&lt;/secondary-title&gt;&lt;/titles&gt;&lt;pages&gt;217-256&lt;/pages&gt;&lt;dates&gt;&lt;year&gt;2017&lt;/year&gt;&lt;/dates&gt;&lt;publisher&gt;Elsevier&lt;/publisher&gt;&lt;urls&gt;&lt;/urls&gt;&lt;electronic-resource-num&gt;https://doi.org/10.1016/B978-0-12-810493-4.00011-0&lt;/electronic-resource-num&gt;&lt;/record&gt;&lt;/Cite&gt;&lt;/EndNote&gt;</w:instrText>
      </w:r>
      <w:r>
        <w:fldChar w:fldCharType="separate"/>
      </w:r>
      <w:r w:rsidR="000D618C">
        <w:rPr>
          <w:noProof/>
        </w:rPr>
        <w:t>[46]</w:t>
      </w:r>
      <w:r>
        <w:fldChar w:fldCharType="end"/>
      </w:r>
      <w:r>
        <w:t xml:space="preserve"> v.2.12. Comparisons are shown for distances of the vertices in the </w:t>
      </w:r>
      <w:r>
        <w:rPr>
          <w:i/>
          <w:iCs/>
        </w:rPr>
        <w:t xml:space="preserve">C. calvus </w:t>
      </w:r>
      <w:r>
        <w:t>mesh and mean shape estimated in (a) the manual landmarking scheme with 754 landmarks and sliding semilandmarks, and for the geodesic mean shape estimated in the Deterministic Atlas Analysis (DAA) with (b) a kernel width of 40.0 mm producing 45 control points, (c) a kernel width of 20.0 mm producing 270 control points, and (d) a kernel width of 10.0 mm producing 1,782 control points. The heatmaps demonstrate the differences in where shape variation is captured for both methods.</w:t>
      </w:r>
    </w:p>
    <w:p w14:paraId="260A284E" w14:textId="77777777" w:rsidR="00481F16" w:rsidRDefault="00481F16" w:rsidP="00481F16">
      <w:pPr>
        <w:spacing w:line="480" w:lineRule="auto"/>
        <w:rPr>
          <w:noProof/>
          <w:lang w:val="en-US"/>
        </w:rPr>
      </w:pPr>
    </w:p>
    <w:p w14:paraId="6EB8F301" w14:textId="77777777" w:rsidR="00481F16" w:rsidRDefault="00481F16" w:rsidP="00481F16">
      <w:pPr>
        <w:spacing w:line="480" w:lineRule="auto"/>
      </w:pPr>
      <w:r>
        <w:rPr>
          <w:noProof/>
          <w:lang w:val="en-US"/>
          <w14:ligatures w14:val="standardContextual"/>
        </w:rPr>
        <w:lastRenderedPageBreak/>
        <w:drawing>
          <wp:inline distT="0" distB="0" distL="0" distR="0" wp14:anchorId="56304AFB" wp14:editId="28EF63C7">
            <wp:extent cx="5663237" cy="4361935"/>
            <wp:effectExtent l="0" t="0" r="0" b="635"/>
            <wp:docPr id="314915497"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5497" name="Picture 3" descr="A screenshot of a computer screen&#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70039" cy="4367174"/>
                    </a:xfrm>
                    <a:prstGeom prst="rect">
                      <a:avLst/>
                    </a:prstGeom>
                  </pic:spPr>
                </pic:pic>
              </a:graphicData>
            </a:graphic>
          </wp:inline>
        </w:drawing>
      </w:r>
    </w:p>
    <w:p w14:paraId="484F4FD2" w14:textId="16A3CADF" w:rsidR="00481F16" w:rsidRPr="00960266" w:rsidRDefault="00481F16" w:rsidP="00481F16">
      <w:pPr>
        <w:spacing w:line="480" w:lineRule="auto"/>
      </w:pPr>
      <w:r w:rsidRPr="00645CCA">
        <w:rPr>
          <w:b/>
        </w:rPr>
        <w:t xml:space="preserve">Figure </w:t>
      </w:r>
      <w:r>
        <w:rPr>
          <w:b/>
        </w:rPr>
        <w:t>6</w:t>
      </w:r>
      <w:r w:rsidRPr="00645CCA">
        <w:rPr>
          <w:b/>
        </w:rPr>
        <w:t xml:space="preserve">. </w:t>
      </w:r>
      <w:r>
        <w:t xml:space="preserve">Comparisons of estimates on a logarithmic scale for (a, c) morphological disparity and (b, d) net rates of shape evolution based on (a, b) dietary categories and (c, d) locomotion modes, between the manual landmarking data containing 754 landmarks and sliding semilandmarks and Deterministic Atlas Analysis (DAA) with kernel widths of 40.0 mm producing 45 control points, 20.0 mm producing 270 control points, and 10.0 mm producing 1,782 control points, calculated using the </w:t>
      </w:r>
      <w:r>
        <w:rPr>
          <w:rFonts w:eastAsia="Times New Roman"/>
          <w:i/>
          <w:lang w:eastAsia="en-GB"/>
        </w:rPr>
        <w:t xml:space="preserve">morphol.disparity </w:t>
      </w:r>
      <w:r>
        <w:rPr>
          <w:rFonts w:eastAsia="Times New Roman"/>
          <w:lang w:eastAsia="en-GB"/>
        </w:rPr>
        <w:t xml:space="preserve">and </w:t>
      </w:r>
      <w:r>
        <w:rPr>
          <w:rFonts w:eastAsia="Times New Roman"/>
          <w:i/>
          <w:lang w:eastAsia="en-GB"/>
        </w:rPr>
        <w:t xml:space="preserve">compare.evol.rates </w:t>
      </w:r>
      <w:r>
        <w:rPr>
          <w:rFonts w:eastAsia="Times New Roman"/>
          <w:lang w:eastAsia="en-GB"/>
        </w:rPr>
        <w:t xml:space="preserve">functions in </w:t>
      </w:r>
      <w:r>
        <w:t xml:space="preserve">geomorph </w:t>
      </w:r>
      <w:r>
        <w:rPr>
          <w:rFonts w:eastAsia="Times New Roman"/>
          <w:lang w:eastAsia="en-GB"/>
        </w:rPr>
        <w:fldChar w:fldCharType="begin"/>
      </w:r>
      <w:r w:rsidR="002F5782">
        <w:rPr>
          <w:rFonts w:eastAsia="Times New Roman"/>
          <w:lang w:eastAsia="en-GB"/>
        </w:rPr>
        <w:instrText xml:space="preserve"> ADDIN EN.CITE &lt;EndNote&gt;&lt;Cite&gt;&lt;Author&gt;Adams&lt;/Author&gt;&lt;Year&gt;2013&lt;/Year&gt;&lt;RecNum&gt;218&lt;/RecNum&gt;&lt;DisplayText&gt;[47]&lt;/DisplayText&gt;&lt;record&gt;&lt;rec-number&gt;218&lt;/rec-number&gt;&lt;foreign-keys&gt;&lt;key app="EN" db-id="stvxpdr5yrpspzes0zppeddup9p2da2vrpv9" timestamp="0"&gt;218&lt;/key&gt;&lt;/foreign-keys&gt;&lt;ref-type name="Journal Article"&gt;17&lt;/ref-type&gt;&lt;contributors&gt;&lt;authors&gt;&lt;author&gt;Adams, Dean C&lt;/author&gt;&lt;author&gt;Otárola</w:instrText>
      </w:r>
      <w:r w:rsidR="002F5782">
        <w:rPr>
          <w:rFonts w:ascii="Cambria Math" w:eastAsia="Times New Roman" w:hAnsi="Cambria Math" w:cs="Cambria Math"/>
          <w:lang w:eastAsia="en-GB"/>
        </w:rPr>
        <w:instrText>‐</w:instrText>
      </w:r>
      <w:r w:rsidR="002F5782">
        <w:rPr>
          <w:rFonts w:eastAsia="Times New Roman"/>
          <w:lang w:eastAsia="en-GB"/>
        </w:rPr>
        <w:instrText>Castillo, Erik&lt;/author&gt;&lt;/authors&gt;&lt;/contributors&gt;&lt;titles&gt;&lt;title&gt;geomorph: an R package for the collection and analysis of geometric morphometric shape data&lt;/title&gt;&lt;secondary-title&gt;Methods in ecology and evolution&lt;/secondary-title&gt;&lt;/titles&gt;&lt;periodical&gt;&lt;full-title&gt;Methods in Ecology and Evolution&lt;/full-title&gt;&lt;/periodical&gt;&lt;pages&gt;393-399&lt;/pages&gt;&lt;volume&gt;4&lt;/volume&gt;&lt;number&gt;4&lt;/number&gt;&lt;dates&gt;&lt;year&gt;2013&lt;/year&gt;&lt;/dates&gt;&lt;isbn&gt;2041-210X&lt;/isbn&gt;&lt;urls&gt;&lt;/urls&gt;&lt;electronic-resource-num&gt;https://doi.org/10.1111/2041-210X.12035&lt;/electronic-resource-num&gt;&lt;/record&gt;&lt;/Cite&gt;&lt;/EndNote&gt;</w:instrText>
      </w:r>
      <w:r>
        <w:rPr>
          <w:rFonts w:eastAsia="Times New Roman"/>
          <w:lang w:eastAsia="en-GB"/>
        </w:rPr>
        <w:fldChar w:fldCharType="separate"/>
      </w:r>
      <w:r w:rsidR="000D618C">
        <w:rPr>
          <w:rFonts w:eastAsia="Times New Roman"/>
          <w:noProof/>
          <w:lang w:eastAsia="en-GB"/>
        </w:rPr>
        <w:t>[47]</w:t>
      </w:r>
      <w:r>
        <w:rPr>
          <w:rFonts w:eastAsia="Times New Roman"/>
          <w:lang w:eastAsia="en-GB"/>
        </w:rPr>
        <w:fldChar w:fldCharType="end"/>
      </w:r>
      <w:r>
        <w:rPr>
          <w:rFonts w:eastAsia="Times New Roman"/>
          <w:lang w:eastAsia="en-GB"/>
        </w:rPr>
        <w:t xml:space="preserve"> </w:t>
      </w:r>
      <w:r>
        <w:t xml:space="preserve">v.4.05. Each line represents the line of best fit with 95% confidence intervals. </w:t>
      </w:r>
    </w:p>
    <w:p w14:paraId="25B5F8D7" w14:textId="77777777" w:rsidR="00481F16" w:rsidRDefault="00481F16" w:rsidP="00481F16">
      <w:pPr>
        <w:spacing w:line="480" w:lineRule="auto"/>
        <w:rPr>
          <w:b/>
          <w:bCs/>
          <w:u w:val="single"/>
        </w:rPr>
      </w:pPr>
    </w:p>
    <w:p w14:paraId="4F6C7803" w14:textId="58571F22" w:rsidR="00481F16" w:rsidRPr="00B41EA5" w:rsidRDefault="00481F16" w:rsidP="007F5FF3">
      <w:pPr>
        <w:spacing w:line="480" w:lineRule="auto"/>
        <w:rPr>
          <w:b/>
          <w:bCs/>
        </w:rPr>
      </w:pPr>
    </w:p>
    <w:sectPr w:rsidR="00481F16" w:rsidRPr="00B41EA5" w:rsidSect="000A67C8">
      <w:footerReference w:type="default" r:id="rId8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4E8D7" w14:textId="77777777" w:rsidR="00BD7858" w:rsidRDefault="00BD7858" w:rsidP="000A67C8">
      <w:pPr>
        <w:spacing w:after="0" w:line="240" w:lineRule="auto"/>
      </w:pPr>
      <w:r>
        <w:separator/>
      </w:r>
    </w:p>
  </w:endnote>
  <w:endnote w:type="continuationSeparator" w:id="0">
    <w:p w14:paraId="79D96FA5" w14:textId="77777777" w:rsidR="00BD7858" w:rsidRDefault="00BD7858" w:rsidP="000A6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026412"/>
      <w:docPartObj>
        <w:docPartGallery w:val="Page Numbers (Bottom of Page)"/>
        <w:docPartUnique/>
      </w:docPartObj>
    </w:sdtPr>
    <w:sdtEndPr>
      <w:rPr>
        <w:noProof/>
      </w:rPr>
    </w:sdtEndPr>
    <w:sdtContent>
      <w:p w14:paraId="384BBFE8" w14:textId="4A0A4680" w:rsidR="009305AB" w:rsidRDefault="009305AB">
        <w:pPr>
          <w:pStyle w:val="Footer"/>
          <w:jc w:val="center"/>
        </w:pPr>
        <w:r>
          <w:fldChar w:fldCharType="begin"/>
        </w:r>
        <w:r>
          <w:instrText xml:space="preserve"> PAGE   \* MERGEFORMAT </w:instrText>
        </w:r>
        <w:r>
          <w:fldChar w:fldCharType="separate"/>
        </w:r>
        <w:r w:rsidR="006A49FA">
          <w:rPr>
            <w:noProof/>
          </w:rPr>
          <w:t>38</w:t>
        </w:r>
        <w:r>
          <w:rPr>
            <w:noProof/>
          </w:rPr>
          <w:fldChar w:fldCharType="end"/>
        </w:r>
      </w:p>
    </w:sdtContent>
  </w:sdt>
  <w:p w14:paraId="12B90D02" w14:textId="77777777" w:rsidR="009305AB" w:rsidRDefault="0093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70720" w14:textId="77777777" w:rsidR="00BD7858" w:rsidRDefault="00BD7858" w:rsidP="000A67C8">
      <w:pPr>
        <w:spacing w:after="0" w:line="240" w:lineRule="auto"/>
      </w:pPr>
      <w:r>
        <w:separator/>
      </w:r>
    </w:p>
  </w:footnote>
  <w:footnote w:type="continuationSeparator" w:id="0">
    <w:p w14:paraId="49F6BDB3" w14:textId="77777777" w:rsidR="00BD7858" w:rsidRDefault="00BD7858" w:rsidP="000A67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xsbQwMzI0tzAwMzBV0lEKTi0uzszPAykwNK8FALus5EYtAAAA"/>
    <w:docVar w:name="EN.InstantFormat" w:val="&lt;ENInstantFormat&gt;&lt;Enabled&gt;1&lt;/Enabled&gt;&lt;ScanUnformatted&gt;1&lt;/ScanUnformatted&gt;&lt;ScanChanges&gt;1&lt;/ScanChanges&gt;&lt;Suspended&gt;0&lt;/Suspended&gt;&lt;/ENInstantFormat&gt;"/>
    <w:docVar w:name="EN.Layout" w:val="&lt;ENLayout&gt;&lt;Style&gt;BMC Ecology 2&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vxpdr5yrpspzes0zppeddup9p2da2vrpv9&quot;&gt;How do species emerge-Literature Review Biblo New Dec&lt;record-ids&gt;&lt;item&gt;4&lt;/item&gt;&lt;item&gt;23&lt;/item&gt;&lt;item&gt;51&lt;/item&gt;&lt;item&gt;91&lt;/item&gt;&lt;item&gt;93&lt;/item&gt;&lt;item&gt;106&lt;/item&gt;&lt;item&gt;108&lt;/item&gt;&lt;item&gt;115&lt;/item&gt;&lt;item&gt;116&lt;/item&gt;&lt;item&gt;129&lt;/item&gt;&lt;item&gt;132&lt;/item&gt;&lt;item&gt;169&lt;/item&gt;&lt;item&gt;171&lt;/item&gt;&lt;item&gt;172&lt;/item&gt;&lt;item&gt;173&lt;/item&gt;&lt;item&gt;183&lt;/item&gt;&lt;item&gt;192&lt;/item&gt;&lt;item&gt;197&lt;/item&gt;&lt;item&gt;217&lt;/item&gt;&lt;item&gt;218&lt;/item&gt;&lt;item&gt;221&lt;/item&gt;&lt;item&gt;222&lt;/item&gt;&lt;item&gt;223&lt;/item&gt;&lt;item&gt;224&lt;/item&gt;&lt;item&gt;225&lt;/item&gt;&lt;item&gt;227&lt;/item&gt;&lt;item&gt;228&lt;/item&gt;&lt;item&gt;231&lt;/item&gt;&lt;item&gt;233&lt;/item&gt;&lt;item&gt;235&lt;/item&gt;&lt;item&gt;236&lt;/item&gt;&lt;item&gt;237&lt;/item&gt;&lt;item&gt;238&lt;/item&gt;&lt;item&gt;239&lt;/item&gt;&lt;item&gt;240&lt;/item&gt;&lt;item&gt;241&lt;/item&gt;&lt;item&gt;243&lt;/item&gt;&lt;item&gt;245&lt;/item&gt;&lt;item&gt;246&lt;/item&gt;&lt;item&gt;247&lt;/item&gt;&lt;item&gt;248&lt;/item&gt;&lt;item&gt;249&lt;/item&gt;&lt;item&gt;251&lt;/item&gt;&lt;item&gt;253&lt;/item&gt;&lt;item&gt;269&lt;/item&gt;&lt;item&gt;302&lt;/item&gt;&lt;item&gt;303&lt;/item&gt;&lt;item&gt;304&lt;/item&gt;&lt;item&gt;305&lt;/item&gt;&lt;item&gt;307&lt;/item&gt;&lt;item&gt;308&lt;/item&gt;&lt;item&gt;309&lt;/item&gt;&lt;item&gt;310&lt;/item&gt;&lt;item&gt;311&lt;/item&gt;&lt;item&gt;312&lt;/item&gt;&lt;item&gt;313&lt;/item&gt;&lt;item&gt;314&lt;/item&gt;&lt;item&gt;315&lt;/item&gt;&lt;item&gt;316&lt;/item&gt;&lt;item&gt;318&lt;/item&gt;&lt;item&gt;334&lt;/item&gt;&lt;item&gt;344&lt;/item&gt;&lt;/record-ids&gt;&lt;/item&gt;&lt;/Libraries&gt;"/>
  </w:docVars>
  <w:rsids>
    <w:rsidRoot w:val="00C27971"/>
    <w:rsid w:val="000002ED"/>
    <w:rsid w:val="000003FD"/>
    <w:rsid w:val="00000564"/>
    <w:rsid w:val="000011FA"/>
    <w:rsid w:val="00002F19"/>
    <w:rsid w:val="000049F2"/>
    <w:rsid w:val="00004C03"/>
    <w:rsid w:val="00007122"/>
    <w:rsid w:val="0000784D"/>
    <w:rsid w:val="00007DA8"/>
    <w:rsid w:val="00010364"/>
    <w:rsid w:val="00010EA9"/>
    <w:rsid w:val="000118CF"/>
    <w:rsid w:val="00014B4F"/>
    <w:rsid w:val="00016B1B"/>
    <w:rsid w:val="00016E5B"/>
    <w:rsid w:val="00017655"/>
    <w:rsid w:val="00021B8C"/>
    <w:rsid w:val="0002219A"/>
    <w:rsid w:val="00023F92"/>
    <w:rsid w:val="00024C11"/>
    <w:rsid w:val="00027856"/>
    <w:rsid w:val="00032664"/>
    <w:rsid w:val="00032F98"/>
    <w:rsid w:val="000340AC"/>
    <w:rsid w:val="0003700C"/>
    <w:rsid w:val="00037845"/>
    <w:rsid w:val="00037C0D"/>
    <w:rsid w:val="00041276"/>
    <w:rsid w:val="00042657"/>
    <w:rsid w:val="00042736"/>
    <w:rsid w:val="00042A9B"/>
    <w:rsid w:val="0004305B"/>
    <w:rsid w:val="000431DF"/>
    <w:rsid w:val="000459D6"/>
    <w:rsid w:val="00053873"/>
    <w:rsid w:val="00054FB9"/>
    <w:rsid w:val="00056D09"/>
    <w:rsid w:val="0006228B"/>
    <w:rsid w:val="00066EC3"/>
    <w:rsid w:val="00067830"/>
    <w:rsid w:val="000678BC"/>
    <w:rsid w:val="00070419"/>
    <w:rsid w:val="00070CE6"/>
    <w:rsid w:val="00071861"/>
    <w:rsid w:val="000747FD"/>
    <w:rsid w:val="00081692"/>
    <w:rsid w:val="00083DBE"/>
    <w:rsid w:val="000864B3"/>
    <w:rsid w:val="00086DC3"/>
    <w:rsid w:val="00087692"/>
    <w:rsid w:val="000910C3"/>
    <w:rsid w:val="00094EC2"/>
    <w:rsid w:val="000A0EAC"/>
    <w:rsid w:val="000A3994"/>
    <w:rsid w:val="000A468E"/>
    <w:rsid w:val="000A514C"/>
    <w:rsid w:val="000A67C8"/>
    <w:rsid w:val="000A687C"/>
    <w:rsid w:val="000A6B5F"/>
    <w:rsid w:val="000A7753"/>
    <w:rsid w:val="000B1FC0"/>
    <w:rsid w:val="000B2652"/>
    <w:rsid w:val="000B4BD6"/>
    <w:rsid w:val="000B6289"/>
    <w:rsid w:val="000B6900"/>
    <w:rsid w:val="000B71A2"/>
    <w:rsid w:val="000C090E"/>
    <w:rsid w:val="000C0C82"/>
    <w:rsid w:val="000C2545"/>
    <w:rsid w:val="000D11A8"/>
    <w:rsid w:val="000D15A8"/>
    <w:rsid w:val="000D246D"/>
    <w:rsid w:val="000D3712"/>
    <w:rsid w:val="000D52B2"/>
    <w:rsid w:val="000D55D3"/>
    <w:rsid w:val="000D618C"/>
    <w:rsid w:val="000E0114"/>
    <w:rsid w:val="000E181C"/>
    <w:rsid w:val="000E184D"/>
    <w:rsid w:val="000E1A81"/>
    <w:rsid w:val="000E312B"/>
    <w:rsid w:val="000E33DB"/>
    <w:rsid w:val="000E3612"/>
    <w:rsid w:val="000E42E1"/>
    <w:rsid w:val="000E4736"/>
    <w:rsid w:val="000E5056"/>
    <w:rsid w:val="000E5F8A"/>
    <w:rsid w:val="000F0C65"/>
    <w:rsid w:val="000F24F6"/>
    <w:rsid w:val="000F3AFD"/>
    <w:rsid w:val="000F4080"/>
    <w:rsid w:val="000F6157"/>
    <w:rsid w:val="00102388"/>
    <w:rsid w:val="00104972"/>
    <w:rsid w:val="00104974"/>
    <w:rsid w:val="001050A5"/>
    <w:rsid w:val="00105117"/>
    <w:rsid w:val="0010520B"/>
    <w:rsid w:val="00105BEF"/>
    <w:rsid w:val="00106A9B"/>
    <w:rsid w:val="00107893"/>
    <w:rsid w:val="00115091"/>
    <w:rsid w:val="00115160"/>
    <w:rsid w:val="0012171A"/>
    <w:rsid w:val="00121931"/>
    <w:rsid w:val="001221D8"/>
    <w:rsid w:val="00122A0F"/>
    <w:rsid w:val="00122CD5"/>
    <w:rsid w:val="00124B61"/>
    <w:rsid w:val="00124E5A"/>
    <w:rsid w:val="001258F3"/>
    <w:rsid w:val="00127676"/>
    <w:rsid w:val="00130488"/>
    <w:rsid w:val="0013302E"/>
    <w:rsid w:val="00140F34"/>
    <w:rsid w:val="0014102F"/>
    <w:rsid w:val="00142A39"/>
    <w:rsid w:val="001436DA"/>
    <w:rsid w:val="00145BF1"/>
    <w:rsid w:val="00145C45"/>
    <w:rsid w:val="00146171"/>
    <w:rsid w:val="00150248"/>
    <w:rsid w:val="0015080B"/>
    <w:rsid w:val="0015103B"/>
    <w:rsid w:val="001515E8"/>
    <w:rsid w:val="00154F4D"/>
    <w:rsid w:val="00161E2B"/>
    <w:rsid w:val="00162909"/>
    <w:rsid w:val="001653D3"/>
    <w:rsid w:val="00166427"/>
    <w:rsid w:val="0016645E"/>
    <w:rsid w:val="0016658D"/>
    <w:rsid w:val="00167C99"/>
    <w:rsid w:val="00173F96"/>
    <w:rsid w:val="001743FC"/>
    <w:rsid w:val="001747D4"/>
    <w:rsid w:val="00175CAE"/>
    <w:rsid w:val="00180A6D"/>
    <w:rsid w:val="00181FD8"/>
    <w:rsid w:val="0018268C"/>
    <w:rsid w:val="001836D7"/>
    <w:rsid w:val="001845C8"/>
    <w:rsid w:val="00185FE0"/>
    <w:rsid w:val="00186280"/>
    <w:rsid w:val="00187A7D"/>
    <w:rsid w:val="00187D20"/>
    <w:rsid w:val="00195124"/>
    <w:rsid w:val="00195510"/>
    <w:rsid w:val="00195829"/>
    <w:rsid w:val="001958D2"/>
    <w:rsid w:val="00196205"/>
    <w:rsid w:val="00196CA3"/>
    <w:rsid w:val="00197DF4"/>
    <w:rsid w:val="001A4DD0"/>
    <w:rsid w:val="001A68E6"/>
    <w:rsid w:val="001B3E89"/>
    <w:rsid w:val="001B66C9"/>
    <w:rsid w:val="001B791F"/>
    <w:rsid w:val="001C0091"/>
    <w:rsid w:val="001C0972"/>
    <w:rsid w:val="001C2D48"/>
    <w:rsid w:val="001C2EA2"/>
    <w:rsid w:val="001C55E3"/>
    <w:rsid w:val="001C62AF"/>
    <w:rsid w:val="001C665E"/>
    <w:rsid w:val="001C7710"/>
    <w:rsid w:val="001D1643"/>
    <w:rsid w:val="001D2D7E"/>
    <w:rsid w:val="001D32D3"/>
    <w:rsid w:val="001D3434"/>
    <w:rsid w:val="001D5702"/>
    <w:rsid w:val="001D69A0"/>
    <w:rsid w:val="001D71A4"/>
    <w:rsid w:val="001E0410"/>
    <w:rsid w:val="001E0E1B"/>
    <w:rsid w:val="001E29B7"/>
    <w:rsid w:val="001E48B8"/>
    <w:rsid w:val="001E5376"/>
    <w:rsid w:val="001E5BE4"/>
    <w:rsid w:val="001E5DE3"/>
    <w:rsid w:val="001E79EE"/>
    <w:rsid w:val="001F0AF7"/>
    <w:rsid w:val="001F0D50"/>
    <w:rsid w:val="001F27FF"/>
    <w:rsid w:val="001F3BAF"/>
    <w:rsid w:val="001F43B7"/>
    <w:rsid w:val="002016B5"/>
    <w:rsid w:val="00201FBC"/>
    <w:rsid w:val="00204BD7"/>
    <w:rsid w:val="0020516F"/>
    <w:rsid w:val="00205FD8"/>
    <w:rsid w:val="00206594"/>
    <w:rsid w:val="002067B6"/>
    <w:rsid w:val="00207845"/>
    <w:rsid w:val="00210814"/>
    <w:rsid w:val="00211835"/>
    <w:rsid w:val="00211B55"/>
    <w:rsid w:val="002129B4"/>
    <w:rsid w:val="00213647"/>
    <w:rsid w:val="0021382B"/>
    <w:rsid w:val="00214BAD"/>
    <w:rsid w:val="00214D4C"/>
    <w:rsid w:val="002150B7"/>
    <w:rsid w:val="00216D93"/>
    <w:rsid w:val="00220256"/>
    <w:rsid w:val="002202B3"/>
    <w:rsid w:val="00221F8A"/>
    <w:rsid w:val="00223345"/>
    <w:rsid w:val="0022393C"/>
    <w:rsid w:val="002244EF"/>
    <w:rsid w:val="00225BB8"/>
    <w:rsid w:val="00227F07"/>
    <w:rsid w:val="00235310"/>
    <w:rsid w:val="00235B15"/>
    <w:rsid w:val="00235F85"/>
    <w:rsid w:val="00241F0B"/>
    <w:rsid w:val="0024248B"/>
    <w:rsid w:val="00242509"/>
    <w:rsid w:val="0024589A"/>
    <w:rsid w:val="00250000"/>
    <w:rsid w:val="00250BDB"/>
    <w:rsid w:val="00251417"/>
    <w:rsid w:val="00251752"/>
    <w:rsid w:val="0025401A"/>
    <w:rsid w:val="00254548"/>
    <w:rsid w:val="0025526C"/>
    <w:rsid w:val="0025717D"/>
    <w:rsid w:val="002577CE"/>
    <w:rsid w:val="00257CCE"/>
    <w:rsid w:val="00261656"/>
    <w:rsid w:val="00261B79"/>
    <w:rsid w:val="00262B88"/>
    <w:rsid w:val="00263BD4"/>
    <w:rsid w:val="0026526C"/>
    <w:rsid w:val="0026541C"/>
    <w:rsid w:val="00266031"/>
    <w:rsid w:val="002663A8"/>
    <w:rsid w:val="00266890"/>
    <w:rsid w:val="00266C02"/>
    <w:rsid w:val="00272189"/>
    <w:rsid w:val="002735E9"/>
    <w:rsid w:val="00274715"/>
    <w:rsid w:val="00274D9A"/>
    <w:rsid w:val="00276F7D"/>
    <w:rsid w:val="0028033B"/>
    <w:rsid w:val="00281335"/>
    <w:rsid w:val="00282AA2"/>
    <w:rsid w:val="002858AA"/>
    <w:rsid w:val="002864A3"/>
    <w:rsid w:val="00290BC0"/>
    <w:rsid w:val="002918C9"/>
    <w:rsid w:val="0029294C"/>
    <w:rsid w:val="0029370F"/>
    <w:rsid w:val="002954A8"/>
    <w:rsid w:val="002A05D6"/>
    <w:rsid w:val="002A070B"/>
    <w:rsid w:val="002A1AD5"/>
    <w:rsid w:val="002A50DF"/>
    <w:rsid w:val="002A54A5"/>
    <w:rsid w:val="002A5725"/>
    <w:rsid w:val="002A6DCA"/>
    <w:rsid w:val="002B0FE5"/>
    <w:rsid w:val="002B2149"/>
    <w:rsid w:val="002B3D70"/>
    <w:rsid w:val="002B40B7"/>
    <w:rsid w:val="002B51E6"/>
    <w:rsid w:val="002B5A64"/>
    <w:rsid w:val="002B7109"/>
    <w:rsid w:val="002B710A"/>
    <w:rsid w:val="002C04C3"/>
    <w:rsid w:val="002C0CCB"/>
    <w:rsid w:val="002C1EAE"/>
    <w:rsid w:val="002C3E00"/>
    <w:rsid w:val="002C519A"/>
    <w:rsid w:val="002C6B58"/>
    <w:rsid w:val="002C7BEB"/>
    <w:rsid w:val="002D295C"/>
    <w:rsid w:val="002D301C"/>
    <w:rsid w:val="002D3EBD"/>
    <w:rsid w:val="002D47A4"/>
    <w:rsid w:val="002D517D"/>
    <w:rsid w:val="002D572B"/>
    <w:rsid w:val="002E1186"/>
    <w:rsid w:val="002E1EDD"/>
    <w:rsid w:val="002E3018"/>
    <w:rsid w:val="002F435D"/>
    <w:rsid w:val="002F55DE"/>
    <w:rsid w:val="002F5782"/>
    <w:rsid w:val="002F68BD"/>
    <w:rsid w:val="002F6C29"/>
    <w:rsid w:val="003014C5"/>
    <w:rsid w:val="00302652"/>
    <w:rsid w:val="00302ABC"/>
    <w:rsid w:val="00304569"/>
    <w:rsid w:val="00304A7C"/>
    <w:rsid w:val="00304D19"/>
    <w:rsid w:val="0031094A"/>
    <w:rsid w:val="00311754"/>
    <w:rsid w:val="00311F5B"/>
    <w:rsid w:val="00312794"/>
    <w:rsid w:val="00313009"/>
    <w:rsid w:val="00313187"/>
    <w:rsid w:val="003139EF"/>
    <w:rsid w:val="00313AFC"/>
    <w:rsid w:val="00313B2F"/>
    <w:rsid w:val="00314032"/>
    <w:rsid w:val="003143C5"/>
    <w:rsid w:val="00315A04"/>
    <w:rsid w:val="00315ED5"/>
    <w:rsid w:val="00317D44"/>
    <w:rsid w:val="003270E1"/>
    <w:rsid w:val="00327BB6"/>
    <w:rsid w:val="00330077"/>
    <w:rsid w:val="00330137"/>
    <w:rsid w:val="0033030C"/>
    <w:rsid w:val="00331388"/>
    <w:rsid w:val="00331750"/>
    <w:rsid w:val="0033243B"/>
    <w:rsid w:val="003327D6"/>
    <w:rsid w:val="00332B78"/>
    <w:rsid w:val="00332BE2"/>
    <w:rsid w:val="0033324A"/>
    <w:rsid w:val="00333455"/>
    <w:rsid w:val="00333B95"/>
    <w:rsid w:val="00334714"/>
    <w:rsid w:val="00335004"/>
    <w:rsid w:val="00336B7F"/>
    <w:rsid w:val="0033797E"/>
    <w:rsid w:val="003379E2"/>
    <w:rsid w:val="003414E8"/>
    <w:rsid w:val="0034292A"/>
    <w:rsid w:val="003438E8"/>
    <w:rsid w:val="00343AD3"/>
    <w:rsid w:val="00343F78"/>
    <w:rsid w:val="003452CC"/>
    <w:rsid w:val="00351F78"/>
    <w:rsid w:val="0035214A"/>
    <w:rsid w:val="00352B4F"/>
    <w:rsid w:val="0035465E"/>
    <w:rsid w:val="00357654"/>
    <w:rsid w:val="0036161B"/>
    <w:rsid w:val="00361B27"/>
    <w:rsid w:val="00361E2C"/>
    <w:rsid w:val="00362E46"/>
    <w:rsid w:val="00362F4D"/>
    <w:rsid w:val="0036386F"/>
    <w:rsid w:val="0036492A"/>
    <w:rsid w:val="0037009E"/>
    <w:rsid w:val="00373CCF"/>
    <w:rsid w:val="00373E50"/>
    <w:rsid w:val="00375DDD"/>
    <w:rsid w:val="00376897"/>
    <w:rsid w:val="003821B3"/>
    <w:rsid w:val="0038240A"/>
    <w:rsid w:val="00382912"/>
    <w:rsid w:val="00383219"/>
    <w:rsid w:val="00383373"/>
    <w:rsid w:val="00383A85"/>
    <w:rsid w:val="0039268D"/>
    <w:rsid w:val="003939D2"/>
    <w:rsid w:val="003969A6"/>
    <w:rsid w:val="00397CCF"/>
    <w:rsid w:val="003A1DB0"/>
    <w:rsid w:val="003A2877"/>
    <w:rsid w:val="003A2E16"/>
    <w:rsid w:val="003A3BE4"/>
    <w:rsid w:val="003A4E43"/>
    <w:rsid w:val="003A5F2E"/>
    <w:rsid w:val="003B067C"/>
    <w:rsid w:val="003B09F5"/>
    <w:rsid w:val="003B0E67"/>
    <w:rsid w:val="003B1310"/>
    <w:rsid w:val="003B330F"/>
    <w:rsid w:val="003B35B8"/>
    <w:rsid w:val="003B4491"/>
    <w:rsid w:val="003B5C12"/>
    <w:rsid w:val="003B631A"/>
    <w:rsid w:val="003B7F73"/>
    <w:rsid w:val="003C0DE5"/>
    <w:rsid w:val="003C10A9"/>
    <w:rsid w:val="003C289B"/>
    <w:rsid w:val="003C42E3"/>
    <w:rsid w:val="003C47AE"/>
    <w:rsid w:val="003C6EE3"/>
    <w:rsid w:val="003D0251"/>
    <w:rsid w:val="003D0AD0"/>
    <w:rsid w:val="003D1077"/>
    <w:rsid w:val="003D3859"/>
    <w:rsid w:val="003D66E4"/>
    <w:rsid w:val="003D7A33"/>
    <w:rsid w:val="003E35A1"/>
    <w:rsid w:val="003E5CDB"/>
    <w:rsid w:val="003F0FEF"/>
    <w:rsid w:val="003F5F94"/>
    <w:rsid w:val="003F64CD"/>
    <w:rsid w:val="003F683B"/>
    <w:rsid w:val="004000EB"/>
    <w:rsid w:val="004009B6"/>
    <w:rsid w:val="00400C8C"/>
    <w:rsid w:val="00401630"/>
    <w:rsid w:val="00402920"/>
    <w:rsid w:val="00404A9E"/>
    <w:rsid w:val="0040617B"/>
    <w:rsid w:val="0041292D"/>
    <w:rsid w:val="00413A80"/>
    <w:rsid w:val="00414447"/>
    <w:rsid w:val="00414470"/>
    <w:rsid w:val="00414AAE"/>
    <w:rsid w:val="0041724C"/>
    <w:rsid w:val="004173E0"/>
    <w:rsid w:val="00420642"/>
    <w:rsid w:val="00421BC8"/>
    <w:rsid w:val="004227D4"/>
    <w:rsid w:val="00422E34"/>
    <w:rsid w:val="0042304A"/>
    <w:rsid w:val="004235F4"/>
    <w:rsid w:val="00423B11"/>
    <w:rsid w:val="00425369"/>
    <w:rsid w:val="004254C6"/>
    <w:rsid w:val="004265EA"/>
    <w:rsid w:val="00426AC6"/>
    <w:rsid w:val="00427974"/>
    <w:rsid w:val="004305E6"/>
    <w:rsid w:val="00430F64"/>
    <w:rsid w:val="00432275"/>
    <w:rsid w:val="0043635B"/>
    <w:rsid w:val="00436A4C"/>
    <w:rsid w:val="0044216C"/>
    <w:rsid w:val="00443211"/>
    <w:rsid w:val="00444A4B"/>
    <w:rsid w:val="0044563E"/>
    <w:rsid w:val="0044639F"/>
    <w:rsid w:val="00446C64"/>
    <w:rsid w:val="004471E8"/>
    <w:rsid w:val="00451C0F"/>
    <w:rsid w:val="00451CD1"/>
    <w:rsid w:val="004521C1"/>
    <w:rsid w:val="00452376"/>
    <w:rsid w:val="0045264F"/>
    <w:rsid w:val="00452937"/>
    <w:rsid w:val="004531A0"/>
    <w:rsid w:val="0045338B"/>
    <w:rsid w:val="004535C9"/>
    <w:rsid w:val="00455DE2"/>
    <w:rsid w:val="004562CE"/>
    <w:rsid w:val="00456D6E"/>
    <w:rsid w:val="00456E95"/>
    <w:rsid w:val="00457A7E"/>
    <w:rsid w:val="00460106"/>
    <w:rsid w:val="0046052D"/>
    <w:rsid w:val="0046273F"/>
    <w:rsid w:val="00464E55"/>
    <w:rsid w:val="00465507"/>
    <w:rsid w:val="00467A60"/>
    <w:rsid w:val="004702F1"/>
    <w:rsid w:val="00470568"/>
    <w:rsid w:val="00470E7A"/>
    <w:rsid w:val="00470F65"/>
    <w:rsid w:val="004743A8"/>
    <w:rsid w:val="00474C15"/>
    <w:rsid w:val="00477A22"/>
    <w:rsid w:val="00477DFD"/>
    <w:rsid w:val="00481839"/>
    <w:rsid w:val="00481858"/>
    <w:rsid w:val="00481F16"/>
    <w:rsid w:val="0048238F"/>
    <w:rsid w:val="00485266"/>
    <w:rsid w:val="00485D19"/>
    <w:rsid w:val="0048694D"/>
    <w:rsid w:val="00492A73"/>
    <w:rsid w:val="00495FF6"/>
    <w:rsid w:val="00496695"/>
    <w:rsid w:val="00496A46"/>
    <w:rsid w:val="0049745B"/>
    <w:rsid w:val="00497556"/>
    <w:rsid w:val="004A1559"/>
    <w:rsid w:val="004A2F93"/>
    <w:rsid w:val="004A6F1F"/>
    <w:rsid w:val="004B1A47"/>
    <w:rsid w:val="004B4EED"/>
    <w:rsid w:val="004B4F10"/>
    <w:rsid w:val="004B5B8B"/>
    <w:rsid w:val="004C0129"/>
    <w:rsid w:val="004C10B7"/>
    <w:rsid w:val="004C2AE2"/>
    <w:rsid w:val="004C3595"/>
    <w:rsid w:val="004C376F"/>
    <w:rsid w:val="004C3982"/>
    <w:rsid w:val="004C3C74"/>
    <w:rsid w:val="004C7FCC"/>
    <w:rsid w:val="004D0195"/>
    <w:rsid w:val="004D118B"/>
    <w:rsid w:val="004D2313"/>
    <w:rsid w:val="004D469C"/>
    <w:rsid w:val="004D4F40"/>
    <w:rsid w:val="004D658A"/>
    <w:rsid w:val="004D6621"/>
    <w:rsid w:val="004D7414"/>
    <w:rsid w:val="004E01E7"/>
    <w:rsid w:val="004E108D"/>
    <w:rsid w:val="004E24AD"/>
    <w:rsid w:val="004E5BB5"/>
    <w:rsid w:val="004F0111"/>
    <w:rsid w:val="004F03B8"/>
    <w:rsid w:val="004F24E3"/>
    <w:rsid w:val="004F3E20"/>
    <w:rsid w:val="004F720D"/>
    <w:rsid w:val="004F74E6"/>
    <w:rsid w:val="005002BB"/>
    <w:rsid w:val="0050085E"/>
    <w:rsid w:val="00502203"/>
    <w:rsid w:val="00503326"/>
    <w:rsid w:val="00503C20"/>
    <w:rsid w:val="005065A1"/>
    <w:rsid w:val="00506799"/>
    <w:rsid w:val="00507C68"/>
    <w:rsid w:val="00510634"/>
    <w:rsid w:val="00511E23"/>
    <w:rsid w:val="005123BE"/>
    <w:rsid w:val="005134CB"/>
    <w:rsid w:val="00513FC0"/>
    <w:rsid w:val="00515005"/>
    <w:rsid w:val="00515C66"/>
    <w:rsid w:val="0052058F"/>
    <w:rsid w:val="00523EFB"/>
    <w:rsid w:val="00525010"/>
    <w:rsid w:val="00530FB6"/>
    <w:rsid w:val="00531B36"/>
    <w:rsid w:val="0053384E"/>
    <w:rsid w:val="00534A78"/>
    <w:rsid w:val="00536BFD"/>
    <w:rsid w:val="005373A5"/>
    <w:rsid w:val="005409B7"/>
    <w:rsid w:val="00541531"/>
    <w:rsid w:val="0054287F"/>
    <w:rsid w:val="00543DF8"/>
    <w:rsid w:val="00544B0C"/>
    <w:rsid w:val="0054772F"/>
    <w:rsid w:val="00547B2A"/>
    <w:rsid w:val="005501B1"/>
    <w:rsid w:val="005513B6"/>
    <w:rsid w:val="00561930"/>
    <w:rsid w:val="00561AD8"/>
    <w:rsid w:val="00561BFC"/>
    <w:rsid w:val="0056282A"/>
    <w:rsid w:val="00564743"/>
    <w:rsid w:val="00565134"/>
    <w:rsid w:val="005659C0"/>
    <w:rsid w:val="005672DE"/>
    <w:rsid w:val="00567894"/>
    <w:rsid w:val="00567ADD"/>
    <w:rsid w:val="0057241F"/>
    <w:rsid w:val="0057427D"/>
    <w:rsid w:val="00574546"/>
    <w:rsid w:val="00574B65"/>
    <w:rsid w:val="005771E3"/>
    <w:rsid w:val="00581828"/>
    <w:rsid w:val="00581885"/>
    <w:rsid w:val="0058210E"/>
    <w:rsid w:val="00583135"/>
    <w:rsid w:val="00585B00"/>
    <w:rsid w:val="00590199"/>
    <w:rsid w:val="005929CE"/>
    <w:rsid w:val="005939DF"/>
    <w:rsid w:val="00596155"/>
    <w:rsid w:val="00596222"/>
    <w:rsid w:val="0059645B"/>
    <w:rsid w:val="00596701"/>
    <w:rsid w:val="0059710F"/>
    <w:rsid w:val="005A0802"/>
    <w:rsid w:val="005A1504"/>
    <w:rsid w:val="005A1799"/>
    <w:rsid w:val="005A22E2"/>
    <w:rsid w:val="005A364D"/>
    <w:rsid w:val="005A45EB"/>
    <w:rsid w:val="005A47CC"/>
    <w:rsid w:val="005B01D2"/>
    <w:rsid w:val="005B02BC"/>
    <w:rsid w:val="005B249D"/>
    <w:rsid w:val="005B2E64"/>
    <w:rsid w:val="005B35B1"/>
    <w:rsid w:val="005B3BE8"/>
    <w:rsid w:val="005B5D9B"/>
    <w:rsid w:val="005C13C2"/>
    <w:rsid w:val="005C193F"/>
    <w:rsid w:val="005C25DC"/>
    <w:rsid w:val="005C2605"/>
    <w:rsid w:val="005C2998"/>
    <w:rsid w:val="005C2B02"/>
    <w:rsid w:val="005C41D0"/>
    <w:rsid w:val="005C4607"/>
    <w:rsid w:val="005C53DD"/>
    <w:rsid w:val="005C64BF"/>
    <w:rsid w:val="005C66BF"/>
    <w:rsid w:val="005D2FB6"/>
    <w:rsid w:val="005D3B22"/>
    <w:rsid w:val="005D51EB"/>
    <w:rsid w:val="005D627F"/>
    <w:rsid w:val="005D6F5B"/>
    <w:rsid w:val="005D70F7"/>
    <w:rsid w:val="005E0778"/>
    <w:rsid w:val="005E0CFA"/>
    <w:rsid w:val="005E1234"/>
    <w:rsid w:val="005E2E81"/>
    <w:rsid w:val="005E3207"/>
    <w:rsid w:val="005E3921"/>
    <w:rsid w:val="005E3B78"/>
    <w:rsid w:val="005E57F6"/>
    <w:rsid w:val="005E6021"/>
    <w:rsid w:val="005F1C1D"/>
    <w:rsid w:val="005F452D"/>
    <w:rsid w:val="005F531C"/>
    <w:rsid w:val="005F760F"/>
    <w:rsid w:val="005F7FD0"/>
    <w:rsid w:val="006029F1"/>
    <w:rsid w:val="0060363D"/>
    <w:rsid w:val="00605E39"/>
    <w:rsid w:val="00610283"/>
    <w:rsid w:val="006113AF"/>
    <w:rsid w:val="0061308F"/>
    <w:rsid w:val="006137A2"/>
    <w:rsid w:val="00613DEA"/>
    <w:rsid w:val="00613FE5"/>
    <w:rsid w:val="0061463C"/>
    <w:rsid w:val="00614B75"/>
    <w:rsid w:val="0061609B"/>
    <w:rsid w:val="006162DA"/>
    <w:rsid w:val="0062137F"/>
    <w:rsid w:val="00621A28"/>
    <w:rsid w:val="00621E35"/>
    <w:rsid w:val="00623B20"/>
    <w:rsid w:val="00624726"/>
    <w:rsid w:val="00625D24"/>
    <w:rsid w:val="00627666"/>
    <w:rsid w:val="00631B06"/>
    <w:rsid w:val="006321EE"/>
    <w:rsid w:val="00632D81"/>
    <w:rsid w:val="00633629"/>
    <w:rsid w:val="00636A66"/>
    <w:rsid w:val="00637084"/>
    <w:rsid w:val="006373CB"/>
    <w:rsid w:val="006376A1"/>
    <w:rsid w:val="00637F81"/>
    <w:rsid w:val="00640B67"/>
    <w:rsid w:val="00640C04"/>
    <w:rsid w:val="0064117D"/>
    <w:rsid w:val="00645EE7"/>
    <w:rsid w:val="00646457"/>
    <w:rsid w:val="006473F5"/>
    <w:rsid w:val="00647B1B"/>
    <w:rsid w:val="00651C10"/>
    <w:rsid w:val="006526EB"/>
    <w:rsid w:val="0065452A"/>
    <w:rsid w:val="00660E40"/>
    <w:rsid w:val="00661700"/>
    <w:rsid w:val="00663D4F"/>
    <w:rsid w:val="00664982"/>
    <w:rsid w:val="00665509"/>
    <w:rsid w:val="00666A31"/>
    <w:rsid w:val="00671358"/>
    <w:rsid w:val="006728DA"/>
    <w:rsid w:val="00672CB8"/>
    <w:rsid w:val="006743A6"/>
    <w:rsid w:val="00674444"/>
    <w:rsid w:val="006759B4"/>
    <w:rsid w:val="00676DFE"/>
    <w:rsid w:val="0068212E"/>
    <w:rsid w:val="00683B97"/>
    <w:rsid w:val="00685FAB"/>
    <w:rsid w:val="006904A9"/>
    <w:rsid w:val="00691A7B"/>
    <w:rsid w:val="00693F42"/>
    <w:rsid w:val="0069566D"/>
    <w:rsid w:val="006970B2"/>
    <w:rsid w:val="006A2B40"/>
    <w:rsid w:val="006A3432"/>
    <w:rsid w:val="006A49FA"/>
    <w:rsid w:val="006A511D"/>
    <w:rsid w:val="006A550B"/>
    <w:rsid w:val="006A55FD"/>
    <w:rsid w:val="006A57B6"/>
    <w:rsid w:val="006A60A8"/>
    <w:rsid w:val="006A6D33"/>
    <w:rsid w:val="006A72A1"/>
    <w:rsid w:val="006B6429"/>
    <w:rsid w:val="006C2DE5"/>
    <w:rsid w:val="006C42E7"/>
    <w:rsid w:val="006C522F"/>
    <w:rsid w:val="006C6849"/>
    <w:rsid w:val="006C688A"/>
    <w:rsid w:val="006C6F24"/>
    <w:rsid w:val="006C7A38"/>
    <w:rsid w:val="006D1517"/>
    <w:rsid w:val="006D1CD0"/>
    <w:rsid w:val="006D1EF6"/>
    <w:rsid w:val="006D496D"/>
    <w:rsid w:val="006D4BA3"/>
    <w:rsid w:val="006D6CDE"/>
    <w:rsid w:val="006E023B"/>
    <w:rsid w:val="006E0B54"/>
    <w:rsid w:val="006E1C62"/>
    <w:rsid w:val="006E306A"/>
    <w:rsid w:val="006E32C4"/>
    <w:rsid w:val="006E3810"/>
    <w:rsid w:val="006E4B53"/>
    <w:rsid w:val="006E7AB5"/>
    <w:rsid w:val="006F0D3B"/>
    <w:rsid w:val="006F0E4E"/>
    <w:rsid w:val="006F117F"/>
    <w:rsid w:val="006F1F97"/>
    <w:rsid w:val="006F21E9"/>
    <w:rsid w:val="006F39E9"/>
    <w:rsid w:val="006F3A10"/>
    <w:rsid w:val="006F4C4B"/>
    <w:rsid w:val="006F5A16"/>
    <w:rsid w:val="006F7004"/>
    <w:rsid w:val="006F7690"/>
    <w:rsid w:val="00700AD6"/>
    <w:rsid w:val="00701494"/>
    <w:rsid w:val="00702C93"/>
    <w:rsid w:val="00706123"/>
    <w:rsid w:val="00707D08"/>
    <w:rsid w:val="00712D3A"/>
    <w:rsid w:val="00713751"/>
    <w:rsid w:val="00713DC0"/>
    <w:rsid w:val="00714475"/>
    <w:rsid w:val="007153E7"/>
    <w:rsid w:val="0071572E"/>
    <w:rsid w:val="00715E88"/>
    <w:rsid w:val="007171E7"/>
    <w:rsid w:val="00721373"/>
    <w:rsid w:val="00721E8D"/>
    <w:rsid w:val="0072282E"/>
    <w:rsid w:val="00724796"/>
    <w:rsid w:val="00724B71"/>
    <w:rsid w:val="00725CB4"/>
    <w:rsid w:val="00726877"/>
    <w:rsid w:val="00727031"/>
    <w:rsid w:val="00730292"/>
    <w:rsid w:val="007312ED"/>
    <w:rsid w:val="00731452"/>
    <w:rsid w:val="00731C4B"/>
    <w:rsid w:val="0073268B"/>
    <w:rsid w:val="00735255"/>
    <w:rsid w:val="0073666A"/>
    <w:rsid w:val="00736693"/>
    <w:rsid w:val="007373A4"/>
    <w:rsid w:val="0074077A"/>
    <w:rsid w:val="007413E2"/>
    <w:rsid w:val="00742A0A"/>
    <w:rsid w:val="007437C1"/>
    <w:rsid w:val="007448E8"/>
    <w:rsid w:val="00745ABA"/>
    <w:rsid w:val="00745D8B"/>
    <w:rsid w:val="00746F7D"/>
    <w:rsid w:val="00747362"/>
    <w:rsid w:val="007475FF"/>
    <w:rsid w:val="00747813"/>
    <w:rsid w:val="00747D21"/>
    <w:rsid w:val="00747ED0"/>
    <w:rsid w:val="007526DA"/>
    <w:rsid w:val="00753055"/>
    <w:rsid w:val="00753C4A"/>
    <w:rsid w:val="00754676"/>
    <w:rsid w:val="00755C5D"/>
    <w:rsid w:val="0075615B"/>
    <w:rsid w:val="00760B6E"/>
    <w:rsid w:val="00761961"/>
    <w:rsid w:val="007622FC"/>
    <w:rsid w:val="00762A6A"/>
    <w:rsid w:val="0076317A"/>
    <w:rsid w:val="007639C7"/>
    <w:rsid w:val="00763CE6"/>
    <w:rsid w:val="0076427B"/>
    <w:rsid w:val="007703AC"/>
    <w:rsid w:val="007711C0"/>
    <w:rsid w:val="00771746"/>
    <w:rsid w:val="00772CB2"/>
    <w:rsid w:val="00773217"/>
    <w:rsid w:val="007745AF"/>
    <w:rsid w:val="00774E61"/>
    <w:rsid w:val="007768AA"/>
    <w:rsid w:val="00776A74"/>
    <w:rsid w:val="00784EC9"/>
    <w:rsid w:val="00786478"/>
    <w:rsid w:val="00792105"/>
    <w:rsid w:val="00792A06"/>
    <w:rsid w:val="00793E4C"/>
    <w:rsid w:val="00795EC7"/>
    <w:rsid w:val="0079609A"/>
    <w:rsid w:val="00796A4B"/>
    <w:rsid w:val="00796EF3"/>
    <w:rsid w:val="007A06E9"/>
    <w:rsid w:val="007A2719"/>
    <w:rsid w:val="007A2A68"/>
    <w:rsid w:val="007A2BDF"/>
    <w:rsid w:val="007A493E"/>
    <w:rsid w:val="007A4C9A"/>
    <w:rsid w:val="007A5207"/>
    <w:rsid w:val="007A5EE2"/>
    <w:rsid w:val="007A634D"/>
    <w:rsid w:val="007A67F1"/>
    <w:rsid w:val="007A6BF5"/>
    <w:rsid w:val="007A6C6B"/>
    <w:rsid w:val="007B0657"/>
    <w:rsid w:val="007B608E"/>
    <w:rsid w:val="007B62E6"/>
    <w:rsid w:val="007C00AE"/>
    <w:rsid w:val="007C0947"/>
    <w:rsid w:val="007C3399"/>
    <w:rsid w:val="007C4155"/>
    <w:rsid w:val="007C67EE"/>
    <w:rsid w:val="007C6887"/>
    <w:rsid w:val="007C782D"/>
    <w:rsid w:val="007D08FB"/>
    <w:rsid w:val="007D553D"/>
    <w:rsid w:val="007D5C57"/>
    <w:rsid w:val="007D6754"/>
    <w:rsid w:val="007D6B2C"/>
    <w:rsid w:val="007D71AE"/>
    <w:rsid w:val="007D71EB"/>
    <w:rsid w:val="007D7678"/>
    <w:rsid w:val="007E14DF"/>
    <w:rsid w:val="007E173E"/>
    <w:rsid w:val="007E43AF"/>
    <w:rsid w:val="007E43B6"/>
    <w:rsid w:val="007E59D9"/>
    <w:rsid w:val="007E5D13"/>
    <w:rsid w:val="007F1A93"/>
    <w:rsid w:val="007F1F3D"/>
    <w:rsid w:val="007F232E"/>
    <w:rsid w:val="007F5FF3"/>
    <w:rsid w:val="0080161F"/>
    <w:rsid w:val="00802541"/>
    <w:rsid w:val="00803D24"/>
    <w:rsid w:val="00805888"/>
    <w:rsid w:val="00805AB8"/>
    <w:rsid w:val="008067DF"/>
    <w:rsid w:val="008070B6"/>
    <w:rsid w:val="00810796"/>
    <w:rsid w:val="00810F07"/>
    <w:rsid w:val="00812B2E"/>
    <w:rsid w:val="00813197"/>
    <w:rsid w:val="00813807"/>
    <w:rsid w:val="00814262"/>
    <w:rsid w:val="008159C5"/>
    <w:rsid w:val="00822402"/>
    <w:rsid w:val="00823BD6"/>
    <w:rsid w:val="00824675"/>
    <w:rsid w:val="00824679"/>
    <w:rsid w:val="00824BBC"/>
    <w:rsid w:val="00827622"/>
    <w:rsid w:val="00827E69"/>
    <w:rsid w:val="00830DB1"/>
    <w:rsid w:val="00832B2E"/>
    <w:rsid w:val="00833E98"/>
    <w:rsid w:val="008351AE"/>
    <w:rsid w:val="00835A84"/>
    <w:rsid w:val="008360FF"/>
    <w:rsid w:val="00836F75"/>
    <w:rsid w:val="00837C5A"/>
    <w:rsid w:val="00841A4F"/>
    <w:rsid w:val="00843C5C"/>
    <w:rsid w:val="00844FD1"/>
    <w:rsid w:val="00845454"/>
    <w:rsid w:val="00850229"/>
    <w:rsid w:val="0085051B"/>
    <w:rsid w:val="008551F3"/>
    <w:rsid w:val="00856B94"/>
    <w:rsid w:val="00856BF9"/>
    <w:rsid w:val="00856F8A"/>
    <w:rsid w:val="008571D9"/>
    <w:rsid w:val="0086053A"/>
    <w:rsid w:val="00860987"/>
    <w:rsid w:val="00861410"/>
    <w:rsid w:val="00861980"/>
    <w:rsid w:val="00863898"/>
    <w:rsid w:val="00863E90"/>
    <w:rsid w:val="0086532B"/>
    <w:rsid w:val="008661B0"/>
    <w:rsid w:val="008671A3"/>
    <w:rsid w:val="00873B01"/>
    <w:rsid w:val="00876F15"/>
    <w:rsid w:val="00880921"/>
    <w:rsid w:val="00880DC8"/>
    <w:rsid w:val="00880DE0"/>
    <w:rsid w:val="00881A65"/>
    <w:rsid w:val="00882B33"/>
    <w:rsid w:val="008832D6"/>
    <w:rsid w:val="008859FB"/>
    <w:rsid w:val="00895A22"/>
    <w:rsid w:val="0089654B"/>
    <w:rsid w:val="008967AB"/>
    <w:rsid w:val="00897CC2"/>
    <w:rsid w:val="008A0AB5"/>
    <w:rsid w:val="008A2A44"/>
    <w:rsid w:val="008A3565"/>
    <w:rsid w:val="008A59CB"/>
    <w:rsid w:val="008A7C4D"/>
    <w:rsid w:val="008B2DAD"/>
    <w:rsid w:val="008B41B5"/>
    <w:rsid w:val="008B735F"/>
    <w:rsid w:val="008C0772"/>
    <w:rsid w:val="008C3D69"/>
    <w:rsid w:val="008C448E"/>
    <w:rsid w:val="008C7586"/>
    <w:rsid w:val="008D2F29"/>
    <w:rsid w:val="008D55F5"/>
    <w:rsid w:val="008D55F8"/>
    <w:rsid w:val="008D73D3"/>
    <w:rsid w:val="008D74B6"/>
    <w:rsid w:val="008D7B2E"/>
    <w:rsid w:val="008E125C"/>
    <w:rsid w:val="008E2A02"/>
    <w:rsid w:val="008E2FA0"/>
    <w:rsid w:val="008E3C79"/>
    <w:rsid w:val="008E5615"/>
    <w:rsid w:val="008F0068"/>
    <w:rsid w:val="008F0C4D"/>
    <w:rsid w:val="008F13A7"/>
    <w:rsid w:val="008F2353"/>
    <w:rsid w:val="008F563C"/>
    <w:rsid w:val="008F66EB"/>
    <w:rsid w:val="008F691C"/>
    <w:rsid w:val="008F7765"/>
    <w:rsid w:val="00900F8D"/>
    <w:rsid w:val="0090178D"/>
    <w:rsid w:val="009123D4"/>
    <w:rsid w:val="00912DA5"/>
    <w:rsid w:val="00913152"/>
    <w:rsid w:val="00913BAF"/>
    <w:rsid w:val="009158D8"/>
    <w:rsid w:val="009160F5"/>
    <w:rsid w:val="00916215"/>
    <w:rsid w:val="009165A7"/>
    <w:rsid w:val="00920CC0"/>
    <w:rsid w:val="009232C6"/>
    <w:rsid w:val="00926901"/>
    <w:rsid w:val="00926994"/>
    <w:rsid w:val="009278A6"/>
    <w:rsid w:val="009305AB"/>
    <w:rsid w:val="00930E41"/>
    <w:rsid w:val="009331CD"/>
    <w:rsid w:val="00935994"/>
    <w:rsid w:val="00935B49"/>
    <w:rsid w:val="00936543"/>
    <w:rsid w:val="0094121B"/>
    <w:rsid w:val="00941CAE"/>
    <w:rsid w:val="00941CC3"/>
    <w:rsid w:val="00942C3D"/>
    <w:rsid w:val="00945EEA"/>
    <w:rsid w:val="009461F4"/>
    <w:rsid w:val="00947DFC"/>
    <w:rsid w:val="0095245D"/>
    <w:rsid w:val="0095311B"/>
    <w:rsid w:val="00953179"/>
    <w:rsid w:val="009546AA"/>
    <w:rsid w:val="00954FD3"/>
    <w:rsid w:val="009561A2"/>
    <w:rsid w:val="00956977"/>
    <w:rsid w:val="00957ABC"/>
    <w:rsid w:val="00957CFF"/>
    <w:rsid w:val="009600E6"/>
    <w:rsid w:val="00963766"/>
    <w:rsid w:val="009639A4"/>
    <w:rsid w:val="00966487"/>
    <w:rsid w:val="00966FE4"/>
    <w:rsid w:val="009719E0"/>
    <w:rsid w:val="009721AC"/>
    <w:rsid w:val="0097391A"/>
    <w:rsid w:val="009772B1"/>
    <w:rsid w:val="0097762C"/>
    <w:rsid w:val="009806AD"/>
    <w:rsid w:val="00986161"/>
    <w:rsid w:val="00986292"/>
    <w:rsid w:val="00987988"/>
    <w:rsid w:val="0099238C"/>
    <w:rsid w:val="0099342D"/>
    <w:rsid w:val="009936B4"/>
    <w:rsid w:val="00994825"/>
    <w:rsid w:val="00995C29"/>
    <w:rsid w:val="00995D52"/>
    <w:rsid w:val="00996221"/>
    <w:rsid w:val="00996BE6"/>
    <w:rsid w:val="009A08FB"/>
    <w:rsid w:val="009A0E0A"/>
    <w:rsid w:val="009A1658"/>
    <w:rsid w:val="009A230A"/>
    <w:rsid w:val="009A2E7A"/>
    <w:rsid w:val="009A4CBF"/>
    <w:rsid w:val="009A505C"/>
    <w:rsid w:val="009A56B4"/>
    <w:rsid w:val="009A5BF4"/>
    <w:rsid w:val="009A70C5"/>
    <w:rsid w:val="009B0841"/>
    <w:rsid w:val="009B292A"/>
    <w:rsid w:val="009B3ED8"/>
    <w:rsid w:val="009B4B06"/>
    <w:rsid w:val="009B59C5"/>
    <w:rsid w:val="009C057E"/>
    <w:rsid w:val="009C0C48"/>
    <w:rsid w:val="009C0D10"/>
    <w:rsid w:val="009C481E"/>
    <w:rsid w:val="009D05CE"/>
    <w:rsid w:val="009D1176"/>
    <w:rsid w:val="009D1510"/>
    <w:rsid w:val="009D18CD"/>
    <w:rsid w:val="009D305B"/>
    <w:rsid w:val="009D5F08"/>
    <w:rsid w:val="009D6DD5"/>
    <w:rsid w:val="009E011A"/>
    <w:rsid w:val="009E0725"/>
    <w:rsid w:val="009E07D1"/>
    <w:rsid w:val="009E0C0C"/>
    <w:rsid w:val="009E2D13"/>
    <w:rsid w:val="009E303C"/>
    <w:rsid w:val="009E326B"/>
    <w:rsid w:val="009E592F"/>
    <w:rsid w:val="009E6364"/>
    <w:rsid w:val="009F04BC"/>
    <w:rsid w:val="009F171E"/>
    <w:rsid w:val="009F23A2"/>
    <w:rsid w:val="009F2614"/>
    <w:rsid w:val="009F3722"/>
    <w:rsid w:val="009F5DF3"/>
    <w:rsid w:val="009F6E10"/>
    <w:rsid w:val="00A01B7E"/>
    <w:rsid w:val="00A01DBD"/>
    <w:rsid w:val="00A03662"/>
    <w:rsid w:val="00A046FE"/>
    <w:rsid w:val="00A062F4"/>
    <w:rsid w:val="00A07913"/>
    <w:rsid w:val="00A07A13"/>
    <w:rsid w:val="00A11892"/>
    <w:rsid w:val="00A12570"/>
    <w:rsid w:val="00A133C7"/>
    <w:rsid w:val="00A16EDB"/>
    <w:rsid w:val="00A17A73"/>
    <w:rsid w:val="00A220FD"/>
    <w:rsid w:val="00A25931"/>
    <w:rsid w:val="00A266AF"/>
    <w:rsid w:val="00A2790C"/>
    <w:rsid w:val="00A311C9"/>
    <w:rsid w:val="00A31335"/>
    <w:rsid w:val="00A315DF"/>
    <w:rsid w:val="00A31A5C"/>
    <w:rsid w:val="00A34D77"/>
    <w:rsid w:val="00A35258"/>
    <w:rsid w:val="00A365E8"/>
    <w:rsid w:val="00A40A7D"/>
    <w:rsid w:val="00A42A2C"/>
    <w:rsid w:val="00A43B51"/>
    <w:rsid w:val="00A464AE"/>
    <w:rsid w:val="00A52D55"/>
    <w:rsid w:val="00A54011"/>
    <w:rsid w:val="00A54373"/>
    <w:rsid w:val="00A544C0"/>
    <w:rsid w:val="00A5629F"/>
    <w:rsid w:val="00A56A40"/>
    <w:rsid w:val="00A60D6A"/>
    <w:rsid w:val="00A62EB9"/>
    <w:rsid w:val="00A65C42"/>
    <w:rsid w:val="00A66BFF"/>
    <w:rsid w:val="00A67519"/>
    <w:rsid w:val="00A67742"/>
    <w:rsid w:val="00A6776C"/>
    <w:rsid w:val="00A7092C"/>
    <w:rsid w:val="00A712A9"/>
    <w:rsid w:val="00A71F65"/>
    <w:rsid w:val="00A72F32"/>
    <w:rsid w:val="00A731E5"/>
    <w:rsid w:val="00A75C32"/>
    <w:rsid w:val="00A777F5"/>
    <w:rsid w:val="00A83E10"/>
    <w:rsid w:val="00A8547C"/>
    <w:rsid w:val="00A86367"/>
    <w:rsid w:val="00A86511"/>
    <w:rsid w:val="00A91319"/>
    <w:rsid w:val="00A91476"/>
    <w:rsid w:val="00A91D99"/>
    <w:rsid w:val="00A91E3F"/>
    <w:rsid w:val="00A94159"/>
    <w:rsid w:val="00A94D73"/>
    <w:rsid w:val="00A95F2A"/>
    <w:rsid w:val="00AA0F91"/>
    <w:rsid w:val="00AA5241"/>
    <w:rsid w:val="00AA699B"/>
    <w:rsid w:val="00AA78FA"/>
    <w:rsid w:val="00AB173A"/>
    <w:rsid w:val="00AB20B6"/>
    <w:rsid w:val="00AB255E"/>
    <w:rsid w:val="00AB2640"/>
    <w:rsid w:val="00AB2D65"/>
    <w:rsid w:val="00AB49EA"/>
    <w:rsid w:val="00AB4A62"/>
    <w:rsid w:val="00AB5E17"/>
    <w:rsid w:val="00AB78AB"/>
    <w:rsid w:val="00AB7DE8"/>
    <w:rsid w:val="00AC15B4"/>
    <w:rsid w:val="00AC2D8F"/>
    <w:rsid w:val="00AC4980"/>
    <w:rsid w:val="00AC4CF0"/>
    <w:rsid w:val="00AC4E5C"/>
    <w:rsid w:val="00AC5676"/>
    <w:rsid w:val="00AC5F7D"/>
    <w:rsid w:val="00AC6031"/>
    <w:rsid w:val="00AD0505"/>
    <w:rsid w:val="00AD3474"/>
    <w:rsid w:val="00AD36B8"/>
    <w:rsid w:val="00AD3C35"/>
    <w:rsid w:val="00AD6F21"/>
    <w:rsid w:val="00AD7A2D"/>
    <w:rsid w:val="00AE1698"/>
    <w:rsid w:val="00AE51E4"/>
    <w:rsid w:val="00AF354A"/>
    <w:rsid w:val="00AF38FE"/>
    <w:rsid w:val="00AF396C"/>
    <w:rsid w:val="00AF3D50"/>
    <w:rsid w:val="00AF4A32"/>
    <w:rsid w:val="00B00537"/>
    <w:rsid w:val="00B01268"/>
    <w:rsid w:val="00B01385"/>
    <w:rsid w:val="00B02532"/>
    <w:rsid w:val="00B02A00"/>
    <w:rsid w:val="00B0377B"/>
    <w:rsid w:val="00B03B6B"/>
    <w:rsid w:val="00B06619"/>
    <w:rsid w:val="00B10B0C"/>
    <w:rsid w:val="00B147C7"/>
    <w:rsid w:val="00B15D19"/>
    <w:rsid w:val="00B16991"/>
    <w:rsid w:val="00B179A6"/>
    <w:rsid w:val="00B20273"/>
    <w:rsid w:val="00B221F8"/>
    <w:rsid w:val="00B2408F"/>
    <w:rsid w:val="00B24A9C"/>
    <w:rsid w:val="00B25044"/>
    <w:rsid w:val="00B25071"/>
    <w:rsid w:val="00B25D81"/>
    <w:rsid w:val="00B27937"/>
    <w:rsid w:val="00B30445"/>
    <w:rsid w:val="00B30D5D"/>
    <w:rsid w:val="00B31389"/>
    <w:rsid w:val="00B316CD"/>
    <w:rsid w:val="00B35AB1"/>
    <w:rsid w:val="00B37EF6"/>
    <w:rsid w:val="00B40961"/>
    <w:rsid w:val="00B40A2D"/>
    <w:rsid w:val="00B41EA5"/>
    <w:rsid w:val="00B421B6"/>
    <w:rsid w:val="00B42636"/>
    <w:rsid w:val="00B42EA0"/>
    <w:rsid w:val="00B44133"/>
    <w:rsid w:val="00B51042"/>
    <w:rsid w:val="00B52279"/>
    <w:rsid w:val="00B5254A"/>
    <w:rsid w:val="00B525EC"/>
    <w:rsid w:val="00B53EB7"/>
    <w:rsid w:val="00B60163"/>
    <w:rsid w:val="00B60172"/>
    <w:rsid w:val="00B626D5"/>
    <w:rsid w:val="00B64780"/>
    <w:rsid w:val="00B666D3"/>
    <w:rsid w:val="00B6753D"/>
    <w:rsid w:val="00B70341"/>
    <w:rsid w:val="00B71D05"/>
    <w:rsid w:val="00B72168"/>
    <w:rsid w:val="00B75910"/>
    <w:rsid w:val="00B77380"/>
    <w:rsid w:val="00B81422"/>
    <w:rsid w:val="00B831AA"/>
    <w:rsid w:val="00B831B6"/>
    <w:rsid w:val="00B84540"/>
    <w:rsid w:val="00B86536"/>
    <w:rsid w:val="00B8672E"/>
    <w:rsid w:val="00B86DC4"/>
    <w:rsid w:val="00B870A5"/>
    <w:rsid w:val="00B87460"/>
    <w:rsid w:val="00B914B7"/>
    <w:rsid w:val="00B94811"/>
    <w:rsid w:val="00B95F22"/>
    <w:rsid w:val="00B96717"/>
    <w:rsid w:val="00BA2DF8"/>
    <w:rsid w:val="00BA35D6"/>
    <w:rsid w:val="00BA3E45"/>
    <w:rsid w:val="00BA6652"/>
    <w:rsid w:val="00BA7B97"/>
    <w:rsid w:val="00BB0DD1"/>
    <w:rsid w:val="00BB13CD"/>
    <w:rsid w:val="00BB1595"/>
    <w:rsid w:val="00BB2B05"/>
    <w:rsid w:val="00BB410F"/>
    <w:rsid w:val="00BB6655"/>
    <w:rsid w:val="00BB6A62"/>
    <w:rsid w:val="00BB76B5"/>
    <w:rsid w:val="00BC0E47"/>
    <w:rsid w:val="00BC1092"/>
    <w:rsid w:val="00BC1A8A"/>
    <w:rsid w:val="00BC5CE9"/>
    <w:rsid w:val="00BC6243"/>
    <w:rsid w:val="00BC68D3"/>
    <w:rsid w:val="00BC7412"/>
    <w:rsid w:val="00BD0784"/>
    <w:rsid w:val="00BD1843"/>
    <w:rsid w:val="00BD2F8A"/>
    <w:rsid w:val="00BD3431"/>
    <w:rsid w:val="00BD4A2E"/>
    <w:rsid w:val="00BD501C"/>
    <w:rsid w:val="00BD524E"/>
    <w:rsid w:val="00BD5F18"/>
    <w:rsid w:val="00BD6106"/>
    <w:rsid w:val="00BD7858"/>
    <w:rsid w:val="00BE469C"/>
    <w:rsid w:val="00BE5FB3"/>
    <w:rsid w:val="00BE6D53"/>
    <w:rsid w:val="00BF1135"/>
    <w:rsid w:val="00BF2CA2"/>
    <w:rsid w:val="00BF30E4"/>
    <w:rsid w:val="00BF3829"/>
    <w:rsid w:val="00BF7715"/>
    <w:rsid w:val="00BF79B4"/>
    <w:rsid w:val="00C02111"/>
    <w:rsid w:val="00C0240E"/>
    <w:rsid w:val="00C03026"/>
    <w:rsid w:val="00C03649"/>
    <w:rsid w:val="00C0454E"/>
    <w:rsid w:val="00C06ED3"/>
    <w:rsid w:val="00C07D4B"/>
    <w:rsid w:val="00C1028B"/>
    <w:rsid w:val="00C114D7"/>
    <w:rsid w:val="00C118B1"/>
    <w:rsid w:val="00C12869"/>
    <w:rsid w:val="00C140EB"/>
    <w:rsid w:val="00C17156"/>
    <w:rsid w:val="00C171EA"/>
    <w:rsid w:val="00C207D9"/>
    <w:rsid w:val="00C23656"/>
    <w:rsid w:val="00C24D66"/>
    <w:rsid w:val="00C24E8D"/>
    <w:rsid w:val="00C25EAD"/>
    <w:rsid w:val="00C261C8"/>
    <w:rsid w:val="00C27971"/>
    <w:rsid w:val="00C27E94"/>
    <w:rsid w:val="00C31698"/>
    <w:rsid w:val="00C34112"/>
    <w:rsid w:val="00C372B1"/>
    <w:rsid w:val="00C374C1"/>
    <w:rsid w:val="00C37EAC"/>
    <w:rsid w:val="00C41202"/>
    <w:rsid w:val="00C44609"/>
    <w:rsid w:val="00C45F09"/>
    <w:rsid w:val="00C46886"/>
    <w:rsid w:val="00C468D6"/>
    <w:rsid w:val="00C46A08"/>
    <w:rsid w:val="00C46CF2"/>
    <w:rsid w:val="00C47186"/>
    <w:rsid w:val="00C472EE"/>
    <w:rsid w:val="00C502F9"/>
    <w:rsid w:val="00C50D89"/>
    <w:rsid w:val="00C50FC3"/>
    <w:rsid w:val="00C51E92"/>
    <w:rsid w:val="00C55E2C"/>
    <w:rsid w:val="00C56799"/>
    <w:rsid w:val="00C567DF"/>
    <w:rsid w:val="00C60E0B"/>
    <w:rsid w:val="00C639AB"/>
    <w:rsid w:val="00C654AD"/>
    <w:rsid w:val="00C66457"/>
    <w:rsid w:val="00C66B9F"/>
    <w:rsid w:val="00C70C08"/>
    <w:rsid w:val="00C7141C"/>
    <w:rsid w:val="00C7154A"/>
    <w:rsid w:val="00C71751"/>
    <w:rsid w:val="00C720DD"/>
    <w:rsid w:val="00C806A8"/>
    <w:rsid w:val="00C83B18"/>
    <w:rsid w:val="00C843B1"/>
    <w:rsid w:val="00C91349"/>
    <w:rsid w:val="00C94FC8"/>
    <w:rsid w:val="00C95A69"/>
    <w:rsid w:val="00CA00CC"/>
    <w:rsid w:val="00CA1255"/>
    <w:rsid w:val="00CA27E6"/>
    <w:rsid w:val="00CA5017"/>
    <w:rsid w:val="00CA5787"/>
    <w:rsid w:val="00CA77BF"/>
    <w:rsid w:val="00CB1DE6"/>
    <w:rsid w:val="00CB4139"/>
    <w:rsid w:val="00CB41A7"/>
    <w:rsid w:val="00CB5ED5"/>
    <w:rsid w:val="00CB6600"/>
    <w:rsid w:val="00CC0548"/>
    <w:rsid w:val="00CC3529"/>
    <w:rsid w:val="00CC3FC8"/>
    <w:rsid w:val="00CC7D81"/>
    <w:rsid w:val="00CD0400"/>
    <w:rsid w:val="00CD3477"/>
    <w:rsid w:val="00CD39B5"/>
    <w:rsid w:val="00CD715D"/>
    <w:rsid w:val="00CD78C9"/>
    <w:rsid w:val="00CE0B9E"/>
    <w:rsid w:val="00CE0F23"/>
    <w:rsid w:val="00CE4461"/>
    <w:rsid w:val="00CE578A"/>
    <w:rsid w:val="00CE6308"/>
    <w:rsid w:val="00CE6B1E"/>
    <w:rsid w:val="00CF134F"/>
    <w:rsid w:val="00CF1355"/>
    <w:rsid w:val="00CF3AA1"/>
    <w:rsid w:val="00CF4285"/>
    <w:rsid w:val="00CF4BCD"/>
    <w:rsid w:val="00CF57D8"/>
    <w:rsid w:val="00CF6513"/>
    <w:rsid w:val="00CF72F4"/>
    <w:rsid w:val="00CF78F0"/>
    <w:rsid w:val="00D035AA"/>
    <w:rsid w:val="00D04DD8"/>
    <w:rsid w:val="00D108A5"/>
    <w:rsid w:val="00D1509B"/>
    <w:rsid w:val="00D15288"/>
    <w:rsid w:val="00D16801"/>
    <w:rsid w:val="00D206D1"/>
    <w:rsid w:val="00D20F42"/>
    <w:rsid w:val="00D22DAB"/>
    <w:rsid w:val="00D25B04"/>
    <w:rsid w:val="00D266EE"/>
    <w:rsid w:val="00D3024C"/>
    <w:rsid w:val="00D304C4"/>
    <w:rsid w:val="00D30917"/>
    <w:rsid w:val="00D30F8B"/>
    <w:rsid w:val="00D33140"/>
    <w:rsid w:val="00D34274"/>
    <w:rsid w:val="00D348EF"/>
    <w:rsid w:val="00D373E0"/>
    <w:rsid w:val="00D40240"/>
    <w:rsid w:val="00D4099C"/>
    <w:rsid w:val="00D42136"/>
    <w:rsid w:val="00D46314"/>
    <w:rsid w:val="00D4787C"/>
    <w:rsid w:val="00D50DFE"/>
    <w:rsid w:val="00D516A3"/>
    <w:rsid w:val="00D517D6"/>
    <w:rsid w:val="00D518C8"/>
    <w:rsid w:val="00D520AD"/>
    <w:rsid w:val="00D53511"/>
    <w:rsid w:val="00D5438F"/>
    <w:rsid w:val="00D5648C"/>
    <w:rsid w:val="00D60A48"/>
    <w:rsid w:val="00D7076F"/>
    <w:rsid w:val="00D71413"/>
    <w:rsid w:val="00D73160"/>
    <w:rsid w:val="00D73E1C"/>
    <w:rsid w:val="00D74857"/>
    <w:rsid w:val="00D7679A"/>
    <w:rsid w:val="00D80938"/>
    <w:rsid w:val="00D816CC"/>
    <w:rsid w:val="00D82F66"/>
    <w:rsid w:val="00D83ADC"/>
    <w:rsid w:val="00D845C0"/>
    <w:rsid w:val="00D84A36"/>
    <w:rsid w:val="00D8566F"/>
    <w:rsid w:val="00D857AA"/>
    <w:rsid w:val="00D85F62"/>
    <w:rsid w:val="00D86AE2"/>
    <w:rsid w:val="00D86D01"/>
    <w:rsid w:val="00D909D3"/>
    <w:rsid w:val="00D90B17"/>
    <w:rsid w:val="00D90B75"/>
    <w:rsid w:val="00D915F8"/>
    <w:rsid w:val="00D9403B"/>
    <w:rsid w:val="00D94D85"/>
    <w:rsid w:val="00D96DFA"/>
    <w:rsid w:val="00DA1851"/>
    <w:rsid w:val="00DA1FE2"/>
    <w:rsid w:val="00DA2F1E"/>
    <w:rsid w:val="00DA4190"/>
    <w:rsid w:val="00DA52C5"/>
    <w:rsid w:val="00DA5406"/>
    <w:rsid w:val="00DB1592"/>
    <w:rsid w:val="00DB2336"/>
    <w:rsid w:val="00DB3048"/>
    <w:rsid w:val="00DB792F"/>
    <w:rsid w:val="00DC0268"/>
    <w:rsid w:val="00DC0824"/>
    <w:rsid w:val="00DC0AC0"/>
    <w:rsid w:val="00DC0DCD"/>
    <w:rsid w:val="00DC15C7"/>
    <w:rsid w:val="00DC2F28"/>
    <w:rsid w:val="00DC563A"/>
    <w:rsid w:val="00DC67C3"/>
    <w:rsid w:val="00DC6A49"/>
    <w:rsid w:val="00DD0BF5"/>
    <w:rsid w:val="00DD1B8D"/>
    <w:rsid w:val="00DD3428"/>
    <w:rsid w:val="00DD3DC5"/>
    <w:rsid w:val="00DD697F"/>
    <w:rsid w:val="00DE0B4B"/>
    <w:rsid w:val="00DE2A7C"/>
    <w:rsid w:val="00DE4E98"/>
    <w:rsid w:val="00DE6E83"/>
    <w:rsid w:val="00DE6ED9"/>
    <w:rsid w:val="00DE70DB"/>
    <w:rsid w:val="00DE768C"/>
    <w:rsid w:val="00DF2B6B"/>
    <w:rsid w:val="00DF38A7"/>
    <w:rsid w:val="00DF48DA"/>
    <w:rsid w:val="00DF57A1"/>
    <w:rsid w:val="00DF6219"/>
    <w:rsid w:val="00E02463"/>
    <w:rsid w:val="00E039F2"/>
    <w:rsid w:val="00E03AAB"/>
    <w:rsid w:val="00E05E7A"/>
    <w:rsid w:val="00E10507"/>
    <w:rsid w:val="00E11F95"/>
    <w:rsid w:val="00E126D8"/>
    <w:rsid w:val="00E13FCD"/>
    <w:rsid w:val="00E151CA"/>
    <w:rsid w:val="00E15F30"/>
    <w:rsid w:val="00E162D9"/>
    <w:rsid w:val="00E178EE"/>
    <w:rsid w:val="00E17DC2"/>
    <w:rsid w:val="00E22FE6"/>
    <w:rsid w:val="00E230E6"/>
    <w:rsid w:val="00E23C4D"/>
    <w:rsid w:val="00E23E79"/>
    <w:rsid w:val="00E26989"/>
    <w:rsid w:val="00E30C02"/>
    <w:rsid w:val="00E33B74"/>
    <w:rsid w:val="00E345E3"/>
    <w:rsid w:val="00E35729"/>
    <w:rsid w:val="00E36BA1"/>
    <w:rsid w:val="00E42098"/>
    <w:rsid w:val="00E42EF9"/>
    <w:rsid w:val="00E42FFF"/>
    <w:rsid w:val="00E43BF6"/>
    <w:rsid w:val="00E43CCB"/>
    <w:rsid w:val="00E4512E"/>
    <w:rsid w:val="00E46787"/>
    <w:rsid w:val="00E47D81"/>
    <w:rsid w:val="00E5014D"/>
    <w:rsid w:val="00E503BF"/>
    <w:rsid w:val="00E53A24"/>
    <w:rsid w:val="00E54B19"/>
    <w:rsid w:val="00E5538A"/>
    <w:rsid w:val="00E60A17"/>
    <w:rsid w:val="00E60F1C"/>
    <w:rsid w:val="00E62903"/>
    <w:rsid w:val="00E638DC"/>
    <w:rsid w:val="00E648BC"/>
    <w:rsid w:val="00E6491E"/>
    <w:rsid w:val="00E65D81"/>
    <w:rsid w:val="00E6603E"/>
    <w:rsid w:val="00E6614D"/>
    <w:rsid w:val="00E66EB5"/>
    <w:rsid w:val="00E71BF2"/>
    <w:rsid w:val="00E72841"/>
    <w:rsid w:val="00E72BAE"/>
    <w:rsid w:val="00E73886"/>
    <w:rsid w:val="00E77888"/>
    <w:rsid w:val="00E81C8A"/>
    <w:rsid w:val="00E849C0"/>
    <w:rsid w:val="00E85902"/>
    <w:rsid w:val="00E87045"/>
    <w:rsid w:val="00E8714E"/>
    <w:rsid w:val="00E90737"/>
    <w:rsid w:val="00E909F8"/>
    <w:rsid w:val="00E90CBD"/>
    <w:rsid w:val="00E917CC"/>
    <w:rsid w:val="00E91E63"/>
    <w:rsid w:val="00E932F2"/>
    <w:rsid w:val="00E9515A"/>
    <w:rsid w:val="00E96741"/>
    <w:rsid w:val="00E96D42"/>
    <w:rsid w:val="00E97ABC"/>
    <w:rsid w:val="00EA0B79"/>
    <w:rsid w:val="00EA0CB2"/>
    <w:rsid w:val="00EA1E68"/>
    <w:rsid w:val="00EA3751"/>
    <w:rsid w:val="00EA3784"/>
    <w:rsid w:val="00EA57BC"/>
    <w:rsid w:val="00EA6420"/>
    <w:rsid w:val="00EA6508"/>
    <w:rsid w:val="00EB0A01"/>
    <w:rsid w:val="00EB1D23"/>
    <w:rsid w:val="00EB1EF0"/>
    <w:rsid w:val="00EB26A7"/>
    <w:rsid w:val="00EB3B55"/>
    <w:rsid w:val="00EB4B40"/>
    <w:rsid w:val="00EB5E4E"/>
    <w:rsid w:val="00EB6645"/>
    <w:rsid w:val="00EB7047"/>
    <w:rsid w:val="00EB707E"/>
    <w:rsid w:val="00EC0217"/>
    <w:rsid w:val="00EC17A9"/>
    <w:rsid w:val="00EC200E"/>
    <w:rsid w:val="00EC4591"/>
    <w:rsid w:val="00EC5C95"/>
    <w:rsid w:val="00ED2AE4"/>
    <w:rsid w:val="00ED445A"/>
    <w:rsid w:val="00ED493B"/>
    <w:rsid w:val="00ED5EDF"/>
    <w:rsid w:val="00ED6C5D"/>
    <w:rsid w:val="00EE0134"/>
    <w:rsid w:val="00EE0F8E"/>
    <w:rsid w:val="00EE25FF"/>
    <w:rsid w:val="00EE3248"/>
    <w:rsid w:val="00EE32B1"/>
    <w:rsid w:val="00EE332A"/>
    <w:rsid w:val="00EE7C23"/>
    <w:rsid w:val="00EF553F"/>
    <w:rsid w:val="00EF5F34"/>
    <w:rsid w:val="00EF71D4"/>
    <w:rsid w:val="00EF7837"/>
    <w:rsid w:val="00F001D5"/>
    <w:rsid w:val="00F003AB"/>
    <w:rsid w:val="00F0088D"/>
    <w:rsid w:val="00F00CEB"/>
    <w:rsid w:val="00F018FF"/>
    <w:rsid w:val="00F01D45"/>
    <w:rsid w:val="00F023DB"/>
    <w:rsid w:val="00F0486A"/>
    <w:rsid w:val="00F04AB9"/>
    <w:rsid w:val="00F06640"/>
    <w:rsid w:val="00F10F07"/>
    <w:rsid w:val="00F11A68"/>
    <w:rsid w:val="00F11DBC"/>
    <w:rsid w:val="00F127FE"/>
    <w:rsid w:val="00F148B0"/>
    <w:rsid w:val="00F163E3"/>
    <w:rsid w:val="00F16613"/>
    <w:rsid w:val="00F16AA3"/>
    <w:rsid w:val="00F1751C"/>
    <w:rsid w:val="00F2056E"/>
    <w:rsid w:val="00F20C94"/>
    <w:rsid w:val="00F21A29"/>
    <w:rsid w:val="00F24217"/>
    <w:rsid w:val="00F31671"/>
    <w:rsid w:val="00F31F3C"/>
    <w:rsid w:val="00F32ED6"/>
    <w:rsid w:val="00F35E1A"/>
    <w:rsid w:val="00F40DCA"/>
    <w:rsid w:val="00F43666"/>
    <w:rsid w:val="00F462E4"/>
    <w:rsid w:val="00F501CB"/>
    <w:rsid w:val="00F508BA"/>
    <w:rsid w:val="00F5097C"/>
    <w:rsid w:val="00F554AB"/>
    <w:rsid w:val="00F560F6"/>
    <w:rsid w:val="00F56CCA"/>
    <w:rsid w:val="00F60C90"/>
    <w:rsid w:val="00F60D07"/>
    <w:rsid w:val="00F6115F"/>
    <w:rsid w:val="00F62D73"/>
    <w:rsid w:val="00F62F85"/>
    <w:rsid w:val="00F63043"/>
    <w:rsid w:val="00F6396B"/>
    <w:rsid w:val="00F63B7E"/>
    <w:rsid w:val="00F64545"/>
    <w:rsid w:val="00F64855"/>
    <w:rsid w:val="00F64F63"/>
    <w:rsid w:val="00F6595F"/>
    <w:rsid w:val="00F67488"/>
    <w:rsid w:val="00F67F2C"/>
    <w:rsid w:val="00F7039A"/>
    <w:rsid w:val="00F70F0F"/>
    <w:rsid w:val="00F74366"/>
    <w:rsid w:val="00F74608"/>
    <w:rsid w:val="00F7609E"/>
    <w:rsid w:val="00F767EA"/>
    <w:rsid w:val="00F76800"/>
    <w:rsid w:val="00F77177"/>
    <w:rsid w:val="00F77940"/>
    <w:rsid w:val="00F82832"/>
    <w:rsid w:val="00F82E90"/>
    <w:rsid w:val="00F8357F"/>
    <w:rsid w:val="00F8380B"/>
    <w:rsid w:val="00F858C7"/>
    <w:rsid w:val="00F85B25"/>
    <w:rsid w:val="00F860FA"/>
    <w:rsid w:val="00F918FB"/>
    <w:rsid w:val="00F9216A"/>
    <w:rsid w:val="00F95D40"/>
    <w:rsid w:val="00F97366"/>
    <w:rsid w:val="00F97902"/>
    <w:rsid w:val="00FA1D5C"/>
    <w:rsid w:val="00FA2967"/>
    <w:rsid w:val="00FA3120"/>
    <w:rsid w:val="00FA341E"/>
    <w:rsid w:val="00FA375A"/>
    <w:rsid w:val="00FA4619"/>
    <w:rsid w:val="00FA57DB"/>
    <w:rsid w:val="00FA77DA"/>
    <w:rsid w:val="00FB1C63"/>
    <w:rsid w:val="00FB23D9"/>
    <w:rsid w:val="00FB4D16"/>
    <w:rsid w:val="00FB5E31"/>
    <w:rsid w:val="00FB7802"/>
    <w:rsid w:val="00FB7A11"/>
    <w:rsid w:val="00FC2A41"/>
    <w:rsid w:val="00FC34E2"/>
    <w:rsid w:val="00FC4ECB"/>
    <w:rsid w:val="00FC682B"/>
    <w:rsid w:val="00FC7237"/>
    <w:rsid w:val="00FC7CAE"/>
    <w:rsid w:val="00FD01EB"/>
    <w:rsid w:val="00FD0796"/>
    <w:rsid w:val="00FD0DA6"/>
    <w:rsid w:val="00FD2ADE"/>
    <w:rsid w:val="00FD3B05"/>
    <w:rsid w:val="00FD57DF"/>
    <w:rsid w:val="00FD5B34"/>
    <w:rsid w:val="00FD660B"/>
    <w:rsid w:val="00FE03BD"/>
    <w:rsid w:val="00FE0BBA"/>
    <w:rsid w:val="00FE26AD"/>
    <w:rsid w:val="00FE2D3C"/>
    <w:rsid w:val="00FE3AAC"/>
    <w:rsid w:val="00FE4A95"/>
    <w:rsid w:val="00FF03CA"/>
    <w:rsid w:val="00FF11A1"/>
    <w:rsid w:val="00FF22B5"/>
    <w:rsid w:val="00FF4713"/>
    <w:rsid w:val="00FF53AF"/>
    <w:rsid w:val="00FF5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6C00B"/>
  <w15:chartTrackingRefBased/>
  <w15:docId w15:val="{ABEB489F-8641-4BAE-8161-CA06CD24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A41"/>
    <w:pPr>
      <w:spacing w:line="256" w:lineRule="auto"/>
    </w:pPr>
    <w:rPr>
      <w:color w:val="auto"/>
      <w:kern w:val="0"/>
      <w:sz w:val="24"/>
      <w:szCs w:val="24"/>
      <w14:ligatures w14:val="none"/>
    </w:rPr>
  </w:style>
  <w:style w:type="paragraph" w:styleId="Heading1">
    <w:name w:val="heading 1"/>
    <w:basedOn w:val="Normal"/>
    <w:next w:val="Normal"/>
    <w:link w:val="Heading1Char"/>
    <w:uiPriority w:val="9"/>
    <w:qFormat/>
    <w:rsid w:val="00C2797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2797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2797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2797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C2797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C2797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C2797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C2797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C27971"/>
    <w:pPr>
      <w:keepNext/>
      <w:keepLines/>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97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97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2797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279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279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279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279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2797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27971"/>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C27971"/>
    <w:pPr>
      <w:numPr>
        <w:ilvl w:val="1"/>
      </w:numPr>
      <w:spacing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279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27971"/>
    <w:pPr>
      <w:spacing w:before="160" w:line="259" w:lineRule="auto"/>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C27971"/>
    <w:rPr>
      <w:i/>
      <w:iCs/>
      <w:color w:val="404040" w:themeColor="text1" w:themeTint="BF"/>
    </w:rPr>
  </w:style>
  <w:style w:type="paragraph" w:styleId="ListParagraph">
    <w:name w:val="List Paragraph"/>
    <w:basedOn w:val="Normal"/>
    <w:uiPriority w:val="34"/>
    <w:qFormat/>
    <w:rsid w:val="00C27971"/>
    <w:pPr>
      <w:spacing w:line="259" w:lineRule="auto"/>
      <w:ind w:left="720"/>
      <w:contextualSpacing/>
    </w:pPr>
    <w:rPr>
      <w:color w:val="000000"/>
      <w:kern w:val="2"/>
      <w:sz w:val="22"/>
      <w:szCs w:val="22"/>
      <w14:ligatures w14:val="standardContextual"/>
    </w:rPr>
  </w:style>
  <w:style w:type="character" w:styleId="IntenseEmphasis">
    <w:name w:val="Intense Emphasis"/>
    <w:basedOn w:val="DefaultParagraphFont"/>
    <w:uiPriority w:val="21"/>
    <w:qFormat/>
    <w:rsid w:val="00C27971"/>
    <w:rPr>
      <w:i/>
      <w:iCs/>
      <w:color w:val="0F4761" w:themeColor="accent1" w:themeShade="BF"/>
    </w:rPr>
  </w:style>
  <w:style w:type="paragraph" w:styleId="IntenseQuote">
    <w:name w:val="Intense Quote"/>
    <w:basedOn w:val="Normal"/>
    <w:next w:val="Normal"/>
    <w:link w:val="IntenseQuoteChar"/>
    <w:uiPriority w:val="30"/>
    <w:qFormat/>
    <w:rsid w:val="00C27971"/>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C27971"/>
    <w:rPr>
      <w:i/>
      <w:iCs/>
      <w:color w:val="0F4761" w:themeColor="accent1" w:themeShade="BF"/>
    </w:rPr>
  </w:style>
  <w:style w:type="character" w:styleId="IntenseReference">
    <w:name w:val="Intense Reference"/>
    <w:basedOn w:val="DefaultParagraphFont"/>
    <w:uiPriority w:val="32"/>
    <w:qFormat/>
    <w:rsid w:val="00C27971"/>
    <w:rPr>
      <w:b/>
      <w:bCs/>
      <w:smallCaps/>
      <w:color w:val="0F4761" w:themeColor="accent1" w:themeShade="BF"/>
      <w:spacing w:val="5"/>
    </w:rPr>
  </w:style>
  <w:style w:type="paragraph" w:styleId="Header">
    <w:name w:val="header"/>
    <w:basedOn w:val="Normal"/>
    <w:link w:val="HeaderChar"/>
    <w:uiPriority w:val="99"/>
    <w:unhideWhenUsed/>
    <w:rsid w:val="000A6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C8"/>
    <w:rPr>
      <w:color w:val="auto"/>
      <w:kern w:val="0"/>
      <w:sz w:val="24"/>
      <w:szCs w:val="24"/>
      <w14:ligatures w14:val="none"/>
    </w:rPr>
  </w:style>
  <w:style w:type="paragraph" w:styleId="Footer">
    <w:name w:val="footer"/>
    <w:basedOn w:val="Normal"/>
    <w:link w:val="FooterChar"/>
    <w:uiPriority w:val="99"/>
    <w:unhideWhenUsed/>
    <w:rsid w:val="000A6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C8"/>
    <w:rPr>
      <w:color w:val="auto"/>
      <w:kern w:val="0"/>
      <w:sz w:val="24"/>
      <w:szCs w:val="24"/>
      <w14:ligatures w14:val="none"/>
    </w:rPr>
  </w:style>
  <w:style w:type="character" w:styleId="LineNumber">
    <w:name w:val="line number"/>
    <w:basedOn w:val="DefaultParagraphFont"/>
    <w:uiPriority w:val="99"/>
    <w:semiHidden/>
    <w:unhideWhenUsed/>
    <w:rsid w:val="000A67C8"/>
  </w:style>
  <w:style w:type="paragraph" w:styleId="Revision">
    <w:name w:val="Revision"/>
    <w:hidden/>
    <w:uiPriority w:val="99"/>
    <w:semiHidden/>
    <w:rsid w:val="00EB5E4E"/>
    <w:pPr>
      <w:spacing w:after="0" w:line="240" w:lineRule="auto"/>
    </w:pPr>
    <w:rPr>
      <w:color w:val="auto"/>
      <w:kern w:val="0"/>
      <w:sz w:val="24"/>
      <w:szCs w:val="24"/>
      <w14:ligatures w14:val="none"/>
    </w:rPr>
  </w:style>
  <w:style w:type="paragraph" w:customStyle="1" w:styleId="paragraph">
    <w:name w:val="paragraph"/>
    <w:basedOn w:val="Normal"/>
    <w:link w:val="paragraphChar"/>
    <w:rsid w:val="00021B8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paragraphChar">
    <w:name w:val="paragraph Char"/>
    <w:basedOn w:val="DefaultParagraphFont"/>
    <w:link w:val="paragraph"/>
    <w:rsid w:val="00021B8C"/>
    <w:rPr>
      <w:rFonts w:ascii="Times New Roman" w:eastAsia="Times New Roman" w:hAnsi="Times New Roman" w:cs="Times New Roman"/>
      <w:color w:val="auto"/>
      <w:kern w:val="0"/>
      <w:sz w:val="24"/>
      <w:szCs w:val="24"/>
      <w:lang w:eastAsia="en-GB"/>
      <w14:ligatures w14:val="none"/>
    </w:rPr>
  </w:style>
  <w:style w:type="paragraph" w:customStyle="1" w:styleId="EndNoteBibliographyTitle">
    <w:name w:val="EndNote Bibliography Title"/>
    <w:basedOn w:val="Normal"/>
    <w:link w:val="EndNoteBibliographyTitleChar"/>
    <w:rsid w:val="00167C99"/>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67C99"/>
    <w:rPr>
      <w:noProof/>
      <w:color w:val="auto"/>
      <w:kern w:val="0"/>
      <w:sz w:val="24"/>
      <w:szCs w:val="24"/>
      <w:lang w:val="en-US"/>
      <w14:ligatures w14:val="none"/>
    </w:rPr>
  </w:style>
  <w:style w:type="paragraph" w:customStyle="1" w:styleId="EndNoteBibliography">
    <w:name w:val="EndNote Bibliography"/>
    <w:basedOn w:val="Normal"/>
    <w:link w:val="EndNoteBibliographyChar"/>
    <w:rsid w:val="00167C99"/>
    <w:pPr>
      <w:spacing w:line="240" w:lineRule="auto"/>
    </w:pPr>
    <w:rPr>
      <w:noProof/>
      <w:lang w:val="en-US"/>
    </w:rPr>
  </w:style>
  <w:style w:type="character" w:customStyle="1" w:styleId="EndNoteBibliographyChar">
    <w:name w:val="EndNote Bibliography Char"/>
    <w:basedOn w:val="DefaultParagraphFont"/>
    <w:link w:val="EndNoteBibliography"/>
    <w:rsid w:val="00167C99"/>
    <w:rPr>
      <w:noProof/>
      <w:color w:val="auto"/>
      <w:kern w:val="0"/>
      <w:sz w:val="24"/>
      <w:szCs w:val="24"/>
      <w:lang w:val="en-US"/>
      <w14:ligatures w14:val="none"/>
    </w:rPr>
  </w:style>
  <w:style w:type="character" w:styleId="Hyperlink">
    <w:name w:val="Hyperlink"/>
    <w:basedOn w:val="DefaultParagraphFont"/>
    <w:uiPriority w:val="99"/>
    <w:unhideWhenUsed/>
    <w:rsid w:val="00167C99"/>
    <w:rPr>
      <w:color w:val="467886" w:themeColor="hyperlink"/>
      <w:u w:val="single"/>
    </w:rPr>
  </w:style>
  <w:style w:type="character" w:customStyle="1" w:styleId="UnresolvedMention1">
    <w:name w:val="Unresolved Mention1"/>
    <w:basedOn w:val="DefaultParagraphFont"/>
    <w:uiPriority w:val="99"/>
    <w:semiHidden/>
    <w:unhideWhenUsed/>
    <w:rsid w:val="00167C99"/>
    <w:rPr>
      <w:color w:val="605E5C"/>
      <w:shd w:val="clear" w:color="auto" w:fill="E1DFDD"/>
    </w:rPr>
  </w:style>
  <w:style w:type="character" w:styleId="CommentReference">
    <w:name w:val="annotation reference"/>
    <w:basedOn w:val="DefaultParagraphFont"/>
    <w:uiPriority w:val="99"/>
    <w:semiHidden/>
    <w:unhideWhenUsed/>
    <w:rsid w:val="00145C45"/>
    <w:rPr>
      <w:sz w:val="16"/>
      <w:szCs w:val="16"/>
    </w:rPr>
  </w:style>
  <w:style w:type="paragraph" w:styleId="CommentText">
    <w:name w:val="annotation text"/>
    <w:basedOn w:val="Normal"/>
    <w:link w:val="CommentTextChar"/>
    <w:uiPriority w:val="99"/>
    <w:unhideWhenUsed/>
    <w:rsid w:val="00145C45"/>
    <w:pPr>
      <w:spacing w:line="240" w:lineRule="auto"/>
    </w:pPr>
    <w:rPr>
      <w:sz w:val="20"/>
      <w:szCs w:val="20"/>
    </w:rPr>
  </w:style>
  <w:style w:type="character" w:customStyle="1" w:styleId="CommentTextChar">
    <w:name w:val="Comment Text Char"/>
    <w:basedOn w:val="DefaultParagraphFont"/>
    <w:link w:val="CommentText"/>
    <w:uiPriority w:val="99"/>
    <w:rsid w:val="00145C45"/>
    <w:rPr>
      <w:color w:val="auto"/>
      <w:kern w:val="0"/>
      <w:sz w:val="20"/>
      <w:szCs w:val="20"/>
      <w14:ligatures w14:val="none"/>
    </w:rPr>
  </w:style>
  <w:style w:type="character" w:styleId="Strong">
    <w:name w:val="Strong"/>
    <w:basedOn w:val="DefaultParagraphFont"/>
    <w:uiPriority w:val="22"/>
    <w:qFormat/>
    <w:rsid w:val="00304569"/>
    <w:rPr>
      <w:b/>
      <w:bCs/>
    </w:rPr>
  </w:style>
  <w:style w:type="character" w:styleId="Emphasis">
    <w:name w:val="Emphasis"/>
    <w:basedOn w:val="DefaultParagraphFont"/>
    <w:uiPriority w:val="20"/>
    <w:qFormat/>
    <w:rsid w:val="006E0B54"/>
    <w:rPr>
      <w:i/>
      <w:iCs/>
    </w:rPr>
  </w:style>
  <w:style w:type="character" w:customStyle="1" w:styleId="mord">
    <w:name w:val="mord"/>
    <w:basedOn w:val="DefaultParagraphFont"/>
    <w:rsid w:val="0044216C"/>
  </w:style>
  <w:style w:type="character" w:customStyle="1" w:styleId="mpunct">
    <w:name w:val="mpunct"/>
    <w:basedOn w:val="DefaultParagraphFont"/>
    <w:rsid w:val="007D6754"/>
  </w:style>
  <w:style w:type="character" w:customStyle="1" w:styleId="mopen">
    <w:name w:val="mopen"/>
    <w:basedOn w:val="DefaultParagraphFont"/>
    <w:rsid w:val="007D6754"/>
  </w:style>
  <w:style w:type="character" w:customStyle="1" w:styleId="katex-mathml">
    <w:name w:val="katex-mathml"/>
    <w:basedOn w:val="DefaultParagraphFont"/>
    <w:rsid w:val="004E01E7"/>
  </w:style>
  <w:style w:type="character" w:customStyle="1" w:styleId="mbin">
    <w:name w:val="mbin"/>
    <w:basedOn w:val="DefaultParagraphFont"/>
    <w:rsid w:val="006C42E7"/>
  </w:style>
  <w:style w:type="character" w:styleId="PlaceholderText">
    <w:name w:val="Placeholder Text"/>
    <w:basedOn w:val="DefaultParagraphFont"/>
    <w:uiPriority w:val="99"/>
    <w:semiHidden/>
    <w:rsid w:val="00455DE2"/>
    <w:rPr>
      <w:color w:val="666666"/>
    </w:rPr>
  </w:style>
  <w:style w:type="character" w:customStyle="1" w:styleId="mclose">
    <w:name w:val="mclose"/>
    <w:basedOn w:val="DefaultParagraphFont"/>
    <w:rsid w:val="000E42E1"/>
  </w:style>
  <w:style w:type="character" w:customStyle="1" w:styleId="mrel">
    <w:name w:val="mrel"/>
    <w:basedOn w:val="DefaultParagraphFont"/>
    <w:rsid w:val="000E42E1"/>
  </w:style>
  <w:style w:type="paragraph" w:styleId="NormalWeb">
    <w:name w:val="Normal (Web)"/>
    <w:basedOn w:val="Normal"/>
    <w:uiPriority w:val="99"/>
    <w:semiHidden/>
    <w:unhideWhenUsed/>
    <w:rsid w:val="00E039F2"/>
    <w:pPr>
      <w:spacing w:before="100" w:beforeAutospacing="1" w:after="100" w:afterAutospacing="1" w:line="240" w:lineRule="auto"/>
    </w:pPr>
    <w:rPr>
      <w:rFonts w:ascii="Times New Roman" w:eastAsia="Times New Roman" w:hAnsi="Times New Roman" w:cs="Times New Roman"/>
      <w:lang w:eastAsia="en-GB"/>
    </w:rPr>
  </w:style>
  <w:style w:type="table" w:styleId="TableGrid">
    <w:name w:val="Table Grid"/>
    <w:basedOn w:val="TableNormal"/>
    <w:uiPriority w:val="39"/>
    <w:rsid w:val="00481F16"/>
    <w:pPr>
      <w:spacing w:after="0" w:line="240" w:lineRule="auto"/>
    </w:pPr>
    <w:rPr>
      <w:rFonts w:asciiTheme="minorHAnsi" w:hAnsiTheme="minorHAnsi" w:cstheme="minorBidi"/>
      <w:color w:val="aut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4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68E"/>
    <w:rPr>
      <w:rFonts w:ascii="Segoe UI" w:hAnsi="Segoe UI" w:cs="Segoe UI"/>
      <w:color w:val="auto"/>
      <w:kern w:val="0"/>
      <w:sz w:val="18"/>
      <w:szCs w:val="18"/>
      <w14:ligatures w14:val="none"/>
    </w:rPr>
  </w:style>
  <w:style w:type="character" w:styleId="FollowedHyperlink">
    <w:name w:val="FollowedHyperlink"/>
    <w:basedOn w:val="DefaultParagraphFont"/>
    <w:uiPriority w:val="99"/>
    <w:semiHidden/>
    <w:unhideWhenUsed/>
    <w:rsid w:val="0091621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194">
      <w:bodyDiv w:val="1"/>
      <w:marLeft w:val="0"/>
      <w:marRight w:val="0"/>
      <w:marTop w:val="0"/>
      <w:marBottom w:val="0"/>
      <w:divBdr>
        <w:top w:val="none" w:sz="0" w:space="0" w:color="auto"/>
        <w:left w:val="none" w:sz="0" w:space="0" w:color="auto"/>
        <w:bottom w:val="none" w:sz="0" w:space="0" w:color="auto"/>
        <w:right w:val="none" w:sz="0" w:space="0" w:color="auto"/>
      </w:divBdr>
    </w:div>
    <w:div w:id="439489810">
      <w:bodyDiv w:val="1"/>
      <w:marLeft w:val="0"/>
      <w:marRight w:val="0"/>
      <w:marTop w:val="0"/>
      <w:marBottom w:val="0"/>
      <w:divBdr>
        <w:top w:val="none" w:sz="0" w:space="0" w:color="auto"/>
        <w:left w:val="none" w:sz="0" w:space="0" w:color="auto"/>
        <w:bottom w:val="none" w:sz="0" w:space="0" w:color="auto"/>
        <w:right w:val="none" w:sz="0" w:space="0" w:color="auto"/>
      </w:divBdr>
    </w:div>
    <w:div w:id="1328749268">
      <w:bodyDiv w:val="1"/>
      <w:marLeft w:val="0"/>
      <w:marRight w:val="0"/>
      <w:marTop w:val="0"/>
      <w:marBottom w:val="0"/>
      <w:divBdr>
        <w:top w:val="none" w:sz="0" w:space="0" w:color="auto"/>
        <w:left w:val="none" w:sz="0" w:space="0" w:color="auto"/>
        <w:bottom w:val="none" w:sz="0" w:space="0" w:color="auto"/>
        <w:right w:val="none" w:sz="0" w:space="0" w:color="auto"/>
      </w:divBdr>
    </w:div>
    <w:div w:id="1434059670">
      <w:bodyDiv w:val="1"/>
      <w:marLeft w:val="0"/>
      <w:marRight w:val="0"/>
      <w:marTop w:val="0"/>
      <w:marBottom w:val="0"/>
      <w:divBdr>
        <w:top w:val="none" w:sz="0" w:space="0" w:color="auto"/>
        <w:left w:val="none" w:sz="0" w:space="0" w:color="auto"/>
        <w:bottom w:val="none" w:sz="0" w:space="0" w:color="auto"/>
        <w:right w:val="none" w:sz="0" w:space="0" w:color="auto"/>
      </w:divBdr>
    </w:div>
    <w:div w:id="1464614005">
      <w:bodyDiv w:val="1"/>
      <w:marLeft w:val="0"/>
      <w:marRight w:val="0"/>
      <w:marTop w:val="0"/>
      <w:marBottom w:val="0"/>
      <w:divBdr>
        <w:top w:val="none" w:sz="0" w:space="0" w:color="auto"/>
        <w:left w:val="none" w:sz="0" w:space="0" w:color="auto"/>
        <w:bottom w:val="none" w:sz="0" w:space="0" w:color="auto"/>
        <w:right w:val="none" w:sz="0" w:space="0" w:color="auto"/>
      </w:divBdr>
      <w:divsChild>
        <w:div w:id="306129653">
          <w:marLeft w:val="0"/>
          <w:marRight w:val="0"/>
          <w:marTop w:val="0"/>
          <w:marBottom w:val="0"/>
          <w:divBdr>
            <w:top w:val="none" w:sz="0" w:space="0" w:color="auto"/>
            <w:left w:val="none" w:sz="0" w:space="0" w:color="auto"/>
            <w:bottom w:val="none" w:sz="0" w:space="0" w:color="auto"/>
            <w:right w:val="none" w:sz="0" w:space="0" w:color="auto"/>
          </w:divBdr>
          <w:divsChild>
            <w:div w:id="1357729578">
              <w:marLeft w:val="0"/>
              <w:marRight w:val="0"/>
              <w:marTop w:val="0"/>
              <w:marBottom w:val="0"/>
              <w:divBdr>
                <w:top w:val="none" w:sz="0" w:space="0" w:color="auto"/>
                <w:left w:val="none" w:sz="0" w:space="0" w:color="auto"/>
                <w:bottom w:val="none" w:sz="0" w:space="0" w:color="auto"/>
                <w:right w:val="none" w:sz="0" w:space="0" w:color="auto"/>
              </w:divBdr>
              <w:divsChild>
                <w:div w:id="655036706">
                  <w:marLeft w:val="0"/>
                  <w:marRight w:val="0"/>
                  <w:marTop w:val="0"/>
                  <w:marBottom w:val="0"/>
                  <w:divBdr>
                    <w:top w:val="none" w:sz="0" w:space="0" w:color="auto"/>
                    <w:left w:val="none" w:sz="0" w:space="0" w:color="auto"/>
                    <w:bottom w:val="none" w:sz="0" w:space="0" w:color="auto"/>
                    <w:right w:val="none" w:sz="0" w:space="0" w:color="auto"/>
                  </w:divBdr>
                  <w:divsChild>
                    <w:div w:id="12806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80480">
          <w:marLeft w:val="0"/>
          <w:marRight w:val="0"/>
          <w:marTop w:val="0"/>
          <w:marBottom w:val="0"/>
          <w:divBdr>
            <w:top w:val="none" w:sz="0" w:space="0" w:color="auto"/>
            <w:left w:val="none" w:sz="0" w:space="0" w:color="auto"/>
            <w:bottom w:val="none" w:sz="0" w:space="0" w:color="auto"/>
            <w:right w:val="none" w:sz="0" w:space="0" w:color="auto"/>
          </w:divBdr>
          <w:divsChild>
            <w:div w:id="1150830579">
              <w:marLeft w:val="0"/>
              <w:marRight w:val="0"/>
              <w:marTop w:val="0"/>
              <w:marBottom w:val="0"/>
              <w:divBdr>
                <w:top w:val="none" w:sz="0" w:space="0" w:color="auto"/>
                <w:left w:val="none" w:sz="0" w:space="0" w:color="auto"/>
                <w:bottom w:val="none" w:sz="0" w:space="0" w:color="auto"/>
                <w:right w:val="none" w:sz="0" w:space="0" w:color="auto"/>
              </w:divBdr>
              <w:divsChild>
                <w:div w:id="663633379">
                  <w:marLeft w:val="0"/>
                  <w:marRight w:val="0"/>
                  <w:marTop w:val="0"/>
                  <w:marBottom w:val="0"/>
                  <w:divBdr>
                    <w:top w:val="none" w:sz="0" w:space="0" w:color="auto"/>
                    <w:left w:val="none" w:sz="0" w:space="0" w:color="auto"/>
                    <w:bottom w:val="none" w:sz="0" w:space="0" w:color="auto"/>
                    <w:right w:val="none" w:sz="0" w:space="0" w:color="auto"/>
                  </w:divBdr>
                  <w:divsChild>
                    <w:div w:id="508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930031">
      <w:bodyDiv w:val="1"/>
      <w:marLeft w:val="0"/>
      <w:marRight w:val="0"/>
      <w:marTop w:val="0"/>
      <w:marBottom w:val="0"/>
      <w:divBdr>
        <w:top w:val="none" w:sz="0" w:space="0" w:color="auto"/>
        <w:left w:val="none" w:sz="0" w:space="0" w:color="auto"/>
        <w:bottom w:val="none" w:sz="0" w:space="0" w:color="auto"/>
        <w:right w:val="none" w:sz="0" w:space="0" w:color="auto"/>
      </w:divBdr>
    </w:div>
    <w:div w:id="1874537324">
      <w:bodyDiv w:val="1"/>
      <w:marLeft w:val="0"/>
      <w:marRight w:val="0"/>
      <w:marTop w:val="0"/>
      <w:marBottom w:val="0"/>
      <w:divBdr>
        <w:top w:val="none" w:sz="0" w:space="0" w:color="auto"/>
        <w:left w:val="none" w:sz="0" w:space="0" w:color="auto"/>
        <w:bottom w:val="none" w:sz="0" w:space="0" w:color="auto"/>
        <w:right w:val="none" w:sz="0" w:space="0" w:color="auto"/>
      </w:divBdr>
    </w:div>
    <w:div w:id="2071346129">
      <w:bodyDiv w:val="1"/>
      <w:marLeft w:val="0"/>
      <w:marRight w:val="0"/>
      <w:marTop w:val="0"/>
      <w:marBottom w:val="0"/>
      <w:divBdr>
        <w:top w:val="none" w:sz="0" w:space="0" w:color="auto"/>
        <w:left w:val="none" w:sz="0" w:space="0" w:color="auto"/>
        <w:bottom w:val="none" w:sz="0" w:space="0" w:color="auto"/>
        <w:right w:val="none" w:sz="0" w:space="0" w:color="auto"/>
      </w:divBdr>
      <w:divsChild>
        <w:div w:id="1262565397">
          <w:marLeft w:val="0"/>
          <w:marRight w:val="0"/>
          <w:marTop w:val="0"/>
          <w:marBottom w:val="0"/>
          <w:divBdr>
            <w:top w:val="none" w:sz="0" w:space="0" w:color="auto"/>
            <w:left w:val="none" w:sz="0" w:space="0" w:color="auto"/>
            <w:bottom w:val="none" w:sz="0" w:space="0" w:color="auto"/>
            <w:right w:val="none" w:sz="0" w:space="0" w:color="auto"/>
          </w:divBdr>
          <w:divsChild>
            <w:div w:id="1106462210">
              <w:marLeft w:val="0"/>
              <w:marRight w:val="0"/>
              <w:marTop w:val="0"/>
              <w:marBottom w:val="0"/>
              <w:divBdr>
                <w:top w:val="none" w:sz="0" w:space="0" w:color="auto"/>
                <w:left w:val="none" w:sz="0" w:space="0" w:color="auto"/>
                <w:bottom w:val="none" w:sz="0" w:space="0" w:color="auto"/>
                <w:right w:val="none" w:sz="0" w:space="0" w:color="auto"/>
              </w:divBdr>
              <w:divsChild>
                <w:div w:id="39792408">
                  <w:marLeft w:val="0"/>
                  <w:marRight w:val="0"/>
                  <w:marTop w:val="0"/>
                  <w:marBottom w:val="0"/>
                  <w:divBdr>
                    <w:top w:val="none" w:sz="0" w:space="0" w:color="auto"/>
                    <w:left w:val="none" w:sz="0" w:space="0" w:color="auto"/>
                    <w:bottom w:val="none" w:sz="0" w:space="0" w:color="auto"/>
                    <w:right w:val="none" w:sz="0" w:space="0" w:color="auto"/>
                  </w:divBdr>
                  <w:divsChild>
                    <w:div w:id="954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0519">
          <w:marLeft w:val="0"/>
          <w:marRight w:val="0"/>
          <w:marTop w:val="0"/>
          <w:marBottom w:val="0"/>
          <w:divBdr>
            <w:top w:val="none" w:sz="0" w:space="0" w:color="auto"/>
            <w:left w:val="none" w:sz="0" w:space="0" w:color="auto"/>
            <w:bottom w:val="none" w:sz="0" w:space="0" w:color="auto"/>
            <w:right w:val="none" w:sz="0" w:space="0" w:color="auto"/>
          </w:divBdr>
          <w:divsChild>
            <w:div w:id="1730566592">
              <w:marLeft w:val="0"/>
              <w:marRight w:val="0"/>
              <w:marTop w:val="0"/>
              <w:marBottom w:val="0"/>
              <w:divBdr>
                <w:top w:val="none" w:sz="0" w:space="0" w:color="auto"/>
                <w:left w:val="none" w:sz="0" w:space="0" w:color="auto"/>
                <w:bottom w:val="none" w:sz="0" w:space="0" w:color="auto"/>
                <w:right w:val="none" w:sz="0" w:space="0" w:color="auto"/>
              </w:divBdr>
              <w:divsChild>
                <w:div w:id="2060931757">
                  <w:marLeft w:val="0"/>
                  <w:marRight w:val="0"/>
                  <w:marTop w:val="0"/>
                  <w:marBottom w:val="0"/>
                  <w:divBdr>
                    <w:top w:val="none" w:sz="0" w:space="0" w:color="auto"/>
                    <w:left w:val="none" w:sz="0" w:space="0" w:color="auto"/>
                    <w:bottom w:val="none" w:sz="0" w:space="0" w:color="auto"/>
                    <w:right w:val="none" w:sz="0" w:space="0" w:color="auto"/>
                  </w:divBdr>
                  <w:divsChild>
                    <w:div w:id="1635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iob/obae036" TargetMode="External"/><Relationship Id="rId21" Type="http://schemas.openxmlformats.org/officeDocument/2006/relationships/hyperlink" Target="https://doi.org/10.1371/journal.pcbi.1011529" TargetMode="External"/><Relationship Id="rId42" Type="http://schemas.openxmlformats.org/officeDocument/2006/relationships/hyperlink" Target="https://doi.org/10.1023/B:VISI.0000043755.93987.aa" TargetMode="External"/><Relationship Id="rId47" Type="http://schemas.openxmlformats.org/officeDocument/2006/relationships/hyperlink" Target="https://doi.org/10.1007/BFb0020217" TargetMode="External"/><Relationship Id="rId63" Type="http://schemas.openxmlformats.org/officeDocument/2006/relationships/hyperlink" Target="https://doi.org/10.7717/peerj.5032" TargetMode="External"/><Relationship Id="rId68" Type="http://schemas.openxmlformats.org/officeDocument/2006/relationships/hyperlink" Target="https://doi.org/10.1111/2041-210X.12128" TargetMode="External"/><Relationship Id="rId84" Type="http://schemas.openxmlformats.org/officeDocument/2006/relationships/image" Target="media/image4.png"/><Relationship Id="rId89" Type="http://schemas.openxmlformats.org/officeDocument/2006/relationships/theme" Target="theme/theme1.xml"/><Relationship Id="rId16" Type="http://schemas.openxmlformats.org/officeDocument/2006/relationships/hyperlink" Target="https://doi.org/10.1093/icb/icz120" TargetMode="External"/><Relationship Id="rId11" Type="http://schemas.openxmlformats.org/officeDocument/2006/relationships/hyperlink" Target="https://doi.org/10.1146/annurev.es.21.110190.001503" TargetMode="External"/><Relationship Id="rId32" Type="http://schemas.openxmlformats.org/officeDocument/2006/relationships/hyperlink" Target="https://doi.org/10.1111/2041-210X.13689" TargetMode="External"/><Relationship Id="rId37" Type="http://schemas.openxmlformats.org/officeDocument/2006/relationships/hyperlink" Target="https://doi.org/10.1002/ajmg.a.20665" TargetMode="External"/><Relationship Id="rId53" Type="http://schemas.openxmlformats.org/officeDocument/2006/relationships/hyperlink" Target="https://doi.org/10.1007/s004420100720" TargetMode="External"/><Relationship Id="rId58" Type="http://schemas.openxmlformats.org/officeDocument/2006/relationships/hyperlink" Target="https://doi.org/10.1145/2487228.2487237" TargetMode="External"/><Relationship Id="rId74" Type="http://schemas.openxmlformats.org/officeDocument/2006/relationships/hyperlink" Target="https://doi.org/10.1098/rstb.2013.0254" TargetMode="External"/><Relationship Id="rId79" Type="http://schemas.openxmlformats.org/officeDocument/2006/relationships/hyperlink" Target="https://doi.org/10.1002/ajpa.23257" TargetMode="External"/><Relationship Id="rId5" Type="http://schemas.openxmlformats.org/officeDocument/2006/relationships/footnotes" Target="footnotes.xml"/><Relationship Id="rId14" Type="http://schemas.openxmlformats.org/officeDocument/2006/relationships/hyperlink" Target="https://doi.org/10.1016/S1361-8415(97)85012-8" TargetMode="External"/><Relationship Id="rId22" Type="http://schemas.openxmlformats.org/officeDocument/2006/relationships/hyperlink" Target="https://doi.org/10.1098/rsos.240113" TargetMode="External"/><Relationship Id="rId27" Type="http://schemas.openxmlformats.org/officeDocument/2006/relationships/hyperlink" Target="https://doi.org/10.1111/evo.13608" TargetMode="External"/><Relationship Id="rId30" Type="http://schemas.openxmlformats.org/officeDocument/2006/relationships/hyperlink" Target="https://doi.org/10.1111/joa.12576" TargetMode="External"/><Relationship Id="rId35" Type="http://schemas.openxmlformats.org/officeDocument/2006/relationships/hyperlink" Target="https://doi.org/10.1371/journal.pone.0150368" TargetMode="External"/><Relationship Id="rId43" Type="http://schemas.openxmlformats.org/officeDocument/2006/relationships/hyperlink" Target="https://doi.org/10.1016/j.neuroimage.2014.06.043" TargetMode="External"/><Relationship Id="rId48" Type="http://schemas.openxmlformats.org/officeDocument/2006/relationships/hyperlink" Target="https://doi.org/10.1242/dev.188631" TargetMode="External"/><Relationship Id="rId56" Type="http://schemas.openxmlformats.org/officeDocument/2006/relationships/hyperlink" Target="https://doi.org/10.1109/TPAMI.2013.139" TargetMode="External"/><Relationship Id="rId64" Type="http://schemas.openxmlformats.org/officeDocument/2006/relationships/hyperlink" Target="https://doi.org/10.1038/ncomms3458" TargetMode="External"/><Relationship Id="rId69" Type="http://schemas.openxmlformats.org/officeDocument/2006/relationships/hyperlink" Target="https://doi.org/10.1007/s11692-009-9055-x" TargetMode="External"/><Relationship Id="rId77" Type="http://schemas.openxmlformats.org/officeDocument/2006/relationships/hyperlink" Target="https://doi.org/10.1111/joa.14063" TargetMode="External"/><Relationship Id="rId8" Type="http://schemas.openxmlformats.org/officeDocument/2006/relationships/hyperlink" Target="https://doi.org/10.5258/SOTON/D3451" TargetMode="External"/><Relationship Id="rId51" Type="http://schemas.openxmlformats.org/officeDocument/2006/relationships/hyperlink" Target="https://doi.org/10.1111/j.1755-0998.2010.02866.x" TargetMode="External"/><Relationship Id="rId72" Type="http://schemas.openxmlformats.org/officeDocument/2006/relationships/hyperlink" Target="https://doi.org/10.1098/rstb.2022.0083" TargetMode="External"/><Relationship Id="rId80" Type="http://schemas.openxmlformats.org/officeDocument/2006/relationships/hyperlink" Target="https://doi.org/10.32942/X22G7Q" TargetMode="External"/><Relationship Id="rId85"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doi.org/10.1002/ajpa.24531" TargetMode="External"/><Relationship Id="rId17" Type="http://schemas.openxmlformats.org/officeDocument/2006/relationships/hyperlink" Target="https://doi.org/10.1093/iob/obz016" TargetMode="External"/><Relationship Id="rId25" Type="http://schemas.openxmlformats.org/officeDocument/2006/relationships/hyperlink" Target="https://doi.org/10.1093/biosci/biad120" TargetMode="External"/><Relationship Id="rId33" Type="http://schemas.openxmlformats.org/officeDocument/2006/relationships/hyperlink" Target="https://doi.org/10.1371/journal.pone.0278035" TargetMode="External"/><Relationship Id="rId38" Type="http://schemas.openxmlformats.org/officeDocument/2006/relationships/hyperlink" Target="https://doi.org/10.1002/humu.22054" TargetMode="External"/><Relationship Id="rId46" Type="http://schemas.openxmlformats.org/officeDocument/2006/relationships/hyperlink" Target="https://doi.org/10.1109/ISBI.2014.6867889" TargetMode="External"/><Relationship Id="rId59" Type="http://schemas.openxmlformats.org/officeDocument/2006/relationships/hyperlink" Target="https://doi.org/10.1016/j.neuroimage.2003.11.010" TargetMode="External"/><Relationship Id="rId67" Type="http://schemas.openxmlformats.org/officeDocument/2006/relationships/hyperlink" Target="https://doi.org/10.1007/s00435-020-00499-w" TargetMode="External"/><Relationship Id="rId20" Type="http://schemas.openxmlformats.org/officeDocument/2006/relationships/hyperlink" Target="https://doi.org/10.1038/s43586-021-00015-4" TargetMode="External"/><Relationship Id="rId41" Type="http://schemas.openxmlformats.org/officeDocument/2006/relationships/hyperlink" Target="https://doi.org/10.1111/2041-210X.14388" TargetMode="External"/><Relationship Id="rId54" Type="http://schemas.openxmlformats.org/officeDocument/2006/relationships/hyperlink" Target="https://doi.org/10.1016/B978-0-12-810493-4.00011-0" TargetMode="External"/><Relationship Id="rId62" Type="http://schemas.openxmlformats.org/officeDocument/2006/relationships/hyperlink" Target="https://doi.org/10.1093/sysbio/syu030" TargetMode="External"/><Relationship Id="rId70" Type="http://schemas.openxmlformats.org/officeDocument/2006/relationships/hyperlink" Target="https://doi.org/10.1111/joa.13390" TargetMode="External"/><Relationship Id="rId75" Type="http://schemas.openxmlformats.org/officeDocument/2006/relationships/hyperlink" Target="https://doi.org/10.1101/2024.11.22.624847" TargetMode="External"/><Relationship Id="rId83" Type="http://schemas.openxmlformats.org/officeDocument/2006/relationships/image" Target="media/image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16/B978-0-12-778460-1.X5000-5" TargetMode="External"/><Relationship Id="rId23" Type="http://schemas.openxmlformats.org/officeDocument/2006/relationships/hyperlink" Target="https://doi.org/10.1017/scs.2017.13" TargetMode="External"/><Relationship Id="rId28" Type="http://schemas.openxmlformats.org/officeDocument/2006/relationships/hyperlink" Target="https://doi.org/10.1038/hdy.2014.75" TargetMode="External"/><Relationship Id="rId36" Type="http://schemas.openxmlformats.org/officeDocument/2006/relationships/hyperlink" Target="https://doi.org/10.1101/2024.08.03.604701" TargetMode="External"/><Relationship Id="rId49" Type="http://schemas.openxmlformats.org/officeDocument/2006/relationships/hyperlink" Target="https://doi.org/10.1126/science.abm7525" TargetMode="External"/><Relationship Id="rId57" Type="http://schemas.openxmlformats.org/officeDocument/2006/relationships/hyperlink" Target="https://doi.org/10.1098/rsif.2015.0795" TargetMode="External"/><Relationship Id="rId10" Type="http://schemas.openxmlformats.org/officeDocument/2006/relationships/hyperlink" Target="https://gitlab.com/ntoussaint/landmark-free-morphometry" TargetMode="External"/><Relationship Id="rId31" Type="http://schemas.openxmlformats.org/officeDocument/2006/relationships/hyperlink" Target="https://doi.org/10.1007/s11692-020-09508-8" TargetMode="External"/><Relationship Id="rId44" Type="http://schemas.openxmlformats.org/officeDocument/2006/relationships/hyperlink" Target="https://doi.org/10.1007/978-3-030-04747-4_1" TargetMode="External"/><Relationship Id="rId52" Type="http://schemas.openxmlformats.org/officeDocument/2006/relationships/hyperlink" Target="https://doi.org/10.1080/11956860.1995.11682297" TargetMode="External"/><Relationship Id="rId60" Type="http://schemas.openxmlformats.org/officeDocument/2006/relationships/hyperlink" Target="https://doi.org/10.1016/j.neuroimage.2012.01.024" TargetMode="External"/><Relationship Id="rId65" Type="http://schemas.openxmlformats.org/officeDocument/2006/relationships/hyperlink" Target="https://doi.org/10.1073/pnas.182096711" TargetMode="External"/><Relationship Id="rId73" Type="http://schemas.openxmlformats.org/officeDocument/2006/relationships/hyperlink" Target="https://doi.org/10.1093/icb/icz052" TargetMode="External"/><Relationship Id="rId78" Type="http://schemas.openxmlformats.org/officeDocument/2006/relationships/hyperlink" Target="https://doi.org/10.7717/peerj.15545" TargetMode="External"/><Relationship Id="rId81" Type="http://schemas.openxmlformats.org/officeDocument/2006/relationships/image" Target="media/image1.png"/><Relationship Id="rId86"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gitlab.com/icm-institute/aramislab/deformetrica/-/wikis/home" TargetMode="External"/><Relationship Id="rId13" Type="http://schemas.openxmlformats.org/officeDocument/2006/relationships/hyperlink" Target="https://doi.org/10.1080/11250000409356545" TargetMode="External"/><Relationship Id="rId18" Type="http://schemas.openxmlformats.org/officeDocument/2006/relationships/hyperlink" Target="https://doi.org/10.1371/journal.pone.0187452" TargetMode="External"/><Relationship Id="rId39" Type="http://schemas.openxmlformats.org/officeDocument/2006/relationships/hyperlink" Target="https://doi.org/10.1007/978-3-031-46914-5_21" TargetMode="External"/><Relationship Id="rId34" Type="http://schemas.openxmlformats.org/officeDocument/2006/relationships/hyperlink" Target="https://doi.org/10.1002/ar.23084" TargetMode="External"/><Relationship Id="rId50" Type="http://schemas.openxmlformats.org/officeDocument/2006/relationships/hyperlink" Target="https://doi.org/10.1016/0146-664X(80)90054-4" TargetMode="External"/><Relationship Id="rId55" Type="http://schemas.openxmlformats.org/officeDocument/2006/relationships/hyperlink" Target="https://doi.org/10.1111/2041-210X.12035" TargetMode="External"/><Relationship Id="rId76" Type="http://schemas.openxmlformats.org/officeDocument/2006/relationships/hyperlink" Target="https://doi.org/10.1145/3306346.3322959" TargetMode="External"/><Relationship Id="rId7" Type="http://schemas.openxmlformats.org/officeDocument/2006/relationships/hyperlink" Target="https://github.com/JamesMulqueeney/Deterministic-Atlas-Analysis" TargetMode="External"/><Relationship Id="rId71" Type="http://schemas.openxmlformats.org/officeDocument/2006/relationships/hyperlink" Target="https://doi.org/10.4000/bmsap.12606" TargetMode="External"/><Relationship Id="rId2" Type="http://schemas.openxmlformats.org/officeDocument/2006/relationships/styles" Target="styles.xml"/><Relationship Id="rId29" Type="http://schemas.openxmlformats.org/officeDocument/2006/relationships/hyperlink" Target="https://doi.org/10.1186/s12983-015-0127-8" TargetMode="External"/><Relationship Id="rId24" Type="http://schemas.openxmlformats.org/officeDocument/2006/relationships/hyperlink" Target="https://doi.org/10.1098/rspb.2017.0194" TargetMode="External"/><Relationship Id="rId40" Type="http://schemas.openxmlformats.org/officeDocument/2006/relationships/hyperlink" Target="https://doi.org/10.1214/20-AOAS143" TargetMode="External"/><Relationship Id="rId45" Type="http://schemas.openxmlformats.org/officeDocument/2006/relationships/hyperlink" Target="https://doi.org/10.1002/ece3.3256" TargetMode="External"/><Relationship Id="rId66" Type="http://schemas.openxmlformats.org/officeDocument/2006/relationships/hyperlink" Target="https://doi.org/10.1111/cla.12340" TargetMode="External"/><Relationship Id="rId87" Type="http://schemas.openxmlformats.org/officeDocument/2006/relationships/footer" Target="footer1.xml"/><Relationship Id="rId61" Type="http://schemas.openxmlformats.org/officeDocument/2006/relationships/hyperlink" Target="https://doi.org/10.1038/sdata.2015.3" TargetMode="External"/><Relationship Id="rId82" Type="http://schemas.openxmlformats.org/officeDocument/2006/relationships/image" Target="media/image2.png"/><Relationship Id="rId19" Type="http://schemas.openxmlformats.org/officeDocument/2006/relationships/hyperlink" Target="https://doi.org/10.1179/1743280413Y.0000000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FE6EC-3E9D-402E-8DE1-7E3A7D45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30982</Words>
  <Characters>176603</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Mulqueeney</dc:creator>
  <cp:keywords/>
  <dc:description/>
  <cp:lastModifiedBy>James  Mulqueeney</cp:lastModifiedBy>
  <cp:revision>5</cp:revision>
  <dcterms:created xsi:type="dcterms:W3CDTF">2025-04-10T13:43:00Z</dcterms:created>
  <dcterms:modified xsi:type="dcterms:W3CDTF">2025-04-15T15:04:00Z</dcterms:modified>
</cp:coreProperties>
</file>