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3F2A1" w14:textId="14E99419" w:rsidR="008851C4" w:rsidRPr="00675B09" w:rsidRDefault="000860B9" w:rsidP="00533B34">
      <w:pPr>
        <w:rPr>
          <w:b/>
          <w:i/>
          <w:iCs/>
          <w:lang w:val="en-GB"/>
        </w:rPr>
      </w:pPr>
      <w:bookmarkStart w:id="0" w:name="_Hlk185233962"/>
      <w:bookmarkStart w:id="1" w:name="_Hlk177663357"/>
      <w:r w:rsidRPr="00675B09">
        <w:rPr>
          <w:b/>
          <w:lang w:val="en-GB"/>
        </w:rPr>
        <w:t xml:space="preserve">Reporting and </w:t>
      </w:r>
      <w:r w:rsidR="00533B34" w:rsidRPr="00675B09">
        <w:rPr>
          <w:b/>
          <w:lang w:val="en-GB"/>
        </w:rPr>
        <w:t xml:space="preserve">representation </w:t>
      </w:r>
      <w:r w:rsidRPr="00675B09">
        <w:rPr>
          <w:b/>
          <w:lang w:val="en-GB"/>
        </w:rPr>
        <w:t>of</w:t>
      </w:r>
      <w:r w:rsidR="00624112" w:rsidRPr="00675B09">
        <w:rPr>
          <w:b/>
          <w:lang w:val="en-GB"/>
        </w:rPr>
        <w:t xml:space="preserve"> </w:t>
      </w:r>
      <w:r w:rsidR="00D05E87" w:rsidRPr="00675B09">
        <w:rPr>
          <w:b/>
          <w:lang w:val="en-GB"/>
        </w:rPr>
        <w:t>race and ethnicity</w:t>
      </w:r>
      <w:r w:rsidR="00533B34" w:rsidRPr="00675B09">
        <w:rPr>
          <w:b/>
          <w:lang w:val="en-GB"/>
        </w:rPr>
        <w:t xml:space="preserve"> </w:t>
      </w:r>
      <w:r w:rsidR="00624112" w:rsidRPr="00675B09">
        <w:rPr>
          <w:b/>
          <w:lang w:val="en-GB"/>
        </w:rPr>
        <w:t xml:space="preserve">in </w:t>
      </w:r>
      <w:r w:rsidR="000114B8" w:rsidRPr="00675B09">
        <w:rPr>
          <w:b/>
          <w:lang w:val="en-GB"/>
        </w:rPr>
        <w:t xml:space="preserve">1683 </w:t>
      </w:r>
      <w:r w:rsidR="000D3C2E" w:rsidRPr="00675B09">
        <w:rPr>
          <w:b/>
          <w:lang w:val="en-GB"/>
        </w:rPr>
        <w:t xml:space="preserve">RCTs </w:t>
      </w:r>
      <w:r w:rsidRPr="00675B09">
        <w:rPr>
          <w:b/>
          <w:lang w:val="en-GB"/>
        </w:rPr>
        <w:t xml:space="preserve">of </w:t>
      </w:r>
      <w:r w:rsidR="00533B34" w:rsidRPr="00675B09">
        <w:rPr>
          <w:b/>
          <w:lang w:val="en-GB"/>
        </w:rPr>
        <w:t xml:space="preserve">pharmacotherapy </w:t>
      </w:r>
      <w:r w:rsidRPr="00675B09">
        <w:rPr>
          <w:b/>
          <w:lang w:val="en-GB"/>
        </w:rPr>
        <w:t xml:space="preserve">for </w:t>
      </w:r>
      <w:r w:rsidR="00533B34" w:rsidRPr="00675B09">
        <w:rPr>
          <w:b/>
          <w:lang w:val="en-GB"/>
        </w:rPr>
        <w:t>mental disorders: a m</w:t>
      </w:r>
      <w:r w:rsidR="00FF104C" w:rsidRPr="00675B09">
        <w:rPr>
          <w:b/>
          <w:lang w:val="en-GB"/>
        </w:rPr>
        <w:t>eta-analysis</w:t>
      </w:r>
      <w:bookmarkEnd w:id="0"/>
    </w:p>
    <w:bookmarkEnd w:id="1"/>
    <w:p w14:paraId="02D00693" w14:textId="6DBAAE06" w:rsidR="008851C4" w:rsidRPr="00675B09" w:rsidRDefault="000860B9" w:rsidP="00533B34">
      <w:pPr>
        <w:rPr>
          <w:lang w:val="en-GB"/>
        </w:rPr>
      </w:pPr>
      <w:r w:rsidRPr="00675B09">
        <w:rPr>
          <w:lang w:val="en-GB"/>
        </w:rPr>
        <w:t xml:space="preserve">Alessio </w:t>
      </w:r>
      <w:r w:rsidRPr="00675B09">
        <w:rPr>
          <w:u w:val="single"/>
          <w:lang w:val="en-GB"/>
        </w:rPr>
        <w:t>Bellato</w:t>
      </w:r>
      <w:r w:rsidR="000D32E7" w:rsidRPr="00675B09">
        <w:rPr>
          <w:lang w:val="en-GB"/>
        </w:rPr>
        <w:t xml:space="preserve"> Ph.D.</w:t>
      </w:r>
      <w:r w:rsidR="00A819DD" w:rsidRPr="00675B09">
        <w:rPr>
          <w:vertAlign w:val="superscript"/>
          <w:lang w:val="en-GB"/>
        </w:rPr>
        <w:t>1</w:t>
      </w:r>
      <w:r w:rsidRPr="00675B09">
        <w:rPr>
          <w:vertAlign w:val="superscript"/>
          <w:lang w:val="en-GB"/>
        </w:rPr>
        <w:t>-</w:t>
      </w:r>
      <w:r w:rsidR="00A819DD" w:rsidRPr="00675B09">
        <w:rPr>
          <w:vertAlign w:val="superscript"/>
          <w:lang w:val="en-GB"/>
        </w:rPr>
        <w:t>5</w:t>
      </w:r>
      <w:r w:rsidRPr="00675B09">
        <w:rPr>
          <w:vertAlign w:val="superscript"/>
          <w:lang w:val="en-GB"/>
        </w:rPr>
        <w:t>,*</w:t>
      </w:r>
      <w:r w:rsidR="00624112" w:rsidRPr="00675B09">
        <w:rPr>
          <w:lang w:val="en-GB"/>
        </w:rPr>
        <w:t>,</w:t>
      </w:r>
      <w:r w:rsidRPr="00675B09">
        <w:rPr>
          <w:lang w:val="en-GB"/>
        </w:rPr>
        <w:t xml:space="preserve"> Joaquim </w:t>
      </w:r>
      <w:bookmarkStart w:id="2" w:name="_Hlk177663341"/>
      <w:proofErr w:type="spellStart"/>
      <w:r w:rsidRPr="00675B09">
        <w:rPr>
          <w:u w:val="single"/>
          <w:lang w:val="en-GB"/>
        </w:rPr>
        <w:t>Raduà</w:t>
      </w:r>
      <w:proofErr w:type="spellEnd"/>
      <w:r w:rsidR="000D32E7" w:rsidRPr="00675B09">
        <w:rPr>
          <w:lang w:val="en-GB"/>
        </w:rPr>
        <w:t xml:space="preserve"> Ph.D.</w:t>
      </w:r>
      <w:r w:rsidR="00A819DD" w:rsidRPr="00675B09">
        <w:rPr>
          <w:vertAlign w:val="superscript"/>
          <w:lang w:val="en-GB"/>
        </w:rPr>
        <w:t>6</w:t>
      </w:r>
      <w:bookmarkEnd w:id="2"/>
      <w:r w:rsidR="00E90274" w:rsidRPr="00675B09">
        <w:rPr>
          <w:vertAlign w:val="superscript"/>
          <w:lang w:val="en-GB"/>
        </w:rPr>
        <w:t>-</w:t>
      </w:r>
      <w:r w:rsidR="00A819DD" w:rsidRPr="00675B09">
        <w:rPr>
          <w:vertAlign w:val="superscript"/>
          <w:lang w:val="en-GB"/>
        </w:rPr>
        <w:t>8</w:t>
      </w:r>
      <w:r w:rsidRPr="00675B09">
        <w:rPr>
          <w:vertAlign w:val="superscript"/>
          <w:lang w:val="en-GB"/>
        </w:rPr>
        <w:t>*</w:t>
      </w:r>
      <w:r w:rsidR="00624112" w:rsidRPr="00675B09">
        <w:rPr>
          <w:lang w:val="en-GB"/>
        </w:rPr>
        <w:t>,</w:t>
      </w:r>
      <w:r w:rsidRPr="00675B09">
        <w:rPr>
          <w:lang w:val="en-GB"/>
        </w:rPr>
        <w:t xml:space="preserve"> Antoine </w:t>
      </w:r>
      <w:bookmarkStart w:id="3" w:name="_Hlk174529742"/>
      <w:r w:rsidRPr="00675B09">
        <w:rPr>
          <w:u w:val="single"/>
          <w:lang w:val="en-GB"/>
        </w:rPr>
        <w:t>Stocker</w:t>
      </w:r>
      <w:bookmarkEnd w:id="3"/>
      <w:r w:rsidR="000D32E7" w:rsidRPr="00675B09">
        <w:rPr>
          <w:lang w:val="en-GB"/>
        </w:rPr>
        <w:t xml:space="preserve"> M.D.</w:t>
      </w:r>
      <w:r w:rsidR="00A819DD" w:rsidRPr="00675B09">
        <w:rPr>
          <w:vertAlign w:val="superscript"/>
          <w:lang w:val="en-GB"/>
        </w:rPr>
        <w:t>9,10</w:t>
      </w:r>
      <w:r w:rsidR="00624112" w:rsidRPr="00675B09">
        <w:rPr>
          <w:lang w:val="en-GB"/>
        </w:rPr>
        <w:t>,</w:t>
      </w:r>
      <w:r w:rsidRPr="00675B09">
        <w:rPr>
          <w:lang w:val="en-GB"/>
        </w:rPr>
        <w:t xml:space="preserve"> Maude-Sophie </w:t>
      </w:r>
      <w:r w:rsidRPr="00675B09">
        <w:rPr>
          <w:u w:val="single"/>
          <w:lang w:val="en-GB"/>
        </w:rPr>
        <w:t>Lockman</w:t>
      </w:r>
      <w:r w:rsidR="000D32E7" w:rsidRPr="00675B09">
        <w:rPr>
          <w:lang w:val="en-GB"/>
        </w:rPr>
        <w:t xml:space="preserve"> MS.c.</w:t>
      </w:r>
      <w:r w:rsidR="00A8768A" w:rsidRPr="00675B09">
        <w:rPr>
          <w:vertAlign w:val="superscript"/>
          <w:lang w:val="en-GB"/>
        </w:rPr>
        <w:t>11</w:t>
      </w:r>
      <w:r w:rsidR="00624112" w:rsidRPr="00675B09">
        <w:rPr>
          <w:lang w:val="en-GB"/>
        </w:rPr>
        <w:t>,</w:t>
      </w:r>
      <w:r w:rsidRPr="00675B09">
        <w:rPr>
          <w:lang w:val="en-GB"/>
        </w:rPr>
        <w:t xml:space="preserve"> Anusha </w:t>
      </w:r>
      <w:r w:rsidRPr="00675B09">
        <w:rPr>
          <w:u w:val="single"/>
          <w:lang w:val="en-GB"/>
        </w:rPr>
        <w:t>Lall</w:t>
      </w:r>
      <w:bookmarkStart w:id="4" w:name="_Hlk180077521"/>
      <w:r w:rsidR="000D32E7" w:rsidRPr="00675B09">
        <w:rPr>
          <w:lang w:val="en-GB"/>
        </w:rPr>
        <w:t xml:space="preserve"> B.Sc.</w:t>
      </w:r>
      <w:bookmarkEnd w:id="4"/>
      <w:r w:rsidR="000525F2" w:rsidRPr="00675B09">
        <w:rPr>
          <w:vertAlign w:val="superscript"/>
          <w:lang w:val="en-GB"/>
        </w:rPr>
        <w:t>4</w:t>
      </w:r>
      <w:r w:rsidR="00624112" w:rsidRPr="00675B09">
        <w:rPr>
          <w:lang w:val="en-GB"/>
        </w:rPr>
        <w:t>,</w:t>
      </w:r>
      <w:r w:rsidRPr="00675B09">
        <w:rPr>
          <w:lang w:val="en-GB"/>
        </w:rPr>
        <w:t xml:space="preserve"> </w:t>
      </w:r>
      <w:proofErr w:type="spellStart"/>
      <w:r w:rsidRPr="00675B09">
        <w:rPr>
          <w:lang w:val="en-GB"/>
        </w:rPr>
        <w:t>Vishnie</w:t>
      </w:r>
      <w:proofErr w:type="spellEnd"/>
      <w:r w:rsidRPr="00675B09">
        <w:rPr>
          <w:lang w:val="en-GB"/>
        </w:rPr>
        <w:t xml:space="preserve"> </w:t>
      </w:r>
      <w:bookmarkStart w:id="5" w:name="_Hlk174548354"/>
      <w:r w:rsidRPr="00675B09">
        <w:rPr>
          <w:u w:val="single"/>
          <w:lang w:val="en-GB"/>
        </w:rPr>
        <w:t>Ravisankar</w:t>
      </w:r>
      <w:bookmarkEnd w:id="5"/>
      <w:r w:rsidR="000D32E7" w:rsidRPr="00675B09">
        <w:rPr>
          <w:lang w:val="en-GB"/>
        </w:rPr>
        <w:t xml:space="preserve"> B.Sc.</w:t>
      </w:r>
      <w:r w:rsidR="000525F2" w:rsidRPr="00675B09">
        <w:rPr>
          <w:vertAlign w:val="superscript"/>
          <w:lang w:val="en-GB"/>
        </w:rPr>
        <w:t>4</w:t>
      </w:r>
      <w:r w:rsidR="00624112" w:rsidRPr="00675B09">
        <w:rPr>
          <w:lang w:val="en-GB"/>
        </w:rPr>
        <w:t>,</w:t>
      </w:r>
      <w:r w:rsidRPr="00675B09">
        <w:rPr>
          <w:lang w:val="en-GB"/>
        </w:rPr>
        <w:t xml:space="preserve"> Sonia </w:t>
      </w:r>
      <w:bookmarkStart w:id="6" w:name="_Hlk185233391"/>
      <w:bookmarkStart w:id="7" w:name="_Hlk174548394"/>
      <w:proofErr w:type="spellStart"/>
      <w:r w:rsidRPr="00675B09">
        <w:rPr>
          <w:u w:val="single"/>
          <w:lang w:val="en-GB"/>
        </w:rPr>
        <w:t>Obiokafor</w:t>
      </w:r>
      <w:proofErr w:type="spellEnd"/>
      <w:r w:rsidR="000D32E7" w:rsidRPr="00675B09">
        <w:rPr>
          <w:lang w:val="en-GB"/>
        </w:rPr>
        <w:t xml:space="preserve"> </w:t>
      </w:r>
      <w:bookmarkEnd w:id="6"/>
      <w:r w:rsidR="000D32E7" w:rsidRPr="00675B09">
        <w:rPr>
          <w:lang w:val="en-GB"/>
        </w:rPr>
        <w:t>B.Sc.</w:t>
      </w:r>
      <w:r w:rsidR="00A8768A" w:rsidRPr="00675B09">
        <w:rPr>
          <w:vertAlign w:val="superscript"/>
          <w:lang w:val="en-GB"/>
        </w:rPr>
        <w:t>1</w:t>
      </w:r>
      <w:r w:rsidR="00624112" w:rsidRPr="00675B09">
        <w:rPr>
          <w:lang w:val="en-GB"/>
        </w:rPr>
        <w:t>,</w:t>
      </w:r>
      <w:r w:rsidRPr="00675B09">
        <w:rPr>
          <w:lang w:val="en-GB"/>
        </w:rPr>
        <w:t xml:space="preserve"> Emma </w:t>
      </w:r>
      <w:r w:rsidRPr="00675B09">
        <w:rPr>
          <w:u w:val="single"/>
          <w:lang w:val="en-GB"/>
        </w:rPr>
        <w:t>Machell</w:t>
      </w:r>
      <w:r w:rsidR="000D32E7" w:rsidRPr="00675B09">
        <w:rPr>
          <w:lang w:val="en-GB"/>
        </w:rPr>
        <w:t xml:space="preserve"> B.Sc.</w:t>
      </w:r>
      <w:r w:rsidR="00A8768A" w:rsidRPr="00675B09">
        <w:rPr>
          <w:vertAlign w:val="superscript"/>
          <w:lang w:val="en-GB"/>
        </w:rPr>
        <w:t>1</w:t>
      </w:r>
      <w:r w:rsidR="00624112" w:rsidRPr="00675B09">
        <w:rPr>
          <w:lang w:val="en-GB"/>
        </w:rPr>
        <w:t>,</w:t>
      </w:r>
      <w:r w:rsidRPr="00675B09">
        <w:rPr>
          <w:lang w:val="en-GB"/>
        </w:rPr>
        <w:t xml:space="preserve"> Sahar </w:t>
      </w:r>
      <w:r w:rsidRPr="00675B09">
        <w:rPr>
          <w:u w:val="single"/>
          <w:lang w:val="en-GB"/>
        </w:rPr>
        <w:t>Haq</w:t>
      </w:r>
      <w:bookmarkEnd w:id="7"/>
      <w:r w:rsidR="000D32E7" w:rsidRPr="00675B09">
        <w:rPr>
          <w:lang w:val="en-GB"/>
        </w:rPr>
        <w:t xml:space="preserve"> B.Sc.</w:t>
      </w:r>
      <w:r w:rsidR="00A8768A" w:rsidRPr="00675B09">
        <w:rPr>
          <w:vertAlign w:val="superscript"/>
          <w:lang w:val="en-GB"/>
        </w:rPr>
        <w:t>1</w:t>
      </w:r>
      <w:r w:rsidR="00624112" w:rsidRPr="00675B09">
        <w:rPr>
          <w:lang w:val="en-GB"/>
        </w:rPr>
        <w:t>,</w:t>
      </w:r>
      <w:r w:rsidRPr="00675B09">
        <w:rPr>
          <w:lang w:val="en-GB"/>
        </w:rPr>
        <w:t xml:space="preserve"> Dalia </w:t>
      </w:r>
      <w:bookmarkStart w:id="8" w:name="_Hlk176781417"/>
      <w:proofErr w:type="spellStart"/>
      <w:r w:rsidRPr="00675B09">
        <w:rPr>
          <w:u w:val="single"/>
          <w:lang w:val="en-GB"/>
        </w:rPr>
        <w:t>Albiaa</w:t>
      </w:r>
      <w:proofErr w:type="spellEnd"/>
      <w:r w:rsidR="000D32E7" w:rsidRPr="00675B09">
        <w:rPr>
          <w:lang w:val="en-GB"/>
        </w:rPr>
        <w:t xml:space="preserve"> M.D.</w:t>
      </w:r>
      <w:r w:rsidR="00073C37" w:rsidRPr="00675B09">
        <w:rPr>
          <w:vertAlign w:val="superscript"/>
          <w:lang w:val="en-GB"/>
        </w:rPr>
        <w:t>12</w:t>
      </w:r>
      <w:bookmarkEnd w:id="8"/>
      <w:r w:rsidR="00624112" w:rsidRPr="00675B09">
        <w:rPr>
          <w:lang w:val="en-GB"/>
        </w:rPr>
        <w:t>,</w:t>
      </w:r>
      <w:r w:rsidRPr="00675B09">
        <w:rPr>
          <w:lang w:val="en-GB"/>
        </w:rPr>
        <w:t xml:space="preserve"> Anna </w:t>
      </w:r>
      <w:r w:rsidRPr="00675B09">
        <w:rPr>
          <w:u w:val="single"/>
          <w:lang w:val="en-GB"/>
        </w:rPr>
        <w:t>Cabras</w:t>
      </w:r>
      <w:r w:rsidR="000D32E7" w:rsidRPr="00675B09">
        <w:rPr>
          <w:lang w:val="en-GB"/>
        </w:rPr>
        <w:t xml:space="preserve"> </w:t>
      </w:r>
      <w:r w:rsidR="00C75885" w:rsidRPr="00675B09">
        <w:rPr>
          <w:lang w:val="en-GB"/>
        </w:rPr>
        <w:t>M</w:t>
      </w:r>
      <w:r w:rsidR="000D32E7" w:rsidRPr="00675B09">
        <w:rPr>
          <w:lang w:val="en-GB"/>
        </w:rPr>
        <w:t>.D.</w:t>
      </w:r>
      <w:r w:rsidR="00C34598" w:rsidRPr="00675B09">
        <w:rPr>
          <w:vertAlign w:val="superscript"/>
          <w:lang w:val="en-GB"/>
        </w:rPr>
        <w:t>13</w:t>
      </w:r>
      <w:r w:rsidR="00624112" w:rsidRPr="00675B09">
        <w:rPr>
          <w:lang w:val="en-GB"/>
        </w:rPr>
        <w:t>,</w:t>
      </w:r>
      <w:r w:rsidRPr="00675B09">
        <w:rPr>
          <w:lang w:val="en-GB"/>
        </w:rPr>
        <w:t xml:space="preserve"> Douglas Teixeira </w:t>
      </w:r>
      <w:proofErr w:type="spellStart"/>
      <w:r w:rsidRPr="00675B09">
        <w:rPr>
          <w:u w:val="single"/>
          <w:lang w:val="en-GB"/>
        </w:rPr>
        <w:t>Leffa</w:t>
      </w:r>
      <w:proofErr w:type="spellEnd"/>
      <w:r w:rsidR="00D6731C" w:rsidRPr="00675B09">
        <w:rPr>
          <w:lang w:val="en-GB"/>
        </w:rPr>
        <w:t xml:space="preserve"> </w:t>
      </w:r>
      <w:r w:rsidR="00C75885" w:rsidRPr="00675B09">
        <w:rPr>
          <w:lang w:val="en-GB"/>
        </w:rPr>
        <w:t xml:space="preserve">M.D., </w:t>
      </w:r>
      <w:r w:rsidR="00D6731C" w:rsidRPr="00675B09">
        <w:rPr>
          <w:lang w:val="en-GB"/>
        </w:rPr>
        <w:t>Ph.D.</w:t>
      </w:r>
      <w:r w:rsidR="00C34598" w:rsidRPr="00675B09">
        <w:rPr>
          <w:vertAlign w:val="superscript"/>
          <w:lang w:val="en-GB"/>
        </w:rPr>
        <w:t>14</w:t>
      </w:r>
      <w:r w:rsidR="00624112" w:rsidRPr="00675B09">
        <w:rPr>
          <w:lang w:val="en-GB"/>
        </w:rPr>
        <w:t>,</w:t>
      </w:r>
      <w:r w:rsidRPr="00675B09">
        <w:rPr>
          <w:lang w:val="en-GB"/>
        </w:rPr>
        <w:t xml:space="preserve"> Catarina </w:t>
      </w:r>
      <w:r w:rsidRPr="00675B09">
        <w:rPr>
          <w:u w:val="single"/>
          <w:lang w:val="en-GB"/>
        </w:rPr>
        <w:t>Manuel</w:t>
      </w:r>
      <w:r w:rsidR="00C34598" w:rsidRPr="00675B09">
        <w:rPr>
          <w:vertAlign w:val="superscript"/>
          <w:lang w:val="en-GB"/>
        </w:rPr>
        <w:t>15</w:t>
      </w:r>
      <w:r w:rsidR="00C75885" w:rsidRPr="00675B09">
        <w:rPr>
          <w:lang w:val="en-GB"/>
        </w:rPr>
        <w:t xml:space="preserve"> M.D.</w:t>
      </w:r>
      <w:r w:rsidR="00624112" w:rsidRPr="00675B09">
        <w:rPr>
          <w:lang w:val="en-GB"/>
        </w:rPr>
        <w:t>,</w:t>
      </w:r>
      <w:r w:rsidRPr="00675B09">
        <w:rPr>
          <w:lang w:val="en-GB"/>
        </w:rPr>
        <w:t xml:space="preserve"> Valeria </w:t>
      </w:r>
      <w:proofErr w:type="spellStart"/>
      <w:r w:rsidRPr="00675B09">
        <w:rPr>
          <w:u w:val="single"/>
          <w:lang w:val="en-GB"/>
        </w:rPr>
        <w:t>Parlatini</w:t>
      </w:r>
      <w:proofErr w:type="spellEnd"/>
      <w:r w:rsidR="000D32E7" w:rsidRPr="00675B09">
        <w:rPr>
          <w:lang w:val="en-GB"/>
        </w:rPr>
        <w:t xml:space="preserve"> </w:t>
      </w:r>
      <w:r w:rsidR="00C75885" w:rsidRPr="00675B09">
        <w:rPr>
          <w:lang w:val="en-GB"/>
        </w:rPr>
        <w:t xml:space="preserve">M.D., </w:t>
      </w:r>
      <w:r w:rsidR="000D32E7" w:rsidRPr="00675B09">
        <w:rPr>
          <w:lang w:val="en-GB"/>
        </w:rPr>
        <w:t>Ph.D.</w:t>
      </w:r>
      <w:r w:rsidR="00A62041" w:rsidRPr="00675B09">
        <w:rPr>
          <w:vertAlign w:val="superscript"/>
          <w:lang w:val="en-GB"/>
        </w:rPr>
        <w:t>1</w:t>
      </w:r>
      <w:r w:rsidR="00C34598" w:rsidRPr="00675B09">
        <w:rPr>
          <w:vertAlign w:val="superscript"/>
          <w:lang w:val="en-GB"/>
        </w:rPr>
        <w:t>-</w:t>
      </w:r>
      <w:r w:rsidR="00A62041" w:rsidRPr="00675B09">
        <w:rPr>
          <w:vertAlign w:val="superscript"/>
          <w:lang w:val="en-GB"/>
        </w:rPr>
        <w:t>3</w:t>
      </w:r>
      <w:r w:rsidR="00C34598" w:rsidRPr="00675B09">
        <w:rPr>
          <w:vertAlign w:val="superscript"/>
          <w:lang w:val="en-GB"/>
        </w:rPr>
        <w:t>,16-18</w:t>
      </w:r>
      <w:r w:rsidR="00624112" w:rsidRPr="00675B09">
        <w:rPr>
          <w:lang w:val="en-GB"/>
        </w:rPr>
        <w:t>,</w:t>
      </w:r>
      <w:r w:rsidRPr="00675B09">
        <w:rPr>
          <w:lang w:val="en-GB"/>
        </w:rPr>
        <w:t xml:space="preserve"> Assia </w:t>
      </w:r>
      <w:proofErr w:type="spellStart"/>
      <w:r w:rsidRPr="00675B09">
        <w:rPr>
          <w:u w:val="single"/>
          <w:lang w:val="en-GB"/>
        </w:rPr>
        <w:t>Riccioni</w:t>
      </w:r>
      <w:proofErr w:type="spellEnd"/>
      <w:r w:rsidR="000D32E7" w:rsidRPr="00675B09">
        <w:rPr>
          <w:lang w:val="en-GB"/>
        </w:rPr>
        <w:t xml:space="preserve"> Ph.D.</w:t>
      </w:r>
      <w:r w:rsidR="00C34598" w:rsidRPr="00675B09">
        <w:rPr>
          <w:vertAlign w:val="superscript"/>
          <w:lang w:val="en-GB"/>
        </w:rPr>
        <w:t>19</w:t>
      </w:r>
      <w:r w:rsidR="00624112" w:rsidRPr="00675B09">
        <w:rPr>
          <w:lang w:val="en-GB"/>
        </w:rPr>
        <w:t>,</w:t>
      </w:r>
      <w:r w:rsidR="00106CE8" w:rsidRPr="00675B09">
        <w:rPr>
          <w:lang w:val="en-GB"/>
        </w:rPr>
        <w:t xml:space="preserve"> </w:t>
      </w:r>
      <w:bookmarkStart w:id="9" w:name="_Hlk176769972"/>
      <w:r w:rsidR="00106CE8" w:rsidRPr="00675B09">
        <w:rPr>
          <w:lang w:val="en-GB"/>
        </w:rPr>
        <w:t>Christoph U</w:t>
      </w:r>
      <w:r w:rsidR="00B7051A" w:rsidRPr="00675B09">
        <w:rPr>
          <w:lang w:val="en-GB"/>
        </w:rPr>
        <w:t>.</w:t>
      </w:r>
      <w:r w:rsidR="00106CE8" w:rsidRPr="00675B09">
        <w:rPr>
          <w:lang w:val="en-GB"/>
        </w:rPr>
        <w:t xml:space="preserve"> </w:t>
      </w:r>
      <w:r w:rsidR="00106CE8" w:rsidRPr="00675B09">
        <w:rPr>
          <w:u w:val="single"/>
          <w:lang w:val="en-GB"/>
        </w:rPr>
        <w:t>Correll</w:t>
      </w:r>
      <w:bookmarkEnd w:id="9"/>
      <w:r w:rsidR="000D32E7" w:rsidRPr="00675B09">
        <w:rPr>
          <w:lang w:val="en-GB"/>
        </w:rPr>
        <w:t xml:space="preserve"> </w:t>
      </w:r>
      <w:r w:rsidR="00D6731C" w:rsidRPr="00675B09">
        <w:rPr>
          <w:lang w:val="en-GB"/>
        </w:rPr>
        <w:t xml:space="preserve">M.D., </w:t>
      </w:r>
      <w:r w:rsidR="000D32E7" w:rsidRPr="00675B09">
        <w:rPr>
          <w:lang w:val="en-GB"/>
        </w:rPr>
        <w:t>Ph.D.</w:t>
      </w:r>
      <w:r w:rsidR="00C34598" w:rsidRPr="00675B09">
        <w:rPr>
          <w:vertAlign w:val="superscript"/>
          <w:lang w:val="en-GB"/>
        </w:rPr>
        <w:t>20-24</w:t>
      </w:r>
      <w:r w:rsidR="00624112" w:rsidRPr="00675B09">
        <w:rPr>
          <w:lang w:val="en-GB"/>
        </w:rPr>
        <w:t>,</w:t>
      </w:r>
      <w:r w:rsidR="00106CE8" w:rsidRPr="00675B09">
        <w:rPr>
          <w:lang w:val="en-GB"/>
        </w:rPr>
        <w:t xml:space="preserve"> Paolo </w:t>
      </w:r>
      <w:proofErr w:type="spellStart"/>
      <w:r w:rsidR="00106CE8" w:rsidRPr="00675B09">
        <w:rPr>
          <w:u w:val="single"/>
          <w:lang w:val="en-GB"/>
        </w:rPr>
        <w:t>Fusar</w:t>
      </w:r>
      <w:proofErr w:type="spellEnd"/>
      <w:r w:rsidR="00106CE8" w:rsidRPr="00675B09">
        <w:rPr>
          <w:u w:val="single"/>
          <w:lang w:val="en-GB"/>
        </w:rPr>
        <w:t>-Poli</w:t>
      </w:r>
      <w:r w:rsidR="000D32E7" w:rsidRPr="00675B09">
        <w:rPr>
          <w:lang w:val="en-GB"/>
        </w:rPr>
        <w:t xml:space="preserve"> </w:t>
      </w:r>
      <w:r w:rsidR="00D6731C" w:rsidRPr="00675B09">
        <w:rPr>
          <w:lang w:val="en-GB"/>
        </w:rPr>
        <w:t xml:space="preserve">M.D., </w:t>
      </w:r>
      <w:r w:rsidR="000D32E7" w:rsidRPr="00675B09">
        <w:rPr>
          <w:lang w:val="en-GB"/>
        </w:rPr>
        <w:t>Ph.D.</w:t>
      </w:r>
      <w:r w:rsidR="000A6EDA" w:rsidRPr="00675B09">
        <w:rPr>
          <w:vertAlign w:val="superscript"/>
          <w:lang w:val="en-GB"/>
        </w:rPr>
        <w:t>25-28</w:t>
      </w:r>
      <w:r w:rsidR="00624112" w:rsidRPr="00675B09">
        <w:rPr>
          <w:lang w:val="en-GB"/>
        </w:rPr>
        <w:t>,</w:t>
      </w:r>
      <w:r w:rsidR="00106CE8" w:rsidRPr="00675B09">
        <w:rPr>
          <w:lang w:val="en-GB"/>
        </w:rPr>
        <w:t xml:space="preserve"> Marco </w:t>
      </w:r>
      <w:proofErr w:type="spellStart"/>
      <w:r w:rsidR="00106CE8" w:rsidRPr="00675B09">
        <w:rPr>
          <w:u w:val="single"/>
          <w:lang w:val="en-GB"/>
        </w:rPr>
        <w:t>Solmi</w:t>
      </w:r>
      <w:proofErr w:type="spellEnd"/>
      <w:r w:rsidR="000D32E7" w:rsidRPr="00675B09">
        <w:rPr>
          <w:lang w:val="en-GB"/>
        </w:rPr>
        <w:t xml:space="preserve"> </w:t>
      </w:r>
      <w:r w:rsidR="00D6731C" w:rsidRPr="00675B09">
        <w:rPr>
          <w:lang w:val="en-GB"/>
        </w:rPr>
        <w:t xml:space="preserve">M.D., </w:t>
      </w:r>
      <w:r w:rsidR="000D32E7" w:rsidRPr="00675B09">
        <w:rPr>
          <w:lang w:val="en-GB"/>
        </w:rPr>
        <w:t>Ph.D.</w:t>
      </w:r>
      <w:r w:rsidR="000A6EDA" w:rsidRPr="00675B09">
        <w:rPr>
          <w:vertAlign w:val="superscript"/>
          <w:lang w:val="en-GB"/>
        </w:rPr>
        <w:t>23,29-3</w:t>
      </w:r>
      <w:r w:rsidR="00D64CC8" w:rsidRPr="00675B09">
        <w:rPr>
          <w:vertAlign w:val="superscript"/>
          <w:lang w:val="en-GB"/>
        </w:rPr>
        <w:t>1</w:t>
      </w:r>
      <w:r w:rsidR="000A6EDA" w:rsidRPr="00675B09">
        <w:rPr>
          <w:vertAlign w:val="superscript"/>
          <w:lang w:val="en-GB"/>
        </w:rPr>
        <w:t>,</w:t>
      </w:r>
      <w:r w:rsidR="00106CE8" w:rsidRPr="00675B09">
        <w:rPr>
          <w:vertAlign w:val="superscript"/>
          <w:lang w:val="en-GB"/>
        </w:rPr>
        <w:t>#</w:t>
      </w:r>
      <w:r w:rsidR="00624112" w:rsidRPr="00675B09">
        <w:rPr>
          <w:lang w:val="en-GB"/>
        </w:rPr>
        <w:t>,</w:t>
      </w:r>
      <w:r w:rsidRPr="00675B09">
        <w:rPr>
          <w:lang w:val="en-GB"/>
        </w:rPr>
        <w:t xml:space="preserve"> Samuele </w:t>
      </w:r>
      <w:r w:rsidRPr="00675B09">
        <w:rPr>
          <w:u w:val="single"/>
          <w:lang w:val="en-GB"/>
        </w:rPr>
        <w:t>Cortese</w:t>
      </w:r>
      <w:r w:rsidR="000D32E7" w:rsidRPr="00675B09">
        <w:rPr>
          <w:lang w:val="en-GB"/>
        </w:rPr>
        <w:t xml:space="preserve"> </w:t>
      </w:r>
      <w:r w:rsidR="00D6731C" w:rsidRPr="00675B09">
        <w:rPr>
          <w:lang w:val="en-GB"/>
        </w:rPr>
        <w:t xml:space="preserve">M.D., </w:t>
      </w:r>
      <w:r w:rsidR="000D32E7" w:rsidRPr="00675B09">
        <w:rPr>
          <w:lang w:val="en-GB"/>
        </w:rPr>
        <w:t>Ph.D.</w:t>
      </w:r>
      <w:r w:rsidR="00167389" w:rsidRPr="00675B09">
        <w:rPr>
          <w:vertAlign w:val="superscript"/>
          <w:lang w:val="en-GB"/>
        </w:rPr>
        <w:t>18,</w:t>
      </w:r>
      <w:r w:rsidR="00D64CC8" w:rsidRPr="00675B09">
        <w:rPr>
          <w:vertAlign w:val="superscript"/>
          <w:lang w:val="en-GB"/>
        </w:rPr>
        <w:t>32-3</w:t>
      </w:r>
      <w:r w:rsidR="00167389" w:rsidRPr="00675B09">
        <w:rPr>
          <w:vertAlign w:val="superscript"/>
          <w:lang w:val="en-GB"/>
        </w:rPr>
        <w:t>5</w:t>
      </w:r>
      <w:r w:rsidR="00D64CC8" w:rsidRPr="00675B09">
        <w:rPr>
          <w:vertAlign w:val="superscript"/>
          <w:lang w:val="en-GB"/>
        </w:rPr>
        <w:t>,</w:t>
      </w:r>
      <w:r w:rsidRPr="00675B09">
        <w:rPr>
          <w:vertAlign w:val="superscript"/>
          <w:lang w:val="en-GB"/>
        </w:rPr>
        <w:t>#</w:t>
      </w:r>
    </w:p>
    <w:p w14:paraId="60FFDEDC" w14:textId="77777777" w:rsidR="008851C4" w:rsidRPr="00675B09" w:rsidRDefault="000860B9" w:rsidP="00533B34">
      <w:pPr>
        <w:numPr>
          <w:ilvl w:val="0"/>
          <w:numId w:val="2"/>
        </w:numPr>
        <w:pBdr>
          <w:top w:val="nil"/>
          <w:left w:val="nil"/>
          <w:bottom w:val="nil"/>
          <w:right w:val="nil"/>
          <w:between w:val="nil"/>
        </w:pBdr>
        <w:spacing w:after="0"/>
        <w:rPr>
          <w:lang w:val="en-GB"/>
        </w:rPr>
      </w:pPr>
      <w:r w:rsidRPr="00675B09">
        <w:rPr>
          <w:lang w:val="en-GB"/>
        </w:rPr>
        <w:t>School of Psychology, University of Southampton, Southampton, United Kingdom</w:t>
      </w:r>
    </w:p>
    <w:p w14:paraId="531594E7" w14:textId="77777777" w:rsidR="008851C4" w:rsidRPr="00675B09" w:rsidRDefault="000860B9" w:rsidP="00533B34">
      <w:pPr>
        <w:numPr>
          <w:ilvl w:val="0"/>
          <w:numId w:val="2"/>
        </w:numPr>
        <w:pBdr>
          <w:top w:val="nil"/>
          <w:left w:val="nil"/>
          <w:bottom w:val="nil"/>
          <w:right w:val="nil"/>
          <w:between w:val="nil"/>
        </w:pBdr>
        <w:spacing w:after="0"/>
        <w:rPr>
          <w:lang w:val="en-GB"/>
        </w:rPr>
      </w:pPr>
      <w:r w:rsidRPr="00675B09">
        <w:rPr>
          <w:lang w:val="en-GB"/>
        </w:rPr>
        <w:t>Centre for Innovation in Mental Health, University of Southampton, Southampton, United Kingdom</w:t>
      </w:r>
    </w:p>
    <w:p w14:paraId="7DFE39BB" w14:textId="77777777" w:rsidR="008851C4" w:rsidRPr="00675B09" w:rsidRDefault="000860B9" w:rsidP="00533B34">
      <w:pPr>
        <w:numPr>
          <w:ilvl w:val="0"/>
          <w:numId w:val="2"/>
        </w:numPr>
        <w:pBdr>
          <w:top w:val="nil"/>
          <w:left w:val="nil"/>
          <w:bottom w:val="nil"/>
          <w:right w:val="nil"/>
          <w:between w:val="nil"/>
        </w:pBdr>
        <w:spacing w:after="0"/>
        <w:rPr>
          <w:lang w:val="en-GB"/>
        </w:rPr>
      </w:pPr>
      <w:r w:rsidRPr="00675B09">
        <w:rPr>
          <w:lang w:val="en-GB"/>
        </w:rPr>
        <w:t>Institute for Life Sciences, University of Southampton, Southampton, United Kingdom</w:t>
      </w:r>
    </w:p>
    <w:p w14:paraId="1CF9B6A5" w14:textId="77777777" w:rsidR="008851C4" w:rsidRPr="00675B09" w:rsidRDefault="000860B9" w:rsidP="00533B34">
      <w:pPr>
        <w:numPr>
          <w:ilvl w:val="0"/>
          <w:numId w:val="2"/>
        </w:numPr>
        <w:pBdr>
          <w:top w:val="nil"/>
          <w:left w:val="nil"/>
          <w:bottom w:val="nil"/>
          <w:right w:val="nil"/>
          <w:between w:val="nil"/>
        </w:pBdr>
        <w:spacing w:after="0"/>
        <w:rPr>
          <w:lang w:val="en-GB"/>
        </w:rPr>
      </w:pPr>
      <w:r w:rsidRPr="00675B09">
        <w:rPr>
          <w:lang w:val="en-GB"/>
        </w:rPr>
        <w:t>School of Psychology, University of Nottingham, Semenyih, Malaysia</w:t>
      </w:r>
    </w:p>
    <w:p w14:paraId="32E08739" w14:textId="77777777" w:rsidR="008851C4" w:rsidRPr="00675B09" w:rsidRDefault="000860B9" w:rsidP="00533B34">
      <w:pPr>
        <w:numPr>
          <w:ilvl w:val="0"/>
          <w:numId w:val="2"/>
        </w:numPr>
        <w:pBdr>
          <w:top w:val="nil"/>
          <w:left w:val="nil"/>
          <w:bottom w:val="nil"/>
          <w:right w:val="nil"/>
          <w:between w:val="nil"/>
        </w:pBdr>
        <w:spacing w:after="0"/>
        <w:rPr>
          <w:lang w:val="en-GB"/>
        </w:rPr>
      </w:pPr>
      <w:r w:rsidRPr="00675B09">
        <w:rPr>
          <w:lang w:val="en-GB"/>
        </w:rPr>
        <w:t>Mind and Neurodevelopment (</w:t>
      </w:r>
      <w:proofErr w:type="spellStart"/>
      <w:r w:rsidRPr="00675B09">
        <w:rPr>
          <w:lang w:val="en-GB"/>
        </w:rPr>
        <w:t>MiND</w:t>
      </w:r>
      <w:proofErr w:type="spellEnd"/>
      <w:r w:rsidRPr="00675B09">
        <w:rPr>
          <w:lang w:val="en-GB"/>
        </w:rPr>
        <w:t>) Research Group, University of Nottingham, Semenyih, Malaysia</w:t>
      </w:r>
    </w:p>
    <w:p w14:paraId="77503681" w14:textId="37E673E5" w:rsidR="00AD3CCC" w:rsidRPr="00675B09" w:rsidRDefault="00AD3CCC" w:rsidP="00533B34">
      <w:pPr>
        <w:numPr>
          <w:ilvl w:val="0"/>
          <w:numId w:val="2"/>
        </w:numPr>
        <w:pBdr>
          <w:top w:val="nil"/>
          <w:left w:val="nil"/>
          <w:bottom w:val="nil"/>
          <w:right w:val="nil"/>
          <w:between w:val="nil"/>
        </w:pBdr>
        <w:spacing w:after="0"/>
        <w:rPr>
          <w:lang w:val="en-GB"/>
        </w:rPr>
      </w:pPr>
      <w:r w:rsidRPr="00675B09">
        <w:rPr>
          <w:lang w:val="en-GB"/>
        </w:rPr>
        <w:t xml:space="preserve">IMARD Group, </w:t>
      </w:r>
      <w:proofErr w:type="spellStart"/>
      <w:r w:rsidRPr="00675B09">
        <w:rPr>
          <w:lang w:val="en-GB"/>
        </w:rPr>
        <w:t>Institut</w:t>
      </w:r>
      <w:proofErr w:type="spellEnd"/>
      <w:r w:rsidRPr="00675B09">
        <w:rPr>
          <w:lang w:val="en-GB"/>
        </w:rPr>
        <w:t xml:space="preserve"> </w:t>
      </w:r>
      <w:proofErr w:type="spellStart"/>
      <w:r w:rsidRPr="00675B09">
        <w:rPr>
          <w:lang w:val="en-GB"/>
        </w:rPr>
        <w:t>d'Investigacions</w:t>
      </w:r>
      <w:proofErr w:type="spellEnd"/>
      <w:r w:rsidRPr="00675B09">
        <w:rPr>
          <w:lang w:val="en-GB"/>
        </w:rPr>
        <w:t xml:space="preserve"> </w:t>
      </w:r>
      <w:proofErr w:type="spellStart"/>
      <w:r w:rsidRPr="00675B09">
        <w:rPr>
          <w:lang w:val="en-GB"/>
        </w:rPr>
        <w:t>Biomèdiques</w:t>
      </w:r>
      <w:proofErr w:type="spellEnd"/>
      <w:r w:rsidRPr="00675B09">
        <w:rPr>
          <w:lang w:val="en-GB"/>
        </w:rPr>
        <w:t xml:space="preserve"> August Pi I </w:t>
      </w:r>
      <w:proofErr w:type="spellStart"/>
      <w:r w:rsidRPr="00675B09">
        <w:rPr>
          <w:lang w:val="en-GB"/>
        </w:rPr>
        <w:t>Sunyer</w:t>
      </w:r>
      <w:proofErr w:type="spellEnd"/>
      <w:r w:rsidRPr="00675B09">
        <w:rPr>
          <w:lang w:val="en-GB"/>
        </w:rPr>
        <w:t xml:space="preserve"> (IDIBAPS), Barcelona, Spain</w:t>
      </w:r>
    </w:p>
    <w:p w14:paraId="5B47F0F7" w14:textId="1EF8E1D9" w:rsidR="00AD3CCC" w:rsidRPr="00675B09" w:rsidRDefault="00AD3CCC" w:rsidP="00533B34">
      <w:pPr>
        <w:numPr>
          <w:ilvl w:val="0"/>
          <w:numId w:val="2"/>
        </w:numPr>
        <w:pBdr>
          <w:top w:val="nil"/>
          <w:left w:val="nil"/>
          <w:bottom w:val="nil"/>
          <w:right w:val="nil"/>
          <w:between w:val="nil"/>
        </w:pBdr>
        <w:spacing w:after="0"/>
        <w:rPr>
          <w:lang w:val="en-GB"/>
        </w:rPr>
      </w:pPr>
      <w:r w:rsidRPr="00675B09">
        <w:rPr>
          <w:lang w:val="en-GB"/>
        </w:rPr>
        <w:t>Biomedical Research Networking Centre Consortium on Mental Health (CIBERSAM), Instituto de Salud Carlos III, Madrid, Spain</w:t>
      </w:r>
    </w:p>
    <w:p w14:paraId="29B63CBD" w14:textId="45F7FC58" w:rsidR="00AD3CCC" w:rsidRPr="00675B09" w:rsidRDefault="00AD3CCC" w:rsidP="00533B34">
      <w:pPr>
        <w:numPr>
          <w:ilvl w:val="0"/>
          <w:numId w:val="2"/>
        </w:numPr>
        <w:pBdr>
          <w:top w:val="nil"/>
          <w:left w:val="nil"/>
          <w:bottom w:val="nil"/>
          <w:right w:val="nil"/>
          <w:between w:val="nil"/>
        </w:pBdr>
        <w:spacing w:after="0"/>
        <w:rPr>
          <w:lang w:val="en-GB"/>
        </w:rPr>
      </w:pPr>
      <w:r w:rsidRPr="00675B09">
        <w:rPr>
          <w:lang w:val="en-GB"/>
        </w:rPr>
        <w:t>Department of Medicine, School of Medicine and Health Sciences, University of Barcelona (UB), Barcelona, Spain</w:t>
      </w:r>
    </w:p>
    <w:p w14:paraId="0A531360" w14:textId="7055A6DF" w:rsidR="00A819DD" w:rsidRPr="00675B09" w:rsidRDefault="00A819DD" w:rsidP="00533B34">
      <w:pPr>
        <w:numPr>
          <w:ilvl w:val="0"/>
          <w:numId w:val="2"/>
        </w:numPr>
        <w:pBdr>
          <w:top w:val="nil"/>
          <w:left w:val="nil"/>
          <w:bottom w:val="nil"/>
          <w:right w:val="nil"/>
          <w:between w:val="nil"/>
        </w:pBdr>
        <w:spacing w:after="0"/>
        <w:rPr>
          <w:lang w:val="en-GB"/>
        </w:rPr>
      </w:pPr>
      <w:r w:rsidRPr="00675B09">
        <w:rPr>
          <w:lang w:val="en-GB"/>
        </w:rPr>
        <w:t>Department of Child and Adolescent Psychiatry, Toulouse University Hospital, Toulouse, France</w:t>
      </w:r>
    </w:p>
    <w:p w14:paraId="465EDF20" w14:textId="557B4C64" w:rsidR="00A819DD" w:rsidRPr="00675B09" w:rsidRDefault="00A819DD" w:rsidP="00533B34">
      <w:pPr>
        <w:numPr>
          <w:ilvl w:val="0"/>
          <w:numId w:val="2"/>
        </w:numPr>
        <w:pBdr>
          <w:top w:val="nil"/>
          <w:left w:val="nil"/>
          <w:bottom w:val="nil"/>
          <w:right w:val="nil"/>
          <w:between w:val="nil"/>
        </w:pBdr>
        <w:spacing w:after="0"/>
        <w:rPr>
          <w:lang w:val="en-GB"/>
        </w:rPr>
      </w:pPr>
      <w:r w:rsidRPr="00675B09">
        <w:rPr>
          <w:lang w:val="en-GB"/>
        </w:rPr>
        <w:t xml:space="preserve">CERPOP, </w:t>
      </w:r>
      <w:proofErr w:type="spellStart"/>
      <w:r w:rsidRPr="00675B09">
        <w:rPr>
          <w:lang w:val="en-GB"/>
        </w:rPr>
        <w:t>Inserm</w:t>
      </w:r>
      <w:proofErr w:type="spellEnd"/>
      <w:r w:rsidRPr="00675B09">
        <w:rPr>
          <w:lang w:val="en-GB"/>
        </w:rPr>
        <w:t>, UPS, University of Toulouse 3, Toulouse, France</w:t>
      </w:r>
    </w:p>
    <w:p w14:paraId="657CD403" w14:textId="0568EE58" w:rsidR="000A6EDA" w:rsidRPr="00675B09" w:rsidRDefault="000A6EDA" w:rsidP="00533B34">
      <w:pPr>
        <w:numPr>
          <w:ilvl w:val="0"/>
          <w:numId w:val="2"/>
        </w:numPr>
        <w:pBdr>
          <w:top w:val="nil"/>
          <w:left w:val="nil"/>
          <w:bottom w:val="nil"/>
          <w:right w:val="nil"/>
          <w:between w:val="nil"/>
        </w:pBdr>
        <w:spacing w:after="0"/>
        <w:rPr>
          <w:lang w:val="en-GB"/>
        </w:rPr>
      </w:pPr>
      <w:r w:rsidRPr="00675B09">
        <w:rPr>
          <w:lang w:val="en-GB"/>
        </w:rPr>
        <w:t xml:space="preserve">Department of </w:t>
      </w:r>
      <w:r w:rsidR="00D64CC8" w:rsidRPr="00675B09">
        <w:rPr>
          <w:lang w:val="en-GB"/>
        </w:rPr>
        <w:t>Biology</w:t>
      </w:r>
      <w:r w:rsidRPr="00675B09">
        <w:rPr>
          <w:lang w:val="en-GB"/>
        </w:rPr>
        <w:t xml:space="preserve">, University of Ottawa, Ontario, Canada </w:t>
      </w:r>
    </w:p>
    <w:p w14:paraId="66418E7E" w14:textId="5465EE89" w:rsidR="00073C37" w:rsidRPr="00675B09" w:rsidRDefault="00073C37" w:rsidP="00533B34">
      <w:pPr>
        <w:numPr>
          <w:ilvl w:val="0"/>
          <w:numId w:val="2"/>
        </w:numPr>
        <w:pBdr>
          <w:top w:val="nil"/>
          <w:left w:val="nil"/>
          <w:bottom w:val="nil"/>
          <w:right w:val="nil"/>
          <w:between w:val="nil"/>
        </w:pBdr>
        <w:spacing w:after="0"/>
        <w:rPr>
          <w:lang w:val="en-GB"/>
        </w:rPr>
      </w:pPr>
      <w:r w:rsidRPr="00675B09">
        <w:rPr>
          <w:lang w:val="en-GB"/>
        </w:rPr>
        <w:lastRenderedPageBreak/>
        <w:t xml:space="preserve">Southern Health NHS Foundation Trust, </w:t>
      </w:r>
      <w:r w:rsidR="00033835" w:rsidRPr="00675B09">
        <w:rPr>
          <w:lang w:val="en-GB"/>
        </w:rPr>
        <w:t>Southampton, United Kingdom</w:t>
      </w:r>
    </w:p>
    <w:p w14:paraId="0F878A5B" w14:textId="0E2CBAFC" w:rsidR="00B64951" w:rsidRPr="00675B09" w:rsidRDefault="00B64951" w:rsidP="00533B34">
      <w:pPr>
        <w:numPr>
          <w:ilvl w:val="0"/>
          <w:numId w:val="2"/>
        </w:numPr>
        <w:pBdr>
          <w:top w:val="nil"/>
          <w:left w:val="nil"/>
          <w:bottom w:val="nil"/>
          <w:right w:val="nil"/>
          <w:between w:val="nil"/>
        </w:pBdr>
        <w:spacing w:after="0"/>
        <w:rPr>
          <w:lang w:val="en-GB"/>
        </w:rPr>
      </w:pPr>
      <w:r w:rsidRPr="00675B09">
        <w:rPr>
          <w:lang w:val="en-GB"/>
        </w:rPr>
        <w:t>Department of Neurology and Psychiatry, Sapienza University of Roma, Italy</w:t>
      </w:r>
    </w:p>
    <w:p w14:paraId="4AF25BFE" w14:textId="37E20F27" w:rsidR="00B64951" w:rsidRPr="00675B09" w:rsidRDefault="00B64951" w:rsidP="00533B34">
      <w:pPr>
        <w:numPr>
          <w:ilvl w:val="0"/>
          <w:numId w:val="2"/>
        </w:numPr>
        <w:pBdr>
          <w:top w:val="nil"/>
          <w:left w:val="nil"/>
          <w:bottom w:val="nil"/>
          <w:right w:val="nil"/>
          <w:between w:val="nil"/>
        </w:pBdr>
        <w:spacing w:after="0"/>
        <w:rPr>
          <w:lang w:val="en-GB"/>
        </w:rPr>
      </w:pPr>
      <w:r w:rsidRPr="00675B09">
        <w:rPr>
          <w:lang w:val="en-GB"/>
        </w:rPr>
        <w:t>Department of Psychiatry, University of Pittsburgh, Pittsburgh, PA, USA</w:t>
      </w:r>
    </w:p>
    <w:p w14:paraId="294CE2E0" w14:textId="7809EC65" w:rsidR="00B64951" w:rsidRPr="00675B09" w:rsidRDefault="00B64951" w:rsidP="00533B34">
      <w:pPr>
        <w:numPr>
          <w:ilvl w:val="0"/>
          <w:numId w:val="2"/>
        </w:numPr>
        <w:pBdr>
          <w:top w:val="nil"/>
          <w:left w:val="nil"/>
          <w:bottom w:val="nil"/>
          <w:right w:val="nil"/>
          <w:between w:val="nil"/>
        </w:pBdr>
        <w:spacing w:after="0"/>
        <w:rPr>
          <w:lang w:val="en-GB"/>
        </w:rPr>
      </w:pPr>
      <w:r w:rsidRPr="00675B09">
        <w:rPr>
          <w:lang w:val="en-GB"/>
        </w:rPr>
        <w:t xml:space="preserve">Hospital Professor </w:t>
      </w:r>
      <w:proofErr w:type="spellStart"/>
      <w:r w:rsidRPr="00675B09">
        <w:rPr>
          <w:lang w:val="en-GB"/>
        </w:rPr>
        <w:t>Doutor</w:t>
      </w:r>
      <w:proofErr w:type="spellEnd"/>
      <w:r w:rsidRPr="00675B09">
        <w:rPr>
          <w:lang w:val="en-GB"/>
        </w:rPr>
        <w:t xml:space="preserve"> Fernando Fonseca, Amadora, Portugal</w:t>
      </w:r>
    </w:p>
    <w:p w14:paraId="38AA21F7" w14:textId="08795F76" w:rsidR="00B64951" w:rsidRPr="00675B09" w:rsidRDefault="00B64951" w:rsidP="00533B34">
      <w:pPr>
        <w:numPr>
          <w:ilvl w:val="0"/>
          <w:numId w:val="2"/>
        </w:numPr>
        <w:pBdr>
          <w:top w:val="nil"/>
          <w:left w:val="nil"/>
          <w:bottom w:val="nil"/>
          <w:right w:val="nil"/>
          <w:between w:val="nil"/>
        </w:pBdr>
        <w:spacing w:after="0"/>
        <w:rPr>
          <w:lang w:val="en-GB"/>
        </w:rPr>
      </w:pPr>
      <w:r w:rsidRPr="00675B09">
        <w:rPr>
          <w:lang w:val="en-GB"/>
        </w:rPr>
        <w:t xml:space="preserve">Department of Child and Adolescent Psychiatry, Institute of Psychiatry, Psychology and Neuroscience, King’s College London, SE5 8AF, London, </w:t>
      </w:r>
      <w:r w:rsidR="00B7051A" w:rsidRPr="00675B09">
        <w:rPr>
          <w:lang w:val="en-GB"/>
        </w:rPr>
        <w:t>United Kingdom</w:t>
      </w:r>
    </w:p>
    <w:p w14:paraId="1A95F92E" w14:textId="69195BD8" w:rsidR="00B64951" w:rsidRPr="00675B09" w:rsidRDefault="00B64951" w:rsidP="00533B34">
      <w:pPr>
        <w:numPr>
          <w:ilvl w:val="0"/>
          <w:numId w:val="2"/>
        </w:numPr>
        <w:pBdr>
          <w:top w:val="nil"/>
          <w:left w:val="nil"/>
          <w:bottom w:val="nil"/>
          <w:right w:val="nil"/>
          <w:between w:val="nil"/>
        </w:pBdr>
        <w:spacing w:after="0"/>
        <w:rPr>
          <w:lang w:val="en-GB"/>
        </w:rPr>
      </w:pPr>
      <w:r w:rsidRPr="00675B09">
        <w:rPr>
          <w:lang w:val="en-GB"/>
        </w:rPr>
        <w:t xml:space="preserve">Department of Forensic and Neurodevelopmental Sciences, Institute of Psychiatry, Psychology and Neuroscience, King’s College London, SE5 8AF, London, </w:t>
      </w:r>
      <w:r w:rsidR="00B7051A" w:rsidRPr="00675B09">
        <w:rPr>
          <w:lang w:val="en-GB"/>
        </w:rPr>
        <w:t>United Kingdom</w:t>
      </w:r>
    </w:p>
    <w:p w14:paraId="67A7B305" w14:textId="0E47DB3B" w:rsidR="00B64951" w:rsidRPr="00675B09" w:rsidRDefault="00B64951" w:rsidP="00533B34">
      <w:pPr>
        <w:numPr>
          <w:ilvl w:val="0"/>
          <w:numId w:val="2"/>
        </w:numPr>
        <w:pBdr>
          <w:top w:val="nil"/>
          <w:left w:val="nil"/>
          <w:bottom w:val="nil"/>
          <w:right w:val="nil"/>
          <w:between w:val="nil"/>
        </w:pBdr>
        <w:spacing w:after="0"/>
        <w:rPr>
          <w:lang w:val="en-GB"/>
        </w:rPr>
      </w:pPr>
      <w:r w:rsidRPr="00675B09">
        <w:rPr>
          <w:lang w:val="en-GB"/>
        </w:rPr>
        <w:t xml:space="preserve">Solent NHS Trust, Southampton, </w:t>
      </w:r>
      <w:r w:rsidR="00B7051A" w:rsidRPr="00675B09">
        <w:rPr>
          <w:lang w:val="en-GB"/>
        </w:rPr>
        <w:t>United Kingdom</w:t>
      </w:r>
    </w:p>
    <w:p w14:paraId="628323BE" w14:textId="485B25B2" w:rsidR="00B64951" w:rsidRPr="00675B09" w:rsidRDefault="00B64951" w:rsidP="00533B34">
      <w:pPr>
        <w:numPr>
          <w:ilvl w:val="0"/>
          <w:numId w:val="2"/>
        </w:numPr>
        <w:pBdr>
          <w:top w:val="nil"/>
          <w:left w:val="nil"/>
          <w:bottom w:val="nil"/>
          <w:right w:val="nil"/>
          <w:between w:val="nil"/>
        </w:pBdr>
        <w:spacing w:after="0"/>
        <w:rPr>
          <w:lang w:val="en-GB"/>
        </w:rPr>
      </w:pPr>
      <w:r w:rsidRPr="00675B09">
        <w:rPr>
          <w:lang w:val="en-GB"/>
        </w:rPr>
        <w:t xml:space="preserve">Child Neurology and Psychiatry Unit, Tor </w:t>
      </w:r>
      <w:proofErr w:type="spellStart"/>
      <w:r w:rsidRPr="00675B09">
        <w:rPr>
          <w:lang w:val="en-GB"/>
        </w:rPr>
        <w:t>Vergata</w:t>
      </w:r>
      <w:proofErr w:type="spellEnd"/>
      <w:r w:rsidRPr="00675B09">
        <w:rPr>
          <w:lang w:val="en-GB"/>
        </w:rPr>
        <w:t xml:space="preserve"> University Hospital, Viale Oxford 81, 00133, Rome, Italy</w:t>
      </w:r>
    </w:p>
    <w:p w14:paraId="37FC15C1" w14:textId="548A691C" w:rsidR="00C34598" w:rsidRPr="00675B09" w:rsidRDefault="000A6EDA" w:rsidP="00533B34">
      <w:pPr>
        <w:numPr>
          <w:ilvl w:val="0"/>
          <w:numId w:val="2"/>
        </w:numPr>
        <w:pBdr>
          <w:top w:val="nil"/>
          <w:left w:val="nil"/>
          <w:bottom w:val="nil"/>
          <w:right w:val="nil"/>
          <w:between w:val="nil"/>
        </w:pBdr>
        <w:spacing w:after="0"/>
        <w:rPr>
          <w:lang w:val="en-GB"/>
        </w:rPr>
      </w:pPr>
      <w:r w:rsidRPr="00675B09">
        <w:rPr>
          <w:lang w:val="en-GB"/>
        </w:rPr>
        <w:t xml:space="preserve">Department of Psychiatry, </w:t>
      </w:r>
      <w:r w:rsidR="00C34598" w:rsidRPr="00675B09">
        <w:rPr>
          <w:lang w:val="en-GB"/>
        </w:rPr>
        <w:t>Zucker Hillside Hospital, Northwell Health, Glen Oaks, NY, USA</w:t>
      </w:r>
    </w:p>
    <w:p w14:paraId="5CDB57E4" w14:textId="76AE4A79" w:rsidR="00C34598" w:rsidRPr="00675B09" w:rsidRDefault="000A6EDA" w:rsidP="00533B34">
      <w:pPr>
        <w:numPr>
          <w:ilvl w:val="0"/>
          <w:numId w:val="2"/>
        </w:numPr>
        <w:pBdr>
          <w:top w:val="nil"/>
          <w:left w:val="nil"/>
          <w:bottom w:val="nil"/>
          <w:right w:val="nil"/>
          <w:between w:val="nil"/>
        </w:pBdr>
        <w:spacing w:after="0"/>
        <w:rPr>
          <w:lang w:val="en-GB"/>
        </w:rPr>
      </w:pPr>
      <w:r w:rsidRPr="00675B09">
        <w:rPr>
          <w:lang w:val="en-GB"/>
        </w:rPr>
        <w:t xml:space="preserve">Department of Psychiatry and Molecular Medicine, </w:t>
      </w:r>
      <w:r w:rsidR="00C34598" w:rsidRPr="00675B09">
        <w:rPr>
          <w:lang w:val="en-GB"/>
        </w:rPr>
        <w:t xml:space="preserve">Donald and Barbara Zucker School of Medicine at Hofstra/Northwell, Hempstead, NY, USA </w:t>
      </w:r>
    </w:p>
    <w:p w14:paraId="65C7AA4E" w14:textId="07A6808A" w:rsidR="00C34598" w:rsidRPr="00675B09" w:rsidRDefault="000A6EDA" w:rsidP="00533B34">
      <w:pPr>
        <w:numPr>
          <w:ilvl w:val="0"/>
          <w:numId w:val="2"/>
        </w:numPr>
        <w:pBdr>
          <w:top w:val="nil"/>
          <w:left w:val="nil"/>
          <w:bottom w:val="nil"/>
          <w:right w:val="nil"/>
          <w:between w:val="nil"/>
        </w:pBdr>
        <w:spacing w:after="0"/>
        <w:rPr>
          <w:lang w:val="en-GB"/>
        </w:rPr>
      </w:pPr>
      <w:proofErr w:type="spellStart"/>
      <w:r w:rsidRPr="00675B09">
        <w:rPr>
          <w:lang w:val="en-GB"/>
        </w:rPr>
        <w:t>Center</w:t>
      </w:r>
      <w:proofErr w:type="spellEnd"/>
      <w:r w:rsidRPr="00675B09">
        <w:rPr>
          <w:lang w:val="en-GB"/>
        </w:rPr>
        <w:t xml:space="preserve"> for Psychiatric Neuroscience, </w:t>
      </w:r>
      <w:r w:rsidR="00C34598" w:rsidRPr="00675B09">
        <w:rPr>
          <w:lang w:val="en-GB"/>
        </w:rPr>
        <w:t>The Feinstein Institute for Medical Research, Northwell Health, New Hyde Park, NY, USA</w:t>
      </w:r>
    </w:p>
    <w:p w14:paraId="37DD626E" w14:textId="20E9403C" w:rsidR="00C34598" w:rsidRPr="00675B09" w:rsidRDefault="000A6EDA" w:rsidP="00533B34">
      <w:pPr>
        <w:numPr>
          <w:ilvl w:val="0"/>
          <w:numId w:val="2"/>
        </w:numPr>
        <w:pBdr>
          <w:top w:val="nil"/>
          <w:left w:val="nil"/>
          <w:bottom w:val="nil"/>
          <w:right w:val="nil"/>
          <w:between w:val="nil"/>
        </w:pBdr>
        <w:spacing w:after="0"/>
        <w:rPr>
          <w:lang w:val="en-GB"/>
        </w:rPr>
      </w:pPr>
      <w:r w:rsidRPr="00675B09">
        <w:rPr>
          <w:lang w:val="en-GB"/>
        </w:rPr>
        <w:t xml:space="preserve">Department of Child and Adolescent Psychiatry, Charité </w:t>
      </w:r>
      <w:proofErr w:type="spellStart"/>
      <w:r w:rsidRPr="00675B09">
        <w:rPr>
          <w:lang w:val="en-GB"/>
        </w:rPr>
        <w:t>Universitätsmedizin</w:t>
      </w:r>
      <w:proofErr w:type="spellEnd"/>
      <w:r w:rsidRPr="00675B09">
        <w:rPr>
          <w:lang w:val="en-GB"/>
        </w:rPr>
        <w:t>, Berlin, Germany</w:t>
      </w:r>
    </w:p>
    <w:p w14:paraId="5D3E8F08" w14:textId="65542454" w:rsidR="00C34598" w:rsidRPr="00675B09" w:rsidRDefault="00C34598" w:rsidP="00533B34">
      <w:pPr>
        <w:numPr>
          <w:ilvl w:val="0"/>
          <w:numId w:val="2"/>
        </w:numPr>
        <w:pBdr>
          <w:top w:val="nil"/>
          <w:left w:val="nil"/>
          <w:bottom w:val="nil"/>
          <w:right w:val="nil"/>
          <w:between w:val="nil"/>
        </w:pBdr>
        <w:spacing w:after="0"/>
        <w:rPr>
          <w:lang w:val="en-GB"/>
        </w:rPr>
      </w:pPr>
      <w:r w:rsidRPr="00675B09">
        <w:rPr>
          <w:lang w:val="en-GB"/>
        </w:rPr>
        <w:t xml:space="preserve">German </w:t>
      </w:r>
      <w:proofErr w:type="spellStart"/>
      <w:r w:rsidRPr="00675B09">
        <w:rPr>
          <w:lang w:val="en-GB"/>
        </w:rPr>
        <w:t>Center</w:t>
      </w:r>
      <w:proofErr w:type="spellEnd"/>
      <w:r w:rsidRPr="00675B09">
        <w:rPr>
          <w:lang w:val="en-GB"/>
        </w:rPr>
        <w:t xml:space="preserve"> for Mental Health (DZPG), Berlin, Germany</w:t>
      </w:r>
    </w:p>
    <w:p w14:paraId="2F931EC3" w14:textId="381A40AF" w:rsidR="000A6EDA" w:rsidRPr="00675B09" w:rsidRDefault="000A6EDA" w:rsidP="00533B34">
      <w:pPr>
        <w:numPr>
          <w:ilvl w:val="0"/>
          <w:numId w:val="2"/>
        </w:numPr>
        <w:pBdr>
          <w:top w:val="nil"/>
          <w:left w:val="nil"/>
          <w:bottom w:val="nil"/>
          <w:right w:val="nil"/>
          <w:between w:val="nil"/>
        </w:pBdr>
        <w:spacing w:after="0"/>
        <w:rPr>
          <w:lang w:val="en-GB"/>
        </w:rPr>
      </w:pPr>
      <w:r w:rsidRPr="00675B09">
        <w:rPr>
          <w:lang w:val="en-GB"/>
        </w:rPr>
        <w:t xml:space="preserve">Department of Brain and </w:t>
      </w:r>
      <w:proofErr w:type="spellStart"/>
      <w:r w:rsidRPr="00675B09">
        <w:rPr>
          <w:lang w:val="en-GB"/>
        </w:rPr>
        <w:t>Behavioral</w:t>
      </w:r>
      <w:proofErr w:type="spellEnd"/>
      <w:r w:rsidRPr="00675B09">
        <w:rPr>
          <w:lang w:val="en-GB"/>
        </w:rPr>
        <w:t xml:space="preserve"> Sciences, University of Pavia, Italy</w:t>
      </w:r>
    </w:p>
    <w:p w14:paraId="3A0FF947" w14:textId="17D26E7E" w:rsidR="000A6EDA" w:rsidRPr="00675B09" w:rsidRDefault="000A6EDA" w:rsidP="00533B34">
      <w:pPr>
        <w:numPr>
          <w:ilvl w:val="0"/>
          <w:numId w:val="2"/>
        </w:numPr>
        <w:pBdr>
          <w:top w:val="nil"/>
          <w:left w:val="nil"/>
          <w:bottom w:val="nil"/>
          <w:right w:val="nil"/>
          <w:between w:val="nil"/>
        </w:pBdr>
        <w:spacing w:after="0"/>
        <w:rPr>
          <w:lang w:val="en-GB"/>
        </w:rPr>
      </w:pPr>
      <w:r w:rsidRPr="00675B09">
        <w:rPr>
          <w:lang w:val="en-GB"/>
        </w:rPr>
        <w:t xml:space="preserve">Department of Psychosis Studies, King’s College London, </w:t>
      </w:r>
      <w:r w:rsidR="00B7051A" w:rsidRPr="00675B09">
        <w:rPr>
          <w:lang w:val="en-GB"/>
        </w:rPr>
        <w:t>United Kingdom</w:t>
      </w:r>
    </w:p>
    <w:p w14:paraId="11DAFBDA" w14:textId="69F35001" w:rsidR="000A6EDA" w:rsidRPr="00675B09" w:rsidRDefault="000A6EDA" w:rsidP="00533B34">
      <w:pPr>
        <w:numPr>
          <w:ilvl w:val="0"/>
          <w:numId w:val="2"/>
        </w:numPr>
        <w:pBdr>
          <w:top w:val="nil"/>
          <w:left w:val="nil"/>
          <w:bottom w:val="nil"/>
          <w:right w:val="nil"/>
          <w:between w:val="nil"/>
        </w:pBdr>
        <w:spacing w:after="0"/>
        <w:rPr>
          <w:lang w:val="en-GB"/>
        </w:rPr>
      </w:pPr>
      <w:r w:rsidRPr="00675B09">
        <w:rPr>
          <w:lang w:val="en-GB"/>
        </w:rPr>
        <w:t xml:space="preserve">South London and </w:t>
      </w:r>
      <w:proofErr w:type="spellStart"/>
      <w:r w:rsidRPr="00675B09">
        <w:rPr>
          <w:lang w:val="en-GB"/>
        </w:rPr>
        <w:t>Maudlsey</w:t>
      </w:r>
      <w:proofErr w:type="spellEnd"/>
      <w:r w:rsidRPr="00675B09">
        <w:rPr>
          <w:lang w:val="en-GB"/>
        </w:rPr>
        <w:t xml:space="preserve"> (</w:t>
      </w:r>
      <w:proofErr w:type="spellStart"/>
      <w:r w:rsidRPr="00675B09">
        <w:rPr>
          <w:lang w:val="en-GB"/>
        </w:rPr>
        <w:t>SLaM</w:t>
      </w:r>
      <w:proofErr w:type="spellEnd"/>
      <w:r w:rsidRPr="00675B09">
        <w:rPr>
          <w:lang w:val="en-GB"/>
        </w:rPr>
        <w:t xml:space="preserve">) NHS Foundation Trust, London, </w:t>
      </w:r>
      <w:r w:rsidR="00B7051A" w:rsidRPr="00675B09">
        <w:rPr>
          <w:lang w:val="en-GB"/>
        </w:rPr>
        <w:t>United Kingdom</w:t>
      </w:r>
    </w:p>
    <w:p w14:paraId="4F19042C" w14:textId="0110DBC3" w:rsidR="000A6EDA" w:rsidRPr="00675B09" w:rsidRDefault="000A6EDA" w:rsidP="00533B34">
      <w:pPr>
        <w:numPr>
          <w:ilvl w:val="0"/>
          <w:numId w:val="2"/>
        </w:numPr>
        <w:pBdr>
          <w:top w:val="nil"/>
          <w:left w:val="nil"/>
          <w:bottom w:val="nil"/>
          <w:right w:val="nil"/>
          <w:between w:val="nil"/>
        </w:pBdr>
        <w:spacing w:after="0"/>
        <w:rPr>
          <w:lang w:val="en-GB"/>
        </w:rPr>
      </w:pPr>
      <w:r w:rsidRPr="00675B09">
        <w:rPr>
          <w:lang w:val="en-GB"/>
        </w:rPr>
        <w:lastRenderedPageBreak/>
        <w:t>Department of Psychiatry and Psychotherapy, University Hospital, Ludwig-Maximilian-University (LMU), Munich, Germany</w:t>
      </w:r>
    </w:p>
    <w:p w14:paraId="62BDA793" w14:textId="77777777" w:rsidR="00D64CC8" w:rsidRPr="00675B09" w:rsidRDefault="00D64CC8" w:rsidP="00533B34">
      <w:pPr>
        <w:numPr>
          <w:ilvl w:val="0"/>
          <w:numId w:val="2"/>
        </w:numPr>
        <w:pBdr>
          <w:top w:val="nil"/>
          <w:left w:val="nil"/>
          <w:bottom w:val="nil"/>
          <w:right w:val="nil"/>
          <w:between w:val="nil"/>
        </w:pBdr>
        <w:spacing w:after="0"/>
        <w:rPr>
          <w:lang w:val="en-GB"/>
        </w:rPr>
      </w:pPr>
      <w:r w:rsidRPr="00675B09">
        <w:rPr>
          <w:lang w:val="en-GB"/>
        </w:rPr>
        <w:t xml:space="preserve">Department of Psychiatry, University of Ottawa, Ontario, Canada </w:t>
      </w:r>
    </w:p>
    <w:p w14:paraId="30D75CD2" w14:textId="14F9F3C0" w:rsidR="000A6EDA" w:rsidRPr="00675B09" w:rsidRDefault="000A6EDA" w:rsidP="00533B34">
      <w:pPr>
        <w:numPr>
          <w:ilvl w:val="0"/>
          <w:numId w:val="2"/>
        </w:numPr>
        <w:pBdr>
          <w:top w:val="nil"/>
          <w:left w:val="nil"/>
          <w:bottom w:val="nil"/>
          <w:right w:val="nil"/>
          <w:between w:val="nil"/>
        </w:pBdr>
        <w:spacing w:after="0"/>
        <w:rPr>
          <w:lang w:val="en-GB"/>
        </w:rPr>
      </w:pPr>
      <w:r w:rsidRPr="00675B09">
        <w:rPr>
          <w:lang w:val="en-GB"/>
        </w:rPr>
        <w:t>Regional Centre for the Treatment of Eating Disorders and On Track: The Champlain First Episode Psychosis Program, Department of Mental Health, The Ottawa Hospital, Ontario, Canada</w:t>
      </w:r>
    </w:p>
    <w:p w14:paraId="5110A507" w14:textId="7FFB3AC7" w:rsidR="000A6EDA" w:rsidRPr="00675B09" w:rsidRDefault="000A6EDA" w:rsidP="00533B34">
      <w:pPr>
        <w:numPr>
          <w:ilvl w:val="0"/>
          <w:numId w:val="2"/>
        </w:numPr>
        <w:pBdr>
          <w:top w:val="nil"/>
          <w:left w:val="nil"/>
          <w:bottom w:val="nil"/>
          <w:right w:val="nil"/>
          <w:between w:val="nil"/>
        </w:pBdr>
        <w:spacing w:after="0"/>
        <w:rPr>
          <w:lang w:val="en-GB"/>
        </w:rPr>
      </w:pPr>
      <w:r w:rsidRPr="00675B09">
        <w:rPr>
          <w:lang w:val="en-GB"/>
        </w:rPr>
        <w:t xml:space="preserve">Ottawa Hospital Research Institute (OHRI) Clinical Epidemiology Program University of Ottawa </w:t>
      </w:r>
      <w:proofErr w:type="spellStart"/>
      <w:r w:rsidRPr="00675B09">
        <w:rPr>
          <w:lang w:val="en-GB"/>
        </w:rPr>
        <w:t>Ottawa</w:t>
      </w:r>
      <w:proofErr w:type="spellEnd"/>
      <w:r w:rsidRPr="00675B09">
        <w:rPr>
          <w:lang w:val="en-GB"/>
        </w:rPr>
        <w:t xml:space="preserve"> Ontario</w:t>
      </w:r>
    </w:p>
    <w:p w14:paraId="57BF5B4D" w14:textId="77777777" w:rsidR="00B7051A" w:rsidRPr="00675B09" w:rsidRDefault="00D64CC8" w:rsidP="00533B34">
      <w:pPr>
        <w:numPr>
          <w:ilvl w:val="0"/>
          <w:numId w:val="2"/>
        </w:numPr>
        <w:pBdr>
          <w:top w:val="nil"/>
          <w:left w:val="nil"/>
          <w:bottom w:val="nil"/>
          <w:right w:val="nil"/>
          <w:between w:val="nil"/>
        </w:pBdr>
        <w:spacing w:after="0"/>
        <w:rPr>
          <w:lang w:val="en-GB"/>
        </w:rPr>
      </w:pPr>
      <w:r w:rsidRPr="00675B09">
        <w:rPr>
          <w:lang w:val="en-GB"/>
        </w:rPr>
        <w:t xml:space="preserve">Developmental EPI (Evidence synthesis, Prediction, Implementation) Lab, Centre for Innovation in Mental Health, School of Psychology, Faculty of Environmental and Life Sciences, University of Southampton, Southampton, </w:t>
      </w:r>
      <w:r w:rsidR="00B7051A" w:rsidRPr="00675B09">
        <w:rPr>
          <w:lang w:val="en-GB"/>
        </w:rPr>
        <w:t>United Kingdom</w:t>
      </w:r>
      <w:r w:rsidR="00B7051A" w:rsidRPr="00675B09" w:rsidDel="00B7051A">
        <w:rPr>
          <w:lang w:val="en-GB"/>
        </w:rPr>
        <w:t xml:space="preserve"> </w:t>
      </w:r>
    </w:p>
    <w:p w14:paraId="2F9695A5" w14:textId="0B1DD397" w:rsidR="00D64CC8" w:rsidRPr="00675B09" w:rsidRDefault="00D64CC8" w:rsidP="00533B34">
      <w:pPr>
        <w:numPr>
          <w:ilvl w:val="0"/>
          <w:numId w:val="2"/>
        </w:numPr>
        <w:pBdr>
          <w:top w:val="nil"/>
          <w:left w:val="nil"/>
          <w:bottom w:val="nil"/>
          <w:right w:val="nil"/>
          <w:between w:val="nil"/>
        </w:pBdr>
        <w:spacing w:after="0"/>
        <w:rPr>
          <w:lang w:val="en-GB"/>
        </w:rPr>
      </w:pPr>
      <w:r w:rsidRPr="00675B09">
        <w:rPr>
          <w:lang w:val="en-GB"/>
        </w:rPr>
        <w:t xml:space="preserve">Clinical and Experimental Sciences (CNS and Psychiatry), Faculty of Medicine, University of Southampton, Southampton, </w:t>
      </w:r>
      <w:r w:rsidR="00B7051A" w:rsidRPr="00675B09">
        <w:rPr>
          <w:lang w:val="en-GB"/>
        </w:rPr>
        <w:t>United Kingdom</w:t>
      </w:r>
    </w:p>
    <w:p w14:paraId="3C38F85C" w14:textId="77777777" w:rsidR="00D64CC8" w:rsidRPr="00675B09" w:rsidRDefault="00D64CC8" w:rsidP="00533B34">
      <w:pPr>
        <w:numPr>
          <w:ilvl w:val="0"/>
          <w:numId w:val="2"/>
        </w:numPr>
        <w:pBdr>
          <w:top w:val="nil"/>
          <w:left w:val="nil"/>
          <w:bottom w:val="nil"/>
          <w:right w:val="nil"/>
          <w:between w:val="nil"/>
        </w:pBdr>
        <w:spacing w:after="0"/>
        <w:rPr>
          <w:lang w:val="en-GB"/>
        </w:rPr>
      </w:pPr>
      <w:r w:rsidRPr="00675B09">
        <w:rPr>
          <w:lang w:val="en-GB"/>
        </w:rPr>
        <w:t xml:space="preserve">Hassenfeld Children’s Hospital at NYU Langone, New York University Child Study </w:t>
      </w:r>
      <w:proofErr w:type="spellStart"/>
      <w:r w:rsidRPr="00675B09">
        <w:rPr>
          <w:lang w:val="en-GB"/>
        </w:rPr>
        <w:t>Center</w:t>
      </w:r>
      <w:proofErr w:type="spellEnd"/>
      <w:r w:rsidRPr="00675B09">
        <w:rPr>
          <w:lang w:val="en-GB"/>
        </w:rPr>
        <w:t>, New York City, New York, USA</w:t>
      </w:r>
    </w:p>
    <w:p w14:paraId="4545D6D3" w14:textId="7ED8B8DB" w:rsidR="00D64CC8" w:rsidRPr="00675B09" w:rsidRDefault="00D64CC8" w:rsidP="00533B34">
      <w:pPr>
        <w:numPr>
          <w:ilvl w:val="0"/>
          <w:numId w:val="2"/>
        </w:numPr>
        <w:pBdr>
          <w:top w:val="nil"/>
          <w:left w:val="nil"/>
          <w:bottom w:val="nil"/>
          <w:right w:val="nil"/>
          <w:between w:val="nil"/>
        </w:pBdr>
        <w:spacing w:after="0"/>
        <w:rPr>
          <w:lang w:val="en-GB"/>
        </w:rPr>
      </w:pPr>
      <w:proofErr w:type="spellStart"/>
      <w:r w:rsidRPr="00675B09">
        <w:rPr>
          <w:lang w:val="en-GB"/>
        </w:rPr>
        <w:t>DiMePRe</w:t>
      </w:r>
      <w:proofErr w:type="spellEnd"/>
      <w:r w:rsidRPr="00675B09">
        <w:rPr>
          <w:lang w:val="en-GB"/>
        </w:rPr>
        <w:t xml:space="preserve">-J-Department of Precision and </w:t>
      </w:r>
      <w:proofErr w:type="spellStart"/>
      <w:r w:rsidRPr="00675B09">
        <w:rPr>
          <w:lang w:val="en-GB"/>
        </w:rPr>
        <w:t>Rigenerative</w:t>
      </w:r>
      <w:proofErr w:type="spellEnd"/>
      <w:r w:rsidRPr="00675B09">
        <w:rPr>
          <w:lang w:val="en-GB"/>
        </w:rPr>
        <w:t xml:space="preserve"> Medicine-Jonic Area, University of Bari "Aldo Moro", Bari, Italy</w:t>
      </w:r>
    </w:p>
    <w:p w14:paraId="1B13838F" w14:textId="77777777" w:rsidR="00E767F8" w:rsidRPr="00675B09" w:rsidRDefault="00E767F8" w:rsidP="00533B34">
      <w:pPr>
        <w:rPr>
          <w:vertAlign w:val="superscript"/>
          <w:lang w:val="en-GB"/>
        </w:rPr>
      </w:pPr>
    </w:p>
    <w:p w14:paraId="0B7DD903" w14:textId="714C66E0" w:rsidR="008851C4" w:rsidRPr="00675B09" w:rsidRDefault="000860B9" w:rsidP="00533B34">
      <w:pPr>
        <w:rPr>
          <w:lang w:val="en-GB"/>
        </w:rPr>
      </w:pPr>
      <w:r w:rsidRPr="00675B09">
        <w:rPr>
          <w:vertAlign w:val="superscript"/>
          <w:lang w:val="en-GB"/>
        </w:rPr>
        <w:t>*</w:t>
      </w:r>
      <w:r w:rsidRPr="00675B09">
        <w:rPr>
          <w:lang w:val="en-GB"/>
        </w:rPr>
        <w:t>: shared first authorship</w:t>
      </w:r>
    </w:p>
    <w:p w14:paraId="75FB0155" w14:textId="77777777" w:rsidR="008851C4" w:rsidRPr="00675B09" w:rsidRDefault="000860B9" w:rsidP="00533B34">
      <w:pPr>
        <w:rPr>
          <w:lang w:val="en-GB"/>
        </w:rPr>
      </w:pPr>
      <w:r w:rsidRPr="00675B09">
        <w:rPr>
          <w:vertAlign w:val="superscript"/>
          <w:lang w:val="en-GB"/>
        </w:rPr>
        <w:t>#</w:t>
      </w:r>
      <w:r w:rsidRPr="00675B09">
        <w:rPr>
          <w:lang w:val="en-GB"/>
        </w:rPr>
        <w:t>: shared senior authorship</w:t>
      </w:r>
    </w:p>
    <w:p w14:paraId="6A3E5AFD" w14:textId="77777777" w:rsidR="00533B34" w:rsidRPr="00675B09" w:rsidRDefault="00533B34" w:rsidP="00533B34">
      <w:pPr>
        <w:rPr>
          <w:lang w:val="en-GB"/>
        </w:rPr>
      </w:pPr>
    </w:p>
    <w:p w14:paraId="0DA08706" w14:textId="77777777" w:rsidR="00FF104C" w:rsidRPr="00675B09" w:rsidRDefault="000860B9" w:rsidP="00533B34">
      <w:pPr>
        <w:rPr>
          <w:lang w:val="en-GB"/>
        </w:rPr>
      </w:pPr>
      <w:bookmarkStart w:id="10" w:name="_30j0zll" w:colFirst="0" w:colLast="0"/>
      <w:bookmarkEnd w:id="10"/>
      <w:r w:rsidRPr="00675B09">
        <w:rPr>
          <w:b/>
          <w:lang w:val="en-GB"/>
        </w:rPr>
        <w:t>Corresponding author:</w:t>
      </w:r>
      <w:r w:rsidRPr="00675B09">
        <w:rPr>
          <w:lang w:val="en-GB"/>
        </w:rPr>
        <w:t xml:space="preserve"> </w:t>
      </w:r>
      <w:proofErr w:type="spellStart"/>
      <w:r w:rsidRPr="00675B09">
        <w:rPr>
          <w:lang w:val="en-GB"/>
        </w:rPr>
        <w:t>Dr</w:t>
      </w:r>
      <w:r w:rsidR="00B7051A" w:rsidRPr="00675B09">
        <w:rPr>
          <w:lang w:val="en-GB"/>
        </w:rPr>
        <w:t>.</w:t>
      </w:r>
      <w:proofErr w:type="spellEnd"/>
      <w:r w:rsidRPr="00675B09">
        <w:rPr>
          <w:lang w:val="en-GB"/>
        </w:rPr>
        <w:t xml:space="preserve"> Alessio Bellato (</w:t>
      </w:r>
      <w:hyperlink r:id="rId8">
        <w:r w:rsidRPr="00675B09">
          <w:rPr>
            <w:u w:val="single"/>
            <w:lang w:val="en-GB"/>
          </w:rPr>
          <w:t>a.bellato@soton.ac.uk</w:t>
        </w:r>
      </w:hyperlink>
      <w:r w:rsidRPr="00675B09">
        <w:rPr>
          <w:lang w:val="en-GB"/>
        </w:rPr>
        <w:t>). Building 44, School of Psychology, Highfield Campus, University of Southampton, Southampton, SO17 1BJ, United Kingdom.</w:t>
      </w:r>
      <w:bookmarkStart w:id="11" w:name="_1fob9te" w:colFirst="0" w:colLast="0"/>
      <w:bookmarkEnd w:id="11"/>
    </w:p>
    <w:p w14:paraId="5A1BE6C3" w14:textId="328DBD9F" w:rsidR="00533B34" w:rsidRPr="00675B09" w:rsidRDefault="00FF104C" w:rsidP="00533B34">
      <w:pPr>
        <w:rPr>
          <w:lang w:val="en-GB"/>
        </w:rPr>
      </w:pPr>
      <w:r w:rsidRPr="00675B09">
        <w:rPr>
          <w:b/>
          <w:lang w:val="en-GB"/>
        </w:rPr>
        <w:lastRenderedPageBreak/>
        <w:t>Word count</w:t>
      </w:r>
      <w:r w:rsidR="00533B34" w:rsidRPr="00675B09">
        <w:rPr>
          <w:b/>
          <w:lang w:val="en-GB"/>
        </w:rPr>
        <w:t xml:space="preserve"> (text only, not including the title, abstract, acknowledgments, references, tables, and figure legends)</w:t>
      </w:r>
      <w:r w:rsidRPr="00675B09">
        <w:rPr>
          <w:b/>
          <w:lang w:val="en-GB"/>
        </w:rPr>
        <w:t xml:space="preserve">: </w:t>
      </w:r>
      <w:r w:rsidR="00D4113E" w:rsidRPr="00675B09">
        <w:rPr>
          <w:lang w:val="en-GB"/>
        </w:rPr>
        <w:t>3250</w:t>
      </w:r>
    </w:p>
    <w:p w14:paraId="073BF4B6" w14:textId="1120352A" w:rsidR="00533B34" w:rsidRPr="00675B09" w:rsidRDefault="00533B34" w:rsidP="00533B34">
      <w:pPr>
        <w:rPr>
          <w:lang w:val="en-GB"/>
        </w:rPr>
      </w:pPr>
      <w:r w:rsidRPr="00675B09">
        <w:rPr>
          <w:b/>
          <w:bCs/>
          <w:lang w:val="en-GB"/>
        </w:rPr>
        <w:t>Revision date</w:t>
      </w:r>
      <w:r w:rsidRPr="00675B09">
        <w:rPr>
          <w:lang w:val="en-GB"/>
        </w:rPr>
        <w:t xml:space="preserve">: </w:t>
      </w:r>
      <w:r w:rsidR="00D4113E" w:rsidRPr="00675B09">
        <w:rPr>
          <w:lang w:val="en-GB"/>
        </w:rPr>
        <w:t>3</w:t>
      </w:r>
      <w:r w:rsidR="00D4113E" w:rsidRPr="00675B09">
        <w:rPr>
          <w:vertAlign w:val="superscript"/>
          <w:lang w:val="en-GB"/>
        </w:rPr>
        <w:t>rd</w:t>
      </w:r>
      <w:r w:rsidR="00D4113E" w:rsidRPr="00675B09">
        <w:rPr>
          <w:lang w:val="en-GB"/>
        </w:rPr>
        <w:t xml:space="preserve"> March </w:t>
      </w:r>
      <w:r w:rsidRPr="00675B09">
        <w:rPr>
          <w:lang w:val="en-GB"/>
        </w:rPr>
        <w:t>202</w:t>
      </w:r>
      <w:r w:rsidR="00D4113E" w:rsidRPr="00675B09">
        <w:rPr>
          <w:lang w:val="en-GB"/>
        </w:rPr>
        <w:t>5</w:t>
      </w:r>
    </w:p>
    <w:p w14:paraId="34DC64FC" w14:textId="232EEBE1" w:rsidR="008851C4" w:rsidRPr="00675B09" w:rsidRDefault="000860B9" w:rsidP="00533B34">
      <w:pPr>
        <w:rPr>
          <w:lang w:val="en-GB"/>
        </w:rPr>
      </w:pPr>
      <w:r w:rsidRPr="00675B09">
        <w:rPr>
          <w:lang w:val="en-GB"/>
        </w:rPr>
        <w:br w:type="page"/>
      </w:r>
    </w:p>
    <w:p w14:paraId="03AA4670" w14:textId="2050D737" w:rsidR="008851C4" w:rsidRPr="00675B09" w:rsidRDefault="000D3C2E" w:rsidP="00533B34">
      <w:pPr>
        <w:pStyle w:val="Heading1"/>
        <w:jc w:val="left"/>
        <w:rPr>
          <w:lang w:val="en-GB"/>
        </w:rPr>
      </w:pPr>
      <w:r w:rsidRPr="00675B09">
        <w:rPr>
          <w:lang w:val="en-GB"/>
        </w:rPr>
        <w:lastRenderedPageBreak/>
        <w:t>KEY POINTS</w:t>
      </w:r>
      <w:r w:rsidR="002814F0" w:rsidRPr="00675B09">
        <w:rPr>
          <w:lang w:val="en-GB"/>
        </w:rPr>
        <w:t xml:space="preserve"> </w:t>
      </w:r>
    </w:p>
    <w:p w14:paraId="585CA023" w14:textId="7E56E685" w:rsidR="000D3C2E" w:rsidRPr="00675B09" w:rsidRDefault="000D3C2E" w:rsidP="00533B34">
      <w:pPr>
        <w:jc w:val="left"/>
        <w:rPr>
          <w:lang w:val="en-GB"/>
        </w:rPr>
      </w:pPr>
      <w:r w:rsidRPr="00675B09">
        <w:rPr>
          <w:b/>
          <w:bCs/>
          <w:lang w:val="en-GB"/>
        </w:rPr>
        <w:t>Question</w:t>
      </w:r>
      <w:r w:rsidRPr="00675B09">
        <w:rPr>
          <w:lang w:val="en-GB"/>
        </w:rPr>
        <w:t>:</w:t>
      </w:r>
      <w:r w:rsidR="002C3559" w:rsidRPr="00675B09">
        <w:rPr>
          <w:lang w:val="en-GB"/>
        </w:rPr>
        <w:t xml:space="preserve"> </w:t>
      </w:r>
      <w:r w:rsidR="002A3442" w:rsidRPr="00675B09">
        <w:rPr>
          <w:lang w:val="en-GB"/>
        </w:rPr>
        <w:t xml:space="preserve">How are </w:t>
      </w:r>
      <w:r w:rsidR="00E767F8" w:rsidRPr="00675B09">
        <w:rPr>
          <w:lang w:val="en-GB"/>
        </w:rPr>
        <w:t>race</w:t>
      </w:r>
      <w:r w:rsidR="002A3442" w:rsidRPr="00675B09">
        <w:rPr>
          <w:lang w:val="en-GB"/>
        </w:rPr>
        <w:t xml:space="preserve"> and </w:t>
      </w:r>
      <w:r w:rsidR="00E767F8" w:rsidRPr="00675B09">
        <w:rPr>
          <w:lang w:val="en-GB"/>
        </w:rPr>
        <w:t xml:space="preserve">ethnicity </w:t>
      </w:r>
      <w:r w:rsidR="002A3442" w:rsidRPr="00675B09">
        <w:rPr>
          <w:lang w:val="en-GB"/>
        </w:rPr>
        <w:t xml:space="preserve">reported and represented </w:t>
      </w:r>
      <w:r w:rsidR="002C3559" w:rsidRPr="00675B09">
        <w:rPr>
          <w:lang w:val="en-GB"/>
        </w:rPr>
        <w:t xml:space="preserve">across </w:t>
      </w:r>
      <w:r w:rsidR="002A3442" w:rsidRPr="00675B09">
        <w:rPr>
          <w:lang w:val="en-GB"/>
        </w:rPr>
        <w:t xml:space="preserve">randomised controlled trials </w:t>
      </w:r>
      <w:r w:rsidR="00A50C7F" w:rsidRPr="00675B09">
        <w:rPr>
          <w:lang w:val="en-GB"/>
        </w:rPr>
        <w:t xml:space="preserve">(RCTs) </w:t>
      </w:r>
      <w:r w:rsidR="002C3559" w:rsidRPr="00675B09">
        <w:rPr>
          <w:lang w:val="en-GB"/>
        </w:rPr>
        <w:t>of pharmacotherapies for mental disorders</w:t>
      </w:r>
      <w:r w:rsidR="00A50C7F" w:rsidRPr="00675B09">
        <w:rPr>
          <w:lang w:val="en-GB"/>
        </w:rPr>
        <w:t>?</w:t>
      </w:r>
    </w:p>
    <w:p w14:paraId="3B1A1F70" w14:textId="2BCD70D2" w:rsidR="000D3C2E" w:rsidRPr="00675B09" w:rsidRDefault="000D3C2E" w:rsidP="00533B34">
      <w:pPr>
        <w:jc w:val="left"/>
        <w:rPr>
          <w:lang w:val="en-GB"/>
        </w:rPr>
      </w:pPr>
      <w:r w:rsidRPr="00675B09">
        <w:rPr>
          <w:b/>
          <w:bCs/>
          <w:lang w:val="en-GB"/>
        </w:rPr>
        <w:t>Findings</w:t>
      </w:r>
      <w:r w:rsidRPr="00675B09">
        <w:rPr>
          <w:lang w:val="en-GB"/>
        </w:rPr>
        <w:t xml:space="preserve">: </w:t>
      </w:r>
      <w:r w:rsidR="002A3442" w:rsidRPr="00675B09">
        <w:rPr>
          <w:lang w:val="en-GB"/>
        </w:rPr>
        <w:t>B</w:t>
      </w:r>
      <w:r w:rsidRPr="00675B09">
        <w:rPr>
          <w:lang w:val="en-GB"/>
        </w:rPr>
        <w:t xml:space="preserve">ased on data from </w:t>
      </w:r>
      <w:r w:rsidR="000114B8" w:rsidRPr="00675B09">
        <w:rPr>
          <w:lang w:val="en-GB"/>
        </w:rPr>
        <w:t xml:space="preserve">1683 </w:t>
      </w:r>
      <w:r w:rsidRPr="00675B09">
        <w:rPr>
          <w:lang w:val="en-GB"/>
        </w:rPr>
        <w:t xml:space="preserve">RCTs and using advanced meta-analytical techniques, </w:t>
      </w:r>
      <w:r w:rsidR="002A3442" w:rsidRPr="00675B09">
        <w:rPr>
          <w:lang w:val="en-GB"/>
        </w:rPr>
        <w:t xml:space="preserve">we found </w:t>
      </w:r>
      <w:r w:rsidRPr="00675B09">
        <w:rPr>
          <w:lang w:val="en-GB"/>
        </w:rPr>
        <w:t xml:space="preserve">significant under-reporting of </w:t>
      </w:r>
      <w:r w:rsidR="00D05E87" w:rsidRPr="00675B09">
        <w:rPr>
          <w:lang w:val="en-GB"/>
        </w:rPr>
        <w:t>race and ethnicity</w:t>
      </w:r>
      <w:r w:rsidRPr="00675B09">
        <w:rPr>
          <w:lang w:val="en-GB"/>
        </w:rPr>
        <w:t xml:space="preserve"> and under-representation of specific racial/ethnic groups, particularly in countries other than the USA and in small studies.</w:t>
      </w:r>
    </w:p>
    <w:p w14:paraId="1BBD2891" w14:textId="7664A171" w:rsidR="000D3C2E" w:rsidRPr="00675B09" w:rsidRDefault="000D3C2E" w:rsidP="00533B34">
      <w:pPr>
        <w:rPr>
          <w:lang w:val="en-GB"/>
        </w:rPr>
      </w:pPr>
      <w:r w:rsidRPr="00675B09">
        <w:rPr>
          <w:b/>
          <w:bCs/>
          <w:lang w:val="en-GB"/>
        </w:rPr>
        <w:t>Meaning</w:t>
      </w:r>
      <w:r w:rsidRPr="00675B09">
        <w:rPr>
          <w:lang w:val="en-GB"/>
        </w:rPr>
        <w:t>:</w:t>
      </w:r>
      <w:r w:rsidR="000860B9" w:rsidRPr="00675B09">
        <w:rPr>
          <w:lang w:val="en-GB"/>
        </w:rPr>
        <w:t xml:space="preserve"> </w:t>
      </w:r>
      <w:r w:rsidR="006B27F3" w:rsidRPr="00675B09">
        <w:rPr>
          <w:lang w:val="en-GB"/>
        </w:rPr>
        <w:t xml:space="preserve">The significant gaps in reporting race and ethnicity in RCTs of pharmacotherapies for mental disorders, as highlighted in our study, call for collaborative efforts among stakeholders and policymakers to develop international guidelines that promote equitable recruitment in </w:t>
      </w:r>
      <w:r w:rsidR="00A01310" w:rsidRPr="00675B09">
        <w:rPr>
          <w:lang w:val="en-GB"/>
        </w:rPr>
        <w:t xml:space="preserve">clinical </w:t>
      </w:r>
      <w:r w:rsidR="006B27F3" w:rsidRPr="00675B09">
        <w:rPr>
          <w:lang w:val="en-GB"/>
        </w:rPr>
        <w:t>trials.</w:t>
      </w:r>
      <w:r w:rsidR="006B27F3" w:rsidRPr="00675B09" w:rsidDel="006B27F3">
        <w:rPr>
          <w:lang w:val="en-GB"/>
        </w:rPr>
        <w:t xml:space="preserve"> </w:t>
      </w:r>
      <w:r w:rsidRPr="00675B09">
        <w:rPr>
          <w:lang w:val="en-GB"/>
        </w:rPr>
        <w:br w:type="page"/>
      </w:r>
    </w:p>
    <w:p w14:paraId="42CA15FF" w14:textId="77777777" w:rsidR="000D3C2E" w:rsidRPr="00675B09" w:rsidRDefault="000D3C2E" w:rsidP="00533B34">
      <w:pPr>
        <w:pStyle w:val="Heading1"/>
        <w:rPr>
          <w:lang w:val="en-GB"/>
        </w:rPr>
      </w:pPr>
      <w:r w:rsidRPr="00675B09">
        <w:rPr>
          <w:lang w:val="en-GB"/>
        </w:rPr>
        <w:lastRenderedPageBreak/>
        <w:t>ABSTRACT</w:t>
      </w:r>
    </w:p>
    <w:p w14:paraId="15961468" w14:textId="2A9D0878" w:rsidR="000D3C2E" w:rsidRPr="00675B09" w:rsidRDefault="000D3C2E" w:rsidP="00533B34">
      <w:pPr>
        <w:widowControl/>
        <w:ind w:right="0"/>
        <w:jc w:val="left"/>
        <w:rPr>
          <w:b/>
          <w:lang w:val="en-GB"/>
        </w:rPr>
      </w:pPr>
      <w:bookmarkStart w:id="12" w:name="_Hlk182999231"/>
      <w:r w:rsidRPr="00675B09">
        <w:rPr>
          <w:b/>
          <w:lang w:val="en-GB"/>
        </w:rPr>
        <w:t>Importance:</w:t>
      </w:r>
      <w:r w:rsidR="002C3559" w:rsidRPr="00675B09">
        <w:rPr>
          <w:b/>
          <w:lang w:val="en-GB"/>
        </w:rPr>
        <w:t xml:space="preserve"> </w:t>
      </w:r>
      <w:r w:rsidR="002C3559" w:rsidRPr="00675B09">
        <w:rPr>
          <w:bCs/>
          <w:lang w:val="en-GB"/>
        </w:rPr>
        <w:t xml:space="preserve">Representation of </w:t>
      </w:r>
      <w:r w:rsidR="00D05E87" w:rsidRPr="00675B09">
        <w:rPr>
          <w:bCs/>
          <w:lang w:val="en-GB"/>
        </w:rPr>
        <w:t>race and ethnicity</w:t>
      </w:r>
      <w:r w:rsidR="002C3559" w:rsidRPr="00675B09">
        <w:rPr>
          <w:bCs/>
          <w:lang w:val="en-GB"/>
        </w:rPr>
        <w:t xml:space="preserve"> </w:t>
      </w:r>
      <w:r w:rsidR="0005242B" w:rsidRPr="00675B09">
        <w:rPr>
          <w:bCs/>
          <w:lang w:val="en-GB"/>
        </w:rPr>
        <w:t xml:space="preserve">in randomised controlled trials (RCTs) </w:t>
      </w:r>
      <w:r w:rsidR="002C3559" w:rsidRPr="00675B09">
        <w:rPr>
          <w:bCs/>
          <w:lang w:val="en-GB"/>
        </w:rPr>
        <w:t>is critical for understanding treatment efficacy across populations</w:t>
      </w:r>
      <w:r w:rsidR="00EE78A1" w:rsidRPr="00675B09">
        <w:rPr>
          <w:bCs/>
          <w:lang w:val="en-GB"/>
        </w:rPr>
        <w:t xml:space="preserve"> with different </w:t>
      </w:r>
      <w:r w:rsidR="007E6565" w:rsidRPr="00675B09">
        <w:rPr>
          <w:bCs/>
          <w:lang w:val="en-GB"/>
        </w:rPr>
        <w:t xml:space="preserve">racial/ethnic </w:t>
      </w:r>
      <w:r w:rsidR="00EE78A1" w:rsidRPr="00675B09">
        <w:rPr>
          <w:bCs/>
          <w:lang w:val="en-GB"/>
        </w:rPr>
        <w:t>backgrounds</w:t>
      </w:r>
      <w:r w:rsidR="002C3559" w:rsidRPr="00675B09">
        <w:rPr>
          <w:bCs/>
          <w:lang w:val="en-GB"/>
        </w:rPr>
        <w:t xml:space="preserve">. </w:t>
      </w:r>
    </w:p>
    <w:bookmarkEnd w:id="12"/>
    <w:p w14:paraId="5DBAB0E0" w14:textId="62845B21" w:rsidR="000D3C2E" w:rsidRPr="00675B09" w:rsidRDefault="000D3C2E" w:rsidP="00533B34">
      <w:pPr>
        <w:jc w:val="left"/>
        <w:rPr>
          <w:lang w:val="en-GB"/>
        </w:rPr>
      </w:pPr>
      <w:r w:rsidRPr="00675B09">
        <w:rPr>
          <w:b/>
          <w:lang w:val="en-GB"/>
        </w:rPr>
        <w:t>Objective:</w:t>
      </w:r>
      <w:r w:rsidRPr="00675B09">
        <w:rPr>
          <w:lang w:val="en-GB"/>
        </w:rPr>
        <w:t xml:space="preserve"> </w:t>
      </w:r>
      <w:r w:rsidR="002C3559" w:rsidRPr="00675B09">
        <w:rPr>
          <w:lang w:val="en-GB"/>
        </w:rPr>
        <w:t>We conducted the first</w:t>
      </w:r>
      <w:r w:rsidR="000D5D55" w:rsidRPr="00675B09">
        <w:rPr>
          <w:lang w:val="en-GB"/>
        </w:rPr>
        <w:t xml:space="preserve"> comprehensive</w:t>
      </w:r>
      <w:r w:rsidR="002C3559" w:rsidRPr="00675B09">
        <w:rPr>
          <w:lang w:val="en-GB"/>
        </w:rPr>
        <w:t xml:space="preserve"> </w:t>
      </w:r>
      <w:r w:rsidR="00CE376F" w:rsidRPr="00675B09">
        <w:rPr>
          <w:lang w:val="en-GB"/>
        </w:rPr>
        <w:t xml:space="preserve">overview of reviews </w:t>
      </w:r>
      <w:r w:rsidR="002C3559" w:rsidRPr="00675B09">
        <w:rPr>
          <w:lang w:val="en-GB"/>
        </w:rPr>
        <w:t xml:space="preserve">of </w:t>
      </w:r>
      <w:r w:rsidR="00D05E87" w:rsidRPr="00675B09">
        <w:rPr>
          <w:lang w:val="en-GB"/>
        </w:rPr>
        <w:t>race and ethnicity</w:t>
      </w:r>
      <w:r w:rsidR="002C3559" w:rsidRPr="00675B09">
        <w:rPr>
          <w:lang w:val="en-GB"/>
        </w:rPr>
        <w:t xml:space="preserve"> representation and reporting across RCTs of pharmacotherapies for mental disorders</w:t>
      </w:r>
      <w:r w:rsidR="00A241A9" w:rsidRPr="00675B09">
        <w:rPr>
          <w:lang w:val="en-GB"/>
        </w:rPr>
        <w:t>.</w:t>
      </w:r>
    </w:p>
    <w:p w14:paraId="18C7881C" w14:textId="29102236" w:rsidR="001A0F59" w:rsidRPr="00675B09" w:rsidRDefault="000D3C2E" w:rsidP="00533B34">
      <w:pPr>
        <w:widowControl/>
        <w:ind w:right="0"/>
        <w:jc w:val="left"/>
        <w:rPr>
          <w:b/>
          <w:lang w:val="en-GB"/>
        </w:rPr>
      </w:pPr>
      <w:r w:rsidRPr="00675B09">
        <w:rPr>
          <w:b/>
          <w:lang w:val="en-GB"/>
        </w:rPr>
        <w:t>Data sources</w:t>
      </w:r>
      <w:r w:rsidR="001A0F59" w:rsidRPr="00675B09">
        <w:rPr>
          <w:b/>
          <w:lang w:val="en-GB"/>
        </w:rPr>
        <w:t xml:space="preserve">: </w:t>
      </w:r>
      <w:r w:rsidR="00D01957" w:rsidRPr="00675B09">
        <w:rPr>
          <w:lang w:val="en-GB"/>
        </w:rPr>
        <w:t>PubMed/Medline/Ovid</w:t>
      </w:r>
      <w:r w:rsidR="001072C2" w:rsidRPr="00675B09">
        <w:rPr>
          <w:lang w:val="en-GB"/>
        </w:rPr>
        <w:t>-</w:t>
      </w:r>
      <w:r w:rsidR="00D01957" w:rsidRPr="00675B09">
        <w:rPr>
          <w:lang w:val="en-GB"/>
        </w:rPr>
        <w:t>Embase/APA</w:t>
      </w:r>
      <w:r w:rsidR="001072C2" w:rsidRPr="00675B09">
        <w:rPr>
          <w:lang w:val="en-GB"/>
        </w:rPr>
        <w:t>-</w:t>
      </w:r>
      <w:r w:rsidR="00D01957" w:rsidRPr="00675B09">
        <w:rPr>
          <w:lang w:val="en-GB"/>
        </w:rPr>
        <w:t>PsycINFO/Web</w:t>
      </w:r>
      <w:r w:rsidR="000D5D55" w:rsidRPr="00675B09">
        <w:rPr>
          <w:lang w:val="en-GB"/>
        </w:rPr>
        <w:t>-</w:t>
      </w:r>
      <w:r w:rsidR="00D01957" w:rsidRPr="00675B09">
        <w:rPr>
          <w:lang w:val="en-GB"/>
        </w:rPr>
        <w:t>of</w:t>
      </w:r>
      <w:r w:rsidR="000D5D55" w:rsidRPr="00675B09">
        <w:rPr>
          <w:lang w:val="en-GB"/>
        </w:rPr>
        <w:t>-</w:t>
      </w:r>
      <w:r w:rsidR="00D01957" w:rsidRPr="00675B09">
        <w:rPr>
          <w:lang w:val="en-GB"/>
        </w:rPr>
        <w:t xml:space="preserve">Science </w:t>
      </w:r>
      <w:r w:rsidR="00E85DDB" w:rsidRPr="00675B09">
        <w:rPr>
          <w:lang w:val="en-GB"/>
        </w:rPr>
        <w:t xml:space="preserve">were searched </w:t>
      </w:r>
      <w:r w:rsidR="00EE78A1" w:rsidRPr="00675B09">
        <w:rPr>
          <w:lang w:val="en-GB"/>
        </w:rPr>
        <w:t>(</w:t>
      </w:r>
      <w:r w:rsidR="00D01957" w:rsidRPr="00675B09">
        <w:rPr>
          <w:lang w:val="en-GB"/>
        </w:rPr>
        <w:t>March-01-2024</w:t>
      </w:r>
      <w:r w:rsidR="00EE78A1" w:rsidRPr="00675B09">
        <w:rPr>
          <w:lang w:val="en-GB"/>
        </w:rPr>
        <w:t>)</w:t>
      </w:r>
      <w:r w:rsidR="00D01957" w:rsidRPr="00675B09">
        <w:rPr>
          <w:lang w:val="en-GB"/>
        </w:rPr>
        <w:t>, to retrieve the most updated and largest network meta-analyses (NMA) of RCTs of pharmacotherapies for ICD-10 mental disorders</w:t>
      </w:r>
      <w:r w:rsidR="001A0F59" w:rsidRPr="00675B09">
        <w:rPr>
          <w:lang w:val="en-GB"/>
        </w:rPr>
        <w:t>.</w:t>
      </w:r>
    </w:p>
    <w:p w14:paraId="12BBC3E9" w14:textId="737595AE" w:rsidR="000D3C2E" w:rsidRPr="00675B09" w:rsidRDefault="000D3C2E" w:rsidP="00533B34">
      <w:pPr>
        <w:widowControl/>
        <w:ind w:right="0"/>
        <w:jc w:val="left"/>
        <w:rPr>
          <w:b/>
          <w:lang w:val="en-GB"/>
        </w:rPr>
      </w:pPr>
      <w:r w:rsidRPr="00675B09">
        <w:rPr>
          <w:b/>
          <w:lang w:val="en-GB"/>
        </w:rPr>
        <w:t xml:space="preserve">Study selection: </w:t>
      </w:r>
      <w:r w:rsidR="00D01957" w:rsidRPr="00675B09">
        <w:rPr>
          <w:lang w:val="en-GB"/>
        </w:rPr>
        <w:t>From each NMA, we identified single-blind or double blind RCTs, quasi-RCTs, open label RCTs, and discontinuation/withdrawal design RCTs, recruiting people of any age with a diagnosis of mental disorder and testing the efficacy of any pharmacological intervention compared to any control arm.</w:t>
      </w:r>
    </w:p>
    <w:p w14:paraId="33DA6F34" w14:textId="0AF9A787" w:rsidR="001A0F59" w:rsidRPr="00675B09" w:rsidRDefault="000D3C2E" w:rsidP="00533B34">
      <w:pPr>
        <w:widowControl/>
        <w:ind w:right="0"/>
        <w:jc w:val="left"/>
        <w:rPr>
          <w:lang w:val="en-GB"/>
        </w:rPr>
      </w:pPr>
      <w:r w:rsidRPr="00675B09">
        <w:rPr>
          <w:b/>
          <w:lang w:val="en-GB"/>
        </w:rPr>
        <w:t>Data Extraction and Synthesis</w:t>
      </w:r>
      <w:r w:rsidR="001A0F59" w:rsidRPr="00675B09">
        <w:rPr>
          <w:b/>
          <w:lang w:val="en-GB"/>
        </w:rPr>
        <w:t>:</w:t>
      </w:r>
      <w:r w:rsidR="0005242B" w:rsidRPr="00675B09">
        <w:rPr>
          <w:lang w:val="en-GB"/>
        </w:rPr>
        <w:t xml:space="preserve"> </w:t>
      </w:r>
      <w:r w:rsidR="00E85DDB" w:rsidRPr="00675B09">
        <w:rPr>
          <w:lang w:val="en-GB"/>
        </w:rPr>
        <w:t xml:space="preserve">We used random-effects logit-transformed-proportion meta-analyses </w:t>
      </w:r>
      <w:proofErr w:type="gramStart"/>
      <w:r w:rsidR="00E85DDB" w:rsidRPr="00675B09">
        <w:rPr>
          <w:lang w:val="en-GB"/>
        </w:rPr>
        <w:t>to:</w:t>
      </w:r>
      <w:proofErr w:type="gramEnd"/>
      <w:r w:rsidR="00E85DDB" w:rsidRPr="00675B09">
        <w:rPr>
          <w:lang w:val="en-GB"/>
        </w:rPr>
        <w:t xml:space="preserve"> 1) estimate prevalence rates of </w:t>
      </w:r>
      <w:r w:rsidR="00D05E87" w:rsidRPr="00675B09">
        <w:rPr>
          <w:lang w:val="en-GB"/>
        </w:rPr>
        <w:t>race and ethnicity</w:t>
      </w:r>
      <w:r w:rsidR="00E85DDB" w:rsidRPr="00675B09">
        <w:rPr>
          <w:lang w:val="en-GB"/>
        </w:rPr>
        <w:t xml:space="preserve"> groups and their temporal trends across RCTs, and 2) compare </w:t>
      </w:r>
      <w:r w:rsidR="00FA2DED" w:rsidRPr="00675B09">
        <w:rPr>
          <w:lang w:val="en-GB"/>
        </w:rPr>
        <w:t>US-</w:t>
      </w:r>
      <w:r w:rsidR="00CD2CCA" w:rsidRPr="00675B09">
        <w:rPr>
          <w:lang w:val="en-GB"/>
        </w:rPr>
        <w:t xml:space="preserve">RCT </w:t>
      </w:r>
      <w:r w:rsidR="00E85DDB" w:rsidRPr="00675B09">
        <w:rPr>
          <w:lang w:val="en-GB"/>
        </w:rPr>
        <w:t xml:space="preserve">prevalence rates </w:t>
      </w:r>
      <w:r w:rsidR="00CD2CCA" w:rsidRPr="00675B09">
        <w:rPr>
          <w:lang w:val="en-GB"/>
        </w:rPr>
        <w:t xml:space="preserve">with </w:t>
      </w:r>
      <w:r w:rsidR="00E85DDB" w:rsidRPr="00675B09">
        <w:rPr>
          <w:lang w:val="en-GB"/>
        </w:rPr>
        <w:t>US census data.</w:t>
      </w:r>
    </w:p>
    <w:p w14:paraId="7D213423" w14:textId="60D9F390" w:rsidR="000D3C2E" w:rsidRPr="00675B09" w:rsidRDefault="000D3C2E" w:rsidP="00533B34">
      <w:pPr>
        <w:widowControl/>
        <w:ind w:right="0"/>
        <w:jc w:val="left"/>
        <w:rPr>
          <w:lang w:val="en-GB"/>
        </w:rPr>
      </w:pPr>
      <w:r w:rsidRPr="00675B09">
        <w:rPr>
          <w:b/>
          <w:bCs/>
          <w:lang w:val="en-GB"/>
        </w:rPr>
        <w:t>Main Outcome</w:t>
      </w:r>
      <w:r w:rsidR="0005242B" w:rsidRPr="00675B09">
        <w:rPr>
          <w:b/>
          <w:bCs/>
          <w:lang w:val="en-GB"/>
        </w:rPr>
        <w:t xml:space="preserve"> Measures</w:t>
      </w:r>
      <w:r w:rsidRPr="00675B09">
        <w:rPr>
          <w:b/>
          <w:bCs/>
          <w:lang w:val="en-GB"/>
        </w:rPr>
        <w:t xml:space="preserve">: </w:t>
      </w:r>
      <w:r w:rsidR="001778D6" w:rsidRPr="00675B09">
        <w:rPr>
          <w:lang w:val="en-GB"/>
        </w:rPr>
        <w:t xml:space="preserve">Reporting of data on </w:t>
      </w:r>
      <w:r w:rsidR="00D05E87" w:rsidRPr="00675B09">
        <w:rPr>
          <w:lang w:val="en-GB"/>
        </w:rPr>
        <w:t>race and ethnicity</w:t>
      </w:r>
      <w:r w:rsidR="001778D6" w:rsidRPr="00675B09">
        <w:rPr>
          <w:lang w:val="en-GB"/>
        </w:rPr>
        <w:t>, and percentage of Asian, Black, Hispanic, Other/Multi-racial/Multi-ethnic, and White</w:t>
      </w:r>
      <w:r w:rsidR="00EE3F54" w:rsidRPr="00675B09">
        <w:rPr>
          <w:lang w:val="en-GB"/>
        </w:rPr>
        <w:t xml:space="preserve">. </w:t>
      </w:r>
      <w:bookmarkStart w:id="13" w:name="_Hlk183019247"/>
      <w:r w:rsidR="00EE3F54" w:rsidRPr="00675B09">
        <w:rPr>
          <w:lang w:val="en-GB"/>
        </w:rPr>
        <w:t xml:space="preserve">Hispanic and White </w:t>
      </w:r>
      <w:r w:rsidR="0099490C" w:rsidRPr="00675B09">
        <w:rPr>
          <w:lang w:val="en-GB"/>
        </w:rPr>
        <w:t xml:space="preserve">were </w:t>
      </w:r>
      <w:r w:rsidR="006F6C3A" w:rsidRPr="00675B09">
        <w:rPr>
          <w:lang w:val="en-GB"/>
        </w:rPr>
        <w:t>operationali</w:t>
      </w:r>
      <w:r w:rsidR="0099490C" w:rsidRPr="00675B09">
        <w:rPr>
          <w:lang w:val="en-GB"/>
        </w:rPr>
        <w:t>s</w:t>
      </w:r>
      <w:r w:rsidR="006F6C3A" w:rsidRPr="00675B09">
        <w:rPr>
          <w:lang w:val="en-GB"/>
        </w:rPr>
        <w:t>ed</w:t>
      </w:r>
      <w:r w:rsidR="00EE3F54" w:rsidRPr="00675B09">
        <w:rPr>
          <w:lang w:val="en-GB"/>
        </w:rPr>
        <w:t xml:space="preserve"> as “White-including-Hispanic" and "Hispanic-among-White" to </w:t>
      </w:r>
      <w:r w:rsidR="006F6C3A" w:rsidRPr="00675B09">
        <w:rPr>
          <w:lang w:val="en-GB"/>
        </w:rPr>
        <w:t>fit</w:t>
      </w:r>
      <w:r w:rsidR="00EE3F54" w:rsidRPr="00675B09">
        <w:rPr>
          <w:lang w:val="en-GB"/>
        </w:rPr>
        <w:t xml:space="preserve"> the categories </w:t>
      </w:r>
      <w:r w:rsidR="006F6C3A" w:rsidRPr="00675B09">
        <w:rPr>
          <w:lang w:val="en-GB"/>
        </w:rPr>
        <w:t>used</w:t>
      </w:r>
      <w:r w:rsidR="00EE3F54" w:rsidRPr="00675B09">
        <w:rPr>
          <w:lang w:val="en-GB"/>
        </w:rPr>
        <w:t xml:space="preserve"> </w:t>
      </w:r>
      <w:bookmarkStart w:id="14" w:name="_Hlk183091805"/>
      <w:r w:rsidR="00EE3F54" w:rsidRPr="00675B09">
        <w:rPr>
          <w:lang w:val="en-GB"/>
        </w:rPr>
        <w:t xml:space="preserve">in the </w:t>
      </w:r>
      <w:bookmarkEnd w:id="13"/>
      <w:r w:rsidR="00650575" w:rsidRPr="00675B09">
        <w:rPr>
          <w:lang w:val="en-GB"/>
        </w:rPr>
        <w:t>included RCTs</w:t>
      </w:r>
      <w:bookmarkEnd w:id="14"/>
      <w:r w:rsidR="001778D6" w:rsidRPr="00675B09">
        <w:rPr>
          <w:lang w:val="en-GB"/>
        </w:rPr>
        <w:t xml:space="preserve">. </w:t>
      </w:r>
      <w:r w:rsidR="00650575" w:rsidRPr="00675B09">
        <w:rPr>
          <w:lang w:val="en-GB"/>
        </w:rPr>
        <w:t>W</w:t>
      </w:r>
      <w:r w:rsidR="001072C2" w:rsidRPr="00675B09">
        <w:rPr>
          <w:lang w:val="en-GB"/>
        </w:rPr>
        <w:t>e also considered: year of publication, type of RCT, continent, age group,</w:t>
      </w:r>
      <w:r w:rsidR="00650575" w:rsidRPr="00675B09">
        <w:rPr>
          <w:lang w:val="en-GB"/>
        </w:rPr>
        <w:t xml:space="preserve"> and</w:t>
      </w:r>
      <w:r w:rsidR="001072C2" w:rsidRPr="00675B09">
        <w:rPr>
          <w:lang w:val="en-GB"/>
        </w:rPr>
        <w:t xml:space="preserve"> sample size.</w:t>
      </w:r>
    </w:p>
    <w:p w14:paraId="24F0D29A" w14:textId="1897D537" w:rsidR="000D3C2E" w:rsidRPr="00675B09" w:rsidRDefault="000D3C2E" w:rsidP="00533B34">
      <w:pPr>
        <w:widowControl/>
        <w:ind w:right="0"/>
        <w:jc w:val="left"/>
        <w:rPr>
          <w:lang w:val="en-GB"/>
        </w:rPr>
      </w:pPr>
      <w:r w:rsidRPr="00675B09">
        <w:rPr>
          <w:b/>
          <w:bCs/>
          <w:lang w:val="en-GB"/>
        </w:rPr>
        <w:t>Results:</w:t>
      </w:r>
      <w:r w:rsidRPr="00675B09">
        <w:rPr>
          <w:lang w:val="en-GB"/>
        </w:rPr>
        <w:t xml:space="preserve"> </w:t>
      </w:r>
      <w:bookmarkStart w:id="15" w:name="_Hlk182921565"/>
      <w:r w:rsidR="004E3CA0" w:rsidRPr="00675B09">
        <w:rPr>
          <w:lang w:val="en-GB"/>
        </w:rPr>
        <w:t>We included 16</w:t>
      </w:r>
      <w:r w:rsidR="000114B8" w:rsidRPr="00675B09">
        <w:rPr>
          <w:lang w:val="en-GB"/>
        </w:rPr>
        <w:t>83</w:t>
      </w:r>
      <w:r w:rsidR="004E3CA0" w:rsidRPr="00675B09">
        <w:rPr>
          <w:lang w:val="en-GB"/>
        </w:rPr>
        <w:t xml:space="preserve"> </w:t>
      </w:r>
      <w:r w:rsidRPr="00675B09">
        <w:rPr>
          <w:lang w:val="en-GB"/>
        </w:rPr>
        <w:t>RCTs (</w:t>
      </w:r>
      <w:r w:rsidR="000114B8" w:rsidRPr="00675B09">
        <w:rPr>
          <w:lang w:val="en-GB"/>
        </w:rPr>
        <w:t>375,120</w:t>
      </w:r>
      <w:r w:rsidRPr="00675B09">
        <w:rPr>
          <w:lang w:val="en-GB"/>
        </w:rPr>
        <w:t xml:space="preserve"> participants</w:t>
      </w:r>
      <w:bookmarkEnd w:id="15"/>
      <w:r w:rsidRPr="00675B09">
        <w:rPr>
          <w:lang w:val="en-GB"/>
        </w:rPr>
        <w:t xml:space="preserve">, 91.7% adults; USA=680, Europe=404, multiple continents=216). </w:t>
      </w:r>
      <w:r w:rsidR="00D05E87" w:rsidRPr="00675B09">
        <w:rPr>
          <w:lang w:val="en-GB"/>
        </w:rPr>
        <w:t>Race and ethnicity</w:t>
      </w:r>
      <w:r w:rsidR="002029B9" w:rsidRPr="00675B09">
        <w:rPr>
          <w:lang w:val="en-GB"/>
        </w:rPr>
        <w:t xml:space="preserve"> </w:t>
      </w:r>
      <w:r w:rsidR="00D05E87" w:rsidRPr="00675B09">
        <w:rPr>
          <w:lang w:val="en-GB"/>
        </w:rPr>
        <w:t>were</w:t>
      </w:r>
      <w:r w:rsidR="002029B9" w:rsidRPr="00675B09">
        <w:rPr>
          <w:lang w:val="en-GB"/>
        </w:rPr>
        <w:t xml:space="preserve"> reported in 39% of RCTs, reporting was the highest in USA-based RCTs (58.68%) and the lowest in Central and South </w:t>
      </w:r>
      <w:r w:rsidR="002029B9" w:rsidRPr="00675B09">
        <w:rPr>
          <w:lang w:val="en-GB"/>
        </w:rPr>
        <w:lastRenderedPageBreak/>
        <w:t>America (8.70%) and Asia/Middle East (12.43%). 80.2% of participants [95% confidence interval=78.8-81.5] self-reported as White-including-Hispanic</w:t>
      </w:r>
      <w:r w:rsidR="00CD2CCA" w:rsidRPr="00675B09">
        <w:rPr>
          <w:lang w:val="en-GB"/>
        </w:rPr>
        <w:t xml:space="preserve"> (</w:t>
      </w:r>
      <w:r w:rsidR="002029B9" w:rsidRPr="00675B09">
        <w:rPr>
          <w:lang w:val="en-GB"/>
        </w:rPr>
        <w:t>of which 11.0% [9.1-13.3] as Hispanic-among-White</w:t>
      </w:r>
      <w:r w:rsidR="00CD2CCA" w:rsidRPr="00675B09">
        <w:rPr>
          <w:lang w:val="en-GB"/>
        </w:rPr>
        <w:t>)</w:t>
      </w:r>
      <w:r w:rsidR="002029B9" w:rsidRPr="00675B09">
        <w:rPr>
          <w:lang w:val="en-GB"/>
        </w:rPr>
        <w:t xml:space="preserve">, 9.0% [8.1-10.0] as Black, 5.8% [5.2-6.4] as Other/Mixed Ethnicity, and 2.7% [2.1-3.5] as Asian. </w:t>
      </w:r>
      <w:r w:rsidRPr="00675B09">
        <w:rPr>
          <w:lang w:val="en-GB"/>
        </w:rPr>
        <w:t xml:space="preserve">We found better reporting of </w:t>
      </w:r>
      <w:r w:rsidR="00D05E87" w:rsidRPr="00675B09">
        <w:rPr>
          <w:lang w:val="en-GB"/>
        </w:rPr>
        <w:t>race and ethnicity</w:t>
      </w:r>
      <w:r w:rsidRPr="00675B09">
        <w:rPr>
          <w:lang w:val="en-GB"/>
        </w:rPr>
        <w:t xml:space="preserve"> in US-RCTs over time (log odds increase=0.0</w:t>
      </w:r>
      <w:r w:rsidR="000114B8" w:rsidRPr="00675B09">
        <w:rPr>
          <w:lang w:val="en-GB"/>
        </w:rPr>
        <w:t>66</w:t>
      </w:r>
      <w:r w:rsidRPr="00675B09">
        <w:rPr>
          <w:lang w:val="en-GB"/>
        </w:rPr>
        <w:t xml:space="preserve">); </w:t>
      </w:r>
      <w:r w:rsidR="001778D6" w:rsidRPr="00675B09">
        <w:rPr>
          <w:lang w:val="en-GB"/>
        </w:rPr>
        <w:t xml:space="preserve">and </w:t>
      </w:r>
      <w:r w:rsidR="002F240F" w:rsidRPr="00675B09">
        <w:rPr>
          <w:lang w:val="en-GB"/>
        </w:rPr>
        <w:t>smaller</w:t>
      </w:r>
      <w:r w:rsidR="001778D6" w:rsidRPr="00675B09">
        <w:rPr>
          <w:lang w:val="en-GB"/>
        </w:rPr>
        <w:t xml:space="preserve"> </w:t>
      </w:r>
      <w:r w:rsidRPr="00675B09">
        <w:rPr>
          <w:lang w:val="en-GB"/>
        </w:rPr>
        <w:t xml:space="preserve">improvement in non-US-RCTs (log odds increase=0.023). Larger RCTs were more likely to report </w:t>
      </w:r>
      <w:r w:rsidR="00D05E87" w:rsidRPr="00675B09">
        <w:rPr>
          <w:lang w:val="en-GB"/>
        </w:rPr>
        <w:t>race and ethnicity</w:t>
      </w:r>
      <w:r w:rsidRPr="00675B09">
        <w:rPr>
          <w:lang w:val="en-GB"/>
        </w:rPr>
        <w:t>, albeit not in all continents. “Other/Mixed Ethnicity” was historically over-represented in US-RCTs, while “Black”, “</w:t>
      </w:r>
      <w:r w:rsidR="00711852" w:rsidRPr="00675B09">
        <w:rPr>
          <w:lang w:val="en-GB"/>
        </w:rPr>
        <w:t>Hispanic-among-White</w:t>
      </w:r>
      <w:r w:rsidRPr="00675B09">
        <w:rPr>
          <w:lang w:val="en-GB"/>
        </w:rPr>
        <w:t>” and “Asian” were under-represented, with the latter two still currently under-represented.</w:t>
      </w:r>
    </w:p>
    <w:p w14:paraId="6AA5815C" w14:textId="67A50BD8" w:rsidR="000D3C2E" w:rsidRPr="00675B09" w:rsidRDefault="000D3C2E" w:rsidP="00533B34">
      <w:pPr>
        <w:widowControl/>
        <w:ind w:right="0"/>
        <w:jc w:val="left"/>
        <w:rPr>
          <w:lang w:val="en-GB"/>
        </w:rPr>
      </w:pPr>
      <w:r w:rsidRPr="00675B09">
        <w:rPr>
          <w:b/>
          <w:bCs/>
          <w:lang w:val="en-GB"/>
        </w:rPr>
        <w:t xml:space="preserve">Conclusions and relevance: </w:t>
      </w:r>
      <w:bookmarkStart w:id="16" w:name="_Hlk183001159"/>
      <w:r w:rsidR="00DA620D" w:rsidRPr="00675B09">
        <w:rPr>
          <w:lang w:val="en-GB"/>
        </w:rPr>
        <w:t xml:space="preserve">Differences in reporting </w:t>
      </w:r>
      <w:r w:rsidR="00D05E87" w:rsidRPr="00675B09">
        <w:rPr>
          <w:lang w:val="en-GB"/>
        </w:rPr>
        <w:t>race and ethnicity</w:t>
      </w:r>
      <w:r w:rsidR="00DA620D" w:rsidRPr="00675B09">
        <w:rPr>
          <w:lang w:val="en-GB"/>
        </w:rPr>
        <w:t xml:space="preserve"> across countries and under-representation of certain racial/ethnic groups in US-based RCTs highlight the need for international guidelines to ensure equitable recruitment in clinical trials.</w:t>
      </w:r>
      <w:bookmarkEnd w:id="16"/>
    </w:p>
    <w:p w14:paraId="6A608E58" w14:textId="77777777" w:rsidR="000D3C2E" w:rsidRPr="00675B09" w:rsidRDefault="000D3C2E" w:rsidP="00533B34">
      <w:pPr>
        <w:widowControl/>
        <w:ind w:right="0"/>
        <w:rPr>
          <w:b/>
          <w:lang w:val="en-GB"/>
        </w:rPr>
      </w:pPr>
    </w:p>
    <w:p w14:paraId="1541C3B4" w14:textId="77777777" w:rsidR="000D3C2E" w:rsidRPr="00675B09" w:rsidRDefault="000D3C2E" w:rsidP="00533B34">
      <w:pPr>
        <w:rPr>
          <w:lang w:val="en-GB"/>
        </w:rPr>
      </w:pPr>
      <w:r w:rsidRPr="00675B09">
        <w:rPr>
          <w:b/>
          <w:lang w:val="en-GB"/>
        </w:rPr>
        <w:t>Keywords:</w:t>
      </w:r>
      <w:r w:rsidRPr="00675B09">
        <w:rPr>
          <w:lang w:val="en-GB"/>
        </w:rPr>
        <w:t xml:space="preserve"> Ethnicity; Race; Mental Health; Randomised Controlled Trial; Reporting</w:t>
      </w:r>
    </w:p>
    <w:p w14:paraId="16FD7BED" w14:textId="77777777" w:rsidR="000D3C2E" w:rsidRPr="00675B09" w:rsidRDefault="000D3C2E" w:rsidP="00533B34">
      <w:pPr>
        <w:widowControl/>
        <w:ind w:right="0"/>
        <w:rPr>
          <w:lang w:val="en-GB"/>
        </w:rPr>
      </w:pPr>
      <w:r w:rsidRPr="00675B09">
        <w:rPr>
          <w:b/>
          <w:lang w:val="en-GB"/>
        </w:rPr>
        <w:t>Funding:</w:t>
      </w:r>
      <w:r w:rsidRPr="00675B09">
        <w:rPr>
          <w:lang w:val="en-GB"/>
        </w:rPr>
        <w:t xml:space="preserve"> No funding was obtained to conduct this study.</w:t>
      </w:r>
    </w:p>
    <w:p w14:paraId="5BE45611" w14:textId="1587FB08" w:rsidR="008851C4" w:rsidRPr="00675B09" w:rsidRDefault="000D3C2E" w:rsidP="00533B34">
      <w:pPr>
        <w:rPr>
          <w:lang w:val="en-GB"/>
        </w:rPr>
      </w:pPr>
      <w:r w:rsidRPr="00675B09">
        <w:rPr>
          <w:b/>
          <w:bCs/>
          <w:lang w:val="en-GB"/>
        </w:rPr>
        <w:t>Protocol:</w:t>
      </w:r>
      <w:r w:rsidRPr="00675B09">
        <w:rPr>
          <w:lang w:val="en-GB"/>
        </w:rPr>
        <w:t xml:space="preserve"> </w:t>
      </w:r>
      <w:hyperlink r:id="rId9" w:history="1">
        <w:r w:rsidRPr="00675B09">
          <w:rPr>
            <w:rStyle w:val="Hyperlink"/>
            <w:color w:val="auto"/>
            <w:lang w:val="en-GB"/>
          </w:rPr>
          <w:t>https://osf.io/wkh5a/?view_only=d8138c80ddab4344a928108d6c20e4b9</w:t>
        </w:r>
      </w:hyperlink>
    </w:p>
    <w:p w14:paraId="70DD7B57" w14:textId="77777777" w:rsidR="008851C4" w:rsidRPr="00675B09" w:rsidRDefault="000860B9" w:rsidP="00533B34">
      <w:pPr>
        <w:widowControl/>
        <w:ind w:right="0"/>
        <w:jc w:val="left"/>
        <w:rPr>
          <w:b/>
          <w:lang w:val="en-GB"/>
        </w:rPr>
      </w:pPr>
      <w:r w:rsidRPr="00675B09">
        <w:rPr>
          <w:lang w:val="en-GB"/>
        </w:rPr>
        <w:br w:type="page"/>
      </w:r>
    </w:p>
    <w:p w14:paraId="7BD1A326" w14:textId="77777777" w:rsidR="008851C4" w:rsidRPr="00675B09" w:rsidRDefault="000860B9" w:rsidP="00533B34">
      <w:pPr>
        <w:pStyle w:val="Heading1"/>
        <w:jc w:val="left"/>
        <w:rPr>
          <w:lang w:val="en-GB"/>
        </w:rPr>
      </w:pPr>
      <w:r w:rsidRPr="00675B09">
        <w:rPr>
          <w:lang w:val="en-GB"/>
        </w:rPr>
        <w:lastRenderedPageBreak/>
        <w:t>INTRODUCTION</w:t>
      </w:r>
    </w:p>
    <w:p w14:paraId="2055B653" w14:textId="7AC366D6" w:rsidR="00710D4B" w:rsidRPr="00675B09" w:rsidRDefault="004257B2" w:rsidP="00710D4B">
      <w:pPr>
        <w:jc w:val="left"/>
        <w:rPr>
          <w:lang w:val="en-GB"/>
        </w:rPr>
      </w:pPr>
      <w:bookmarkStart w:id="17" w:name="_3znysh7" w:colFirst="0" w:colLast="0"/>
      <w:bookmarkEnd w:id="17"/>
      <w:r w:rsidRPr="00675B09">
        <w:rPr>
          <w:lang w:val="en-GB"/>
        </w:rPr>
        <w:t>Accurately describing</w:t>
      </w:r>
      <w:r w:rsidRPr="00675B09" w:rsidDel="004257B2">
        <w:rPr>
          <w:lang w:val="en-GB"/>
        </w:rPr>
        <w:t xml:space="preserve"> </w:t>
      </w:r>
      <w:r w:rsidR="00566707" w:rsidRPr="00675B09">
        <w:rPr>
          <w:lang w:val="en-GB"/>
        </w:rPr>
        <w:t xml:space="preserve">the variability in response to </w:t>
      </w:r>
      <w:r w:rsidR="00683281" w:rsidRPr="00675B09">
        <w:rPr>
          <w:lang w:val="en-GB"/>
        </w:rPr>
        <w:t xml:space="preserve">pharmacotherapy </w:t>
      </w:r>
      <w:r w:rsidR="00566707" w:rsidRPr="00675B09">
        <w:rPr>
          <w:lang w:val="en-GB"/>
        </w:rPr>
        <w:t>among different racial/ethnic groups is crucial for advancing precision medicine, which aims to tailor treatments to the individual characteristics of each patient</w:t>
      </w:r>
      <w:r w:rsidR="000860B9" w:rsidRPr="00675B09">
        <w:rPr>
          <w:lang w:val="en-GB"/>
        </w:rPr>
        <w:t>.</w:t>
      </w:r>
      <w:r w:rsidR="001D0968" w:rsidRPr="00675B09">
        <w:rPr>
          <w:vertAlign w:val="superscript"/>
          <w:lang w:val="en-GB"/>
        </w:rPr>
        <w:t>1</w:t>
      </w:r>
      <w:r w:rsidR="000860B9" w:rsidRPr="00675B09">
        <w:rPr>
          <w:lang w:val="en-GB"/>
        </w:rPr>
        <w:t xml:space="preserve"> </w:t>
      </w:r>
      <w:bookmarkStart w:id="18" w:name="_Hlk183009402"/>
      <w:bookmarkStart w:id="19" w:name="_Hlk183009349"/>
      <w:r w:rsidR="002B71CF" w:rsidRPr="00675B09">
        <w:t xml:space="preserve"> </w:t>
      </w:r>
      <w:r w:rsidR="00024F06" w:rsidRPr="00675B09">
        <w:rPr>
          <w:lang w:val="en-GB"/>
        </w:rPr>
        <w:t xml:space="preserve">In clinical practice, it is crucial to being able to interpret the results of individual randomised controlled trials (RCTs) and understand potential differences between racial/ethnic groups in terms of risk of </w:t>
      </w:r>
      <w:r w:rsidR="00BD54FE" w:rsidRPr="00675B09">
        <w:rPr>
          <w:lang w:val="en-GB"/>
        </w:rPr>
        <w:t xml:space="preserve">developing </w:t>
      </w:r>
      <w:r w:rsidR="00024F06" w:rsidRPr="00675B09">
        <w:rPr>
          <w:lang w:val="en-GB"/>
        </w:rPr>
        <w:t xml:space="preserve">various disorders and </w:t>
      </w:r>
      <w:r w:rsidR="00BD54FE" w:rsidRPr="00675B09">
        <w:rPr>
          <w:lang w:val="en-GB"/>
        </w:rPr>
        <w:t xml:space="preserve">variability in </w:t>
      </w:r>
      <w:r w:rsidR="00024F06" w:rsidRPr="00675B09">
        <w:rPr>
          <w:lang w:val="en-GB"/>
        </w:rPr>
        <w:t xml:space="preserve">treatment response. </w:t>
      </w:r>
      <w:bookmarkEnd w:id="18"/>
      <w:r w:rsidR="006469EA" w:rsidRPr="00675B09">
        <w:rPr>
          <w:lang w:val="en-GB"/>
        </w:rPr>
        <w:t>This approach is essential for better understanding the pathophysiology of disorders</w:t>
      </w:r>
      <w:r w:rsidR="005E712A" w:rsidRPr="00675B09">
        <w:rPr>
          <w:lang w:val="en-GB"/>
        </w:rPr>
        <w:t xml:space="preserve"> across </w:t>
      </w:r>
      <w:r w:rsidR="000D15B9" w:rsidRPr="00675B09">
        <w:rPr>
          <w:lang w:val="en-GB"/>
        </w:rPr>
        <w:t>individuals</w:t>
      </w:r>
      <w:r w:rsidR="000D15B9" w:rsidRPr="00675B09">
        <w:rPr>
          <w:vertAlign w:val="superscript"/>
          <w:lang w:val="en-GB"/>
        </w:rPr>
        <w:t>2</w:t>
      </w:r>
      <w:r w:rsidR="000D15B9" w:rsidRPr="00675B09">
        <w:rPr>
          <w:lang w:val="en-GB"/>
        </w:rPr>
        <w:t xml:space="preserve"> </w:t>
      </w:r>
      <w:r w:rsidR="006469EA" w:rsidRPr="00675B09">
        <w:rPr>
          <w:lang w:val="en-GB"/>
        </w:rPr>
        <w:t xml:space="preserve">and </w:t>
      </w:r>
      <w:r w:rsidR="005C6B93" w:rsidRPr="00675B09">
        <w:rPr>
          <w:lang w:val="en-GB"/>
        </w:rPr>
        <w:t>differentiating</w:t>
      </w:r>
      <w:r w:rsidR="006469EA" w:rsidRPr="00675B09">
        <w:rPr>
          <w:lang w:val="en-GB"/>
        </w:rPr>
        <w:t xml:space="preserve"> between subgroups </w:t>
      </w:r>
      <w:r w:rsidR="005E712A" w:rsidRPr="00675B09">
        <w:rPr>
          <w:lang w:val="en-GB"/>
        </w:rPr>
        <w:t xml:space="preserve">of individuals </w:t>
      </w:r>
      <w:r w:rsidR="006469EA" w:rsidRPr="00675B09">
        <w:rPr>
          <w:lang w:val="en-GB"/>
        </w:rPr>
        <w:t xml:space="preserve">in </w:t>
      </w:r>
      <w:r w:rsidR="005E712A" w:rsidRPr="00675B09">
        <w:rPr>
          <w:lang w:val="en-GB"/>
        </w:rPr>
        <w:t xml:space="preserve">terms of </w:t>
      </w:r>
      <w:r w:rsidR="006469EA" w:rsidRPr="00675B09">
        <w:rPr>
          <w:lang w:val="en-GB"/>
        </w:rPr>
        <w:t>long-term outcomes.</w:t>
      </w:r>
      <w:r w:rsidR="001D0968" w:rsidRPr="00675B09">
        <w:rPr>
          <w:vertAlign w:val="superscript"/>
          <w:lang w:val="en-GB"/>
        </w:rPr>
        <w:t>3</w:t>
      </w:r>
      <w:r w:rsidR="00710D4B" w:rsidRPr="00675B09">
        <w:rPr>
          <w:vertAlign w:val="superscript"/>
          <w:lang w:val="en-GB"/>
        </w:rPr>
        <w:t xml:space="preserve"> </w:t>
      </w:r>
      <w:r w:rsidR="00BB7657" w:rsidRPr="00675B09">
        <w:rPr>
          <w:lang w:val="en-GB"/>
        </w:rPr>
        <w:t>Indeed, while pharmacological treatment response might be affected by the interaction between genetic predisposition and environmental factors,</w:t>
      </w:r>
      <w:r w:rsidR="00BB7657" w:rsidRPr="00675B09">
        <w:rPr>
          <w:vertAlign w:val="superscript"/>
          <w:lang w:val="en-GB"/>
        </w:rPr>
        <w:t>4</w:t>
      </w:r>
      <w:r w:rsidR="00BB7657" w:rsidRPr="00675B09">
        <w:rPr>
          <w:lang w:val="en-GB"/>
        </w:rPr>
        <w:t xml:space="preserve"> </w:t>
      </w:r>
      <w:proofErr w:type="gramStart"/>
      <w:r w:rsidR="00BB7657" w:rsidRPr="00675B09">
        <w:rPr>
          <w:lang w:val="en-GB"/>
        </w:rPr>
        <w:t>race</w:t>
      </w:r>
      <w:proofErr w:type="gramEnd"/>
      <w:r w:rsidR="00BB7657" w:rsidRPr="00675B09">
        <w:rPr>
          <w:lang w:val="en-GB"/>
        </w:rPr>
        <w:t xml:space="preserve"> or ethnicity themselves are not valid genetic variables</w:t>
      </w:r>
      <w:r w:rsidR="00710D4B" w:rsidRPr="00675B09">
        <w:rPr>
          <w:vertAlign w:val="superscript"/>
          <w:lang w:val="en-GB"/>
        </w:rPr>
        <w:t>5</w:t>
      </w:r>
      <w:bookmarkEnd w:id="19"/>
      <w:r w:rsidR="00BB7657" w:rsidRPr="00675B09">
        <w:rPr>
          <w:lang w:val="en-GB"/>
        </w:rPr>
        <w:t>.</w:t>
      </w:r>
    </w:p>
    <w:p w14:paraId="5DCCBA0F" w14:textId="374AE705" w:rsidR="00D44F8A" w:rsidRPr="00675B09" w:rsidRDefault="001C0B1A" w:rsidP="00533B34">
      <w:pPr>
        <w:jc w:val="left"/>
        <w:rPr>
          <w:lang w:val="en-GB"/>
        </w:rPr>
      </w:pPr>
      <w:r w:rsidRPr="00675B09">
        <w:rPr>
          <w:lang w:val="en-GB"/>
        </w:rPr>
        <w:t>A</w:t>
      </w:r>
      <w:r w:rsidR="000860B9" w:rsidRPr="00675B09">
        <w:rPr>
          <w:lang w:val="en-GB"/>
        </w:rPr>
        <w:t>s s</w:t>
      </w:r>
      <w:r w:rsidR="00B12877" w:rsidRPr="00675B09">
        <w:rPr>
          <w:lang w:val="en-GB"/>
        </w:rPr>
        <w:t>hown</w:t>
      </w:r>
      <w:r w:rsidR="000860B9" w:rsidRPr="00675B09">
        <w:rPr>
          <w:lang w:val="en-GB"/>
        </w:rPr>
        <w:t xml:space="preserve"> by studies in the field of </w:t>
      </w:r>
      <w:r w:rsidR="00B12877" w:rsidRPr="00675B09">
        <w:rPr>
          <w:lang w:val="en-GB"/>
        </w:rPr>
        <w:t xml:space="preserve">general </w:t>
      </w:r>
      <w:r w:rsidR="000D15B9" w:rsidRPr="00675B09">
        <w:rPr>
          <w:lang w:val="en-GB"/>
        </w:rPr>
        <w:t>medicine</w:t>
      </w:r>
      <w:r w:rsidR="001D0968" w:rsidRPr="00675B09">
        <w:rPr>
          <w:lang w:val="en-GB"/>
        </w:rPr>
        <w:t>,</w:t>
      </w:r>
      <w:r w:rsidR="0031206E" w:rsidRPr="00675B09">
        <w:rPr>
          <w:vertAlign w:val="superscript"/>
          <w:lang w:val="en-GB"/>
        </w:rPr>
        <w:t>6</w:t>
      </w:r>
      <w:r w:rsidR="0031206E" w:rsidRPr="00675B09">
        <w:rPr>
          <w:lang w:val="en-GB"/>
        </w:rPr>
        <w:t xml:space="preserve"> </w:t>
      </w:r>
      <w:r w:rsidR="000860B9" w:rsidRPr="00675B09">
        <w:rPr>
          <w:lang w:val="en-GB"/>
        </w:rPr>
        <w:t xml:space="preserve">data about </w:t>
      </w:r>
      <w:bookmarkStart w:id="20" w:name="_Hlk183001398"/>
      <w:r w:rsidR="000860B9" w:rsidRPr="00675B09">
        <w:rPr>
          <w:lang w:val="en-GB"/>
        </w:rPr>
        <w:t xml:space="preserve">the </w:t>
      </w:r>
      <w:r w:rsidR="004257B2" w:rsidRPr="00675B09">
        <w:rPr>
          <w:lang w:val="en-GB"/>
        </w:rPr>
        <w:t>racial and ethnic</w:t>
      </w:r>
      <w:r w:rsidR="004257B2" w:rsidRPr="00675B09" w:rsidDel="004257B2">
        <w:rPr>
          <w:lang w:val="en-GB"/>
        </w:rPr>
        <w:t xml:space="preserve"> </w:t>
      </w:r>
      <w:bookmarkEnd w:id="20"/>
      <w:r w:rsidR="000860B9" w:rsidRPr="00675B09">
        <w:rPr>
          <w:lang w:val="en-GB"/>
        </w:rPr>
        <w:t xml:space="preserve">distribution of samples recruited in </w:t>
      </w:r>
      <w:r w:rsidR="00DE2D33" w:rsidRPr="00675B09">
        <w:rPr>
          <w:lang w:val="en-GB"/>
        </w:rPr>
        <w:t xml:space="preserve">RCTs </w:t>
      </w:r>
      <w:r w:rsidR="000860B9" w:rsidRPr="00675B09">
        <w:rPr>
          <w:lang w:val="en-GB"/>
        </w:rPr>
        <w:t xml:space="preserve">are often not reported. </w:t>
      </w:r>
      <w:r w:rsidR="00B12877" w:rsidRPr="00675B09">
        <w:rPr>
          <w:lang w:val="en-GB"/>
        </w:rPr>
        <w:t>Furthermore</w:t>
      </w:r>
      <w:r w:rsidR="000860B9" w:rsidRPr="00675B09">
        <w:rPr>
          <w:lang w:val="en-GB"/>
        </w:rPr>
        <w:t xml:space="preserve">, participants are often selectively sampled based on specific criteria </w:t>
      </w:r>
      <w:r w:rsidR="00875338" w:rsidRPr="00675B09">
        <w:rPr>
          <w:lang w:val="en-GB"/>
        </w:rPr>
        <w:t xml:space="preserve">that fail to </w:t>
      </w:r>
      <w:r w:rsidR="000860B9" w:rsidRPr="00675B09">
        <w:rPr>
          <w:lang w:val="en-GB"/>
        </w:rPr>
        <w:t>represent the population the study results should be generali</w:t>
      </w:r>
      <w:r w:rsidR="002B46E7" w:rsidRPr="00675B09">
        <w:rPr>
          <w:lang w:val="en-GB"/>
        </w:rPr>
        <w:t>s</w:t>
      </w:r>
      <w:r w:rsidR="000860B9" w:rsidRPr="00675B09">
        <w:rPr>
          <w:lang w:val="en-GB"/>
        </w:rPr>
        <w:t>ed to.</w:t>
      </w:r>
      <w:r w:rsidR="00566707" w:rsidRPr="00675B09">
        <w:rPr>
          <w:lang w:val="en-GB"/>
        </w:rPr>
        <w:t xml:space="preserve"> </w:t>
      </w:r>
      <w:r w:rsidR="000860B9" w:rsidRPr="00675B09">
        <w:rPr>
          <w:lang w:val="en-GB"/>
        </w:rPr>
        <w:t xml:space="preserve">This lack of information </w:t>
      </w:r>
      <w:r w:rsidR="006469EA" w:rsidRPr="00675B09">
        <w:rPr>
          <w:lang w:val="en-GB"/>
        </w:rPr>
        <w:t xml:space="preserve">and poor representation </w:t>
      </w:r>
      <w:r w:rsidR="000860B9" w:rsidRPr="00675B09">
        <w:rPr>
          <w:lang w:val="en-GB"/>
        </w:rPr>
        <w:t xml:space="preserve">may adversely impact science </w:t>
      </w:r>
      <w:r w:rsidR="009B4E53" w:rsidRPr="00675B09">
        <w:rPr>
          <w:lang w:val="en-GB"/>
        </w:rPr>
        <w:t xml:space="preserve">and clinical </w:t>
      </w:r>
      <w:r w:rsidR="00604F22" w:rsidRPr="00675B09">
        <w:rPr>
          <w:lang w:val="en-GB"/>
        </w:rPr>
        <w:t>care, and</w:t>
      </w:r>
      <w:r w:rsidR="009B4E53" w:rsidRPr="00675B09">
        <w:rPr>
          <w:lang w:val="en-GB"/>
        </w:rPr>
        <w:t xml:space="preserve"> potentially </w:t>
      </w:r>
      <w:r w:rsidR="000860B9" w:rsidRPr="00675B09">
        <w:rPr>
          <w:lang w:val="en-GB"/>
        </w:rPr>
        <w:t xml:space="preserve">harm underrepresented </w:t>
      </w:r>
      <w:r w:rsidR="000D15B9" w:rsidRPr="00675B09">
        <w:rPr>
          <w:lang w:val="en-GB"/>
        </w:rPr>
        <w:t>populations</w:t>
      </w:r>
      <w:r w:rsidR="001D0968" w:rsidRPr="00675B09">
        <w:rPr>
          <w:lang w:val="en-GB"/>
        </w:rPr>
        <w:t>.</w:t>
      </w:r>
      <w:r w:rsidR="0031206E" w:rsidRPr="00675B09">
        <w:rPr>
          <w:vertAlign w:val="superscript"/>
          <w:lang w:val="en-GB"/>
        </w:rPr>
        <w:t>7</w:t>
      </w:r>
      <w:r w:rsidR="00DE2D33" w:rsidRPr="00675B09">
        <w:rPr>
          <w:vertAlign w:val="superscript"/>
          <w:lang w:val="en-GB"/>
        </w:rPr>
        <w:t xml:space="preserve"> </w:t>
      </w:r>
      <w:bookmarkStart w:id="21" w:name="_2et92p0" w:colFirst="0" w:colLast="0"/>
      <w:bookmarkEnd w:id="21"/>
      <w:r w:rsidR="000860B9" w:rsidRPr="00675B09">
        <w:rPr>
          <w:lang w:val="en-GB"/>
        </w:rPr>
        <w:t>Race</w:t>
      </w:r>
      <w:r w:rsidR="00C32352" w:rsidRPr="00675B09">
        <w:rPr>
          <w:lang w:val="en-GB"/>
        </w:rPr>
        <w:t xml:space="preserve"> and </w:t>
      </w:r>
      <w:r w:rsidR="000860B9" w:rsidRPr="00675B09">
        <w:rPr>
          <w:lang w:val="en-GB"/>
        </w:rPr>
        <w:t>ethnicity</w:t>
      </w:r>
      <w:r w:rsidR="00566707" w:rsidRPr="00675B09">
        <w:rPr>
          <w:lang w:val="en-GB"/>
        </w:rPr>
        <w:t>, along</w:t>
      </w:r>
      <w:r w:rsidR="000860B9" w:rsidRPr="00675B09">
        <w:rPr>
          <w:lang w:val="en-GB"/>
        </w:rPr>
        <w:t xml:space="preserve"> with other psycho-social factors</w:t>
      </w:r>
      <w:r w:rsidR="001B0A1B" w:rsidRPr="00675B09">
        <w:rPr>
          <w:lang w:val="en-GB"/>
        </w:rPr>
        <w:t xml:space="preserve"> (e.g., </w:t>
      </w:r>
      <w:r w:rsidR="000860B9" w:rsidRPr="00675B09">
        <w:rPr>
          <w:lang w:val="en-GB"/>
        </w:rPr>
        <w:t>socio-economic background</w:t>
      </w:r>
      <w:r w:rsidR="001B0A1B" w:rsidRPr="00675B09">
        <w:rPr>
          <w:lang w:val="en-GB"/>
        </w:rPr>
        <w:t>)</w:t>
      </w:r>
      <w:r w:rsidR="00566707" w:rsidRPr="00675B09">
        <w:rPr>
          <w:lang w:val="en-GB"/>
        </w:rPr>
        <w:t>, are</w:t>
      </w:r>
      <w:r w:rsidR="000860B9" w:rsidRPr="00675B09">
        <w:rPr>
          <w:lang w:val="en-GB"/>
        </w:rPr>
        <w:t xml:space="preserve"> important contributor</w:t>
      </w:r>
      <w:r w:rsidR="00566707" w:rsidRPr="00675B09">
        <w:rPr>
          <w:lang w:val="en-GB"/>
        </w:rPr>
        <w:t>s</w:t>
      </w:r>
      <w:r w:rsidR="000860B9" w:rsidRPr="00675B09">
        <w:rPr>
          <w:lang w:val="en-GB"/>
        </w:rPr>
        <w:t xml:space="preserve"> to mental health.</w:t>
      </w:r>
      <w:r w:rsidR="00FA2DED" w:rsidRPr="00675B09">
        <w:rPr>
          <w:vertAlign w:val="superscript"/>
          <w:lang w:val="en-GB"/>
        </w:rPr>
        <w:t>8</w:t>
      </w:r>
      <w:r w:rsidR="000860B9" w:rsidRPr="00675B09">
        <w:rPr>
          <w:lang w:val="en-GB"/>
        </w:rPr>
        <w:t xml:space="preserve"> </w:t>
      </w:r>
      <w:r w:rsidR="00D44F8A" w:rsidRPr="00675B09">
        <w:rPr>
          <w:lang w:val="en-GB"/>
        </w:rPr>
        <w:t>Indeed</w:t>
      </w:r>
      <w:r w:rsidR="000860B9" w:rsidRPr="00675B09">
        <w:rPr>
          <w:lang w:val="en-GB"/>
        </w:rPr>
        <w:t xml:space="preserve">, </w:t>
      </w:r>
      <w:bookmarkStart w:id="22" w:name="_Hlk183001546"/>
      <w:r w:rsidR="000860B9" w:rsidRPr="00675B09">
        <w:rPr>
          <w:lang w:val="en-GB"/>
        </w:rPr>
        <w:t xml:space="preserve">reduced access </w:t>
      </w:r>
      <w:r w:rsidR="005E712A" w:rsidRPr="00675B09">
        <w:rPr>
          <w:lang w:val="en-GB"/>
        </w:rPr>
        <w:t xml:space="preserve">to </w:t>
      </w:r>
      <w:r w:rsidR="00167389" w:rsidRPr="00675B09">
        <w:rPr>
          <w:lang w:val="en-GB"/>
        </w:rPr>
        <w:t>healthcare</w:t>
      </w:r>
      <w:r w:rsidR="005E712A" w:rsidRPr="00675B09">
        <w:rPr>
          <w:lang w:val="en-GB"/>
        </w:rPr>
        <w:t xml:space="preserve"> systems </w:t>
      </w:r>
      <w:r w:rsidR="000860B9" w:rsidRPr="00675B09">
        <w:rPr>
          <w:lang w:val="en-GB"/>
        </w:rPr>
        <w:t>or different standard of care for people from minoriti</w:t>
      </w:r>
      <w:r w:rsidR="00B12877" w:rsidRPr="00675B09">
        <w:rPr>
          <w:lang w:val="en-GB"/>
        </w:rPr>
        <w:t>s</w:t>
      </w:r>
      <w:r w:rsidR="000860B9" w:rsidRPr="00675B09">
        <w:rPr>
          <w:lang w:val="en-GB"/>
        </w:rPr>
        <w:t>ed, marginali</w:t>
      </w:r>
      <w:r w:rsidR="00B12877" w:rsidRPr="00675B09">
        <w:rPr>
          <w:lang w:val="en-GB"/>
        </w:rPr>
        <w:t>s</w:t>
      </w:r>
      <w:r w:rsidR="000860B9" w:rsidRPr="00675B09">
        <w:rPr>
          <w:lang w:val="en-GB"/>
        </w:rPr>
        <w:t xml:space="preserve">ed and/or underrepresented communities, </w:t>
      </w:r>
      <w:r w:rsidR="00566707" w:rsidRPr="00675B09">
        <w:rPr>
          <w:lang w:val="en-GB"/>
        </w:rPr>
        <w:t xml:space="preserve">can </w:t>
      </w:r>
      <w:r w:rsidR="000860B9" w:rsidRPr="00675B09">
        <w:rPr>
          <w:lang w:val="en-GB"/>
        </w:rPr>
        <w:t>exacerbate challenges associated with mental disorders</w:t>
      </w:r>
      <w:bookmarkEnd w:id="22"/>
      <w:r w:rsidR="001D0968" w:rsidRPr="00675B09">
        <w:rPr>
          <w:lang w:val="en-GB"/>
        </w:rPr>
        <w:t>.</w:t>
      </w:r>
      <w:r w:rsidR="0031206E" w:rsidRPr="00675B09">
        <w:rPr>
          <w:vertAlign w:val="superscript"/>
          <w:lang w:val="en-GB"/>
        </w:rPr>
        <w:t>8</w:t>
      </w:r>
      <w:r w:rsidR="0031206E" w:rsidRPr="00675B09">
        <w:rPr>
          <w:lang w:val="en-GB"/>
        </w:rPr>
        <w:t xml:space="preserve"> </w:t>
      </w:r>
      <w:r w:rsidR="000860B9" w:rsidRPr="00675B09">
        <w:rPr>
          <w:lang w:val="en-GB"/>
        </w:rPr>
        <w:t xml:space="preserve">However, </w:t>
      </w:r>
      <w:r w:rsidR="003C1373" w:rsidRPr="00675B09">
        <w:rPr>
          <w:lang w:val="en-GB"/>
        </w:rPr>
        <w:t xml:space="preserve">the </w:t>
      </w:r>
      <w:r w:rsidR="000860B9" w:rsidRPr="00675B09">
        <w:rPr>
          <w:lang w:val="en-GB"/>
        </w:rPr>
        <w:t xml:space="preserve">extent </w:t>
      </w:r>
      <w:r w:rsidR="003C1373" w:rsidRPr="00675B09">
        <w:rPr>
          <w:lang w:val="en-GB"/>
        </w:rPr>
        <w:t xml:space="preserve">to which </w:t>
      </w:r>
      <w:r w:rsidR="005630C9" w:rsidRPr="00675B09">
        <w:rPr>
          <w:lang w:val="en-GB"/>
        </w:rPr>
        <w:t xml:space="preserve">information about </w:t>
      </w:r>
      <w:r w:rsidR="00D05E87" w:rsidRPr="00675B09">
        <w:rPr>
          <w:lang w:val="en-GB"/>
        </w:rPr>
        <w:t>race and ethnicity</w:t>
      </w:r>
      <w:r w:rsidR="000860B9" w:rsidRPr="00675B09">
        <w:rPr>
          <w:lang w:val="en-GB"/>
        </w:rPr>
        <w:t xml:space="preserve"> are reported </w:t>
      </w:r>
      <w:r w:rsidR="006F03AC" w:rsidRPr="00675B09">
        <w:rPr>
          <w:lang w:val="en-GB"/>
        </w:rPr>
        <w:t xml:space="preserve">in RCTs </w:t>
      </w:r>
      <w:r w:rsidR="000860B9" w:rsidRPr="00675B09">
        <w:rPr>
          <w:lang w:val="en-GB"/>
        </w:rPr>
        <w:t xml:space="preserve">and </w:t>
      </w:r>
      <w:r w:rsidR="005E712A" w:rsidRPr="00675B09">
        <w:rPr>
          <w:lang w:val="en-GB"/>
        </w:rPr>
        <w:t xml:space="preserve">prevalence rates </w:t>
      </w:r>
      <w:r w:rsidR="00DF4A7B" w:rsidRPr="00675B09">
        <w:rPr>
          <w:lang w:val="en-GB"/>
        </w:rPr>
        <w:t xml:space="preserve">reported </w:t>
      </w:r>
      <w:r w:rsidR="005E712A" w:rsidRPr="00675B09">
        <w:rPr>
          <w:lang w:val="en-GB"/>
        </w:rPr>
        <w:t xml:space="preserve">in RCTs </w:t>
      </w:r>
      <w:r w:rsidR="000860B9" w:rsidRPr="00675B09">
        <w:rPr>
          <w:lang w:val="en-GB"/>
        </w:rPr>
        <w:t>reflect population estimates</w:t>
      </w:r>
      <w:r w:rsidR="006F03AC" w:rsidRPr="00675B09">
        <w:rPr>
          <w:lang w:val="en-GB"/>
        </w:rPr>
        <w:t xml:space="preserve">, </w:t>
      </w:r>
      <w:r w:rsidR="003C1373" w:rsidRPr="00675B09">
        <w:rPr>
          <w:lang w:val="en-GB"/>
        </w:rPr>
        <w:t>remains unclear</w:t>
      </w:r>
      <w:r w:rsidR="000860B9" w:rsidRPr="00675B09">
        <w:rPr>
          <w:lang w:val="en-GB"/>
        </w:rPr>
        <w:t xml:space="preserve">. </w:t>
      </w:r>
      <w:r w:rsidR="00E73379" w:rsidRPr="00675B09">
        <w:rPr>
          <w:lang w:val="en-GB"/>
        </w:rPr>
        <w:t>This is compounded by</w:t>
      </w:r>
      <w:r w:rsidR="003C1373" w:rsidRPr="00675B09">
        <w:rPr>
          <w:lang w:val="en-GB"/>
        </w:rPr>
        <w:t xml:space="preserve"> a lack of </w:t>
      </w:r>
      <w:r w:rsidR="000860B9" w:rsidRPr="00675B09">
        <w:rPr>
          <w:lang w:val="en-GB"/>
        </w:rPr>
        <w:t xml:space="preserve">uniform international reporting standards, with </w:t>
      </w:r>
      <w:r w:rsidR="003C1373" w:rsidRPr="00675B09">
        <w:rPr>
          <w:lang w:val="en-GB"/>
        </w:rPr>
        <w:t xml:space="preserve">inconsistent </w:t>
      </w:r>
      <w:r w:rsidR="000860B9" w:rsidRPr="00675B09">
        <w:rPr>
          <w:lang w:val="en-GB"/>
        </w:rPr>
        <w:t xml:space="preserve">nomenclatures and </w:t>
      </w:r>
      <w:r w:rsidR="00F65FAD" w:rsidRPr="00675B09">
        <w:rPr>
          <w:lang w:val="en-GB"/>
        </w:rPr>
        <w:t xml:space="preserve">lack of regular collection of </w:t>
      </w:r>
      <w:r w:rsidR="00DF4A7B" w:rsidRPr="00675B09">
        <w:rPr>
          <w:lang w:val="en-GB"/>
        </w:rPr>
        <w:t xml:space="preserve">information </w:t>
      </w:r>
      <w:r w:rsidR="000860B9" w:rsidRPr="00675B09">
        <w:rPr>
          <w:lang w:val="en-GB"/>
        </w:rPr>
        <w:t xml:space="preserve">about </w:t>
      </w:r>
      <w:r w:rsidR="00D05E87" w:rsidRPr="00675B09">
        <w:rPr>
          <w:lang w:val="en-GB"/>
        </w:rPr>
        <w:t>race and ethnicity</w:t>
      </w:r>
      <w:r w:rsidR="000860B9" w:rsidRPr="00675B09">
        <w:rPr>
          <w:lang w:val="en-GB"/>
        </w:rPr>
        <w:t xml:space="preserve"> in </w:t>
      </w:r>
      <w:r w:rsidR="000019C6" w:rsidRPr="00675B09">
        <w:rPr>
          <w:lang w:val="en-GB"/>
        </w:rPr>
        <w:t xml:space="preserve">some </w:t>
      </w:r>
      <w:r w:rsidR="000860B9" w:rsidRPr="00675B09">
        <w:rPr>
          <w:lang w:val="en-GB"/>
        </w:rPr>
        <w:lastRenderedPageBreak/>
        <w:t>clinic</w:t>
      </w:r>
      <w:r w:rsidR="003C1373" w:rsidRPr="00675B09">
        <w:rPr>
          <w:lang w:val="en-GB"/>
        </w:rPr>
        <w:t>al</w:t>
      </w:r>
      <w:r w:rsidR="000860B9" w:rsidRPr="00675B09">
        <w:rPr>
          <w:lang w:val="en-GB"/>
        </w:rPr>
        <w:t xml:space="preserve"> or research settings.</w:t>
      </w:r>
      <w:r w:rsidR="0031206E" w:rsidRPr="00675B09">
        <w:rPr>
          <w:vertAlign w:val="superscript"/>
          <w:lang w:val="en-GB"/>
        </w:rPr>
        <w:t>9</w:t>
      </w:r>
      <w:r w:rsidR="004D17D2" w:rsidRPr="00675B09">
        <w:rPr>
          <w:vertAlign w:val="superscript"/>
          <w:lang w:val="en-GB"/>
        </w:rPr>
        <w:t>,</w:t>
      </w:r>
      <w:r w:rsidR="0031206E" w:rsidRPr="00675B09">
        <w:rPr>
          <w:vertAlign w:val="superscript"/>
          <w:lang w:val="en-GB"/>
        </w:rPr>
        <w:t>10</w:t>
      </w:r>
    </w:p>
    <w:p w14:paraId="43ADB8B2" w14:textId="3ED96B7B" w:rsidR="008851C4" w:rsidRPr="00675B09" w:rsidRDefault="00DF4A7B" w:rsidP="00533B34">
      <w:pPr>
        <w:jc w:val="left"/>
        <w:rPr>
          <w:lang w:val="en-GB"/>
        </w:rPr>
      </w:pPr>
      <w:bookmarkStart w:id="23" w:name="_Hlk183010505"/>
      <w:r w:rsidRPr="00675B09">
        <w:rPr>
          <w:lang w:val="en-GB"/>
        </w:rPr>
        <w:t>W</w:t>
      </w:r>
      <w:r w:rsidR="00441E44" w:rsidRPr="00675B09">
        <w:rPr>
          <w:lang w:val="en-GB"/>
        </w:rPr>
        <w:t>e</w:t>
      </w:r>
      <w:r w:rsidR="00D44F8A" w:rsidRPr="00675B09">
        <w:rPr>
          <w:lang w:val="en-GB"/>
        </w:rPr>
        <w:t xml:space="preserve"> conducted the first comprehensive </w:t>
      </w:r>
      <w:r w:rsidR="00CE376F" w:rsidRPr="00675B09">
        <w:rPr>
          <w:lang w:val="en-GB"/>
        </w:rPr>
        <w:t xml:space="preserve">overview of reviews and </w:t>
      </w:r>
      <w:r w:rsidR="00D44F8A" w:rsidRPr="00675B09">
        <w:rPr>
          <w:lang w:val="en-GB"/>
        </w:rPr>
        <w:t xml:space="preserve">quantitative analysis of </w:t>
      </w:r>
      <w:r w:rsidR="00D05E87" w:rsidRPr="00675B09">
        <w:rPr>
          <w:lang w:val="en-GB"/>
        </w:rPr>
        <w:t>race and ethnicity</w:t>
      </w:r>
      <w:r w:rsidR="00D44F8A" w:rsidRPr="00675B09">
        <w:rPr>
          <w:lang w:val="en-GB"/>
        </w:rPr>
        <w:t xml:space="preserve"> representation and reporting across RCTs</w:t>
      </w:r>
      <w:r w:rsidR="00AF522F" w:rsidRPr="00675B09">
        <w:rPr>
          <w:lang w:val="en-GB"/>
        </w:rPr>
        <w:t xml:space="preserve"> included </w:t>
      </w:r>
      <w:r w:rsidR="00CE72A1" w:rsidRPr="00675B09">
        <w:rPr>
          <w:lang w:val="en-GB"/>
        </w:rPr>
        <w:t xml:space="preserve">in </w:t>
      </w:r>
      <w:r w:rsidR="00AF522F" w:rsidRPr="00675B09">
        <w:rPr>
          <w:lang w:val="en-GB"/>
        </w:rPr>
        <w:t>network meta-analyses (NMA</w:t>
      </w:r>
      <w:r w:rsidR="00E1569C" w:rsidRPr="00675B09">
        <w:rPr>
          <w:lang w:val="en-GB"/>
        </w:rPr>
        <w:t xml:space="preserve">), rather than searching for individual RCTs, which would have made our project </w:t>
      </w:r>
      <w:r w:rsidR="00DB3A6A" w:rsidRPr="00675B09">
        <w:rPr>
          <w:lang w:val="en-GB"/>
        </w:rPr>
        <w:t>un</w:t>
      </w:r>
      <w:r w:rsidR="00E1569C" w:rsidRPr="00675B09">
        <w:rPr>
          <w:lang w:val="en-GB"/>
        </w:rPr>
        <w:t>feasible.</w:t>
      </w:r>
      <w:r w:rsidR="00D44F8A" w:rsidRPr="00675B09">
        <w:rPr>
          <w:lang w:val="en-GB"/>
        </w:rPr>
        <w:t xml:space="preserve"> </w:t>
      </w:r>
      <w:bookmarkEnd w:id="23"/>
      <w:r w:rsidR="00D44F8A" w:rsidRPr="00675B09">
        <w:rPr>
          <w:lang w:val="en-GB"/>
        </w:rPr>
        <w:t xml:space="preserve">We </w:t>
      </w:r>
      <w:r w:rsidR="00E73379" w:rsidRPr="00675B09">
        <w:rPr>
          <w:lang w:val="en-GB"/>
        </w:rPr>
        <w:t>assessed</w:t>
      </w:r>
      <w:r w:rsidR="000860B9" w:rsidRPr="00675B09">
        <w:rPr>
          <w:lang w:val="en-GB"/>
        </w:rPr>
        <w:t xml:space="preserve">: 1) what percentage of RCTs of </w:t>
      </w:r>
      <w:r w:rsidR="00FA2DED" w:rsidRPr="00675B09">
        <w:rPr>
          <w:lang w:val="en-GB"/>
        </w:rPr>
        <w:t>pharmacotherapies</w:t>
      </w:r>
      <w:r w:rsidR="000860B9" w:rsidRPr="00675B09">
        <w:rPr>
          <w:lang w:val="en-GB"/>
        </w:rPr>
        <w:t xml:space="preserve"> for mental disorders do report </w:t>
      </w:r>
      <w:r w:rsidR="00D05E87" w:rsidRPr="00675B09">
        <w:rPr>
          <w:lang w:val="en-GB"/>
        </w:rPr>
        <w:t>race and ethnicity</w:t>
      </w:r>
      <w:r w:rsidR="000860B9" w:rsidRPr="00675B09">
        <w:rPr>
          <w:lang w:val="en-GB"/>
        </w:rPr>
        <w:t xml:space="preserve"> as sample characteristics</w:t>
      </w:r>
      <w:r w:rsidR="0092549A" w:rsidRPr="00675B09">
        <w:rPr>
          <w:lang w:val="en-GB"/>
        </w:rPr>
        <w:t xml:space="preserve">; </w:t>
      </w:r>
      <w:r w:rsidR="000860B9" w:rsidRPr="00675B09">
        <w:rPr>
          <w:lang w:val="en-GB"/>
        </w:rPr>
        <w:t xml:space="preserve">2) </w:t>
      </w:r>
      <w:r w:rsidR="00D44F8A" w:rsidRPr="00675B09">
        <w:rPr>
          <w:lang w:val="en-GB"/>
        </w:rPr>
        <w:t>any</w:t>
      </w:r>
      <w:r w:rsidR="00903D04" w:rsidRPr="00675B09">
        <w:rPr>
          <w:lang w:val="en-GB"/>
        </w:rPr>
        <w:t xml:space="preserve"> temporal trends and differences in reporting rates across diagnostic </w:t>
      </w:r>
      <w:r w:rsidR="00FA2DED" w:rsidRPr="00675B09">
        <w:rPr>
          <w:lang w:val="en-GB"/>
        </w:rPr>
        <w:t xml:space="preserve">and age </w:t>
      </w:r>
      <w:r w:rsidR="00903D04" w:rsidRPr="00675B09">
        <w:rPr>
          <w:lang w:val="en-GB"/>
        </w:rPr>
        <w:t>groups</w:t>
      </w:r>
      <w:r w:rsidR="000D15B9" w:rsidRPr="00675B09">
        <w:rPr>
          <w:lang w:val="en-GB"/>
        </w:rPr>
        <w:t>,</w:t>
      </w:r>
      <w:r w:rsidR="00903D04" w:rsidRPr="00675B09">
        <w:rPr>
          <w:lang w:val="en-GB"/>
        </w:rPr>
        <w:t xml:space="preserve"> </w:t>
      </w:r>
      <w:r w:rsidR="000D15B9" w:rsidRPr="00675B09">
        <w:rPr>
          <w:lang w:val="en-GB"/>
        </w:rPr>
        <w:t>and continents</w:t>
      </w:r>
      <w:r w:rsidR="0092549A" w:rsidRPr="00675B09">
        <w:rPr>
          <w:lang w:val="en-GB"/>
        </w:rPr>
        <w:t>;</w:t>
      </w:r>
      <w:r w:rsidR="000860B9" w:rsidRPr="00675B09">
        <w:rPr>
          <w:lang w:val="en-GB"/>
        </w:rPr>
        <w:t xml:space="preserve"> and</w:t>
      </w:r>
      <w:r w:rsidR="0092549A" w:rsidRPr="00675B09">
        <w:rPr>
          <w:lang w:val="en-GB"/>
        </w:rPr>
        <w:t xml:space="preserve"> </w:t>
      </w:r>
      <w:r w:rsidR="000860B9" w:rsidRPr="00675B09">
        <w:rPr>
          <w:lang w:val="en-GB"/>
        </w:rPr>
        <w:t xml:space="preserve">3) </w:t>
      </w:r>
      <w:r w:rsidR="00930F86" w:rsidRPr="00675B09">
        <w:rPr>
          <w:lang w:val="en-GB"/>
        </w:rPr>
        <w:t xml:space="preserve">considering the publicly available </w:t>
      </w:r>
      <w:r w:rsidR="00D44F8A" w:rsidRPr="00675B09">
        <w:rPr>
          <w:lang w:val="en-GB"/>
        </w:rPr>
        <w:t xml:space="preserve">data on </w:t>
      </w:r>
      <w:r w:rsidR="00D05E87" w:rsidRPr="00675B09">
        <w:rPr>
          <w:lang w:val="en-GB"/>
        </w:rPr>
        <w:t>race and ethnicity</w:t>
      </w:r>
      <w:r w:rsidR="00930F86" w:rsidRPr="00675B09">
        <w:rPr>
          <w:lang w:val="en-GB"/>
        </w:rPr>
        <w:t xml:space="preserve"> prevalence rates in the U</w:t>
      </w:r>
      <w:r w:rsidR="00B12877" w:rsidRPr="00675B09">
        <w:rPr>
          <w:lang w:val="en-GB"/>
        </w:rPr>
        <w:t>SA</w:t>
      </w:r>
      <w:r w:rsidR="00930F86" w:rsidRPr="00675B09">
        <w:rPr>
          <w:lang w:val="en-GB"/>
        </w:rPr>
        <w:t xml:space="preserve">, </w:t>
      </w:r>
      <w:r w:rsidR="000860B9" w:rsidRPr="00675B09">
        <w:rPr>
          <w:lang w:val="en-GB"/>
        </w:rPr>
        <w:t xml:space="preserve">how </w:t>
      </w:r>
      <w:r w:rsidR="002E1B00" w:rsidRPr="00675B09">
        <w:rPr>
          <w:lang w:val="en-GB"/>
        </w:rPr>
        <w:t>the racial and ethnic</w:t>
      </w:r>
      <w:r w:rsidR="000860B9" w:rsidRPr="00675B09">
        <w:rPr>
          <w:lang w:val="en-GB"/>
        </w:rPr>
        <w:t xml:space="preserve"> distribution </w:t>
      </w:r>
      <w:r w:rsidR="0092549A" w:rsidRPr="00675B09">
        <w:rPr>
          <w:lang w:val="en-GB"/>
        </w:rPr>
        <w:t xml:space="preserve">across </w:t>
      </w:r>
      <w:r w:rsidR="00441E44" w:rsidRPr="00675B09">
        <w:rPr>
          <w:lang w:val="en-GB"/>
        </w:rPr>
        <w:t>US</w:t>
      </w:r>
      <w:r w:rsidR="001B0A1B" w:rsidRPr="00675B09">
        <w:rPr>
          <w:lang w:val="en-GB"/>
        </w:rPr>
        <w:t>-</w:t>
      </w:r>
      <w:r w:rsidR="000860B9" w:rsidRPr="00675B09">
        <w:rPr>
          <w:lang w:val="en-GB"/>
        </w:rPr>
        <w:t xml:space="preserve">RCTs </w:t>
      </w:r>
      <w:r w:rsidR="00441E44" w:rsidRPr="00675B09">
        <w:rPr>
          <w:lang w:val="en-GB"/>
        </w:rPr>
        <w:t>(the most represented database</w:t>
      </w:r>
      <w:r w:rsidR="00E73379" w:rsidRPr="00675B09">
        <w:rPr>
          <w:lang w:val="en-GB"/>
        </w:rPr>
        <w:t xml:space="preserve"> </w:t>
      </w:r>
      <w:r w:rsidR="001B0A1B" w:rsidRPr="00675B09">
        <w:rPr>
          <w:lang w:val="en-GB"/>
        </w:rPr>
        <w:t xml:space="preserve">in </w:t>
      </w:r>
      <w:r w:rsidR="00E73379" w:rsidRPr="00675B09">
        <w:rPr>
          <w:lang w:val="en-GB"/>
        </w:rPr>
        <w:t>the present study</w:t>
      </w:r>
      <w:r w:rsidR="00441E44" w:rsidRPr="00675B09">
        <w:rPr>
          <w:lang w:val="en-GB"/>
        </w:rPr>
        <w:t xml:space="preserve">) </w:t>
      </w:r>
      <w:r w:rsidR="000860B9" w:rsidRPr="00675B09">
        <w:rPr>
          <w:lang w:val="en-GB"/>
        </w:rPr>
        <w:t>aligns with</w:t>
      </w:r>
      <w:r w:rsidR="00930F86" w:rsidRPr="00675B09">
        <w:rPr>
          <w:lang w:val="en-GB"/>
        </w:rPr>
        <w:t xml:space="preserve"> </w:t>
      </w:r>
      <w:r w:rsidR="0092549A" w:rsidRPr="00675B09">
        <w:rPr>
          <w:lang w:val="en-GB"/>
        </w:rPr>
        <w:t xml:space="preserve">national </w:t>
      </w:r>
      <w:r w:rsidR="00930F86" w:rsidRPr="00675B09">
        <w:rPr>
          <w:lang w:val="en-GB"/>
        </w:rPr>
        <w:t>census data</w:t>
      </w:r>
      <w:r w:rsidR="000860B9" w:rsidRPr="00675B09">
        <w:rPr>
          <w:lang w:val="en-GB"/>
        </w:rPr>
        <w:t>.</w:t>
      </w:r>
    </w:p>
    <w:p w14:paraId="7A936159" w14:textId="77777777" w:rsidR="008851C4" w:rsidRPr="00675B09" w:rsidRDefault="008851C4" w:rsidP="00533B34">
      <w:pPr>
        <w:jc w:val="left"/>
        <w:rPr>
          <w:b/>
          <w:lang w:val="en-GB"/>
        </w:rPr>
      </w:pPr>
    </w:p>
    <w:p w14:paraId="030A87A0" w14:textId="77777777" w:rsidR="008851C4" w:rsidRPr="00675B09" w:rsidRDefault="000860B9" w:rsidP="00533B34">
      <w:pPr>
        <w:pStyle w:val="Heading1"/>
        <w:jc w:val="left"/>
        <w:rPr>
          <w:lang w:val="en-GB"/>
        </w:rPr>
      </w:pPr>
      <w:r w:rsidRPr="00675B09">
        <w:rPr>
          <w:lang w:val="en-GB"/>
        </w:rPr>
        <w:t>METHODS</w:t>
      </w:r>
    </w:p>
    <w:p w14:paraId="4A89C3D4" w14:textId="31C3B7CE" w:rsidR="008851C4" w:rsidRPr="00675B09" w:rsidRDefault="00604F22" w:rsidP="00533B34">
      <w:pPr>
        <w:jc w:val="left"/>
        <w:rPr>
          <w:lang w:val="en-GB"/>
        </w:rPr>
      </w:pPr>
      <w:bookmarkStart w:id="24" w:name="_tyjcwt" w:colFirst="0" w:colLast="0"/>
      <w:bookmarkEnd w:id="24"/>
      <w:r w:rsidRPr="00675B09">
        <w:rPr>
          <w:lang w:val="en-GB"/>
        </w:rPr>
        <w:t>Based on the protocol</w:t>
      </w:r>
      <w:r w:rsidR="00C371A3" w:rsidRPr="00675B09">
        <w:rPr>
          <w:vertAlign w:val="superscript"/>
          <w:lang w:val="en-GB"/>
        </w:rPr>
        <w:t>11</w:t>
      </w:r>
      <w:r w:rsidR="00F345F2" w:rsidRPr="00675B09">
        <w:rPr>
          <w:lang w:val="en-GB"/>
        </w:rPr>
        <w:t xml:space="preserve"> and following </w:t>
      </w:r>
      <w:r w:rsidR="00504609" w:rsidRPr="00675B09">
        <w:rPr>
          <w:lang w:val="en-GB"/>
        </w:rPr>
        <w:t>PRIOR</w:t>
      </w:r>
      <w:r w:rsidR="00F345F2" w:rsidRPr="00675B09">
        <w:rPr>
          <w:lang w:val="en-GB"/>
        </w:rPr>
        <w:t xml:space="preserve"> guidelines (</w:t>
      </w:r>
      <w:proofErr w:type="spellStart"/>
      <w:r w:rsidR="00F345F2" w:rsidRPr="00675B09">
        <w:rPr>
          <w:lang w:val="en-GB"/>
        </w:rPr>
        <w:t>eTable</w:t>
      </w:r>
      <w:proofErr w:type="spellEnd"/>
      <w:r w:rsidR="00F345F2" w:rsidRPr="00675B09">
        <w:rPr>
          <w:lang w:val="en-GB"/>
        </w:rPr>
        <w:t xml:space="preserve"> 1)</w:t>
      </w:r>
      <w:r w:rsidRPr="00675B09">
        <w:rPr>
          <w:lang w:val="en-GB"/>
        </w:rPr>
        <w:t xml:space="preserve">, </w:t>
      </w:r>
      <w:bookmarkStart w:id="25" w:name="_Hlk183009970"/>
      <w:r w:rsidRPr="00675B09">
        <w:rPr>
          <w:lang w:val="en-GB"/>
        </w:rPr>
        <w:t>w</w:t>
      </w:r>
      <w:r w:rsidR="000860B9" w:rsidRPr="00675B09">
        <w:rPr>
          <w:lang w:val="en-GB"/>
        </w:rPr>
        <w:t>e systematically searched PubMed</w:t>
      </w:r>
      <w:r w:rsidR="00F345F2" w:rsidRPr="00675B09">
        <w:rPr>
          <w:lang w:val="en-GB"/>
        </w:rPr>
        <w:t>/</w:t>
      </w:r>
      <w:r w:rsidR="000860B9" w:rsidRPr="00675B09">
        <w:rPr>
          <w:lang w:val="en-GB"/>
        </w:rPr>
        <w:t>Medline, Ovid Embase, APA PsycINFO and Web of Science (</w:t>
      </w:r>
      <w:proofErr w:type="spellStart"/>
      <w:r w:rsidR="00446BAE" w:rsidRPr="00675B09">
        <w:rPr>
          <w:lang w:val="en-GB"/>
        </w:rPr>
        <w:t>eTable</w:t>
      </w:r>
      <w:proofErr w:type="spellEnd"/>
      <w:r w:rsidR="00446BAE" w:rsidRPr="00675B09">
        <w:rPr>
          <w:lang w:val="en-GB"/>
        </w:rPr>
        <w:t xml:space="preserve"> </w:t>
      </w:r>
      <w:r w:rsidR="00F345F2" w:rsidRPr="00675B09">
        <w:rPr>
          <w:lang w:val="en-GB"/>
        </w:rPr>
        <w:t>2</w:t>
      </w:r>
      <w:r w:rsidR="000860B9" w:rsidRPr="00675B09">
        <w:rPr>
          <w:lang w:val="en-GB"/>
        </w:rPr>
        <w:t xml:space="preserve">), </w:t>
      </w:r>
      <w:r w:rsidR="00587D8B" w:rsidRPr="00675B09">
        <w:rPr>
          <w:lang w:val="en-GB"/>
        </w:rPr>
        <w:t>up to</w:t>
      </w:r>
      <w:r w:rsidR="000860B9" w:rsidRPr="00675B09">
        <w:rPr>
          <w:lang w:val="en-GB"/>
        </w:rPr>
        <w:t xml:space="preserve"> 1</w:t>
      </w:r>
      <w:r w:rsidR="000860B9" w:rsidRPr="00675B09">
        <w:rPr>
          <w:vertAlign w:val="superscript"/>
          <w:lang w:val="en-GB"/>
        </w:rPr>
        <w:t>st</w:t>
      </w:r>
      <w:r w:rsidR="000860B9" w:rsidRPr="00675B09">
        <w:rPr>
          <w:lang w:val="en-GB"/>
        </w:rPr>
        <w:t xml:space="preserve"> March 2024, to retrieve the most updated and largest </w:t>
      </w:r>
      <w:r w:rsidR="004431F2" w:rsidRPr="00675B09">
        <w:rPr>
          <w:lang w:val="en-GB"/>
        </w:rPr>
        <w:t>NMA</w:t>
      </w:r>
      <w:r w:rsidR="00C32352" w:rsidRPr="00675B09">
        <w:rPr>
          <w:lang w:val="en-GB"/>
        </w:rPr>
        <w:t xml:space="preserve"> </w:t>
      </w:r>
      <w:r w:rsidR="000860B9" w:rsidRPr="00675B09">
        <w:rPr>
          <w:lang w:val="en-GB"/>
        </w:rPr>
        <w:t xml:space="preserve">of RCTs of pharmacological interventions for each </w:t>
      </w:r>
      <w:bookmarkEnd w:id="25"/>
      <w:r w:rsidR="000860B9" w:rsidRPr="00675B09">
        <w:rPr>
          <w:lang w:val="en-GB"/>
        </w:rPr>
        <w:t xml:space="preserve">of the following </w:t>
      </w:r>
      <w:r w:rsidR="009059F0" w:rsidRPr="00675B09">
        <w:rPr>
          <w:lang w:val="en-GB"/>
        </w:rPr>
        <w:t>International Classification of Diseases (</w:t>
      </w:r>
      <w:r w:rsidR="000860B9" w:rsidRPr="00675B09">
        <w:rPr>
          <w:lang w:val="en-GB"/>
        </w:rPr>
        <w:t>ICD-10</w:t>
      </w:r>
      <w:r w:rsidR="009059F0" w:rsidRPr="00675B09">
        <w:rPr>
          <w:lang w:val="en-GB"/>
        </w:rPr>
        <w:t>)</w:t>
      </w:r>
      <w:r w:rsidR="00441E44" w:rsidRPr="00675B09">
        <w:rPr>
          <w:lang w:val="en-GB"/>
        </w:rPr>
        <w:t>-defined</w:t>
      </w:r>
      <w:r w:rsidR="00DD2E7D" w:rsidRPr="00675B09">
        <w:rPr>
          <w:lang w:val="en-GB"/>
        </w:rPr>
        <w:t xml:space="preserve"> </w:t>
      </w:r>
      <w:r w:rsidR="000860B9" w:rsidRPr="00675B09">
        <w:rPr>
          <w:lang w:val="en-GB"/>
        </w:rPr>
        <w:t>mental disorders: Attention-Deficit/Hyperactivity Disorder (ADHD)</w:t>
      </w:r>
      <w:r w:rsidR="00F27A08" w:rsidRPr="00675B09">
        <w:rPr>
          <w:lang w:val="en-GB"/>
        </w:rPr>
        <w:t xml:space="preserve"> or Hyperkinetic Disorder</w:t>
      </w:r>
      <w:r w:rsidR="000860B9" w:rsidRPr="00675B09">
        <w:rPr>
          <w:lang w:val="en-GB"/>
        </w:rPr>
        <w:t xml:space="preserve">, Alcohol Use Disorder, Autism, Bipolar Disorder, Conduct </w:t>
      </w:r>
      <w:r w:rsidRPr="00675B09">
        <w:rPr>
          <w:lang w:val="en-GB"/>
        </w:rPr>
        <w:t>D</w:t>
      </w:r>
      <w:r w:rsidR="000860B9" w:rsidRPr="00675B09">
        <w:rPr>
          <w:lang w:val="en-GB"/>
        </w:rPr>
        <w:t>isorder</w:t>
      </w:r>
      <w:r w:rsidR="009059F0" w:rsidRPr="00675B09">
        <w:rPr>
          <w:lang w:val="en-GB"/>
        </w:rPr>
        <w:t xml:space="preserve"> and</w:t>
      </w:r>
      <w:r w:rsidR="000860B9" w:rsidRPr="00675B09">
        <w:rPr>
          <w:lang w:val="en-GB"/>
        </w:rPr>
        <w:t xml:space="preserve"> </w:t>
      </w:r>
      <w:r w:rsidRPr="00675B09">
        <w:rPr>
          <w:lang w:val="en-GB"/>
        </w:rPr>
        <w:t>O</w:t>
      </w:r>
      <w:r w:rsidR="000860B9" w:rsidRPr="00675B09">
        <w:rPr>
          <w:lang w:val="en-GB"/>
        </w:rPr>
        <w:t xml:space="preserve">ppositional </w:t>
      </w:r>
      <w:r w:rsidRPr="00675B09">
        <w:rPr>
          <w:lang w:val="en-GB"/>
        </w:rPr>
        <w:t>D</w:t>
      </w:r>
      <w:r w:rsidR="000860B9" w:rsidRPr="00675B09">
        <w:rPr>
          <w:lang w:val="en-GB"/>
        </w:rPr>
        <w:t xml:space="preserve">efiant </w:t>
      </w:r>
      <w:r w:rsidRPr="00675B09">
        <w:rPr>
          <w:lang w:val="en-GB"/>
        </w:rPr>
        <w:t>D</w:t>
      </w:r>
      <w:r w:rsidR="000860B9" w:rsidRPr="00675B09">
        <w:rPr>
          <w:lang w:val="en-GB"/>
        </w:rPr>
        <w:t xml:space="preserve">isorder, Dementia, Eating </w:t>
      </w:r>
      <w:r w:rsidR="00F27A08" w:rsidRPr="00675B09">
        <w:rPr>
          <w:lang w:val="en-GB"/>
        </w:rPr>
        <w:t>D</w:t>
      </w:r>
      <w:r w:rsidR="000860B9" w:rsidRPr="00675B09">
        <w:rPr>
          <w:lang w:val="en-GB"/>
        </w:rPr>
        <w:t>isorder, General</w:t>
      </w:r>
      <w:r w:rsidR="002B46E7" w:rsidRPr="00675B09">
        <w:rPr>
          <w:lang w:val="en-GB"/>
        </w:rPr>
        <w:t>ise</w:t>
      </w:r>
      <w:r w:rsidR="000860B9" w:rsidRPr="00675B09">
        <w:rPr>
          <w:lang w:val="en-GB"/>
        </w:rPr>
        <w:t xml:space="preserve">d Anxiety Disorder, Obsessive-Compulsive Disorder, Opioid Use Disorder, Panic Disorder, Personality Disorders, Post-Traumatic Stress Disorder, Recurrent </w:t>
      </w:r>
      <w:r w:rsidR="00F27A08" w:rsidRPr="00675B09">
        <w:rPr>
          <w:lang w:val="en-GB"/>
        </w:rPr>
        <w:t>D</w:t>
      </w:r>
      <w:r w:rsidR="000860B9" w:rsidRPr="00675B09">
        <w:rPr>
          <w:lang w:val="en-GB"/>
        </w:rPr>
        <w:t xml:space="preserve">epressive </w:t>
      </w:r>
      <w:r w:rsidR="00F27A08" w:rsidRPr="00675B09">
        <w:rPr>
          <w:lang w:val="en-GB"/>
        </w:rPr>
        <w:t>D</w:t>
      </w:r>
      <w:r w:rsidR="000860B9" w:rsidRPr="00675B09">
        <w:rPr>
          <w:lang w:val="en-GB"/>
        </w:rPr>
        <w:t xml:space="preserve">isorder, Schizophrenia, Social Phobia, Stimulant or Cocaine Use Disorder, </w:t>
      </w:r>
      <w:r w:rsidR="009059F0" w:rsidRPr="00675B09">
        <w:rPr>
          <w:lang w:val="en-GB"/>
        </w:rPr>
        <w:t xml:space="preserve">and </w:t>
      </w:r>
      <w:r w:rsidR="000860B9" w:rsidRPr="00675B09">
        <w:rPr>
          <w:lang w:val="en-GB"/>
        </w:rPr>
        <w:t>Tic Disorder or Tourette’s Syndrom</w:t>
      </w:r>
      <w:r w:rsidR="009059F0" w:rsidRPr="00675B09">
        <w:rPr>
          <w:lang w:val="en-GB"/>
        </w:rPr>
        <w:t>e</w:t>
      </w:r>
      <w:r w:rsidR="000860B9" w:rsidRPr="00675B09">
        <w:rPr>
          <w:lang w:val="en-GB"/>
        </w:rPr>
        <w:t xml:space="preserve">. </w:t>
      </w:r>
      <w:r w:rsidR="00FD4CDD" w:rsidRPr="00675B09">
        <w:rPr>
          <w:lang w:val="en-GB"/>
        </w:rPr>
        <w:t xml:space="preserve">If several </w:t>
      </w:r>
      <w:r w:rsidR="004431F2" w:rsidRPr="00675B09">
        <w:rPr>
          <w:lang w:val="en-GB"/>
        </w:rPr>
        <w:t>NMA</w:t>
      </w:r>
      <w:r w:rsidR="00955D22" w:rsidRPr="00675B09">
        <w:rPr>
          <w:lang w:val="en-GB"/>
        </w:rPr>
        <w:t>s</w:t>
      </w:r>
      <w:r w:rsidR="00FD4CDD" w:rsidRPr="00675B09">
        <w:rPr>
          <w:lang w:val="en-GB"/>
        </w:rPr>
        <w:t xml:space="preserve"> on the same disorder were retrieved, we included the largest</w:t>
      </w:r>
      <w:r w:rsidR="00587D8B" w:rsidRPr="00675B09">
        <w:rPr>
          <w:lang w:val="en-GB"/>
        </w:rPr>
        <w:t xml:space="preserve"> one</w:t>
      </w:r>
      <w:r w:rsidR="00FD4CDD" w:rsidRPr="00675B09">
        <w:rPr>
          <w:lang w:val="en-GB"/>
        </w:rPr>
        <w:t xml:space="preserve"> (i.e., with </w:t>
      </w:r>
      <w:r w:rsidR="006504FB" w:rsidRPr="00675B09">
        <w:rPr>
          <w:lang w:val="en-GB"/>
        </w:rPr>
        <w:t>the</w:t>
      </w:r>
      <w:r w:rsidR="00FD4CDD" w:rsidRPr="00675B09">
        <w:rPr>
          <w:lang w:val="en-GB"/>
        </w:rPr>
        <w:t xml:space="preserve"> highe</w:t>
      </w:r>
      <w:r w:rsidR="006504FB" w:rsidRPr="00675B09">
        <w:rPr>
          <w:lang w:val="en-GB"/>
        </w:rPr>
        <w:t>st</w:t>
      </w:r>
      <w:r w:rsidR="00FD4CDD" w:rsidRPr="00675B09">
        <w:rPr>
          <w:lang w:val="en-GB"/>
        </w:rPr>
        <w:t xml:space="preserve"> number of studies included), and in case of tie, the most </w:t>
      </w:r>
      <w:r w:rsidR="00FD4CDD" w:rsidRPr="00675B09">
        <w:rPr>
          <w:lang w:val="en-GB"/>
        </w:rPr>
        <w:lastRenderedPageBreak/>
        <w:t xml:space="preserve">updated. </w:t>
      </w:r>
      <w:r w:rsidR="001B0A1B" w:rsidRPr="00675B09">
        <w:rPr>
          <w:lang w:val="en-GB"/>
        </w:rPr>
        <w:t>A</w:t>
      </w:r>
      <w:r w:rsidR="000860B9" w:rsidRPr="00675B09">
        <w:rPr>
          <w:lang w:val="en-GB"/>
        </w:rPr>
        <w:t xml:space="preserve"> </w:t>
      </w:r>
      <w:r w:rsidR="00587D8B" w:rsidRPr="00675B09">
        <w:rPr>
          <w:lang w:val="en-GB"/>
        </w:rPr>
        <w:t xml:space="preserve">review </w:t>
      </w:r>
      <w:r w:rsidR="000860B9" w:rsidRPr="00675B09">
        <w:rPr>
          <w:lang w:val="en-GB"/>
        </w:rPr>
        <w:t xml:space="preserve">investigating </w:t>
      </w:r>
      <w:r w:rsidR="00D05E87" w:rsidRPr="00675B09">
        <w:rPr>
          <w:lang w:val="en-GB"/>
        </w:rPr>
        <w:t>race and ethnicity</w:t>
      </w:r>
      <w:r w:rsidR="000860B9" w:rsidRPr="00675B09">
        <w:rPr>
          <w:lang w:val="en-GB"/>
        </w:rPr>
        <w:t xml:space="preserve"> </w:t>
      </w:r>
      <w:r w:rsidR="00DF4A7B" w:rsidRPr="00675B09">
        <w:rPr>
          <w:lang w:val="en-GB"/>
        </w:rPr>
        <w:t xml:space="preserve">reporting and representation </w:t>
      </w:r>
      <w:r w:rsidR="000860B9" w:rsidRPr="00675B09">
        <w:rPr>
          <w:lang w:val="en-GB"/>
        </w:rPr>
        <w:t>in ADHD was recently published</w:t>
      </w:r>
      <w:r w:rsidR="001B0A1B" w:rsidRPr="00675B09">
        <w:rPr>
          <w:lang w:val="en-GB"/>
        </w:rPr>
        <w:t>;</w:t>
      </w:r>
      <w:r w:rsidR="0031206E" w:rsidRPr="00675B09">
        <w:rPr>
          <w:vertAlign w:val="superscript"/>
          <w:lang w:val="en-GB"/>
        </w:rPr>
        <w:t>1</w:t>
      </w:r>
      <w:r w:rsidR="00C371A3" w:rsidRPr="00675B09">
        <w:rPr>
          <w:vertAlign w:val="superscript"/>
          <w:lang w:val="en-GB"/>
        </w:rPr>
        <w:t>2</w:t>
      </w:r>
      <w:r w:rsidR="0031206E" w:rsidRPr="00675B09">
        <w:rPr>
          <w:lang w:val="en-GB"/>
        </w:rPr>
        <w:t xml:space="preserve"> </w:t>
      </w:r>
      <w:r w:rsidR="000860B9" w:rsidRPr="00675B09">
        <w:rPr>
          <w:lang w:val="en-GB"/>
        </w:rPr>
        <w:t xml:space="preserve">we </w:t>
      </w:r>
      <w:r w:rsidR="001B0A1B" w:rsidRPr="00675B09">
        <w:rPr>
          <w:lang w:val="en-GB"/>
        </w:rPr>
        <w:t xml:space="preserve">therefore </w:t>
      </w:r>
      <w:r w:rsidR="000860B9" w:rsidRPr="00675B09">
        <w:rPr>
          <w:lang w:val="en-GB"/>
        </w:rPr>
        <w:t>updated the search performed in March 2022</w:t>
      </w:r>
      <w:r w:rsidR="0031206E" w:rsidRPr="00675B09">
        <w:rPr>
          <w:vertAlign w:val="superscript"/>
          <w:lang w:val="en-GB"/>
        </w:rPr>
        <w:t>1</w:t>
      </w:r>
      <w:r w:rsidR="00C371A3" w:rsidRPr="00675B09">
        <w:rPr>
          <w:vertAlign w:val="superscript"/>
          <w:lang w:val="en-GB"/>
        </w:rPr>
        <w:t>2</w:t>
      </w:r>
      <w:r w:rsidR="0031206E" w:rsidRPr="00675B09">
        <w:rPr>
          <w:lang w:val="en-GB"/>
        </w:rPr>
        <w:t xml:space="preserve"> </w:t>
      </w:r>
      <w:r w:rsidR="000860B9" w:rsidRPr="00675B09">
        <w:rPr>
          <w:lang w:val="en-GB"/>
        </w:rPr>
        <w:t>and conducted analyses on newly retrieved RCTs only.</w:t>
      </w:r>
      <w:r w:rsidR="000B6459" w:rsidRPr="00675B09">
        <w:rPr>
          <w:lang w:val="en-GB"/>
        </w:rPr>
        <w:t xml:space="preserve"> </w:t>
      </w:r>
      <w:bookmarkStart w:id="26" w:name="_Hlk183010108"/>
      <w:r w:rsidR="000B6459" w:rsidRPr="00675B09">
        <w:rPr>
          <w:lang w:val="en-GB"/>
        </w:rPr>
        <w:t xml:space="preserve">No deviations </w:t>
      </w:r>
      <w:r w:rsidR="00DE6857" w:rsidRPr="00675B09">
        <w:rPr>
          <w:lang w:val="en-GB"/>
        </w:rPr>
        <w:t xml:space="preserve">occurred </w:t>
      </w:r>
      <w:r w:rsidR="000B6459" w:rsidRPr="00675B09">
        <w:rPr>
          <w:lang w:val="en-GB"/>
        </w:rPr>
        <w:t>from the original protocol.</w:t>
      </w:r>
      <w:bookmarkEnd w:id="26"/>
    </w:p>
    <w:p w14:paraId="4A19E2B3" w14:textId="4AC743DA" w:rsidR="00D3587E" w:rsidRPr="00675B09" w:rsidRDefault="000860B9" w:rsidP="00533B34">
      <w:pPr>
        <w:jc w:val="left"/>
        <w:rPr>
          <w:lang w:val="en-GB"/>
        </w:rPr>
      </w:pPr>
      <w:bookmarkStart w:id="27" w:name="_Hlk183010248"/>
      <w:bookmarkStart w:id="28" w:name="_Hlk183011796"/>
      <w:r w:rsidRPr="00675B09">
        <w:rPr>
          <w:lang w:val="en-GB"/>
        </w:rPr>
        <w:t>F</w:t>
      </w:r>
      <w:r w:rsidR="009059F0" w:rsidRPr="00675B09">
        <w:rPr>
          <w:lang w:val="en-GB"/>
        </w:rPr>
        <w:t>rom</w:t>
      </w:r>
      <w:r w:rsidRPr="00675B09">
        <w:rPr>
          <w:lang w:val="en-GB"/>
        </w:rPr>
        <w:t xml:space="preserve"> each </w:t>
      </w:r>
      <w:r w:rsidR="004431F2" w:rsidRPr="00675B09">
        <w:rPr>
          <w:lang w:val="en-GB"/>
        </w:rPr>
        <w:t>NMA</w:t>
      </w:r>
      <w:r w:rsidRPr="00675B09">
        <w:rPr>
          <w:lang w:val="en-GB"/>
        </w:rPr>
        <w:t xml:space="preserve">, relevant RCTs </w:t>
      </w:r>
      <w:bookmarkEnd w:id="27"/>
      <w:r w:rsidR="004431F2" w:rsidRPr="00675B09">
        <w:rPr>
          <w:lang w:val="en-GB"/>
        </w:rPr>
        <w:t>were identified (by AC, AL, AR,</w:t>
      </w:r>
      <w:r w:rsidR="004431F2" w:rsidRPr="00675B09" w:rsidDel="00257791">
        <w:rPr>
          <w:lang w:val="en-GB"/>
        </w:rPr>
        <w:t xml:space="preserve"> </w:t>
      </w:r>
      <w:r w:rsidR="004431F2" w:rsidRPr="00675B09">
        <w:rPr>
          <w:lang w:val="en-GB"/>
        </w:rPr>
        <w:t xml:space="preserve">AS, CM, DA, DTL, EM, MSL, SH, SO, VP, VR) </w:t>
      </w:r>
      <w:r w:rsidRPr="00675B09">
        <w:rPr>
          <w:lang w:val="en-GB"/>
        </w:rPr>
        <w:t xml:space="preserve">– including single-blind or </w:t>
      </w:r>
      <w:r w:rsidR="00955D22" w:rsidRPr="00675B09">
        <w:rPr>
          <w:lang w:val="en-GB"/>
        </w:rPr>
        <w:t>double-</w:t>
      </w:r>
      <w:r w:rsidRPr="00675B09">
        <w:rPr>
          <w:lang w:val="en-GB"/>
        </w:rPr>
        <w:t xml:space="preserve">blind RCTs, quasi-RCTs, </w:t>
      </w:r>
      <w:r w:rsidR="006504FB" w:rsidRPr="00675B09">
        <w:rPr>
          <w:lang w:val="en-GB"/>
        </w:rPr>
        <w:t>o</w:t>
      </w:r>
      <w:r w:rsidR="00CC74DB" w:rsidRPr="00675B09">
        <w:rPr>
          <w:lang w:val="en-GB"/>
        </w:rPr>
        <w:t>pen</w:t>
      </w:r>
      <w:r w:rsidR="00955D22" w:rsidRPr="00675B09">
        <w:rPr>
          <w:lang w:val="en-GB"/>
        </w:rPr>
        <w:t>-label-</w:t>
      </w:r>
      <w:r w:rsidRPr="00675B09">
        <w:rPr>
          <w:lang w:val="en-GB"/>
        </w:rPr>
        <w:t>RCTs, and discontinuation/withdrawal</w:t>
      </w:r>
      <w:r w:rsidR="00955D22" w:rsidRPr="00675B09">
        <w:rPr>
          <w:lang w:val="en-GB"/>
        </w:rPr>
        <w:t>-</w:t>
      </w:r>
      <w:r w:rsidRPr="00675B09">
        <w:rPr>
          <w:lang w:val="en-GB"/>
        </w:rPr>
        <w:t>RCTs</w:t>
      </w:r>
      <w:r w:rsidR="00167389" w:rsidRPr="00675B09">
        <w:rPr>
          <w:lang w:val="en-GB"/>
        </w:rPr>
        <w:t xml:space="preserve"> </w:t>
      </w:r>
      <w:r w:rsidR="00F27A08" w:rsidRPr="00675B09">
        <w:rPr>
          <w:lang w:val="en-GB"/>
        </w:rPr>
        <w:t>–</w:t>
      </w:r>
      <w:r w:rsidRPr="00675B09">
        <w:rPr>
          <w:lang w:val="en-GB"/>
        </w:rPr>
        <w:t xml:space="preserve"> </w:t>
      </w:r>
      <w:r w:rsidR="00587D8B" w:rsidRPr="00675B09">
        <w:rPr>
          <w:lang w:val="en-GB"/>
        </w:rPr>
        <w:t>recruiting</w:t>
      </w:r>
      <w:r w:rsidR="00F27A08" w:rsidRPr="00675B09">
        <w:rPr>
          <w:lang w:val="en-GB"/>
        </w:rPr>
        <w:t xml:space="preserve"> </w:t>
      </w:r>
      <w:r w:rsidRPr="00675B09">
        <w:rPr>
          <w:lang w:val="en-GB"/>
        </w:rPr>
        <w:t>people of any age who met</w:t>
      </w:r>
      <w:r w:rsidR="003A6D88" w:rsidRPr="00675B09">
        <w:rPr>
          <w:lang w:val="en-GB"/>
        </w:rPr>
        <w:t xml:space="preserve"> Diagnostic and Statistical Manual of Mental Disorders</w:t>
      </w:r>
      <w:r w:rsidRPr="00675B09">
        <w:rPr>
          <w:lang w:val="en-GB"/>
        </w:rPr>
        <w:t xml:space="preserve"> </w:t>
      </w:r>
      <w:r w:rsidR="003A6D88" w:rsidRPr="00675B09">
        <w:rPr>
          <w:lang w:val="en-GB"/>
        </w:rPr>
        <w:t>(</w:t>
      </w:r>
      <w:r w:rsidR="00D3587E" w:rsidRPr="00675B09">
        <w:rPr>
          <w:lang w:val="en-GB"/>
        </w:rPr>
        <w:t>DSM</w:t>
      </w:r>
      <w:r w:rsidR="003A6D88" w:rsidRPr="00675B09">
        <w:rPr>
          <w:lang w:val="en-GB"/>
        </w:rPr>
        <w:t>)</w:t>
      </w:r>
      <w:r w:rsidR="00D3587E" w:rsidRPr="00675B09">
        <w:rPr>
          <w:lang w:val="en-GB"/>
        </w:rPr>
        <w:t xml:space="preserve"> or </w:t>
      </w:r>
      <w:r w:rsidR="003A6D88" w:rsidRPr="00675B09">
        <w:rPr>
          <w:lang w:val="en-GB"/>
        </w:rPr>
        <w:t>ICD</w:t>
      </w:r>
      <w:r w:rsidR="00D3587E" w:rsidRPr="00675B09">
        <w:rPr>
          <w:lang w:val="en-GB"/>
        </w:rPr>
        <w:t xml:space="preserve"> criteria </w:t>
      </w:r>
      <w:r w:rsidRPr="00675B09">
        <w:rPr>
          <w:lang w:val="en-GB"/>
        </w:rPr>
        <w:t xml:space="preserve">(any edition) for </w:t>
      </w:r>
      <w:r w:rsidR="009059F0" w:rsidRPr="00675B09">
        <w:rPr>
          <w:lang w:val="en-GB"/>
        </w:rPr>
        <w:t xml:space="preserve">any eligible </w:t>
      </w:r>
      <w:r w:rsidRPr="00675B09">
        <w:rPr>
          <w:lang w:val="en-GB"/>
        </w:rPr>
        <w:t>mental disorder, and testing the efficacy of any pharmacological intervention compared to any control arm (e.g., placebo, waiting list, other medications).</w:t>
      </w:r>
      <w:r w:rsidR="00257791" w:rsidRPr="00675B09">
        <w:rPr>
          <w:lang w:val="en-GB"/>
        </w:rPr>
        <w:t xml:space="preserve"> AB supervised and cross-checked study selection.</w:t>
      </w:r>
      <w:r w:rsidRPr="00675B09">
        <w:rPr>
          <w:lang w:val="en-GB"/>
        </w:rPr>
        <w:t xml:space="preserve"> </w:t>
      </w:r>
      <w:bookmarkStart w:id="29" w:name="_Hlk183010256"/>
      <w:r w:rsidR="00D3587E" w:rsidRPr="00675B09">
        <w:rPr>
          <w:lang w:val="en-GB"/>
        </w:rPr>
        <w:t>At least two researchers</w:t>
      </w:r>
      <w:r w:rsidR="00257791" w:rsidRPr="00675B09">
        <w:rPr>
          <w:lang w:val="en-GB"/>
        </w:rPr>
        <w:t xml:space="preserve"> (</w:t>
      </w:r>
      <w:r w:rsidR="004431F2" w:rsidRPr="00675B09">
        <w:rPr>
          <w:lang w:val="en-GB"/>
        </w:rPr>
        <w:t>AL, AS, EM, MSL, SH, SO, VR</w:t>
      </w:r>
      <w:r w:rsidR="00257791" w:rsidRPr="00675B09">
        <w:rPr>
          <w:lang w:val="en-GB"/>
        </w:rPr>
        <w:t>)</w:t>
      </w:r>
      <w:r w:rsidR="00D3587E" w:rsidRPr="00675B09">
        <w:rPr>
          <w:lang w:val="en-GB"/>
        </w:rPr>
        <w:t xml:space="preserve"> independently extracted data</w:t>
      </w:r>
      <w:bookmarkEnd w:id="29"/>
      <w:r w:rsidR="00257791" w:rsidRPr="00675B09">
        <w:rPr>
          <w:lang w:val="en-GB"/>
        </w:rPr>
        <w:t>, cross-checked by AB</w:t>
      </w:r>
      <w:r w:rsidR="00D3587E" w:rsidRPr="00675B09">
        <w:rPr>
          <w:lang w:val="en-GB"/>
        </w:rPr>
        <w:t>.</w:t>
      </w:r>
      <w:bookmarkEnd w:id="28"/>
      <w:r w:rsidR="00D3587E" w:rsidRPr="00675B09">
        <w:rPr>
          <w:lang w:val="en-GB"/>
        </w:rPr>
        <w:t xml:space="preserve"> For each RCT</w:t>
      </w:r>
      <w:r w:rsidR="00B33EB0" w:rsidRPr="00675B09">
        <w:rPr>
          <w:lang w:val="en-GB"/>
        </w:rPr>
        <w:t xml:space="preserve"> (grouped by diagnosis)</w:t>
      </w:r>
      <w:r w:rsidR="00D3587E" w:rsidRPr="00675B09">
        <w:rPr>
          <w:lang w:val="en-GB"/>
        </w:rPr>
        <w:t xml:space="preserve">, </w:t>
      </w:r>
      <w:r w:rsidR="00B33EB0" w:rsidRPr="00675B09">
        <w:rPr>
          <w:lang w:val="en-GB"/>
        </w:rPr>
        <w:t>we extracted the following information</w:t>
      </w:r>
      <w:r w:rsidR="00D3587E" w:rsidRPr="00675B09">
        <w:rPr>
          <w:lang w:val="en-GB"/>
        </w:rPr>
        <w:t xml:space="preserve">: </w:t>
      </w:r>
      <w:bookmarkStart w:id="30" w:name="_Hlk182921453"/>
      <w:r w:rsidR="00D3587E" w:rsidRPr="00675B09">
        <w:rPr>
          <w:lang w:val="en-GB"/>
        </w:rPr>
        <w:t xml:space="preserve">first author, </w:t>
      </w:r>
      <w:r w:rsidR="00B33EB0" w:rsidRPr="00675B09">
        <w:rPr>
          <w:lang w:val="en-GB"/>
        </w:rPr>
        <w:t xml:space="preserve">year of publication, </w:t>
      </w:r>
      <w:r w:rsidR="001D0968" w:rsidRPr="00675B09">
        <w:rPr>
          <w:lang w:val="en-GB"/>
        </w:rPr>
        <w:t>DOI</w:t>
      </w:r>
      <w:r w:rsidR="00D3587E" w:rsidRPr="00675B09">
        <w:rPr>
          <w:lang w:val="en-GB"/>
        </w:rPr>
        <w:t>, type of RCT (single-</w:t>
      </w:r>
      <w:r w:rsidR="00955D22" w:rsidRPr="00675B09">
        <w:rPr>
          <w:lang w:val="en-GB"/>
        </w:rPr>
        <w:t>centre</w:t>
      </w:r>
      <w:r w:rsidR="00CE7A7F" w:rsidRPr="00675B09">
        <w:rPr>
          <w:lang w:val="en-GB"/>
        </w:rPr>
        <w:t>,</w:t>
      </w:r>
      <w:r w:rsidR="00D3587E" w:rsidRPr="00675B09">
        <w:rPr>
          <w:lang w:val="en-GB"/>
        </w:rPr>
        <w:t xml:space="preserve"> multi-</w:t>
      </w:r>
      <w:r w:rsidR="00F27A08" w:rsidRPr="00675B09">
        <w:rPr>
          <w:lang w:val="en-GB"/>
        </w:rPr>
        <w:t>centre</w:t>
      </w:r>
      <w:r w:rsidR="00D3587E" w:rsidRPr="00675B09">
        <w:rPr>
          <w:lang w:val="en-GB"/>
        </w:rPr>
        <w:t>), continent (Africa, Asia</w:t>
      </w:r>
      <w:r w:rsidR="00E530A6" w:rsidRPr="00675B09">
        <w:rPr>
          <w:lang w:val="en-GB"/>
        </w:rPr>
        <w:t>/Middle</w:t>
      </w:r>
      <w:r w:rsidR="00CE7A7F" w:rsidRPr="00675B09">
        <w:rPr>
          <w:lang w:val="en-GB"/>
        </w:rPr>
        <w:t>-</w:t>
      </w:r>
      <w:r w:rsidR="00E530A6" w:rsidRPr="00675B09">
        <w:rPr>
          <w:lang w:val="en-GB"/>
        </w:rPr>
        <w:t>East</w:t>
      </w:r>
      <w:r w:rsidR="00D3587E" w:rsidRPr="00675B09">
        <w:rPr>
          <w:lang w:val="en-GB"/>
        </w:rPr>
        <w:t>, Canada, Central</w:t>
      </w:r>
      <w:r w:rsidR="00E530A6" w:rsidRPr="00675B09">
        <w:rPr>
          <w:lang w:val="en-GB"/>
        </w:rPr>
        <w:t>/</w:t>
      </w:r>
      <w:r w:rsidR="00D3587E" w:rsidRPr="00675B09">
        <w:rPr>
          <w:lang w:val="en-GB"/>
        </w:rPr>
        <w:t>South</w:t>
      </w:r>
      <w:r w:rsidR="00CE7A7F" w:rsidRPr="00675B09">
        <w:rPr>
          <w:lang w:val="en-GB"/>
        </w:rPr>
        <w:t>-</w:t>
      </w:r>
      <w:r w:rsidR="00D3587E" w:rsidRPr="00675B09">
        <w:rPr>
          <w:lang w:val="en-GB"/>
        </w:rPr>
        <w:t xml:space="preserve">America, Europe, Oceania, </w:t>
      </w:r>
      <w:r w:rsidR="000D15B9" w:rsidRPr="00675B09">
        <w:rPr>
          <w:lang w:val="en-GB"/>
        </w:rPr>
        <w:t>USA</w:t>
      </w:r>
      <w:r w:rsidR="00D3587E" w:rsidRPr="00675B09">
        <w:rPr>
          <w:lang w:val="en-GB"/>
        </w:rPr>
        <w:t>, multi-continental), age group (&lt; or ≥ 18 years, or both), sample size, report</w:t>
      </w:r>
      <w:r w:rsidR="00700EDA" w:rsidRPr="00675B09">
        <w:rPr>
          <w:lang w:val="en-GB"/>
        </w:rPr>
        <w:t>ing of</w:t>
      </w:r>
      <w:r w:rsidR="00D3587E" w:rsidRPr="00675B09">
        <w:rPr>
          <w:lang w:val="en-GB"/>
        </w:rPr>
        <w:t xml:space="preserve"> </w:t>
      </w:r>
      <w:r w:rsidR="00D05E87" w:rsidRPr="00675B09">
        <w:rPr>
          <w:lang w:val="en-GB"/>
        </w:rPr>
        <w:t>race and ethnicity</w:t>
      </w:r>
      <w:r w:rsidR="00D3587E" w:rsidRPr="00675B09">
        <w:rPr>
          <w:lang w:val="en-GB"/>
        </w:rPr>
        <w:t xml:space="preserve">, and – if the study reported </w:t>
      </w:r>
      <w:r w:rsidR="005630C9" w:rsidRPr="00675B09">
        <w:rPr>
          <w:lang w:val="en-GB"/>
        </w:rPr>
        <w:t xml:space="preserve">such </w:t>
      </w:r>
      <w:r w:rsidR="00D3587E" w:rsidRPr="00675B09">
        <w:rPr>
          <w:lang w:val="en-GB"/>
        </w:rPr>
        <w:t>data</w:t>
      </w:r>
      <w:r w:rsidR="005630C9" w:rsidRPr="00675B09">
        <w:rPr>
          <w:lang w:val="en-GB"/>
        </w:rPr>
        <w:t xml:space="preserve"> </w:t>
      </w:r>
      <w:r w:rsidR="00D3587E" w:rsidRPr="00675B09">
        <w:rPr>
          <w:lang w:val="en-GB"/>
        </w:rPr>
        <w:t>–</w:t>
      </w:r>
      <w:r w:rsidR="00700EDA" w:rsidRPr="00675B09">
        <w:rPr>
          <w:lang w:val="en-GB"/>
        </w:rPr>
        <w:t xml:space="preserve"> percentage of </w:t>
      </w:r>
      <w:bookmarkStart w:id="31" w:name="_Hlk178088163"/>
      <w:bookmarkStart w:id="32" w:name="_Hlk182999774"/>
      <w:r w:rsidR="00D3587E" w:rsidRPr="00675B09">
        <w:rPr>
          <w:lang w:val="en-GB"/>
        </w:rPr>
        <w:t xml:space="preserve">Asian, Black, </w:t>
      </w:r>
      <w:r w:rsidR="00BE682C" w:rsidRPr="00675B09">
        <w:rPr>
          <w:lang w:val="en-GB"/>
        </w:rPr>
        <w:t>Hispanic</w:t>
      </w:r>
      <w:r w:rsidR="00D3587E" w:rsidRPr="00675B09">
        <w:rPr>
          <w:lang w:val="en-GB"/>
        </w:rPr>
        <w:t xml:space="preserve">, </w:t>
      </w:r>
      <w:r w:rsidR="00700EDA" w:rsidRPr="00675B09">
        <w:rPr>
          <w:lang w:val="en-GB"/>
        </w:rPr>
        <w:t xml:space="preserve">and </w:t>
      </w:r>
      <w:r w:rsidR="00D3587E" w:rsidRPr="00675B09">
        <w:rPr>
          <w:lang w:val="en-GB"/>
        </w:rPr>
        <w:t>White.</w:t>
      </w:r>
      <w:bookmarkEnd w:id="30"/>
      <w:bookmarkEnd w:id="31"/>
      <w:r w:rsidR="003B2503" w:rsidRPr="00675B09">
        <w:rPr>
          <w:lang w:val="en-GB"/>
        </w:rPr>
        <w:t xml:space="preserve"> </w:t>
      </w:r>
      <w:bookmarkStart w:id="33" w:name="_Hlk183002721"/>
      <w:bookmarkStart w:id="34" w:name="_Hlk183092323"/>
      <w:r w:rsidR="003B2503" w:rsidRPr="00675B09">
        <w:rPr>
          <w:lang w:val="en-GB"/>
        </w:rPr>
        <w:t>The category “Other/Multi-racial/Multi-ethnic</w:t>
      </w:r>
      <w:bookmarkEnd w:id="32"/>
      <w:r w:rsidR="003B2503" w:rsidRPr="00675B09">
        <w:rPr>
          <w:lang w:val="en-GB"/>
        </w:rPr>
        <w:t>”</w:t>
      </w:r>
      <w:r w:rsidR="00D278B5" w:rsidRPr="00675B09">
        <w:rPr>
          <w:lang w:val="en-GB"/>
        </w:rPr>
        <w:t xml:space="preserve"> (hereon, referred to as “Other/Mixed”)</w:t>
      </w:r>
      <w:r w:rsidR="003B2503" w:rsidRPr="00675B09">
        <w:rPr>
          <w:lang w:val="en-GB"/>
        </w:rPr>
        <w:t xml:space="preserve"> was also </w:t>
      </w:r>
      <w:r w:rsidR="00CB3AE2" w:rsidRPr="00675B09">
        <w:rPr>
          <w:lang w:val="en-GB"/>
        </w:rPr>
        <w:t>used</w:t>
      </w:r>
      <w:r w:rsidR="003B2503" w:rsidRPr="00675B09">
        <w:rPr>
          <w:lang w:val="en-GB"/>
        </w:rPr>
        <w:t xml:space="preserve"> </w:t>
      </w:r>
      <w:bookmarkEnd w:id="33"/>
      <w:r w:rsidR="003B2503" w:rsidRPr="00675B09">
        <w:rPr>
          <w:lang w:val="en-GB"/>
        </w:rPr>
        <w:t xml:space="preserve">to include any </w:t>
      </w:r>
      <w:r w:rsidR="00D05E87" w:rsidRPr="00675B09">
        <w:rPr>
          <w:lang w:val="en-GB"/>
        </w:rPr>
        <w:t>race and ethnicity</w:t>
      </w:r>
      <w:r w:rsidR="003B2503" w:rsidRPr="00675B09">
        <w:rPr>
          <w:lang w:val="en-GB"/>
        </w:rPr>
        <w:t xml:space="preserve"> not included among the</w:t>
      </w:r>
      <w:r w:rsidR="00CB3AE2" w:rsidRPr="00675B09">
        <w:rPr>
          <w:lang w:val="en-GB"/>
        </w:rPr>
        <w:t>se</w:t>
      </w:r>
      <w:r w:rsidR="003B2503" w:rsidRPr="00675B09">
        <w:rPr>
          <w:lang w:val="en-GB"/>
        </w:rPr>
        <w:t xml:space="preserve"> </w:t>
      </w:r>
      <w:r w:rsidR="00CB3AE2" w:rsidRPr="00675B09">
        <w:rPr>
          <w:lang w:val="en-GB"/>
        </w:rPr>
        <w:t>groups</w:t>
      </w:r>
      <w:bookmarkEnd w:id="34"/>
      <w:r w:rsidR="003B2503" w:rsidRPr="00675B09">
        <w:rPr>
          <w:lang w:val="en-GB"/>
        </w:rPr>
        <w:t>.</w:t>
      </w:r>
      <w:r w:rsidR="00301A40" w:rsidRPr="00675B09">
        <w:rPr>
          <w:lang w:val="en-GB"/>
        </w:rPr>
        <w:t xml:space="preserve"> </w:t>
      </w:r>
      <w:r w:rsidR="007E6565" w:rsidRPr="00675B09">
        <w:rPr>
          <w:lang w:val="en-GB"/>
        </w:rPr>
        <w:t>“</w:t>
      </w:r>
      <w:r w:rsidR="00D05E87" w:rsidRPr="00675B09">
        <w:rPr>
          <w:lang w:val="en-GB"/>
        </w:rPr>
        <w:t>Race and ethnicity</w:t>
      </w:r>
      <w:r w:rsidR="007E6565" w:rsidRPr="00675B09">
        <w:rPr>
          <w:lang w:val="en-GB"/>
        </w:rPr>
        <w:t xml:space="preserve">” </w:t>
      </w:r>
      <w:proofErr w:type="gramStart"/>
      <w:r w:rsidR="007E6565" w:rsidRPr="00675B09">
        <w:rPr>
          <w:lang w:val="en-GB"/>
        </w:rPr>
        <w:t>refers</w:t>
      </w:r>
      <w:proofErr w:type="gramEnd"/>
      <w:r w:rsidR="007E6565" w:rsidRPr="00675B09">
        <w:rPr>
          <w:lang w:val="en-GB"/>
        </w:rPr>
        <w:t xml:space="preserve"> to any information, reported in the included papers, which referred to the racial or ethnic background of </w:t>
      </w:r>
      <w:r w:rsidR="00CA692B" w:rsidRPr="00675B09">
        <w:rPr>
          <w:lang w:val="en-GB"/>
        </w:rPr>
        <w:t xml:space="preserve">study </w:t>
      </w:r>
      <w:r w:rsidR="007E6565" w:rsidRPr="00675B09">
        <w:rPr>
          <w:lang w:val="en-GB"/>
        </w:rPr>
        <w:t>participants.</w:t>
      </w:r>
    </w:p>
    <w:p w14:paraId="277B8E6D" w14:textId="1E877192" w:rsidR="00AB3441" w:rsidRPr="00675B09" w:rsidRDefault="00AB3441" w:rsidP="00AB3441">
      <w:pPr>
        <w:jc w:val="left"/>
        <w:rPr>
          <w:lang w:val="en-GB"/>
        </w:rPr>
      </w:pPr>
      <w:bookmarkStart w:id="35" w:name="_Hlk185232822"/>
      <w:bookmarkStart w:id="36" w:name="_Hlk183018891"/>
      <w:bookmarkStart w:id="37" w:name="_Hlk183091667"/>
      <w:r w:rsidRPr="00675B09">
        <w:rPr>
          <w:lang w:val="en-GB"/>
        </w:rPr>
        <w:t xml:space="preserve">We observed that some studies reported the percentage of </w:t>
      </w:r>
      <w:r w:rsidR="00C0629C" w:rsidRPr="00675B09">
        <w:rPr>
          <w:lang w:val="en-GB"/>
        </w:rPr>
        <w:t xml:space="preserve">people with </w:t>
      </w:r>
      <w:r w:rsidRPr="00675B09">
        <w:rPr>
          <w:lang w:val="en-GB"/>
        </w:rPr>
        <w:t>Hispanic</w:t>
      </w:r>
      <w:r w:rsidR="00C0629C" w:rsidRPr="00675B09">
        <w:rPr>
          <w:lang w:val="en-GB"/>
        </w:rPr>
        <w:t xml:space="preserve"> ethnicity,</w:t>
      </w:r>
      <w:r w:rsidRPr="00675B09">
        <w:rPr>
          <w:lang w:val="en-GB"/>
        </w:rPr>
        <w:t xml:space="preserve"> while others did not. In RCTs not reporting the percentage of Hispanic</w:t>
      </w:r>
      <w:r w:rsidR="00D4113E" w:rsidRPr="00675B09">
        <w:rPr>
          <w:lang w:val="en-GB"/>
        </w:rPr>
        <w:t xml:space="preserve"> participants</w:t>
      </w:r>
      <w:r w:rsidRPr="00675B09">
        <w:rPr>
          <w:lang w:val="en-GB"/>
        </w:rPr>
        <w:t>, the percentage of White</w:t>
      </w:r>
      <w:r w:rsidR="00D4113E" w:rsidRPr="00675B09">
        <w:rPr>
          <w:lang w:val="en-GB"/>
        </w:rPr>
        <w:t xml:space="preserve"> participant</w:t>
      </w:r>
      <w:r w:rsidRPr="00675B09">
        <w:rPr>
          <w:lang w:val="en-GB"/>
        </w:rPr>
        <w:t xml:space="preserve">s was 78%. Conversely, in RCTs reporting the percentage of </w:t>
      </w:r>
      <w:r w:rsidR="00D4113E" w:rsidRPr="00675B09">
        <w:rPr>
          <w:lang w:val="en-GB"/>
        </w:rPr>
        <w:t>Hispanic participants</w:t>
      </w:r>
      <w:r w:rsidRPr="00675B09">
        <w:rPr>
          <w:lang w:val="en-GB"/>
        </w:rPr>
        <w:t xml:space="preserve">, the percentage of </w:t>
      </w:r>
      <w:r w:rsidR="00D4113E" w:rsidRPr="00675B09">
        <w:rPr>
          <w:lang w:val="en-GB"/>
        </w:rPr>
        <w:t xml:space="preserve">White participants </w:t>
      </w:r>
      <w:r w:rsidRPr="00675B09">
        <w:rPr>
          <w:lang w:val="en-GB"/>
        </w:rPr>
        <w:t xml:space="preserve">was 67%, and the percentage of </w:t>
      </w:r>
      <w:r w:rsidR="00D4113E" w:rsidRPr="00675B09">
        <w:rPr>
          <w:lang w:val="en-GB"/>
        </w:rPr>
        <w:lastRenderedPageBreak/>
        <w:t xml:space="preserve">Hispanic participants </w:t>
      </w:r>
      <w:r w:rsidRPr="00675B09">
        <w:rPr>
          <w:lang w:val="en-GB"/>
        </w:rPr>
        <w:t xml:space="preserve">was 11%. Thus, the sum of </w:t>
      </w:r>
      <w:r w:rsidR="00D4113E" w:rsidRPr="00675B09">
        <w:rPr>
          <w:lang w:val="en-GB"/>
        </w:rPr>
        <w:t xml:space="preserve">White and Hispanic participants </w:t>
      </w:r>
      <w:r w:rsidRPr="00675B09">
        <w:rPr>
          <w:lang w:val="en-GB"/>
        </w:rPr>
        <w:t>in these RCTs was 78%</w:t>
      </w:r>
      <w:r w:rsidR="00A852A5" w:rsidRPr="00675B09">
        <w:rPr>
          <w:lang w:val="en-GB"/>
        </w:rPr>
        <w:t xml:space="preserve"> – </w:t>
      </w:r>
      <w:r w:rsidRPr="00675B09">
        <w:rPr>
          <w:lang w:val="en-GB"/>
        </w:rPr>
        <w:t>the</w:t>
      </w:r>
      <w:r w:rsidR="00A852A5" w:rsidRPr="00675B09">
        <w:rPr>
          <w:lang w:val="en-GB"/>
        </w:rPr>
        <w:t xml:space="preserve"> </w:t>
      </w:r>
      <w:r w:rsidRPr="00675B09">
        <w:rPr>
          <w:lang w:val="en-GB"/>
        </w:rPr>
        <w:t xml:space="preserve">same number as the percentage of </w:t>
      </w:r>
      <w:r w:rsidR="00D4113E" w:rsidRPr="00675B09">
        <w:rPr>
          <w:lang w:val="en-GB"/>
        </w:rPr>
        <w:t xml:space="preserve">White participants </w:t>
      </w:r>
      <w:r w:rsidRPr="00675B09">
        <w:rPr>
          <w:lang w:val="en-GB"/>
        </w:rPr>
        <w:t xml:space="preserve">in RCTs not </w:t>
      </w:r>
      <w:r w:rsidR="00A852A5" w:rsidRPr="00675B09">
        <w:rPr>
          <w:lang w:val="en-GB"/>
        </w:rPr>
        <w:t xml:space="preserve">including </w:t>
      </w:r>
      <w:r w:rsidRPr="00675B09">
        <w:rPr>
          <w:lang w:val="en-GB"/>
        </w:rPr>
        <w:t xml:space="preserve">"Hispanic" </w:t>
      </w:r>
      <w:r w:rsidR="00A852A5" w:rsidRPr="00675B09">
        <w:rPr>
          <w:lang w:val="en-GB"/>
        </w:rPr>
        <w:t xml:space="preserve">as a </w:t>
      </w:r>
      <w:r w:rsidRPr="00675B09">
        <w:rPr>
          <w:lang w:val="en-GB"/>
        </w:rPr>
        <w:t>category, suggesting that</w:t>
      </w:r>
      <w:r w:rsidR="00B56ADA" w:rsidRPr="00675B09">
        <w:rPr>
          <w:lang w:val="en-GB"/>
        </w:rPr>
        <w:t>,</w:t>
      </w:r>
      <w:r w:rsidRPr="00675B09">
        <w:rPr>
          <w:lang w:val="en-GB"/>
        </w:rPr>
        <w:t xml:space="preserve"> in RCTs</w:t>
      </w:r>
      <w:r w:rsidR="00B56ADA" w:rsidRPr="00675B09">
        <w:rPr>
          <w:lang w:val="en-GB"/>
        </w:rPr>
        <w:t xml:space="preserve"> only reporting </w:t>
      </w:r>
      <w:r w:rsidR="00D4113E" w:rsidRPr="00675B09">
        <w:rPr>
          <w:lang w:val="en-GB"/>
        </w:rPr>
        <w:t>White participants</w:t>
      </w:r>
      <w:r w:rsidR="00B56ADA" w:rsidRPr="00675B09">
        <w:rPr>
          <w:lang w:val="en-GB"/>
        </w:rPr>
        <w:t>,</w:t>
      </w:r>
      <w:r w:rsidRPr="00675B09">
        <w:rPr>
          <w:lang w:val="en-GB"/>
        </w:rPr>
        <w:t xml:space="preserve"> Hispanic participants were considered White participants. To fit these varying definitions, we created the following operational categories: “White-including-Hispanic” (i.e., White for studies not reporting Hispanic</w:t>
      </w:r>
      <w:r w:rsidR="00A852A5" w:rsidRPr="00675B09">
        <w:rPr>
          <w:lang w:val="en-GB"/>
        </w:rPr>
        <w:t xml:space="preserve"> participants</w:t>
      </w:r>
      <w:r w:rsidRPr="00675B09">
        <w:rPr>
          <w:lang w:val="en-GB"/>
        </w:rPr>
        <w:t xml:space="preserve">, and the sum of White and Hispanic </w:t>
      </w:r>
      <w:r w:rsidR="00A852A5" w:rsidRPr="00675B09">
        <w:rPr>
          <w:lang w:val="en-GB"/>
        </w:rPr>
        <w:t xml:space="preserve">participants </w:t>
      </w:r>
      <w:r w:rsidRPr="00675B09">
        <w:rPr>
          <w:lang w:val="en-GB"/>
        </w:rPr>
        <w:t xml:space="preserve">for studies reporting </w:t>
      </w:r>
      <w:r w:rsidR="00A852A5" w:rsidRPr="00675B09">
        <w:rPr>
          <w:lang w:val="en-GB"/>
        </w:rPr>
        <w:t xml:space="preserve">on people with </w:t>
      </w:r>
      <w:r w:rsidRPr="00675B09">
        <w:rPr>
          <w:lang w:val="en-GB"/>
        </w:rPr>
        <w:t>Hispanic</w:t>
      </w:r>
      <w:r w:rsidR="00A852A5" w:rsidRPr="00675B09">
        <w:rPr>
          <w:lang w:val="en-GB"/>
        </w:rPr>
        <w:t xml:space="preserve"> background</w:t>
      </w:r>
      <w:r w:rsidRPr="00675B09">
        <w:rPr>
          <w:lang w:val="en-GB"/>
        </w:rPr>
        <w:t xml:space="preserve">) and </w:t>
      </w:r>
      <w:r w:rsidR="00A852A5" w:rsidRPr="00675B09">
        <w:rPr>
          <w:lang w:val="en-GB"/>
        </w:rPr>
        <w:t>“</w:t>
      </w:r>
      <w:r w:rsidRPr="00675B09">
        <w:rPr>
          <w:lang w:val="en-GB"/>
        </w:rPr>
        <w:t>Hispanic-among-White</w:t>
      </w:r>
      <w:r w:rsidR="00A852A5" w:rsidRPr="00675B09">
        <w:rPr>
          <w:lang w:val="en-GB"/>
        </w:rPr>
        <w:t>”</w:t>
      </w:r>
      <w:r w:rsidRPr="00675B09">
        <w:rPr>
          <w:lang w:val="en-GB"/>
        </w:rPr>
        <w:t xml:space="preserve"> (meaning the proportion of Hispanic </w:t>
      </w:r>
      <w:r w:rsidR="00A852A5" w:rsidRPr="00675B09">
        <w:rPr>
          <w:lang w:val="en-GB"/>
        </w:rPr>
        <w:t xml:space="preserve">participants </w:t>
      </w:r>
      <w:r w:rsidRPr="00675B09">
        <w:rPr>
          <w:lang w:val="en-GB"/>
        </w:rPr>
        <w:t>among the sum of White and Hispanic</w:t>
      </w:r>
      <w:r w:rsidR="00A852A5" w:rsidRPr="00675B09">
        <w:rPr>
          <w:lang w:val="en-GB"/>
        </w:rPr>
        <w:t xml:space="preserve"> participants</w:t>
      </w:r>
      <w:r w:rsidRPr="00675B09">
        <w:rPr>
          <w:lang w:val="en-GB"/>
        </w:rPr>
        <w:t xml:space="preserve">, only for studies reporting </w:t>
      </w:r>
      <w:r w:rsidR="00A852A5" w:rsidRPr="00675B09">
        <w:rPr>
          <w:lang w:val="en-GB"/>
        </w:rPr>
        <w:t xml:space="preserve">on people with </w:t>
      </w:r>
      <w:r w:rsidRPr="00675B09">
        <w:rPr>
          <w:lang w:val="en-GB"/>
        </w:rPr>
        <w:t>Hispanic</w:t>
      </w:r>
      <w:r w:rsidR="00A852A5" w:rsidRPr="00675B09">
        <w:rPr>
          <w:lang w:val="en-GB"/>
        </w:rPr>
        <w:t xml:space="preserve"> background</w:t>
      </w:r>
      <w:r w:rsidRPr="00675B09">
        <w:rPr>
          <w:lang w:val="en-GB"/>
        </w:rPr>
        <w:t>).</w:t>
      </w:r>
    </w:p>
    <w:p w14:paraId="507F952C" w14:textId="6CBD190E" w:rsidR="008851C4" w:rsidRPr="00675B09" w:rsidRDefault="000860B9" w:rsidP="00533B34">
      <w:pPr>
        <w:jc w:val="left"/>
        <w:rPr>
          <w:lang w:val="en-GB"/>
        </w:rPr>
      </w:pPr>
      <w:bookmarkStart w:id="38" w:name="_3dy6vkm" w:colFirst="0" w:colLast="0"/>
      <w:bookmarkEnd w:id="35"/>
      <w:bookmarkEnd w:id="36"/>
      <w:bookmarkEnd w:id="37"/>
      <w:bookmarkEnd w:id="38"/>
      <w:r w:rsidRPr="00675B09">
        <w:rPr>
          <w:lang w:val="en-GB"/>
        </w:rPr>
        <w:t xml:space="preserve">We </w:t>
      </w:r>
      <w:r w:rsidR="009059F0" w:rsidRPr="00675B09">
        <w:rPr>
          <w:lang w:val="en-GB"/>
        </w:rPr>
        <w:t xml:space="preserve">also noted </w:t>
      </w:r>
      <w:r w:rsidRPr="00675B09">
        <w:rPr>
          <w:lang w:val="en-GB"/>
        </w:rPr>
        <w:t xml:space="preserve">that the proportion of individuals </w:t>
      </w:r>
      <w:r w:rsidR="00700EDA" w:rsidRPr="00675B09">
        <w:rPr>
          <w:lang w:val="en-GB"/>
        </w:rPr>
        <w:t xml:space="preserve">in each </w:t>
      </w:r>
      <w:r w:rsidRPr="00675B09">
        <w:rPr>
          <w:lang w:val="en-GB"/>
        </w:rPr>
        <w:t xml:space="preserve">racial/ethnic group in the RCTs followed a zero-inflated binomial distribution </w:t>
      </w:r>
      <w:r w:rsidR="004D17D2" w:rsidRPr="00675B09">
        <w:rPr>
          <w:lang w:val="en-GB"/>
        </w:rPr>
        <w:t>(</w:t>
      </w:r>
      <w:proofErr w:type="spellStart"/>
      <w:r w:rsidR="00446BAE" w:rsidRPr="00675B09">
        <w:rPr>
          <w:lang w:val="en-GB"/>
        </w:rPr>
        <w:t>eFigure</w:t>
      </w:r>
      <w:proofErr w:type="spellEnd"/>
      <w:r w:rsidR="00446BAE" w:rsidRPr="00675B09">
        <w:rPr>
          <w:lang w:val="en-GB"/>
        </w:rPr>
        <w:t xml:space="preserve"> 1</w:t>
      </w:r>
      <w:r w:rsidR="004D17D2" w:rsidRPr="00675B09">
        <w:rPr>
          <w:lang w:val="en-GB"/>
        </w:rPr>
        <w:t>)</w:t>
      </w:r>
      <w:r w:rsidRPr="00675B09">
        <w:rPr>
          <w:lang w:val="en-GB"/>
        </w:rPr>
        <w:t xml:space="preserve">, i.e., </w:t>
      </w:r>
      <w:bookmarkStart w:id="39" w:name="_Hlk182995305"/>
      <w:bookmarkStart w:id="40" w:name="_Hlk185235864"/>
      <w:bookmarkStart w:id="41" w:name="_Hlk183091984"/>
      <w:r w:rsidRPr="00675B09">
        <w:rPr>
          <w:lang w:val="en-GB"/>
        </w:rPr>
        <w:t xml:space="preserve">RCTs could either include </w:t>
      </w:r>
      <w:r w:rsidR="008A7E57" w:rsidRPr="00675B09">
        <w:rPr>
          <w:lang w:val="en-GB"/>
        </w:rPr>
        <w:t xml:space="preserve">a </w:t>
      </w:r>
      <w:r w:rsidRPr="00675B09">
        <w:rPr>
          <w:lang w:val="en-GB"/>
        </w:rPr>
        <w:t xml:space="preserve">racial/ethnic group or not and </w:t>
      </w:r>
      <w:r w:rsidR="008A7E57" w:rsidRPr="00675B09">
        <w:rPr>
          <w:lang w:val="en-GB"/>
        </w:rPr>
        <w:t xml:space="preserve">– </w:t>
      </w:r>
      <w:r w:rsidRPr="00675B09">
        <w:rPr>
          <w:lang w:val="en-GB"/>
        </w:rPr>
        <w:t>if</w:t>
      </w:r>
      <w:r w:rsidR="008A7E57" w:rsidRPr="00675B09">
        <w:rPr>
          <w:lang w:val="en-GB"/>
        </w:rPr>
        <w:t xml:space="preserve"> </w:t>
      </w:r>
      <w:r w:rsidRPr="00675B09">
        <w:rPr>
          <w:lang w:val="en-GB"/>
        </w:rPr>
        <w:t>included</w:t>
      </w:r>
      <w:r w:rsidR="008A7E57" w:rsidRPr="00675B09">
        <w:rPr>
          <w:lang w:val="en-GB"/>
        </w:rPr>
        <w:t xml:space="preserve"> –</w:t>
      </w:r>
      <w:r w:rsidRPr="00675B09">
        <w:rPr>
          <w:lang w:val="en-GB"/>
        </w:rPr>
        <w:t xml:space="preserve"> the</w:t>
      </w:r>
      <w:r w:rsidR="008A7E57" w:rsidRPr="00675B09">
        <w:rPr>
          <w:lang w:val="en-GB"/>
        </w:rPr>
        <w:t xml:space="preserve"> </w:t>
      </w:r>
      <w:r w:rsidRPr="00675B09">
        <w:rPr>
          <w:lang w:val="en-GB"/>
        </w:rPr>
        <w:t>proportion</w:t>
      </w:r>
      <w:r w:rsidR="00EA2A09" w:rsidRPr="00675B09">
        <w:rPr>
          <w:lang w:val="en-GB"/>
        </w:rPr>
        <w:t xml:space="preserve"> of individuals </w:t>
      </w:r>
      <w:r w:rsidR="00372D2B" w:rsidRPr="00675B09">
        <w:rPr>
          <w:lang w:val="en-GB"/>
        </w:rPr>
        <w:t>from that</w:t>
      </w:r>
      <w:r w:rsidR="00EA2A09" w:rsidRPr="00675B09">
        <w:rPr>
          <w:lang w:val="en-GB"/>
        </w:rPr>
        <w:t xml:space="preserve"> racial/ethnic group</w:t>
      </w:r>
      <w:r w:rsidR="008A7E57" w:rsidRPr="00675B09">
        <w:rPr>
          <w:lang w:val="en-GB"/>
        </w:rPr>
        <w:t xml:space="preserve"> was variable</w:t>
      </w:r>
      <w:bookmarkEnd w:id="39"/>
      <w:bookmarkEnd w:id="40"/>
      <w:r w:rsidRPr="00675B09">
        <w:rPr>
          <w:lang w:val="en-GB"/>
        </w:rPr>
        <w:t>.</w:t>
      </w:r>
      <w:bookmarkEnd w:id="41"/>
      <w:r w:rsidRPr="00675B09">
        <w:rPr>
          <w:lang w:val="en-GB"/>
        </w:rPr>
        <w:t xml:space="preserve"> For this reason, we split the </w:t>
      </w:r>
      <w:r w:rsidR="002814F0" w:rsidRPr="00675B09">
        <w:rPr>
          <w:lang w:val="en-GB"/>
        </w:rPr>
        <w:t>modelling</w:t>
      </w:r>
      <w:r w:rsidRPr="00675B09">
        <w:rPr>
          <w:lang w:val="en-GB"/>
        </w:rPr>
        <w:t xml:space="preserve"> </w:t>
      </w:r>
      <w:proofErr w:type="gramStart"/>
      <w:r w:rsidRPr="00675B09">
        <w:rPr>
          <w:lang w:val="en-GB"/>
        </w:rPr>
        <w:t>into:</w:t>
      </w:r>
      <w:proofErr w:type="gramEnd"/>
      <w:r w:rsidRPr="00675B09">
        <w:rPr>
          <w:lang w:val="en-GB"/>
        </w:rPr>
        <w:t xml:space="preserve"> 1) a Firth's logistic regression to model whether RCTs included the racial/ethnic group or not, and 2) a random-effects logit-transformed-proportion meta-analysis to model the proportion of individuals </w:t>
      </w:r>
      <w:r w:rsidR="00F27A08" w:rsidRPr="00675B09">
        <w:rPr>
          <w:lang w:val="en-GB"/>
        </w:rPr>
        <w:t>for</w:t>
      </w:r>
      <w:r w:rsidRPr="00675B09">
        <w:rPr>
          <w:lang w:val="en-GB"/>
        </w:rPr>
        <w:t xml:space="preserve"> </w:t>
      </w:r>
      <w:r w:rsidR="00F27A08" w:rsidRPr="00675B09">
        <w:rPr>
          <w:lang w:val="en-GB"/>
        </w:rPr>
        <w:t xml:space="preserve">a </w:t>
      </w:r>
      <w:r w:rsidRPr="00675B09">
        <w:rPr>
          <w:lang w:val="en-GB"/>
        </w:rPr>
        <w:t xml:space="preserve">racial/ethnic group (in those RCTs including that racial/ethnic group). Both the logistic regression and the meta-analysis were weighted by the sample size of the RCTs, and the meta-analysis also considered cross-study heterogeneity </w:t>
      </w:r>
      <w:r w:rsidR="00D3587E" w:rsidRPr="00675B09">
        <w:rPr>
          <w:lang w:val="en-GB"/>
        </w:rPr>
        <w:t>(Q, I</w:t>
      </w:r>
      <w:r w:rsidR="00D3587E" w:rsidRPr="00675B09">
        <w:rPr>
          <w:vertAlign w:val="superscript"/>
          <w:lang w:val="en-GB"/>
        </w:rPr>
        <w:t>2</w:t>
      </w:r>
      <w:r w:rsidR="00D3587E" w:rsidRPr="00675B09">
        <w:rPr>
          <w:lang w:val="en-GB"/>
        </w:rPr>
        <w:t> and Tau indices</w:t>
      </w:r>
      <w:r w:rsidR="008A7E57" w:rsidRPr="00675B09">
        <w:rPr>
          <w:lang w:val="en-GB"/>
        </w:rPr>
        <w:t xml:space="preserve">, which indicate </w:t>
      </w:r>
      <w:r w:rsidR="00D717C1" w:rsidRPr="00675B09">
        <w:rPr>
          <w:lang w:val="en-GB"/>
        </w:rPr>
        <w:t>if studies are homogenous in reporting effects, and if this variability is due to real differences and not chance</w:t>
      </w:r>
      <w:r w:rsidR="00D3587E" w:rsidRPr="00675B09">
        <w:rPr>
          <w:lang w:val="en-GB"/>
        </w:rPr>
        <w:t>)</w:t>
      </w:r>
      <w:r w:rsidRPr="00675B09">
        <w:rPr>
          <w:lang w:val="en-GB"/>
        </w:rPr>
        <w:t xml:space="preserve">. After fitting the logistic regression and the meta-analysis, we obtained the final estimate as the multiplication of the proportion of RCTs including the racial/ethnic group (from the logistic regression) </w:t>
      </w:r>
      <w:r w:rsidR="00700EDA" w:rsidRPr="00675B09">
        <w:rPr>
          <w:lang w:val="en-GB"/>
        </w:rPr>
        <w:t xml:space="preserve">by </w:t>
      </w:r>
      <w:r w:rsidRPr="00675B09">
        <w:rPr>
          <w:lang w:val="en-GB"/>
        </w:rPr>
        <w:t>the proportion of individuals of the racial/ethnic group (from the meta-analysis), with its confidence intervals derived via Monte Carlo</w:t>
      </w:r>
      <w:r w:rsidR="005B2E46" w:rsidRPr="00675B09">
        <w:rPr>
          <w:lang w:val="en-GB"/>
        </w:rPr>
        <w:t xml:space="preserve"> simulation</w:t>
      </w:r>
      <w:r w:rsidRPr="00675B09">
        <w:rPr>
          <w:lang w:val="en-GB"/>
        </w:rPr>
        <w:t>.</w:t>
      </w:r>
    </w:p>
    <w:p w14:paraId="6B45F85C" w14:textId="0E344071" w:rsidR="002814F0" w:rsidRPr="00675B09" w:rsidRDefault="00700EDA" w:rsidP="00533B34">
      <w:pPr>
        <w:jc w:val="left"/>
        <w:rPr>
          <w:lang w:val="en-GB"/>
        </w:rPr>
      </w:pPr>
      <w:r w:rsidRPr="00675B09">
        <w:rPr>
          <w:lang w:val="en-GB"/>
        </w:rPr>
        <w:lastRenderedPageBreak/>
        <w:t xml:space="preserve">In relation to </w:t>
      </w:r>
      <w:r w:rsidR="0012297B" w:rsidRPr="00675B09">
        <w:rPr>
          <w:lang w:val="en-GB"/>
        </w:rPr>
        <w:t>t</w:t>
      </w:r>
      <w:r w:rsidRPr="00675B09">
        <w:rPr>
          <w:lang w:val="en-GB"/>
        </w:rPr>
        <w:t xml:space="preserve">he second aim of the study, </w:t>
      </w:r>
      <w:r w:rsidR="00167389" w:rsidRPr="00675B09" w:rsidDel="00700EDA">
        <w:rPr>
          <w:lang w:val="en-GB"/>
        </w:rPr>
        <w:t xml:space="preserve">we used </w:t>
      </w:r>
      <w:hyperlink r:id="rId10">
        <w:r w:rsidR="00167389" w:rsidRPr="00675B09" w:rsidDel="00700EDA">
          <w:rPr>
            <w:lang w:val="en-GB"/>
          </w:rPr>
          <w:t>logistic regression</w:t>
        </w:r>
      </w:hyperlink>
      <w:r w:rsidR="00167389" w:rsidRPr="00675B09" w:rsidDel="00700EDA">
        <w:rPr>
          <w:lang w:val="en-GB"/>
        </w:rPr>
        <w:t xml:space="preserve"> (year of publication </w:t>
      </w:r>
      <w:r w:rsidR="00FC356D" w:rsidRPr="00675B09">
        <w:rPr>
          <w:lang w:val="en-GB"/>
        </w:rPr>
        <w:t>w</w:t>
      </w:r>
      <w:r w:rsidR="00167389" w:rsidRPr="00675B09" w:rsidDel="00700EDA">
        <w:rPr>
          <w:lang w:val="en-GB"/>
        </w:rPr>
        <w:t xml:space="preserve">as the independent variable and percentage of studies reporting </w:t>
      </w:r>
      <w:r w:rsidR="00D05E87" w:rsidRPr="00675B09">
        <w:rPr>
          <w:lang w:val="en-GB"/>
        </w:rPr>
        <w:t>race and ethnicity</w:t>
      </w:r>
      <w:r w:rsidR="00167389" w:rsidRPr="00675B09" w:rsidDel="00700EDA">
        <w:rPr>
          <w:lang w:val="en-GB"/>
        </w:rPr>
        <w:t xml:space="preserve"> </w:t>
      </w:r>
      <w:r w:rsidR="00FC356D" w:rsidRPr="00675B09">
        <w:rPr>
          <w:lang w:val="en-GB"/>
        </w:rPr>
        <w:t>w</w:t>
      </w:r>
      <w:r w:rsidR="00167389" w:rsidRPr="00675B09" w:rsidDel="00700EDA">
        <w:rPr>
          <w:lang w:val="en-GB"/>
        </w:rPr>
        <w:t xml:space="preserve">as the outcome variable) across RCTs conducted in the USA and elsewhere, for both children/adolescents and adults, and </w:t>
      </w:r>
      <w:r w:rsidR="00FC356D" w:rsidRPr="00675B09">
        <w:rPr>
          <w:lang w:val="en-GB"/>
        </w:rPr>
        <w:t>plotted</w:t>
      </w:r>
      <w:r w:rsidR="00167389" w:rsidRPr="00675B09" w:rsidDel="00700EDA">
        <w:rPr>
          <w:lang w:val="en-GB"/>
        </w:rPr>
        <w:t xml:space="preserve"> temporal trends. </w:t>
      </w:r>
      <w:r w:rsidR="00DE19AB" w:rsidRPr="00675B09">
        <w:rPr>
          <w:lang w:val="en-GB"/>
        </w:rPr>
        <w:t>D</w:t>
      </w:r>
      <w:r w:rsidR="00930F86" w:rsidRPr="00675B09">
        <w:rPr>
          <w:lang w:val="en-GB"/>
        </w:rPr>
        <w:t xml:space="preserve">ata from the American Community Survey (ACS) – a demographics survey program conducted yearly by the US Census Bureau – were used </w:t>
      </w:r>
      <w:r w:rsidR="00D65503" w:rsidRPr="00675B09">
        <w:rPr>
          <w:lang w:val="en-GB"/>
        </w:rPr>
        <w:t xml:space="preserve">(third aim) </w:t>
      </w:r>
      <w:r w:rsidR="00DE19AB" w:rsidRPr="00675B09">
        <w:rPr>
          <w:lang w:val="en-GB"/>
        </w:rPr>
        <w:t xml:space="preserve">to </w:t>
      </w:r>
      <w:r w:rsidR="00930F86" w:rsidRPr="00675B09">
        <w:rPr>
          <w:lang w:val="en-GB"/>
        </w:rPr>
        <w:t>compar</w:t>
      </w:r>
      <w:r w:rsidR="00FC356D" w:rsidRPr="00675B09">
        <w:rPr>
          <w:lang w:val="en-GB"/>
        </w:rPr>
        <w:t>e</w:t>
      </w:r>
      <w:r w:rsidR="00930F86" w:rsidRPr="00675B09">
        <w:rPr>
          <w:lang w:val="en-GB"/>
        </w:rPr>
        <w:t xml:space="preserve"> the pooled </w:t>
      </w:r>
      <w:r w:rsidR="006B5192" w:rsidRPr="00675B09">
        <w:rPr>
          <w:lang w:val="en-GB"/>
        </w:rPr>
        <w:t xml:space="preserve">racial/ethnic </w:t>
      </w:r>
      <w:r w:rsidR="00930F86" w:rsidRPr="00675B09">
        <w:rPr>
          <w:lang w:val="en-GB"/>
        </w:rPr>
        <w:t>estimates generated by the meta-analyses to the prevalence rates reported in the ACS</w:t>
      </w:r>
      <w:r w:rsidR="00FC356D" w:rsidRPr="00675B09">
        <w:rPr>
          <w:lang w:val="en-GB"/>
        </w:rPr>
        <w:t xml:space="preserve"> </w:t>
      </w:r>
      <w:r w:rsidR="00930F86" w:rsidRPr="00675B09">
        <w:rPr>
          <w:lang w:val="en-GB"/>
        </w:rPr>
        <w:t xml:space="preserve">using </w:t>
      </w:r>
      <w:r w:rsidR="00D3587E" w:rsidRPr="00675B09">
        <w:rPr>
          <w:lang w:val="en-GB"/>
        </w:rPr>
        <w:t>10-year sliding windows</w:t>
      </w:r>
      <w:r w:rsidR="00930F86" w:rsidRPr="00675B09">
        <w:rPr>
          <w:lang w:val="en-GB"/>
        </w:rPr>
        <w:t xml:space="preserve"> between 1958 and 2022</w:t>
      </w:r>
      <w:r w:rsidR="007546A7" w:rsidRPr="00675B09">
        <w:rPr>
          <w:lang w:val="en-GB"/>
        </w:rPr>
        <w:t xml:space="preserve"> </w:t>
      </w:r>
      <w:bookmarkStart w:id="42" w:name="_Hlk183120763"/>
      <w:r w:rsidR="00FC356D" w:rsidRPr="00675B09">
        <w:rPr>
          <w:lang w:val="en-GB"/>
        </w:rPr>
        <w:t xml:space="preserve">(linearly interpolating the missing years). </w:t>
      </w:r>
      <w:bookmarkStart w:id="43" w:name="_Hlk184651768"/>
      <w:r w:rsidR="007546A7" w:rsidRPr="00675B09">
        <w:rPr>
          <w:lang w:val="en-GB"/>
        </w:rPr>
        <w:t xml:space="preserve">“Hispanic” and “Other” were added as ACS categories only in 1970, but since then they </w:t>
      </w:r>
      <w:r w:rsidR="00EE0811" w:rsidRPr="00675B09">
        <w:rPr>
          <w:lang w:val="en-GB"/>
        </w:rPr>
        <w:t xml:space="preserve">have </w:t>
      </w:r>
      <w:r w:rsidR="007546A7" w:rsidRPr="00675B09">
        <w:rPr>
          <w:lang w:val="en-GB"/>
        </w:rPr>
        <w:t>not change</w:t>
      </w:r>
      <w:r w:rsidR="00EE0811" w:rsidRPr="00675B09">
        <w:rPr>
          <w:lang w:val="en-GB"/>
        </w:rPr>
        <w:t>d</w:t>
      </w:r>
      <w:r w:rsidR="007546A7" w:rsidRPr="00675B09">
        <w:rPr>
          <w:lang w:val="en-GB"/>
        </w:rPr>
        <w:t xml:space="preserve">, </w:t>
      </w:r>
      <w:r w:rsidR="00DE6857" w:rsidRPr="00675B09">
        <w:rPr>
          <w:lang w:val="en-GB"/>
        </w:rPr>
        <w:t>al</w:t>
      </w:r>
      <w:r w:rsidR="007546A7" w:rsidRPr="00675B09">
        <w:rPr>
          <w:lang w:val="en-GB"/>
        </w:rPr>
        <w:t>though some labels have changed over time</w:t>
      </w:r>
      <w:r w:rsidR="00930F86" w:rsidRPr="00675B09">
        <w:rPr>
          <w:lang w:val="en-GB"/>
        </w:rPr>
        <w:t>.</w:t>
      </w:r>
      <w:bookmarkStart w:id="44" w:name="_Hlk185235905"/>
      <w:bookmarkEnd w:id="42"/>
      <w:bookmarkEnd w:id="43"/>
      <w:r w:rsidR="00930F86" w:rsidRPr="00675B09">
        <w:rPr>
          <w:lang w:val="en-GB"/>
        </w:rPr>
        <w:t xml:space="preserve"> </w:t>
      </w:r>
      <w:bookmarkStart w:id="45" w:name="_Hlk183092078"/>
      <w:r w:rsidR="00930F86" w:rsidRPr="00675B09">
        <w:rPr>
          <w:lang w:val="en-GB"/>
        </w:rPr>
        <w:t xml:space="preserve">Whenever the </w:t>
      </w:r>
      <w:r w:rsidR="00CA314F" w:rsidRPr="00675B09">
        <w:rPr>
          <w:lang w:val="en-GB"/>
        </w:rPr>
        <w:t xml:space="preserve">95% </w:t>
      </w:r>
      <w:r w:rsidR="00930F86" w:rsidRPr="00675B09">
        <w:rPr>
          <w:lang w:val="en-GB"/>
        </w:rPr>
        <w:t>confidence interval from the meta-analytic estimates from the RCTs did not include the population proportion</w:t>
      </w:r>
      <w:r w:rsidR="00CA314F" w:rsidRPr="00675B09">
        <w:rPr>
          <w:lang w:val="en-GB"/>
        </w:rPr>
        <w:t xml:space="preserve"> (p</w:t>
      </w:r>
      <w:r w:rsidR="00372D2B" w:rsidRPr="00675B09">
        <w:rPr>
          <w:lang w:val="en-GB"/>
        </w:rPr>
        <w:t xml:space="preserve"> </w:t>
      </w:r>
      <w:r w:rsidR="00CA314F" w:rsidRPr="00675B09">
        <w:rPr>
          <w:lang w:val="en-GB"/>
        </w:rPr>
        <w:t>&lt;</w:t>
      </w:r>
      <w:r w:rsidR="00372D2B" w:rsidRPr="00675B09">
        <w:rPr>
          <w:lang w:val="en-GB"/>
        </w:rPr>
        <w:t xml:space="preserve"> </w:t>
      </w:r>
      <w:r w:rsidR="00CA314F" w:rsidRPr="00675B09">
        <w:rPr>
          <w:lang w:val="en-GB"/>
        </w:rPr>
        <w:t>0.05)</w:t>
      </w:r>
      <w:r w:rsidR="00930F86" w:rsidRPr="00675B09">
        <w:rPr>
          <w:lang w:val="en-GB"/>
        </w:rPr>
        <w:t>, we conclude</w:t>
      </w:r>
      <w:r w:rsidR="00DE19AB" w:rsidRPr="00675B09">
        <w:rPr>
          <w:lang w:val="en-GB"/>
        </w:rPr>
        <w:t>d</w:t>
      </w:r>
      <w:r w:rsidR="00930F86" w:rsidRPr="00675B09">
        <w:rPr>
          <w:lang w:val="en-GB"/>
        </w:rPr>
        <w:t xml:space="preserve"> that the proportion reported in the RCTs </w:t>
      </w:r>
      <w:r w:rsidR="006B5192" w:rsidRPr="00675B09">
        <w:rPr>
          <w:lang w:val="en-GB"/>
        </w:rPr>
        <w:t>was</w:t>
      </w:r>
      <w:r w:rsidR="00930F86" w:rsidRPr="00675B09">
        <w:rPr>
          <w:lang w:val="en-GB"/>
        </w:rPr>
        <w:t xml:space="preserve"> statistically significantly different from the proportion reported in the ACS</w:t>
      </w:r>
      <w:bookmarkEnd w:id="44"/>
      <w:r w:rsidR="00167389" w:rsidRPr="00675B09">
        <w:rPr>
          <w:lang w:val="en-GB"/>
        </w:rPr>
        <w:t>.</w:t>
      </w:r>
      <w:r w:rsidR="00D65503" w:rsidRPr="00675B09">
        <w:rPr>
          <w:lang w:val="en-GB"/>
        </w:rPr>
        <w:t xml:space="preserve"> </w:t>
      </w:r>
      <w:bookmarkEnd w:id="45"/>
      <w:r w:rsidR="002814F0" w:rsidRPr="00675B09">
        <w:rPr>
          <w:lang w:val="en-GB"/>
        </w:rPr>
        <w:t>All calculations were conducted using the "</w:t>
      </w:r>
      <w:proofErr w:type="spellStart"/>
      <w:r w:rsidR="002814F0" w:rsidRPr="00675B09">
        <w:rPr>
          <w:i/>
          <w:iCs/>
          <w:lang w:val="en-GB"/>
        </w:rPr>
        <w:t>logistf</w:t>
      </w:r>
      <w:proofErr w:type="spellEnd"/>
      <w:r w:rsidR="002814F0" w:rsidRPr="00675B09">
        <w:rPr>
          <w:lang w:val="en-GB"/>
        </w:rPr>
        <w:t>" and “</w:t>
      </w:r>
      <w:proofErr w:type="spellStart"/>
      <w:r w:rsidR="002814F0" w:rsidRPr="00675B09">
        <w:rPr>
          <w:i/>
          <w:iCs/>
          <w:lang w:val="en-GB"/>
        </w:rPr>
        <w:t>metafor</w:t>
      </w:r>
      <w:proofErr w:type="spellEnd"/>
      <w:r w:rsidR="002814F0" w:rsidRPr="00675B09">
        <w:rPr>
          <w:lang w:val="en-GB"/>
        </w:rPr>
        <w:t>” R packages</w:t>
      </w:r>
      <w:r w:rsidR="003F77D8" w:rsidRPr="00675B09">
        <w:rPr>
          <w:lang w:val="en-GB"/>
        </w:rPr>
        <w:t xml:space="preserve"> in R Studio 2024.09.0</w:t>
      </w:r>
      <w:r w:rsidR="002814F0" w:rsidRPr="00675B09">
        <w:rPr>
          <w:lang w:val="en-GB"/>
        </w:rPr>
        <w:t>.</w:t>
      </w:r>
    </w:p>
    <w:p w14:paraId="56BDA802" w14:textId="77777777" w:rsidR="008851C4" w:rsidRPr="00675B09" w:rsidRDefault="008851C4" w:rsidP="00533B34">
      <w:pPr>
        <w:widowControl/>
        <w:ind w:right="0"/>
        <w:jc w:val="left"/>
        <w:rPr>
          <w:b/>
          <w:lang w:val="en-GB"/>
        </w:rPr>
      </w:pPr>
    </w:p>
    <w:p w14:paraId="1A2D1DDA" w14:textId="77777777" w:rsidR="006B5192" w:rsidRPr="00675B09" w:rsidRDefault="006B5192" w:rsidP="00533B34">
      <w:pPr>
        <w:pStyle w:val="Heading1"/>
        <w:jc w:val="left"/>
        <w:rPr>
          <w:lang w:val="en-GB"/>
        </w:rPr>
      </w:pPr>
      <w:r w:rsidRPr="00675B09">
        <w:rPr>
          <w:lang w:val="en-GB"/>
        </w:rPr>
        <w:t>RESULTS</w:t>
      </w:r>
    </w:p>
    <w:p w14:paraId="5944F071" w14:textId="003BB1CC" w:rsidR="008851C4" w:rsidRPr="00675B09" w:rsidRDefault="004B0FE2" w:rsidP="00533B34">
      <w:pPr>
        <w:jc w:val="left"/>
        <w:rPr>
          <w:lang w:val="en-GB"/>
        </w:rPr>
      </w:pPr>
      <w:bookmarkStart w:id="46" w:name="_Hlk183011886"/>
      <w:r w:rsidRPr="00675B09">
        <w:rPr>
          <w:lang w:val="en-GB"/>
        </w:rPr>
        <w:t xml:space="preserve">After screening </w:t>
      </w:r>
      <w:r w:rsidR="00DD773A" w:rsidRPr="00675B09">
        <w:rPr>
          <w:lang w:val="en-GB"/>
        </w:rPr>
        <w:t xml:space="preserve">6,125 </w:t>
      </w:r>
      <w:r w:rsidRPr="00675B09">
        <w:rPr>
          <w:lang w:val="en-GB"/>
        </w:rPr>
        <w:t>records</w:t>
      </w:r>
      <w:r w:rsidR="00DD773A" w:rsidRPr="00675B09">
        <w:rPr>
          <w:lang w:val="en-GB"/>
        </w:rPr>
        <w:t xml:space="preserve"> (Figure 1)</w:t>
      </w:r>
      <w:r w:rsidRPr="00675B09">
        <w:rPr>
          <w:lang w:val="en-GB"/>
        </w:rPr>
        <w:t xml:space="preserve">, we </w:t>
      </w:r>
      <w:r w:rsidR="00A06668" w:rsidRPr="00675B09">
        <w:rPr>
          <w:lang w:val="en-GB"/>
        </w:rPr>
        <w:t>retrieved</w:t>
      </w:r>
      <w:r w:rsidR="004249C9" w:rsidRPr="00675B09">
        <w:rPr>
          <w:lang w:val="en-GB"/>
        </w:rPr>
        <w:t xml:space="preserve"> 24 </w:t>
      </w:r>
      <w:r w:rsidR="004431F2" w:rsidRPr="00675B09">
        <w:rPr>
          <w:lang w:val="en-GB"/>
        </w:rPr>
        <w:t>NMAs</w:t>
      </w:r>
      <w:r w:rsidR="00264B4A" w:rsidRPr="00675B09">
        <w:rPr>
          <w:lang w:val="en-GB"/>
        </w:rPr>
        <w:t xml:space="preserve">, and </w:t>
      </w:r>
      <w:r w:rsidR="004F3F7A" w:rsidRPr="00675B09">
        <w:rPr>
          <w:lang w:val="en-GB"/>
        </w:rPr>
        <w:t xml:space="preserve">17 </w:t>
      </w:r>
      <w:r w:rsidR="00264B4A" w:rsidRPr="00675B09">
        <w:rPr>
          <w:lang w:val="en-GB"/>
        </w:rPr>
        <w:t>were included</w:t>
      </w:r>
      <w:bookmarkEnd w:id="46"/>
      <w:r w:rsidR="00264B4A" w:rsidRPr="00675B09">
        <w:rPr>
          <w:lang w:val="en-GB"/>
        </w:rPr>
        <w:t xml:space="preserve"> </w:t>
      </w:r>
      <w:r w:rsidR="003F77D8" w:rsidRPr="00675B09">
        <w:rPr>
          <w:lang w:val="en-GB"/>
        </w:rPr>
        <w:t>(</w:t>
      </w:r>
      <w:proofErr w:type="spellStart"/>
      <w:r w:rsidR="00446BAE" w:rsidRPr="00675B09">
        <w:rPr>
          <w:lang w:val="en-GB"/>
        </w:rPr>
        <w:t>eTable</w:t>
      </w:r>
      <w:proofErr w:type="spellEnd"/>
      <w:r w:rsidR="00446BAE" w:rsidRPr="00675B09">
        <w:rPr>
          <w:lang w:val="en-GB"/>
        </w:rPr>
        <w:t xml:space="preserve"> </w:t>
      </w:r>
      <w:r w:rsidR="00F345F2" w:rsidRPr="00675B09">
        <w:rPr>
          <w:lang w:val="en-GB"/>
        </w:rPr>
        <w:t>3</w:t>
      </w:r>
      <w:r w:rsidR="003F77D8" w:rsidRPr="00675B09">
        <w:rPr>
          <w:lang w:val="en-GB"/>
        </w:rPr>
        <w:t>)</w:t>
      </w:r>
      <w:r w:rsidR="00264B4A" w:rsidRPr="00675B09">
        <w:rPr>
          <w:lang w:val="en-GB"/>
        </w:rPr>
        <w:t xml:space="preserve">. We </w:t>
      </w:r>
      <w:r w:rsidR="00800330" w:rsidRPr="00675B09">
        <w:rPr>
          <w:lang w:val="en-GB"/>
        </w:rPr>
        <w:t>analysed</w:t>
      </w:r>
      <w:r w:rsidR="00930F86" w:rsidRPr="00675B09">
        <w:rPr>
          <w:lang w:val="en-GB"/>
        </w:rPr>
        <w:t xml:space="preserve"> data from </w:t>
      </w:r>
      <w:r w:rsidR="000860B9" w:rsidRPr="00675B09">
        <w:rPr>
          <w:lang w:val="en-GB"/>
        </w:rPr>
        <w:t>16</w:t>
      </w:r>
      <w:r w:rsidR="00A170C5" w:rsidRPr="00675B09">
        <w:rPr>
          <w:lang w:val="en-GB"/>
        </w:rPr>
        <w:t>83</w:t>
      </w:r>
      <w:r w:rsidR="000860B9" w:rsidRPr="00675B09">
        <w:rPr>
          <w:lang w:val="en-GB"/>
        </w:rPr>
        <w:t xml:space="preserve"> RCTs (</w:t>
      </w:r>
      <w:r w:rsidR="00A170C5" w:rsidRPr="00675B09">
        <w:rPr>
          <w:lang w:val="en-GB"/>
        </w:rPr>
        <w:t>375,120</w:t>
      </w:r>
      <w:r w:rsidR="000860B9" w:rsidRPr="00675B09">
        <w:rPr>
          <w:lang w:val="en-GB"/>
        </w:rPr>
        <w:t xml:space="preserve"> participants), of which 1363 </w:t>
      </w:r>
      <w:r w:rsidR="00930F86" w:rsidRPr="00675B09">
        <w:rPr>
          <w:lang w:val="en-GB"/>
        </w:rPr>
        <w:t xml:space="preserve">were </w:t>
      </w:r>
      <w:r w:rsidR="003670BA" w:rsidRPr="00675B09">
        <w:rPr>
          <w:lang w:val="en-GB"/>
        </w:rPr>
        <w:t xml:space="preserve">only </w:t>
      </w:r>
      <w:r w:rsidR="00930F86" w:rsidRPr="00675B09">
        <w:rPr>
          <w:lang w:val="en-GB"/>
        </w:rPr>
        <w:t xml:space="preserve">on adults </w:t>
      </w:r>
      <w:r w:rsidR="000860B9" w:rsidRPr="00675B09">
        <w:rPr>
          <w:lang w:val="en-GB"/>
        </w:rPr>
        <w:t>(9</w:t>
      </w:r>
      <w:r w:rsidR="00983016" w:rsidRPr="00675B09">
        <w:rPr>
          <w:lang w:val="en-GB"/>
        </w:rPr>
        <w:t>2</w:t>
      </w:r>
      <w:r w:rsidR="000860B9" w:rsidRPr="00675B09">
        <w:rPr>
          <w:lang w:val="en-GB"/>
        </w:rPr>
        <w:t>% of overall participants)</w:t>
      </w:r>
      <w:r w:rsidR="003670BA" w:rsidRPr="00675B09">
        <w:rPr>
          <w:lang w:val="en-GB"/>
        </w:rPr>
        <w:t xml:space="preserve">, </w:t>
      </w:r>
      <w:r w:rsidR="000860B9" w:rsidRPr="00675B09">
        <w:rPr>
          <w:lang w:val="en-GB"/>
        </w:rPr>
        <w:t xml:space="preserve">312 </w:t>
      </w:r>
      <w:r w:rsidR="003670BA" w:rsidRPr="00675B09">
        <w:rPr>
          <w:lang w:val="en-GB"/>
        </w:rPr>
        <w:t xml:space="preserve">only </w:t>
      </w:r>
      <w:r w:rsidR="00930F86" w:rsidRPr="00675B09">
        <w:rPr>
          <w:lang w:val="en-GB"/>
        </w:rPr>
        <w:t xml:space="preserve">on </w:t>
      </w:r>
      <w:r w:rsidR="000860B9" w:rsidRPr="00675B09">
        <w:rPr>
          <w:lang w:val="en-GB"/>
        </w:rPr>
        <w:t>children and adolescents (8%)</w:t>
      </w:r>
      <w:r w:rsidR="003670BA" w:rsidRPr="00675B09">
        <w:rPr>
          <w:lang w:val="en-GB"/>
        </w:rPr>
        <w:t>, 8 on both</w:t>
      </w:r>
      <w:r w:rsidR="000860B9" w:rsidRPr="00675B09">
        <w:rPr>
          <w:lang w:val="en-GB"/>
        </w:rPr>
        <w:t xml:space="preserve">. </w:t>
      </w:r>
      <w:bookmarkStart w:id="47" w:name="_Hlk183012424"/>
      <w:r w:rsidR="00B04653" w:rsidRPr="00675B09">
        <w:rPr>
          <w:lang w:val="en-GB"/>
        </w:rPr>
        <w:t xml:space="preserve">Altogether, 680 </w:t>
      </w:r>
      <w:r w:rsidR="000860B9" w:rsidRPr="00675B09">
        <w:rPr>
          <w:lang w:val="en-GB"/>
        </w:rPr>
        <w:t xml:space="preserve">RCTs were conducted exclusively in the </w:t>
      </w:r>
      <w:r w:rsidR="00F80CB3" w:rsidRPr="00675B09">
        <w:rPr>
          <w:lang w:val="en-GB"/>
        </w:rPr>
        <w:t>USA</w:t>
      </w:r>
      <w:r w:rsidR="000860B9" w:rsidRPr="00675B09">
        <w:rPr>
          <w:lang w:val="en-GB"/>
        </w:rPr>
        <w:t xml:space="preserve"> (</w:t>
      </w:r>
      <w:r w:rsidR="00303882" w:rsidRPr="00675B09">
        <w:rPr>
          <w:lang w:val="en-GB"/>
        </w:rPr>
        <w:t>36</w:t>
      </w:r>
      <w:r w:rsidR="000860B9" w:rsidRPr="00675B09">
        <w:rPr>
          <w:lang w:val="en-GB"/>
        </w:rPr>
        <w:t>%</w:t>
      </w:r>
      <w:r w:rsidR="00CB3AE2" w:rsidRPr="00675B09">
        <w:rPr>
          <w:lang w:val="en-GB"/>
        </w:rPr>
        <w:t xml:space="preserve"> of participants</w:t>
      </w:r>
      <w:r w:rsidR="000860B9" w:rsidRPr="00675B09">
        <w:rPr>
          <w:lang w:val="en-GB"/>
        </w:rPr>
        <w:t>)</w:t>
      </w:r>
      <w:bookmarkEnd w:id="47"/>
      <w:r w:rsidR="000860B9" w:rsidRPr="00675B09">
        <w:rPr>
          <w:lang w:val="en-GB"/>
        </w:rPr>
        <w:t xml:space="preserve">, </w:t>
      </w:r>
      <w:r w:rsidR="00303882" w:rsidRPr="00675B09">
        <w:rPr>
          <w:lang w:val="en-GB"/>
        </w:rPr>
        <w:t>40</w:t>
      </w:r>
      <w:r w:rsidR="00B97728" w:rsidRPr="00675B09">
        <w:rPr>
          <w:lang w:val="en-GB"/>
        </w:rPr>
        <w:t>4</w:t>
      </w:r>
      <w:r w:rsidR="00303882" w:rsidRPr="00675B09">
        <w:rPr>
          <w:lang w:val="en-GB"/>
        </w:rPr>
        <w:t xml:space="preserve"> </w:t>
      </w:r>
      <w:r w:rsidR="000860B9" w:rsidRPr="00675B09">
        <w:rPr>
          <w:lang w:val="en-GB"/>
        </w:rPr>
        <w:t>in Europe (1</w:t>
      </w:r>
      <w:r w:rsidR="00303882" w:rsidRPr="00675B09">
        <w:rPr>
          <w:lang w:val="en-GB"/>
        </w:rPr>
        <w:t>7</w:t>
      </w:r>
      <w:r w:rsidR="000860B9" w:rsidRPr="00675B09">
        <w:rPr>
          <w:lang w:val="en-GB"/>
        </w:rPr>
        <w:t>%), 51 in Oceania (10%), 177 in Asia</w:t>
      </w:r>
      <w:r w:rsidR="00690D6E" w:rsidRPr="00675B09">
        <w:rPr>
          <w:lang w:val="en-GB"/>
        </w:rPr>
        <w:t>/</w:t>
      </w:r>
      <w:proofErr w:type="gramStart"/>
      <w:r w:rsidR="000860B9" w:rsidRPr="00675B09">
        <w:rPr>
          <w:lang w:val="en-GB"/>
        </w:rPr>
        <w:t>Middle</w:t>
      </w:r>
      <w:r w:rsidR="00690D6E" w:rsidRPr="00675B09">
        <w:rPr>
          <w:lang w:val="en-GB"/>
        </w:rPr>
        <w:t>-</w:t>
      </w:r>
      <w:r w:rsidR="000860B9" w:rsidRPr="00675B09">
        <w:rPr>
          <w:lang w:val="en-GB"/>
        </w:rPr>
        <w:t>East</w:t>
      </w:r>
      <w:proofErr w:type="gramEnd"/>
      <w:r w:rsidR="000860B9" w:rsidRPr="00675B09">
        <w:rPr>
          <w:lang w:val="en-GB"/>
        </w:rPr>
        <w:t xml:space="preserve"> (6%), 43 in Canada (0</w:t>
      </w:r>
      <w:r w:rsidR="000D3C2E" w:rsidRPr="00675B09">
        <w:rPr>
          <w:lang w:val="en-GB"/>
        </w:rPr>
        <w:t>.</w:t>
      </w:r>
      <w:r w:rsidR="00B97728" w:rsidRPr="00675B09">
        <w:rPr>
          <w:lang w:val="en-GB"/>
        </w:rPr>
        <w:t>9</w:t>
      </w:r>
      <w:r w:rsidR="000860B9" w:rsidRPr="00675B09">
        <w:rPr>
          <w:lang w:val="en-GB"/>
        </w:rPr>
        <w:t>%), 23 in Central</w:t>
      </w:r>
      <w:r w:rsidR="00690D6E" w:rsidRPr="00675B09">
        <w:rPr>
          <w:lang w:val="en-GB"/>
        </w:rPr>
        <w:t>/South-</w:t>
      </w:r>
      <w:r w:rsidR="000860B9" w:rsidRPr="00675B09">
        <w:rPr>
          <w:lang w:val="en-GB"/>
        </w:rPr>
        <w:t>America (0</w:t>
      </w:r>
      <w:r w:rsidR="000D3C2E" w:rsidRPr="00675B09">
        <w:rPr>
          <w:lang w:val="en-GB"/>
        </w:rPr>
        <w:t>.</w:t>
      </w:r>
      <w:r w:rsidR="00303882" w:rsidRPr="00675B09">
        <w:rPr>
          <w:lang w:val="en-GB"/>
        </w:rPr>
        <w:t>3</w:t>
      </w:r>
      <w:r w:rsidR="000860B9" w:rsidRPr="00675B09">
        <w:rPr>
          <w:lang w:val="en-GB"/>
        </w:rPr>
        <w:t>%), 12 in Africa (0</w:t>
      </w:r>
      <w:r w:rsidR="000D3C2E" w:rsidRPr="00675B09">
        <w:rPr>
          <w:lang w:val="en-GB"/>
        </w:rPr>
        <w:t>.</w:t>
      </w:r>
      <w:r w:rsidR="000860B9" w:rsidRPr="00675B09">
        <w:rPr>
          <w:lang w:val="en-GB"/>
        </w:rPr>
        <w:t xml:space="preserve">3%), and </w:t>
      </w:r>
      <w:r w:rsidR="00B97728" w:rsidRPr="00675B09">
        <w:rPr>
          <w:lang w:val="en-GB"/>
        </w:rPr>
        <w:t xml:space="preserve">293 </w:t>
      </w:r>
      <w:r w:rsidR="000860B9" w:rsidRPr="00675B09">
        <w:rPr>
          <w:lang w:val="en-GB"/>
        </w:rPr>
        <w:t>across continents (</w:t>
      </w:r>
      <w:r w:rsidR="00B97728" w:rsidRPr="00675B09">
        <w:rPr>
          <w:lang w:val="en-GB"/>
        </w:rPr>
        <w:t>30</w:t>
      </w:r>
      <w:r w:rsidR="000860B9" w:rsidRPr="00675B09">
        <w:rPr>
          <w:lang w:val="en-GB"/>
        </w:rPr>
        <w:t xml:space="preserve">%). </w:t>
      </w:r>
      <w:r w:rsidR="00690D6E" w:rsidRPr="00675B09">
        <w:rPr>
          <w:lang w:val="en-GB"/>
        </w:rPr>
        <w:t>Overall</w:t>
      </w:r>
      <w:r w:rsidR="002219F1" w:rsidRPr="00675B09">
        <w:rPr>
          <w:lang w:val="en-GB"/>
        </w:rPr>
        <w:t xml:space="preserve">, </w:t>
      </w:r>
      <w:r w:rsidR="000860B9" w:rsidRPr="00675B09">
        <w:rPr>
          <w:lang w:val="en-GB"/>
        </w:rPr>
        <w:t>51% of the included RCTs were multi-</w:t>
      </w:r>
      <w:r w:rsidR="00800330" w:rsidRPr="00675B09">
        <w:rPr>
          <w:lang w:val="en-GB"/>
        </w:rPr>
        <w:t>centre</w:t>
      </w:r>
      <w:r w:rsidR="000860B9" w:rsidRPr="00675B09">
        <w:rPr>
          <w:lang w:val="en-GB"/>
        </w:rPr>
        <w:t xml:space="preserve"> </w:t>
      </w:r>
      <w:r w:rsidR="002219F1" w:rsidRPr="00675B09">
        <w:rPr>
          <w:lang w:val="en-GB"/>
        </w:rPr>
        <w:t xml:space="preserve">studies </w:t>
      </w:r>
      <w:r w:rsidR="000860B9" w:rsidRPr="00675B09">
        <w:rPr>
          <w:lang w:val="en-GB"/>
        </w:rPr>
        <w:t xml:space="preserve">(n = </w:t>
      </w:r>
      <w:r w:rsidR="00B97728" w:rsidRPr="00675B09">
        <w:rPr>
          <w:lang w:val="en-GB"/>
        </w:rPr>
        <w:t>865</w:t>
      </w:r>
      <w:r w:rsidR="000860B9" w:rsidRPr="00675B09">
        <w:rPr>
          <w:lang w:val="en-GB"/>
        </w:rPr>
        <w:t xml:space="preserve">), </w:t>
      </w:r>
      <w:r w:rsidR="009B737C" w:rsidRPr="00675B09">
        <w:rPr>
          <w:lang w:val="en-GB"/>
        </w:rPr>
        <w:t xml:space="preserve">and </w:t>
      </w:r>
      <w:r w:rsidR="000860B9" w:rsidRPr="00675B09">
        <w:rPr>
          <w:lang w:val="en-GB"/>
        </w:rPr>
        <w:t xml:space="preserve">38% single </w:t>
      </w:r>
      <w:r w:rsidR="00800330" w:rsidRPr="00675B09">
        <w:rPr>
          <w:lang w:val="en-GB"/>
        </w:rPr>
        <w:t>centre</w:t>
      </w:r>
      <w:r w:rsidR="000860B9" w:rsidRPr="00675B09">
        <w:rPr>
          <w:lang w:val="en-GB"/>
        </w:rPr>
        <w:t xml:space="preserve"> </w:t>
      </w:r>
      <w:r w:rsidR="002219F1" w:rsidRPr="00675B09">
        <w:rPr>
          <w:lang w:val="en-GB"/>
        </w:rPr>
        <w:t xml:space="preserve">studies </w:t>
      </w:r>
      <w:r w:rsidR="000860B9" w:rsidRPr="00675B09">
        <w:rPr>
          <w:lang w:val="en-GB"/>
        </w:rPr>
        <w:t>(n</w:t>
      </w:r>
      <w:r w:rsidR="00B102B6" w:rsidRPr="00675B09">
        <w:rPr>
          <w:lang w:val="en-GB"/>
        </w:rPr>
        <w:t xml:space="preserve"> </w:t>
      </w:r>
      <w:r w:rsidR="000860B9" w:rsidRPr="00675B09">
        <w:rPr>
          <w:lang w:val="en-GB"/>
        </w:rPr>
        <w:t>= 63</w:t>
      </w:r>
      <w:r w:rsidR="00B97728" w:rsidRPr="00675B09">
        <w:rPr>
          <w:lang w:val="en-GB"/>
        </w:rPr>
        <w:t>9</w:t>
      </w:r>
      <w:r w:rsidR="000860B9" w:rsidRPr="00675B09">
        <w:rPr>
          <w:lang w:val="en-GB"/>
        </w:rPr>
        <w:t xml:space="preserve">), while the number of </w:t>
      </w:r>
      <w:r w:rsidR="00800330" w:rsidRPr="00675B09">
        <w:rPr>
          <w:lang w:val="en-GB"/>
        </w:rPr>
        <w:t>centres</w:t>
      </w:r>
      <w:r w:rsidR="000860B9" w:rsidRPr="00675B09">
        <w:rPr>
          <w:lang w:val="en-GB"/>
        </w:rPr>
        <w:t xml:space="preserve"> was </w:t>
      </w:r>
      <w:r w:rsidR="001B0A1B" w:rsidRPr="00675B09">
        <w:rPr>
          <w:lang w:val="en-GB"/>
        </w:rPr>
        <w:t>un</w:t>
      </w:r>
      <w:r w:rsidR="000860B9" w:rsidRPr="00675B09">
        <w:rPr>
          <w:lang w:val="en-GB"/>
        </w:rPr>
        <w:t xml:space="preserve">specified for </w:t>
      </w:r>
      <w:r w:rsidR="00B97728" w:rsidRPr="00675B09">
        <w:rPr>
          <w:lang w:val="en-GB"/>
        </w:rPr>
        <w:t xml:space="preserve">179 </w:t>
      </w:r>
      <w:r w:rsidR="000860B9" w:rsidRPr="00675B09">
        <w:rPr>
          <w:lang w:val="en-GB"/>
        </w:rPr>
        <w:t>(11%)</w:t>
      </w:r>
      <w:r w:rsidR="0031206E" w:rsidRPr="00675B09">
        <w:rPr>
          <w:lang w:val="en-GB"/>
        </w:rPr>
        <w:t xml:space="preserve"> (</w:t>
      </w:r>
      <w:r w:rsidR="000860B9" w:rsidRPr="00675B09">
        <w:rPr>
          <w:lang w:val="en-GB"/>
        </w:rPr>
        <w:t>Table 1</w:t>
      </w:r>
      <w:r w:rsidR="0031206E" w:rsidRPr="00675B09">
        <w:rPr>
          <w:lang w:val="en-GB"/>
        </w:rPr>
        <w:t>)</w:t>
      </w:r>
      <w:r w:rsidR="000860B9" w:rsidRPr="00675B09">
        <w:rPr>
          <w:lang w:val="en-GB"/>
        </w:rPr>
        <w:t>.</w:t>
      </w:r>
    </w:p>
    <w:p w14:paraId="44C913A4" w14:textId="2AD380EF" w:rsidR="008851C4" w:rsidRPr="00675B09" w:rsidRDefault="000860B9" w:rsidP="00533B34">
      <w:pPr>
        <w:pBdr>
          <w:top w:val="nil"/>
          <w:left w:val="nil"/>
          <w:bottom w:val="nil"/>
          <w:right w:val="nil"/>
          <w:between w:val="nil"/>
        </w:pBdr>
        <w:ind w:right="-6"/>
        <w:jc w:val="left"/>
        <w:rPr>
          <w:lang w:val="en-GB"/>
        </w:rPr>
      </w:pPr>
      <w:bookmarkStart w:id="48" w:name="_1t3h5sf" w:colFirst="0" w:colLast="0"/>
      <w:bookmarkEnd w:id="48"/>
      <w:r w:rsidRPr="00675B09">
        <w:rPr>
          <w:lang w:val="en-GB"/>
        </w:rPr>
        <w:lastRenderedPageBreak/>
        <w:t xml:space="preserve">Data on </w:t>
      </w:r>
      <w:r w:rsidR="00D05E87" w:rsidRPr="00675B09">
        <w:rPr>
          <w:lang w:val="en-GB"/>
        </w:rPr>
        <w:t>race and ethnicity</w:t>
      </w:r>
      <w:r w:rsidRPr="00675B09">
        <w:rPr>
          <w:lang w:val="en-GB"/>
        </w:rPr>
        <w:t xml:space="preserve"> w</w:t>
      </w:r>
      <w:r w:rsidR="009B737C" w:rsidRPr="00675B09">
        <w:rPr>
          <w:lang w:val="en-GB"/>
        </w:rPr>
        <w:t>ere</w:t>
      </w:r>
      <w:r w:rsidRPr="00675B09">
        <w:rPr>
          <w:lang w:val="en-GB"/>
        </w:rPr>
        <w:t xml:space="preserve"> reported for </w:t>
      </w:r>
      <w:r w:rsidR="002219F1" w:rsidRPr="00675B09">
        <w:rPr>
          <w:lang w:val="en-GB"/>
        </w:rPr>
        <w:t xml:space="preserve">660 out of </w:t>
      </w:r>
      <w:r w:rsidR="000114B8" w:rsidRPr="00675B09">
        <w:rPr>
          <w:lang w:val="en-GB"/>
        </w:rPr>
        <w:t xml:space="preserve">1683 </w:t>
      </w:r>
      <w:r w:rsidR="00690D6E" w:rsidRPr="00675B09">
        <w:rPr>
          <w:lang w:val="en-GB"/>
        </w:rPr>
        <w:t xml:space="preserve">RCTs </w:t>
      </w:r>
      <w:r w:rsidR="002219F1" w:rsidRPr="00675B09">
        <w:rPr>
          <w:lang w:val="en-GB"/>
        </w:rPr>
        <w:t xml:space="preserve">(39%), </w:t>
      </w:r>
      <w:r w:rsidRPr="00675B09">
        <w:rPr>
          <w:lang w:val="en-GB"/>
        </w:rPr>
        <w:t xml:space="preserve">with similar </w:t>
      </w:r>
      <w:r w:rsidR="00F80CB3" w:rsidRPr="00675B09">
        <w:rPr>
          <w:lang w:val="en-GB"/>
        </w:rPr>
        <w:t xml:space="preserve">figures </w:t>
      </w:r>
      <w:r w:rsidRPr="00675B09">
        <w:rPr>
          <w:lang w:val="en-GB"/>
        </w:rPr>
        <w:t xml:space="preserve">for adults (40%) and children/adolescents (38%). The percentage of RCTs reporting </w:t>
      </w:r>
      <w:r w:rsidR="005630C9" w:rsidRPr="00675B09">
        <w:rPr>
          <w:lang w:val="en-GB"/>
        </w:rPr>
        <w:t xml:space="preserve">such </w:t>
      </w:r>
      <w:r w:rsidRPr="00675B09">
        <w:rPr>
          <w:lang w:val="en-GB"/>
        </w:rPr>
        <w:t>data was the highest for bipolar disorder in children (10</w:t>
      </w:r>
      <w:r w:rsidR="00C32645" w:rsidRPr="00675B09">
        <w:rPr>
          <w:lang w:val="en-GB"/>
        </w:rPr>
        <w:t>/</w:t>
      </w:r>
      <w:r w:rsidRPr="00675B09">
        <w:rPr>
          <w:lang w:val="en-GB"/>
        </w:rPr>
        <w:t>11 RCTs reporting data</w:t>
      </w:r>
      <w:r w:rsidR="005630C9" w:rsidRPr="00675B09">
        <w:rPr>
          <w:lang w:val="en-GB"/>
        </w:rPr>
        <w:t>,</w:t>
      </w:r>
      <w:r w:rsidRPr="00675B09">
        <w:rPr>
          <w:lang w:val="en-GB"/>
        </w:rPr>
        <w:t xml:space="preserve"> conducted in the </w:t>
      </w:r>
      <w:r w:rsidR="000D15B9" w:rsidRPr="00675B09">
        <w:rPr>
          <w:lang w:val="en-GB"/>
        </w:rPr>
        <w:t>USA</w:t>
      </w:r>
      <w:r w:rsidRPr="00675B09">
        <w:rPr>
          <w:lang w:val="en-GB"/>
        </w:rPr>
        <w:t xml:space="preserve">, </w:t>
      </w:r>
      <w:r w:rsidR="00A06668" w:rsidRPr="00675B09">
        <w:rPr>
          <w:lang w:val="en-GB"/>
        </w:rPr>
        <w:t xml:space="preserve">with the </w:t>
      </w:r>
      <w:r w:rsidRPr="00675B09">
        <w:rPr>
          <w:lang w:val="en-GB"/>
        </w:rPr>
        <w:t>oldest published in 2006), and the lowest for obsessive compulsive disorder in adults (19</w:t>
      </w:r>
      <w:r w:rsidR="00C32645" w:rsidRPr="00675B09">
        <w:rPr>
          <w:lang w:val="en-GB"/>
        </w:rPr>
        <w:t>/</w:t>
      </w:r>
      <w:r w:rsidRPr="00675B09">
        <w:rPr>
          <w:lang w:val="en-GB"/>
        </w:rPr>
        <w:t xml:space="preserve">132 RCTs reporting data, most conducted in Canada, </w:t>
      </w:r>
      <w:r w:rsidR="00A06668" w:rsidRPr="00675B09">
        <w:rPr>
          <w:lang w:val="en-GB"/>
        </w:rPr>
        <w:t xml:space="preserve">with the </w:t>
      </w:r>
      <w:r w:rsidRPr="00675B09">
        <w:rPr>
          <w:lang w:val="en-GB"/>
        </w:rPr>
        <w:t>oldest published in 1989)</w:t>
      </w:r>
      <w:bookmarkStart w:id="49" w:name="_Hlk183003228"/>
      <w:r w:rsidRPr="00675B09">
        <w:rPr>
          <w:lang w:val="en-GB"/>
        </w:rPr>
        <w:t xml:space="preserve">. </w:t>
      </w:r>
      <w:r w:rsidR="00A86A50" w:rsidRPr="00675B09">
        <w:rPr>
          <w:lang w:val="en-GB"/>
        </w:rPr>
        <w:t xml:space="preserve">Indeed, there was high variability in reporting </w:t>
      </w:r>
      <w:r w:rsidR="00D05E87" w:rsidRPr="00675B09">
        <w:rPr>
          <w:lang w:val="en-GB"/>
        </w:rPr>
        <w:t>race and ethnicity</w:t>
      </w:r>
      <w:r w:rsidR="00A86A50" w:rsidRPr="00675B09">
        <w:rPr>
          <w:lang w:val="en-GB"/>
        </w:rPr>
        <w:t xml:space="preserve"> between RCTs reporting on different diagnostic categories (see Table 1, column “</w:t>
      </w:r>
      <w:r w:rsidR="001B3516" w:rsidRPr="00675B09">
        <w:rPr>
          <w:lang w:val="en-GB"/>
        </w:rPr>
        <w:t xml:space="preserve">Reporting </w:t>
      </w:r>
      <w:r w:rsidR="00D05E87" w:rsidRPr="00675B09">
        <w:rPr>
          <w:lang w:val="en-GB"/>
        </w:rPr>
        <w:t>race and ethnicity</w:t>
      </w:r>
      <w:r w:rsidR="00A86A50" w:rsidRPr="00675B09">
        <w:rPr>
          <w:lang w:val="en-GB"/>
        </w:rPr>
        <w:t>”)</w:t>
      </w:r>
      <w:bookmarkEnd w:id="49"/>
      <w:r w:rsidR="00A86A50" w:rsidRPr="00675B09">
        <w:rPr>
          <w:lang w:val="en-GB"/>
        </w:rPr>
        <w:t xml:space="preserve">. </w:t>
      </w:r>
      <w:r w:rsidRPr="00675B09">
        <w:rPr>
          <w:lang w:val="en-GB"/>
        </w:rPr>
        <w:t>R</w:t>
      </w:r>
      <w:r w:rsidR="009E2C07" w:rsidRPr="00675B09">
        <w:rPr>
          <w:lang w:val="en-GB"/>
        </w:rPr>
        <w:t>CT</w:t>
      </w:r>
      <w:r w:rsidRPr="00675B09">
        <w:rPr>
          <w:lang w:val="en-GB"/>
        </w:rPr>
        <w:t xml:space="preserve">s conducted </w:t>
      </w:r>
      <w:r w:rsidR="00A73379" w:rsidRPr="00675B09">
        <w:rPr>
          <w:lang w:val="en-GB"/>
        </w:rPr>
        <w:t>in Central</w:t>
      </w:r>
      <w:r w:rsidR="006C7076" w:rsidRPr="00675B09">
        <w:rPr>
          <w:lang w:val="en-GB"/>
        </w:rPr>
        <w:t>/</w:t>
      </w:r>
      <w:proofErr w:type="gramStart"/>
      <w:r w:rsidR="00A73379" w:rsidRPr="00675B09">
        <w:rPr>
          <w:lang w:val="en-GB"/>
        </w:rPr>
        <w:t>South</w:t>
      </w:r>
      <w:r w:rsidR="006C7076" w:rsidRPr="00675B09">
        <w:rPr>
          <w:lang w:val="en-GB"/>
        </w:rPr>
        <w:t>-</w:t>
      </w:r>
      <w:r w:rsidR="00A73379" w:rsidRPr="00675B09">
        <w:rPr>
          <w:lang w:val="en-GB"/>
        </w:rPr>
        <w:t>America</w:t>
      </w:r>
      <w:proofErr w:type="gramEnd"/>
      <w:r w:rsidR="00A73379" w:rsidRPr="00675B09">
        <w:rPr>
          <w:lang w:val="en-GB"/>
        </w:rPr>
        <w:t xml:space="preserve"> and Asia</w:t>
      </w:r>
      <w:r w:rsidR="006C7076" w:rsidRPr="00675B09">
        <w:rPr>
          <w:lang w:val="en-GB"/>
        </w:rPr>
        <w:t>/</w:t>
      </w:r>
      <w:r w:rsidR="00A73379" w:rsidRPr="00675B09">
        <w:rPr>
          <w:lang w:val="en-GB"/>
        </w:rPr>
        <w:t>Middle</w:t>
      </w:r>
      <w:r w:rsidR="006C7076" w:rsidRPr="00675B09">
        <w:rPr>
          <w:lang w:val="en-GB"/>
        </w:rPr>
        <w:t>-</w:t>
      </w:r>
      <w:r w:rsidR="00A73379" w:rsidRPr="00675B09">
        <w:rPr>
          <w:lang w:val="en-GB"/>
        </w:rPr>
        <w:t xml:space="preserve">East </w:t>
      </w:r>
      <w:r w:rsidRPr="00675B09">
        <w:rPr>
          <w:lang w:val="en-GB"/>
        </w:rPr>
        <w:t xml:space="preserve">were less likely to report </w:t>
      </w:r>
      <w:r w:rsidR="00D05E87" w:rsidRPr="00675B09">
        <w:rPr>
          <w:lang w:val="en-GB"/>
        </w:rPr>
        <w:t>race and ethnicity</w:t>
      </w:r>
      <w:r w:rsidRPr="00675B09">
        <w:rPr>
          <w:lang w:val="en-GB"/>
        </w:rPr>
        <w:t xml:space="preserve"> (</w:t>
      </w:r>
      <w:proofErr w:type="spellStart"/>
      <w:r w:rsidR="00742B18" w:rsidRPr="00675B09">
        <w:rPr>
          <w:lang w:val="en-GB"/>
        </w:rPr>
        <w:t>eTable</w:t>
      </w:r>
      <w:proofErr w:type="spellEnd"/>
      <w:r w:rsidR="00742B18" w:rsidRPr="00675B09">
        <w:rPr>
          <w:lang w:val="en-GB"/>
        </w:rPr>
        <w:t xml:space="preserve"> </w:t>
      </w:r>
      <w:r w:rsidR="00F345F2" w:rsidRPr="00675B09">
        <w:rPr>
          <w:lang w:val="en-GB"/>
        </w:rPr>
        <w:t>4</w:t>
      </w:r>
      <w:r w:rsidRPr="00675B09">
        <w:rPr>
          <w:lang w:val="en-GB"/>
        </w:rPr>
        <w:t xml:space="preserve">). Conversely, amongst </w:t>
      </w:r>
      <w:r w:rsidR="00C32645" w:rsidRPr="00675B09">
        <w:rPr>
          <w:lang w:val="en-GB"/>
        </w:rPr>
        <w:t>US-</w:t>
      </w:r>
      <w:r w:rsidRPr="00675B09">
        <w:rPr>
          <w:lang w:val="en-GB"/>
        </w:rPr>
        <w:t xml:space="preserve">RCTs, </w:t>
      </w:r>
      <w:r w:rsidR="00D05E87" w:rsidRPr="00675B09">
        <w:rPr>
          <w:lang w:val="en-GB"/>
        </w:rPr>
        <w:t>race and ethnicity</w:t>
      </w:r>
      <w:r w:rsidRPr="00675B09">
        <w:rPr>
          <w:lang w:val="en-GB"/>
        </w:rPr>
        <w:t xml:space="preserve"> were reported in 63% of RCTs on children and adolescents and 60% of RCTs on adults. Additional details about the </w:t>
      </w:r>
      <w:r w:rsidR="00641D4C" w:rsidRPr="00675B09">
        <w:rPr>
          <w:lang w:val="en-GB"/>
        </w:rPr>
        <w:t xml:space="preserve">results of the </w:t>
      </w:r>
      <w:r w:rsidRPr="00675B09">
        <w:rPr>
          <w:lang w:val="en-GB"/>
        </w:rPr>
        <w:t>meta-analyses, including heterogeneity metrics (Q, I</w:t>
      </w:r>
      <w:r w:rsidRPr="00675B09">
        <w:rPr>
          <w:vertAlign w:val="superscript"/>
          <w:lang w:val="en-GB"/>
        </w:rPr>
        <w:t>2</w:t>
      </w:r>
      <w:r w:rsidRPr="00675B09">
        <w:rPr>
          <w:lang w:val="en-GB"/>
        </w:rPr>
        <w:t> and Tau), are reported in </w:t>
      </w:r>
      <w:proofErr w:type="spellStart"/>
      <w:r w:rsidR="00742B18" w:rsidRPr="00675B09">
        <w:rPr>
          <w:lang w:val="en-GB"/>
        </w:rPr>
        <w:t>eTable</w:t>
      </w:r>
      <w:proofErr w:type="spellEnd"/>
      <w:r w:rsidR="00742B18" w:rsidRPr="00675B09">
        <w:rPr>
          <w:lang w:val="en-GB"/>
        </w:rPr>
        <w:t xml:space="preserve"> </w:t>
      </w:r>
      <w:r w:rsidR="00F345F2" w:rsidRPr="00675B09">
        <w:rPr>
          <w:lang w:val="en-GB"/>
        </w:rPr>
        <w:t>5</w:t>
      </w:r>
      <w:r w:rsidRPr="00675B09">
        <w:rPr>
          <w:lang w:val="en-GB"/>
        </w:rPr>
        <w:t>.</w:t>
      </w:r>
    </w:p>
    <w:p w14:paraId="623EFB7C" w14:textId="1479C799" w:rsidR="009B737C" w:rsidRPr="00675B09" w:rsidRDefault="009B737C" w:rsidP="00533B34">
      <w:pPr>
        <w:widowControl/>
        <w:ind w:right="0"/>
        <w:jc w:val="left"/>
        <w:rPr>
          <w:lang w:val="en-GB"/>
        </w:rPr>
      </w:pPr>
      <w:bookmarkStart w:id="50" w:name="_Hlk183017234"/>
      <w:r w:rsidRPr="00675B09">
        <w:rPr>
          <w:lang w:val="en-GB"/>
        </w:rPr>
        <w:t xml:space="preserve">Across RCTs </w:t>
      </w:r>
      <w:r w:rsidR="00C32645" w:rsidRPr="00675B09">
        <w:rPr>
          <w:lang w:val="en-GB"/>
        </w:rPr>
        <w:t xml:space="preserve">reporting </w:t>
      </w:r>
      <w:r w:rsidR="00D05E87" w:rsidRPr="00675B09">
        <w:rPr>
          <w:lang w:val="en-GB"/>
        </w:rPr>
        <w:t>race and ethnicity</w:t>
      </w:r>
      <w:r w:rsidRPr="00675B09">
        <w:rPr>
          <w:lang w:val="en-GB"/>
        </w:rPr>
        <w:t xml:space="preserve">, </w:t>
      </w:r>
      <w:r w:rsidR="000860B9" w:rsidRPr="00675B09">
        <w:rPr>
          <w:lang w:val="en-GB"/>
        </w:rPr>
        <w:t>2</w:t>
      </w:r>
      <w:r w:rsidR="000D3C2E" w:rsidRPr="00675B09">
        <w:rPr>
          <w:lang w:val="en-GB"/>
        </w:rPr>
        <w:t>.</w:t>
      </w:r>
      <w:r w:rsidR="000860B9" w:rsidRPr="00675B09">
        <w:rPr>
          <w:lang w:val="en-GB"/>
        </w:rPr>
        <w:t>7% of participants (95</w:t>
      </w:r>
      <w:r w:rsidR="00BC1FE9" w:rsidRPr="00675B09">
        <w:rPr>
          <w:lang w:val="en-GB"/>
        </w:rPr>
        <w:t>%</w:t>
      </w:r>
      <w:r w:rsidR="000860B9" w:rsidRPr="00675B09">
        <w:rPr>
          <w:lang w:val="en-GB"/>
        </w:rPr>
        <w:t xml:space="preserve"> </w:t>
      </w:r>
      <w:r w:rsidR="00BC1FE9" w:rsidRPr="00675B09">
        <w:rPr>
          <w:lang w:val="en-GB"/>
        </w:rPr>
        <w:t>confidence interval</w:t>
      </w:r>
      <w:r w:rsidR="00B102B6" w:rsidRPr="00675B09">
        <w:rPr>
          <w:lang w:val="en-GB"/>
        </w:rPr>
        <w:t xml:space="preserve"> </w:t>
      </w:r>
      <w:r w:rsidR="000860B9" w:rsidRPr="00675B09">
        <w:rPr>
          <w:lang w:val="en-GB"/>
        </w:rPr>
        <w:t>= 2</w:t>
      </w:r>
      <w:r w:rsidR="000D3C2E" w:rsidRPr="00675B09">
        <w:rPr>
          <w:lang w:val="en-GB"/>
        </w:rPr>
        <w:t>.</w:t>
      </w:r>
      <w:r w:rsidR="000860B9" w:rsidRPr="00675B09">
        <w:rPr>
          <w:lang w:val="en-GB"/>
        </w:rPr>
        <w:t>1</w:t>
      </w:r>
      <w:r w:rsidR="00BC1FE9" w:rsidRPr="00675B09">
        <w:rPr>
          <w:lang w:val="en-GB"/>
        </w:rPr>
        <w:t>-</w:t>
      </w:r>
      <w:r w:rsidR="000860B9" w:rsidRPr="00675B09">
        <w:rPr>
          <w:lang w:val="en-GB"/>
        </w:rPr>
        <w:t>3</w:t>
      </w:r>
      <w:r w:rsidR="000D3C2E" w:rsidRPr="00675B09">
        <w:rPr>
          <w:lang w:val="en-GB"/>
        </w:rPr>
        <w:t>.</w:t>
      </w:r>
      <w:r w:rsidR="000860B9" w:rsidRPr="00675B09">
        <w:rPr>
          <w:lang w:val="en-GB"/>
        </w:rPr>
        <w:t xml:space="preserve">5) reported their </w:t>
      </w:r>
      <w:r w:rsidR="00D05E87" w:rsidRPr="00675B09">
        <w:rPr>
          <w:lang w:val="en-GB"/>
        </w:rPr>
        <w:t>race and ethnicity</w:t>
      </w:r>
      <w:r w:rsidR="000860B9" w:rsidRPr="00675B09">
        <w:rPr>
          <w:lang w:val="en-GB"/>
        </w:rPr>
        <w:t xml:space="preserve"> as Asian, 9</w:t>
      </w:r>
      <w:r w:rsidR="000D3C2E" w:rsidRPr="00675B09">
        <w:rPr>
          <w:lang w:val="en-GB"/>
        </w:rPr>
        <w:t>.</w:t>
      </w:r>
      <w:r w:rsidR="000860B9" w:rsidRPr="00675B09">
        <w:rPr>
          <w:lang w:val="en-GB"/>
        </w:rPr>
        <w:t>0% (8</w:t>
      </w:r>
      <w:r w:rsidR="000D3C2E" w:rsidRPr="00675B09">
        <w:rPr>
          <w:lang w:val="en-GB"/>
        </w:rPr>
        <w:t>.</w:t>
      </w:r>
      <w:r w:rsidR="000860B9" w:rsidRPr="00675B09">
        <w:rPr>
          <w:lang w:val="en-GB"/>
        </w:rPr>
        <w:t>1</w:t>
      </w:r>
      <w:r w:rsidR="00BC1FE9" w:rsidRPr="00675B09">
        <w:rPr>
          <w:lang w:val="en-GB"/>
        </w:rPr>
        <w:t>-</w:t>
      </w:r>
      <w:r w:rsidR="000860B9" w:rsidRPr="00675B09">
        <w:rPr>
          <w:lang w:val="en-GB"/>
        </w:rPr>
        <w:t>10</w:t>
      </w:r>
      <w:r w:rsidR="000D3C2E" w:rsidRPr="00675B09">
        <w:rPr>
          <w:lang w:val="en-GB"/>
        </w:rPr>
        <w:t>.</w:t>
      </w:r>
      <w:r w:rsidR="000860B9" w:rsidRPr="00675B09">
        <w:rPr>
          <w:lang w:val="en-GB"/>
        </w:rPr>
        <w:t>0) Black, 5</w:t>
      </w:r>
      <w:r w:rsidR="000D3C2E" w:rsidRPr="00675B09">
        <w:rPr>
          <w:lang w:val="en-GB"/>
        </w:rPr>
        <w:t>.</w:t>
      </w:r>
      <w:r w:rsidR="000860B9" w:rsidRPr="00675B09">
        <w:rPr>
          <w:lang w:val="en-GB"/>
        </w:rPr>
        <w:t>8% (5</w:t>
      </w:r>
      <w:r w:rsidR="000D3C2E" w:rsidRPr="00675B09">
        <w:rPr>
          <w:lang w:val="en-GB"/>
        </w:rPr>
        <w:t>.</w:t>
      </w:r>
      <w:r w:rsidR="000860B9" w:rsidRPr="00675B09">
        <w:rPr>
          <w:lang w:val="en-GB"/>
        </w:rPr>
        <w:t>2</w:t>
      </w:r>
      <w:r w:rsidR="00BC1FE9" w:rsidRPr="00675B09">
        <w:rPr>
          <w:lang w:val="en-GB"/>
        </w:rPr>
        <w:t>-</w:t>
      </w:r>
      <w:r w:rsidR="000860B9" w:rsidRPr="00675B09">
        <w:rPr>
          <w:lang w:val="en-GB"/>
        </w:rPr>
        <w:t>6</w:t>
      </w:r>
      <w:r w:rsidR="000D3C2E" w:rsidRPr="00675B09">
        <w:rPr>
          <w:lang w:val="en-GB"/>
        </w:rPr>
        <w:t>.</w:t>
      </w:r>
      <w:r w:rsidR="000860B9" w:rsidRPr="00675B09">
        <w:rPr>
          <w:lang w:val="en-GB"/>
        </w:rPr>
        <w:t>4) Other/Mixed Ethnicity, and 80</w:t>
      </w:r>
      <w:r w:rsidR="000D3C2E" w:rsidRPr="00675B09">
        <w:rPr>
          <w:lang w:val="en-GB"/>
        </w:rPr>
        <w:t>.</w:t>
      </w:r>
      <w:r w:rsidR="000860B9" w:rsidRPr="00675B09">
        <w:rPr>
          <w:lang w:val="en-GB"/>
        </w:rPr>
        <w:t>2% (78</w:t>
      </w:r>
      <w:r w:rsidR="000D3C2E" w:rsidRPr="00675B09">
        <w:rPr>
          <w:lang w:val="en-GB"/>
        </w:rPr>
        <w:t>.</w:t>
      </w:r>
      <w:r w:rsidR="000860B9" w:rsidRPr="00675B09">
        <w:rPr>
          <w:lang w:val="en-GB"/>
        </w:rPr>
        <w:t>8</w:t>
      </w:r>
      <w:r w:rsidR="00BC1FE9" w:rsidRPr="00675B09">
        <w:rPr>
          <w:lang w:val="en-GB"/>
        </w:rPr>
        <w:t>-</w:t>
      </w:r>
      <w:r w:rsidR="000860B9" w:rsidRPr="00675B09">
        <w:rPr>
          <w:lang w:val="en-GB"/>
        </w:rPr>
        <w:t>81</w:t>
      </w:r>
      <w:r w:rsidR="000D3C2E" w:rsidRPr="00675B09">
        <w:rPr>
          <w:lang w:val="en-GB"/>
        </w:rPr>
        <w:t>.</w:t>
      </w:r>
      <w:r w:rsidR="000860B9" w:rsidRPr="00675B09">
        <w:rPr>
          <w:lang w:val="en-GB"/>
        </w:rPr>
        <w:t xml:space="preserve">5) </w:t>
      </w:r>
      <w:r w:rsidR="00711852" w:rsidRPr="00675B09">
        <w:rPr>
          <w:lang w:val="en-GB"/>
        </w:rPr>
        <w:t>White-including-Hispanic</w:t>
      </w:r>
      <w:r w:rsidR="00372D2B" w:rsidRPr="00675B09">
        <w:rPr>
          <w:lang w:val="en-GB"/>
        </w:rPr>
        <w:t xml:space="preserve">, </w:t>
      </w:r>
      <w:r w:rsidR="00A1370D" w:rsidRPr="00675B09">
        <w:rPr>
          <w:lang w:val="en-GB"/>
        </w:rPr>
        <w:t>of which 11.0% (9.1-13.3) Hispanic-among-White</w:t>
      </w:r>
      <w:r w:rsidR="000860B9" w:rsidRPr="00675B09">
        <w:rPr>
          <w:lang w:val="en-GB"/>
        </w:rPr>
        <w:t xml:space="preserve">. </w:t>
      </w:r>
      <w:bookmarkEnd w:id="50"/>
      <w:r w:rsidRPr="00675B09">
        <w:rPr>
          <w:lang w:val="en-GB"/>
        </w:rPr>
        <w:t xml:space="preserve">Studies </w:t>
      </w:r>
      <w:r w:rsidR="005630C9" w:rsidRPr="00675B09">
        <w:rPr>
          <w:lang w:val="en-GB"/>
        </w:rPr>
        <w:t xml:space="preserve">reporting </w:t>
      </w:r>
      <w:r w:rsidR="00D05E87" w:rsidRPr="00675B09">
        <w:rPr>
          <w:lang w:val="en-GB"/>
        </w:rPr>
        <w:t>race and ethnicity</w:t>
      </w:r>
      <w:r w:rsidRPr="00675B09">
        <w:rPr>
          <w:lang w:val="en-GB"/>
        </w:rPr>
        <w:t xml:space="preserve"> did not generally include larger sample sizes (mean sample size</w:t>
      </w:r>
      <w:r w:rsidR="00B102B6" w:rsidRPr="00675B09">
        <w:rPr>
          <w:lang w:val="en-GB"/>
        </w:rPr>
        <w:t xml:space="preserve"> </w:t>
      </w:r>
      <w:r w:rsidRPr="00675B09">
        <w:rPr>
          <w:lang w:val="en-GB"/>
        </w:rPr>
        <w:t>=</w:t>
      </w:r>
      <w:r w:rsidR="00B102B6" w:rsidRPr="00675B09">
        <w:rPr>
          <w:lang w:val="en-GB"/>
        </w:rPr>
        <w:t xml:space="preserve"> </w:t>
      </w:r>
      <w:r w:rsidRPr="00675B09">
        <w:rPr>
          <w:lang w:val="en-GB"/>
        </w:rPr>
        <w:t>262 participants) compared to those not reporting such data (197 participants) (t</w:t>
      </w:r>
      <w:r w:rsidR="00B102B6" w:rsidRPr="00675B09">
        <w:rPr>
          <w:lang w:val="en-GB"/>
        </w:rPr>
        <w:t xml:space="preserve"> </w:t>
      </w:r>
      <w:r w:rsidRPr="00675B09">
        <w:rPr>
          <w:lang w:val="en-GB"/>
        </w:rPr>
        <w:t>=</w:t>
      </w:r>
      <w:r w:rsidR="00B102B6" w:rsidRPr="00675B09">
        <w:rPr>
          <w:lang w:val="en-GB"/>
        </w:rPr>
        <w:t xml:space="preserve"> </w:t>
      </w:r>
      <w:r w:rsidRPr="00675B09">
        <w:rPr>
          <w:lang w:val="en-GB"/>
        </w:rPr>
        <w:t>1</w:t>
      </w:r>
      <w:r w:rsidR="000D3C2E" w:rsidRPr="00675B09">
        <w:rPr>
          <w:lang w:val="en-GB"/>
        </w:rPr>
        <w:t>.</w:t>
      </w:r>
      <w:r w:rsidRPr="00675B09">
        <w:rPr>
          <w:lang w:val="en-GB"/>
        </w:rPr>
        <w:t>7, p</w:t>
      </w:r>
      <w:r w:rsidR="00B102B6" w:rsidRPr="00675B09">
        <w:rPr>
          <w:lang w:val="en-GB"/>
        </w:rPr>
        <w:t xml:space="preserve"> </w:t>
      </w:r>
      <w:r w:rsidRPr="00675B09">
        <w:rPr>
          <w:lang w:val="en-GB"/>
        </w:rPr>
        <w:t>=</w:t>
      </w:r>
      <w:r w:rsidR="00B102B6" w:rsidRPr="00675B09">
        <w:rPr>
          <w:lang w:val="en-GB"/>
        </w:rPr>
        <w:t xml:space="preserve"> </w:t>
      </w:r>
      <w:r w:rsidRPr="00675B09">
        <w:rPr>
          <w:lang w:val="en-GB"/>
        </w:rPr>
        <w:t>0</w:t>
      </w:r>
      <w:r w:rsidR="000D3C2E" w:rsidRPr="00675B09">
        <w:rPr>
          <w:lang w:val="en-GB"/>
        </w:rPr>
        <w:t>.</w:t>
      </w:r>
      <w:r w:rsidRPr="00675B09">
        <w:rPr>
          <w:lang w:val="en-GB"/>
        </w:rPr>
        <w:t>09)</w:t>
      </w:r>
      <w:r w:rsidR="00B102B6" w:rsidRPr="00675B09">
        <w:rPr>
          <w:lang w:val="en-GB"/>
        </w:rPr>
        <w:t>. H</w:t>
      </w:r>
      <w:r w:rsidRPr="00675B09">
        <w:rPr>
          <w:lang w:val="en-GB"/>
        </w:rPr>
        <w:t>owever</w:t>
      </w:r>
      <w:r w:rsidR="00B102B6" w:rsidRPr="00675B09">
        <w:rPr>
          <w:lang w:val="en-GB"/>
        </w:rPr>
        <w:t>,</w:t>
      </w:r>
      <w:r w:rsidRPr="00675B09">
        <w:rPr>
          <w:lang w:val="en-GB"/>
        </w:rPr>
        <w:t xml:space="preserve"> there were differences across continents</w:t>
      </w:r>
      <w:r w:rsidR="00B102B6" w:rsidRPr="00675B09">
        <w:rPr>
          <w:lang w:val="en-GB"/>
        </w:rPr>
        <w:t>;</w:t>
      </w:r>
      <w:r w:rsidRPr="00675B09">
        <w:rPr>
          <w:lang w:val="en-GB"/>
        </w:rPr>
        <w:t xml:space="preserve"> </w:t>
      </w:r>
      <w:r w:rsidR="00B102B6" w:rsidRPr="00675B09">
        <w:rPr>
          <w:lang w:val="en-GB"/>
        </w:rPr>
        <w:t>f</w:t>
      </w:r>
      <w:r w:rsidRPr="00675B09">
        <w:rPr>
          <w:lang w:val="en-GB"/>
        </w:rPr>
        <w:t xml:space="preserve">or example, RCTs reporting </w:t>
      </w:r>
      <w:r w:rsidR="00D05E87" w:rsidRPr="00675B09">
        <w:rPr>
          <w:lang w:val="en-GB"/>
        </w:rPr>
        <w:t>race and ethnicity</w:t>
      </w:r>
      <w:r w:rsidRPr="00675B09">
        <w:rPr>
          <w:lang w:val="en-GB"/>
        </w:rPr>
        <w:t xml:space="preserve"> in Africa, Asia and Middle East, and Europe (but not Oceania or the USA) included larger sample sizes </w:t>
      </w:r>
      <w:r w:rsidR="005630C9" w:rsidRPr="00675B09">
        <w:rPr>
          <w:lang w:val="en-GB"/>
        </w:rPr>
        <w:t xml:space="preserve">compared to those not </w:t>
      </w:r>
      <w:r w:rsidRPr="00675B09">
        <w:rPr>
          <w:lang w:val="en-GB"/>
        </w:rPr>
        <w:t xml:space="preserve">reporting </w:t>
      </w:r>
      <w:r w:rsidR="004D17D2" w:rsidRPr="00675B09">
        <w:rPr>
          <w:lang w:val="en-GB"/>
        </w:rPr>
        <w:t>(</w:t>
      </w:r>
      <w:proofErr w:type="spellStart"/>
      <w:r w:rsidR="00742B18" w:rsidRPr="00675B09">
        <w:rPr>
          <w:lang w:val="en-GB"/>
        </w:rPr>
        <w:t>eTable</w:t>
      </w:r>
      <w:proofErr w:type="spellEnd"/>
      <w:r w:rsidR="00742B18" w:rsidRPr="00675B09">
        <w:rPr>
          <w:lang w:val="en-GB"/>
        </w:rPr>
        <w:t xml:space="preserve"> </w:t>
      </w:r>
      <w:r w:rsidR="008875F7" w:rsidRPr="00675B09">
        <w:rPr>
          <w:lang w:val="en-GB"/>
        </w:rPr>
        <w:t>6</w:t>
      </w:r>
      <w:r w:rsidR="004D17D2" w:rsidRPr="00675B09">
        <w:rPr>
          <w:lang w:val="en-GB"/>
        </w:rPr>
        <w:t>)</w:t>
      </w:r>
      <w:r w:rsidRPr="00675B09">
        <w:rPr>
          <w:lang w:val="en-GB"/>
        </w:rPr>
        <w:t>.</w:t>
      </w:r>
    </w:p>
    <w:p w14:paraId="7A19359F" w14:textId="385D0B5E" w:rsidR="009B737C" w:rsidRPr="00675B09" w:rsidRDefault="009B737C" w:rsidP="00533B34">
      <w:pPr>
        <w:widowControl/>
        <w:ind w:right="0"/>
        <w:jc w:val="left"/>
        <w:rPr>
          <w:lang w:val="en-GB"/>
        </w:rPr>
      </w:pPr>
      <w:r w:rsidRPr="00675B09">
        <w:rPr>
          <w:lang w:val="en-GB"/>
        </w:rPr>
        <w:t xml:space="preserve">Figure </w:t>
      </w:r>
      <w:r w:rsidR="00DD773A" w:rsidRPr="00675B09">
        <w:rPr>
          <w:lang w:val="en-GB"/>
        </w:rPr>
        <w:t xml:space="preserve">2 </w:t>
      </w:r>
      <w:r w:rsidRPr="00675B09">
        <w:rPr>
          <w:lang w:val="en-GB"/>
        </w:rPr>
        <w:t xml:space="preserve">shows the temporal trends in reporting </w:t>
      </w:r>
      <w:r w:rsidR="00D05E87" w:rsidRPr="00675B09">
        <w:rPr>
          <w:lang w:val="en-GB"/>
        </w:rPr>
        <w:t>race and ethnicity</w:t>
      </w:r>
      <w:r w:rsidRPr="00675B09">
        <w:rPr>
          <w:lang w:val="en-GB"/>
        </w:rPr>
        <w:t xml:space="preserve"> for RCTs conducted in the USA and elsewhere. </w:t>
      </w:r>
      <w:bookmarkStart w:id="51" w:name="_Hlk185235988"/>
      <w:bookmarkStart w:id="52" w:name="_Hlk183092249"/>
      <w:r w:rsidRPr="00675B09">
        <w:rPr>
          <w:lang w:val="en-GB"/>
        </w:rPr>
        <w:t>The log odds of reporting race proportions increased by 0</w:t>
      </w:r>
      <w:r w:rsidR="000D3C2E" w:rsidRPr="00675B09">
        <w:rPr>
          <w:lang w:val="en-GB"/>
        </w:rPr>
        <w:t>.</w:t>
      </w:r>
      <w:r w:rsidRPr="00675B09">
        <w:rPr>
          <w:lang w:val="en-GB"/>
        </w:rPr>
        <w:t>038 (SE</w:t>
      </w:r>
      <w:r w:rsidR="00B102B6" w:rsidRPr="00675B09">
        <w:rPr>
          <w:lang w:val="en-GB"/>
        </w:rPr>
        <w:t xml:space="preserve"> </w:t>
      </w:r>
      <w:r w:rsidRPr="00675B09">
        <w:rPr>
          <w:lang w:val="en-GB"/>
        </w:rPr>
        <w:t>=</w:t>
      </w:r>
      <w:r w:rsidR="00B102B6" w:rsidRPr="00675B09">
        <w:rPr>
          <w:lang w:val="en-GB"/>
        </w:rPr>
        <w:t xml:space="preserve"> </w:t>
      </w:r>
      <w:r w:rsidRPr="00675B09">
        <w:rPr>
          <w:lang w:val="en-GB"/>
        </w:rPr>
        <w:t>0</w:t>
      </w:r>
      <w:r w:rsidR="000D3C2E" w:rsidRPr="00675B09">
        <w:rPr>
          <w:lang w:val="en-GB"/>
        </w:rPr>
        <w:t>.</w:t>
      </w:r>
      <w:r w:rsidRPr="00675B09">
        <w:rPr>
          <w:lang w:val="en-GB"/>
        </w:rPr>
        <w:t>005, p</w:t>
      </w:r>
      <w:r w:rsidR="00B102B6" w:rsidRPr="00675B09">
        <w:rPr>
          <w:lang w:val="en-GB"/>
        </w:rPr>
        <w:t xml:space="preserve"> </w:t>
      </w:r>
      <w:r w:rsidRPr="00675B09">
        <w:rPr>
          <w:lang w:val="en-GB"/>
        </w:rPr>
        <w:t>&lt;</w:t>
      </w:r>
      <w:r w:rsidR="00B102B6" w:rsidRPr="00675B09">
        <w:rPr>
          <w:lang w:val="en-GB"/>
        </w:rPr>
        <w:t xml:space="preserve"> </w:t>
      </w:r>
      <w:r w:rsidRPr="00675B09">
        <w:rPr>
          <w:lang w:val="en-GB"/>
        </w:rPr>
        <w:t>0</w:t>
      </w:r>
      <w:r w:rsidR="000D3C2E" w:rsidRPr="00675B09">
        <w:rPr>
          <w:lang w:val="en-GB"/>
        </w:rPr>
        <w:t>.</w:t>
      </w:r>
      <w:r w:rsidRPr="00675B09">
        <w:rPr>
          <w:lang w:val="en-GB"/>
        </w:rPr>
        <w:t>001) across all RCTs each year. When focusing on data from the USA only, the log odds increased by 0</w:t>
      </w:r>
      <w:r w:rsidR="000D3C2E" w:rsidRPr="00675B09">
        <w:rPr>
          <w:lang w:val="en-GB"/>
        </w:rPr>
        <w:t>.</w:t>
      </w:r>
      <w:r w:rsidRPr="00675B09">
        <w:rPr>
          <w:lang w:val="en-GB"/>
        </w:rPr>
        <w:t>0</w:t>
      </w:r>
      <w:r w:rsidR="00C44EB5" w:rsidRPr="00675B09">
        <w:rPr>
          <w:lang w:val="en-GB"/>
        </w:rPr>
        <w:t>66</w:t>
      </w:r>
      <w:r w:rsidRPr="00675B09">
        <w:rPr>
          <w:lang w:val="en-GB"/>
        </w:rPr>
        <w:t xml:space="preserve"> (SE</w:t>
      </w:r>
      <w:r w:rsidR="00B102B6" w:rsidRPr="00675B09">
        <w:rPr>
          <w:lang w:val="en-GB"/>
        </w:rPr>
        <w:t xml:space="preserve"> </w:t>
      </w:r>
      <w:r w:rsidRPr="00675B09">
        <w:rPr>
          <w:lang w:val="en-GB"/>
        </w:rPr>
        <w:t>=</w:t>
      </w:r>
      <w:r w:rsidR="00B102B6" w:rsidRPr="00675B09">
        <w:rPr>
          <w:lang w:val="en-GB"/>
        </w:rPr>
        <w:t xml:space="preserve"> </w:t>
      </w:r>
      <w:r w:rsidRPr="00675B09">
        <w:rPr>
          <w:lang w:val="en-GB"/>
        </w:rPr>
        <w:t>0</w:t>
      </w:r>
      <w:r w:rsidR="000D3C2E" w:rsidRPr="00675B09">
        <w:rPr>
          <w:lang w:val="en-GB"/>
        </w:rPr>
        <w:t>.</w:t>
      </w:r>
      <w:r w:rsidRPr="00675B09">
        <w:rPr>
          <w:lang w:val="en-GB"/>
        </w:rPr>
        <w:t>008, p</w:t>
      </w:r>
      <w:r w:rsidR="00B102B6" w:rsidRPr="00675B09">
        <w:rPr>
          <w:lang w:val="en-GB"/>
        </w:rPr>
        <w:t xml:space="preserve"> </w:t>
      </w:r>
      <w:r w:rsidRPr="00675B09">
        <w:rPr>
          <w:lang w:val="en-GB"/>
        </w:rPr>
        <w:t>&lt;</w:t>
      </w:r>
      <w:r w:rsidR="00B102B6" w:rsidRPr="00675B09">
        <w:rPr>
          <w:lang w:val="en-GB"/>
        </w:rPr>
        <w:t xml:space="preserve"> </w:t>
      </w:r>
      <w:r w:rsidRPr="00675B09">
        <w:rPr>
          <w:lang w:val="en-GB"/>
        </w:rPr>
        <w:t>0</w:t>
      </w:r>
      <w:r w:rsidR="000D3C2E" w:rsidRPr="00675B09">
        <w:rPr>
          <w:lang w:val="en-GB"/>
        </w:rPr>
        <w:t>.</w:t>
      </w:r>
      <w:r w:rsidRPr="00675B09">
        <w:rPr>
          <w:lang w:val="en-GB"/>
        </w:rPr>
        <w:t xml:space="preserve">001). By contrast, when considering data </w:t>
      </w:r>
      <w:r w:rsidRPr="00675B09">
        <w:rPr>
          <w:lang w:val="en-GB"/>
        </w:rPr>
        <w:lastRenderedPageBreak/>
        <w:t>from countries other than the USA, reporting only increased by 0.023 (SE</w:t>
      </w:r>
      <w:r w:rsidR="00B102B6" w:rsidRPr="00675B09">
        <w:rPr>
          <w:lang w:val="en-GB"/>
        </w:rPr>
        <w:t xml:space="preserve"> </w:t>
      </w:r>
      <w:r w:rsidRPr="00675B09">
        <w:rPr>
          <w:lang w:val="en-GB"/>
        </w:rPr>
        <w:t>=</w:t>
      </w:r>
      <w:r w:rsidR="00B102B6" w:rsidRPr="00675B09">
        <w:rPr>
          <w:lang w:val="en-GB"/>
        </w:rPr>
        <w:t xml:space="preserve"> </w:t>
      </w:r>
      <w:r w:rsidRPr="00675B09">
        <w:rPr>
          <w:lang w:val="en-GB"/>
        </w:rPr>
        <w:t>0</w:t>
      </w:r>
      <w:r w:rsidR="000D3C2E" w:rsidRPr="00675B09">
        <w:rPr>
          <w:lang w:val="en-GB"/>
        </w:rPr>
        <w:t>.</w:t>
      </w:r>
      <w:r w:rsidRPr="00675B09">
        <w:rPr>
          <w:lang w:val="en-GB"/>
        </w:rPr>
        <w:t>009, p</w:t>
      </w:r>
      <w:r w:rsidR="00B102B6" w:rsidRPr="00675B09">
        <w:rPr>
          <w:lang w:val="en-GB"/>
        </w:rPr>
        <w:t xml:space="preserve"> </w:t>
      </w:r>
      <w:r w:rsidRPr="00675B09">
        <w:rPr>
          <w:lang w:val="en-GB"/>
        </w:rPr>
        <w:t>=</w:t>
      </w:r>
      <w:r w:rsidR="00B102B6" w:rsidRPr="00675B09">
        <w:rPr>
          <w:lang w:val="en-GB"/>
        </w:rPr>
        <w:t xml:space="preserve"> </w:t>
      </w:r>
      <w:r w:rsidRPr="00675B09">
        <w:rPr>
          <w:lang w:val="en-GB"/>
        </w:rPr>
        <w:t>0</w:t>
      </w:r>
      <w:r w:rsidR="000D3C2E" w:rsidRPr="00675B09">
        <w:rPr>
          <w:lang w:val="en-GB"/>
        </w:rPr>
        <w:t>.</w:t>
      </w:r>
      <w:r w:rsidRPr="00675B09">
        <w:rPr>
          <w:lang w:val="en-GB"/>
        </w:rPr>
        <w:t>007)</w:t>
      </w:r>
      <w:r w:rsidR="000B1C41" w:rsidRPr="00675B09">
        <w:rPr>
          <w:lang w:val="en-GB"/>
        </w:rPr>
        <w:t xml:space="preserve"> (difference 0.04</w:t>
      </w:r>
      <w:r w:rsidR="00C44EB5" w:rsidRPr="00675B09">
        <w:rPr>
          <w:lang w:val="en-GB"/>
        </w:rPr>
        <w:t>2</w:t>
      </w:r>
      <w:r w:rsidR="000B1C41" w:rsidRPr="00675B09">
        <w:rPr>
          <w:lang w:val="en-GB"/>
        </w:rPr>
        <w:t>, p &lt; 0.001)</w:t>
      </w:r>
      <w:r w:rsidRPr="00675B09">
        <w:rPr>
          <w:lang w:val="en-GB"/>
        </w:rPr>
        <w:t>. The percentage of studies reporting Hispanic as a separate racial/ethnic group increased</w:t>
      </w:r>
      <w:r w:rsidR="0078135C" w:rsidRPr="00675B09">
        <w:rPr>
          <w:lang w:val="en-GB"/>
        </w:rPr>
        <w:t xml:space="preserve"> </w:t>
      </w:r>
      <w:r w:rsidR="000B1C41" w:rsidRPr="00675B09">
        <w:rPr>
          <w:lang w:val="en-GB"/>
        </w:rPr>
        <w:t>similarly</w:t>
      </w:r>
      <w:r w:rsidR="0078135C" w:rsidRPr="00675B09">
        <w:rPr>
          <w:lang w:val="en-GB"/>
        </w:rPr>
        <w:t xml:space="preserve"> in</w:t>
      </w:r>
      <w:r w:rsidR="002F240F" w:rsidRPr="00675B09">
        <w:rPr>
          <w:lang w:val="en-GB"/>
        </w:rPr>
        <w:t xml:space="preserve"> RCTs conducted in the</w:t>
      </w:r>
      <w:r w:rsidR="0078135C" w:rsidRPr="00675B09">
        <w:rPr>
          <w:lang w:val="en-GB"/>
        </w:rPr>
        <w:t xml:space="preserve"> US (yearly log odds increase 0.0</w:t>
      </w:r>
      <w:r w:rsidR="005541F1" w:rsidRPr="00675B09">
        <w:rPr>
          <w:lang w:val="en-GB"/>
        </w:rPr>
        <w:t>81</w:t>
      </w:r>
      <w:r w:rsidR="0078135C" w:rsidRPr="00675B09">
        <w:rPr>
          <w:lang w:val="en-GB"/>
        </w:rPr>
        <w:t xml:space="preserve">, SE = </w:t>
      </w:r>
      <w:r w:rsidR="000B1C41" w:rsidRPr="00675B09">
        <w:rPr>
          <w:lang w:val="en-GB"/>
        </w:rPr>
        <w:t>0.01</w:t>
      </w:r>
      <w:r w:rsidR="005541F1" w:rsidRPr="00675B09">
        <w:rPr>
          <w:lang w:val="en-GB"/>
        </w:rPr>
        <w:t>2</w:t>
      </w:r>
      <w:r w:rsidR="0078135C" w:rsidRPr="00675B09">
        <w:rPr>
          <w:lang w:val="en-GB"/>
        </w:rPr>
        <w:t xml:space="preserve">, p &lt; 0.001) </w:t>
      </w:r>
      <w:r w:rsidR="000B1C41" w:rsidRPr="00675B09">
        <w:rPr>
          <w:lang w:val="en-GB"/>
        </w:rPr>
        <w:t>and</w:t>
      </w:r>
      <w:r w:rsidR="0078135C" w:rsidRPr="00675B09">
        <w:rPr>
          <w:lang w:val="en-GB"/>
        </w:rPr>
        <w:t xml:space="preserve"> </w:t>
      </w:r>
      <w:r w:rsidR="002F240F" w:rsidRPr="00675B09">
        <w:rPr>
          <w:lang w:val="en-GB"/>
        </w:rPr>
        <w:t>elsewhere</w:t>
      </w:r>
      <w:r w:rsidR="0078135C" w:rsidRPr="00675B09">
        <w:rPr>
          <w:lang w:val="en-GB"/>
        </w:rPr>
        <w:t xml:space="preserve"> (yearly log odds increase </w:t>
      </w:r>
      <w:r w:rsidR="00615C5F" w:rsidRPr="00675B09">
        <w:rPr>
          <w:lang w:val="en-GB"/>
        </w:rPr>
        <w:t xml:space="preserve">= </w:t>
      </w:r>
      <w:r w:rsidR="0078135C" w:rsidRPr="00675B09">
        <w:rPr>
          <w:lang w:val="en-GB"/>
        </w:rPr>
        <w:t xml:space="preserve">0.064, SE = </w:t>
      </w:r>
      <w:r w:rsidR="000B1C41" w:rsidRPr="00675B09">
        <w:rPr>
          <w:lang w:val="en-GB"/>
        </w:rPr>
        <w:t>0.018</w:t>
      </w:r>
      <w:r w:rsidR="0078135C" w:rsidRPr="00675B09">
        <w:rPr>
          <w:lang w:val="en-GB"/>
        </w:rPr>
        <w:t>, p &lt; 0.001)</w:t>
      </w:r>
      <w:r w:rsidR="000B1C41" w:rsidRPr="00675B09">
        <w:rPr>
          <w:lang w:val="en-GB"/>
        </w:rPr>
        <w:t xml:space="preserve"> (</w:t>
      </w:r>
      <w:r w:rsidR="00D70B66" w:rsidRPr="00675B09">
        <w:rPr>
          <w:lang w:val="en-GB"/>
        </w:rPr>
        <w:t>difference = 0.018, p = 0.863</w:t>
      </w:r>
      <w:r w:rsidR="000B1C41" w:rsidRPr="00675B09">
        <w:rPr>
          <w:lang w:val="en-GB"/>
        </w:rPr>
        <w:t>)</w:t>
      </w:r>
      <w:bookmarkEnd w:id="51"/>
      <w:r w:rsidRPr="00675B09">
        <w:rPr>
          <w:lang w:val="en-GB"/>
        </w:rPr>
        <w:t>.</w:t>
      </w:r>
      <w:bookmarkEnd w:id="52"/>
    </w:p>
    <w:p w14:paraId="25ADF6DC" w14:textId="1A5A54D1" w:rsidR="008851C4" w:rsidRPr="00675B09" w:rsidRDefault="000860B9" w:rsidP="00533B34">
      <w:pPr>
        <w:widowControl/>
        <w:ind w:right="0"/>
        <w:jc w:val="left"/>
        <w:rPr>
          <w:lang w:val="en-GB"/>
        </w:rPr>
      </w:pPr>
      <w:r w:rsidRPr="00675B09">
        <w:rPr>
          <w:lang w:val="en-GB"/>
        </w:rPr>
        <w:t xml:space="preserve">For </w:t>
      </w:r>
      <w:r w:rsidR="00C32645" w:rsidRPr="00675B09">
        <w:rPr>
          <w:lang w:val="en-GB"/>
        </w:rPr>
        <w:t>US-</w:t>
      </w:r>
      <w:r w:rsidRPr="00675B09">
        <w:rPr>
          <w:lang w:val="en-GB"/>
        </w:rPr>
        <w:t>RCTs, 1</w:t>
      </w:r>
      <w:r w:rsidR="000D3C2E" w:rsidRPr="00675B09">
        <w:rPr>
          <w:lang w:val="en-GB"/>
        </w:rPr>
        <w:t>.</w:t>
      </w:r>
      <w:r w:rsidR="00A1370D" w:rsidRPr="00675B09">
        <w:rPr>
          <w:lang w:val="en-GB"/>
        </w:rPr>
        <w:t>1</w:t>
      </w:r>
      <w:r w:rsidRPr="00675B09">
        <w:rPr>
          <w:lang w:val="en-GB"/>
        </w:rPr>
        <w:t>% of participants (</w:t>
      </w:r>
      <w:r w:rsidR="00A1370D" w:rsidRPr="00675B09">
        <w:rPr>
          <w:lang w:val="en-GB"/>
        </w:rPr>
        <w:t>0.9</w:t>
      </w:r>
      <w:r w:rsidR="00641D4C" w:rsidRPr="00675B09">
        <w:rPr>
          <w:lang w:val="en-GB"/>
        </w:rPr>
        <w:t>-</w:t>
      </w:r>
      <w:r w:rsidR="00A1370D" w:rsidRPr="00675B09">
        <w:rPr>
          <w:lang w:val="en-GB"/>
        </w:rPr>
        <w:t>1</w:t>
      </w:r>
      <w:r w:rsidR="000D3C2E" w:rsidRPr="00675B09">
        <w:rPr>
          <w:lang w:val="en-GB"/>
        </w:rPr>
        <w:t>.</w:t>
      </w:r>
      <w:r w:rsidR="00A1370D" w:rsidRPr="00675B09">
        <w:rPr>
          <w:lang w:val="en-GB"/>
        </w:rPr>
        <w:t>4</w:t>
      </w:r>
      <w:r w:rsidRPr="00675B09">
        <w:rPr>
          <w:lang w:val="en-GB"/>
        </w:rPr>
        <w:t xml:space="preserve">) reported their </w:t>
      </w:r>
      <w:r w:rsidR="00D05E87" w:rsidRPr="00675B09">
        <w:rPr>
          <w:lang w:val="en-GB"/>
        </w:rPr>
        <w:t>race and ethnicity</w:t>
      </w:r>
      <w:r w:rsidRPr="00675B09">
        <w:rPr>
          <w:lang w:val="en-GB"/>
        </w:rPr>
        <w:t xml:space="preserve"> as Asian, 11</w:t>
      </w:r>
      <w:r w:rsidR="000D3C2E" w:rsidRPr="00675B09">
        <w:rPr>
          <w:lang w:val="en-GB"/>
        </w:rPr>
        <w:t>.</w:t>
      </w:r>
      <w:r w:rsidR="00A1370D" w:rsidRPr="00675B09">
        <w:rPr>
          <w:lang w:val="en-GB"/>
        </w:rPr>
        <w:t>9</w:t>
      </w:r>
      <w:r w:rsidRPr="00675B09">
        <w:rPr>
          <w:lang w:val="en-GB"/>
        </w:rPr>
        <w:t>% (10</w:t>
      </w:r>
      <w:r w:rsidR="000D3C2E" w:rsidRPr="00675B09">
        <w:rPr>
          <w:lang w:val="en-GB"/>
        </w:rPr>
        <w:t>.</w:t>
      </w:r>
      <w:r w:rsidR="00A1370D" w:rsidRPr="00675B09">
        <w:rPr>
          <w:lang w:val="en-GB"/>
        </w:rPr>
        <w:t>7</w:t>
      </w:r>
      <w:r w:rsidR="00641D4C" w:rsidRPr="00675B09">
        <w:rPr>
          <w:lang w:val="en-GB"/>
        </w:rPr>
        <w:t>-</w:t>
      </w:r>
      <w:r w:rsidRPr="00675B09">
        <w:rPr>
          <w:lang w:val="en-GB"/>
        </w:rPr>
        <w:t>1</w:t>
      </w:r>
      <w:r w:rsidR="00A1370D" w:rsidRPr="00675B09">
        <w:rPr>
          <w:lang w:val="en-GB"/>
        </w:rPr>
        <w:t>3</w:t>
      </w:r>
      <w:r w:rsidR="000D3C2E" w:rsidRPr="00675B09">
        <w:rPr>
          <w:lang w:val="en-GB"/>
        </w:rPr>
        <w:t>.</w:t>
      </w:r>
      <w:r w:rsidR="00A1370D" w:rsidRPr="00675B09">
        <w:rPr>
          <w:lang w:val="en-GB"/>
        </w:rPr>
        <w:t>2</w:t>
      </w:r>
      <w:r w:rsidRPr="00675B09">
        <w:rPr>
          <w:lang w:val="en-GB"/>
        </w:rPr>
        <w:t xml:space="preserve">) Black, </w:t>
      </w:r>
      <w:r w:rsidR="00A1370D" w:rsidRPr="00675B09">
        <w:rPr>
          <w:lang w:val="en-GB"/>
        </w:rPr>
        <w:t>7</w:t>
      </w:r>
      <w:r w:rsidR="000D3C2E" w:rsidRPr="00675B09">
        <w:rPr>
          <w:lang w:val="en-GB"/>
        </w:rPr>
        <w:t>.</w:t>
      </w:r>
      <w:r w:rsidR="00A1370D" w:rsidRPr="00675B09">
        <w:rPr>
          <w:lang w:val="en-GB"/>
        </w:rPr>
        <w:t>2</w:t>
      </w:r>
      <w:r w:rsidRPr="00675B09">
        <w:rPr>
          <w:lang w:val="en-GB"/>
        </w:rPr>
        <w:t>% (</w:t>
      </w:r>
      <w:r w:rsidR="00A1370D" w:rsidRPr="00675B09">
        <w:rPr>
          <w:lang w:val="en-GB"/>
        </w:rPr>
        <w:t>6</w:t>
      </w:r>
      <w:r w:rsidR="000D3C2E" w:rsidRPr="00675B09">
        <w:rPr>
          <w:lang w:val="en-GB"/>
        </w:rPr>
        <w:t>.</w:t>
      </w:r>
      <w:r w:rsidR="00A1370D" w:rsidRPr="00675B09">
        <w:rPr>
          <w:lang w:val="en-GB"/>
        </w:rPr>
        <w:t>4</w:t>
      </w:r>
      <w:r w:rsidR="00641D4C" w:rsidRPr="00675B09">
        <w:rPr>
          <w:lang w:val="en-GB"/>
        </w:rPr>
        <w:t>-</w:t>
      </w:r>
      <w:r w:rsidR="00A1370D" w:rsidRPr="00675B09">
        <w:rPr>
          <w:lang w:val="en-GB"/>
        </w:rPr>
        <w:t>8</w:t>
      </w:r>
      <w:r w:rsidR="000D3C2E" w:rsidRPr="00675B09">
        <w:rPr>
          <w:lang w:val="en-GB"/>
        </w:rPr>
        <w:t>.</w:t>
      </w:r>
      <w:r w:rsidRPr="00675B09">
        <w:rPr>
          <w:lang w:val="en-GB"/>
        </w:rPr>
        <w:t>2) Other/Mixed Ethnicity, and 7</w:t>
      </w:r>
      <w:r w:rsidR="00A1370D" w:rsidRPr="00675B09">
        <w:rPr>
          <w:lang w:val="en-GB"/>
        </w:rPr>
        <w:t>9</w:t>
      </w:r>
      <w:r w:rsidR="000D3C2E" w:rsidRPr="00675B09">
        <w:rPr>
          <w:lang w:val="en-GB"/>
        </w:rPr>
        <w:t>.</w:t>
      </w:r>
      <w:r w:rsidR="00A1370D" w:rsidRPr="00675B09">
        <w:rPr>
          <w:lang w:val="en-GB"/>
        </w:rPr>
        <w:t>1</w:t>
      </w:r>
      <w:r w:rsidRPr="00675B09">
        <w:rPr>
          <w:lang w:val="en-GB"/>
        </w:rPr>
        <w:t>% (7</w:t>
      </w:r>
      <w:r w:rsidR="00A1370D" w:rsidRPr="00675B09">
        <w:rPr>
          <w:lang w:val="en-GB"/>
        </w:rPr>
        <w:t>7</w:t>
      </w:r>
      <w:r w:rsidR="000D3C2E" w:rsidRPr="00675B09">
        <w:rPr>
          <w:lang w:val="en-GB"/>
        </w:rPr>
        <w:t>.</w:t>
      </w:r>
      <w:r w:rsidR="00A1370D" w:rsidRPr="00675B09">
        <w:rPr>
          <w:lang w:val="en-GB"/>
        </w:rPr>
        <w:t>5</w:t>
      </w:r>
      <w:r w:rsidR="00641D4C" w:rsidRPr="00675B09">
        <w:rPr>
          <w:lang w:val="en-GB"/>
        </w:rPr>
        <w:t>-</w:t>
      </w:r>
      <w:r w:rsidR="00A1370D" w:rsidRPr="00675B09">
        <w:rPr>
          <w:lang w:val="en-GB"/>
        </w:rPr>
        <w:t>80</w:t>
      </w:r>
      <w:r w:rsidR="000D3C2E" w:rsidRPr="00675B09">
        <w:rPr>
          <w:lang w:val="en-GB"/>
        </w:rPr>
        <w:t>.</w:t>
      </w:r>
      <w:r w:rsidR="00A1370D" w:rsidRPr="00675B09">
        <w:rPr>
          <w:lang w:val="en-GB"/>
        </w:rPr>
        <w:t>7</w:t>
      </w:r>
      <w:r w:rsidRPr="00675B09">
        <w:rPr>
          <w:lang w:val="en-GB"/>
        </w:rPr>
        <w:t xml:space="preserve">) </w:t>
      </w:r>
      <w:r w:rsidR="00711852" w:rsidRPr="00675B09">
        <w:rPr>
          <w:lang w:val="en-GB"/>
        </w:rPr>
        <w:t>White-including-Hispanic</w:t>
      </w:r>
      <w:r w:rsidR="00A1370D" w:rsidRPr="00675B09">
        <w:rPr>
          <w:lang w:val="en-GB"/>
        </w:rPr>
        <w:t xml:space="preserve"> –of which 13.2% (10.8-16.1) Hispanic-among-White</w:t>
      </w:r>
      <w:r w:rsidRPr="00675B09">
        <w:rPr>
          <w:lang w:val="en-GB"/>
        </w:rPr>
        <w:t xml:space="preserve">. </w:t>
      </w:r>
      <w:r w:rsidR="006F4B6B" w:rsidRPr="00675B09">
        <w:rPr>
          <w:lang w:val="en-GB"/>
        </w:rPr>
        <w:t>When comparing data from RCTs with US census data, f</w:t>
      </w:r>
      <w:r w:rsidRPr="00675B09">
        <w:rPr>
          <w:lang w:val="en-GB"/>
        </w:rPr>
        <w:t xml:space="preserve">or RCTs </w:t>
      </w:r>
      <w:r w:rsidR="00B70B0A" w:rsidRPr="00675B09">
        <w:rPr>
          <w:lang w:val="en-GB"/>
        </w:rPr>
        <w:t>i</w:t>
      </w:r>
      <w:r w:rsidRPr="00675B09">
        <w:rPr>
          <w:lang w:val="en-GB"/>
        </w:rPr>
        <w:t>n adults</w:t>
      </w:r>
      <w:r w:rsidR="006F4B6B" w:rsidRPr="00675B09">
        <w:rPr>
          <w:lang w:val="en-GB"/>
        </w:rPr>
        <w:t>,</w:t>
      </w:r>
      <w:r w:rsidRPr="00675B09">
        <w:rPr>
          <w:lang w:val="en-GB"/>
        </w:rPr>
        <w:t xml:space="preserve"> “</w:t>
      </w:r>
      <w:r w:rsidR="00711852" w:rsidRPr="00675B09">
        <w:rPr>
          <w:lang w:val="en-GB"/>
        </w:rPr>
        <w:t>White-including-Hispanic</w:t>
      </w:r>
      <w:r w:rsidRPr="00675B09">
        <w:rPr>
          <w:lang w:val="en-GB"/>
        </w:rPr>
        <w:t>”, “Hispanic</w:t>
      </w:r>
      <w:r w:rsidR="00A1370D" w:rsidRPr="00675B09">
        <w:rPr>
          <w:lang w:val="en-GB"/>
        </w:rPr>
        <w:t>-among-White</w:t>
      </w:r>
      <w:r w:rsidRPr="00675B09">
        <w:rPr>
          <w:lang w:val="en-GB"/>
        </w:rPr>
        <w:t xml:space="preserve">”, and “Asian” groups were under-represented (this was particularly evident </w:t>
      </w:r>
      <w:r w:rsidR="00902DEA" w:rsidRPr="00675B09">
        <w:rPr>
          <w:lang w:val="en-GB"/>
        </w:rPr>
        <w:t xml:space="preserve">since </w:t>
      </w:r>
      <w:r w:rsidRPr="00675B09">
        <w:rPr>
          <w:lang w:val="en-GB"/>
        </w:rPr>
        <w:t>200</w:t>
      </w:r>
      <w:r w:rsidR="00902DEA" w:rsidRPr="00675B09">
        <w:rPr>
          <w:lang w:val="en-GB"/>
        </w:rPr>
        <w:t>4</w:t>
      </w:r>
      <w:r w:rsidRPr="00675B09">
        <w:rPr>
          <w:lang w:val="en-GB"/>
        </w:rPr>
        <w:t xml:space="preserve"> for “</w:t>
      </w:r>
      <w:r w:rsidR="00711852" w:rsidRPr="00675B09">
        <w:rPr>
          <w:lang w:val="en-GB"/>
        </w:rPr>
        <w:t>White-including-Hispanic</w:t>
      </w:r>
      <w:r w:rsidRPr="00675B09">
        <w:rPr>
          <w:lang w:val="en-GB"/>
        </w:rPr>
        <w:t xml:space="preserve">”, in </w:t>
      </w:r>
      <w:r w:rsidR="00902DEA" w:rsidRPr="00675B09">
        <w:rPr>
          <w:lang w:val="en-GB"/>
        </w:rPr>
        <w:t>1994</w:t>
      </w:r>
      <w:r w:rsidRPr="00675B09">
        <w:rPr>
          <w:lang w:val="en-GB"/>
        </w:rPr>
        <w:t>-202</w:t>
      </w:r>
      <w:r w:rsidR="00902DEA" w:rsidRPr="00675B09">
        <w:rPr>
          <w:lang w:val="en-GB"/>
        </w:rPr>
        <w:t>1</w:t>
      </w:r>
      <w:r w:rsidRPr="00675B09">
        <w:rPr>
          <w:lang w:val="en-GB"/>
        </w:rPr>
        <w:t xml:space="preserve"> for “Hispanic</w:t>
      </w:r>
      <w:r w:rsidR="00902DEA" w:rsidRPr="00675B09">
        <w:rPr>
          <w:lang w:val="en-GB"/>
        </w:rPr>
        <w:t>-among-White</w:t>
      </w:r>
      <w:r w:rsidRPr="00675B09">
        <w:rPr>
          <w:lang w:val="en-GB"/>
        </w:rPr>
        <w:t xml:space="preserve">”, and since </w:t>
      </w:r>
      <w:r w:rsidR="00902DEA" w:rsidRPr="00675B09">
        <w:rPr>
          <w:lang w:val="en-GB"/>
        </w:rPr>
        <w:t xml:space="preserve">at least </w:t>
      </w:r>
      <w:r w:rsidRPr="00675B09">
        <w:rPr>
          <w:lang w:val="en-GB"/>
        </w:rPr>
        <w:t>1980 for “Asian”).</w:t>
      </w:r>
      <w:r w:rsidR="00DC65FB" w:rsidRPr="00675B09">
        <w:rPr>
          <w:lang w:val="en-GB"/>
        </w:rPr>
        <w:t xml:space="preserve"> </w:t>
      </w:r>
      <w:r w:rsidRPr="00675B09">
        <w:rPr>
          <w:lang w:val="en-GB"/>
        </w:rPr>
        <w:t xml:space="preserve">Adults self-reporting as Black were under-represented until </w:t>
      </w:r>
      <w:r w:rsidR="00D55D1E" w:rsidRPr="00675B09">
        <w:rPr>
          <w:lang w:val="en-GB"/>
        </w:rPr>
        <w:t>early 2010’s</w:t>
      </w:r>
      <w:r w:rsidRPr="00675B09">
        <w:rPr>
          <w:lang w:val="en-GB"/>
        </w:rPr>
        <w:t xml:space="preserve">, while they </w:t>
      </w:r>
      <w:r w:rsidR="00D55D1E" w:rsidRPr="00675B09">
        <w:rPr>
          <w:lang w:val="en-GB"/>
        </w:rPr>
        <w:t xml:space="preserve">have been </w:t>
      </w:r>
      <w:r w:rsidRPr="00675B09">
        <w:rPr>
          <w:lang w:val="en-GB"/>
        </w:rPr>
        <w:t xml:space="preserve">over-represented </w:t>
      </w:r>
      <w:r w:rsidR="00D55D1E" w:rsidRPr="00675B09">
        <w:rPr>
          <w:lang w:val="en-GB"/>
        </w:rPr>
        <w:t>for the last 10 years</w:t>
      </w:r>
      <w:r w:rsidR="00B70B0A" w:rsidRPr="00675B09">
        <w:rPr>
          <w:lang w:val="en-GB"/>
        </w:rPr>
        <w:t>.</w:t>
      </w:r>
      <w:r w:rsidRPr="00675B09">
        <w:rPr>
          <w:lang w:val="en-GB"/>
        </w:rPr>
        <w:t xml:space="preserve"> The category “Other/Mixed” was overall over-represented, but only until </w:t>
      </w:r>
      <w:r w:rsidR="001E4514" w:rsidRPr="00675B09">
        <w:rPr>
          <w:lang w:val="en-GB"/>
        </w:rPr>
        <w:t>about 5 years ago</w:t>
      </w:r>
      <w:r w:rsidRPr="00675B09">
        <w:rPr>
          <w:lang w:val="en-GB"/>
        </w:rPr>
        <w:t xml:space="preserve">. Data </w:t>
      </w:r>
      <w:r w:rsidR="005D449D" w:rsidRPr="00675B09">
        <w:rPr>
          <w:lang w:val="en-GB"/>
        </w:rPr>
        <w:t xml:space="preserve">in </w:t>
      </w:r>
      <w:r w:rsidRPr="00675B09">
        <w:rPr>
          <w:lang w:val="en-GB"/>
        </w:rPr>
        <w:t>children</w:t>
      </w:r>
      <w:r w:rsidR="005D449D" w:rsidRPr="00675B09">
        <w:rPr>
          <w:lang w:val="en-GB"/>
        </w:rPr>
        <w:t>/adolescents</w:t>
      </w:r>
      <w:r w:rsidRPr="00675B09">
        <w:rPr>
          <w:lang w:val="en-GB"/>
        </w:rPr>
        <w:t>, available since 1994, showed that “Hispanic</w:t>
      </w:r>
      <w:r w:rsidR="001E4514" w:rsidRPr="00675B09">
        <w:rPr>
          <w:lang w:val="en-GB"/>
        </w:rPr>
        <w:t>-among-White</w:t>
      </w:r>
      <w:r w:rsidRPr="00675B09">
        <w:rPr>
          <w:lang w:val="en-GB"/>
        </w:rPr>
        <w:t xml:space="preserve">” </w:t>
      </w:r>
      <w:r w:rsidR="000114B8" w:rsidRPr="00675B09">
        <w:rPr>
          <w:lang w:val="en-GB"/>
        </w:rPr>
        <w:t xml:space="preserve">and to a lesser extent </w:t>
      </w:r>
      <w:r w:rsidRPr="00675B09">
        <w:rPr>
          <w:lang w:val="en-GB"/>
        </w:rPr>
        <w:t>“Asian” and “Black” groups were under-represented RCTs (particularly in the last 15 years), while the category “Other/Mixed” was overall over-represented since the early 2000’s. Rates of children/adolescents report</w:t>
      </w:r>
      <w:r w:rsidR="000F25D2" w:rsidRPr="00675B09">
        <w:rPr>
          <w:lang w:val="en-GB"/>
        </w:rPr>
        <w:t>ed</w:t>
      </w:r>
      <w:r w:rsidRPr="00675B09">
        <w:rPr>
          <w:lang w:val="en-GB"/>
        </w:rPr>
        <w:t xml:space="preserve"> as “</w:t>
      </w:r>
      <w:r w:rsidR="00711852" w:rsidRPr="00675B09">
        <w:rPr>
          <w:lang w:val="en-GB"/>
        </w:rPr>
        <w:t>White-including-Hispanic</w:t>
      </w:r>
      <w:r w:rsidR="00D3504C" w:rsidRPr="00675B09">
        <w:rPr>
          <w:lang w:val="en-GB"/>
        </w:rPr>
        <w:t>”</w:t>
      </w:r>
      <w:r w:rsidRPr="00675B09">
        <w:rPr>
          <w:lang w:val="en-GB"/>
        </w:rPr>
        <w:t xml:space="preserve"> in RCTs were </w:t>
      </w:r>
      <w:r w:rsidR="000F25D2" w:rsidRPr="00675B09">
        <w:rPr>
          <w:lang w:val="en-GB"/>
        </w:rPr>
        <w:t xml:space="preserve">consistent </w:t>
      </w:r>
      <w:r w:rsidRPr="00675B09">
        <w:rPr>
          <w:lang w:val="en-GB"/>
        </w:rPr>
        <w:t xml:space="preserve">with US census data, </w:t>
      </w:r>
      <w:r w:rsidR="00397362" w:rsidRPr="00675B09">
        <w:rPr>
          <w:lang w:val="en-GB"/>
        </w:rPr>
        <w:t xml:space="preserve">though slightly decreasing </w:t>
      </w:r>
      <w:r w:rsidRPr="00675B09">
        <w:rPr>
          <w:lang w:val="en-GB"/>
        </w:rPr>
        <w:t xml:space="preserve">across </w:t>
      </w:r>
      <w:r w:rsidR="00B70B0A" w:rsidRPr="00675B09">
        <w:rPr>
          <w:lang w:val="en-GB"/>
        </w:rPr>
        <w:t>years</w:t>
      </w:r>
      <w:r w:rsidR="00930F86" w:rsidRPr="00675B09">
        <w:rPr>
          <w:lang w:val="en-GB"/>
        </w:rPr>
        <w:t xml:space="preserve"> (1958-2022)</w:t>
      </w:r>
      <w:r w:rsidR="00B70B0A" w:rsidRPr="00675B09">
        <w:rPr>
          <w:lang w:val="en-GB"/>
        </w:rPr>
        <w:t>.</w:t>
      </w:r>
    </w:p>
    <w:p w14:paraId="7EC45224" w14:textId="77777777" w:rsidR="002814F0" w:rsidRPr="00675B09" w:rsidRDefault="002814F0" w:rsidP="00533B34">
      <w:pPr>
        <w:jc w:val="left"/>
        <w:rPr>
          <w:lang w:val="en-GB"/>
        </w:rPr>
      </w:pPr>
    </w:p>
    <w:p w14:paraId="3C5DBBB7" w14:textId="77777777" w:rsidR="008851C4" w:rsidRPr="00675B09" w:rsidRDefault="000860B9" w:rsidP="00533B34">
      <w:pPr>
        <w:pStyle w:val="Heading1"/>
        <w:jc w:val="left"/>
        <w:rPr>
          <w:lang w:val="en-GB"/>
        </w:rPr>
      </w:pPr>
      <w:r w:rsidRPr="00675B09">
        <w:rPr>
          <w:lang w:val="en-GB"/>
        </w:rPr>
        <w:t>DISCUSSION</w:t>
      </w:r>
    </w:p>
    <w:p w14:paraId="5EE7AA44" w14:textId="57897891" w:rsidR="002E4F1A" w:rsidRPr="00675B09" w:rsidRDefault="004D7B2E" w:rsidP="00533B34">
      <w:pPr>
        <w:jc w:val="left"/>
        <w:rPr>
          <w:lang w:val="en-GB"/>
        </w:rPr>
      </w:pPr>
      <w:r w:rsidRPr="00675B09">
        <w:rPr>
          <w:lang w:val="en-GB"/>
        </w:rPr>
        <w:t xml:space="preserve">Our </w:t>
      </w:r>
      <w:r w:rsidR="00875338" w:rsidRPr="00675B09">
        <w:rPr>
          <w:lang w:val="en-GB"/>
        </w:rPr>
        <w:t xml:space="preserve">study </w:t>
      </w:r>
      <w:r w:rsidRPr="00675B09">
        <w:rPr>
          <w:lang w:val="en-GB"/>
        </w:rPr>
        <w:t>highlighted</w:t>
      </w:r>
      <w:r w:rsidR="00711852" w:rsidRPr="00675B09">
        <w:rPr>
          <w:lang w:val="en-GB"/>
        </w:rPr>
        <w:t xml:space="preserve"> </w:t>
      </w:r>
      <w:r w:rsidRPr="00675B09">
        <w:rPr>
          <w:lang w:val="en-GB"/>
        </w:rPr>
        <w:t xml:space="preserve">critical gaps in reporting </w:t>
      </w:r>
      <w:r w:rsidR="000E4359" w:rsidRPr="00675B09">
        <w:rPr>
          <w:lang w:val="en-GB"/>
        </w:rPr>
        <w:t xml:space="preserve">and representation </w:t>
      </w:r>
      <w:r w:rsidRPr="00675B09">
        <w:rPr>
          <w:lang w:val="en-GB"/>
        </w:rPr>
        <w:t xml:space="preserve">of </w:t>
      </w:r>
      <w:r w:rsidR="00D05E87" w:rsidRPr="00675B09">
        <w:rPr>
          <w:lang w:val="en-GB"/>
        </w:rPr>
        <w:t>race and ethnicity</w:t>
      </w:r>
      <w:r w:rsidRPr="00675B09">
        <w:rPr>
          <w:lang w:val="en-GB"/>
        </w:rPr>
        <w:t xml:space="preserve"> in </w:t>
      </w:r>
      <w:r w:rsidR="00A134E5" w:rsidRPr="00675B09">
        <w:rPr>
          <w:lang w:val="en-GB"/>
        </w:rPr>
        <w:t xml:space="preserve">RCTs </w:t>
      </w:r>
      <w:r w:rsidRPr="00675B09">
        <w:rPr>
          <w:lang w:val="en-GB"/>
        </w:rPr>
        <w:t xml:space="preserve">of </w:t>
      </w:r>
      <w:r w:rsidR="00711852" w:rsidRPr="00675B09">
        <w:rPr>
          <w:lang w:val="en-GB"/>
        </w:rPr>
        <w:t xml:space="preserve">pharmacotherapy </w:t>
      </w:r>
      <w:r w:rsidRPr="00675B09">
        <w:rPr>
          <w:lang w:val="en-GB"/>
        </w:rPr>
        <w:t xml:space="preserve">for mental disorders. Despite the established importance of </w:t>
      </w:r>
      <w:r w:rsidR="00D05E87" w:rsidRPr="00675B09">
        <w:rPr>
          <w:lang w:val="en-GB"/>
        </w:rPr>
        <w:t xml:space="preserve">race </w:t>
      </w:r>
      <w:r w:rsidR="00D05E87" w:rsidRPr="00675B09">
        <w:rPr>
          <w:lang w:val="en-GB"/>
        </w:rPr>
        <w:lastRenderedPageBreak/>
        <w:t>and ethnicity</w:t>
      </w:r>
      <w:r w:rsidRPr="00675B09">
        <w:rPr>
          <w:lang w:val="en-GB"/>
        </w:rPr>
        <w:t xml:space="preserve"> in influencing mental health outcomes</w:t>
      </w:r>
      <w:r w:rsidR="00B970E2" w:rsidRPr="00675B09">
        <w:rPr>
          <w:lang w:val="en-GB"/>
        </w:rPr>
        <w:t>,</w:t>
      </w:r>
      <w:r w:rsidR="0031206E" w:rsidRPr="00675B09">
        <w:rPr>
          <w:vertAlign w:val="superscript"/>
          <w:lang w:val="en-GB"/>
        </w:rPr>
        <w:t>8</w:t>
      </w:r>
      <w:r w:rsidR="0031206E" w:rsidRPr="00675B09">
        <w:rPr>
          <w:lang w:val="en-GB"/>
        </w:rPr>
        <w:t xml:space="preserve"> </w:t>
      </w:r>
      <w:r w:rsidRPr="00675B09">
        <w:rPr>
          <w:lang w:val="en-GB"/>
        </w:rPr>
        <w:t xml:space="preserve">only 39% of the </w:t>
      </w:r>
      <w:r w:rsidR="00A134E5" w:rsidRPr="00675B09">
        <w:rPr>
          <w:lang w:val="en-GB"/>
        </w:rPr>
        <w:t xml:space="preserve">included </w:t>
      </w:r>
      <w:r w:rsidR="000114B8" w:rsidRPr="00675B09">
        <w:rPr>
          <w:lang w:val="en-GB"/>
        </w:rPr>
        <w:t xml:space="preserve">1683 </w:t>
      </w:r>
      <w:r w:rsidRPr="00675B09">
        <w:rPr>
          <w:lang w:val="en-GB"/>
        </w:rPr>
        <w:t xml:space="preserve">RCTs </w:t>
      </w:r>
      <w:r w:rsidR="00A134E5" w:rsidRPr="00675B09">
        <w:rPr>
          <w:lang w:val="en-GB"/>
        </w:rPr>
        <w:t xml:space="preserve">reported </w:t>
      </w:r>
      <w:r w:rsidRPr="00675B09">
        <w:rPr>
          <w:lang w:val="en-GB"/>
        </w:rPr>
        <w:t>such data</w:t>
      </w:r>
      <w:r w:rsidR="00F73F48" w:rsidRPr="00675B09">
        <w:rPr>
          <w:lang w:val="en-GB"/>
        </w:rPr>
        <w:t xml:space="preserve">, and </w:t>
      </w:r>
      <w:r w:rsidR="008747CE" w:rsidRPr="00675B09">
        <w:rPr>
          <w:lang w:val="en-GB"/>
        </w:rPr>
        <w:t xml:space="preserve">White-including-Hispanic, </w:t>
      </w:r>
      <w:r w:rsidR="00711852" w:rsidRPr="00675B09">
        <w:rPr>
          <w:lang w:val="en-GB"/>
        </w:rPr>
        <w:t>Hispanic-among-White</w:t>
      </w:r>
      <w:r w:rsidR="002C7BF6" w:rsidRPr="00675B09">
        <w:rPr>
          <w:lang w:val="en-GB"/>
        </w:rPr>
        <w:t xml:space="preserve"> and Asian</w:t>
      </w:r>
      <w:r w:rsidR="00A222CF" w:rsidRPr="00675B09">
        <w:rPr>
          <w:lang w:val="en-GB"/>
        </w:rPr>
        <w:t xml:space="preserve"> participants</w:t>
      </w:r>
      <w:r w:rsidR="002C7BF6" w:rsidRPr="00675B09">
        <w:rPr>
          <w:lang w:val="en-GB"/>
        </w:rPr>
        <w:t xml:space="preserve"> were under-represented in USA RCTs</w:t>
      </w:r>
      <w:r w:rsidRPr="00675B09">
        <w:rPr>
          <w:lang w:val="en-GB"/>
        </w:rPr>
        <w:t>.</w:t>
      </w:r>
    </w:p>
    <w:p w14:paraId="0D911BF5" w14:textId="66E7D757" w:rsidR="00AC1FC5" w:rsidRPr="00675B09" w:rsidRDefault="00315F9B" w:rsidP="00533B34">
      <w:pPr>
        <w:jc w:val="left"/>
        <w:rPr>
          <w:lang w:val="en-GB"/>
        </w:rPr>
      </w:pPr>
      <w:bookmarkStart w:id="53" w:name="_Hlk183002872"/>
      <w:bookmarkStart w:id="54" w:name="_Hlk183012837"/>
      <w:r w:rsidRPr="00675B09">
        <w:rPr>
          <w:lang w:val="en-GB"/>
        </w:rPr>
        <w:t>T</w:t>
      </w:r>
      <w:r w:rsidR="000860B9" w:rsidRPr="00675B09">
        <w:rPr>
          <w:lang w:val="en-GB"/>
        </w:rPr>
        <w:t xml:space="preserve">here were no </w:t>
      </w:r>
      <w:r w:rsidR="00B413CC" w:rsidRPr="00675B09">
        <w:rPr>
          <w:lang w:val="en-GB"/>
        </w:rPr>
        <w:t xml:space="preserve">significant </w:t>
      </w:r>
      <w:r w:rsidR="000860B9" w:rsidRPr="00675B09">
        <w:rPr>
          <w:lang w:val="en-GB"/>
        </w:rPr>
        <w:t xml:space="preserve">differences in reporting </w:t>
      </w:r>
      <w:r w:rsidR="00D05E87" w:rsidRPr="00675B09">
        <w:rPr>
          <w:lang w:val="en-GB"/>
        </w:rPr>
        <w:t>race and ethnicity</w:t>
      </w:r>
      <w:r w:rsidR="000860B9" w:rsidRPr="00675B09">
        <w:rPr>
          <w:lang w:val="en-GB"/>
        </w:rPr>
        <w:t xml:space="preserve"> </w:t>
      </w:r>
      <w:r w:rsidR="00D278B5" w:rsidRPr="00675B09">
        <w:rPr>
          <w:lang w:val="en-GB"/>
        </w:rPr>
        <w:t xml:space="preserve">between studies involving only children/adolescents </w:t>
      </w:r>
      <w:r w:rsidR="00BD54FE" w:rsidRPr="00675B09">
        <w:rPr>
          <w:lang w:val="en-GB"/>
        </w:rPr>
        <w:t xml:space="preserve">vs. </w:t>
      </w:r>
      <w:r w:rsidR="00D278B5" w:rsidRPr="00675B09">
        <w:rPr>
          <w:lang w:val="en-GB"/>
        </w:rPr>
        <w:t>only adults</w:t>
      </w:r>
      <w:bookmarkEnd w:id="53"/>
      <w:r w:rsidR="00CB3AE2" w:rsidRPr="00675B09">
        <w:rPr>
          <w:lang w:val="en-GB"/>
        </w:rPr>
        <w:t xml:space="preserve">, suggesting </w:t>
      </w:r>
      <w:r w:rsidR="00CD15E9" w:rsidRPr="00675B09">
        <w:rPr>
          <w:lang w:val="en-GB"/>
        </w:rPr>
        <w:t>potentially systemic barriers in reporting such information in RCTs</w:t>
      </w:r>
      <w:bookmarkEnd w:id="54"/>
      <w:r w:rsidR="00CB3AE2" w:rsidRPr="00675B09">
        <w:rPr>
          <w:lang w:val="en-GB"/>
        </w:rPr>
        <w:t xml:space="preserve">. However, the </w:t>
      </w:r>
      <w:r w:rsidR="000860B9" w:rsidRPr="00675B09">
        <w:rPr>
          <w:lang w:val="en-GB"/>
        </w:rPr>
        <w:t xml:space="preserve">variability across </w:t>
      </w:r>
      <w:r w:rsidR="002C7BF6" w:rsidRPr="00675B09">
        <w:rPr>
          <w:lang w:val="en-GB"/>
        </w:rPr>
        <w:t xml:space="preserve">geographic </w:t>
      </w:r>
      <w:r w:rsidR="000860B9" w:rsidRPr="00675B09">
        <w:rPr>
          <w:lang w:val="en-GB"/>
        </w:rPr>
        <w:t xml:space="preserve">regions and diagnostic categories </w:t>
      </w:r>
      <w:r w:rsidR="00A134E5" w:rsidRPr="00675B09">
        <w:rPr>
          <w:lang w:val="en-GB"/>
        </w:rPr>
        <w:t xml:space="preserve">was </w:t>
      </w:r>
      <w:r w:rsidR="000860B9" w:rsidRPr="00675B09">
        <w:rPr>
          <w:lang w:val="en-GB"/>
        </w:rPr>
        <w:t xml:space="preserve">striking. Studies conducted in </w:t>
      </w:r>
      <w:r w:rsidR="00A73379" w:rsidRPr="00675B09">
        <w:rPr>
          <w:lang w:val="en-GB"/>
        </w:rPr>
        <w:t>Central/South America, Asia</w:t>
      </w:r>
      <w:r w:rsidR="00A73379" w:rsidRPr="00675B09">
        <w:t>/</w:t>
      </w:r>
      <w:r w:rsidR="00A73379" w:rsidRPr="00675B09">
        <w:rPr>
          <w:lang w:val="en-GB"/>
        </w:rPr>
        <w:t>Middle East</w:t>
      </w:r>
      <w:r w:rsidR="000860B9" w:rsidRPr="00675B09">
        <w:rPr>
          <w:lang w:val="en-GB"/>
        </w:rPr>
        <w:t xml:space="preserve"> were less likely to report </w:t>
      </w:r>
      <w:r w:rsidR="00D05E87" w:rsidRPr="00675B09">
        <w:rPr>
          <w:lang w:val="en-GB"/>
        </w:rPr>
        <w:t>race and ethnicity</w:t>
      </w:r>
      <w:r w:rsidR="000860B9" w:rsidRPr="00675B09">
        <w:rPr>
          <w:lang w:val="en-GB"/>
        </w:rPr>
        <w:t>, while U</w:t>
      </w:r>
      <w:r w:rsidRPr="00675B09">
        <w:rPr>
          <w:lang w:val="en-GB"/>
        </w:rPr>
        <w:t>SA</w:t>
      </w:r>
      <w:r w:rsidR="000860B9" w:rsidRPr="00675B09">
        <w:rPr>
          <w:lang w:val="en-GB"/>
        </w:rPr>
        <w:t xml:space="preserve">-based studies exhibited the highest reporting rate. </w:t>
      </w:r>
      <w:r w:rsidR="00711852" w:rsidRPr="00675B09">
        <w:rPr>
          <w:lang w:val="en-GB"/>
        </w:rPr>
        <w:t>T</w:t>
      </w:r>
      <w:r w:rsidR="000860B9" w:rsidRPr="00675B09">
        <w:rPr>
          <w:lang w:val="en-GB"/>
        </w:rPr>
        <w:t xml:space="preserve">his </w:t>
      </w:r>
      <w:r w:rsidR="002C7BF6" w:rsidRPr="00675B09">
        <w:rPr>
          <w:lang w:val="en-GB"/>
        </w:rPr>
        <w:t xml:space="preserve">may </w:t>
      </w:r>
      <w:r w:rsidR="000860B9" w:rsidRPr="00675B09">
        <w:rPr>
          <w:lang w:val="en-GB"/>
        </w:rPr>
        <w:t xml:space="preserve">point to potential regional differences in the prioritization of </w:t>
      </w:r>
      <w:r w:rsidR="00D05E87" w:rsidRPr="00675B09">
        <w:rPr>
          <w:lang w:val="en-GB"/>
        </w:rPr>
        <w:t>race and ethnicity</w:t>
      </w:r>
      <w:r w:rsidR="000860B9" w:rsidRPr="00675B09">
        <w:rPr>
          <w:lang w:val="en-GB"/>
        </w:rPr>
        <w:t xml:space="preserve"> </w:t>
      </w:r>
      <w:r w:rsidR="00711852" w:rsidRPr="00675B09">
        <w:rPr>
          <w:lang w:val="en-GB"/>
        </w:rPr>
        <w:t xml:space="preserve">collection or </w:t>
      </w:r>
      <w:r w:rsidR="002C7BF6" w:rsidRPr="00675B09">
        <w:rPr>
          <w:lang w:val="en-GB"/>
        </w:rPr>
        <w:t>reflect</w:t>
      </w:r>
      <w:r w:rsidR="00A134E5" w:rsidRPr="00675B09">
        <w:rPr>
          <w:lang w:val="en-GB"/>
        </w:rPr>
        <w:t xml:space="preserve"> more </w:t>
      </w:r>
      <w:r w:rsidR="002C7BF6" w:rsidRPr="00675B09">
        <w:rPr>
          <w:lang w:val="en-GB"/>
        </w:rPr>
        <w:t xml:space="preserve">racially/ethnically </w:t>
      </w:r>
      <w:r w:rsidR="00A134E5" w:rsidRPr="00675B09">
        <w:rPr>
          <w:lang w:val="en-GB"/>
        </w:rPr>
        <w:t xml:space="preserve">homogeneous cultures </w:t>
      </w:r>
      <w:r w:rsidR="002E4F1A" w:rsidRPr="00675B09">
        <w:rPr>
          <w:lang w:val="en-GB"/>
        </w:rPr>
        <w:t xml:space="preserve">probably </w:t>
      </w:r>
      <w:r w:rsidR="00A134E5" w:rsidRPr="00675B09">
        <w:rPr>
          <w:lang w:val="en-GB"/>
        </w:rPr>
        <w:t>paying less attention to the collection and reporting of racial/ethnic data</w:t>
      </w:r>
      <w:r w:rsidR="000860B9" w:rsidRPr="00675B09">
        <w:rPr>
          <w:lang w:val="en-GB"/>
        </w:rPr>
        <w:t>.</w:t>
      </w:r>
      <w:r w:rsidR="00BC39D0" w:rsidRPr="00675B09">
        <w:rPr>
          <w:lang w:val="en-GB"/>
        </w:rPr>
        <w:t xml:space="preserve"> </w:t>
      </w:r>
      <w:bookmarkStart w:id="55" w:name="_Hlk183000553"/>
      <w:bookmarkStart w:id="56" w:name="_Hlk185236597"/>
      <w:r w:rsidR="00BC39D0" w:rsidRPr="00675B09">
        <w:rPr>
          <w:lang w:val="en-GB"/>
        </w:rPr>
        <w:t xml:space="preserve">Indeed, European countries and some Asian countries do not regularly collect race </w:t>
      </w:r>
      <w:bookmarkStart w:id="57" w:name="_Hlk185235755"/>
      <w:r w:rsidR="008747CE" w:rsidRPr="00675B09">
        <w:rPr>
          <w:lang w:val="en-GB"/>
        </w:rPr>
        <w:t>and/or ethnicity as demographic data</w:t>
      </w:r>
      <w:bookmarkEnd w:id="57"/>
      <w:r w:rsidR="008747CE" w:rsidRPr="00675B09">
        <w:rPr>
          <w:lang w:val="en-GB"/>
        </w:rPr>
        <w:t xml:space="preserve"> </w:t>
      </w:r>
      <w:r w:rsidR="00D357A9" w:rsidRPr="00675B09">
        <w:rPr>
          <w:lang w:val="en-GB"/>
        </w:rPr>
        <w:t>(</w:t>
      </w:r>
      <w:r w:rsidR="00301A40" w:rsidRPr="00675B09">
        <w:rPr>
          <w:lang w:val="en-GB"/>
        </w:rPr>
        <w:t xml:space="preserve">e.g., there are </w:t>
      </w:r>
      <w:r w:rsidR="00D357A9" w:rsidRPr="00675B09">
        <w:rPr>
          <w:lang w:val="en-GB"/>
        </w:rPr>
        <w:t xml:space="preserve">no minimum reporting standards available, as </w:t>
      </w:r>
      <w:r w:rsidR="00640567" w:rsidRPr="00675B09">
        <w:rPr>
          <w:lang w:val="en-GB"/>
        </w:rPr>
        <w:t xml:space="preserve">it </w:t>
      </w:r>
      <w:r w:rsidR="00301A40" w:rsidRPr="00675B09">
        <w:rPr>
          <w:lang w:val="en-GB"/>
        </w:rPr>
        <w:t xml:space="preserve">is the case in </w:t>
      </w:r>
      <w:r w:rsidR="00D357A9" w:rsidRPr="00675B09">
        <w:rPr>
          <w:lang w:val="en-GB"/>
        </w:rPr>
        <w:t>the USA)</w:t>
      </w:r>
      <w:bookmarkEnd w:id="55"/>
      <w:r w:rsidR="00BC39D0" w:rsidRPr="00675B09">
        <w:rPr>
          <w:lang w:val="en-GB"/>
        </w:rPr>
        <w:t xml:space="preserve">, but instead use “nationality/country of birth” to assess diversity of their </w:t>
      </w:r>
      <w:r w:rsidR="004D17D2" w:rsidRPr="00675B09">
        <w:rPr>
          <w:lang w:val="en-GB"/>
        </w:rPr>
        <w:t>populations</w:t>
      </w:r>
      <w:r w:rsidR="00B970E2" w:rsidRPr="00675B09">
        <w:rPr>
          <w:lang w:val="en-GB"/>
        </w:rPr>
        <w:t>.</w:t>
      </w:r>
      <w:r w:rsidR="0031206E" w:rsidRPr="00675B09">
        <w:rPr>
          <w:vertAlign w:val="superscript"/>
          <w:lang w:val="en-GB"/>
        </w:rPr>
        <w:t>9</w:t>
      </w:r>
      <w:r w:rsidR="0031206E" w:rsidRPr="00675B09">
        <w:rPr>
          <w:lang w:val="en-GB"/>
        </w:rPr>
        <w:t xml:space="preserve"> </w:t>
      </w:r>
      <w:bookmarkEnd w:id="56"/>
      <w:r w:rsidR="00AC1FC5" w:rsidRPr="00675B09">
        <w:rPr>
          <w:lang w:val="en-GB"/>
        </w:rPr>
        <w:t xml:space="preserve">In </w:t>
      </w:r>
      <w:r w:rsidR="002E4F1A" w:rsidRPr="00675B09">
        <w:rPr>
          <w:lang w:val="en-GB"/>
        </w:rPr>
        <w:t xml:space="preserve">other </w:t>
      </w:r>
      <w:r w:rsidR="00AC1FC5" w:rsidRPr="00675B09">
        <w:rPr>
          <w:lang w:val="en-GB"/>
        </w:rPr>
        <w:t>countries</w:t>
      </w:r>
      <w:r w:rsidR="002E4F1A" w:rsidRPr="00675B09">
        <w:rPr>
          <w:lang w:val="en-GB"/>
        </w:rPr>
        <w:t>,</w:t>
      </w:r>
      <w:r w:rsidR="00AC1FC5" w:rsidRPr="00675B09">
        <w:rPr>
          <w:lang w:val="en-GB"/>
        </w:rPr>
        <w:t xml:space="preserve"> the collection of </w:t>
      </w:r>
      <w:r w:rsidR="00D05E87" w:rsidRPr="00675B09">
        <w:rPr>
          <w:lang w:val="en-GB"/>
        </w:rPr>
        <w:t>race and ethnicity</w:t>
      </w:r>
      <w:r w:rsidR="00AC1FC5" w:rsidRPr="00675B09">
        <w:rPr>
          <w:lang w:val="en-GB"/>
        </w:rPr>
        <w:t xml:space="preserve"> is heavily regulated and restricted, hence not commonly reported in </w:t>
      </w:r>
      <w:r w:rsidR="004D17D2" w:rsidRPr="00675B09">
        <w:rPr>
          <w:lang w:val="en-GB"/>
        </w:rPr>
        <w:t>RCTs</w:t>
      </w:r>
      <w:r w:rsidR="00B970E2" w:rsidRPr="00675B09">
        <w:rPr>
          <w:lang w:val="en-GB"/>
        </w:rPr>
        <w:t>.</w:t>
      </w:r>
      <w:r w:rsidR="0031206E" w:rsidRPr="00675B09">
        <w:rPr>
          <w:vertAlign w:val="superscript"/>
          <w:lang w:val="en-GB"/>
        </w:rPr>
        <w:t>10</w:t>
      </w:r>
      <w:r w:rsidR="0031206E" w:rsidRPr="00675B09">
        <w:rPr>
          <w:lang w:val="en-GB"/>
        </w:rPr>
        <w:t xml:space="preserve"> </w:t>
      </w:r>
      <w:r w:rsidR="00885305" w:rsidRPr="00675B09">
        <w:rPr>
          <w:lang w:val="en-GB"/>
        </w:rPr>
        <w:t xml:space="preserve">Conversely, some countries collect </w:t>
      </w:r>
      <w:r w:rsidR="005630C9" w:rsidRPr="00675B09">
        <w:rPr>
          <w:lang w:val="en-GB"/>
        </w:rPr>
        <w:t xml:space="preserve">information </w:t>
      </w:r>
      <w:r w:rsidR="00885305" w:rsidRPr="00675B09">
        <w:rPr>
          <w:lang w:val="en-GB"/>
        </w:rPr>
        <w:t xml:space="preserve">on both </w:t>
      </w:r>
      <w:r w:rsidR="00D05E87" w:rsidRPr="00675B09">
        <w:rPr>
          <w:lang w:val="en-GB"/>
        </w:rPr>
        <w:t>race and ethnicity</w:t>
      </w:r>
      <w:r w:rsidR="00885305" w:rsidRPr="00675B09">
        <w:rPr>
          <w:lang w:val="en-GB"/>
        </w:rPr>
        <w:t xml:space="preserve"> and indigenous identity</w:t>
      </w:r>
      <w:r w:rsidR="00F01393" w:rsidRPr="00675B09">
        <w:rPr>
          <w:lang w:val="en-GB"/>
        </w:rPr>
        <w:t xml:space="preserve">, while others </w:t>
      </w:r>
      <w:r w:rsidR="00AC1FC5" w:rsidRPr="00675B09">
        <w:rPr>
          <w:lang w:val="en-GB"/>
        </w:rPr>
        <w:t xml:space="preserve">use general labels to </w:t>
      </w:r>
      <w:r w:rsidR="002E4F1A" w:rsidRPr="00675B09">
        <w:rPr>
          <w:lang w:val="en-GB"/>
        </w:rPr>
        <w:t xml:space="preserve">refer to </w:t>
      </w:r>
      <w:r w:rsidR="00AC1FC5" w:rsidRPr="00675B09">
        <w:rPr>
          <w:lang w:val="en-GB"/>
        </w:rPr>
        <w:t>rac</w:t>
      </w:r>
      <w:r w:rsidR="002E4F1A" w:rsidRPr="00675B09">
        <w:rPr>
          <w:lang w:val="en-GB"/>
        </w:rPr>
        <w:t>ial</w:t>
      </w:r>
      <w:r w:rsidR="00AC1FC5" w:rsidRPr="00675B09">
        <w:rPr>
          <w:lang w:val="en-GB"/>
        </w:rPr>
        <w:t>/ethnic</w:t>
      </w:r>
      <w:r w:rsidR="002E4F1A" w:rsidRPr="00675B09">
        <w:rPr>
          <w:lang w:val="en-GB"/>
        </w:rPr>
        <w:t xml:space="preserve"> </w:t>
      </w:r>
      <w:r w:rsidR="004D17D2" w:rsidRPr="00675B09">
        <w:rPr>
          <w:lang w:val="en-GB"/>
        </w:rPr>
        <w:t>groups</w:t>
      </w:r>
      <w:r w:rsidR="00B970E2" w:rsidRPr="00675B09">
        <w:rPr>
          <w:lang w:val="en-GB"/>
        </w:rPr>
        <w:t>.</w:t>
      </w:r>
      <w:r w:rsidR="0031206E" w:rsidRPr="00675B09">
        <w:rPr>
          <w:vertAlign w:val="superscript"/>
          <w:lang w:val="en-GB"/>
        </w:rPr>
        <w:t>9</w:t>
      </w:r>
      <w:r w:rsidR="0031206E" w:rsidRPr="00675B09">
        <w:rPr>
          <w:lang w:val="en-GB"/>
        </w:rPr>
        <w:t xml:space="preserve"> </w:t>
      </w:r>
      <w:r w:rsidR="002C7BF6" w:rsidRPr="00675B09">
        <w:rPr>
          <w:lang w:val="en-GB"/>
        </w:rPr>
        <w:t>Of note</w:t>
      </w:r>
      <w:r w:rsidR="002E4F1A" w:rsidRPr="00675B09">
        <w:rPr>
          <w:lang w:val="en-GB"/>
        </w:rPr>
        <w:t xml:space="preserve">, “Hispanic” is a definition used in the USA to indicate an ethnic group that spans across different racial groups, but it is not regularly used elsewhere. </w:t>
      </w:r>
      <w:r w:rsidR="00711852" w:rsidRPr="00675B09">
        <w:rPr>
          <w:lang w:val="en-GB"/>
        </w:rPr>
        <w:t>T</w:t>
      </w:r>
      <w:r w:rsidR="00AC1FC5" w:rsidRPr="00675B09">
        <w:rPr>
          <w:lang w:val="en-GB"/>
        </w:rPr>
        <w:t xml:space="preserve">here </w:t>
      </w:r>
      <w:r w:rsidR="00711852" w:rsidRPr="00675B09">
        <w:rPr>
          <w:lang w:val="en-GB"/>
        </w:rPr>
        <w:t xml:space="preserve">is also </w:t>
      </w:r>
      <w:r w:rsidR="00AC1FC5" w:rsidRPr="00675B09">
        <w:rPr>
          <w:lang w:val="en-GB"/>
        </w:rPr>
        <w:t xml:space="preserve">heterogeneity in collecting </w:t>
      </w:r>
      <w:r w:rsidR="00D05E87" w:rsidRPr="00675B09">
        <w:rPr>
          <w:lang w:val="en-GB"/>
        </w:rPr>
        <w:t>race and ethnicity</w:t>
      </w:r>
      <w:r w:rsidR="00AC1FC5" w:rsidRPr="00675B09">
        <w:rPr>
          <w:lang w:val="en-GB"/>
        </w:rPr>
        <w:t xml:space="preserve"> among </w:t>
      </w:r>
      <w:r w:rsidR="00F01393" w:rsidRPr="00675B09">
        <w:rPr>
          <w:lang w:val="en-GB"/>
        </w:rPr>
        <w:t xml:space="preserve">African countries, </w:t>
      </w:r>
      <w:r w:rsidR="00AC1FC5" w:rsidRPr="00675B09">
        <w:rPr>
          <w:lang w:val="en-GB"/>
        </w:rPr>
        <w:t xml:space="preserve">with </w:t>
      </w:r>
      <w:r w:rsidR="00AE4A22" w:rsidRPr="00675B09">
        <w:rPr>
          <w:lang w:val="en-GB"/>
        </w:rPr>
        <w:t xml:space="preserve">South African censuses </w:t>
      </w:r>
      <w:r w:rsidR="00711852" w:rsidRPr="00675B09">
        <w:rPr>
          <w:lang w:val="en-GB"/>
        </w:rPr>
        <w:t xml:space="preserve">collecting this data </w:t>
      </w:r>
      <w:r w:rsidR="00AE4A22" w:rsidRPr="00675B09">
        <w:rPr>
          <w:lang w:val="en-GB"/>
        </w:rPr>
        <w:t xml:space="preserve">since early 1900’s </w:t>
      </w:r>
      <w:r w:rsidR="00167389" w:rsidRPr="00675B09">
        <w:rPr>
          <w:lang w:val="en-GB"/>
        </w:rPr>
        <w:t>–</w:t>
      </w:r>
      <w:r w:rsidR="002C7BF6" w:rsidRPr="00675B09">
        <w:rPr>
          <w:lang w:val="en-GB"/>
        </w:rPr>
        <w:t xml:space="preserve"> </w:t>
      </w:r>
      <w:r w:rsidR="00AE4A22" w:rsidRPr="00675B09">
        <w:rPr>
          <w:lang w:val="en-GB"/>
        </w:rPr>
        <w:t>often</w:t>
      </w:r>
      <w:r w:rsidR="00167389" w:rsidRPr="00675B09">
        <w:rPr>
          <w:lang w:val="en-GB"/>
        </w:rPr>
        <w:t xml:space="preserve"> </w:t>
      </w:r>
      <w:r w:rsidR="00AE4A22" w:rsidRPr="00675B09">
        <w:rPr>
          <w:lang w:val="en-GB"/>
        </w:rPr>
        <w:t xml:space="preserve">aimed at creating ethnical </w:t>
      </w:r>
      <w:r w:rsidR="0031206E" w:rsidRPr="00675B09">
        <w:rPr>
          <w:lang w:val="en-GB"/>
        </w:rPr>
        <w:t>division</w:t>
      </w:r>
      <w:r w:rsidR="0031206E" w:rsidRPr="00675B09">
        <w:rPr>
          <w:vertAlign w:val="superscript"/>
          <w:lang w:val="en-GB"/>
        </w:rPr>
        <w:t>1</w:t>
      </w:r>
      <w:r w:rsidR="00C371A3" w:rsidRPr="00675B09">
        <w:rPr>
          <w:vertAlign w:val="superscript"/>
          <w:lang w:val="en-GB"/>
        </w:rPr>
        <w:t>3</w:t>
      </w:r>
      <w:r w:rsidR="0031206E" w:rsidRPr="00675B09">
        <w:rPr>
          <w:lang w:val="en-GB"/>
        </w:rPr>
        <w:t xml:space="preserve"> </w:t>
      </w:r>
      <w:r w:rsidR="00167389" w:rsidRPr="00675B09">
        <w:rPr>
          <w:lang w:val="en-GB"/>
        </w:rPr>
        <w:t xml:space="preserve">– </w:t>
      </w:r>
      <w:r w:rsidR="00B11E26" w:rsidRPr="00675B09">
        <w:rPr>
          <w:lang w:val="en-GB"/>
        </w:rPr>
        <w:t xml:space="preserve">and information about collection practices </w:t>
      </w:r>
      <w:r w:rsidR="002C2F6C" w:rsidRPr="00675B09">
        <w:rPr>
          <w:lang w:val="en-GB"/>
        </w:rPr>
        <w:t>lacking</w:t>
      </w:r>
      <w:r w:rsidR="002C7BF6" w:rsidRPr="00675B09">
        <w:rPr>
          <w:lang w:val="en-GB"/>
        </w:rPr>
        <w:t xml:space="preserve"> in other countries</w:t>
      </w:r>
      <w:r w:rsidR="00B970E2" w:rsidRPr="00675B09">
        <w:rPr>
          <w:lang w:val="en-GB"/>
        </w:rPr>
        <w:t>.</w:t>
      </w:r>
      <w:r w:rsidR="0031206E" w:rsidRPr="00675B09">
        <w:rPr>
          <w:vertAlign w:val="superscript"/>
          <w:lang w:val="en-GB"/>
        </w:rPr>
        <w:t>1</w:t>
      </w:r>
      <w:r w:rsidR="00C371A3" w:rsidRPr="00675B09">
        <w:rPr>
          <w:vertAlign w:val="superscript"/>
          <w:lang w:val="en-GB"/>
        </w:rPr>
        <w:t>4</w:t>
      </w:r>
    </w:p>
    <w:p w14:paraId="0E41796F" w14:textId="3663CFA0" w:rsidR="008851C4" w:rsidRPr="00675B09" w:rsidRDefault="000860B9" w:rsidP="00533B34">
      <w:pPr>
        <w:jc w:val="left"/>
        <w:rPr>
          <w:lang w:val="en-GB"/>
        </w:rPr>
      </w:pPr>
      <w:r w:rsidRPr="00675B09">
        <w:rPr>
          <w:lang w:val="en-GB"/>
        </w:rPr>
        <w:t>There were also notable discrepancies</w:t>
      </w:r>
      <w:r w:rsidR="00CE59F1" w:rsidRPr="00675B09">
        <w:rPr>
          <w:lang w:val="en-GB"/>
        </w:rPr>
        <w:t xml:space="preserve"> </w:t>
      </w:r>
      <w:r w:rsidRPr="00675B09">
        <w:rPr>
          <w:lang w:val="en-GB"/>
        </w:rPr>
        <w:t xml:space="preserve">between </w:t>
      </w:r>
      <w:r w:rsidR="00CE59F1" w:rsidRPr="00675B09">
        <w:rPr>
          <w:lang w:val="en-GB"/>
        </w:rPr>
        <w:t xml:space="preserve">studies focusing on different </w:t>
      </w:r>
      <w:r w:rsidRPr="00675B09">
        <w:rPr>
          <w:lang w:val="en-GB"/>
        </w:rPr>
        <w:t xml:space="preserve">diagnostic categories, suggesting potential biases in the collection </w:t>
      </w:r>
      <w:r w:rsidR="00002B99" w:rsidRPr="00675B09">
        <w:rPr>
          <w:lang w:val="en-GB"/>
        </w:rPr>
        <w:t xml:space="preserve">and </w:t>
      </w:r>
      <w:r w:rsidR="003C64C0" w:rsidRPr="00675B09">
        <w:rPr>
          <w:lang w:val="en-GB"/>
        </w:rPr>
        <w:t xml:space="preserve">the </w:t>
      </w:r>
      <w:r w:rsidR="00002B99" w:rsidRPr="00675B09">
        <w:rPr>
          <w:lang w:val="en-GB"/>
        </w:rPr>
        <w:t xml:space="preserve">reporting </w:t>
      </w:r>
      <w:r w:rsidRPr="00675B09">
        <w:rPr>
          <w:lang w:val="en-GB"/>
        </w:rPr>
        <w:t xml:space="preserve">of </w:t>
      </w:r>
      <w:r w:rsidR="00D05E87" w:rsidRPr="00675B09">
        <w:rPr>
          <w:lang w:val="en-GB"/>
        </w:rPr>
        <w:t>race and ethnicity</w:t>
      </w:r>
      <w:r w:rsidRPr="00675B09">
        <w:rPr>
          <w:lang w:val="en-GB"/>
        </w:rPr>
        <w:t xml:space="preserve"> </w:t>
      </w:r>
      <w:r w:rsidRPr="00675B09">
        <w:rPr>
          <w:lang w:val="en-GB"/>
        </w:rPr>
        <w:lastRenderedPageBreak/>
        <w:t xml:space="preserve">based on clinical characteristics of the sample. </w:t>
      </w:r>
      <w:r w:rsidR="002C7BF6" w:rsidRPr="00675B09">
        <w:rPr>
          <w:lang w:val="en-GB"/>
        </w:rPr>
        <w:t>Better u</w:t>
      </w:r>
      <w:r w:rsidRPr="00675B09">
        <w:rPr>
          <w:lang w:val="en-GB"/>
        </w:rPr>
        <w:t xml:space="preserve">nderstanding </w:t>
      </w:r>
      <w:r w:rsidR="00B970E2" w:rsidRPr="00675B09">
        <w:rPr>
          <w:lang w:val="en-GB"/>
        </w:rPr>
        <w:t xml:space="preserve">which </w:t>
      </w:r>
      <w:r w:rsidRPr="00675B09">
        <w:rPr>
          <w:lang w:val="en-GB"/>
        </w:rPr>
        <w:t xml:space="preserve">specific factors </w:t>
      </w:r>
      <w:r w:rsidR="00B970E2" w:rsidRPr="00675B09">
        <w:rPr>
          <w:lang w:val="en-GB"/>
        </w:rPr>
        <w:t xml:space="preserve">are </w:t>
      </w:r>
      <w:r w:rsidRPr="00675B09">
        <w:rPr>
          <w:lang w:val="en-GB"/>
        </w:rPr>
        <w:t xml:space="preserve">associated with </w:t>
      </w:r>
      <w:r w:rsidR="00505909" w:rsidRPr="00675B09">
        <w:rPr>
          <w:lang w:val="en-GB"/>
        </w:rPr>
        <w:t>under-</w:t>
      </w:r>
      <w:r w:rsidRPr="00675B09">
        <w:rPr>
          <w:lang w:val="en-GB"/>
        </w:rPr>
        <w:t xml:space="preserve">reporting </w:t>
      </w:r>
      <w:r w:rsidR="00D05E87" w:rsidRPr="00675B09">
        <w:rPr>
          <w:lang w:val="en-GB"/>
        </w:rPr>
        <w:t>race and ethnicity</w:t>
      </w:r>
      <w:r w:rsidRPr="00675B09">
        <w:rPr>
          <w:lang w:val="en-GB"/>
        </w:rPr>
        <w:t xml:space="preserve"> </w:t>
      </w:r>
      <w:r w:rsidR="00B970E2" w:rsidRPr="00675B09">
        <w:rPr>
          <w:lang w:val="en-GB"/>
        </w:rPr>
        <w:t xml:space="preserve">across </w:t>
      </w:r>
      <w:r w:rsidR="002C7BF6" w:rsidRPr="00675B09">
        <w:rPr>
          <w:lang w:val="en-GB"/>
        </w:rPr>
        <w:t xml:space="preserve">diagnostic </w:t>
      </w:r>
      <w:r w:rsidR="00230350" w:rsidRPr="00675B09">
        <w:rPr>
          <w:lang w:val="en-GB"/>
        </w:rPr>
        <w:t>categories</w:t>
      </w:r>
      <w:r w:rsidR="002C7BF6" w:rsidRPr="00675B09">
        <w:rPr>
          <w:lang w:val="en-GB"/>
        </w:rPr>
        <w:t xml:space="preserve"> </w:t>
      </w:r>
      <w:r w:rsidRPr="00675B09">
        <w:rPr>
          <w:lang w:val="en-GB"/>
        </w:rPr>
        <w:t>is therefore crucial</w:t>
      </w:r>
      <w:r w:rsidR="00505909" w:rsidRPr="00675B09">
        <w:rPr>
          <w:lang w:val="en-GB"/>
        </w:rPr>
        <w:t>.</w:t>
      </w:r>
      <w:r w:rsidRPr="00675B09">
        <w:rPr>
          <w:lang w:val="en-GB"/>
        </w:rPr>
        <w:t xml:space="preserve"> </w:t>
      </w:r>
      <w:r w:rsidR="00505909" w:rsidRPr="00675B09">
        <w:rPr>
          <w:lang w:val="en-GB"/>
        </w:rPr>
        <w:t>W</w:t>
      </w:r>
      <w:r w:rsidRPr="00675B09">
        <w:rPr>
          <w:lang w:val="en-GB"/>
        </w:rPr>
        <w:t>e recommend researchers</w:t>
      </w:r>
      <w:r w:rsidR="00711852" w:rsidRPr="00675B09">
        <w:rPr>
          <w:lang w:val="en-GB"/>
        </w:rPr>
        <w:t xml:space="preserve"> </w:t>
      </w:r>
      <w:r w:rsidRPr="00675B09">
        <w:rPr>
          <w:lang w:val="en-GB"/>
        </w:rPr>
        <w:t xml:space="preserve">to work towards identifying such factors and addressing </w:t>
      </w:r>
      <w:r w:rsidR="00505909" w:rsidRPr="00675B09">
        <w:rPr>
          <w:lang w:val="en-GB"/>
        </w:rPr>
        <w:t xml:space="preserve">any </w:t>
      </w:r>
      <w:r w:rsidRPr="00675B09">
        <w:rPr>
          <w:lang w:val="en-GB"/>
        </w:rPr>
        <w:t>associated biases</w:t>
      </w:r>
      <w:r w:rsidR="00711852" w:rsidRPr="00675B09">
        <w:rPr>
          <w:lang w:val="en-GB"/>
        </w:rPr>
        <w:t xml:space="preserve">, especially where </w:t>
      </w:r>
      <w:r w:rsidR="00D05E87" w:rsidRPr="00675B09">
        <w:rPr>
          <w:lang w:val="en-GB"/>
        </w:rPr>
        <w:t>race and ethnicity</w:t>
      </w:r>
      <w:r w:rsidR="00711852" w:rsidRPr="00675B09">
        <w:rPr>
          <w:lang w:val="en-GB"/>
        </w:rPr>
        <w:t xml:space="preserve"> is less reported or less diverse, although </w:t>
      </w:r>
      <w:r w:rsidR="00002B99" w:rsidRPr="00675B09">
        <w:rPr>
          <w:lang w:val="en-GB"/>
        </w:rPr>
        <w:t>this mandate applies to all countries and settings.</w:t>
      </w:r>
    </w:p>
    <w:p w14:paraId="00DC4CE7" w14:textId="2C96BC6F" w:rsidR="008851C4" w:rsidRPr="00675B09" w:rsidRDefault="000860B9" w:rsidP="00533B34">
      <w:pPr>
        <w:jc w:val="left"/>
        <w:rPr>
          <w:lang w:val="en-GB"/>
        </w:rPr>
      </w:pPr>
      <w:r w:rsidRPr="00675B09">
        <w:rPr>
          <w:lang w:val="en-GB"/>
        </w:rPr>
        <w:t>Our findings of higher reporting rates in larger RCTs suggest that researchers conducting smaller studies might decide not to collect</w:t>
      </w:r>
      <w:r w:rsidR="00002B99" w:rsidRPr="00675B09">
        <w:rPr>
          <w:lang w:val="en-GB"/>
        </w:rPr>
        <w:t>/report</w:t>
      </w:r>
      <w:r w:rsidRPr="00675B09">
        <w:rPr>
          <w:lang w:val="en-GB"/>
        </w:rPr>
        <w:t xml:space="preserve"> </w:t>
      </w:r>
      <w:r w:rsidR="00D05E87" w:rsidRPr="00675B09">
        <w:rPr>
          <w:lang w:val="en-GB"/>
        </w:rPr>
        <w:t>race and ethnicity</w:t>
      </w:r>
      <w:r w:rsidRPr="00675B09">
        <w:rPr>
          <w:lang w:val="en-GB"/>
        </w:rPr>
        <w:t xml:space="preserve">, at least in certain regional areas. This </w:t>
      </w:r>
      <w:r w:rsidR="00505909" w:rsidRPr="00675B09">
        <w:rPr>
          <w:lang w:val="en-GB"/>
        </w:rPr>
        <w:t xml:space="preserve">decision could stem from </w:t>
      </w:r>
      <w:r w:rsidRPr="00675B09">
        <w:rPr>
          <w:lang w:val="en-GB"/>
        </w:rPr>
        <w:t>resource and time constraints</w:t>
      </w:r>
      <w:r w:rsidR="00002B99" w:rsidRPr="00675B09">
        <w:rPr>
          <w:lang w:val="en-GB"/>
        </w:rPr>
        <w:t xml:space="preserve">, as larger studies are more likely to have funding bodies that may also mandate </w:t>
      </w:r>
      <w:r w:rsidR="00D05E87" w:rsidRPr="00675B09">
        <w:rPr>
          <w:lang w:val="en-GB"/>
        </w:rPr>
        <w:t>race and ethnicity</w:t>
      </w:r>
      <w:r w:rsidR="00002B99" w:rsidRPr="00675B09">
        <w:rPr>
          <w:lang w:val="en-GB"/>
        </w:rPr>
        <w:t xml:space="preserve"> </w:t>
      </w:r>
      <w:proofErr w:type="gramStart"/>
      <w:r w:rsidR="00002B99" w:rsidRPr="00675B09">
        <w:rPr>
          <w:lang w:val="en-GB"/>
        </w:rPr>
        <w:t>reporting</w:t>
      </w:r>
      <w:r w:rsidRPr="00675B09">
        <w:rPr>
          <w:lang w:val="en-GB"/>
        </w:rPr>
        <w:t>, but</w:t>
      </w:r>
      <w:proofErr w:type="gramEnd"/>
      <w:r w:rsidRPr="00675B09">
        <w:rPr>
          <w:lang w:val="en-GB"/>
        </w:rPr>
        <w:t xml:space="preserve"> </w:t>
      </w:r>
      <w:r w:rsidR="00505909" w:rsidRPr="00675B09">
        <w:rPr>
          <w:lang w:val="en-GB"/>
        </w:rPr>
        <w:t xml:space="preserve">nonetheless </w:t>
      </w:r>
      <w:r w:rsidRPr="00675B09">
        <w:rPr>
          <w:lang w:val="en-GB"/>
        </w:rPr>
        <w:t>perpetuates health disparities</w:t>
      </w:r>
      <w:r w:rsidR="00A62041" w:rsidRPr="00675B09">
        <w:rPr>
          <w:lang w:val="en-GB"/>
        </w:rPr>
        <w:t xml:space="preserve">. Addressing this </w:t>
      </w:r>
      <w:r w:rsidRPr="00675B09">
        <w:rPr>
          <w:lang w:val="en-GB"/>
        </w:rPr>
        <w:t xml:space="preserve">bias </w:t>
      </w:r>
      <w:r w:rsidR="00A62041" w:rsidRPr="00675B09">
        <w:rPr>
          <w:lang w:val="en-GB"/>
        </w:rPr>
        <w:t xml:space="preserve">is therefore </w:t>
      </w:r>
      <w:r w:rsidR="00B970E2" w:rsidRPr="00675B09">
        <w:rPr>
          <w:lang w:val="en-GB"/>
        </w:rPr>
        <w:t xml:space="preserve">also </w:t>
      </w:r>
      <w:r w:rsidR="00A62041" w:rsidRPr="00675B09">
        <w:rPr>
          <w:lang w:val="en-GB"/>
        </w:rPr>
        <w:t>essential</w:t>
      </w:r>
      <w:r w:rsidRPr="00675B09">
        <w:rPr>
          <w:lang w:val="en-GB"/>
        </w:rPr>
        <w:t>.</w:t>
      </w:r>
    </w:p>
    <w:p w14:paraId="6E01874C" w14:textId="48DA83BC" w:rsidR="0059066D" w:rsidRPr="00675B09" w:rsidRDefault="000860B9" w:rsidP="00533B34">
      <w:pPr>
        <w:jc w:val="left"/>
        <w:rPr>
          <w:lang w:val="en-GB"/>
        </w:rPr>
      </w:pPr>
      <w:r w:rsidRPr="00675B09">
        <w:rPr>
          <w:lang w:val="en-GB"/>
        </w:rPr>
        <w:t xml:space="preserve">While reporting of </w:t>
      </w:r>
      <w:r w:rsidR="00D05E87" w:rsidRPr="00675B09">
        <w:rPr>
          <w:lang w:val="en-GB"/>
        </w:rPr>
        <w:t>race and ethnicity</w:t>
      </w:r>
      <w:r w:rsidRPr="00675B09">
        <w:rPr>
          <w:lang w:val="en-GB"/>
        </w:rPr>
        <w:t xml:space="preserve"> has increased each year in the </w:t>
      </w:r>
      <w:r w:rsidR="00FD39CD" w:rsidRPr="00675B09">
        <w:rPr>
          <w:lang w:val="en-GB"/>
        </w:rPr>
        <w:t>USA</w:t>
      </w:r>
      <w:r w:rsidRPr="00675B09">
        <w:rPr>
          <w:lang w:val="en-GB"/>
        </w:rPr>
        <w:t xml:space="preserve">, it remained relatively stagnant or even declined in other parts of the world since the 1980s. </w:t>
      </w:r>
      <w:r w:rsidR="00F25F99" w:rsidRPr="00675B09">
        <w:rPr>
          <w:lang w:val="en-GB"/>
        </w:rPr>
        <w:t>This disparity suggests that US</w:t>
      </w:r>
      <w:r w:rsidR="000D15B9" w:rsidRPr="00675B09">
        <w:rPr>
          <w:lang w:val="en-GB"/>
        </w:rPr>
        <w:t>A-based</w:t>
      </w:r>
      <w:r w:rsidR="00F25F99" w:rsidRPr="00675B09">
        <w:rPr>
          <w:lang w:val="en-GB"/>
        </w:rPr>
        <w:t xml:space="preserve"> researchers might have responded to regulatory</w:t>
      </w:r>
      <w:r w:rsidR="00432B1E" w:rsidRPr="00675B09">
        <w:rPr>
          <w:lang w:val="en-GB"/>
        </w:rPr>
        <w:t xml:space="preserve"> bodies</w:t>
      </w:r>
      <w:r w:rsidR="00F25F99" w:rsidRPr="00675B09">
        <w:rPr>
          <w:lang w:val="en-GB"/>
        </w:rPr>
        <w:t xml:space="preserve"> (e.g., Food and Drug Administration)</w:t>
      </w:r>
      <w:r w:rsidR="00B970E2" w:rsidRPr="00675B09">
        <w:rPr>
          <w:lang w:val="en-GB"/>
        </w:rPr>
        <w:t>,</w:t>
      </w:r>
      <w:r w:rsidR="0031206E" w:rsidRPr="00675B09">
        <w:rPr>
          <w:vertAlign w:val="superscript"/>
          <w:lang w:val="en-GB"/>
        </w:rPr>
        <w:t>1</w:t>
      </w:r>
      <w:r w:rsidR="00C371A3" w:rsidRPr="00675B09">
        <w:rPr>
          <w:vertAlign w:val="superscript"/>
          <w:lang w:val="en-GB"/>
        </w:rPr>
        <w:t>5</w:t>
      </w:r>
      <w:r w:rsidR="0031206E" w:rsidRPr="00675B09">
        <w:rPr>
          <w:lang w:val="en-GB"/>
        </w:rPr>
        <w:t xml:space="preserve"> </w:t>
      </w:r>
      <w:r w:rsidR="00002B99" w:rsidRPr="00675B09">
        <w:rPr>
          <w:lang w:val="en-GB"/>
        </w:rPr>
        <w:t>funding bodies (e.g., National Institute of Mental Health)</w:t>
      </w:r>
      <w:r w:rsidR="00B970E2" w:rsidRPr="00675B09">
        <w:rPr>
          <w:lang w:val="en-GB"/>
        </w:rPr>
        <w:t>,</w:t>
      </w:r>
      <w:r w:rsidR="0031206E" w:rsidRPr="00675B09">
        <w:rPr>
          <w:vertAlign w:val="superscript"/>
          <w:lang w:val="en-GB"/>
        </w:rPr>
        <w:t>1</w:t>
      </w:r>
      <w:r w:rsidR="00C371A3" w:rsidRPr="00675B09">
        <w:rPr>
          <w:vertAlign w:val="superscript"/>
          <w:lang w:val="en-GB"/>
        </w:rPr>
        <w:t>6</w:t>
      </w:r>
      <w:r w:rsidR="0031206E" w:rsidRPr="00675B09">
        <w:rPr>
          <w:lang w:val="en-GB"/>
        </w:rPr>
        <w:t xml:space="preserve"> </w:t>
      </w:r>
      <w:r w:rsidR="00F25F99" w:rsidRPr="00675B09">
        <w:rPr>
          <w:lang w:val="en-GB"/>
        </w:rPr>
        <w:t xml:space="preserve">and societal calls for </w:t>
      </w:r>
      <w:r w:rsidR="00002B99" w:rsidRPr="00675B09">
        <w:rPr>
          <w:lang w:val="en-GB"/>
        </w:rPr>
        <w:t xml:space="preserve">reporting on the </w:t>
      </w:r>
      <w:r w:rsidR="00F25F99" w:rsidRPr="00675B09">
        <w:rPr>
          <w:lang w:val="en-GB"/>
        </w:rPr>
        <w:t>r</w:t>
      </w:r>
      <w:r w:rsidRPr="00675B09">
        <w:rPr>
          <w:lang w:val="en-GB"/>
        </w:rPr>
        <w:t>epresenta</w:t>
      </w:r>
      <w:r w:rsidR="00002B99" w:rsidRPr="00675B09">
        <w:rPr>
          <w:lang w:val="en-GB"/>
        </w:rPr>
        <w:t>tiveness of samples</w:t>
      </w:r>
      <w:r w:rsidRPr="00675B09">
        <w:rPr>
          <w:lang w:val="en-GB"/>
        </w:rPr>
        <w:t xml:space="preserve"> in clinical research, which </w:t>
      </w:r>
      <w:r w:rsidR="00230350" w:rsidRPr="00675B09">
        <w:rPr>
          <w:lang w:val="en-GB"/>
        </w:rPr>
        <w:t>have been</w:t>
      </w:r>
      <w:r w:rsidR="00FD39CD" w:rsidRPr="00675B09">
        <w:rPr>
          <w:lang w:val="en-GB"/>
        </w:rPr>
        <w:t xml:space="preserve"> lacking </w:t>
      </w:r>
      <w:r w:rsidRPr="00675B09">
        <w:rPr>
          <w:lang w:val="en-GB"/>
        </w:rPr>
        <w:t xml:space="preserve">in other </w:t>
      </w:r>
      <w:r w:rsidR="00FD39CD" w:rsidRPr="00675B09">
        <w:rPr>
          <w:lang w:val="en-GB"/>
        </w:rPr>
        <w:t xml:space="preserve">geographic </w:t>
      </w:r>
      <w:r w:rsidRPr="00675B09">
        <w:rPr>
          <w:lang w:val="en-GB"/>
        </w:rPr>
        <w:t>regions.</w:t>
      </w:r>
    </w:p>
    <w:p w14:paraId="32F8E7A2" w14:textId="10BE938D" w:rsidR="0059066D" w:rsidRPr="00675B09" w:rsidRDefault="009148F0" w:rsidP="00533B34">
      <w:pPr>
        <w:jc w:val="left"/>
        <w:rPr>
          <w:lang w:val="en-GB"/>
        </w:rPr>
      </w:pPr>
      <w:r w:rsidRPr="00675B09">
        <w:rPr>
          <w:lang w:val="en-GB"/>
        </w:rPr>
        <w:t xml:space="preserve">The comparison of </w:t>
      </w:r>
      <w:r w:rsidR="0059066D" w:rsidRPr="00675B09">
        <w:rPr>
          <w:lang w:val="en-GB"/>
        </w:rPr>
        <w:t xml:space="preserve">USA-based RCTs </w:t>
      </w:r>
      <w:r w:rsidRPr="00675B09">
        <w:rPr>
          <w:lang w:val="en-GB"/>
        </w:rPr>
        <w:t>and census data revealed a complex pattern of findings. I</w:t>
      </w:r>
      <w:r w:rsidR="0059066D" w:rsidRPr="00675B09">
        <w:rPr>
          <w:lang w:val="en-GB"/>
        </w:rPr>
        <w:t xml:space="preserve">n adults, </w:t>
      </w:r>
      <w:r w:rsidR="00711852" w:rsidRPr="00675B09">
        <w:rPr>
          <w:lang w:val="en-GB"/>
        </w:rPr>
        <w:t>White-including-Hispanic</w:t>
      </w:r>
      <w:r w:rsidR="0059066D" w:rsidRPr="00675B09">
        <w:rPr>
          <w:lang w:val="en-GB"/>
        </w:rPr>
        <w:t xml:space="preserve">, </w:t>
      </w:r>
      <w:r w:rsidR="00711852" w:rsidRPr="00675B09">
        <w:rPr>
          <w:lang w:val="en-GB"/>
        </w:rPr>
        <w:t>Hispanic-among-White</w:t>
      </w:r>
      <w:r w:rsidR="0059066D" w:rsidRPr="00675B09">
        <w:rPr>
          <w:lang w:val="en-GB"/>
        </w:rPr>
        <w:t>, and Asian were under-represented</w:t>
      </w:r>
      <w:r w:rsidR="00FD32AA" w:rsidRPr="00675B09">
        <w:rPr>
          <w:lang w:val="en-GB"/>
        </w:rPr>
        <w:t>;</w:t>
      </w:r>
      <w:r w:rsidR="00FD32AA" w:rsidRPr="00675B09">
        <w:rPr>
          <w:iCs/>
          <w:lang w:val="en-GB"/>
        </w:rPr>
        <w:t xml:space="preserve"> in children</w:t>
      </w:r>
      <w:r w:rsidR="00FD32AA" w:rsidRPr="00675B09">
        <w:rPr>
          <w:lang w:val="en-GB"/>
        </w:rPr>
        <w:t xml:space="preserve">/adolescents, </w:t>
      </w:r>
      <w:r w:rsidR="00711852" w:rsidRPr="00675B09">
        <w:rPr>
          <w:lang w:val="en-GB"/>
        </w:rPr>
        <w:t>Hispanic-among-White</w:t>
      </w:r>
      <w:r w:rsidR="00FD32AA" w:rsidRPr="00675B09">
        <w:rPr>
          <w:lang w:val="en-GB"/>
        </w:rPr>
        <w:t xml:space="preserve">, Asian, and Black groups were under-represented. Conversely, </w:t>
      </w:r>
      <w:r w:rsidR="00711852" w:rsidRPr="00675B09">
        <w:rPr>
          <w:lang w:val="en-GB"/>
        </w:rPr>
        <w:t xml:space="preserve">amongst </w:t>
      </w:r>
      <w:r w:rsidR="0059066D" w:rsidRPr="00675B09">
        <w:rPr>
          <w:lang w:val="en-GB"/>
        </w:rPr>
        <w:t xml:space="preserve">adults, Black individuals were under-represented until early 2010’s and over-represented for the last 10 years. </w:t>
      </w:r>
      <w:r w:rsidR="00A222CF" w:rsidRPr="00675B09">
        <w:rPr>
          <w:lang w:val="en-GB"/>
        </w:rPr>
        <w:t xml:space="preserve">The </w:t>
      </w:r>
      <w:r w:rsidR="0059066D" w:rsidRPr="00675B09">
        <w:rPr>
          <w:lang w:val="en-GB"/>
        </w:rPr>
        <w:t>“Other/Mixed”</w:t>
      </w:r>
      <w:r w:rsidR="00711852" w:rsidRPr="00675B09">
        <w:rPr>
          <w:lang w:val="en-GB"/>
        </w:rPr>
        <w:t xml:space="preserve"> category</w:t>
      </w:r>
      <w:r w:rsidR="0059066D" w:rsidRPr="00675B09">
        <w:rPr>
          <w:lang w:val="en-GB"/>
        </w:rPr>
        <w:t xml:space="preserve"> was overall over-represented</w:t>
      </w:r>
      <w:r w:rsidR="00FD32AA" w:rsidRPr="00675B09">
        <w:rPr>
          <w:lang w:val="en-GB"/>
        </w:rPr>
        <w:t xml:space="preserve"> in adults and in children</w:t>
      </w:r>
      <w:r w:rsidR="0059066D" w:rsidRPr="00675B09">
        <w:rPr>
          <w:lang w:val="en-GB"/>
        </w:rPr>
        <w:t xml:space="preserve">. </w:t>
      </w:r>
      <w:r w:rsidR="00FD32AA" w:rsidRPr="00675B09">
        <w:rPr>
          <w:lang w:val="en-GB"/>
        </w:rPr>
        <w:t>There were no differences in r</w:t>
      </w:r>
      <w:r w:rsidR="0059066D" w:rsidRPr="00675B09">
        <w:rPr>
          <w:lang w:val="en-GB"/>
        </w:rPr>
        <w:t xml:space="preserve">ates of </w:t>
      </w:r>
      <w:r w:rsidR="00711852" w:rsidRPr="00675B09">
        <w:rPr>
          <w:lang w:val="en-GB"/>
        </w:rPr>
        <w:t>White-including-Hispanic</w:t>
      </w:r>
      <w:r w:rsidR="00FD32AA" w:rsidRPr="00675B09">
        <w:rPr>
          <w:lang w:val="en-GB"/>
        </w:rPr>
        <w:t xml:space="preserve"> </w:t>
      </w:r>
      <w:r w:rsidR="0059066D" w:rsidRPr="00675B09">
        <w:rPr>
          <w:lang w:val="en-GB"/>
        </w:rPr>
        <w:t xml:space="preserve">children/adolescents </w:t>
      </w:r>
      <w:r w:rsidR="00FD32AA" w:rsidRPr="00675B09">
        <w:rPr>
          <w:lang w:val="en-GB"/>
        </w:rPr>
        <w:t xml:space="preserve">between </w:t>
      </w:r>
      <w:r w:rsidR="0059066D" w:rsidRPr="00675B09">
        <w:rPr>
          <w:lang w:val="en-GB"/>
        </w:rPr>
        <w:t xml:space="preserve">RCTs </w:t>
      </w:r>
      <w:r w:rsidR="00FD32AA" w:rsidRPr="00675B09">
        <w:rPr>
          <w:lang w:val="en-GB"/>
        </w:rPr>
        <w:t xml:space="preserve">and </w:t>
      </w:r>
      <w:r w:rsidR="0059066D" w:rsidRPr="00675B09">
        <w:rPr>
          <w:lang w:val="en-GB"/>
        </w:rPr>
        <w:t>US census data.</w:t>
      </w:r>
      <w:r w:rsidRPr="00675B09">
        <w:rPr>
          <w:lang w:val="en-GB"/>
        </w:rPr>
        <w:t xml:space="preserve"> </w:t>
      </w:r>
      <w:r w:rsidR="00711852" w:rsidRPr="00675B09">
        <w:rPr>
          <w:lang w:val="en-GB"/>
        </w:rPr>
        <w:t>I</w:t>
      </w:r>
      <w:r w:rsidRPr="00675B09">
        <w:rPr>
          <w:lang w:val="en-GB"/>
        </w:rPr>
        <w:t xml:space="preserve">t would be important to better understand </w:t>
      </w:r>
      <w:r w:rsidR="001B0A1B" w:rsidRPr="00675B09">
        <w:rPr>
          <w:lang w:val="en-GB"/>
        </w:rPr>
        <w:t xml:space="preserve">how </w:t>
      </w:r>
      <w:r w:rsidRPr="00675B09">
        <w:rPr>
          <w:lang w:val="en-GB"/>
        </w:rPr>
        <w:t xml:space="preserve">people belonging to different racial/ethnic groups perceive barriers to accessing healthcare services and </w:t>
      </w:r>
      <w:r w:rsidR="00DE2D33" w:rsidRPr="00675B09">
        <w:rPr>
          <w:lang w:val="en-GB"/>
        </w:rPr>
        <w:t>RCTs</w:t>
      </w:r>
      <w:r w:rsidRPr="00675B09">
        <w:rPr>
          <w:lang w:val="en-GB"/>
        </w:rPr>
        <w:t xml:space="preserve">, and what are the underlying </w:t>
      </w:r>
      <w:r w:rsidRPr="00675B09">
        <w:rPr>
          <w:lang w:val="en-GB"/>
        </w:rPr>
        <w:lastRenderedPageBreak/>
        <w:t xml:space="preserve">factors. </w:t>
      </w:r>
      <w:bookmarkStart w:id="58" w:name="_Hlk185236074"/>
      <w:bookmarkStart w:id="59" w:name="_Hlk183003789"/>
      <w:r w:rsidRPr="00675B09">
        <w:rPr>
          <w:lang w:val="en-GB"/>
        </w:rPr>
        <w:t xml:space="preserve">This could help improving inclusion and accessibility to clinical and research settings, especially for </w:t>
      </w:r>
      <w:r w:rsidR="00711852" w:rsidRPr="00675B09">
        <w:rPr>
          <w:lang w:val="en-GB"/>
        </w:rPr>
        <w:t xml:space="preserve">patients </w:t>
      </w:r>
      <w:r w:rsidRPr="00675B09">
        <w:rPr>
          <w:lang w:val="en-GB"/>
        </w:rPr>
        <w:t>who are under-represented</w:t>
      </w:r>
      <w:r w:rsidR="002F5A6E" w:rsidRPr="00675B09">
        <w:rPr>
          <w:lang w:val="en-GB"/>
        </w:rPr>
        <w:t xml:space="preserve"> (e.g., Black </w:t>
      </w:r>
      <w:r w:rsidR="00DD3392" w:rsidRPr="00675B09">
        <w:rPr>
          <w:lang w:val="en-GB"/>
        </w:rPr>
        <w:t xml:space="preserve">children </w:t>
      </w:r>
      <w:r w:rsidR="002F5A6E" w:rsidRPr="00675B09">
        <w:rPr>
          <w:lang w:val="en-GB"/>
        </w:rPr>
        <w:t>and Asian</w:t>
      </w:r>
      <w:r w:rsidR="00DD3392" w:rsidRPr="00675B09">
        <w:rPr>
          <w:lang w:val="en-GB"/>
        </w:rPr>
        <w:t>)</w:t>
      </w:r>
      <w:r w:rsidR="00BD54FE" w:rsidRPr="00675B09">
        <w:rPr>
          <w:lang w:val="en-GB"/>
        </w:rPr>
        <w:t>, whereby reason for underrepresentation</w:t>
      </w:r>
      <w:r w:rsidR="00A222CF" w:rsidRPr="00675B09">
        <w:rPr>
          <w:lang w:val="en-GB"/>
        </w:rPr>
        <w:t xml:space="preserve"> –</w:t>
      </w:r>
      <w:r w:rsidR="00BD54FE" w:rsidRPr="00675B09">
        <w:rPr>
          <w:lang w:val="en-GB"/>
        </w:rPr>
        <w:t xml:space="preserve"> especially</w:t>
      </w:r>
      <w:r w:rsidR="00A222CF" w:rsidRPr="00675B09">
        <w:rPr>
          <w:lang w:val="en-GB"/>
        </w:rPr>
        <w:t xml:space="preserve"> </w:t>
      </w:r>
      <w:r w:rsidR="00BD54FE" w:rsidRPr="00675B09">
        <w:rPr>
          <w:lang w:val="en-GB"/>
        </w:rPr>
        <w:t>of Asian</w:t>
      </w:r>
      <w:r w:rsidR="00D4113E" w:rsidRPr="00675B09">
        <w:rPr>
          <w:lang w:val="en-GB"/>
        </w:rPr>
        <w:t xml:space="preserve"> participant</w:t>
      </w:r>
      <w:r w:rsidR="00BD54FE" w:rsidRPr="00675B09">
        <w:rPr>
          <w:lang w:val="en-GB"/>
        </w:rPr>
        <w:t xml:space="preserve">s in RCTs of both children/adolescents and adults </w:t>
      </w:r>
      <w:r w:rsidR="00A222CF" w:rsidRPr="00675B09">
        <w:rPr>
          <w:lang w:val="en-GB"/>
        </w:rPr>
        <w:t xml:space="preserve">– </w:t>
      </w:r>
      <w:r w:rsidR="00BD54FE" w:rsidRPr="00675B09">
        <w:rPr>
          <w:lang w:val="en-GB"/>
        </w:rPr>
        <w:t>requires</w:t>
      </w:r>
      <w:r w:rsidR="00A222CF" w:rsidRPr="00675B09">
        <w:rPr>
          <w:lang w:val="en-GB"/>
        </w:rPr>
        <w:t xml:space="preserve"> </w:t>
      </w:r>
      <w:r w:rsidR="00BD54FE" w:rsidRPr="00675B09">
        <w:rPr>
          <w:lang w:val="en-GB"/>
        </w:rPr>
        <w:t>further study</w:t>
      </w:r>
      <w:r w:rsidRPr="00675B09">
        <w:rPr>
          <w:lang w:val="en-GB"/>
        </w:rPr>
        <w:t>.</w:t>
      </w:r>
      <w:bookmarkEnd w:id="58"/>
    </w:p>
    <w:bookmarkEnd w:id="59"/>
    <w:p w14:paraId="7AEDDC39" w14:textId="3012734E" w:rsidR="000E7384" w:rsidRPr="00675B09" w:rsidRDefault="000860B9" w:rsidP="00533B34">
      <w:pPr>
        <w:jc w:val="left"/>
        <w:rPr>
          <w:lang w:val="en-GB"/>
        </w:rPr>
      </w:pPr>
      <w:r w:rsidRPr="00675B09">
        <w:rPr>
          <w:lang w:val="en-GB"/>
        </w:rPr>
        <w:t>The lack of consistent and comprehensive racial/ethnic data collection and reporting poses significant challenge</w:t>
      </w:r>
      <w:r w:rsidR="00462229" w:rsidRPr="00675B09">
        <w:rPr>
          <w:lang w:val="en-GB"/>
        </w:rPr>
        <w:t>s</w:t>
      </w:r>
      <w:r w:rsidRPr="00675B09">
        <w:rPr>
          <w:lang w:val="en-GB"/>
        </w:rPr>
        <w:t xml:space="preserve"> for developing </w:t>
      </w:r>
      <w:r w:rsidR="00462229" w:rsidRPr="00675B09">
        <w:rPr>
          <w:lang w:val="en-GB"/>
        </w:rPr>
        <w:t xml:space="preserve">and testing </w:t>
      </w:r>
      <w:r w:rsidRPr="00675B09">
        <w:rPr>
          <w:lang w:val="en-GB"/>
        </w:rPr>
        <w:t xml:space="preserve">inclusive, effective, and equitable treatments for </w:t>
      </w:r>
      <w:r w:rsidR="00462229" w:rsidRPr="00675B09">
        <w:rPr>
          <w:lang w:val="en-GB"/>
        </w:rPr>
        <w:t xml:space="preserve">people with </w:t>
      </w:r>
      <w:r w:rsidRPr="00675B09">
        <w:rPr>
          <w:lang w:val="en-GB"/>
        </w:rPr>
        <w:t xml:space="preserve">mental disorders. Without </w:t>
      </w:r>
      <w:r w:rsidR="00462229" w:rsidRPr="00675B09">
        <w:rPr>
          <w:lang w:val="en-GB"/>
        </w:rPr>
        <w:t xml:space="preserve">such </w:t>
      </w:r>
      <w:r w:rsidRPr="00675B09">
        <w:rPr>
          <w:lang w:val="en-GB"/>
        </w:rPr>
        <w:t xml:space="preserve">data, it is difficult to fully understand </w:t>
      </w:r>
      <w:r w:rsidR="00C5347E" w:rsidRPr="00675B09">
        <w:rPr>
          <w:lang w:val="en-GB"/>
        </w:rPr>
        <w:t xml:space="preserve">if </w:t>
      </w:r>
      <w:r w:rsidR="00A15877" w:rsidRPr="00675B09">
        <w:rPr>
          <w:lang w:val="en-GB"/>
        </w:rPr>
        <w:t xml:space="preserve">and </w:t>
      </w:r>
      <w:r w:rsidRPr="00675B09">
        <w:rPr>
          <w:lang w:val="en-GB"/>
        </w:rPr>
        <w:t xml:space="preserve">how different ethnic </w:t>
      </w:r>
      <w:r w:rsidR="00C5347E" w:rsidRPr="00675B09">
        <w:rPr>
          <w:lang w:val="en-GB"/>
        </w:rPr>
        <w:t xml:space="preserve">or racial </w:t>
      </w:r>
      <w:r w:rsidRPr="00675B09">
        <w:rPr>
          <w:lang w:val="en-GB"/>
        </w:rPr>
        <w:t>subgroups respond to</w:t>
      </w:r>
      <w:r w:rsidR="00A15877" w:rsidRPr="00675B09">
        <w:rPr>
          <w:lang w:val="en-GB"/>
        </w:rPr>
        <w:t xml:space="preserve"> </w:t>
      </w:r>
      <w:r w:rsidR="00C5347E" w:rsidRPr="00675B09">
        <w:rPr>
          <w:lang w:val="en-GB"/>
        </w:rPr>
        <w:t xml:space="preserve">various </w:t>
      </w:r>
      <w:r w:rsidR="00A15877" w:rsidRPr="00675B09">
        <w:rPr>
          <w:lang w:val="en-GB"/>
        </w:rPr>
        <w:t>interventions</w:t>
      </w:r>
      <w:r w:rsidR="00B970E2" w:rsidRPr="00675B09">
        <w:rPr>
          <w:lang w:val="en-GB"/>
        </w:rPr>
        <w:t>.</w:t>
      </w:r>
      <w:r w:rsidR="0031206E" w:rsidRPr="00675B09">
        <w:rPr>
          <w:vertAlign w:val="superscript"/>
          <w:lang w:val="en-GB"/>
        </w:rPr>
        <w:t>6</w:t>
      </w:r>
      <w:r w:rsidR="0031206E" w:rsidRPr="00675B09">
        <w:rPr>
          <w:lang w:val="en-GB"/>
        </w:rPr>
        <w:t xml:space="preserve"> The fact that</w:t>
      </w:r>
      <w:r w:rsidR="00AD7237" w:rsidRPr="00675B09">
        <w:rPr>
          <w:lang w:val="en-GB"/>
        </w:rPr>
        <w:t xml:space="preserve">, </w:t>
      </w:r>
      <w:r w:rsidR="00230350" w:rsidRPr="00675B09">
        <w:rPr>
          <w:lang w:val="en-GB"/>
        </w:rPr>
        <w:t xml:space="preserve">at least </w:t>
      </w:r>
      <w:r w:rsidR="00AD7237" w:rsidRPr="00675B09">
        <w:rPr>
          <w:lang w:val="en-GB"/>
        </w:rPr>
        <w:t>i</w:t>
      </w:r>
      <w:r w:rsidR="00CE59F1" w:rsidRPr="00675B09">
        <w:rPr>
          <w:lang w:val="en-GB"/>
        </w:rPr>
        <w:t>n Europe</w:t>
      </w:r>
      <w:r w:rsidR="00AD7237" w:rsidRPr="00675B09">
        <w:rPr>
          <w:lang w:val="en-GB"/>
        </w:rPr>
        <w:t>,</w:t>
      </w:r>
      <w:r w:rsidR="00CE59F1" w:rsidRPr="00675B09">
        <w:rPr>
          <w:lang w:val="en-GB"/>
        </w:rPr>
        <w:t xml:space="preserve"> research is more focus</w:t>
      </w:r>
      <w:r w:rsidR="00AD7237" w:rsidRPr="00675B09">
        <w:rPr>
          <w:lang w:val="en-GB"/>
        </w:rPr>
        <w:t>ed</w:t>
      </w:r>
      <w:r w:rsidR="00CE59F1" w:rsidRPr="00675B09">
        <w:rPr>
          <w:lang w:val="en-GB"/>
        </w:rPr>
        <w:t xml:space="preserve"> </w:t>
      </w:r>
      <w:r w:rsidR="00D64E32" w:rsidRPr="00675B09">
        <w:rPr>
          <w:lang w:val="en-GB"/>
        </w:rPr>
        <w:t xml:space="preserve">on disentangling </w:t>
      </w:r>
      <w:r w:rsidR="00CE59F1" w:rsidRPr="00675B09">
        <w:rPr>
          <w:lang w:val="en-GB"/>
        </w:rPr>
        <w:t>genetic</w:t>
      </w:r>
      <w:r w:rsidR="00D64E32" w:rsidRPr="00675B09">
        <w:rPr>
          <w:lang w:val="en-GB"/>
        </w:rPr>
        <w:t xml:space="preserve"> heterogeneity within populations </w:t>
      </w:r>
      <w:r w:rsidR="0017115C" w:rsidRPr="00675B09">
        <w:rPr>
          <w:lang w:val="en-GB"/>
        </w:rPr>
        <w:t xml:space="preserve">rather than </w:t>
      </w:r>
      <w:r w:rsidR="00D64E32" w:rsidRPr="00675B09">
        <w:rPr>
          <w:lang w:val="en-GB"/>
        </w:rPr>
        <w:t xml:space="preserve">stratifying people based on </w:t>
      </w:r>
      <w:r w:rsidR="00D05E87" w:rsidRPr="00675B09">
        <w:rPr>
          <w:lang w:val="en-GB"/>
        </w:rPr>
        <w:t>race and ethnicity</w:t>
      </w:r>
      <w:r w:rsidR="0031206E" w:rsidRPr="00675B09">
        <w:rPr>
          <w:lang w:val="en-GB"/>
        </w:rPr>
        <w:t xml:space="preserve">, </w:t>
      </w:r>
      <w:r w:rsidR="00CE59F1" w:rsidRPr="00675B09">
        <w:rPr>
          <w:lang w:val="en-GB"/>
        </w:rPr>
        <w:t xml:space="preserve">could </w:t>
      </w:r>
      <w:r w:rsidR="0017115C" w:rsidRPr="00675B09">
        <w:rPr>
          <w:lang w:val="en-GB"/>
        </w:rPr>
        <w:t xml:space="preserve">explain why </w:t>
      </w:r>
      <w:r w:rsidR="00AD7237" w:rsidRPr="00675B09">
        <w:rPr>
          <w:lang w:val="en-GB"/>
        </w:rPr>
        <w:t xml:space="preserve">studies conducted in Europe </w:t>
      </w:r>
      <w:r w:rsidR="0017115C" w:rsidRPr="00675B09">
        <w:rPr>
          <w:lang w:val="en-GB"/>
        </w:rPr>
        <w:t xml:space="preserve">are </w:t>
      </w:r>
      <w:r w:rsidR="00AD7237" w:rsidRPr="00675B09">
        <w:rPr>
          <w:lang w:val="en-GB"/>
        </w:rPr>
        <w:t>less likely to</w:t>
      </w:r>
      <w:r w:rsidR="00CE59F1" w:rsidRPr="00675B09">
        <w:rPr>
          <w:lang w:val="en-GB"/>
        </w:rPr>
        <w:t xml:space="preserve"> </w:t>
      </w:r>
      <w:r w:rsidR="00AD7237" w:rsidRPr="00675B09">
        <w:rPr>
          <w:lang w:val="en-GB"/>
        </w:rPr>
        <w:t xml:space="preserve">report </w:t>
      </w:r>
      <w:r w:rsidR="00D05E87" w:rsidRPr="00675B09">
        <w:rPr>
          <w:lang w:val="en-GB"/>
        </w:rPr>
        <w:t>race and ethnicity</w:t>
      </w:r>
      <w:r w:rsidR="00AD7237" w:rsidRPr="00675B09">
        <w:rPr>
          <w:lang w:val="en-GB"/>
        </w:rPr>
        <w:t xml:space="preserve"> compared to U</w:t>
      </w:r>
      <w:r w:rsidR="00FD39CD" w:rsidRPr="00675B09">
        <w:rPr>
          <w:lang w:val="en-GB"/>
        </w:rPr>
        <w:t>SA</w:t>
      </w:r>
      <w:r w:rsidR="00AD7237" w:rsidRPr="00675B09">
        <w:rPr>
          <w:lang w:val="en-GB"/>
        </w:rPr>
        <w:t xml:space="preserve">-based </w:t>
      </w:r>
      <w:r w:rsidR="00CE59F1" w:rsidRPr="00675B09">
        <w:rPr>
          <w:lang w:val="en-GB"/>
        </w:rPr>
        <w:t>studies.</w:t>
      </w:r>
      <w:r w:rsidR="00230350" w:rsidRPr="00675B09">
        <w:rPr>
          <w:lang w:val="en-GB"/>
        </w:rPr>
        <w:t xml:space="preserve"> However, t</w:t>
      </w:r>
      <w:r w:rsidRPr="00675B09">
        <w:rPr>
          <w:lang w:val="en-GB"/>
        </w:rPr>
        <w:t xml:space="preserve">ailoring treatments to individual </w:t>
      </w:r>
      <w:r w:rsidR="00462229" w:rsidRPr="00675B09">
        <w:rPr>
          <w:lang w:val="en-GB"/>
        </w:rPr>
        <w:t xml:space="preserve">patient </w:t>
      </w:r>
      <w:r w:rsidRPr="00675B09">
        <w:rPr>
          <w:lang w:val="en-GB"/>
        </w:rPr>
        <w:t>characteristics</w:t>
      </w:r>
      <w:r w:rsidR="001B0A1B" w:rsidRPr="00675B09">
        <w:rPr>
          <w:lang w:val="en-GB"/>
        </w:rPr>
        <w:t xml:space="preserve"> </w:t>
      </w:r>
      <w:r w:rsidR="00F25F99" w:rsidRPr="00675B09">
        <w:rPr>
          <w:lang w:val="en-GB"/>
        </w:rPr>
        <w:t xml:space="preserve">needs </w:t>
      </w:r>
      <w:r w:rsidR="00D05E87" w:rsidRPr="00675B09">
        <w:rPr>
          <w:lang w:val="en-GB"/>
        </w:rPr>
        <w:t>race and ethnicity</w:t>
      </w:r>
      <w:r w:rsidRPr="00675B09">
        <w:rPr>
          <w:lang w:val="en-GB"/>
        </w:rPr>
        <w:t xml:space="preserve"> being collected in RCTs and reported in primary or secondary </w:t>
      </w:r>
      <w:r w:rsidR="00462229" w:rsidRPr="00675B09">
        <w:rPr>
          <w:lang w:val="en-GB"/>
        </w:rPr>
        <w:t>analyses</w:t>
      </w:r>
      <w:r w:rsidRPr="00675B09">
        <w:rPr>
          <w:lang w:val="en-GB"/>
        </w:rPr>
        <w:t>.</w:t>
      </w:r>
      <w:r w:rsidR="007806EA" w:rsidRPr="00675B09">
        <w:rPr>
          <w:lang w:val="en-GB"/>
        </w:rPr>
        <w:t xml:space="preserve"> </w:t>
      </w:r>
      <w:r w:rsidR="000E7384" w:rsidRPr="00675B09">
        <w:rPr>
          <w:lang w:val="en-GB"/>
        </w:rPr>
        <w:t xml:space="preserve">There is in fact strong evidence that removing or not measuring potentially discriminatory variables such as </w:t>
      </w:r>
      <w:r w:rsidR="00D05E87" w:rsidRPr="00675B09">
        <w:rPr>
          <w:lang w:val="en-GB"/>
        </w:rPr>
        <w:t>race and ethnicity</w:t>
      </w:r>
      <w:r w:rsidR="000E7384" w:rsidRPr="00675B09">
        <w:rPr>
          <w:lang w:val="en-GB"/>
        </w:rPr>
        <w:t xml:space="preserve"> does not remove the bias against a group but may make it worse, through the so-called principle “fairness through unawareness”, which assumes that if we are unaware of protected attributes while making decisions, our decisions will be fair</w:t>
      </w:r>
      <w:r w:rsidR="00B970E2" w:rsidRPr="00675B09">
        <w:rPr>
          <w:lang w:val="en-GB"/>
        </w:rPr>
        <w:t>.</w:t>
      </w:r>
      <w:r w:rsidR="000E7384" w:rsidRPr="00675B09">
        <w:rPr>
          <w:vertAlign w:val="superscript"/>
          <w:lang w:val="en-GB"/>
        </w:rPr>
        <w:t>1</w:t>
      </w:r>
      <w:r w:rsidR="00C371A3" w:rsidRPr="00675B09">
        <w:rPr>
          <w:vertAlign w:val="superscript"/>
          <w:lang w:val="en-GB"/>
        </w:rPr>
        <w:t>7</w:t>
      </w:r>
      <w:r w:rsidR="000E7384" w:rsidRPr="00675B09">
        <w:rPr>
          <w:lang w:val="en-GB"/>
        </w:rPr>
        <w:t xml:space="preserve"> Conversely, carefully reporting and measuring racial/ethnic information is a more solid approach to account for the potential effects of systemic racism on treatment outcomes</w:t>
      </w:r>
      <w:r w:rsidR="00B970E2" w:rsidRPr="00675B09">
        <w:rPr>
          <w:lang w:val="en-GB"/>
        </w:rPr>
        <w:t>.</w:t>
      </w:r>
      <w:r w:rsidR="000E7384" w:rsidRPr="00675B09">
        <w:rPr>
          <w:vertAlign w:val="superscript"/>
          <w:lang w:val="en-GB"/>
        </w:rPr>
        <w:t>1</w:t>
      </w:r>
      <w:r w:rsidR="00C371A3" w:rsidRPr="00675B09">
        <w:rPr>
          <w:vertAlign w:val="superscript"/>
          <w:lang w:val="en-GB"/>
        </w:rPr>
        <w:t>8</w:t>
      </w:r>
      <w:r w:rsidR="000E7384" w:rsidRPr="00675B09">
        <w:rPr>
          <w:vertAlign w:val="superscript"/>
          <w:lang w:val="en-GB"/>
        </w:rPr>
        <w:t>,1</w:t>
      </w:r>
      <w:r w:rsidR="00C371A3" w:rsidRPr="00675B09">
        <w:rPr>
          <w:vertAlign w:val="superscript"/>
          <w:lang w:val="en-GB"/>
        </w:rPr>
        <w:t>9</w:t>
      </w:r>
    </w:p>
    <w:p w14:paraId="29B6A58B" w14:textId="52811B84" w:rsidR="008851C4" w:rsidRPr="00675B09" w:rsidRDefault="001B0A1B" w:rsidP="00533B34">
      <w:pPr>
        <w:jc w:val="left"/>
        <w:rPr>
          <w:lang w:val="en-GB"/>
        </w:rPr>
      </w:pPr>
      <w:r w:rsidRPr="00675B09">
        <w:rPr>
          <w:lang w:val="en-GB"/>
        </w:rPr>
        <w:t xml:space="preserve">Our </w:t>
      </w:r>
      <w:r w:rsidR="00A241A9" w:rsidRPr="00675B09">
        <w:rPr>
          <w:lang w:val="en-GB"/>
        </w:rPr>
        <w:t xml:space="preserve">study has some </w:t>
      </w:r>
      <w:r w:rsidR="00CD4D06" w:rsidRPr="00675B09">
        <w:rPr>
          <w:lang w:val="en-GB"/>
        </w:rPr>
        <w:t>limitations.</w:t>
      </w:r>
      <w:r w:rsidR="00EF287F" w:rsidRPr="00675B09">
        <w:rPr>
          <w:lang w:val="en-GB"/>
        </w:rPr>
        <w:t xml:space="preserve"> Considering we retrieved RCTs from the most updated and largest </w:t>
      </w:r>
      <w:r w:rsidR="004431F2" w:rsidRPr="00675B09">
        <w:rPr>
          <w:lang w:val="en-GB"/>
        </w:rPr>
        <w:t>NMA</w:t>
      </w:r>
      <w:r w:rsidR="00EF287F" w:rsidRPr="00675B09">
        <w:rPr>
          <w:lang w:val="en-GB"/>
        </w:rPr>
        <w:t xml:space="preserve"> for each mental disorder</w:t>
      </w:r>
      <w:r w:rsidR="00A241A9" w:rsidRPr="00675B09">
        <w:rPr>
          <w:lang w:val="en-GB"/>
        </w:rPr>
        <w:t>,</w:t>
      </w:r>
      <w:r w:rsidR="00EF287F" w:rsidRPr="00675B09">
        <w:rPr>
          <w:lang w:val="en-GB"/>
        </w:rPr>
        <w:t xml:space="preserve"> we may have missed some RCTs not included in </w:t>
      </w:r>
      <w:r w:rsidR="00C32645" w:rsidRPr="00675B09">
        <w:rPr>
          <w:lang w:val="en-GB"/>
        </w:rPr>
        <w:t>these</w:t>
      </w:r>
      <w:r w:rsidR="009365C2" w:rsidRPr="00675B09">
        <w:rPr>
          <w:lang w:val="en-GB"/>
        </w:rPr>
        <w:t xml:space="preserve"> evidence</w:t>
      </w:r>
      <w:r w:rsidR="00A222CF" w:rsidRPr="00675B09">
        <w:rPr>
          <w:lang w:val="en-GB"/>
        </w:rPr>
        <w:t>-</w:t>
      </w:r>
      <w:r w:rsidR="009365C2" w:rsidRPr="00675B09">
        <w:rPr>
          <w:lang w:val="en-GB"/>
        </w:rPr>
        <w:t>synthesis</w:t>
      </w:r>
      <w:r w:rsidR="00C32645" w:rsidRPr="00675B09">
        <w:rPr>
          <w:lang w:val="en-GB"/>
        </w:rPr>
        <w:t xml:space="preserve"> </w:t>
      </w:r>
      <w:r w:rsidR="002242DE" w:rsidRPr="00675B09">
        <w:rPr>
          <w:lang w:val="en-GB"/>
        </w:rPr>
        <w:t>studies</w:t>
      </w:r>
      <w:r w:rsidR="00EF287F" w:rsidRPr="00675B09">
        <w:rPr>
          <w:lang w:val="en-GB"/>
        </w:rPr>
        <w:t>.</w:t>
      </w:r>
      <w:r w:rsidR="00330BCC" w:rsidRPr="00675B09">
        <w:rPr>
          <w:lang w:val="en-GB"/>
        </w:rPr>
        <w:t xml:space="preserve"> Furthermore, our temporal trend analyses were based on the date of </w:t>
      </w:r>
      <w:r w:rsidR="00C32645" w:rsidRPr="00675B09">
        <w:rPr>
          <w:lang w:val="en-GB"/>
        </w:rPr>
        <w:t xml:space="preserve">article </w:t>
      </w:r>
      <w:r w:rsidR="00330BCC" w:rsidRPr="00675B09">
        <w:rPr>
          <w:lang w:val="en-GB"/>
        </w:rPr>
        <w:t xml:space="preserve">publication, </w:t>
      </w:r>
      <w:r w:rsidR="00981901" w:rsidRPr="00675B09">
        <w:rPr>
          <w:lang w:val="en-GB"/>
        </w:rPr>
        <w:t>rather than</w:t>
      </w:r>
      <w:r w:rsidR="00330BCC" w:rsidRPr="00675B09">
        <w:rPr>
          <w:lang w:val="en-GB"/>
        </w:rPr>
        <w:t xml:space="preserve"> on the temporal period during which data were collected.</w:t>
      </w:r>
      <w:r w:rsidR="002242DE" w:rsidRPr="00675B09">
        <w:rPr>
          <w:lang w:val="en-GB"/>
        </w:rPr>
        <w:t xml:space="preserve"> </w:t>
      </w:r>
      <w:r w:rsidR="002C2F6C" w:rsidRPr="00675B09">
        <w:rPr>
          <w:lang w:val="en-GB"/>
        </w:rPr>
        <w:t xml:space="preserve">Our choice of using generic labels to collate </w:t>
      </w:r>
      <w:r w:rsidR="00D05E87" w:rsidRPr="00675B09">
        <w:rPr>
          <w:lang w:val="en-GB"/>
        </w:rPr>
        <w:t>race and ethnicity</w:t>
      </w:r>
      <w:r w:rsidR="002C2F6C" w:rsidRPr="00675B09">
        <w:rPr>
          <w:lang w:val="en-GB"/>
        </w:rPr>
        <w:t xml:space="preserve"> was justified by the need to standardise data for the meta-analyses. </w:t>
      </w:r>
      <w:r w:rsidR="000345F5" w:rsidRPr="00675B09">
        <w:rPr>
          <w:lang w:val="en-GB"/>
        </w:rPr>
        <w:t>However, t</w:t>
      </w:r>
      <w:r w:rsidR="00EF287F" w:rsidRPr="00675B09">
        <w:rPr>
          <w:lang w:val="en-GB"/>
        </w:rPr>
        <w:t xml:space="preserve">his meant that other labels were collapsed </w:t>
      </w:r>
      <w:r w:rsidR="00EF287F" w:rsidRPr="00675B09">
        <w:rPr>
          <w:lang w:val="en-GB"/>
        </w:rPr>
        <w:lastRenderedPageBreak/>
        <w:t>into the category “Other/Multi-racial/Multi-ethnic”.</w:t>
      </w:r>
      <w:r w:rsidR="000345F5" w:rsidRPr="00675B09">
        <w:rPr>
          <w:lang w:val="en-GB"/>
        </w:rPr>
        <w:t xml:space="preserve"> Nevertheless, we are aware that the labels used to refer to race, </w:t>
      </w:r>
      <w:r w:rsidR="002242DE" w:rsidRPr="00675B09">
        <w:rPr>
          <w:lang w:val="en-GB"/>
        </w:rPr>
        <w:t>ethnicity,</w:t>
      </w:r>
      <w:r w:rsidR="000345F5" w:rsidRPr="00675B09">
        <w:rPr>
          <w:lang w:val="en-GB"/>
        </w:rPr>
        <w:t xml:space="preserve"> or indigenous identity may have different connotations based on the country or the socio-cultural context</w:t>
      </w:r>
      <w:r w:rsidR="00B970E2" w:rsidRPr="00675B09">
        <w:rPr>
          <w:lang w:val="en-GB"/>
        </w:rPr>
        <w:t>,</w:t>
      </w:r>
      <w:r w:rsidR="0031206E" w:rsidRPr="00675B09">
        <w:rPr>
          <w:vertAlign w:val="superscript"/>
          <w:lang w:val="en-GB"/>
        </w:rPr>
        <w:t>9</w:t>
      </w:r>
      <w:r w:rsidR="00B970E2" w:rsidRPr="00675B09">
        <w:rPr>
          <w:vertAlign w:val="superscript"/>
          <w:lang w:val="en-GB"/>
        </w:rPr>
        <w:t>,</w:t>
      </w:r>
      <w:r w:rsidR="0031206E" w:rsidRPr="00675B09">
        <w:rPr>
          <w:vertAlign w:val="superscript"/>
          <w:lang w:val="en-GB"/>
        </w:rPr>
        <w:t>10</w:t>
      </w:r>
      <w:r w:rsidR="0031206E" w:rsidRPr="00675B09">
        <w:rPr>
          <w:lang w:val="en-GB"/>
        </w:rPr>
        <w:t xml:space="preserve"> </w:t>
      </w:r>
      <w:r w:rsidR="000345F5" w:rsidRPr="00675B09">
        <w:rPr>
          <w:lang w:val="en-GB"/>
        </w:rPr>
        <w:t>but it would have been impossible to conduct the current study using unstandardised labels.</w:t>
      </w:r>
      <w:bookmarkStart w:id="60" w:name="_Hlk183000227"/>
      <w:r w:rsidR="000345F5" w:rsidRPr="00675B09">
        <w:rPr>
          <w:lang w:val="en-GB"/>
        </w:rPr>
        <w:t xml:space="preserve"> </w:t>
      </w:r>
      <w:bookmarkStart w:id="61" w:name="_Hlk183000317"/>
      <w:r w:rsidR="002242DE" w:rsidRPr="00675B09">
        <w:rPr>
          <w:lang w:val="en-GB"/>
        </w:rPr>
        <w:t xml:space="preserve">It is also important to note that it is common practice for RCT participants to self-report their </w:t>
      </w:r>
      <w:r w:rsidR="00D05E87" w:rsidRPr="00675B09">
        <w:rPr>
          <w:lang w:val="en-GB"/>
        </w:rPr>
        <w:t>race and ethnicity</w:t>
      </w:r>
      <w:r w:rsidR="009365C2" w:rsidRPr="00675B09">
        <w:rPr>
          <w:lang w:val="en-GB"/>
        </w:rPr>
        <w:t xml:space="preserve"> (however, </w:t>
      </w:r>
      <w:r w:rsidR="00640567" w:rsidRPr="00675B09">
        <w:rPr>
          <w:lang w:val="en-GB"/>
        </w:rPr>
        <w:t xml:space="preserve">RCTs </w:t>
      </w:r>
      <w:r w:rsidR="00AB3441" w:rsidRPr="00675B09">
        <w:rPr>
          <w:lang w:val="en-GB"/>
        </w:rPr>
        <w:t xml:space="preserve">usually </w:t>
      </w:r>
      <w:r w:rsidR="00640567" w:rsidRPr="00675B09">
        <w:rPr>
          <w:lang w:val="en-GB"/>
        </w:rPr>
        <w:t xml:space="preserve">inconsistently report whether </w:t>
      </w:r>
      <w:r w:rsidR="00D05E87" w:rsidRPr="00675B09">
        <w:rPr>
          <w:lang w:val="en-GB"/>
        </w:rPr>
        <w:t>race and ethnicity</w:t>
      </w:r>
      <w:r w:rsidR="00640567" w:rsidRPr="00675B09">
        <w:rPr>
          <w:lang w:val="en-GB"/>
        </w:rPr>
        <w:t xml:space="preserve"> </w:t>
      </w:r>
      <w:r w:rsidR="00D05E87" w:rsidRPr="00675B09">
        <w:rPr>
          <w:lang w:val="en-GB"/>
        </w:rPr>
        <w:t xml:space="preserve">were </w:t>
      </w:r>
      <w:r w:rsidR="00640567" w:rsidRPr="00675B09">
        <w:rPr>
          <w:lang w:val="en-GB"/>
        </w:rPr>
        <w:t>self-reported or observed</w:t>
      </w:r>
      <w:r w:rsidR="00D979B5" w:rsidRPr="00675B09">
        <w:rPr>
          <w:lang w:val="en-GB"/>
        </w:rPr>
        <w:t>/inquired about</w:t>
      </w:r>
      <w:r w:rsidR="009365C2" w:rsidRPr="00675B09">
        <w:rPr>
          <w:lang w:val="en-GB"/>
        </w:rPr>
        <w:t>)</w:t>
      </w:r>
      <w:r w:rsidR="002242DE" w:rsidRPr="00675B09">
        <w:rPr>
          <w:lang w:val="en-GB"/>
        </w:rPr>
        <w:t xml:space="preserve">. </w:t>
      </w:r>
      <w:bookmarkEnd w:id="61"/>
      <w:r w:rsidR="002242DE" w:rsidRPr="00675B09">
        <w:rPr>
          <w:lang w:val="en-GB"/>
        </w:rPr>
        <w:t xml:space="preserve">This introduces the possibility that a percentage of individuals recruited in </w:t>
      </w:r>
      <w:r w:rsidR="00DE2D33" w:rsidRPr="00675B09">
        <w:rPr>
          <w:lang w:val="en-GB"/>
        </w:rPr>
        <w:t>RCTs</w:t>
      </w:r>
      <w:r w:rsidR="002242DE" w:rsidRPr="00675B09">
        <w:rPr>
          <w:lang w:val="en-GB"/>
        </w:rPr>
        <w:t xml:space="preserve"> identify with a different ethnicity than they might otherwise be categorized under.</w:t>
      </w:r>
      <w:bookmarkEnd w:id="60"/>
      <w:r w:rsidR="002242DE" w:rsidRPr="00675B09">
        <w:rPr>
          <w:lang w:val="en-GB"/>
        </w:rPr>
        <w:t xml:space="preserve"> However, </w:t>
      </w:r>
      <w:r w:rsidR="00981901" w:rsidRPr="00675B09">
        <w:rPr>
          <w:lang w:val="en-GB"/>
        </w:rPr>
        <w:t xml:space="preserve">we note that </w:t>
      </w:r>
      <w:r w:rsidR="002242DE" w:rsidRPr="00675B09">
        <w:rPr>
          <w:lang w:val="en-GB"/>
        </w:rPr>
        <w:t>this same self-reporting approach is used in the ACS. In addition</w:t>
      </w:r>
      <w:r w:rsidR="0095103A" w:rsidRPr="00675B09">
        <w:rPr>
          <w:lang w:val="en-GB"/>
        </w:rPr>
        <w:t>, we could only compare RCT data with census data for USA-based studies, considering we could only obtain publicly available demographic data from the USA. Further studies are therefore needed, involving governmental and non-governmental organisation</w:t>
      </w:r>
      <w:r w:rsidR="00981901" w:rsidRPr="00675B09">
        <w:rPr>
          <w:lang w:val="en-GB"/>
        </w:rPr>
        <w:t>s</w:t>
      </w:r>
      <w:r w:rsidR="0095103A" w:rsidRPr="00675B09">
        <w:rPr>
          <w:lang w:val="en-GB"/>
        </w:rPr>
        <w:t xml:space="preserve"> responsible for collecting demographic data in non-USA countries.</w:t>
      </w:r>
      <w:r w:rsidR="006C3414" w:rsidRPr="00675B09">
        <w:rPr>
          <w:lang w:val="en-GB"/>
        </w:rPr>
        <w:t xml:space="preserve"> We particularly recommend future studies to focus on investigating the potential role of other factors in under-reporting </w:t>
      </w:r>
      <w:r w:rsidR="00D05E87" w:rsidRPr="00675B09">
        <w:rPr>
          <w:lang w:val="en-GB"/>
        </w:rPr>
        <w:t>race and ethnicity</w:t>
      </w:r>
      <w:r w:rsidR="006C3414" w:rsidRPr="00675B09">
        <w:rPr>
          <w:lang w:val="en-GB"/>
        </w:rPr>
        <w:t xml:space="preserve">, </w:t>
      </w:r>
      <w:r w:rsidR="00981901" w:rsidRPr="00675B09">
        <w:rPr>
          <w:lang w:val="en-GB"/>
        </w:rPr>
        <w:t>such as type of sponsor/funding,</w:t>
      </w:r>
      <w:r w:rsidR="006C3414" w:rsidRPr="00675B09">
        <w:rPr>
          <w:lang w:val="en-GB"/>
        </w:rPr>
        <w:t xml:space="preserve"> other socio-demographical variables, </w:t>
      </w:r>
      <w:bookmarkStart w:id="62" w:name="_Hlk184650942"/>
      <w:r w:rsidR="006C3414" w:rsidRPr="00675B09">
        <w:rPr>
          <w:lang w:val="en-GB"/>
        </w:rPr>
        <w:t>sex-assigned-at-</w:t>
      </w:r>
      <w:r w:rsidR="007E45AC" w:rsidRPr="00675B09">
        <w:rPr>
          <w:lang w:val="en-GB"/>
        </w:rPr>
        <w:t>birth,</w:t>
      </w:r>
      <w:r w:rsidR="006C3414" w:rsidRPr="00675B09">
        <w:rPr>
          <w:lang w:val="en-GB"/>
        </w:rPr>
        <w:t xml:space="preserve"> and self-reported gender</w:t>
      </w:r>
      <w:bookmarkEnd w:id="62"/>
      <w:r w:rsidR="006C3414" w:rsidRPr="00675B09">
        <w:rPr>
          <w:lang w:val="en-GB"/>
        </w:rPr>
        <w:t>.</w:t>
      </w:r>
    </w:p>
    <w:p w14:paraId="2DDB5A0E" w14:textId="4BCDBD01" w:rsidR="001B0A1B" w:rsidRPr="00675B09" w:rsidRDefault="001B0A1B" w:rsidP="00533B34">
      <w:pPr>
        <w:jc w:val="left"/>
        <w:rPr>
          <w:lang w:val="en-GB"/>
        </w:rPr>
      </w:pPr>
      <w:r w:rsidRPr="00675B09">
        <w:rPr>
          <w:lang w:val="en-GB"/>
        </w:rPr>
        <w:t xml:space="preserve">In conclusion, it is urgently needed to work towards developing consensus guidelines and standardised international reporting protocols for easily collecting and transparently reporting </w:t>
      </w:r>
      <w:r w:rsidR="00D05E87" w:rsidRPr="00675B09">
        <w:rPr>
          <w:lang w:val="en-GB"/>
        </w:rPr>
        <w:t>race and ethnicity</w:t>
      </w:r>
      <w:r w:rsidRPr="00675B09">
        <w:rPr>
          <w:lang w:val="en-GB"/>
        </w:rPr>
        <w:t xml:space="preserve"> when presenting the main findings of RCTs for pharmacological treatments of mental disorders, but also in any other disease. This approach will ensure that RCTs are appropriately monitored, and researchers can be at least held accountable to better reflect and serve diverse populations globally, thereby mitigating biases and improving the generalizability of study findings. This task can only be accomplished by researchers, clinicians, patients, funders, research councils and foundations, policymakers, academic publishers, drug manufacturers, and regulatory agencies, working together towards this </w:t>
      </w:r>
      <w:r w:rsidRPr="00675B09">
        <w:rPr>
          <w:lang w:val="en-GB"/>
        </w:rPr>
        <w:lastRenderedPageBreak/>
        <w:t>important goal.</w:t>
      </w:r>
    </w:p>
    <w:p w14:paraId="45677AB5" w14:textId="77777777" w:rsidR="001B0A1B" w:rsidRPr="00675B09" w:rsidRDefault="001B0A1B" w:rsidP="00533B34">
      <w:pPr>
        <w:jc w:val="left"/>
        <w:rPr>
          <w:lang w:val="en-GB"/>
        </w:rPr>
      </w:pPr>
    </w:p>
    <w:p w14:paraId="4E3ECF7C" w14:textId="77777777" w:rsidR="00067820" w:rsidRPr="00675B09" w:rsidRDefault="00067820" w:rsidP="00533B34">
      <w:pPr>
        <w:rPr>
          <w:b/>
          <w:lang w:val="en-GB"/>
        </w:rPr>
      </w:pPr>
      <w:r w:rsidRPr="00675B09">
        <w:rPr>
          <w:lang w:val="en-GB"/>
        </w:rPr>
        <w:br w:type="page"/>
      </w:r>
    </w:p>
    <w:p w14:paraId="318F0C87" w14:textId="6CF0000C" w:rsidR="00A241A9" w:rsidRPr="00675B09" w:rsidRDefault="00A241A9" w:rsidP="00533B34">
      <w:pPr>
        <w:pStyle w:val="Heading1"/>
        <w:rPr>
          <w:lang w:val="en-GB"/>
        </w:rPr>
      </w:pPr>
      <w:r w:rsidRPr="00675B09">
        <w:rPr>
          <w:lang w:val="en-GB"/>
        </w:rPr>
        <w:lastRenderedPageBreak/>
        <w:t>REFERENCES</w:t>
      </w:r>
    </w:p>
    <w:p w14:paraId="57E066FE" w14:textId="5AAA9D17" w:rsidR="00A241A9" w:rsidRPr="00675B09" w:rsidRDefault="00A241A9" w:rsidP="00533B34">
      <w:pPr>
        <w:pBdr>
          <w:top w:val="nil"/>
          <w:left w:val="nil"/>
          <w:bottom w:val="nil"/>
          <w:right w:val="nil"/>
          <w:between w:val="nil"/>
        </w:pBdr>
        <w:rPr>
          <w:lang w:val="en-GB"/>
        </w:rPr>
      </w:pPr>
      <w:r w:rsidRPr="00675B09">
        <w:rPr>
          <w:lang w:val="en-GB"/>
        </w:rPr>
        <w:t>1.</w:t>
      </w:r>
      <w:r w:rsidRPr="00675B09">
        <w:rPr>
          <w:lang w:val="en-GB"/>
        </w:rPr>
        <w:tab/>
        <w:t xml:space="preserve">Geneviève LD, </w:t>
      </w:r>
      <w:proofErr w:type="spellStart"/>
      <w:r w:rsidRPr="00675B09">
        <w:rPr>
          <w:lang w:val="en-GB"/>
        </w:rPr>
        <w:t>Martani</w:t>
      </w:r>
      <w:proofErr w:type="spellEnd"/>
      <w:r w:rsidRPr="00675B09">
        <w:rPr>
          <w:lang w:val="en-GB"/>
        </w:rPr>
        <w:t xml:space="preserve"> A, Shaw D, Elger BS, Wangmo T. Structural racism in precision medicine: leaving no one behind. </w:t>
      </w:r>
      <w:r w:rsidRPr="00675B09">
        <w:rPr>
          <w:i/>
          <w:iCs/>
          <w:lang w:val="en-GB"/>
        </w:rPr>
        <w:t>BMC Medical Ethics</w:t>
      </w:r>
      <w:r w:rsidRPr="00675B09">
        <w:rPr>
          <w:lang w:val="en-GB"/>
        </w:rPr>
        <w:t> 2020;21.</w:t>
      </w:r>
    </w:p>
    <w:p w14:paraId="56DBF0D8" w14:textId="2514C61B" w:rsidR="00A241A9" w:rsidRPr="00675B09" w:rsidRDefault="00A241A9" w:rsidP="00533B34">
      <w:pPr>
        <w:pBdr>
          <w:top w:val="nil"/>
          <w:left w:val="nil"/>
          <w:bottom w:val="nil"/>
          <w:right w:val="nil"/>
          <w:between w:val="nil"/>
        </w:pBdr>
        <w:rPr>
          <w:lang w:val="en-GB"/>
        </w:rPr>
      </w:pPr>
      <w:r w:rsidRPr="00675B09">
        <w:rPr>
          <w:lang w:val="en-GB"/>
        </w:rPr>
        <w:t>2.</w:t>
      </w:r>
      <w:r w:rsidRPr="00675B09">
        <w:rPr>
          <w:lang w:val="en-GB"/>
        </w:rPr>
        <w:tab/>
      </w:r>
      <w:proofErr w:type="spellStart"/>
      <w:r w:rsidRPr="00675B09">
        <w:rPr>
          <w:lang w:val="en-GB"/>
        </w:rPr>
        <w:t>Shanawani</w:t>
      </w:r>
      <w:proofErr w:type="spellEnd"/>
      <w:r w:rsidRPr="00675B09">
        <w:rPr>
          <w:lang w:val="en-GB"/>
        </w:rPr>
        <w:t xml:space="preserve"> H, Dame L, Schwartz DA, Cook-Deegan R. Non-reporting and inconsistent reporting of race and ethnicity in articles that claim associations among genotype, outcome, and race or ethnicity. </w:t>
      </w:r>
      <w:r w:rsidRPr="00675B09">
        <w:rPr>
          <w:i/>
          <w:lang w:val="en-GB"/>
        </w:rPr>
        <w:t>Journal of Medical Ethics</w:t>
      </w:r>
      <w:r w:rsidRPr="00675B09">
        <w:rPr>
          <w:lang w:val="en-GB"/>
        </w:rPr>
        <w:t xml:space="preserve"> 2006;32(12):724.</w:t>
      </w:r>
    </w:p>
    <w:p w14:paraId="4EB36EC0" w14:textId="1A6EF669" w:rsidR="00A241A9" w:rsidRPr="00675B09" w:rsidRDefault="00A241A9" w:rsidP="00533B34">
      <w:pPr>
        <w:pBdr>
          <w:top w:val="nil"/>
          <w:left w:val="nil"/>
          <w:bottom w:val="nil"/>
          <w:right w:val="nil"/>
          <w:between w:val="nil"/>
        </w:pBdr>
        <w:rPr>
          <w:lang w:val="en-GB"/>
        </w:rPr>
      </w:pPr>
      <w:r w:rsidRPr="00675B09">
        <w:rPr>
          <w:lang w:val="en-GB"/>
        </w:rPr>
        <w:t>3.</w:t>
      </w:r>
      <w:r w:rsidRPr="00675B09">
        <w:rPr>
          <w:lang w:val="en-GB"/>
        </w:rPr>
        <w:tab/>
      </w:r>
      <w:proofErr w:type="spellStart"/>
      <w:r w:rsidRPr="00675B09">
        <w:rPr>
          <w:lang w:val="en-GB"/>
        </w:rPr>
        <w:t>Solmi</w:t>
      </w:r>
      <w:proofErr w:type="spellEnd"/>
      <w:r w:rsidRPr="00675B09">
        <w:rPr>
          <w:lang w:val="en-GB"/>
        </w:rPr>
        <w:t xml:space="preserve"> M, Cortese S, Vita G, et al. An umbrella review of candidate predictors of response, remission, recovery, and relapse across mental disorders. </w:t>
      </w:r>
      <w:r w:rsidRPr="00675B09">
        <w:rPr>
          <w:i/>
          <w:lang w:val="en-GB"/>
        </w:rPr>
        <w:t>Molecular Psychiatry</w:t>
      </w:r>
      <w:r w:rsidRPr="00675B09">
        <w:rPr>
          <w:lang w:val="en-GB"/>
        </w:rPr>
        <w:t xml:space="preserve"> 2023;28(9):3671-87.</w:t>
      </w:r>
    </w:p>
    <w:p w14:paraId="603BFF15" w14:textId="20BD19A2" w:rsidR="0031206E" w:rsidRPr="00675B09" w:rsidRDefault="00A241A9" w:rsidP="0031206E">
      <w:pPr>
        <w:pBdr>
          <w:top w:val="nil"/>
          <w:left w:val="nil"/>
          <w:bottom w:val="nil"/>
          <w:right w:val="nil"/>
          <w:between w:val="nil"/>
        </w:pBdr>
        <w:rPr>
          <w:lang w:val="en-GB"/>
        </w:rPr>
      </w:pPr>
      <w:r w:rsidRPr="00675B09">
        <w:rPr>
          <w:lang w:val="en-GB"/>
        </w:rPr>
        <w:t>‌</w:t>
      </w:r>
      <w:r w:rsidR="0031206E" w:rsidRPr="00675B09">
        <w:rPr>
          <w:lang w:val="en-GB"/>
        </w:rPr>
        <w:t>4.</w:t>
      </w:r>
      <w:r w:rsidR="0031206E" w:rsidRPr="00675B09">
        <w:rPr>
          <w:lang w:val="en-GB"/>
        </w:rPr>
        <w:tab/>
        <w:t xml:space="preserve">Xavier RM, </w:t>
      </w:r>
      <w:proofErr w:type="spellStart"/>
      <w:r w:rsidR="0031206E" w:rsidRPr="00675B09">
        <w:rPr>
          <w:lang w:val="en-GB"/>
        </w:rPr>
        <w:t>Shanavas</w:t>
      </w:r>
      <w:proofErr w:type="spellEnd"/>
      <w:r w:rsidR="0031206E" w:rsidRPr="00675B09">
        <w:rPr>
          <w:lang w:val="en-GB"/>
        </w:rPr>
        <w:t xml:space="preserve"> Y, Britt BM, George WT. Influences of race and clinical variables on psychiatric genetic research participation: Results from a schizophrenia sample. </w:t>
      </w:r>
      <w:proofErr w:type="spellStart"/>
      <w:r w:rsidR="0031206E" w:rsidRPr="00675B09">
        <w:rPr>
          <w:i/>
          <w:iCs/>
          <w:lang w:val="en-GB"/>
        </w:rPr>
        <w:t>PLoS</w:t>
      </w:r>
      <w:proofErr w:type="spellEnd"/>
      <w:r w:rsidR="0031206E" w:rsidRPr="00675B09">
        <w:rPr>
          <w:i/>
          <w:iCs/>
          <w:lang w:val="en-GB"/>
        </w:rPr>
        <w:t xml:space="preserve"> One</w:t>
      </w:r>
      <w:r w:rsidR="0031206E" w:rsidRPr="00675B09">
        <w:rPr>
          <w:lang w:val="en-GB"/>
        </w:rPr>
        <w:t xml:space="preserve"> 2023;18(4</w:t>
      </w:r>
      <w:proofErr w:type="gramStart"/>
      <w:r w:rsidR="0031206E" w:rsidRPr="00675B09">
        <w:rPr>
          <w:lang w:val="en-GB"/>
        </w:rPr>
        <w:t>):e</w:t>
      </w:r>
      <w:proofErr w:type="gramEnd"/>
      <w:r w:rsidR="0031206E" w:rsidRPr="00675B09">
        <w:rPr>
          <w:lang w:val="en-GB"/>
        </w:rPr>
        <w:t>0284356.</w:t>
      </w:r>
    </w:p>
    <w:p w14:paraId="78B5AED4" w14:textId="118D27E8" w:rsidR="0031206E" w:rsidRPr="00675B09" w:rsidRDefault="0031206E" w:rsidP="0031206E">
      <w:pPr>
        <w:pBdr>
          <w:top w:val="nil"/>
          <w:left w:val="nil"/>
          <w:bottom w:val="nil"/>
          <w:right w:val="nil"/>
          <w:between w:val="nil"/>
        </w:pBdr>
        <w:rPr>
          <w:lang w:val="en-GB"/>
        </w:rPr>
      </w:pPr>
      <w:r w:rsidRPr="00675B09">
        <w:rPr>
          <w:lang w:val="en-GB"/>
        </w:rPr>
        <w:t>5.</w:t>
      </w:r>
      <w:r w:rsidRPr="00675B09">
        <w:rPr>
          <w:lang w:val="en-GB"/>
        </w:rPr>
        <w:tab/>
        <w:t xml:space="preserve">Duello TM, </w:t>
      </w:r>
      <w:proofErr w:type="spellStart"/>
      <w:r w:rsidRPr="00675B09">
        <w:rPr>
          <w:lang w:val="en-GB"/>
        </w:rPr>
        <w:t>Rivedal</w:t>
      </w:r>
      <w:proofErr w:type="spellEnd"/>
      <w:r w:rsidRPr="00675B09">
        <w:rPr>
          <w:lang w:val="en-GB"/>
        </w:rPr>
        <w:t xml:space="preserve"> S, Wickland C, Weller A. Race and genetics versus 'race' in genetics: A systematic review of the use of African ancestry in genetic studies. </w:t>
      </w:r>
      <w:proofErr w:type="spellStart"/>
      <w:r w:rsidRPr="00675B09">
        <w:rPr>
          <w:i/>
          <w:iCs/>
          <w:lang w:val="en-GB"/>
        </w:rPr>
        <w:t>Evol</w:t>
      </w:r>
      <w:proofErr w:type="spellEnd"/>
      <w:r w:rsidRPr="00675B09">
        <w:rPr>
          <w:i/>
          <w:iCs/>
          <w:lang w:val="en-GB"/>
        </w:rPr>
        <w:t xml:space="preserve"> Med Public Health</w:t>
      </w:r>
      <w:r w:rsidRPr="00675B09">
        <w:rPr>
          <w:lang w:val="en-GB"/>
        </w:rPr>
        <w:t xml:space="preserve"> 2021; 9(1):232-45.</w:t>
      </w:r>
    </w:p>
    <w:p w14:paraId="54ACA540" w14:textId="6F40B0C4" w:rsidR="00A241A9" w:rsidRPr="00675B09" w:rsidRDefault="0031206E" w:rsidP="00533B34">
      <w:pPr>
        <w:pBdr>
          <w:top w:val="nil"/>
          <w:left w:val="nil"/>
          <w:bottom w:val="nil"/>
          <w:right w:val="nil"/>
          <w:between w:val="nil"/>
        </w:pBdr>
        <w:rPr>
          <w:lang w:val="en-GB"/>
        </w:rPr>
      </w:pPr>
      <w:r w:rsidRPr="00675B09">
        <w:rPr>
          <w:lang w:val="en-GB"/>
        </w:rPr>
        <w:t>6</w:t>
      </w:r>
      <w:r w:rsidR="00A241A9" w:rsidRPr="00675B09">
        <w:rPr>
          <w:lang w:val="en-GB"/>
        </w:rPr>
        <w:t>.</w:t>
      </w:r>
      <w:r w:rsidR="00A241A9" w:rsidRPr="00675B09">
        <w:rPr>
          <w:lang w:val="en-GB"/>
        </w:rPr>
        <w:tab/>
        <w:t xml:space="preserve">Turner BE, Steinberg JR, Weeks BT, Rodriguez F, Cullen MR. Race/ethnicity reporting and representation in US clinical trials: a cohort study. </w:t>
      </w:r>
      <w:r w:rsidR="00A241A9" w:rsidRPr="00675B09">
        <w:rPr>
          <w:i/>
          <w:lang w:val="en-GB"/>
        </w:rPr>
        <w:t>Lancet Reg Health Am</w:t>
      </w:r>
      <w:r w:rsidR="00A241A9" w:rsidRPr="00675B09">
        <w:rPr>
          <w:lang w:val="en-GB"/>
        </w:rPr>
        <w:t xml:space="preserve"> </w:t>
      </w:r>
      <w:proofErr w:type="gramStart"/>
      <w:r w:rsidR="00A241A9" w:rsidRPr="00675B09">
        <w:rPr>
          <w:lang w:val="en-GB"/>
        </w:rPr>
        <w:t>2022;</w:t>
      </w:r>
      <w:proofErr w:type="gramEnd"/>
      <w:r w:rsidR="00A241A9" w:rsidRPr="00675B09">
        <w:rPr>
          <w:lang w:val="en-GB"/>
        </w:rPr>
        <w:t>11.</w:t>
      </w:r>
    </w:p>
    <w:p w14:paraId="7E4C587F" w14:textId="1FCA45F7" w:rsidR="00A241A9" w:rsidRPr="00675B09" w:rsidRDefault="0031206E" w:rsidP="00533B34">
      <w:pPr>
        <w:pBdr>
          <w:top w:val="nil"/>
          <w:left w:val="nil"/>
          <w:bottom w:val="nil"/>
          <w:right w:val="nil"/>
          <w:between w:val="nil"/>
        </w:pBdr>
        <w:rPr>
          <w:lang w:val="en-GB"/>
        </w:rPr>
      </w:pPr>
      <w:r w:rsidRPr="00675B09">
        <w:rPr>
          <w:lang w:val="en-GB"/>
        </w:rPr>
        <w:t>7</w:t>
      </w:r>
      <w:r w:rsidR="00A241A9" w:rsidRPr="00675B09">
        <w:rPr>
          <w:lang w:val="en-GB"/>
        </w:rPr>
        <w:t>.</w:t>
      </w:r>
      <w:r w:rsidR="00A241A9" w:rsidRPr="00675B09">
        <w:rPr>
          <w:lang w:val="en-GB"/>
        </w:rPr>
        <w:tab/>
        <w:t xml:space="preserve">Chew M, Samuel D, Mullan Z, Kleinert S. The Lancet Group's new guidance to authors on reporting race and ethnicity. </w:t>
      </w:r>
      <w:r w:rsidR="00A241A9" w:rsidRPr="00675B09">
        <w:rPr>
          <w:i/>
          <w:lang w:val="en-GB"/>
        </w:rPr>
        <w:t>The Lancet</w:t>
      </w:r>
      <w:r w:rsidR="00A241A9" w:rsidRPr="00675B09">
        <w:rPr>
          <w:lang w:val="en-GB"/>
        </w:rPr>
        <w:t xml:space="preserve"> 2024;403(10442):2360-1.</w:t>
      </w:r>
    </w:p>
    <w:p w14:paraId="51EBEE95" w14:textId="2DEAEAD3" w:rsidR="00A241A9" w:rsidRPr="00675B09" w:rsidRDefault="0031206E" w:rsidP="00533B34">
      <w:pPr>
        <w:pBdr>
          <w:top w:val="nil"/>
          <w:left w:val="nil"/>
          <w:bottom w:val="nil"/>
          <w:right w:val="nil"/>
          <w:between w:val="nil"/>
        </w:pBdr>
        <w:rPr>
          <w:lang w:val="en-GB"/>
        </w:rPr>
      </w:pPr>
      <w:r w:rsidRPr="00675B09">
        <w:rPr>
          <w:lang w:val="en-GB"/>
        </w:rPr>
        <w:t>8</w:t>
      </w:r>
      <w:r w:rsidR="00A241A9" w:rsidRPr="00675B09">
        <w:rPr>
          <w:lang w:val="en-GB"/>
        </w:rPr>
        <w:t>.</w:t>
      </w:r>
      <w:r w:rsidR="00A241A9" w:rsidRPr="00675B09">
        <w:rPr>
          <w:lang w:val="en-GB"/>
        </w:rPr>
        <w:tab/>
      </w:r>
      <w:bookmarkStart w:id="63" w:name="_Hlk183001570"/>
      <w:r w:rsidR="00A241A9" w:rsidRPr="00675B09">
        <w:rPr>
          <w:lang w:val="en-GB"/>
        </w:rPr>
        <w:t xml:space="preserve">Meyer </w:t>
      </w:r>
      <w:bookmarkEnd w:id="63"/>
      <w:r w:rsidR="00A241A9" w:rsidRPr="00675B09">
        <w:rPr>
          <w:lang w:val="en-GB"/>
        </w:rPr>
        <w:t>OL, Castro-</w:t>
      </w:r>
      <w:proofErr w:type="spellStart"/>
      <w:r w:rsidR="00A241A9" w:rsidRPr="00675B09">
        <w:rPr>
          <w:lang w:val="en-GB"/>
        </w:rPr>
        <w:t>Schilo</w:t>
      </w:r>
      <w:proofErr w:type="spellEnd"/>
      <w:r w:rsidR="00A241A9" w:rsidRPr="00675B09">
        <w:rPr>
          <w:lang w:val="en-GB"/>
        </w:rPr>
        <w:t xml:space="preserve"> L, Aguilar-Gaxiola S. Determinants of mental health and self-rated health: a model of socioeconomic status, </w:t>
      </w:r>
      <w:proofErr w:type="spellStart"/>
      <w:r w:rsidR="00A241A9" w:rsidRPr="00675B09">
        <w:rPr>
          <w:lang w:val="en-GB"/>
        </w:rPr>
        <w:t>neighborhood</w:t>
      </w:r>
      <w:proofErr w:type="spellEnd"/>
      <w:r w:rsidR="00A241A9" w:rsidRPr="00675B09">
        <w:rPr>
          <w:lang w:val="en-GB"/>
        </w:rPr>
        <w:t xml:space="preserve"> safety, and physical activity. </w:t>
      </w:r>
      <w:r w:rsidR="00A241A9" w:rsidRPr="00675B09">
        <w:rPr>
          <w:i/>
          <w:lang w:val="en-GB"/>
        </w:rPr>
        <w:t>Am J Public Health</w:t>
      </w:r>
      <w:r w:rsidR="00A241A9" w:rsidRPr="00675B09">
        <w:rPr>
          <w:lang w:val="en-GB"/>
        </w:rPr>
        <w:t xml:space="preserve"> 2014;104(9):1734-41.</w:t>
      </w:r>
    </w:p>
    <w:p w14:paraId="632C9A13" w14:textId="283F6F2E" w:rsidR="00A241A9" w:rsidRPr="00675B09" w:rsidRDefault="0031206E" w:rsidP="00533B34">
      <w:pPr>
        <w:pBdr>
          <w:top w:val="nil"/>
          <w:left w:val="nil"/>
          <w:bottom w:val="nil"/>
          <w:right w:val="nil"/>
          <w:between w:val="nil"/>
        </w:pBdr>
        <w:rPr>
          <w:lang w:val="en-GB"/>
        </w:rPr>
      </w:pPr>
      <w:r w:rsidRPr="00675B09">
        <w:rPr>
          <w:lang w:val="en-GB"/>
        </w:rPr>
        <w:t>9</w:t>
      </w:r>
      <w:r w:rsidR="00A241A9" w:rsidRPr="00675B09">
        <w:rPr>
          <w:lang w:val="en-GB"/>
        </w:rPr>
        <w:t>.</w:t>
      </w:r>
      <w:r w:rsidR="00A241A9" w:rsidRPr="00675B09">
        <w:rPr>
          <w:lang w:val="en-GB"/>
        </w:rPr>
        <w:tab/>
        <w:t>Balestra C, Fleischer L. Diversity statistics in the OECD. </w:t>
      </w:r>
      <w:r w:rsidR="00A241A9" w:rsidRPr="00675B09">
        <w:rPr>
          <w:i/>
          <w:iCs/>
          <w:lang w:val="en-GB"/>
        </w:rPr>
        <w:t xml:space="preserve">OECD statistics working </w:t>
      </w:r>
      <w:r w:rsidR="00A241A9" w:rsidRPr="00675B09">
        <w:rPr>
          <w:i/>
          <w:iCs/>
          <w:lang w:val="en-GB"/>
        </w:rPr>
        <w:lastRenderedPageBreak/>
        <w:t>papers</w:t>
      </w:r>
      <w:r w:rsidR="00A241A9" w:rsidRPr="00675B09">
        <w:rPr>
          <w:lang w:val="en-GB"/>
        </w:rPr>
        <w:t>.</w:t>
      </w:r>
      <w:r w:rsidR="00067820" w:rsidRPr="00675B09">
        <w:rPr>
          <w:lang w:val="en-GB"/>
        </w:rPr>
        <w:t xml:space="preserve"> </w:t>
      </w:r>
      <w:hyperlink r:id="rId11" w:history="1">
        <w:r w:rsidR="00067820" w:rsidRPr="00675B09">
          <w:rPr>
            <w:rStyle w:val="Hyperlink"/>
            <w:color w:val="auto"/>
            <w:lang w:val="en-GB"/>
          </w:rPr>
          <w:t>https://www.oecd-ilibrary.org/economics/diversity-statistics-in-the-oecd_89bae654-en</w:t>
        </w:r>
      </w:hyperlink>
      <w:r w:rsidR="00A241A9" w:rsidRPr="00675B09">
        <w:rPr>
          <w:lang w:val="en-GB"/>
        </w:rPr>
        <w:t>. Accessed Sept</w:t>
      </w:r>
      <w:r w:rsidR="00067820" w:rsidRPr="00675B09">
        <w:rPr>
          <w:lang w:val="en-GB"/>
        </w:rPr>
        <w:t>ember</w:t>
      </w:r>
      <w:r w:rsidR="00A241A9" w:rsidRPr="00675B09">
        <w:rPr>
          <w:lang w:val="en-GB"/>
        </w:rPr>
        <w:t xml:space="preserve"> 19, 2024.</w:t>
      </w:r>
    </w:p>
    <w:p w14:paraId="411FC3D6" w14:textId="2498F8FA" w:rsidR="00A241A9" w:rsidRPr="00675B09" w:rsidRDefault="0031206E" w:rsidP="00533B34">
      <w:pPr>
        <w:pBdr>
          <w:top w:val="nil"/>
          <w:left w:val="nil"/>
          <w:bottom w:val="nil"/>
          <w:right w:val="nil"/>
          <w:between w:val="nil"/>
        </w:pBdr>
        <w:rPr>
          <w:lang w:val="en-GB"/>
        </w:rPr>
      </w:pPr>
      <w:r w:rsidRPr="00675B09">
        <w:rPr>
          <w:lang w:val="en-GB"/>
        </w:rPr>
        <w:t>10</w:t>
      </w:r>
      <w:r w:rsidR="00A241A9" w:rsidRPr="00675B09">
        <w:rPr>
          <w:lang w:val="en-GB"/>
        </w:rPr>
        <w:t>.</w:t>
      </w:r>
      <w:r w:rsidR="00A241A9" w:rsidRPr="00675B09">
        <w:rPr>
          <w:lang w:val="en-GB"/>
        </w:rPr>
        <w:tab/>
        <w:t xml:space="preserve">Jurek L, </w:t>
      </w:r>
      <w:proofErr w:type="spellStart"/>
      <w:r w:rsidR="00A241A9" w:rsidRPr="00675B09">
        <w:rPr>
          <w:lang w:val="en-GB"/>
        </w:rPr>
        <w:t>Leaune</w:t>
      </w:r>
      <w:proofErr w:type="spellEnd"/>
      <w:r w:rsidR="00A241A9" w:rsidRPr="00675B09">
        <w:rPr>
          <w:lang w:val="en-GB"/>
        </w:rPr>
        <w:t xml:space="preserve"> E. Global Perspectives, Local Policies: The Complexities of Race and Ethnicity in Research. </w:t>
      </w:r>
      <w:r w:rsidR="00A241A9" w:rsidRPr="00675B09">
        <w:rPr>
          <w:i/>
          <w:iCs/>
          <w:lang w:val="en-GB"/>
        </w:rPr>
        <w:t xml:space="preserve">Journal of the American Academy of Child and Adolescent Psychiatry </w:t>
      </w:r>
      <w:proofErr w:type="gramStart"/>
      <w:r w:rsidR="00A241A9" w:rsidRPr="00675B09">
        <w:rPr>
          <w:i/>
          <w:iCs/>
          <w:lang w:val="en-GB"/>
        </w:rPr>
        <w:t>2024</w:t>
      </w:r>
      <w:r w:rsidR="00A241A9" w:rsidRPr="00675B09">
        <w:rPr>
          <w:lang w:val="en-GB"/>
        </w:rPr>
        <w:t>;in</w:t>
      </w:r>
      <w:proofErr w:type="gramEnd"/>
      <w:r w:rsidR="00067820" w:rsidRPr="00675B09">
        <w:rPr>
          <w:lang w:val="en-GB"/>
        </w:rPr>
        <w:t>-</w:t>
      </w:r>
      <w:r w:rsidR="00A241A9" w:rsidRPr="00675B09">
        <w:rPr>
          <w:lang w:val="en-GB"/>
        </w:rPr>
        <w:t>press.</w:t>
      </w:r>
    </w:p>
    <w:p w14:paraId="30E6CEFC" w14:textId="23947E87" w:rsidR="00C371A3" w:rsidRPr="00675B09" w:rsidRDefault="0031206E" w:rsidP="00533B34">
      <w:pPr>
        <w:pBdr>
          <w:top w:val="nil"/>
          <w:left w:val="nil"/>
          <w:bottom w:val="nil"/>
          <w:right w:val="nil"/>
          <w:between w:val="nil"/>
        </w:pBdr>
        <w:rPr>
          <w:lang w:val="en-GB"/>
        </w:rPr>
      </w:pPr>
      <w:r w:rsidRPr="00675B09">
        <w:rPr>
          <w:lang w:val="en-GB"/>
        </w:rPr>
        <w:t>11</w:t>
      </w:r>
      <w:r w:rsidR="00A241A9" w:rsidRPr="00675B09">
        <w:rPr>
          <w:lang w:val="en-GB"/>
        </w:rPr>
        <w:t>.</w:t>
      </w:r>
      <w:r w:rsidR="00C371A3" w:rsidRPr="00675B09">
        <w:rPr>
          <w:lang w:val="en-GB"/>
        </w:rPr>
        <w:t xml:space="preserve"> </w:t>
      </w:r>
      <w:r w:rsidR="00C371A3" w:rsidRPr="00675B09">
        <w:rPr>
          <w:lang w:val="en-GB"/>
        </w:rPr>
        <w:tab/>
        <w:t>Protocol: Reporting and representation of race/ethnicity in randomized controlled trials of pharmacological interventions for mental disorders. </w:t>
      </w:r>
      <w:r w:rsidR="00C371A3" w:rsidRPr="00675B09">
        <w:rPr>
          <w:i/>
          <w:iCs/>
          <w:lang w:val="en-GB"/>
        </w:rPr>
        <w:t>OSF</w:t>
      </w:r>
      <w:r w:rsidR="00C371A3" w:rsidRPr="00675B09">
        <w:rPr>
          <w:lang w:val="en-GB"/>
        </w:rPr>
        <w:t xml:space="preserve">. Published online February 17, 2024. </w:t>
      </w:r>
      <w:hyperlink r:id="rId12" w:history="1">
        <w:r w:rsidR="00C371A3" w:rsidRPr="00675B09">
          <w:rPr>
            <w:rStyle w:val="Hyperlink"/>
            <w:color w:val="auto"/>
            <w:lang w:val="en-GB"/>
          </w:rPr>
          <w:t>https://osf.io/cvpx6</w:t>
        </w:r>
      </w:hyperlink>
      <w:r w:rsidR="00C371A3" w:rsidRPr="00675B09">
        <w:rPr>
          <w:lang w:val="en-GB"/>
        </w:rPr>
        <w:t xml:space="preserve"> </w:t>
      </w:r>
    </w:p>
    <w:p w14:paraId="7AA8C906" w14:textId="2E276390" w:rsidR="00A241A9" w:rsidRPr="00675B09" w:rsidRDefault="00C371A3" w:rsidP="00533B34">
      <w:pPr>
        <w:pBdr>
          <w:top w:val="nil"/>
          <w:left w:val="nil"/>
          <w:bottom w:val="nil"/>
          <w:right w:val="nil"/>
          <w:between w:val="nil"/>
        </w:pBdr>
        <w:rPr>
          <w:lang w:val="en-GB"/>
        </w:rPr>
      </w:pPr>
      <w:r w:rsidRPr="00675B09">
        <w:rPr>
          <w:lang w:val="en-GB"/>
        </w:rPr>
        <w:t xml:space="preserve">12. </w:t>
      </w:r>
      <w:r w:rsidRPr="00675B09">
        <w:rPr>
          <w:lang w:val="en-GB"/>
        </w:rPr>
        <w:tab/>
      </w:r>
      <w:proofErr w:type="spellStart"/>
      <w:r w:rsidR="00A241A9" w:rsidRPr="00675B09">
        <w:rPr>
          <w:lang w:val="en-GB"/>
        </w:rPr>
        <w:t>Riccioni</w:t>
      </w:r>
      <w:proofErr w:type="spellEnd"/>
      <w:r w:rsidR="00A241A9" w:rsidRPr="00675B09">
        <w:rPr>
          <w:lang w:val="en-GB"/>
        </w:rPr>
        <w:t xml:space="preserve"> A, </w:t>
      </w:r>
      <w:proofErr w:type="spellStart"/>
      <w:r w:rsidR="00A241A9" w:rsidRPr="00675B09">
        <w:rPr>
          <w:lang w:val="en-GB"/>
        </w:rPr>
        <w:t>Radua</w:t>
      </w:r>
      <w:proofErr w:type="spellEnd"/>
      <w:r w:rsidR="00A241A9" w:rsidRPr="00675B09">
        <w:rPr>
          <w:lang w:val="en-GB"/>
        </w:rPr>
        <w:t xml:space="preserve"> J, </w:t>
      </w:r>
      <w:proofErr w:type="spellStart"/>
      <w:r w:rsidR="00A241A9" w:rsidRPr="00675B09">
        <w:rPr>
          <w:lang w:val="en-GB"/>
        </w:rPr>
        <w:t>Ashaye</w:t>
      </w:r>
      <w:proofErr w:type="spellEnd"/>
      <w:r w:rsidR="00A241A9" w:rsidRPr="00675B09">
        <w:rPr>
          <w:lang w:val="en-GB"/>
        </w:rPr>
        <w:t xml:space="preserve"> FO, </w:t>
      </w:r>
      <w:proofErr w:type="spellStart"/>
      <w:r w:rsidR="00A241A9" w:rsidRPr="00675B09">
        <w:rPr>
          <w:lang w:val="en-GB"/>
        </w:rPr>
        <w:t>Solmi</w:t>
      </w:r>
      <w:proofErr w:type="spellEnd"/>
      <w:r w:rsidR="00A241A9" w:rsidRPr="00675B09">
        <w:rPr>
          <w:lang w:val="en-GB"/>
        </w:rPr>
        <w:t xml:space="preserve"> M, Cortese S. Systematic Review and Meta-analysis: Reporting and Representation of Race/Ethnicity in 310 Randomized Controlled Trials of Attention-Deficit/Hyperactivity Disorder Medications. </w:t>
      </w:r>
      <w:r w:rsidR="00A241A9" w:rsidRPr="00675B09">
        <w:rPr>
          <w:i/>
          <w:lang w:val="en-GB"/>
        </w:rPr>
        <w:t xml:space="preserve">J Am </w:t>
      </w:r>
      <w:proofErr w:type="spellStart"/>
      <w:r w:rsidR="00A241A9" w:rsidRPr="00675B09">
        <w:rPr>
          <w:i/>
          <w:lang w:val="en-GB"/>
        </w:rPr>
        <w:t>Acad</w:t>
      </w:r>
      <w:proofErr w:type="spellEnd"/>
      <w:r w:rsidR="00A241A9" w:rsidRPr="00675B09">
        <w:rPr>
          <w:i/>
          <w:lang w:val="en-GB"/>
        </w:rPr>
        <w:t xml:space="preserve"> Child </w:t>
      </w:r>
      <w:proofErr w:type="spellStart"/>
      <w:r w:rsidR="00A241A9" w:rsidRPr="00675B09">
        <w:rPr>
          <w:i/>
          <w:lang w:val="en-GB"/>
        </w:rPr>
        <w:t>Adolesc</w:t>
      </w:r>
      <w:proofErr w:type="spellEnd"/>
      <w:r w:rsidR="00A241A9" w:rsidRPr="00675B09">
        <w:rPr>
          <w:i/>
          <w:lang w:val="en-GB"/>
        </w:rPr>
        <w:t xml:space="preserve"> Psychiatry</w:t>
      </w:r>
      <w:r w:rsidR="00A241A9" w:rsidRPr="00675B09">
        <w:rPr>
          <w:lang w:val="en-GB"/>
        </w:rPr>
        <w:t xml:space="preserve"> </w:t>
      </w:r>
      <w:r w:rsidR="00067820" w:rsidRPr="00675B09">
        <w:rPr>
          <w:lang w:val="en-GB"/>
        </w:rPr>
        <w:t>2024;63(7):698-707.</w:t>
      </w:r>
    </w:p>
    <w:p w14:paraId="3834D4AE" w14:textId="32766F2A" w:rsidR="00A241A9" w:rsidRPr="00675B09" w:rsidRDefault="0031206E" w:rsidP="00533B34">
      <w:pPr>
        <w:pBdr>
          <w:top w:val="nil"/>
          <w:left w:val="nil"/>
          <w:bottom w:val="nil"/>
          <w:right w:val="nil"/>
          <w:between w:val="nil"/>
        </w:pBdr>
        <w:rPr>
          <w:lang w:val="en-GB"/>
        </w:rPr>
      </w:pPr>
      <w:r w:rsidRPr="00675B09">
        <w:rPr>
          <w:lang w:val="en-GB"/>
        </w:rPr>
        <w:t>1</w:t>
      </w:r>
      <w:r w:rsidR="00C371A3" w:rsidRPr="00675B09">
        <w:rPr>
          <w:lang w:val="en-GB"/>
        </w:rPr>
        <w:t>3</w:t>
      </w:r>
      <w:r w:rsidR="00A241A9" w:rsidRPr="00675B09">
        <w:rPr>
          <w:lang w:val="en-GB"/>
        </w:rPr>
        <w:t>.</w:t>
      </w:r>
      <w:r w:rsidR="00A241A9" w:rsidRPr="00675B09">
        <w:rPr>
          <w:lang w:val="en-GB"/>
        </w:rPr>
        <w:tab/>
        <w:t xml:space="preserve">Moultrie TA, Dorrington RE. Used for ill; used for good: a century of collecting data on race in South Africa. </w:t>
      </w:r>
      <w:r w:rsidR="00A241A9" w:rsidRPr="00675B09">
        <w:rPr>
          <w:i/>
          <w:iCs/>
          <w:lang w:val="en-GB"/>
        </w:rPr>
        <w:t xml:space="preserve">Ethnic and Racial Studies </w:t>
      </w:r>
      <w:r w:rsidR="00A241A9" w:rsidRPr="00675B09">
        <w:rPr>
          <w:lang w:val="en-GB"/>
        </w:rPr>
        <w:t>2011;35(8):1447–1465.</w:t>
      </w:r>
    </w:p>
    <w:p w14:paraId="5DCFE775" w14:textId="246B372F" w:rsidR="00A241A9" w:rsidRPr="00675B09" w:rsidRDefault="0031206E" w:rsidP="00533B34">
      <w:pPr>
        <w:widowControl/>
        <w:ind w:right="0"/>
        <w:jc w:val="left"/>
        <w:rPr>
          <w:lang w:val="en-GB"/>
        </w:rPr>
      </w:pPr>
      <w:r w:rsidRPr="00675B09">
        <w:rPr>
          <w:lang w:val="en-GB"/>
        </w:rPr>
        <w:t>1</w:t>
      </w:r>
      <w:r w:rsidR="00C371A3" w:rsidRPr="00675B09">
        <w:rPr>
          <w:lang w:val="en-GB"/>
        </w:rPr>
        <w:t>4</w:t>
      </w:r>
      <w:r w:rsidR="00A241A9" w:rsidRPr="00675B09">
        <w:rPr>
          <w:lang w:val="en-GB"/>
        </w:rPr>
        <w:t>.</w:t>
      </w:r>
      <w:r w:rsidR="00A241A9" w:rsidRPr="00675B09">
        <w:rPr>
          <w:lang w:val="en-GB"/>
        </w:rPr>
        <w:tab/>
        <w:t>Social and Housing Statistics Section Demographic and Social Statistics Branch. Ethnicity: A Review of Data Collection and Dissemination</w:t>
      </w:r>
      <w:r w:rsidR="00067820" w:rsidRPr="00675B09">
        <w:rPr>
          <w:lang w:val="en-GB"/>
        </w:rPr>
        <w:t>.</w:t>
      </w:r>
      <w:r w:rsidR="00A241A9" w:rsidRPr="00675B09">
        <w:rPr>
          <w:lang w:val="en-GB"/>
        </w:rPr>
        <w:t xml:space="preserve"> </w:t>
      </w:r>
      <w:hyperlink r:id="rId13" w:history="1">
        <w:r w:rsidR="00A241A9" w:rsidRPr="00675B09">
          <w:rPr>
            <w:rStyle w:val="Hyperlink"/>
            <w:color w:val="auto"/>
            <w:lang w:val="en-GB"/>
          </w:rPr>
          <w:t>https://unstats.un.org/unsd/demographic/sconcerns/popchar/ethnicitypaper.pdf</w:t>
        </w:r>
      </w:hyperlink>
      <w:r w:rsidR="00A241A9" w:rsidRPr="00675B09">
        <w:rPr>
          <w:lang w:val="en-GB"/>
        </w:rPr>
        <w:t>. Accessed Sept</w:t>
      </w:r>
      <w:r w:rsidR="00067820" w:rsidRPr="00675B09">
        <w:rPr>
          <w:lang w:val="en-GB"/>
        </w:rPr>
        <w:t>ember</w:t>
      </w:r>
      <w:r w:rsidR="00A241A9" w:rsidRPr="00675B09">
        <w:rPr>
          <w:lang w:val="en-GB"/>
        </w:rPr>
        <w:t xml:space="preserve"> 19, 2024.</w:t>
      </w:r>
    </w:p>
    <w:p w14:paraId="0BEF61F4" w14:textId="2B78A34C" w:rsidR="00A241A9" w:rsidRPr="00675B09" w:rsidRDefault="0031206E" w:rsidP="00533B34">
      <w:pPr>
        <w:widowControl/>
        <w:ind w:right="0"/>
        <w:jc w:val="left"/>
        <w:rPr>
          <w:lang w:val="en-GB"/>
        </w:rPr>
      </w:pPr>
      <w:r w:rsidRPr="00675B09">
        <w:rPr>
          <w:lang w:val="en-GB"/>
        </w:rPr>
        <w:t>1</w:t>
      </w:r>
      <w:r w:rsidR="00C371A3" w:rsidRPr="00675B09">
        <w:rPr>
          <w:lang w:val="en-GB"/>
        </w:rPr>
        <w:t>5</w:t>
      </w:r>
      <w:r w:rsidR="00A241A9" w:rsidRPr="00675B09">
        <w:rPr>
          <w:lang w:val="en-GB"/>
        </w:rPr>
        <w:t>.</w:t>
      </w:r>
      <w:r w:rsidR="00A241A9" w:rsidRPr="00675B09">
        <w:rPr>
          <w:lang w:val="en-GB"/>
        </w:rPr>
        <w:tab/>
      </w:r>
      <w:proofErr w:type="spellStart"/>
      <w:r w:rsidR="00A241A9" w:rsidRPr="00675B09">
        <w:rPr>
          <w:lang w:val="en-GB"/>
        </w:rPr>
        <w:t>Center</w:t>
      </w:r>
      <w:proofErr w:type="spellEnd"/>
      <w:r w:rsidR="00A241A9" w:rsidRPr="00675B09">
        <w:rPr>
          <w:lang w:val="en-GB"/>
        </w:rPr>
        <w:t xml:space="preserve"> for Biologics Evaluation and Research and </w:t>
      </w:r>
      <w:proofErr w:type="spellStart"/>
      <w:r w:rsidR="00A241A9" w:rsidRPr="00675B09">
        <w:rPr>
          <w:lang w:val="en-GB"/>
        </w:rPr>
        <w:t>Center</w:t>
      </w:r>
      <w:proofErr w:type="spellEnd"/>
      <w:r w:rsidR="00A241A9" w:rsidRPr="00675B09">
        <w:rPr>
          <w:lang w:val="en-GB"/>
        </w:rPr>
        <w:t xml:space="preserve"> for Drug Evaluation and Research </w:t>
      </w:r>
      <w:proofErr w:type="spellStart"/>
      <w:r w:rsidR="00A241A9" w:rsidRPr="00675B09">
        <w:rPr>
          <w:lang w:val="en-GB"/>
        </w:rPr>
        <w:t>UFaDAR</w:t>
      </w:r>
      <w:proofErr w:type="spellEnd"/>
      <w:r w:rsidR="00A241A9" w:rsidRPr="00675B09">
        <w:rPr>
          <w:lang w:val="en-GB"/>
        </w:rPr>
        <w:t xml:space="preserve">, MD: Food and Drug Administration. Enhancing the Diversity of Clinical Trial Populations - Eligibility Criteria, </w:t>
      </w:r>
      <w:proofErr w:type="spellStart"/>
      <w:r w:rsidR="00A241A9" w:rsidRPr="00675B09">
        <w:rPr>
          <w:lang w:val="en-GB"/>
        </w:rPr>
        <w:t>Enrollment</w:t>
      </w:r>
      <w:proofErr w:type="spellEnd"/>
      <w:r w:rsidR="00A241A9" w:rsidRPr="00675B09">
        <w:rPr>
          <w:lang w:val="en-GB"/>
        </w:rPr>
        <w:t xml:space="preserve"> Practices, and Trial Designs Guidance for Industry. </w:t>
      </w:r>
      <w:hyperlink r:id="rId14" w:history="1">
        <w:r w:rsidR="00A241A9" w:rsidRPr="00675B09">
          <w:rPr>
            <w:rStyle w:val="Hyperlink"/>
            <w:color w:val="auto"/>
            <w:lang w:val="en-GB"/>
          </w:rPr>
          <w:t>https://www.fda.gov/regulatory-information/search-fda-guidance-documents/enhancing-diversity-clinical-trial-populations-eligibility-criteria-enrollment-practices-and-trial</w:t>
        </w:r>
      </w:hyperlink>
      <w:r w:rsidR="00A241A9" w:rsidRPr="00675B09">
        <w:rPr>
          <w:lang w:val="en-GB"/>
        </w:rPr>
        <w:t>. Accessed Sept</w:t>
      </w:r>
      <w:r w:rsidR="00067820" w:rsidRPr="00675B09">
        <w:rPr>
          <w:lang w:val="en-GB"/>
        </w:rPr>
        <w:t>ember</w:t>
      </w:r>
      <w:r w:rsidR="00A241A9" w:rsidRPr="00675B09">
        <w:rPr>
          <w:lang w:val="en-GB"/>
        </w:rPr>
        <w:t xml:space="preserve"> 19, 2024.</w:t>
      </w:r>
    </w:p>
    <w:p w14:paraId="798D7713" w14:textId="069D3F11" w:rsidR="00A241A9" w:rsidRPr="00675B09" w:rsidRDefault="0031206E" w:rsidP="00533B34">
      <w:pPr>
        <w:pBdr>
          <w:top w:val="nil"/>
          <w:left w:val="nil"/>
          <w:bottom w:val="nil"/>
          <w:right w:val="nil"/>
          <w:between w:val="nil"/>
        </w:pBdr>
        <w:rPr>
          <w:lang w:val="en-GB"/>
        </w:rPr>
      </w:pPr>
      <w:r w:rsidRPr="00675B09">
        <w:rPr>
          <w:lang w:val="en-GB"/>
        </w:rPr>
        <w:lastRenderedPageBreak/>
        <w:t>1</w:t>
      </w:r>
      <w:r w:rsidR="00C371A3" w:rsidRPr="00675B09">
        <w:rPr>
          <w:lang w:val="en-GB"/>
        </w:rPr>
        <w:t>6</w:t>
      </w:r>
      <w:r w:rsidR="00A241A9" w:rsidRPr="00675B09">
        <w:rPr>
          <w:lang w:val="en-GB"/>
        </w:rPr>
        <w:t>.</w:t>
      </w:r>
      <w:r w:rsidR="00A241A9" w:rsidRPr="00675B09">
        <w:rPr>
          <w:lang w:val="en-GB"/>
        </w:rPr>
        <w:tab/>
        <w:t xml:space="preserve">Racism and Mental Health Research: Steps Toward Equity. National Institute of Mental Health (NIMH). </w:t>
      </w:r>
      <w:hyperlink r:id="rId15" w:history="1">
        <w:r w:rsidR="00A241A9" w:rsidRPr="00675B09">
          <w:rPr>
            <w:rStyle w:val="Hyperlink"/>
            <w:color w:val="auto"/>
            <w:lang w:val="en-GB"/>
          </w:rPr>
          <w:t>https://www.nimh.nih.gov/about/director/messages/2020/racism-and-mental-health-research-steps-toward-equity</w:t>
        </w:r>
      </w:hyperlink>
      <w:r w:rsidR="00A241A9" w:rsidRPr="00675B09">
        <w:rPr>
          <w:lang w:val="en-GB"/>
        </w:rPr>
        <w:t>. Accessed Sept</w:t>
      </w:r>
      <w:r w:rsidR="00067820" w:rsidRPr="00675B09">
        <w:rPr>
          <w:lang w:val="en-GB"/>
        </w:rPr>
        <w:t>ember</w:t>
      </w:r>
      <w:r w:rsidR="00A241A9" w:rsidRPr="00675B09">
        <w:rPr>
          <w:lang w:val="en-GB"/>
        </w:rPr>
        <w:t xml:space="preserve"> 19, 2024.</w:t>
      </w:r>
    </w:p>
    <w:p w14:paraId="5C983604" w14:textId="7D061235" w:rsidR="00A241A9" w:rsidRPr="00675B09" w:rsidRDefault="00A241A9" w:rsidP="00533B34">
      <w:pPr>
        <w:pBdr>
          <w:top w:val="nil"/>
          <w:left w:val="nil"/>
          <w:bottom w:val="nil"/>
          <w:right w:val="nil"/>
          <w:between w:val="nil"/>
        </w:pBdr>
        <w:rPr>
          <w:lang w:val="en-GB"/>
        </w:rPr>
      </w:pPr>
      <w:r w:rsidRPr="00675B09">
        <w:rPr>
          <w:lang w:val="en-GB"/>
        </w:rPr>
        <w:t>1</w:t>
      </w:r>
      <w:r w:rsidR="00C371A3" w:rsidRPr="00675B09">
        <w:rPr>
          <w:lang w:val="en-GB"/>
        </w:rPr>
        <w:t>7</w:t>
      </w:r>
      <w:r w:rsidRPr="00675B09">
        <w:rPr>
          <w:lang w:val="en-GB"/>
        </w:rPr>
        <w:t>.</w:t>
      </w:r>
      <w:r w:rsidRPr="00675B09">
        <w:rPr>
          <w:lang w:val="en-GB"/>
        </w:rPr>
        <w:tab/>
        <w:t xml:space="preserve">Guidance on AI and data protection. Ico.org.uk. </w:t>
      </w:r>
      <w:hyperlink r:id="rId16" w:history="1">
        <w:r w:rsidRPr="00675B09">
          <w:rPr>
            <w:rStyle w:val="Hyperlink"/>
            <w:color w:val="auto"/>
            <w:lang w:val="en-GB"/>
          </w:rPr>
          <w:t>https://ico.org.uk/for-organisations/uk-gdpr-guidance-and-resources/artificial-intelligence/guidance-on-ai-and-data-protection/</w:t>
        </w:r>
      </w:hyperlink>
      <w:r w:rsidRPr="00675B09">
        <w:rPr>
          <w:lang w:val="en-GB"/>
        </w:rPr>
        <w:t>. Accessed Sept</w:t>
      </w:r>
      <w:r w:rsidR="00067820" w:rsidRPr="00675B09">
        <w:rPr>
          <w:lang w:val="en-GB"/>
        </w:rPr>
        <w:t>ember</w:t>
      </w:r>
      <w:r w:rsidRPr="00675B09">
        <w:rPr>
          <w:lang w:val="en-GB"/>
        </w:rPr>
        <w:t xml:space="preserve"> 19, 2024.</w:t>
      </w:r>
    </w:p>
    <w:p w14:paraId="565D0EE5" w14:textId="1FDEB137" w:rsidR="00A241A9" w:rsidRPr="00675B09" w:rsidRDefault="00A241A9" w:rsidP="00533B34">
      <w:pPr>
        <w:widowControl/>
        <w:ind w:right="0"/>
        <w:jc w:val="left"/>
        <w:rPr>
          <w:lang w:val="en-GB"/>
        </w:rPr>
      </w:pPr>
      <w:r w:rsidRPr="00675B09">
        <w:rPr>
          <w:lang w:val="en-GB"/>
        </w:rPr>
        <w:t>‌1</w:t>
      </w:r>
      <w:r w:rsidR="00C371A3" w:rsidRPr="00675B09">
        <w:rPr>
          <w:lang w:val="en-GB"/>
        </w:rPr>
        <w:t>8</w:t>
      </w:r>
      <w:r w:rsidRPr="00675B09">
        <w:rPr>
          <w:lang w:val="en-GB"/>
        </w:rPr>
        <w:t xml:space="preserve">. </w:t>
      </w:r>
      <w:r w:rsidRPr="00675B09">
        <w:rPr>
          <w:lang w:val="en-GB"/>
        </w:rPr>
        <w:tab/>
        <w:t xml:space="preserve">Lazaridou FB, Schubert SJ, Ringeisen T, Kaminski J, Heinz A, Kluge U. Racism and psychosis: an umbrella review and qualitative analysis of the mental health consequences of racism. </w:t>
      </w:r>
      <w:r w:rsidRPr="00675B09">
        <w:rPr>
          <w:i/>
          <w:iCs/>
          <w:lang w:val="en-GB"/>
        </w:rPr>
        <w:t>European Archives of Psychiatry and Clinical Neuroscience</w:t>
      </w:r>
      <w:r w:rsidRPr="00675B09">
        <w:rPr>
          <w:lang w:val="en-GB"/>
        </w:rPr>
        <w:t xml:space="preserve"> </w:t>
      </w:r>
      <w:proofErr w:type="gramStart"/>
      <w:r w:rsidRPr="00675B09">
        <w:rPr>
          <w:lang w:val="en-GB"/>
        </w:rPr>
        <w:t>2022;273:1009</w:t>
      </w:r>
      <w:proofErr w:type="gramEnd"/>
      <w:r w:rsidRPr="00675B09">
        <w:rPr>
          <w:lang w:val="en-GB"/>
        </w:rPr>
        <w:t>–22.‌</w:t>
      </w:r>
      <w:r w:rsidRPr="00675B09">
        <w:rPr>
          <w:lang w:val="en-GB"/>
        </w:rPr>
        <w:tab/>
      </w:r>
    </w:p>
    <w:p w14:paraId="4B11400E" w14:textId="103BA42C" w:rsidR="00A867AB" w:rsidRPr="00675B09" w:rsidRDefault="00A241A9" w:rsidP="00533B34">
      <w:pPr>
        <w:pBdr>
          <w:top w:val="nil"/>
          <w:left w:val="nil"/>
          <w:bottom w:val="nil"/>
          <w:right w:val="nil"/>
          <w:between w:val="nil"/>
        </w:pBdr>
        <w:rPr>
          <w:lang w:val="en-GB"/>
        </w:rPr>
      </w:pPr>
      <w:r w:rsidRPr="00675B09">
        <w:rPr>
          <w:lang w:val="en-GB"/>
        </w:rPr>
        <w:t>1</w:t>
      </w:r>
      <w:r w:rsidR="00C371A3" w:rsidRPr="00675B09">
        <w:rPr>
          <w:lang w:val="en-GB"/>
        </w:rPr>
        <w:t>9</w:t>
      </w:r>
      <w:r w:rsidRPr="00675B09">
        <w:rPr>
          <w:lang w:val="en-GB"/>
        </w:rPr>
        <w:t>.</w:t>
      </w:r>
      <w:r w:rsidRPr="00675B09">
        <w:rPr>
          <w:lang w:val="en-GB"/>
        </w:rPr>
        <w:tab/>
        <w:t>Zahid U, Lawrence EG, Fonseca D, </w:t>
      </w:r>
      <w:r w:rsidRPr="00675B09">
        <w:rPr>
          <w:i/>
          <w:iCs/>
          <w:lang w:val="en-GB"/>
        </w:rPr>
        <w:t>et al.</w:t>
      </w:r>
      <w:r w:rsidRPr="00675B09">
        <w:rPr>
          <w:lang w:val="en-GB"/>
        </w:rPr>
        <w:t xml:space="preserve"> Understanding psychosis complexity through a </w:t>
      </w:r>
      <w:proofErr w:type="spellStart"/>
      <w:r w:rsidRPr="00675B09">
        <w:rPr>
          <w:lang w:val="en-GB"/>
        </w:rPr>
        <w:t>syndemic</w:t>
      </w:r>
      <w:proofErr w:type="spellEnd"/>
      <w:r w:rsidRPr="00675B09">
        <w:rPr>
          <w:lang w:val="en-GB"/>
        </w:rPr>
        <w:t xml:space="preserve"> framework: A systematic review. </w:t>
      </w:r>
      <w:r w:rsidRPr="00675B09">
        <w:rPr>
          <w:i/>
          <w:iCs/>
          <w:lang w:val="en-GB"/>
        </w:rPr>
        <w:t xml:space="preserve">Neuroscience &amp; </w:t>
      </w:r>
      <w:proofErr w:type="spellStart"/>
      <w:r w:rsidRPr="00675B09">
        <w:rPr>
          <w:i/>
          <w:iCs/>
          <w:lang w:val="en-GB"/>
        </w:rPr>
        <w:t>Biobehavioral</w:t>
      </w:r>
      <w:proofErr w:type="spellEnd"/>
      <w:r w:rsidRPr="00675B09">
        <w:rPr>
          <w:i/>
          <w:iCs/>
          <w:lang w:val="en-GB"/>
        </w:rPr>
        <w:t xml:space="preserve"> Reviews</w:t>
      </w:r>
      <w:r w:rsidRPr="00675B09">
        <w:rPr>
          <w:lang w:val="en-GB"/>
        </w:rPr>
        <w:t> </w:t>
      </w:r>
      <w:proofErr w:type="gramStart"/>
      <w:r w:rsidRPr="00675B09">
        <w:rPr>
          <w:lang w:val="en-GB"/>
        </w:rPr>
        <w:t>2024;159:105614</w:t>
      </w:r>
      <w:proofErr w:type="gramEnd"/>
      <w:r w:rsidRPr="00675B09">
        <w:rPr>
          <w:lang w:val="en-GB"/>
        </w:rPr>
        <w:t>–4.‌</w:t>
      </w:r>
    </w:p>
    <w:p w14:paraId="7650D01A" w14:textId="77777777" w:rsidR="00A867AB" w:rsidRPr="00675B09" w:rsidRDefault="00A867AB">
      <w:pPr>
        <w:rPr>
          <w:lang w:val="en-GB"/>
        </w:rPr>
      </w:pPr>
      <w:r w:rsidRPr="00675B09">
        <w:rPr>
          <w:lang w:val="en-GB"/>
        </w:rPr>
        <w:br w:type="page"/>
      </w:r>
    </w:p>
    <w:p w14:paraId="74A76042" w14:textId="77777777" w:rsidR="00A867AB" w:rsidRPr="00675B09" w:rsidRDefault="00A867AB" w:rsidP="00A867AB">
      <w:pPr>
        <w:pStyle w:val="Heading1"/>
        <w:rPr>
          <w:lang w:val="en-GB"/>
        </w:rPr>
      </w:pPr>
      <w:r w:rsidRPr="00675B09">
        <w:rPr>
          <w:lang w:val="en-GB"/>
        </w:rPr>
        <w:lastRenderedPageBreak/>
        <w:t>ACKNOWLEDGEMENTS</w:t>
      </w:r>
    </w:p>
    <w:p w14:paraId="5424B3FE" w14:textId="5E0EAFB3" w:rsidR="00A867AB" w:rsidRPr="00675B09" w:rsidRDefault="00A867AB" w:rsidP="00A867AB">
      <w:pPr>
        <w:rPr>
          <w:bCs/>
          <w:lang w:val="en-GB"/>
        </w:rPr>
      </w:pPr>
      <w:bookmarkStart w:id="64" w:name="_Hlk182922255"/>
      <w:r w:rsidRPr="00675B09">
        <w:rPr>
          <w:bCs/>
          <w:lang w:val="en-GB"/>
        </w:rPr>
        <w:t>No funding was received by the authors for completing the present study.</w:t>
      </w:r>
      <w:bookmarkEnd w:id="64"/>
      <w:r w:rsidRPr="00675B09">
        <w:rPr>
          <w:b/>
          <w:lang w:val="en-GB"/>
        </w:rPr>
        <w:t xml:space="preserve"> </w:t>
      </w:r>
      <w:bookmarkStart w:id="65" w:name="_Hlk182922584"/>
      <w:proofErr w:type="spellStart"/>
      <w:r w:rsidRPr="00675B09">
        <w:rPr>
          <w:b/>
          <w:lang w:val="en-GB"/>
        </w:rPr>
        <w:t>Dr.</w:t>
      </w:r>
      <w:proofErr w:type="spellEnd"/>
      <w:r w:rsidRPr="00675B09">
        <w:rPr>
          <w:b/>
          <w:lang w:val="en-GB"/>
        </w:rPr>
        <w:t xml:space="preserve"> Bellato</w:t>
      </w:r>
      <w:r w:rsidR="00D4113E" w:rsidRPr="00675B09">
        <w:rPr>
          <w:b/>
          <w:lang w:val="en-GB"/>
        </w:rPr>
        <w:t xml:space="preserve"> and</w:t>
      </w:r>
      <w:r w:rsidRPr="00675B09">
        <w:rPr>
          <w:b/>
          <w:lang w:val="en-GB"/>
        </w:rPr>
        <w:t xml:space="preserve"> </w:t>
      </w:r>
      <w:proofErr w:type="spellStart"/>
      <w:r w:rsidRPr="00675B09">
        <w:rPr>
          <w:b/>
          <w:lang w:val="en-GB"/>
        </w:rPr>
        <w:t>Dr.</w:t>
      </w:r>
      <w:proofErr w:type="spellEnd"/>
      <w:r w:rsidRPr="00675B09">
        <w:rPr>
          <w:b/>
          <w:lang w:val="en-GB"/>
        </w:rPr>
        <w:t xml:space="preserve"> </w:t>
      </w:r>
      <w:proofErr w:type="spellStart"/>
      <w:r w:rsidRPr="00675B09">
        <w:rPr>
          <w:b/>
          <w:bCs/>
          <w:lang w:val="en-GB"/>
        </w:rPr>
        <w:t>Raduà</w:t>
      </w:r>
      <w:proofErr w:type="spellEnd"/>
      <w:r w:rsidRPr="00675B09">
        <w:rPr>
          <w:lang w:val="en-GB"/>
        </w:rPr>
        <w:t xml:space="preserve"> </w:t>
      </w:r>
      <w:r w:rsidRPr="00675B09">
        <w:rPr>
          <w:bCs/>
          <w:lang w:val="en-GB"/>
        </w:rPr>
        <w:t>ha</w:t>
      </w:r>
      <w:r w:rsidR="00D4113E" w:rsidRPr="00675B09">
        <w:rPr>
          <w:bCs/>
          <w:lang w:val="en-GB"/>
        </w:rPr>
        <w:t>ve</w:t>
      </w:r>
      <w:r w:rsidRPr="00675B09">
        <w:rPr>
          <w:bCs/>
          <w:lang w:val="en-GB"/>
        </w:rPr>
        <w:t xml:space="preserve"> full access to all the data in the study and take responsibility for the integrity of the data and the accuracy of the data analysis.</w:t>
      </w:r>
    </w:p>
    <w:bookmarkEnd w:id="65"/>
    <w:p w14:paraId="1F1A0665" w14:textId="77777777" w:rsidR="00A867AB" w:rsidRPr="00675B09" w:rsidRDefault="00A867AB" w:rsidP="00A867AB">
      <w:pPr>
        <w:rPr>
          <w:b/>
          <w:lang w:val="en-GB"/>
        </w:rPr>
      </w:pPr>
    </w:p>
    <w:p w14:paraId="4474127A" w14:textId="77777777" w:rsidR="00A867AB" w:rsidRPr="00675B09" w:rsidRDefault="00A867AB" w:rsidP="00A867AB">
      <w:pPr>
        <w:pStyle w:val="Heading1"/>
        <w:rPr>
          <w:lang w:val="en-GB"/>
        </w:rPr>
      </w:pPr>
      <w:r w:rsidRPr="00675B09">
        <w:rPr>
          <w:lang w:val="en-GB"/>
        </w:rPr>
        <w:t>DECLARATION OF INTERESTS</w:t>
      </w:r>
    </w:p>
    <w:p w14:paraId="33F5BE98" w14:textId="77777777" w:rsidR="00A867AB" w:rsidRPr="00675B09" w:rsidRDefault="00A867AB" w:rsidP="00A867AB">
      <w:pPr>
        <w:rPr>
          <w:lang w:val="en-GB"/>
        </w:rPr>
      </w:pPr>
      <w:proofErr w:type="spellStart"/>
      <w:r w:rsidRPr="00675B09">
        <w:rPr>
          <w:b/>
          <w:lang w:val="en-GB"/>
        </w:rPr>
        <w:t>Dr.</w:t>
      </w:r>
      <w:proofErr w:type="spellEnd"/>
      <w:r w:rsidRPr="00675B09">
        <w:rPr>
          <w:b/>
          <w:lang w:val="en-GB"/>
        </w:rPr>
        <w:t xml:space="preserve"> Bellato</w:t>
      </w:r>
      <w:r w:rsidRPr="00675B09">
        <w:rPr>
          <w:lang w:val="en-GB"/>
        </w:rPr>
        <w:t xml:space="preserve"> declares honoraria as Joint Editor of JCPP Advances. </w:t>
      </w:r>
      <w:r w:rsidRPr="00675B09">
        <w:rPr>
          <w:b/>
          <w:bCs/>
          <w:lang w:val="en-GB"/>
        </w:rPr>
        <w:t xml:space="preserve">Prof. Correll </w:t>
      </w:r>
      <w:r w:rsidRPr="00675B09">
        <w:rPr>
          <w:lang w:val="en-GB"/>
        </w:rPr>
        <w:t xml:space="preserve">has been a consultant and/or advisor to or has received honoraria from: AbbVie, Alkermes, Allergan, Angelini, Aristo, Boehringer-Ingelheim, Bristol-Meyers Squibb, Cardio Diagnostics, </w:t>
      </w:r>
      <w:proofErr w:type="spellStart"/>
      <w:r w:rsidRPr="00675B09">
        <w:rPr>
          <w:lang w:val="en-GB"/>
        </w:rPr>
        <w:t>Cerevel</w:t>
      </w:r>
      <w:proofErr w:type="spellEnd"/>
      <w:r w:rsidRPr="00675B09">
        <w:rPr>
          <w:lang w:val="en-GB"/>
        </w:rPr>
        <w:t xml:space="preserve">, CNX Therapeutics, Compass Pathways, </w:t>
      </w:r>
      <w:proofErr w:type="spellStart"/>
      <w:r w:rsidRPr="00675B09">
        <w:rPr>
          <w:lang w:val="en-GB"/>
        </w:rPr>
        <w:t>Darnitsa</w:t>
      </w:r>
      <w:proofErr w:type="spellEnd"/>
      <w:r w:rsidRPr="00675B09">
        <w:rPr>
          <w:lang w:val="en-GB"/>
        </w:rPr>
        <w:t xml:space="preserve">, </w:t>
      </w:r>
      <w:proofErr w:type="spellStart"/>
      <w:r w:rsidRPr="00675B09">
        <w:rPr>
          <w:lang w:val="en-GB"/>
        </w:rPr>
        <w:t>Delpor</w:t>
      </w:r>
      <w:proofErr w:type="spellEnd"/>
      <w:r w:rsidRPr="00675B09">
        <w:rPr>
          <w:lang w:val="en-GB"/>
        </w:rPr>
        <w:t xml:space="preserve">, Denovo, Eli Lilly, Gedeon Richter, Hikma, </w:t>
      </w:r>
      <w:proofErr w:type="spellStart"/>
      <w:r w:rsidRPr="00675B09">
        <w:rPr>
          <w:lang w:val="en-GB"/>
        </w:rPr>
        <w:t>Holmusk</w:t>
      </w:r>
      <w:proofErr w:type="spellEnd"/>
      <w:r w:rsidRPr="00675B09">
        <w:rPr>
          <w:lang w:val="en-GB"/>
        </w:rPr>
        <w:t xml:space="preserve">, </w:t>
      </w:r>
      <w:proofErr w:type="spellStart"/>
      <w:r w:rsidRPr="00675B09">
        <w:rPr>
          <w:lang w:val="en-GB"/>
        </w:rPr>
        <w:t>IntraCellular</w:t>
      </w:r>
      <w:proofErr w:type="spellEnd"/>
      <w:r w:rsidRPr="00675B09">
        <w:rPr>
          <w:lang w:val="en-GB"/>
        </w:rPr>
        <w:t xml:space="preserve"> Therapies, Jamjoom Pharma, Janssen/J&amp;J, Karuna, LB Pharma, Lundbeck, </w:t>
      </w:r>
      <w:proofErr w:type="spellStart"/>
      <w:r w:rsidRPr="00675B09">
        <w:rPr>
          <w:lang w:val="en-GB"/>
        </w:rPr>
        <w:t>MedInCell</w:t>
      </w:r>
      <w:proofErr w:type="spellEnd"/>
      <w:r w:rsidRPr="00675B09">
        <w:rPr>
          <w:lang w:val="en-GB"/>
        </w:rPr>
        <w:t xml:space="preserve">, </w:t>
      </w:r>
      <w:proofErr w:type="spellStart"/>
      <w:r w:rsidRPr="00675B09">
        <w:rPr>
          <w:lang w:val="en-GB"/>
        </w:rPr>
        <w:t>MedLink</w:t>
      </w:r>
      <w:proofErr w:type="spellEnd"/>
      <w:r w:rsidRPr="00675B09">
        <w:rPr>
          <w:lang w:val="en-GB"/>
        </w:rPr>
        <w:t xml:space="preserve">, Merck, </w:t>
      </w:r>
      <w:proofErr w:type="spellStart"/>
      <w:r w:rsidRPr="00675B09">
        <w:rPr>
          <w:lang w:val="en-GB"/>
        </w:rPr>
        <w:t>Mindpax</w:t>
      </w:r>
      <w:proofErr w:type="spellEnd"/>
      <w:r w:rsidRPr="00675B09">
        <w:rPr>
          <w:lang w:val="en-GB"/>
        </w:rPr>
        <w:t xml:space="preserve">, Mitsubishi Tanabe Pharma, </w:t>
      </w:r>
      <w:proofErr w:type="spellStart"/>
      <w:r w:rsidRPr="00675B09">
        <w:rPr>
          <w:lang w:val="en-GB"/>
        </w:rPr>
        <w:t>Maplight</w:t>
      </w:r>
      <w:proofErr w:type="spellEnd"/>
      <w:r w:rsidRPr="00675B09">
        <w:rPr>
          <w:lang w:val="en-GB"/>
        </w:rPr>
        <w:t xml:space="preserve">, Mylan, </w:t>
      </w:r>
      <w:proofErr w:type="spellStart"/>
      <w:r w:rsidRPr="00675B09">
        <w:rPr>
          <w:lang w:val="en-GB"/>
        </w:rPr>
        <w:t>Neumora</w:t>
      </w:r>
      <w:proofErr w:type="spellEnd"/>
      <w:r w:rsidRPr="00675B09">
        <w:rPr>
          <w:lang w:val="en-GB"/>
        </w:rPr>
        <w:t xml:space="preserve"> Therapeutics, Neurocrine, </w:t>
      </w:r>
      <w:proofErr w:type="spellStart"/>
      <w:r w:rsidRPr="00675B09">
        <w:rPr>
          <w:lang w:val="en-GB"/>
        </w:rPr>
        <w:t>Neurelis</w:t>
      </w:r>
      <w:proofErr w:type="spellEnd"/>
      <w:r w:rsidRPr="00675B09">
        <w:rPr>
          <w:lang w:val="en-GB"/>
        </w:rPr>
        <w:t xml:space="preserve">, </w:t>
      </w:r>
      <w:proofErr w:type="spellStart"/>
      <w:r w:rsidRPr="00675B09">
        <w:rPr>
          <w:lang w:val="en-GB"/>
        </w:rPr>
        <w:t>Newron</w:t>
      </w:r>
      <w:proofErr w:type="spellEnd"/>
      <w:r w:rsidRPr="00675B09">
        <w:rPr>
          <w:lang w:val="en-GB"/>
        </w:rPr>
        <w:t xml:space="preserve">, </w:t>
      </w:r>
      <w:proofErr w:type="spellStart"/>
      <w:r w:rsidRPr="00675B09">
        <w:rPr>
          <w:lang w:val="en-GB"/>
        </w:rPr>
        <w:t>Noven</w:t>
      </w:r>
      <w:proofErr w:type="spellEnd"/>
      <w:r w:rsidRPr="00675B09">
        <w:rPr>
          <w:lang w:val="en-GB"/>
        </w:rPr>
        <w:t xml:space="preserve">, Novo Nordisk, Otsuka, PPD Biotech, </w:t>
      </w:r>
      <w:proofErr w:type="spellStart"/>
      <w:r w:rsidRPr="00675B09">
        <w:rPr>
          <w:lang w:val="en-GB"/>
        </w:rPr>
        <w:t>Recordati</w:t>
      </w:r>
      <w:proofErr w:type="spellEnd"/>
      <w:r w:rsidRPr="00675B09">
        <w:rPr>
          <w:lang w:val="en-GB"/>
        </w:rPr>
        <w:t xml:space="preserve">, </w:t>
      </w:r>
      <w:proofErr w:type="spellStart"/>
      <w:r w:rsidRPr="00675B09">
        <w:rPr>
          <w:lang w:val="en-GB"/>
        </w:rPr>
        <w:t>Relmada</w:t>
      </w:r>
      <w:proofErr w:type="spellEnd"/>
      <w:r w:rsidRPr="00675B09">
        <w:rPr>
          <w:lang w:val="en-GB"/>
        </w:rPr>
        <w:t xml:space="preserve">, </w:t>
      </w:r>
      <w:proofErr w:type="spellStart"/>
      <w:r w:rsidRPr="00675B09">
        <w:rPr>
          <w:lang w:val="en-GB"/>
        </w:rPr>
        <w:t>Reviva</w:t>
      </w:r>
      <w:proofErr w:type="spellEnd"/>
      <w:r w:rsidRPr="00675B09">
        <w:rPr>
          <w:lang w:val="en-GB"/>
        </w:rPr>
        <w:t xml:space="preserve">, </w:t>
      </w:r>
      <w:proofErr w:type="spellStart"/>
      <w:r w:rsidRPr="00675B09">
        <w:rPr>
          <w:lang w:val="en-GB"/>
        </w:rPr>
        <w:t>Rovi</w:t>
      </w:r>
      <w:proofErr w:type="spellEnd"/>
      <w:r w:rsidRPr="00675B09">
        <w:rPr>
          <w:lang w:val="en-GB"/>
        </w:rPr>
        <w:t xml:space="preserve">, </w:t>
      </w:r>
      <w:proofErr w:type="spellStart"/>
      <w:r w:rsidRPr="00675B09">
        <w:rPr>
          <w:lang w:val="en-GB"/>
        </w:rPr>
        <w:t>Saladax</w:t>
      </w:r>
      <w:proofErr w:type="spellEnd"/>
      <w:r w:rsidRPr="00675B09">
        <w:rPr>
          <w:lang w:val="en-GB"/>
        </w:rPr>
        <w:t xml:space="preserve">, Sanofi, Seqirus, Servier, Sumitomo Pharma America, Sunovion, Sun Pharma, Supernus, Tabuk, Takeda, Teva, Terran, </w:t>
      </w:r>
      <w:proofErr w:type="spellStart"/>
      <w:r w:rsidRPr="00675B09">
        <w:rPr>
          <w:lang w:val="en-GB"/>
        </w:rPr>
        <w:t>Tolmar</w:t>
      </w:r>
      <w:proofErr w:type="spellEnd"/>
      <w:r w:rsidRPr="00675B09">
        <w:rPr>
          <w:lang w:val="en-GB"/>
        </w:rPr>
        <w:t xml:space="preserve">, Vertex, </w:t>
      </w:r>
      <w:proofErr w:type="spellStart"/>
      <w:r w:rsidRPr="00675B09">
        <w:rPr>
          <w:lang w:val="en-GB"/>
        </w:rPr>
        <w:t>Viatris</w:t>
      </w:r>
      <w:proofErr w:type="spellEnd"/>
      <w:r w:rsidRPr="00675B09">
        <w:rPr>
          <w:lang w:val="en-GB"/>
        </w:rPr>
        <w:t xml:space="preserve"> and Xenon Pharmaceuticals. </w:t>
      </w:r>
      <w:proofErr w:type="spellStart"/>
      <w:r w:rsidRPr="00675B09">
        <w:rPr>
          <w:lang w:val="en-GB"/>
        </w:rPr>
        <w:t>Dr.</w:t>
      </w:r>
      <w:proofErr w:type="spellEnd"/>
      <w:r w:rsidRPr="00675B09">
        <w:rPr>
          <w:lang w:val="en-GB"/>
        </w:rPr>
        <w:t xml:space="preserve"> Correll provided expert testimony for Janssen, Lundbeck and Otsuka; he served on a Data Safety Monitoring Board for Compass Pathways, </w:t>
      </w:r>
      <w:proofErr w:type="spellStart"/>
      <w:r w:rsidRPr="00675B09">
        <w:rPr>
          <w:lang w:val="en-GB"/>
        </w:rPr>
        <w:t>IntraCellular</w:t>
      </w:r>
      <w:proofErr w:type="spellEnd"/>
      <w:r w:rsidRPr="00675B09">
        <w:rPr>
          <w:lang w:val="en-GB"/>
        </w:rPr>
        <w:t xml:space="preserve"> Therapies, </w:t>
      </w:r>
      <w:proofErr w:type="spellStart"/>
      <w:r w:rsidRPr="00675B09">
        <w:rPr>
          <w:lang w:val="en-GB"/>
        </w:rPr>
        <w:t>Relmada</w:t>
      </w:r>
      <w:proofErr w:type="spellEnd"/>
      <w:r w:rsidRPr="00675B09">
        <w:rPr>
          <w:lang w:val="en-GB"/>
        </w:rPr>
        <w:t xml:space="preserve">, </w:t>
      </w:r>
      <w:proofErr w:type="spellStart"/>
      <w:r w:rsidRPr="00675B09">
        <w:rPr>
          <w:lang w:val="en-GB"/>
        </w:rPr>
        <w:t>Reviva</w:t>
      </w:r>
      <w:proofErr w:type="spellEnd"/>
      <w:r w:rsidRPr="00675B09">
        <w:rPr>
          <w:lang w:val="en-GB"/>
        </w:rPr>
        <w:t xml:space="preserve">, </w:t>
      </w:r>
      <w:proofErr w:type="spellStart"/>
      <w:r w:rsidRPr="00675B09">
        <w:rPr>
          <w:lang w:val="en-GB"/>
        </w:rPr>
        <w:t>Rovi</w:t>
      </w:r>
      <w:proofErr w:type="spellEnd"/>
      <w:r w:rsidRPr="00675B09">
        <w:rPr>
          <w:lang w:val="en-GB"/>
        </w:rPr>
        <w:t xml:space="preserve">; he has received grant support from Boehringer-Ingelheim, Janssen and Takeda; he received royalties from UpToDate and is also a stock option holder of Cardio Diagnostics, </w:t>
      </w:r>
      <w:proofErr w:type="spellStart"/>
      <w:r w:rsidRPr="00675B09">
        <w:rPr>
          <w:lang w:val="en-GB"/>
        </w:rPr>
        <w:t>Kuleon</w:t>
      </w:r>
      <w:proofErr w:type="spellEnd"/>
      <w:r w:rsidRPr="00675B09">
        <w:rPr>
          <w:lang w:val="en-GB"/>
        </w:rPr>
        <w:t xml:space="preserve"> Biosciences, LB Pharma, </w:t>
      </w:r>
      <w:proofErr w:type="spellStart"/>
      <w:r w:rsidRPr="00675B09">
        <w:rPr>
          <w:lang w:val="en-GB"/>
        </w:rPr>
        <w:t>Medlink</w:t>
      </w:r>
      <w:proofErr w:type="spellEnd"/>
      <w:r w:rsidRPr="00675B09">
        <w:rPr>
          <w:lang w:val="en-GB"/>
        </w:rPr>
        <w:t xml:space="preserve">, </w:t>
      </w:r>
      <w:proofErr w:type="spellStart"/>
      <w:r w:rsidRPr="00675B09">
        <w:rPr>
          <w:lang w:val="en-GB"/>
        </w:rPr>
        <w:t>Mindpax</w:t>
      </w:r>
      <w:proofErr w:type="spellEnd"/>
      <w:r w:rsidRPr="00675B09">
        <w:rPr>
          <w:lang w:val="en-GB"/>
        </w:rPr>
        <w:t xml:space="preserve">, Quantic, and Terran. </w:t>
      </w:r>
      <w:r w:rsidRPr="00675B09">
        <w:rPr>
          <w:b/>
          <w:bCs/>
          <w:lang w:val="en-GB"/>
        </w:rPr>
        <w:t>Prof. Cortese</w:t>
      </w:r>
      <w:r w:rsidRPr="00675B09">
        <w:rPr>
          <w:lang w:val="en-GB"/>
        </w:rPr>
        <w:t xml:space="preserve">, NIHR Research Professor (NIHR303122), is funded by the NIHR for this research project. The views expressed in this publication are those of the author(s) and not necessarily those of the NIHR, NHS or the UK Department of Health and Social Care. Prof. Cortese is also supported by NIHR grants </w:t>
      </w:r>
      <w:r w:rsidRPr="00675B09">
        <w:rPr>
          <w:lang w:val="en-GB"/>
        </w:rPr>
        <w:lastRenderedPageBreak/>
        <w:t xml:space="preserve">NIHR203684, NIHR203035, NIHR130077, NIHR128472, RP-PG-0618-20003 and by grant 101095568-HORIZONHLTH- 2022-DISEASE-07-03 from the European Research Executive Agency. Prof. Cortese has declared reimbursement for travel and accommodation expenses from the Association for Child and Adolescent Central Health (ACAMH) in relation to lectures delivered for ACAMH, the Canadian AADHD Alliance Resource, the British Association of Psychopharmacology, and from Healthcare Convention for educational activity on ADHD, and has received honoraria from </w:t>
      </w:r>
      <w:proofErr w:type="spellStart"/>
      <w:r w:rsidRPr="00675B09">
        <w:rPr>
          <w:lang w:val="en-GB"/>
        </w:rPr>
        <w:t>Medice</w:t>
      </w:r>
      <w:proofErr w:type="spellEnd"/>
      <w:r w:rsidRPr="00675B09">
        <w:rPr>
          <w:lang w:val="en-GB"/>
        </w:rPr>
        <w:t xml:space="preserve">. </w:t>
      </w:r>
      <w:r w:rsidRPr="00675B09">
        <w:rPr>
          <w:b/>
          <w:bCs/>
          <w:lang w:val="en-GB"/>
        </w:rPr>
        <w:t xml:space="preserve">Prof. </w:t>
      </w:r>
      <w:proofErr w:type="spellStart"/>
      <w:r w:rsidRPr="00675B09">
        <w:rPr>
          <w:b/>
          <w:bCs/>
          <w:lang w:val="en-GB"/>
        </w:rPr>
        <w:t>Fusar</w:t>
      </w:r>
      <w:proofErr w:type="spellEnd"/>
      <w:r w:rsidRPr="00675B09">
        <w:rPr>
          <w:b/>
          <w:bCs/>
          <w:lang w:val="en-GB"/>
        </w:rPr>
        <w:t>-Poli</w:t>
      </w:r>
      <w:r w:rsidRPr="00675B09">
        <w:rPr>
          <w:lang w:val="en-GB"/>
        </w:rPr>
        <w:t xml:space="preserve"> has received grant support from Lundbeck and honoraria fees from Angelini, Menarini, and Lundbeck outside the current work. </w:t>
      </w:r>
      <w:proofErr w:type="spellStart"/>
      <w:r w:rsidRPr="00675B09">
        <w:rPr>
          <w:b/>
          <w:bCs/>
          <w:lang w:val="en-GB"/>
        </w:rPr>
        <w:t>Dr.</w:t>
      </w:r>
      <w:proofErr w:type="spellEnd"/>
      <w:r w:rsidRPr="00675B09">
        <w:rPr>
          <w:b/>
          <w:bCs/>
          <w:lang w:val="en-GB"/>
        </w:rPr>
        <w:t xml:space="preserve"> </w:t>
      </w:r>
      <w:proofErr w:type="spellStart"/>
      <w:r w:rsidRPr="00675B09">
        <w:rPr>
          <w:b/>
          <w:bCs/>
          <w:lang w:val="en-GB"/>
        </w:rPr>
        <w:t>Raduà</w:t>
      </w:r>
      <w:proofErr w:type="spellEnd"/>
      <w:r w:rsidRPr="00675B09">
        <w:rPr>
          <w:lang w:val="en-GB"/>
        </w:rPr>
        <w:t xml:space="preserve"> received CME honoraria from Inspira Networks for a machine learning course promoted by </w:t>
      </w:r>
      <w:proofErr w:type="spellStart"/>
      <w:r w:rsidRPr="00675B09">
        <w:rPr>
          <w:lang w:val="en-GB"/>
        </w:rPr>
        <w:t>Adamed</w:t>
      </w:r>
      <w:proofErr w:type="spellEnd"/>
      <w:r w:rsidRPr="00675B09">
        <w:rPr>
          <w:lang w:val="en-GB"/>
        </w:rPr>
        <w:t xml:space="preserve"> (outside the submitted work); his work is supported by the CERCA Program / </w:t>
      </w:r>
      <w:proofErr w:type="spellStart"/>
      <w:r w:rsidRPr="00675B09">
        <w:rPr>
          <w:lang w:val="en-GB"/>
        </w:rPr>
        <w:t>Generalitat</w:t>
      </w:r>
      <w:proofErr w:type="spellEnd"/>
      <w:r w:rsidRPr="00675B09">
        <w:rPr>
          <w:lang w:val="en-GB"/>
        </w:rPr>
        <w:t xml:space="preserve"> de Catalunya and </w:t>
      </w:r>
      <w:proofErr w:type="spellStart"/>
      <w:r w:rsidRPr="00675B09">
        <w:rPr>
          <w:lang w:val="en-GB"/>
        </w:rPr>
        <w:t>Secretaria</w:t>
      </w:r>
      <w:proofErr w:type="spellEnd"/>
      <w:r w:rsidRPr="00675B09">
        <w:rPr>
          <w:lang w:val="en-GB"/>
        </w:rPr>
        <w:t xml:space="preserve"> </w:t>
      </w:r>
      <w:proofErr w:type="spellStart"/>
      <w:r w:rsidRPr="00675B09">
        <w:rPr>
          <w:lang w:val="en-GB"/>
        </w:rPr>
        <w:t>d’Universitats</w:t>
      </w:r>
      <w:proofErr w:type="spellEnd"/>
      <w:r w:rsidRPr="00675B09">
        <w:rPr>
          <w:lang w:val="en-GB"/>
        </w:rPr>
        <w:t xml:space="preserve"> </w:t>
      </w:r>
      <w:proofErr w:type="spellStart"/>
      <w:r w:rsidRPr="00675B09">
        <w:rPr>
          <w:lang w:val="en-GB"/>
        </w:rPr>
        <w:t>i</w:t>
      </w:r>
      <w:proofErr w:type="spellEnd"/>
      <w:r w:rsidRPr="00675B09">
        <w:rPr>
          <w:lang w:val="en-GB"/>
        </w:rPr>
        <w:t xml:space="preserve"> </w:t>
      </w:r>
      <w:proofErr w:type="spellStart"/>
      <w:r w:rsidRPr="00675B09">
        <w:rPr>
          <w:lang w:val="en-GB"/>
        </w:rPr>
        <w:t>Recerca</w:t>
      </w:r>
      <w:proofErr w:type="spellEnd"/>
      <w:r w:rsidRPr="00675B09">
        <w:rPr>
          <w:lang w:val="en-GB"/>
        </w:rPr>
        <w:t xml:space="preserve"> del </w:t>
      </w:r>
      <w:proofErr w:type="spellStart"/>
      <w:r w:rsidRPr="00675B09">
        <w:rPr>
          <w:lang w:val="en-GB"/>
        </w:rPr>
        <w:t>Departament</w:t>
      </w:r>
      <w:proofErr w:type="spellEnd"/>
      <w:r w:rsidRPr="00675B09">
        <w:rPr>
          <w:lang w:val="en-GB"/>
        </w:rPr>
        <w:t xml:space="preserve"> </w:t>
      </w:r>
      <w:proofErr w:type="spellStart"/>
      <w:r w:rsidRPr="00675B09">
        <w:rPr>
          <w:lang w:val="en-GB"/>
        </w:rPr>
        <w:t>d’Economia</w:t>
      </w:r>
      <w:proofErr w:type="spellEnd"/>
      <w:r w:rsidRPr="00675B09">
        <w:rPr>
          <w:lang w:val="en-GB"/>
        </w:rPr>
        <w:t xml:space="preserve"> I </w:t>
      </w:r>
      <w:proofErr w:type="spellStart"/>
      <w:r w:rsidRPr="00675B09">
        <w:rPr>
          <w:lang w:val="en-GB"/>
        </w:rPr>
        <w:t>Coneixement</w:t>
      </w:r>
      <w:proofErr w:type="spellEnd"/>
      <w:r w:rsidRPr="00675B09">
        <w:rPr>
          <w:lang w:val="en-GB"/>
        </w:rPr>
        <w:t xml:space="preserve"> (2021 SGR 01128). </w:t>
      </w:r>
      <w:proofErr w:type="spellStart"/>
      <w:r w:rsidRPr="00675B09">
        <w:rPr>
          <w:b/>
          <w:bCs/>
          <w:lang w:val="en-GB"/>
        </w:rPr>
        <w:t>Dr.</w:t>
      </w:r>
      <w:proofErr w:type="spellEnd"/>
      <w:r w:rsidRPr="00675B09">
        <w:rPr>
          <w:b/>
          <w:bCs/>
          <w:lang w:val="en-GB"/>
        </w:rPr>
        <w:t xml:space="preserve"> </w:t>
      </w:r>
      <w:proofErr w:type="spellStart"/>
      <w:r w:rsidRPr="00675B09">
        <w:rPr>
          <w:b/>
          <w:bCs/>
          <w:lang w:val="en-GB"/>
        </w:rPr>
        <w:t>Solmi</w:t>
      </w:r>
      <w:proofErr w:type="spellEnd"/>
      <w:r w:rsidRPr="00675B09">
        <w:rPr>
          <w:lang w:val="en-GB"/>
        </w:rPr>
        <w:t xml:space="preserve"> received honoraria/has been a consultant for Angelini, AbbVie, Boehringer Ingelheim, Lundbeck, Otsuka. </w:t>
      </w:r>
      <w:r w:rsidRPr="00675B09">
        <w:rPr>
          <w:b/>
          <w:bCs/>
          <w:lang w:val="en-GB"/>
        </w:rPr>
        <w:t xml:space="preserve">All other authors </w:t>
      </w:r>
      <w:r w:rsidRPr="00675B09">
        <w:rPr>
          <w:lang w:val="en-GB"/>
        </w:rPr>
        <w:t>have no conflicts of interest to declare.</w:t>
      </w:r>
    </w:p>
    <w:p w14:paraId="759D92C0" w14:textId="77777777" w:rsidR="00A867AB" w:rsidRPr="00675B09" w:rsidRDefault="00A867AB" w:rsidP="00A867AB">
      <w:pPr>
        <w:rPr>
          <w:lang w:val="en-GB"/>
        </w:rPr>
      </w:pPr>
    </w:p>
    <w:p w14:paraId="3913BF2B" w14:textId="77777777" w:rsidR="00A867AB" w:rsidRPr="00675B09" w:rsidRDefault="00A867AB" w:rsidP="00A867AB">
      <w:pPr>
        <w:pStyle w:val="Heading1"/>
        <w:rPr>
          <w:lang w:val="en-GB"/>
        </w:rPr>
      </w:pPr>
      <w:bookmarkStart w:id="66" w:name="_Hlk182922743"/>
      <w:r w:rsidRPr="00675B09">
        <w:rPr>
          <w:lang w:val="en-GB"/>
        </w:rPr>
        <w:t>DATA SHARING STATEMENT</w:t>
      </w:r>
    </w:p>
    <w:p w14:paraId="4599B25B" w14:textId="0D51FF72" w:rsidR="00A867AB" w:rsidRPr="00675B09" w:rsidRDefault="00A867AB" w:rsidP="00FC235A">
      <w:pPr>
        <w:jc w:val="left"/>
        <w:rPr>
          <w:lang w:val="en-GB"/>
        </w:rPr>
      </w:pPr>
      <w:bookmarkStart w:id="67" w:name="_Hlk184551623"/>
      <w:r w:rsidRPr="00675B09">
        <w:rPr>
          <w:lang w:val="en-GB"/>
        </w:rPr>
        <w:t xml:space="preserve">Data are </w:t>
      </w:r>
      <w:r w:rsidR="004C319D" w:rsidRPr="00675B09">
        <w:rPr>
          <w:lang w:val="en-GB"/>
        </w:rPr>
        <w:t xml:space="preserve">publicly </w:t>
      </w:r>
      <w:r w:rsidRPr="00675B09">
        <w:rPr>
          <w:lang w:val="en-GB"/>
        </w:rPr>
        <w:t xml:space="preserve">available </w:t>
      </w:r>
      <w:r w:rsidR="004C319D" w:rsidRPr="00675B09">
        <w:rPr>
          <w:lang w:val="en-GB"/>
        </w:rPr>
        <w:t xml:space="preserve">at the following link: </w:t>
      </w:r>
      <w:hyperlink r:id="rId17" w:history="1">
        <w:r w:rsidR="004C319D" w:rsidRPr="00675B09">
          <w:rPr>
            <w:rStyle w:val="Hyperlink"/>
            <w:color w:val="auto"/>
            <w:lang w:val="en-GB"/>
          </w:rPr>
          <w:t>https://osf.io/wkh5a/?view_only=d8138c80ddab4344a928108d6c20e4b9</w:t>
        </w:r>
      </w:hyperlink>
      <w:r w:rsidRPr="00675B09">
        <w:rPr>
          <w:lang w:val="en-GB"/>
        </w:rPr>
        <w:t>.</w:t>
      </w:r>
      <w:bookmarkEnd w:id="66"/>
    </w:p>
    <w:bookmarkEnd w:id="67"/>
    <w:p w14:paraId="3341F33E" w14:textId="77777777" w:rsidR="00A241A9" w:rsidRPr="00675B09" w:rsidRDefault="00A241A9" w:rsidP="00533B34">
      <w:pPr>
        <w:pBdr>
          <w:top w:val="nil"/>
          <w:left w:val="nil"/>
          <w:bottom w:val="nil"/>
          <w:right w:val="nil"/>
          <w:between w:val="nil"/>
        </w:pBdr>
        <w:rPr>
          <w:lang w:val="en-GB"/>
        </w:rPr>
      </w:pPr>
    </w:p>
    <w:p w14:paraId="16C82394" w14:textId="77777777" w:rsidR="00A241A9" w:rsidRPr="00675B09" w:rsidRDefault="00A241A9" w:rsidP="00533B34">
      <w:pPr>
        <w:rPr>
          <w:b/>
          <w:lang w:val="en-GB"/>
        </w:rPr>
      </w:pPr>
      <w:r w:rsidRPr="00675B09">
        <w:rPr>
          <w:lang w:val="en-GB"/>
        </w:rPr>
        <w:br w:type="page"/>
      </w:r>
    </w:p>
    <w:p w14:paraId="32C73AAA" w14:textId="7FEF1364" w:rsidR="002814F0" w:rsidRPr="00675B09" w:rsidRDefault="002814F0" w:rsidP="00533B34">
      <w:pPr>
        <w:pStyle w:val="Heading1"/>
        <w:rPr>
          <w:lang w:val="en-GB"/>
        </w:rPr>
      </w:pPr>
      <w:r w:rsidRPr="00675B09">
        <w:rPr>
          <w:lang w:val="en-GB"/>
        </w:rPr>
        <w:lastRenderedPageBreak/>
        <w:t xml:space="preserve">FIGURE </w:t>
      </w:r>
      <w:r w:rsidR="0074379E" w:rsidRPr="00675B09">
        <w:rPr>
          <w:lang w:val="en-GB"/>
        </w:rPr>
        <w:t>DESCRIPTION</w:t>
      </w:r>
    </w:p>
    <w:p w14:paraId="13F4EAD3" w14:textId="00CC6111" w:rsidR="00DD773A" w:rsidRPr="00675B09" w:rsidRDefault="00DD773A" w:rsidP="00533B34">
      <w:pPr>
        <w:rPr>
          <w:b/>
          <w:lang w:val="en-GB"/>
        </w:rPr>
      </w:pPr>
      <w:r w:rsidRPr="00675B09">
        <w:rPr>
          <w:b/>
          <w:lang w:val="en-GB"/>
        </w:rPr>
        <w:t xml:space="preserve">Figure 1. </w:t>
      </w:r>
      <w:r w:rsidR="00504609" w:rsidRPr="00675B09">
        <w:rPr>
          <w:bCs/>
          <w:lang w:val="en-GB"/>
        </w:rPr>
        <w:t xml:space="preserve">Screening </w:t>
      </w:r>
      <w:r w:rsidRPr="00675B09">
        <w:rPr>
          <w:bCs/>
          <w:lang w:val="en-GB"/>
        </w:rPr>
        <w:t>flowchart</w:t>
      </w:r>
    </w:p>
    <w:p w14:paraId="414A5C5F" w14:textId="48F70087" w:rsidR="0074379E" w:rsidRPr="00675B09" w:rsidRDefault="002814F0" w:rsidP="00533B34">
      <w:pPr>
        <w:rPr>
          <w:lang w:val="en-GB"/>
        </w:rPr>
      </w:pPr>
      <w:r w:rsidRPr="00675B09">
        <w:rPr>
          <w:b/>
          <w:lang w:val="en-GB"/>
        </w:rPr>
        <w:t xml:space="preserve">Figure </w:t>
      </w:r>
      <w:r w:rsidR="00DD773A" w:rsidRPr="00675B09">
        <w:rPr>
          <w:b/>
          <w:lang w:val="en-GB"/>
        </w:rPr>
        <w:t>2</w:t>
      </w:r>
      <w:r w:rsidRPr="00675B09">
        <w:rPr>
          <w:b/>
          <w:lang w:val="en-GB"/>
        </w:rPr>
        <w:t>.</w:t>
      </w:r>
      <w:r w:rsidRPr="00675B09">
        <w:rPr>
          <w:lang w:val="en-GB"/>
        </w:rPr>
        <w:t xml:space="preserve"> Temporal trends in the reporting of </w:t>
      </w:r>
      <w:r w:rsidR="00D05E87" w:rsidRPr="00675B09">
        <w:rPr>
          <w:lang w:val="en-GB"/>
        </w:rPr>
        <w:t>race and ethnicity</w:t>
      </w:r>
      <w:r w:rsidRPr="00675B09">
        <w:rPr>
          <w:lang w:val="en-GB"/>
        </w:rPr>
        <w:t xml:space="preserve"> in RCTs of pharmacological treatments for mental disorders. </w:t>
      </w:r>
    </w:p>
    <w:p w14:paraId="698476BB" w14:textId="04D7AB3E" w:rsidR="002814F0" w:rsidRPr="00675B09" w:rsidRDefault="002814F0" w:rsidP="00533B34">
      <w:pPr>
        <w:rPr>
          <w:lang w:val="en-GB"/>
        </w:rPr>
      </w:pPr>
      <w:r w:rsidRPr="00675B09">
        <w:rPr>
          <w:i/>
          <w:lang w:val="en-GB"/>
        </w:rPr>
        <w:t>Note:</w:t>
      </w:r>
      <w:r w:rsidRPr="00675B09">
        <w:rPr>
          <w:lang w:val="en-GB"/>
        </w:rPr>
        <w:t xml:space="preserve"> the full line symbolizes the percentage of studies reporting </w:t>
      </w:r>
      <w:r w:rsidR="00D05E87" w:rsidRPr="00675B09">
        <w:rPr>
          <w:lang w:val="en-GB"/>
        </w:rPr>
        <w:t>race and ethnicity</w:t>
      </w:r>
      <w:r w:rsidRPr="00675B09">
        <w:rPr>
          <w:lang w:val="en-GB"/>
        </w:rPr>
        <w:t xml:space="preserve"> in general, while the dotted line </w:t>
      </w:r>
      <w:r w:rsidR="00981901" w:rsidRPr="00675B09">
        <w:rPr>
          <w:lang w:val="en-GB"/>
        </w:rPr>
        <w:t>represents</w:t>
      </w:r>
      <w:r w:rsidRPr="00675B09">
        <w:rPr>
          <w:lang w:val="en-GB"/>
        </w:rPr>
        <w:t xml:space="preserve"> the number of studies reporting Hispanic.</w:t>
      </w:r>
    </w:p>
    <w:p w14:paraId="500663A9" w14:textId="42CB2BB0" w:rsidR="002814F0" w:rsidRPr="00675B09" w:rsidRDefault="002814F0" w:rsidP="00533B34">
      <w:pPr>
        <w:rPr>
          <w:lang w:val="en-GB"/>
        </w:rPr>
        <w:sectPr w:rsidR="002814F0" w:rsidRPr="00675B09">
          <w:headerReference w:type="default" r:id="rId18"/>
          <w:pgSz w:w="11906" w:h="16838"/>
          <w:pgMar w:top="1440" w:right="1440" w:bottom="1440" w:left="1440" w:header="708" w:footer="708" w:gutter="0"/>
          <w:cols w:space="720"/>
        </w:sectPr>
      </w:pPr>
    </w:p>
    <w:p w14:paraId="37BB211D" w14:textId="441B252C" w:rsidR="002814F0" w:rsidRPr="00675B09" w:rsidRDefault="002814F0" w:rsidP="00533B34">
      <w:pPr>
        <w:pStyle w:val="Heading1"/>
        <w:rPr>
          <w:lang w:val="en-GB"/>
        </w:rPr>
      </w:pPr>
      <w:r w:rsidRPr="00675B09">
        <w:rPr>
          <w:lang w:val="en-GB"/>
        </w:rPr>
        <w:lastRenderedPageBreak/>
        <w:t>TABLES</w:t>
      </w:r>
    </w:p>
    <w:p w14:paraId="38B1FA41" w14:textId="6C0A9CAD" w:rsidR="002814F0" w:rsidRPr="00675B09" w:rsidRDefault="002814F0" w:rsidP="00533B34">
      <w:pPr>
        <w:spacing w:after="0"/>
        <w:rPr>
          <w:b/>
          <w:lang w:val="en-GB"/>
        </w:rPr>
      </w:pPr>
      <w:r w:rsidRPr="00675B09">
        <w:rPr>
          <w:b/>
          <w:lang w:val="en-GB"/>
        </w:rPr>
        <w:t>Table 1. Characteristics of included studies, by age group and for each diagnostic category.</w:t>
      </w:r>
    </w:p>
    <w:tbl>
      <w:tblPr>
        <w:tblStyle w:val="a"/>
        <w:tblW w:w="16018" w:type="dxa"/>
        <w:jc w:val="center"/>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1134"/>
        <w:gridCol w:w="851"/>
        <w:gridCol w:w="1276"/>
        <w:gridCol w:w="1275"/>
        <w:gridCol w:w="1134"/>
        <w:gridCol w:w="1276"/>
        <w:gridCol w:w="1134"/>
        <w:gridCol w:w="1559"/>
        <w:gridCol w:w="1701"/>
        <w:gridCol w:w="1636"/>
        <w:gridCol w:w="1483"/>
        <w:gridCol w:w="1559"/>
      </w:tblGrid>
      <w:tr w:rsidR="00675B09" w:rsidRPr="00675B09" w14:paraId="32DA90E4" w14:textId="77777777" w:rsidTr="00C402B7">
        <w:trPr>
          <w:trHeight w:val="875"/>
          <w:tblHeader/>
          <w:jc w:val="center"/>
        </w:trPr>
        <w:tc>
          <w:tcPr>
            <w:tcW w:w="1134" w:type="dxa"/>
            <w:shd w:val="clear" w:color="auto" w:fill="F2F2F2" w:themeFill="background1" w:themeFillShade="F2"/>
            <w:vAlign w:val="center"/>
          </w:tcPr>
          <w:p w14:paraId="1EDA67F5" w14:textId="77777777" w:rsidR="002814F0" w:rsidRPr="00675B09" w:rsidRDefault="002814F0" w:rsidP="00965BC3">
            <w:pPr>
              <w:widowControl/>
              <w:ind w:right="0"/>
              <w:jc w:val="center"/>
              <w:rPr>
                <w:lang w:val="en-GB"/>
              </w:rPr>
            </w:pPr>
            <w:bookmarkStart w:id="68" w:name="_Hlk183003073"/>
          </w:p>
        </w:tc>
        <w:tc>
          <w:tcPr>
            <w:tcW w:w="851" w:type="dxa"/>
            <w:shd w:val="clear" w:color="auto" w:fill="F2F2F2" w:themeFill="background1" w:themeFillShade="F2"/>
            <w:vAlign w:val="center"/>
          </w:tcPr>
          <w:p w14:paraId="3BD2E6DD" w14:textId="77777777" w:rsidR="002814F0" w:rsidRPr="00675B09" w:rsidRDefault="002814F0" w:rsidP="00965BC3">
            <w:pPr>
              <w:widowControl/>
              <w:ind w:right="0"/>
              <w:jc w:val="center"/>
              <w:rPr>
                <w:b/>
                <w:lang w:val="en-GB"/>
              </w:rPr>
            </w:pPr>
            <w:r w:rsidRPr="00675B09">
              <w:rPr>
                <w:b/>
                <w:lang w:val="en-GB"/>
              </w:rPr>
              <w:t>N of RCTs</w:t>
            </w:r>
          </w:p>
        </w:tc>
        <w:tc>
          <w:tcPr>
            <w:tcW w:w="1276" w:type="dxa"/>
            <w:shd w:val="clear" w:color="auto" w:fill="F2F2F2" w:themeFill="background1" w:themeFillShade="F2"/>
            <w:vAlign w:val="center"/>
          </w:tcPr>
          <w:p w14:paraId="24EF835B" w14:textId="77777777" w:rsidR="002814F0" w:rsidRPr="00675B09" w:rsidRDefault="002814F0" w:rsidP="00965BC3">
            <w:pPr>
              <w:widowControl/>
              <w:ind w:right="0"/>
              <w:jc w:val="center"/>
              <w:rPr>
                <w:b/>
                <w:lang w:val="en-GB"/>
              </w:rPr>
            </w:pPr>
            <w:r w:rsidRPr="00675B09">
              <w:rPr>
                <w:b/>
                <w:lang w:val="en-GB"/>
              </w:rPr>
              <w:t>N of participants</w:t>
            </w:r>
          </w:p>
        </w:tc>
        <w:tc>
          <w:tcPr>
            <w:tcW w:w="1275" w:type="dxa"/>
            <w:shd w:val="clear" w:color="auto" w:fill="F2F2F2" w:themeFill="background1" w:themeFillShade="F2"/>
            <w:vAlign w:val="center"/>
          </w:tcPr>
          <w:p w14:paraId="138EF016" w14:textId="21BD695B" w:rsidR="002814F0" w:rsidRPr="00675B09" w:rsidRDefault="002814F0" w:rsidP="00965BC3">
            <w:pPr>
              <w:widowControl/>
              <w:ind w:right="0"/>
              <w:jc w:val="center"/>
              <w:rPr>
                <w:b/>
                <w:lang w:val="en-GB"/>
              </w:rPr>
            </w:pPr>
            <w:r w:rsidRPr="00675B09">
              <w:rPr>
                <w:b/>
                <w:lang w:val="en-GB"/>
              </w:rPr>
              <w:t>Single</w:t>
            </w:r>
            <w:r w:rsidR="002561D2" w:rsidRPr="00675B09">
              <w:rPr>
                <w:b/>
                <w:lang w:val="en-GB"/>
              </w:rPr>
              <w:t>-centre</w:t>
            </w:r>
            <w:r w:rsidRPr="00675B09">
              <w:rPr>
                <w:b/>
                <w:lang w:val="en-GB"/>
              </w:rPr>
              <w:t xml:space="preserve"> RCTs</w:t>
            </w:r>
          </w:p>
        </w:tc>
        <w:tc>
          <w:tcPr>
            <w:tcW w:w="1134" w:type="dxa"/>
            <w:shd w:val="clear" w:color="auto" w:fill="F2F2F2" w:themeFill="background1" w:themeFillShade="F2"/>
            <w:vAlign w:val="center"/>
          </w:tcPr>
          <w:p w14:paraId="6D9D2E0B" w14:textId="62833A00" w:rsidR="002814F0" w:rsidRPr="00675B09" w:rsidRDefault="002814F0" w:rsidP="00965BC3">
            <w:pPr>
              <w:widowControl/>
              <w:ind w:right="0"/>
              <w:jc w:val="center"/>
              <w:rPr>
                <w:b/>
                <w:lang w:val="en-GB"/>
              </w:rPr>
            </w:pPr>
            <w:r w:rsidRPr="00675B09">
              <w:rPr>
                <w:b/>
                <w:lang w:val="en-GB"/>
              </w:rPr>
              <w:t>Multi-</w:t>
            </w:r>
            <w:r w:rsidR="002561D2" w:rsidRPr="00675B09">
              <w:rPr>
                <w:b/>
                <w:lang w:val="en-GB"/>
              </w:rPr>
              <w:t xml:space="preserve">centre </w:t>
            </w:r>
            <w:r w:rsidRPr="00675B09">
              <w:rPr>
                <w:b/>
                <w:lang w:val="en-GB"/>
              </w:rPr>
              <w:t>RCTs</w:t>
            </w:r>
          </w:p>
        </w:tc>
        <w:tc>
          <w:tcPr>
            <w:tcW w:w="1276" w:type="dxa"/>
            <w:shd w:val="clear" w:color="auto" w:fill="F2F2F2" w:themeFill="background1" w:themeFillShade="F2"/>
            <w:vAlign w:val="center"/>
          </w:tcPr>
          <w:p w14:paraId="41FC42B9" w14:textId="50BCE165" w:rsidR="002814F0" w:rsidRPr="00675B09" w:rsidRDefault="002814F0" w:rsidP="00965BC3">
            <w:pPr>
              <w:widowControl/>
              <w:ind w:right="0"/>
              <w:jc w:val="center"/>
              <w:rPr>
                <w:b/>
                <w:lang w:val="en-GB"/>
              </w:rPr>
            </w:pPr>
            <w:bookmarkStart w:id="69" w:name="_Hlk183003189"/>
            <w:r w:rsidRPr="00675B09">
              <w:rPr>
                <w:b/>
                <w:lang w:val="en-GB"/>
              </w:rPr>
              <w:t xml:space="preserve">Reporting </w:t>
            </w:r>
            <w:r w:rsidR="00D05E87" w:rsidRPr="00675B09">
              <w:rPr>
                <w:b/>
                <w:lang w:val="en-GB"/>
              </w:rPr>
              <w:t>race and ethnicity</w:t>
            </w:r>
            <w:bookmarkEnd w:id="69"/>
          </w:p>
        </w:tc>
        <w:tc>
          <w:tcPr>
            <w:tcW w:w="1134" w:type="dxa"/>
            <w:shd w:val="clear" w:color="auto" w:fill="F2F2F2" w:themeFill="background1" w:themeFillShade="F2"/>
            <w:vAlign w:val="center"/>
          </w:tcPr>
          <w:p w14:paraId="05988E40" w14:textId="77777777" w:rsidR="002814F0" w:rsidRPr="00675B09" w:rsidRDefault="002814F0" w:rsidP="00965BC3">
            <w:pPr>
              <w:widowControl/>
              <w:ind w:right="0"/>
              <w:jc w:val="center"/>
              <w:rPr>
                <w:b/>
                <w:lang w:val="en-GB"/>
              </w:rPr>
            </w:pPr>
            <w:r w:rsidRPr="00675B09">
              <w:rPr>
                <w:b/>
                <w:lang w:val="en-GB"/>
              </w:rPr>
              <w:t>Reporting "Hispanic" as ethnicity</w:t>
            </w:r>
          </w:p>
        </w:tc>
        <w:tc>
          <w:tcPr>
            <w:tcW w:w="1559" w:type="dxa"/>
            <w:shd w:val="clear" w:color="auto" w:fill="F2F2F2" w:themeFill="background1" w:themeFillShade="F2"/>
            <w:vAlign w:val="center"/>
          </w:tcPr>
          <w:p w14:paraId="4895D4F6" w14:textId="77777777" w:rsidR="002814F0" w:rsidRPr="00675B09" w:rsidRDefault="002814F0" w:rsidP="00965BC3">
            <w:pPr>
              <w:widowControl/>
              <w:ind w:right="0"/>
              <w:jc w:val="center"/>
              <w:rPr>
                <w:b/>
                <w:lang w:val="en-GB"/>
              </w:rPr>
            </w:pPr>
            <w:r w:rsidRPr="00675B09">
              <w:rPr>
                <w:b/>
                <w:lang w:val="en-GB"/>
              </w:rPr>
              <w:t>Asian</w:t>
            </w:r>
          </w:p>
        </w:tc>
        <w:tc>
          <w:tcPr>
            <w:tcW w:w="1701" w:type="dxa"/>
            <w:shd w:val="clear" w:color="auto" w:fill="F2F2F2" w:themeFill="background1" w:themeFillShade="F2"/>
            <w:vAlign w:val="center"/>
          </w:tcPr>
          <w:p w14:paraId="3717C58C" w14:textId="77777777" w:rsidR="002814F0" w:rsidRPr="00675B09" w:rsidRDefault="002814F0" w:rsidP="00965BC3">
            <w:pPr>
              <w:widowControl/>
              <w:ind w:right="0"/>
              <w:jc w:val="center"/>
              <w:rPr>
                <w:b/>
                <w:lang w:val="en-GB"/>
              </w:rPr>
            </w:pPr>
            <w:r w:rsidRPr="00675B09">
              <w:rPr>
                <w:b/>
                <w:lang w:val="en-GB"/>
              </w:rPr>
              <w:t>Black</w:t>
            </w:r>
          </w:p>
        </w:tc>
        <w:tc>
          <w:tcPr>
            <w:tcW w:w="1636" w:type="dxa"/>
            <w:shd w:val="clear" w:color="auto" w:fill="F2F2F2" w:themeFill="background1" w:themeFillShade="F2"/>
            <w:vAlign w:val="center"/>
          </w:tcPr>
          <w:p w14:paraId="26026015" w14:textId="4B27A3DE" w:rsidR="002814F0" w:rsidRPr="00675B09" w:rsidRDefault="002814F0" w:rsidP="00965BC3">
            <w:pPr>
              <w:widowControl/>
              <w:ind w:right="0"/>
              <w:jc w:val="center"/>
              <w:rPr>
                <w:b/>
                <w:lang w:val="en-GB"/>
              </w:rPr>
            </w:pPr>
            <w:r w:rsidRPr="00675B09">
              <w:rPr>
                <w:b/>
                <w:lang w:val="en-GB"/>
              </w:rPr>
              <w:t>Hispanic</w:t>
            </w:r>
            <w:r w:rsidR="009A09C1" w:rsidRPr="00675B09">
              <w:rPr>
                <w:b/>
                <w:lang w:val="en-GB"/>
              </w:rPr>
              <w:t xml:space="preserve"> (among White) </w:t>
            </w:r>
          </w:p>
        </w:tc>
        <w:tc>
          <w:tcPr>
            <w:tcW w:w="1483" w:type="dxa"/>
            <w:shd w:val="clear" w:color="auto" w:fill="F2F2F2" w:themeFill="background1" w:themeFillShade="F2"/>
            <w:vAlign w:val="center"/>
          </w:tcPr>
          <w:p w14:paraId="442CBF66" w14:textId="77777777" w:rsidR="002814F0" w:rsidRPr="00675B09" w:rsidRDefault="002814F0" w:rsidP="00965BC3">
            <w:pPr>
              <w:widowControl/>
              <w:ind w:right="0"/>
              <w:jc w:val="center"/>
              <w:rPr>
                <w:b/>
                <w:lang w:val="en-GB"/>
              </w:rPr>
            </w:pPr>
            <w:r w:rsidRPr="00675B09">
              <w:rPr>
                <w:b/>
                <w:lang w:val="en-GB"/>
              </w:rPr>
              <w:t>Other</w:t>
            </w:r>
          </w:p>
        </w:tc>
        <w:tc>
          <w:tcPr>
            <w:tcW w:w="1559" w:type="dxa"/>
            <w:shd w:val="clear" w:color="auto" w:fill="F2F2F2" w:themeFill="background1" w:themeFillShade="F2"/>
            <w:vAlign w:val="center"/>
          </w:tcPr>
          <w:p w14:paraId="03B7879F" w14:textId="6052E8FE" w:rsidR="002814F0" w:rsidRPr="00675B09" w:rsidRDefault="002814F0" w:rsidP="00965BC3">
            <w:pPr>
              <w:widowControl/>
              <w:ind w:right="0"/>
              <w:jc w:val="center"/>
              <w:rPr>
                <w:b/>
                <w:lang w:val="en-GB"/>
              </w:rPr>
            </w:pPr>
            <w:r w:rsidRPr="00675B09">
              <w:rPr>
                <w:b/>
                <w:lang w:val="en-GB"/>
              </w:rPr>
              <w:t>White</w:t>
            </w:r>
            <w:r w:rsidR="009A09C1" w:rsidRPr="00675B09">
              <w:rPr>
                <w:b/>
                <w:lang w:val="en-GB"/>
              </w:rPr>
              <w:t xml:space="preserve"> (including Hispanic)</w:t>
            </w:r>
          </w:p>
        </w:tc>
      </w:tr>
      <w:bookmarkEnd w:id="68"/>
      <w:tr w:rsidR="00675B09" w:rsidRPr="00675B09" w14:paraId="3F5545D5" w14:textId="77777777" w:rsidTr="00C402B7">
        <w:trPr>
          <w:trHeight w:val="292"/>
          <w:jc w:val="center"/>
        </w:trPr>
        <w:tc>
          <w:tcPr>
            <w:tcW w:w="1134" w:type="dxa"/>
            <w:vAlign w:val="center"/>
          </w:tcPr>
          <w:p w14:paraId="05F5422A" w14:textId="77777777" w:rsidR="002814F0" w:rsidRPr="00675B09" w:rsidRDefault="002814F0" w:rsidP="00965BC3">
            <w:pPr>
              <w:widowControl/>
              <w:ind w:right="0"/>
              <w:jc w:val="center"/>
              <w:rPr>
                <w:lang w:val="en-GB"/>
              </w:rPr>
            </w:pPr>
            <w:r w:rsidRPr="00675B09">
              <w:rPr>
                <w:lang w:val="en-GB"/>
              </w:rPr>
              <w:t>Overall</w:t>
            </w:r>
          </w:p>
        </w:tc>
        <w:tc>
          <w:tcPr>
            <w:tcW w:w="851" w:type="dxa"/>
            <w:vAlign w:val="center"/>
          </w:tcPr>
          <w:p w14:paraId="2CF7F5BD" w14:textId="4C2D168A" w:rsidR="002814F0" w:rsidRPr="00675B09" w:rsidRDefault="000114B8" w:rsidP="00965BC3">
            <w:pPr>
              <w:widowControl/>
              <w:ind w:right="0"/>
              <w:jc w:val="center"/>
              <w:rPr>
                <w:lang w:val="en-GB"/>
              </w:rPr>
            </w:pPr>
            <w:r w:rsidRPr="00675B09">
              <w:rPr>
                <w:lang w:val="en-GB"/>
              </w:rPr>
              <w:t>1683</w:t>
            </w:r>
          </w:p>
        </w:tc>
        <w:tc>
          <w:tcPr>
            <w:tcW w:w="1276" w:type="dxa"/>
            <w:vAlign w:val="center"/>
          </w:tcPr>
          <w:p w14:paraId="3F9B1B24" w14:textId="78C684EB" w:rsidR="002814F0" w:rsidRPr="00675B09" w:rsidRDefault="000114B8" w:rsidP="00965BC3">
            <w:pPr>
              <w:widowControl/>
              <w:ind w:right="0"/>
              <w:jc w:val="center"/>
              <w:rPr>
                <w:lang w:val="en-GB"/>
              </w:rPr>
            </w:pPr>
            <w:r w:rsidRPr="00675B09">
              <w:rPr>
                <w:lang w:val="en-GB"/>
              </w:rPr>
              <w:t>37,120</w:t>
            </w:r>
          </w:p>
        </w:tc>
        <w:tc>
          <w:tcPr>
            <w:tcW w:w="1275" w:type="dxa"/>
            <w:vAlign w:val="center"/>
          </w:tcPr>
          <w:p w14:paraId="3C6D18DB" w14:textId="77777777" w:rsidR="002814F0" w:rsidRPr="00675B09" w:rsidRDefault="002814F0" w:rsidP="00965BC3">
            <w:pPr>
              <w:widowControl/>
              <w:ind w:right="0"/>
              <w:jc w:val="center"/>
              <w:rPr>
                <w:lang w:val="en-GB"/>
              </w:rPr>
            </w:pPr>
            <w:r w:rsidRPr="00675B09">
              <w:rPr>
                <w:lang w:val="en-GB"/>
              </w:rPr>
              <w:t>38%</w:t>
            </w:r>
          </w:p>
        </w:tc>
        <w:tc>
          <w:tcPr>
            <w:tcW w:w="1134" w:type="dxa"/>
            <w:vAlign w:val="center"/>
          </w:tcPr>
          <w:p w14:paraId="405F6F29" w14:textId="77777777" w:rsidR="002814F0" w:rsidRPr="00675B09" w:rsidRDefault="002814F0" w:rsidP="00965BC3">
            <w:pPr>
              <w:widowControl/>
              <w:ind w:right="0"/>
              <w:jc w:val="center"/>
              <w:rPr>
                <w:lang w:val="en-GB"/>
              </w:rPr>
            </w:pPr>
            <w:r w:rsidRPr="00675B09">
              <w:rPr>
                <w:lang w:val="en-GB"/>
              </w:rPr>
              <w:t>51%</w:t>
            </w:r>
          </w:p>
        </w:tc>
        <w:tc>
          <w:tcPr>
            <w:tcW w:w="1276" w:type="dxa"/>
            <w:vAlign w:val="center"/>
          </w:tcPr>
          <w:p w14:paraId="28385D6D" w14:textId="77777777" w:rsidR="002814F0" w:rsidRPr="00675B09" w:rsidRDefault="002814F0" w:rsidP="00965BC3">
            <w:pPr>
              <w:widowControl/>
              <w:ind w:right="0"/>
              <w:jc w:val="center"/>
              <w:rPr>
                <w:lang w:val="en-GB"/>
              </w:rPr>
            </w:pPr>
            <w:r w:rsidRPr="00675B09">
              <w:rPr>
                <w:lang w:val="en-GB"/>
              </w:rPr>
              <w:t>39%</w:t>
            </w:r>
          </w:p>
        </w:tc>
        <w:tc>
          <w:tcPr>
            <w:tcW w:w="1134" w:type="dxa"/>
            <w:vAlign w:val="center"/>
          </w:tcPr>
          <w:p w14:paraId="1564D6CC" w14:textId="77777777" w:rsidR="002814F0" w:rsidRPr="00675B09" w:rsidRDefault="002814F0" w:rsidP="00965BC3">
            <w:pPr>
              <w:widowControl/>
              <w:ind w:right="0"/>
              <w:jc w:val="center"/>
              <w:rPr>
                <w:lang w:val="en-GB"/>
              </w:rPr>
            </w:pPr>
            <w:r w:rsidRPr="00675B09">
              <w:rPr>
                <w:lang w:val="en-GB"/>
              </w:rPr>
              <w:t>14%</w:t>
            </w:r>
          </w:p>
        </w:tc>
        <w:tc>
          <w:tcPr>
            <w:tcW w:w="1559" w:type="dxa"/>
            <w:vAlign w:val="center"/>
          </w:tcPr>
          <w:p w14:paraId="58910C6D" w14:textId="77777777" w:rsidR="002814F0" w:rsidRPr="00675B09" w:rsidRDefault="002814F0" w:rsidP="00965BC3">
            <w:pPr>
              <w:widowControl/>
              <w:ind w:right="0"/>
              <w:jc w:val="center"/>
              <w:rPr>
                <w:lang w:val="en-GB"/>
              </w:rPr>
            </w:pPr>
            <w:r w:rsidRPr="00675B09">
              <w:rPr>
                <w:lang w:val="en-GB"/>
              </w:rPr>
              <w:t>3% (2-4%)</w:t>
            </w:r>
          </w:p>
        </w:tc>
        <w:tc>
          <w:tcPr>
            <w:tcW w:w="1701" w:type="dxa"/>
            <w:vAlign w:val="center"/>
          </w:tcPr>
          <w:p w14:paraId="4F9693E7" w14:textId="77777777" w:rsidR="002814F0" w:rsidRPr="00675B09" w:rsidRDefault="002814F0" w:rsidP="00965BC3">
            <w:pPr>
              <w:widowControl/>
              <w:ind w:right="0"/>
              <w:jc w:val="center"/>
              <w:rPr>
                <w:lang w:val="en-GB"/>
              </w:rPr>
            </w:pPr>
            <w:r w:rsidRPr="00675B09">
              <w:rPr>
                <w:lang w:val="en-GB"/>
              </w:rPr>
              <w:t>9% (8-10%)</w:t>
            </w:r>
          </w:p>
        </w:tc>
        <w:tc>
          <w:tcPr>
            <w:tcW w:w="1636" w:type="dxa"/>
            <w:vAlign w:val="center"/>
          </w:tcPr>
          <w:p w14:paraId="5EB4EABE" w14:textId="77777777" w:rsidR="002814F0" w:rsidRPr="00675B09" w:rsidRDefault="002814F0" w:rsidP="00965BC3">
            <w:pPr>
              <w:widowControl/>
              <w:ind w:right="0"/>
              <w:jc w:val="center"/>
              <w:rPr>
                <w:lang w:val="en-GB"/>
              </w:rPr>
            </w:pPr>
            <w:r w:rsidRPr="00675B09">
              <w:rPr>
                <w:lang w:val="en-GB"/>
              </w:rPr>
              <w:t>11% (9-13%)</w:t>
            </w:r>
          </w:p>
        </w:tc>
        <w:tc>
          <w:tcPr>
            <w:tcW w:w="1483" w:type="dxa"/>
            <w:vAlign w:val="center"/>
          </w:tcPr>
          <w:p w14:paraId="5D9E7574" w14:textId="77777777" w:rsidR="002814F0" w:rsidRPr="00675B09" w:rsidRDefault="002814F0" w:rsidP="00965BC3">
            <w:pPr>
              <w:widowControl/>
              <w:ind w:right="0"/>
              <w:jc w:val="center"/>
              <w:rPr>
                <w:lang w:val="en-GB"/>
              </w:rPr>
            </w:pPr>
            <w:r w:rsidRPr="00675B09">
              <w:rPr>
                <w:lang w:val="en-GB"/>
              </w:rPr>
              <w:t>6% (5-6%)</w:t>
            </w:r>
          </w:p>
        </w:tc>
        <w:tc>
          <w:tcPr>
            <w:tcW w:w="1559" w:type="dxa"/>
            <w:vAlign w:val="center"/>
          </w:tcPr>
          <w:p w14:paraId="230CDBB4" w14:textId="77777777" w:rsidR="002814F0" w:rsidRPr="00675B09" w:rsidRDefault="002814F0" w:rsidP="00965BC3">
            <w:pPr>
              <w:widowControl/>
              <w:ind w:right="0"/>
              <w:jc w:val="center"/>
              <w:rPr>
                <w:lang w:val="en-GB"/>
              </w:rPr>
            </w:pPr>
            <w:r w:rsidRPr="00675B09">
              <w:rPr>
                <w:lang w:val="en-GB"/>
              </w:rPr>
              <w:t>80% (79-82%)</w:t>
            </w:r>
          </w:p>
        </w:tc>
      </w:tr>
      <w:tr w:rsidR="00675B09" w:rsidRPr="00675B09" w14:paraId="482A77A3" w14:textId="77777777" w:rsidTr="00C402B7">
        <w:trPr>
          <w:trHeight w:val="292"/>
          <w:jc w:val="center"/>
        </w:trPr>
        <w:tc>
          <w:tcPr>
            <w:tcW w:w="16018" w:type="dxa"/>
            <w:gridSpan w:val="12"/>
            <w:shd w:val="clear" w:color="auto" w:fill="F2F2F2" w:themeFill="background1" w:themeFillShade="F2"/>
            <w:vAlign w:val="center"/>
          </w:tcPr>
          <w:p w14:paraId="4564D41F" w14:textId="77777777" w:rsidR="002814F0" w:rsidRPr="00675B09" w:rsidRDefault="002814F0" w:rsidP="00965BC3">
            <w:pPr>
              <w:widowControl/>
              <w:ind w:right="0"/>
              <w:jc w:val="center"/>
              <w:rPr>
                <w:b/>
                <w:bCs/>
                <w:lang w:val="en-GB"/>
              </w:rPr>
            </w:pPr>
            <w:r w:rsidRPr="00675B09">
              <w:rPr>
                <w:b/>
                <w:bCs/>
                <w:lang w:val="en-GB"/>
              </w:rPr>
              <w:t>By age group</w:t>
            </w:r>
          </w:p>
        </w:tc>
      </w:tr>
      <w:tr w:rsidR="00675B09" w:rsidRPr="00675B09" w14:paraId="6AC98762" w14:textId="77777777" w:rsidTr="00C402B7">
        <w:trPr>
          <w:trHeight w:val="292"/>
          <w:jc w:val="center"/>
        </w:trPr>
        <w:tc>
          <w:tcPr>
            <w:tcW w:w="1134" w:type="dxa"/>
            <w:vAlign w:val="center"/>
          </w:tcPr>
          <w:p w14:paraId="203C81E8" w14:textId="77777777" w:rsidR="002814F0" w:rsidRPr="00675B09" w:rsidRDefault="002814F0" w:rsidP="00965BC3">
            <w:pPr>
              <w:widowControl/>
              <w:ind w:right="0"/>
              <w:jc w:val="center"/>
              <w:rPr>
                <w:lang w:val="en-GB"/>
              </w:rPr>
            </w:pPr>
            <w:r w:rsidRPr="00675B09">
              <w:rPr>
                <w:lang w:val="en-GB"/>
              </w:rPr>
              <w:t>All diagnoses (&lt;18 years old)</w:t>
            </w:r>
          </w:p>
        </w:tc>
        <w:tc>
          <w:tcPr>
            <w:tcW w:w="851" w:type="dxa"/>
            <w:vAlign w:val="center"/>
          </w:tcPr>
          <w:p w14:paraId="4C506504" w14:textId="77777777" w:rsidR="002814F0" w:rsidRPr="00675B09" w:rsidRDefault="002814F0" w:rsidP="00965BC3">
            <w:pPr>
              <w:widowControl/>
              <w:ind w:right="0"/>
              <w:jc w:val="center"/>
              <w:rPr>
                <w:lang w:val="en-GB"/>
              </w:rPr>
            </w:pPr>
            <w:r w:rsidRPr="00675B09">
              <w:rPr>
                <w:lang w:val="en-GB"/>
              </w:rPr>
              <w:t>312</w:t>
            </w:r>
          </w:p>
        </w:tc>
        <w:tc>
          <w:tcPr>
            <w:tcW w:w="1276" w:type="dxa"/>
            <w:vAlign w:val="center"/>
          </w:tcPr>
          <w:p w14:paraId="43402C16" w14:textId="77777777" w:rsidR="002814F0" w:rsidRPr="00675B09" w:rsidRDefault="002814F0" w:rsidP="00965BC3">
            <w:pPr>
              <w:widowControl/>
              <w:ind w:right="0"/>
              <w:jc w:val="center"/>
              <w:rPr>
                <w:lang w:val="en-GB"/>
              </w:rPr>
            </w:pPr>
            <w:r w:rsidRPr="00675B09">
              <w:rPr>
                <w:lang w:val="en-GB"/>
              </w:rPr>
              <w:t>31205</w:t>
            </w:r>
          </w:p>
        </w:tc>
        <w:tc>
          <w:tcPr>
            <w:tcW w:w="1275" w:type="dxa"/>
            <w:vAlign w:val="center"/>
          </w:tcPr>
          <w:p w14:paraId="0FE81579" w14:textId="77777777" w:rsidR="002814F0" w:rsidRPr="00675B09" w:rsidRDefault="002814F0" w:rsidP="00965BC3">
            <w:pPr>
              <w:widowControl/>
              <w:ind w:right="0"/>
              <w:jc w:val="center"/>
              <w:rPr>
                <w:lang w:val="en-GB"/>
              </w:rPr>
            </w:pPr>
            <w:r w:rsidRPr="00675B09">
              <w:rPr>
                <w:lang w:val="en-GB"/>
              </w:rPr>
              <w:t>46%</w:t>
            </w:r>
          </w:p>
        </w:tc>
        <w:tc>
          <w:tcPr>
            <w:tcW w:w="1134" w:type="dxa"/>
            <w:vAlign w:val="center"/>
          </w:tcPr>
          <w:p w14:paraId="558C6F63" w14:textId="77777777" w:rsidR="002814F0" w:rsidRPr="00675B09" w:rsidRDefault="002814F0" w:rsidP="00965BC3">
            <w:pPr>
              <w:widowControl/>
              <w:ind w:right="0"/>
              <w:jc w:val="center"/>
              <w:rPr>
                <w:lang w:val="en-GB"/>
              </w:rPr>
            </w:pPr>
            <w:r w:rsidRPr="00675B09">
              <w:rPr>
                <w:lang w:val="en-GB"/>
              </w:rPr>
              <w:t>36%</w:t>
            </w:r>
          </w:p>
        </w:tc>
        <w:tc>
          <w:tcPr>
            <w:tcW w:w="1276" w:type="dxa"/>
            <w:vAlign w:val="center"/>
          </w:tcPr>
          <w:p w14:paraId="079A1E28" w14:textId="77777777" w:rsidR="002814F0" w:rsidRPr="00675B09" w:rsidRDefault="002814F0" w:rsidP="00965BC3">
            <w:pPr>
              <w:widowControl/>
              <w:ind w:right="0"/>
              <w:jc w:val="center"/>
              <w:rPr>
                <w:lang w:val="en-GB"/>
              </w:rPr>
            </w:pPr>
            <w:r w:rsidRPr="00675B09">
              <w:rPr>
                <w:lang w:val="en-GB"/>
              </w:rPr>
              <w:t>38%</w:t>
            </w:r>
          </w:p>
        </w:tc>
        <w:tc>
          <w:tcPr>
            <w:tcW w:w="1134" w:type="dxa"/>
            <w:vAlign w:val="center"/>
          </w:tcPr>
          <w:p w14:paraId="3E839B4E" w14:textId="77777777" w:rsidR="002814F0" w:rsidRPr="00675B09" w:rsidRDefault="002814F0" w:rsidP="00965BC3">
            <w:pPr>
              <w:widowControl/>
              <w:ind w:right="0"/>
              <w:jc w:val="center"/>
              <w:rPr>
                <w:lang w:val="en-GB"/>
              </w:rPr>
            </w:pPr>
            <w:r w:rsidRPr="00675B09">
              <w:rPr>
                <w:lang w:val="en-GB"/>
              </w:rPr>
              <w:t>21%</w:t>
            </w:r>
          </w:p>
        </w:tc>
        <w:tc>
          <w:tcPr>
            <w:tcW w:w="1559" w:type="dxa"/>
            <w:vAlign w:val="center"/>
          </w:tcPr>
          <w:p w14:paraId="59E9D0B5" w14:textId="77777777" w:rsidR="002814F0" w:rsidRPr="00675B09" w:rsidRDefault="002814F0" w:rsidP="00965BC3">
            <w:pPr>
              <w:widowControl/>
              <w:ind w:right="0"/>
              <w:jc w:val="center"/>
              <w:rPr>
                <w:lang w:val="en-GB"/>
              </w:rPr>
            </w:pPr>
            <w:r w:rsidRPr="00675B09">
              <w:rPr>
                <w:lang w:val="en-GB"/>
              </w:rPr>
              <w:t>4% (3-6%)</w:t>
            </w:r>
          </w:p>
        </w:tc>
        <w:tc>
          <w:tcPr>
            <w:tcW w:w="1701" w:type="dxa"/>
            <w:vAlign w:val="center"/>
          </w:tcPr>
          <w:p w14:paraId="79F893A1" w14:textId="77777777" w:rsidR="002814F0" w:rsidRPr="00675B09" w:rsidRDefault="002814F0" w:rsidP="00965BC3">
            <w:pPr>
              <w:widowControl/>
              <w:ind w:right="0"/>
              <w:jc w:val="center"/>
              <w:rPr>
                <w:lang w:val="en-GB"/>
              </w:rPr>
            </w:pPr>
            <w:r w:rsidRPr="00675B09">
              <w:rPr>
                <w:lang w:val="en-GB"/>
              </w:rPr>
              <w:t>9% (7-11%)</w:t>
            </w:r>
          </w:p>
        </w:tc>
        <w:tc>
          <w:tcPr>
            <w:tcW w:w="1636" w:type="dxa"/>
            <w:vAlign w:val="center"/>
          </w:tcPr>
          <w:p w14:paraId="50448C8F" w14:textId="77777777" w:rsidR="002814F0" w:rsidRPr="00675B09" w:rsidRDefault="002814F0" w:rsidP="00965BC3">
            <w:pPr>
              <w:widowControl/>
              <w:ind w:right="0"/>
              <w:jc w:val="center"/>
              <w:rPr>
                <w:lang w:val="en-GB"/>
              </w:rPr>
            </w:pPr>
            <w:r w:rsidRPr="00675B09">
              <w:rPr>
                <w:lang w:val="en-GB"/>
              </w:rPr>
              <w:t>15% (11-19%)</w:t>
            </w:r>
          </w:p>
        </w:tc>
        <w:tc>
          <w:tcPr>
            <w:tcW w:w="1483" w:type="dxa"/>
            <w:vAlign w:val="center"/>
          </w:tcPr>
          <w:p w14:paraId="70D13A90" w14:textId="77777777" w:rsidR="002814F0" w:rsidRPr="00675B09" w:rsidRDefault="002814F0" w:rsidP="00965BC3">
            <w:pPr>
              <w:widowControl/>
              <w:ind w:right="0"/>
              <w:jc w:val="center"/>
              <w:rPr>
                <w:lang w:val="en-GB"/>
              </w:rPr>
            </w:pPr>
            <w:r w:rsidRPr="00675B09">
              <w:rPr>
                <w:lang w:val="en-GB"/>
              </w:rPr>
              <w:t>7% (6-8%)</w:t>
            </w:r>
          </w:p>
        </w:tc>
        <w:tc>
          <w:tcPr>
            <w:tcW w:w="1559" w:type="dxa"/>
            <w:vAlign w:val="center"/>
          </w:tcPr>
          <w:p w14:paraId="25C0A6BE" w14:textId="77777777" w:rsidR="002814F0" w:rsidRPr="00675B09" w:rsidRDefault="002814F0" w:rsidP="00965BC3">
            <w:pPr>
              <w:widowControl/>
              <w:ind w:right="0"/>
              <w:jc w:val="center"/>
              <w:rPr>
                <w:lang w:val="en-GB"/>
              </w:rPr>
            </w:pPr>
            <w:r w:rsidRPr="00675B09">
              <w:rPr>
                <w:lang w:val="en-GB"/>
              </w:rPr>
              <w:t>77% (74-80%)</w:t>
            </w:r>
          </w:p>
        </w:tc>
      </w:tr>
      <w:tr w:rsidR="00675B09" w:rsidRPr="00675B09" w14:paraId="128FFD31" w14:textId="77777777" w:rsidTr="00C402B7">
        <w:trPr>
          <w:trHeight w:val="292"/>
          <w:jc w:val="center"/>
        </w:trPr>
        <w:tc>
          <w:tcPr>
            <w:tcW w:w="1134" w:type="dxa"/>
            <w:vAlign w:val="center"/>
          </w:tcPr>
          <w:p w14:paraId="505BBBED" w14:textId="77777777" w:rsidR="002814F0" w:rsidRPr="00675B09" w:rsidRDefault="002814F0" w:rsidP="00965BC3">
            <w:pPr>
              <w:widowControl/>
              <w:ind w:right="0"/>
              <w:jc w:val="center"/>
              <w:rPr>
                <w:lang w:val="en-GB"/>
              </w:rPr>
            </w:pPr>
            <w:r w:rsidRPr="00675B09">
              <w:rPr>
                <w:lang w:val="en-GB"/>
              </w:rPr>
              <w:t>All diagnoses (18+ years old)</w:t>
            </w:r>
          </w:p>
        </w:tc>
        <w:tc>
          <w:tcPr>
            <w:tcW w:w="851" w:type="dxa"/>
            <w:vAlign w:val="center"/>
          </w:tcPr>
          <w:p w14:paraId="6A4560B7" w14:textId="77777777" w:rsidR="002814F0" w:rsidRPr="00675B09" w:rsidRDefault="002814F0" w:rsidP="00965BC3">
            <w:pPr>
              <w:widowControl/>
              <w:ind w:right="0"/>
              <w:jc w:val="center"/>
              <w:rPr>
                <w:lang w:val="en-GB"/>
              </w:rPr>
            </w:pPr>
            <w:r w:rsidRPr="00675B09">
              <w:rPr>
                <w:lang w:val="en-GB"/>
              </w:rPr>
              <w:t>1363</w:t>
            </w:r>
          </w:p>
        </w:tc>
        <w:tc>
          <w:tcPr>
            <w:tcW w:w="1276" w:type="dxa"/>
            <w:vAlign w:val="center"/>
          </w:tcPr>
          <w:p w14:paraId="029C42B9" w14:textId="77777777" w:rsidR="002814F0" w:rsidRPr="00675B09" w:rsidRDefault="002814F0" w:rsidP="00965BC3">
            <w:pPr>
              <w:widowControl/>
              <w:ind w:right="0"/>
              <w:jc w:val="center"/>
              <w:rPr>
                <w:lang w:val="en-GB"/>
              </w:rPr>
            </w:pPr>
            <w:r w:rsidRPr="00675B09">
              <w:rPr>
                <w:lang w:val="en-GB"/>
              </w:rPr>
              <w:t>343305</w:t>
            </w:r>
          </w:p>
        </w:tc>
        <w:tc>
          <w:tcPr>
            <w:tcW w:w="1275" w:type="dxa"/>
            <w:vAlign w:val="center"/>
          </w:tcPr>
          <w:p w14:paraId="3FB85872" w14:textId="77777777" w:rsidR="002814F0" w:rsidRPr="00675B09" w:rsidRDefault="002814F0" w:rsidP="00965BC3">
            <w:pPr>
              <w:widowControl/>
              <w:ind w:right="0"/>
              <w:jc w:val="center"/>
              <w:rPr>
                <w:lang w:val="en-GB"/>
              </w:rPr>
            </w:pPr>
            <w:r w:rsidRPr="00675B09">
              <w:rPr>
                <w:lang w:val="en-GB"/>
              </w:rPr>
              <w:t>36%</w:t>
            </w:r>
          </w:p>
        </w:tc>
        <w:tc>
          <w:tcPr>
            <w:tcW w:w="1134" w:type="dxa"/>
            <w:vAlign w:val="center"/>
          </w:tcPr>
          <w:p w14:paraId="1E25F1D3" w14:textId="77777777" w:rsidR="002814F0" w:rsidRPr="00675B09" w:rsidRDefault="002814F0" w:rsidP="00965BC3">
            <w:pPr>
              <w:widowControl/>
              <w:ind w:right="0"/>
              <w:jc w:val="center"/>
              <w:rPr>
                <w:lang w:val="en-GB"/>
              </w:rPr>
            </w:pPr>
            <w:r w:rsidRPr="00675B09">
              <w:rPr>
                <w:lang w:val="en-GB"/>
              </w:rPr>
              <w:t>55%</w:t>
            </w:r>
          </w:p>
        </w:tc>
        <w:tc>
          <w:tcPr>
            <w:tcW w:w="1276" w:type="dxa"/>
            <w:vAlign w:val="center"/>
          </w:tcPr>
          <w:p w14:paraId="30BADF0E" w14:textId="77777777" w:rsidR="002814F0" w:rsidRPr="00675B09" w:rsidRDefault="002814F0" w:rsidP="00965BC3">
            <w:pPr>
              <w:widowControl/>
              <w:ind w:right="0"/>
              <w:jc w:val="center"/>
              <w:rPr>
                <w:lang w:val="en-GB"/>
              </w:rPr>
            </w:pPr>
            <w:r w:rsidRPr="00675B09">
              <w:rPr>
                <w:lang w:val="en-GB"/>
              </w:rPr>
              <w:t>40%</w:t>
            </w:r>
          </w:p>
        </w:tc>
        <w:tc>
          <w:tcPr>
            <w:tcW w:w="1134" w:type="dxa"/>
            <w:vAlign w:val="center"/>
          </w:tcPr>
          <w:p w14:paraId="0C0BE6CB" w14:textId="77777777" w:rsidR="002814F0" w:rsidRPr="00675B09" w:rsidRDefault="002814F0" w:rsidP="00965BC3">
            <w:pPr>
              <w:widowControl/>
              <w:ind w:right="0"/>
              <w:jc w:val="center"/>
              <w:rPr>
                <w:lang w:val="en-GB"/>
              </w:rPr>
            </w:pPr>
            <w:r w:rsidRPr="00675B09">
              <w:rPr>
                <w:lang w:val="en-GB"/>
              </w:rPr>
              <w:t>12%</w:t>
            </w:r>
          </w:p>
        </w:tc>
        <w:tc>
          <w:tcPr>
            <w:tcW w:w="1559" w:type="dxa"/>
            <w:vAlign w:val="center"/>
          </w:tcPr>
          <w:p w14:paraId="3FA1B0E5" w14:textId="77777777" w:rsidR="002814F0" w:rsidRPr="00675B09" w:rsidRDefault="002814F0" w:rsidP="00965BC3">
            <w:pPr>
              <w:widowControl/>
              <w:ind w:right="0"/>
              <w:jc w:val="center"/>
              <w:rPr>
                <w:lang w:val="en-GB"/>
              </w:rPr>
            </w:pPr>
            <w:r w:rsidRPr="00675B09">
              <w:rPr>
                <w:lang w:val="en-GB"/>
              </w:rPr>
              <w:t>3% (2-3%)</w:t>
            </w:r>
          </w:p>
        </w:tc>
        <w:tc>
          <w:tcPr>
            <w:tcW w:w="1701" w:type="dxa"/>
            <w:vAlign w:val="center"/>
          </w:tcPr>
          <w:p w14:paraId="390C0F0B" w14:textId="77777777" w:rsidR="002814F0" w:rsidRPr="00675B09" w:rsidRDefault="002814F0" w:rsidP="00965BC3">
            <w:pPr>
              <w:widowControl/>
              <w:ind w:right="0"/>
              <w:jc w:val="center"/>
              <w:rPr>
                <w:lang w:val="en-GB"/>
              </w:rPr>
            </w:pPr>
            <w:r w:rsidRPr="00675B09">
              <w:rPr>
                <w:lang w:val="en-GB"/>
              </w:rPr>
              <w:t>9% (8-10%)</w:t>
            </w:r>
          </w:p>
        </w:tc>
        <w:tc>
          <w:tcPr>
            <w:tcW w:w="1636" w:type="dxa"/>
            <w:vAlign w:val="center"/>
          </w:tcPr>
          <w:p w14:paraId="1EA9E846" w14:textId="77777777" w:rsidR="002814F0" w:rsidRPr="00675B09" w:rsidRDefault="002814F0" w:rsidP="00965BC3">
            <w:pPr>
              <w:widowControl/>
              <w:ind w:right="0"/>
              <w:jc w:val="center"/>
              <w:rPr>
                <w:lang w:val="en-GB"/>
              </w:rPr>
            </w:pPr>
            <w:r w:rsidRPr="00675B09">
              <w:rPr>
                <w:lang w:val="en-GB"/>
              </w:rPr>
              <w:t>10% (8-13%)</w:t>
            </w:r>
          </w:p>
        </w:tc>
        <w:tc>
          <w:tcPr>
            <w:tcW w:w="1483" w:type="dxa"/>
            <w:vAlign w:val="center"/>
          </w:tcPr>
          <w:p w14:paraId="77407FA5" w14:textId="77777777" w:rsidR="002814F0" w:rsidRPr="00675B09" w:rsidRDefault="002814F0" w:rsidP="00965BC3">
            <w:pPr>
              <w:widowControl/>
              <w:ind w:right="0"/>
              <w:jc w:val="center"/>
              <w:rPr>
                <w:lang w:val="en-GB"/>
              </w:rPr>
            </w:pPr>
            <w:r w:rsidRPr="00675B09">
              <w:rPr>
                <w:lang w:val="en-GB"/>
              </w:rPr>
              <w:t>5% (5-6%)</w:t>
            </w:r>
          </w:p>
        </w:tc>
        <w:tc>
          <w:tcPr>
            <w:tcW w:w="1559" w:type="dxa"/>
            <w:vAlign w:val="center"/>
          </w:tcPr>
          <w:p w14:paraId="006DE251" w14:textId="77777777" w:rsidR="002814F0" w:rsidRPr="00675B09" w:rsidRDefault="002814F0" w:rsidP="00965BC3">
            <w:pPr>
              <w:widowControl/>
              <w:ind w:right="0"/>
              <w:jc w:val="center"/>
              <w:rPr>
                <w:lang w:val="en-GB"/>
              </w:rPr>
            </w:pPr>
            <w:r w:rsidRPr="00675B09">
              <w:rPr>
                <w:lang w:val="en-GB"/>
              </w:rPr>
              <w:t>81% (79-82%)</w:t>
            </w:r>
          </w:p>
        </w:tc>
      </w:tr>
      <w:tr w:rsidR="00675B09" w:rsidRPr="00675B09" w14:paraId="12281ED1" w14:textId="77777777" w:rsidTr="00C402B7">
        <w:trPr>
          <w:trHeight w:val="292"/>
          <w:jc w:val="center"/>
        </w:trPr>
        <w:tc>
          <w:tcPr>
            <w:tcW w:w="16018" w:type="dxa"/>
            <w:gridSpan w:val="12"/>
            <w:shd w:val="clear" w:color="auto" w:fill="F2F2F2" w:themeFill="background1" w:themeFillShade="F2"/>
            <w:vAlign w:val="center"/>
          </w:tcPr>
          <w:p w14:paraId="38F10A62" w14:textId="77777777" w:rsidR="002814F0" w:rsidRPr="00675B09" w:rsidRDefault="002814F0" w:rsidP="00965BC3">
            <w:pPr>
              <w:widowControl/>
              <w:ind w:right="0"/>
              <w:jc w:val="center"/>
              <w:rPr>
                <w:b/>
                <w:bCs/>
                <w:lang w:val="en-GB"/>
              </w:rPr>
            </w:pPr>
            <w:r w:rsidRPr="00675B09">
              <w:rPr>
                <w:b/>
                <w:bCs/>
                <w:lang w:val="en-GB"/>
              </w:rPr>
              <w:t>By disorder</w:t>
            </w:r>
          </w:p>
        </w:tc>
      </w:tr>
      <w:tr w:rsidR="00675B09" w:rsidRPr="00675B09" w14:paraId="6C21A0A6" w14:textId="77777777" w:rsidTr="00C402B7">
        <w:trPr>
          <w:trHeight w:val="292"/>
          <w:jc w:val="center"/>
        </w:trPr>
        <w:tc>
          <w:tcPr>
            <w:tcW w:w="1134" w:type="dxa"/>
            <w:vAlign w:val="center"/>
          </w:tcPr>
          <w:p w14:paraId="2833058E" w14:textId="77777777" w:rsidR="002814F0" w:rsidRPr="00675B09" w:rsidRDefault="002814F0" w:rsidP="00965BC3">
            <w:pPr>
              <w:widowControl/>
              <w:ind w:right="0"/>
              <w:jc w:val="center"/>
              <w:rPr>
                <w:lang w:val="en-GB"/>
              </w:rPr>
            </w:pPr>
            <w:r w:rsidRPr="00675B09">
              <w:rPr>
                <w:lang w:val="en-GB"/>
              </w:rPr>
              <w:t>ADHD (&lt;18)</w:t>
            </w:r>
          </w:p>
        </w:tc>
        <w:tc>
          <w:tcPr>
            <w:tcW w:w="851" w:type="dxa"/>
            <w:vAlign w:val="center"/>
          </w:tcPr>
          <w:p w14:paraId="4868D2F4" w14:textId="77777777" w:rsidR="002814F0" w:rsidRPr="00675B09" w:rsidRDefault="002814F0" w:rsidP="00965BC3">
            <w:pPr>
              <w:widowControl/>
              <w:ind w:right="0"/>
              <w:jc w:val="center"/>
              <w:rPr>
                <w:lang w:val="en-GB"/>
              </w:rPr>
            </w:pPr>
            <w:r w:rsidRPr="00675B09">
              <w:rPr>
                <w:lang w:val="en-GB"/>
              </w:rPr>
              <w:t>23</w:t>
            </w:r>
          </w:p>
        </w:tc>
        <w:tc>
          <w:tcPr>
            <w:tcW w:w="1276" w:type="dxa"/>
            <w:vAlign w:val="center"/>
          </w:tcPr>
          <w:p w14:paraId="7871C795" w14:textId="77777777" w:rsidR="002814F0" w:rsidRPr="00675B09" w:rsidRDefault="002814F0" w:rsidP="00965BC3">
            <w:pPr>
              <w:widowControl/>
              <w:ind w:right="0"/>
              <w:jc w:val="center"/>
              <w:rPr>
                <w:lang w:val="en-GB"/>
              </w:rPr>
            </w:pPr>
            <w:r w:rsidRPr="00675B09">
              <w:rPr>
                <w:lang w:val="en-GB"/>
              </w:rPr>
              <w:t>7028</w:t>
            </w:r>
          </w:p>
        </w:tc>
        <w:tc>
          <w:tcPr>
            <w:tcW w:w="1275" w:type="dxa"/>
            <w:vAlign w:val="center"/>
          </w:tcPr>
          <w:p w14:paraId="4002A361" w14:textId="77777777" w:rsidR="002814F0" w:rsidRPr="00675B09" w:rsidRDefault="002814F0" w:rsidP="00965BC3">
            <w:pPr>
              <w:widowControl/>
              <w:ind w:right="0"/>
              <w:jc w:val="center"/>
              <w:rPr>
                <w:lang w:val="en-GB"/>
              </w:rPr>
            </w:pPr>
            <w:r w:rsidRPr="00675B09">
              <w:rPr>
                <w:lang w:val="en-GB"/>
              </w:rPr>
              <w:t>39%</w:t>
            </w:r>
          </w:p>
        </w:tc>
        <w:tc>
          <w:tcPr>
            <w:tcW w:w="1134" w:type="dxa"/>
            <w:vAlign w:val="center"/>
          </w:tcPr>
          <w:p w14:paraId="40428AA4" w14:textId="77777777" w:rsidR="002814F0" w:rsidRPr="00675B09" w:rsidRDefault="002814F0" w:rsidP="00965BC3">
            <w:pPr>
              <w:widowControl/>
              <w:ind w:right="0"/>
              <w:jc w:val="center"/>
              <w:rPr>
                <w:lang w:val="en-GB"/>
              </w:rPr>
            </w:pPr>
            <w:r w:rsidRPr="00675B09">
              <w:rPr>
                <w:lang w:val="en-GB"/>
              </w:rPr>
              <w:t>43%</w:t>
            </w:r>
          </w:p>
        </w:tc>
        <w:tc>
          <w:tcPr>
            <w:tcW w:w="1276" w:type="dxa"/>
            <w:vAlign w:val="center"/>
          </w:tcPr>
          <w:p w14:paraId="53CD9D94" w14:textId="77777777" w:rsidR="002814F0" w:rsidRPr="00675B09" w:rsidRDefault="002814F0" w:rsidP="00965BC3">
            <w:pPr>
              <w:widowControl/>
              <w:ind w:right="0"/>
              <w:jc w:val="center"/>
              <w:rPr>
                <w:lang w:val="en-GB"/>
              </w:rPr>
            </w:pPr>
            <w:r w:rsidRPr="00675B09">
              <w:rPr>
                <w:lang w:val="en-GB"/>
              </w:rPr>
              <w:t>39%</w:t>
            </w:r>
          </w:p>
        </w:tc>
        <w:tc>
          <w:tcPr>
            <w:tcW w:w="1134" w:type="dxa"/>
            <w:vAlign w:val="center"/>
          </w:tcPr>
          <w:p w14:paraId="1223151A" w14:textId="77777777" w:rsidR="002814F0" w:rsidRPr="00675B09" w:rsidRDefault="002814F0" w:rsidP="00965BC3">
            <w:pPr>
              <w:widowControl/>
              <w:ind w:right="0"/>
              <w:jc w:val="center"/>
              <w:rPr>
                <w:lang w:val="en-GB"/>
              </w:rPr>
            </w:pPr>
            <w:r w:rsidRPr="00675B09">
              <w:rPr>
                <w:lang w:val="en-GB"/>
              </w:rPr>
              <w:t>39%</w:t>
            </w:r>
          </w:p>
        </w:tc>
        <w:tc>
          <w:tcPr>
            <w:tcW w:w="1559" w:type="dxa"/>
            <w:vAlign w:val="center"/>
          </w:tcPr>
          <w:p w14:paraId="66ED5438" w14:textId="77777777" w:rsidR="002814F0" w:rsidRPr="00675B09" w:rsidRDefault="002814F0" w:rsidP="00965BC3">
            <w:pPr>
              <w:widowControl/>
              <w:ind w:right="0"/>
              <w:jc w:val="center"/>
              <w:rPr>
                <w:lang w:val="en-GB"/>
              </w:rPr>
            </w:pPr>
            <w:r w:rsidRPr="00675B09">
              <w:rPr>
                <w:lang w:val="en-GB"/>
              </w:rPr>
              <w:t>3% (1-7%)</w:t>
            </w:r>
          </w:p>
        </w:tc>
        <w:tc>
          <w:tcPr>
            <w:tcW w:w="1701" w:type="dxa"/>
            <w:vAlign w:val="center"/>
          </w:tcPr>
          <w:p w14:paraId="39C4D703" w14:textId="77777777" w:rsidR="002814F0" w:rsidRPr="00675B09" w:rsidRDefault="002814F0" w:rsidP="00965BC3">
            <w:pPr>
              <w:widowControl/>
              <w:ind w:right="0"/>
              <w:jc w:val="center"/>
              <w:rPr>
                <w:lang w:val="en-GB"/>
              </w:rPr>
            </w:pPr>
            <w:r w:rsidRPr="00675B09">
              <w:rPr>
                <w:lang w:val="en-GB"/>
              </w:rPr>
              <w:t>19% (10-31%)</w:t>
            </w:r>
          </w:p>
        </w:tc>
        <w:tc>
          <w:tcPr>
            <w:tcW w:w="1636" w:type="dxa"/>
            <w:vAlign w:val="center"/>
          </w:tcPr>
          <w:p w14:paraId="4F7972CB" w14:textId="77777777" w:rsidR="002814F0" w:rsidRPr="00675B09" w:rsidRDefault="002814F0" w:rsidP="00965BC3">
            <w:pPr>
              <w:widowControl/>
              <w:ind w:right="0"/>
              <w:jc w:val="center"/>
              <w:rPr>
                <w:lang w:val="en-GB"/>
              </w:rPr>
            </w:pPr>
            <w:r w:rsidRPr="00675B09">
              <w:rPr>
                <w:lang w:val="en-GB"/>
              </w:rPr>
              <w:t>28% (19-38%)</w:t>
            </w:r>
          </w:p>
        </w:tc>
        <w:tc>
          <w:tcPr>
            <w:tcW w:w="1483" w:type="dxa"/>
            <w:vAlign w:val="center"/>
          </w:tcPr>
          <w:p w14:paraId="0135B462" w14:textId="77777777" w:rsidR="002814F0" w:rsidRPr="00675B09" w:rsidRDefault="002814F0" w:rsidP="00965BC3">
            <w:pPr>
              <w:widowControl/>
              <w:ind w:right="0"/>
              <w:jc w:val="center"/>
              <w:rPr>
                <w:lang w:val="en-GB"/>
              </w:rPr>
            </w:pPr>
            <w:r w:rsidRPr="00675B09">
              <w:rPr>
                <w:lang w:val="en-GB"/>
              </w:rPr>
              <w:t>7% (4-12%)</w:t>
            </w:r>
          </w:p>
        </w:tc>
        <w:tc>
          <w:tcPr>
            <w:tcW w:w="1559" w:type="dxa"/>
            <w:vAlign w:val="center"/>
          </w:tcPr>
          <w:p w14:paraId="0455D6E4" w14:textId="77777777" w:rsidR="002814F0" w:rsidRPr="00675B09" w:rsidRDefault="002814F0" w:rsidP="00965BC3">
            <w:pPr>
              <w:widowControl/>
              <w:ind w:right="0"/>
              <w:jc w:val="center"/>
              <w:rPr>
                <w:lang w:val="en-GB"/>
              </w:rPr>
            </w:pPr>
            <w:r w:rsidRPr="00675B09">
              <w:rPr>
                <w:lang w:val="en-GB"/>
              </w:rPr>
              <w:t>72% (58-83%)</w:t>
            </w:r>
          </w:p>
        </w:tc>
      </w:tr>
      <w:tr w:rsidR="00675B09" w:rsidRPr="00675B09" w14:paraId="578FE15F" w14:textId="77777777" w:rsidTr="00C402B7">
        <w:trPr>
          <w:trHeight w:val="292"/>
          <w:jc w:val="center"/>
        </w:trPr>
        <w:tc>
          <w:tcPr>
            <w:tcW w:w="1134" w:type="dxa"/>
            <w:vAlign w:val="center"/>
          </w:tcPr>
          <w:p w14:paraId="611CF201" w14:textId="77777777" w:rsidR="002814F0" w:rsidRPr="00675B09" w:rsidRDefault="002814F0" w:rsidP="00965BC3">
            <w:pPr>
              <w:widowControl/>
              <w:ind w:right="0"/>
              <w:jc w:val="center"/>
              <w:rPr>
                <w:lang w:val="en-GB"/>
              </w:rPr>
            </w:pPr>
            <w:r w:rsidRPr="00675B09">
              <w:rPr>
                <w:lang w:val="en-GB"/>
              </w:rPr>
              <w:t>ADHD (18+)</w:t>
            </w:r>
          </w:p>
        </w:tc>
        <w:tc>
          <w:tcPr>
            <w:tcW w:w="851" w:type="dxa"/>
            <w:vAlign w:val="center"/>
          </w:tcPr>
          <w:p w14:paraId="2E7CE7F5" w14:textId="77777777" w:rsidR="002814F0" w:rsidRPr="00675B09" w:rsidRDefault="002814F0" w:rsidP="00965BC3">
            <w:pPr>
              <w:widowControl/>
              <w:ind w:right="0"/>
              <w:jc w:val="center"/>
              <w:rPr>
                <w:lang w:val="en-GB"/>
              </w:rPr>
            </w:pPr>
            <w:r w:rsidRPr="00675B09">
              <w:rPr>
                <w:lang w:val="en-GB"/>
              </w:rPr>
              <w:t>12</w:t>
            </w:r>
          </w:p>
        </w:tc>
        <w:tc>
          <w:tcPr>
            <w:tcW w:w="1276" w:type="dxa"/>
            <w:vAlign w:val="center"/>
          </w:tcPr>
          <w:p w14:paraId="08DB6272" w14:textId="77777777" w:rsidR="002814F0" w:rsidRPr="00675B09" w:rsidRDefault="002814F0" w:rsidP="00965BC3">
            <w:pPr>
              <w:widowControl/>
              <w:ind w:right="0"/>
              <w:jc w:val="center"/>
              <w:rPr>
                <w:lang w:val="en-GB"/>
              </w:rPr>
            </w:pPr>
            <w:r w:rsidRPr="00675B09">
              <w:rPr>
                <w:lang w:val="en-GB"/>
              </w:rPr>
              <w:t>3570</w:t>
            </w:r>
          </w:p>
        </w:tc>
        <w:tc>
          <w:tcPr>
            <w:tcW w:w="1275" w:type="dxa"/>
            <w:vAlign w:val="center"/>
          </w:tcPr>
          <w:p w14:paraId="635C6AFB" w14:textId="77777777" w:rsidR="002814F0" w:rsidRPr="00675B09" w:rsidRDefault="002814F0" w:rsidP="00965BC3">
            <w:pPr>
              <w:widowControl/>
              <w:ind w:right="0"/>
              <w:jc w:val="center"/>
              <w:rPr>
                <w:lang w:val="en-GB"/>
              </w:rPr>
            </w:pPr>
            <w:r w:rsidRPr="00675B09">
              <w:rPr>
                <w:lang w:val="en-GB"/>
              </w:rPr>
              <w:t>17%</w:t>
            </w:r>
          </w:p>
        </w:tc>
        <w:tc>
          <w:tcPr>
            <w:tcW w:w="1134" w:type="dxa"/>
            <w:vAlign w:val="center"/>
          </w:tcPr>
          <w:p w14:paraId="6B810888" w14:textId="77777777" w:rsidR="002814F0" w:rsidRPr="00675B09" w:rsidRDefault="002814F0" w:rsidP="00965BC3">
            <w:pPr>
              <w:widowControl/>
              <w:ind w:right="0"/>
              <w:jc w:val="center"/>
              <w:rPr>
                <w:lang w:val="en-GB"/>
              </w:rPr>
            </w:pPr>
            <w:r w:rsidRPr="00675B09">
              <w:rPr>
                <w:lang w:val="en-GB"/>
              </w:rPr>
              <w:t>83%</w:t>
            </w:r>
          </w:p>
        </w:tc>
        <w:tc>
          <w:tcPr>
            <w:tcW w:w="1276" w:type="dxa"/>
            <w:vAlign w:val="center"/>
          </w:tcPr>
          <w:p w14:paraId="50313215" w14:textId="77777777" w:rsidR="002814F0" w:rsidRPr="00675B09" w:rsidRDefault="002814F0" w:rsidP="00965BC3">
            <w:pPr>
              <w:widowControl/>
              <w:ind w:right="0"/>
              <w:jc w:val="center"/>
              <w:rPr>
                <w:lang w:val="en-GB"/>
              </w:rPr>
            </w:pPr>
            <w:r w:rsidRPr="00675B09">
              <w:rPr>
                <w:lang w:val="en-GB"/>
              </w:rPr>
              <w:t>58%</w:t>
            </w:r>
          </w:p>
        </w:tc>
        <w:tc>
          <w:tcPr>
            <w:tcW w:w="1134" w:type="dxa"/>
            <w:vAlign w:val="center"/>
          </w:tcPr>
          <w:p w14:paraId="0A5B2008" w14:textId="77777777" w:rsidR="002814F0" w:rsidRPr="00675B09" w:rsidRDefault="002814F0" w:rsidP="00965BC3">
            <w:pPr>
              <w:widowControl/>
              <w:ind w:right="0"/>
              <w:jc w:val="center"/>
              <w:rPr>
                <w:lang w:val="en-GB"/>
              </w:rPr>
            </w:pPr>
            <w:r w:rsidRPr="00675B09">
              <w:rPr>
                <w:lang w:val="en-GB"/>
              </w:rPr>
              <w:t>58%</w:t>
            </w:r>
          </w:p>
        </w:tc>
        <w:tc>
          <w:tcPr>
            <w:tcW w:w="1559" w:type="dxa"/>
            <w:vAlign w:val="center"/>
          </w:tcPr>
          <w:p w14:paraId="64E8828F" w14:textId="77777777" w:rsidR="002814F0" w:rsidRPr="00675B09" w:rsidRDefault="002814F0" w:rsidP="00965BC3">
            <w:pPr>
              <w:widowControl/>
              <w:ind w:right="0"/>
              <w:jc w:val="center"/>
              <w:rPr>
                <w:lang w:val="en-GB"/>
              </w:rPr>
            </w:pPr>
            <w:r w:rsidRPr="00675B09">
              <w:rPr>
                <w:lang w:val="en-GB"/>
              </w:rPr>
              <w:t>3% (2-4%)</w:t>
            </w:r>
          </w:p>
        </w:tc>
        <w:tc>
          <w:tcPr>
            <w:tcW w:w="1701" w:type="dxa"/>
            <w:vAlign w:val="center"/>
          </w:tcPr>
          <w:p w14:paraId="46E595DE" w14:textId="77777777" w:rsidR="002814F0" w:rsidRPr="00675B09" w:rsidRDefault="002814F0" w:rsidP="00965BC3">
            <w:pPr>
              <w:widowControl/>
              <w:ind w:right="0"/>
              <w:jc w:val="center"/>
              <w:rPr>
                <w:lang w:val="en-GB"/>
              </w:rPr>
            </w:pPr>
            <w:r w:rsidRPr="00675B09">
              <w:rPr>
                <w:lang w:val="en-GB"/>
              </w:rPr>
              <w:t>16% (10-24%)</w:t>
            </w:r>
          </w:p>
        </w:tc>
        <w:tc>
          <w:tcPr>
            <w:tcW w:w="1636" w:type="dxa"/>
            <w:vAlign w:val="center"/>
          </w:tcPr>
          <w:p w14:paraId="70B35165" w14:textId="77777777" w:rsidR="002814F0" w:rsidRPr="00675B09" w:rsidRDefault="002814F0" w:rsidP="00965BC3">
            <w:pPr>
              <w:widowControl/>
              <w:ind w:right="0"/>
              <w:jc w:val="center"/>
              <w:rPr>
                <w:lang w:val="en-GB"/>
              </w:rPr>
            </w:pPr>
            <w:r w:rsidRPr="00675B09">
              <w:rPr>
                <w:lang w:val="en-GB"/>
              </w:rPr>
              <w:t>43% (9-76%)</w:t>
            </w:r>
          </w:p>
        </w:tc>
        <w:tc>
          <w:tcPr>
            <w:tcW w:w="1483" w:type="dxa"/>
            <w:vAlign w:val="center"/>
          </w:tcPr>
          <w:p w14:paraId="2A46712D" w14:textId="77777777" w:rsidR="002814F0" w:rsidRPr="00675B09" w:rsidRDefault="002814F0" w:rsidP="00965BC3">
            <w:pPr>
              <w:widowControl/>
              <w:ind w:right="0"/>
              <w:jc w:val="center"/>
              <w:rPr>
                <w:lang w:val="en-GB"/>
              </w:rPr>
            </w:pPr>
            <w:r w:rsidRPr="00675B09">
              <w:rPr>
                <w:lang w:val="en-GB"/>
              </w:rPr>
              <w:t>4% (2-7%)</w:t>
            </w:r>
          </w:p>
        </w:tc>
        <w:tc>
          <w:tcPr>
            <w:tcW w:w="1559" w:type="dxa"/>
            <w:vAlign w:val="center"/>
          </w:tcPr>
          <w:p w14:paraId="6B708AF6" w14:textId="77777777" w:rsidR="002814F0" w:rsidRPr="00675B09" w:rsidRDefault="002814F0" w:rsidP="00965BC3">
            <w:pPr>
              <w:widowControl/>
              <w:ind w:right="0"/>
              <w:jc w:val="center"/>
              <w:rPr>
                <w:lang w:val="en-GB"/>
              </w:rPr>
            </w:pPr>
            <w:r w:rsidRPr="00675B09">
              <w:rPr>
                <w:lang w:val="en-GB"/>
              </w:rPr>
              <w:t>78% (71-84%)</w:t>
            </w:r>
          </w:p>
        </w:tc>
      </w:tr>
      <w:tr w:rsidR="00675B09" w:rsidRPr="00675B09" w14:paraId="080D8E6C" w14:textId="77777777" w:rsidTr="00C402B7">
        <w:trPr>
          <w:trHeight w:val="292"/>
          <w:jc w:val="center"/>
        </w:trPr>
        <w:tc>
          <w:tcPr>
            <w:tcW w:w="1134" w:type="dxa"/>
            <w:vAlign w:val="center"/>
          </w:tcPr>
          <w:p w14:paraId="45C5E9D4" w14:textId="77777777" w:rsidR="002814F0" w:rsidRPr="00675B09" w:rsidRDefault="002814F0" w:rsidP="00965BC3">
            <w:pPr>
              <w:widowControl/>
              <w:ind w:right="0"/>
              <w:jc w:val="center"/>
              <w:rPr>
                <w:lang w:val="en-GB"/>
              </w:rPr>
            </w:pPr>
            <w:r w:rsidRPr="00675B09">
              <w:rPr>
                <w:lang w:val="en-GB"/>
              </w:rPr>
              <w:t>Alcohol Use Disorder (18+)</w:t>
            </w:r>
          </w:p>
        </w:tc>
        <w:tc>
          <w:tcPr>
            <w:tcW w:w="851" w:type="dxa"/>
            <w:vAlign w:val="center"/>
          </w:tcPr>
          <w:p w14:paraId="54A84E92" w14:textId="77777777" w:rsidR="002814F0" w:rsidRPr="00675B09" w:rsidRDefault="002814F0" w:rsidP="00965BC3">
            <w:pPr>
              <w:widowControl/>
              <w:ind w:right="0"/>
              <w:jc w:val="center"/>
              <w:rPr>
                <w:lang w:val="en-GB"/>
              </w:rPr>
            </w:pPr>
            <w:r w:rsidRPr="00675B09">
              <w:rPr>
                <w:lang w:val="en-GB"/>
              </w:rPr>
              <w:t>129</w:t>
            </w:r>
          </w:p>
        </w:tc>
        <w:tc>
          <w:tcPr>
            <w:tcW w:w="1276" w:type="dxa"/>
            <w:vAlign w:val="center"/>
          </w:tcPr>
          <w:p w14:paraId="57DB07BC" w14:textId="77777777" w:rsidR="002814F0" w:rsidRPr="00675B09" w:rsidRDefault="002814F0" w:rsidP="00965BC3">
            <w:pPr>
              <w:widowControl/>
              <w:ind w:right="0"/>
              <w:jc w:val="center"/>
              <w:rPr>
                <w:lang w:val="en-GB"/>
              </w:rPr>
            </w:pPr>
            <w:r w:rsidRPr="00675B09">
              <w:rPr>
                <w:lang w:val="en-GB"/>
              </w:rPr>
              <w:t>13644</w:t>
            </w:r>
          </w:p>
        </w:tc>
        <w:tc>
          <w:tcPr>
            <w:tcW w:w="1275" w:type="dxa"/>
            <w:vAlign w:val="center"/>
          </w:tcPr>
          <w:p w14:paraId="08C4A931" w14:textId="77777777" w:rsidR="002814F0" w:rsidRPr="00675B09" w:rsidRDefault="002814F0" w:rsidP="00965BC3">
            <w:pPr>
              <w:widowControl/>
              <w:ind w:right="0"/>
              <w:jc w:val="center"/>
              <w:rPr>
                <w:lang w:val="en-GB"/>
              </w:rPr>
            </w:pPr>
            <w:r w:rsidRPr="00675B09">
              <w:rPr>
                <w:lang w:val="en-GB"/>
              </w:rPr>
              <w:t>64%</w:t>
            </w:r>
          </w:p>
        </w:tc>
        <w:tc>
          <w:tcPr>
            <w:tcW w:w="1134" w:type="dxa"/>
            <w:vAlign w:val="center"/>
          </w:tcPr>
          <w:p w14:paraId="7B9B73DF" w14:textId="77777777" w:rsidR="002814F0" w:rsidRPr="00675B09" w:rsidRDefault="002814F0" w:rsidP="00965BC3">
            <w:pPr>
              <w:widowControl/>
              <w:ind w:right="0"/>
              <w:jc w:val="center"/>
              <w:rPr>
                <w:lang w:val="en-GB"/>
              </w:rPr>
            </w:pPr>
            <w:r w:rsidRPr="00675B09">
              <w:rPr>
                <w:lang w:val="en-GB"/>
              </w:rPr>
              <w:t>17%</w:t>
            </w:r>
          </w:p>
        </w:tc>
        <w:tc>
          <w:tcPr>
            <w:tcW w:w="1276" w:type="dxa"/>
            <w:vAlign w:val="center"/>
          </w:tcPr>
          <w:p w14:paraId="15B91F43" w14:textId="77777777" w:rsidR="002814F0" w:rsidRPr="00675B09" w:rsidRDefault="002814F0" w:rsidP="00965BC3">
            <w:pPr>
              <w:widowControl/>
              <w:ind w:right="0"/>
              <w:jc w:val="center"/>
              <w:rPr>
                <w:lang w:val="en-GB"/>
              </w:rPr>
            </w:pPr>
            <w:r w:rsidRPr="00675B09">
              <w:rPr>
                <w:lang w:val="en-GB"/>
              </w:rPr>
              <w:t>29%</w:t>
            </w:r>
          </w:p>
        </w:tc>
        <w:tc>
          <w:tcPr>
            <w:tcW w:w="1134" w:type="dxa"/>
            <w:vAlign w:val="center"/>
          </w:tcPr>
          <w:p w14:paraId="79F0FA85" w14:textId="77777777" w:rsidR="002814F0" w:rsidRPr="00675B09" w:rsidRDefault="002814F0" w:rsidP="00965BC3">
            <w:pPr>
              <w:widowControl/>
              <w:ind w:right="0"/>
              <w:jc w:val="center"/>
              <w:rPr>
                <w:lang w:val="en-GB"/>
              </w:rPr>
            </w:pPr>
            <w:r w:rsidRPr="00675B09">
              <w:rPr>
                <w:lang w:val="en-GB"/>
              </w:rPr>
              <w:t>5%</w:t>
            </w:r>
          </w:p>
        </w:tc>
        <w:tc>
          <w:tcPr>
            <w:tcW w:w="1559" w:type="dxa"/>
            <w:vAlign w:val="center"/>
          </w:tcPr>
          <w:p w14:paraId="2CC7AE76" w14:textId="77777777" w:rsidR="002814F0" w:rsidRPr="00675B09" w:rsidRDefault="002814F0" w:rsidP="00965BC3">
            <w:pPr>
              <w:widowControl/>
              <w:ind w:right="0"/>
              <w:jc w:val="center"/>
              <w:rPr>
                <w:lang w:val="en-GB"/>
              </w:rPr>
            </w:pPr>
            <w:r w:rsidRPr="00675B09">
              <w:rPr>
                <w:lang w:val="en-GB"/>
              </w:rPr>
              <w:t>0% (0-0%)</w:t>
            </w:r>
          </w:p>
        </w:tc>
        <w:tc>
          <w:tcPr>
            <w:tcW w:w="1701" w:type="dxa"/>
            <w:vAlign w:val="center"/>
          </w:tcPr>
          <w:p w14:paraId="037CBF4F" w14:textId="77777777" w:rsidR="002814F0" w:rsidRPr="00675B09" w:rsidRDefault="002814F0" w:rsidP="00965BC3">
            <w:pPr>
              <w:widowControl/>
              <w:ind w:right="0"/>
              <w:jc w:val="center"/>
              <w:rPr>
                <w:lang w:val="en-GB"/>
              </w:rPr>
            </w:pPr>
            <w:r w:rsidRPr="00675B09">
              <w:rPr>
                <w:lang w:val="en-GB"/>
              </w:rPr>
              <w:t>4% (3-6%)</w:t>
            </w:r>
          </w:p>
        </w:tc>
        <w:tc>
          <w:tcPr>
            <w:tcW w:w="1636" w:type="dxa"/>
            <w:vAlign w:val="center"/>
          </w:tcPr>
          <w:p w14:paraId="63C3F664" w14:textId="77777777" w:rsidR="002814F0" w:rsidRPr="00675B09" w:rsidRDefault="002814F0" w:rsidP="00965BC3">
            <w:pPr>
              <w:widowControl/>
              <w:ind w:right="0"/>
              <w:jc w:val="center"/>
              <w:rPr>
                <w:lang w:val="en-GB"/>
              </w:rPr>
            </w:pPr>
            <w:r w:rsidRPr="00675B09">
              <w:rPr>
                <w:lang w:val="en-GB"/>
              </w:rPr>
              <w:t>14% (7-25%)</w:t>
            </w:r>
          </w:p>
        </w:tc>
        <w:tc>
          <w:tcPr>
            <w:tcW w:w="1483" w:type="dxa"/>
            <w:vAlign w:val="center"/>
          </w:tcPr>
          <w:p w14:paraId="6FD0391C" w14:textId="77777777" w:rsidR="002814F0" w:rsidRPr="00675B09" w:rsidRDefault="002814F0" w:rsidP="00965BC3">
            <w:pPr>
              <w:widowControl/>
              <w:ind w:right="0"/>
              <w:jc w:val="center"/>
              <w:rPr>
                <w:lang w:val="en-GB"/>
              </w:rPr>
            </w:pPr>
            <w:r w:rsidRPr="00675B09">
              <w:rPr>
                <w:lang w:val="en-GB"/>
              </w:rPr>
              <w:t>4% (3-7%)</w:t>
            </w:r>
          </w:p>
        </w:tc>
        <w:tc>
          <w:tcPr>
            <w:tcW w:w="1559" w:type="dxa"/>
            <w:vAlign w:val="center"/>
          </w:tcPr>
          <w:p w14:paraId="222BDEC2" w14:textId="77777777" w:rsidR="002814F0" w:rsidRPr="00675B09" w:rsidRDefault="002814F0" w:rsidP="00965BC3">
            <w:pPr>
              <w:widowControl/>
              <w:ind w:right="0"/>
              <w:jc w:val="center"/>
              <w:rPr>
                <w:lang w:val="en-GB"/>
              </w:rPr>
            </w:pPr>
            <w:r w:rsidRPr="00675B09">
              <w:rPr>
                <w:lang w:val="en-GB"/>
              </w:rPr>
              <w:t>90% (86-94%)</w:t>
            </w:r>
          </w:p>
        </w:tc>
      </w:tr>
      <w:tr w:rsidR="00675B09" w:rsidRPr="00675B09" w14:paraId="07B8174B" w14:textId="77777777" w:rsidTr="00C402B7">
        <w:trPr>
          <w:trHeight w:val="292"/>
          <w:jc w:val="center"/>
        </w:trPr>
        <w:tc>
          <w:tcPr>
            <w:tcW w:w="1134" w:type="dxa"/>
            <w:vAlign w:val="center"/>
          </w:tcPr>
          <w:p w14:paraId="0B1D85D3" w14:textId="77777777" w:rsidR="002814F0" w:rsidRPr="00675B09" w:rsidRDefault="002814F0" w:rsidP="00965BC3">
            <w:pPr>
              <w:widowControl/>
              <w:ind w:right="0"/>
              <w:jc w:val="center"/>
              <w:rPr>
                <w:lang w:val="en-GB"/>
              </w:rPr>
            </w:pPr>
            <w:r w:rsidRPr="00675B09">
              <w:rPr>
                <w:lang w:val="en-GB"/>
              </w:rPr>
              <w:lastRenderedPageBreak/>
              <w:t>Anxiety Disorder (&lt; 18)</w:t>
            </w:r>
          </w:p>
        </w:tc>
        <w:tc>
          <w:tcPr>
            <w:tcW w:w="851" w:type="dxa"/>
            <w:vAlign w:val="center"/>
          </w:tcPr>
          <w:p w14:paraId="06A3B929" w14:textId="77777777" w:rsidR="002814F0" w:rsidRPr="00675B09" w:rsidRDefault="002814F0" w:rsidP="00965BC3">
            <w:pPr>
              <w:widowControl/>
              <w:ind w:right="0"/>
              <w:jc w:val="center"/>
              <w:rPr>
                <w:lang w:val="en-GB"/>
              </w:rPr>
            </w:pPr>
            <w:r w:rsidRPr="00675B09">
              <w:rPr>
                <w:lang w:val="en-GB"/>
              </w:rPr>
              <w:t>106</w:t>
            </w:r>
          </w:p>
        </w:tc>
        <w:tc>
          <w:tcPr>
            <w:tcW w:w="1276" w:type="dxa"/>
            <w:vAlign w:val="center"/>
          </w:tcPr>
          <w:p w14:paraId="520314A3" w14:textId="77777777" w:rsidR="002814F0" w:rsidRPr="00675B09" w:rsidRDefault="002814F0" w:rsidP="00965BC3">
            <w:pPr>
              <w:widowControl/>
              <w:ind w:right="0"/>
              <w:jc w:val="center"/>
              <w:rPr>
                <w:lang w:val="en-GB"/>
              </w:rPr>
            </w:pPr>
            <w:r w:rsidRPr="00675B09">
              <w:rPr>
                <w:lang w:val="en-GB"/>
              </w:rPr>
              <w:t>9693</w:t>
            </w:r>
          </w:p>
        </w:tc>
        <w:tc>
          <w:tcPr>
            <w:tcW w:w="1275" w:type="dxa"/>
            <w:vAlign w:val="center"/>
          </w:tcPr>
          <w:p w14:paraId="5B3B9AA3" w14:textId="77777777" w:rsidR="002814F0" w:rsidRPr="00675B09" w:rsidRDefault="002814F0" w:rsidP="00965BC3">
            <w:pPr>
              <w:widowControl/>
              <w:ind w:right="0"/>
              <w:jc w:val="center"/>
              <w:rPr>
                <w:lang w:val="en-GB"/>
              </w:rPr>
            </w:pPr>
            <w:r w:rsidRPr="00675B09">
              <w:rPr>
                <w:lang w:val="en-GB"/>
              </w:rPr>
              <w:t>60%</w:t>
            </w:r>
          </w:p>
        </w:tc>
        <w:tc>
          <w:tcPr>
            <w:tcW w:w="1134" w:type="dxa"/>
            <w:vAlign w:val="center"/>
          </w:tcPr>
          <w:p w14:paraId="18A84EDC" w14:textId="77777777" w:rsidR="002814F0" w:rsidRPr="00675B09" w:rsidRDefault="002814F0" w:rsidP="00965BC3">
            <w:pPr>
              <w:widowControl/>
              <w:ind w:right="0"/>
              <w:jc w:val="center"/>
              <w:rPr>
                <w:lang w:val="en-GB"/>
              </w:rPr>
            </w:pPr>
            <w:r w:rsidRPr="00675B09">
              <w:rPr>
                <w:lang w:val="en-GB"/>
              </w:rPr>
              <w:t>34%</w:t>
            </w:r>
          </w:p>
        </w:tc>
        <w:tc>
          <w:tcPr>
            <w:tcW w:w="1276" w:type="dxa"/>
            <w:vAlign w:val="center"/>
          </w:tcPr>
          <w:p w14:paraId="0BE61A21" w14:textId="77777777" w:rsidR="002814F0" w:rsidRPr="00675B09" w:rsidRDefault="002814F0" w:rsidP="00965BC3">
            <w:pPr>
              <w:widowControl/>
              <w:ind w:right="0"/>
              <w:jc w:val="center"/>
              <w:rPr>
                <w:lang w:val="en-GB"/>
              </w:rPr>
            </w:pPr>
            <w:r w:rsidRPr="00675B09">
              <w:rPr>
                <w:lang w:val="en-GB"/>
              </w:rPr>
              <w:t>50%</w:t>
            </w:r>
          </w:p>
        </w:tc>
        <w:tc>
          <w:tcPr>
            <w:tcW w:w="1134" w:type="dxa"/>
            <w:vAlign w:val="center"/>
          </w:tcPr>
          <w:p w14:paraId="15850D0D" w14:textId="77777777" w:rsidR="002814F0" w:rsidRPr="00675B09" w:rsidRDefault="002814F0" w:rsidP="00965BC3">
            <w:pPr>
              <w:widowControl/>
              <w:ind w:right="0"/>
              <w:jc w:val="center"/>
              <w:rPr>
                <w:lang w:val="en-GB"/>
              </w:rPr>
            </w:pPr>
            <w:r w:rsidRPr="00675B09">
              <w:rPr>
                <w:lang w:val="en-GB"/>
              </w:rPr>
              <w:t>26%</w:t>
            </w:r>
          </w:p>
        </w:tc>
        <w:tc>
          <w:tcPr>
            <w:tcW w:w="1559" w:type="dxa"/>
            <w:vAlign w:val="center"/>
          </w:tcPr>
          <w:p w14:paraId="2C5273E1" w14:textId="77777777" w:rsidR="002814F0" w:rsidRPr="00675B09" w:rsidRDefault="002814F0" w:rsidP="00965BC3">
            <w:pPr>
              <w:widowControl/>
              <w:ind w:right="0"/>
              <w:jc w:val="center"/>
              <w:rPr>
                <w:lang w:val="en-GB"/>
              </w:rPr>
            </w:pPr>
            <w:r w:rsidRPr="00675B09">
              <w:rPr>
                <w:lang w:val="en-GB"/>
              </w:rPr>
              <w:t>4% (2-6%)</w:t>
            </w:r>
          </w:p>
        </w:tc>
        <w:tc>
          <w:tcPr>
            <w:tcW w:w="1701" w:type="dxa"/>
            <w:vAlign w:val="center"/>
          </w:tcPr>
          <w:p w14:paraId="72345581" w14:textId="77777777" w:rsidR="002814F0" w:rsidRPr="00675B09" w:rsidRDefault="002814F0" w:rsidP="00965BC3">
            <w:pPr>
              <w:widowControl/>
              <w:ind w:right="0"/>
              <w:jc w:val="center"/>
              <w:rPr>
                <w:lang w:val="en-GB"/>
              </w:rPr>
            </w:pPr>
            <w:r w:rsidRPr="00675B09">
              <w:rPr>
                <w:lang w:val="en-GB"/>
              </w:rPr>
              <w:t>5% (3-9%)</w:t>
            </w:r>
          </w:p>
        </w:tc>
        <w:tc>
          <w:tcPr>
            <w:tcW w:w="1636" w:type="dxa"/>
            <w:vAlign w:val="center"/>
          </w:tcPr>
          <w:p w14:paraId="5CC11CBD" w14:textId="77777777" w:rsidR="002814F0" w:rsidRPr="00675B09" w:rsidRDefault="002814F0" w:rsidP="00965BC3">
            <w:pPr>
              <w:widowControl/>
              <w:ind w:right="0"/>
              <w:jc w:val="center"/>
              <w:rPr>
                <w:lang w:val="en-GB"/>
              </w:rPr>
            </w:pPr>
            <w:r w:rsidRPr="00675B09">
              <w:rPr>
                <w:lang w:val="en-GB"/>
              </w:rPr>
              <w:t>10% (6-17%)</w:t>
            </w:r>
          </w:p>
        </w:tc>
        <w:tc>
          <w:tcPr>
            <w:tcW w:w="1483" w:type="dxa"/>
            <w:vAlign w:val="center"/>
          </w:tcPr>
          <w:p w14:paraId="777867A2" w14:textId="77777777" w:rsidR="002814F0" w:rsidRPr="00675B09" w:rsidRDefault="002814F0" w:rsidP="00965BC3">
            <w:pPr>
              <w:widowControl/>
              <w:ind w:right="0"/>
              <w:jc w:val="center"/>
              <w:rPr>
                <w:lang w:val="en-GB"/>
              </w:rPr>
            </w:pPr>
            <w:r w:rsidRPr="00675B09">
              <w:rPr>
                <w:lang w:val="en-GB"/>
              </w:rPr>
              <w:t>8% (6-10%)</w:t>
            </w:r>
          </w:p>
        </w:tc>
        <w:tc>
          <w:tcPr>
            <w:tcW w:w="1559" w:type="dxa"/>
            <w:vAlign w:val="center"/>
          </w:tcPr>
          <w:p w14:paraId="612C9E0C" w14:textId="77777777" w:rsidR="002814F0" w:rsidRPr="00675B09" w:rsidRDefault="002814F0" w:rsidP="00965BC3">
            <w:pPr>
              <w:widowControl/>
              <w:ind w:right="0"/>
              <w:jc w:val="center"/>
              <w:rPr>
                <w:lang w:val="en-GB"/>
              </w:rPr>
            </w:pPr>
            <w:r w:rsidRPr="00675B09">
              <w:rPr>
                <w:lang w:val="en-GB"/>
              </w:rPr>
              <w:t>83% (79-85%)</w:t>
            </w:r>
          </w:p>
        </w:tc>
      </w:tr>
      <w:tr w:rsidR="00675B09" w:rsidRPr="00675B09" w14:paraId="6BA2EFCA" w14:textId="77777777" w:rsidTr="00C402B7">
        <w:trPr>
          <w:trHeight w:val="292"/>
          <w:jc w:val="center"/>
        </w:trPr>
        <w:tc>
          <w:tcPr>
            <w:tcW w:w="1134" w:type="dxa"/>
            <w:vAlign w:val="center"/>
          </w:tcPr>
          <w:p w14:paraId="3C623F0F" w14:textId="77777777" w:rsidR="002814F0" w:rsidRPr="00675B09" w:rsidRDefault="002814F0" w:rsidP="00965BC3">
            <w:pPr>
              <w:widowControl/>
              <w:ind w:right="0"/>
              <w:jc w:val="center"/>
              <w:rPr>
                <w:lang w:val="en-GB"/>
              </w:rPr>
            </w:pPr>
            <w:r w:rsidRPr="00675B09">
              <w:rPr>
                <w:lang w:val="en-GB"/>
              </w:rPr>
              <w:t>Autism (&lt;18)</w:t>
            </w:r>
          </w:p>
        </w:tc>
        <w:tc>
          <w:tcPr>
            <w:tcW w:w="851" w:type="dxa"/>
            <w:vAlign w:val="center"/>
          </w:tcPr>
          <w:p w14:paraId="2019FFBD" w14:textId="77777777" w:rsidR="002814F0" w:rsidRPr="00675B09" w:rsidRDefault="002814F0" w:rsidP="00965BC3">
            <w:pPr>
              <w:widowControl/>
              <w:ind w:right="0"/>
              <w:jc w:val="center"/>
              <w:rPr>
                <w:lang w:val="en-GB"/>
              </w:rPr>
            </w:pPr>
            <w:r w:rsidRPr="00675B09">
              <w:rPr>
                <w:lang w:val="en-GB"/>
              </w:rPr>
              <w:t>149</w:t>
            </w:r>
          </w:p>
        </w:tc>
        <w:tc>
          <w:tcPr>
            <w:tcW w:w="1276" w:type="dxa"/>
            <w:vAlign w:val="center"/>
          </w:tcPr>
          <w:p w14:paraId="2074AE9C" w14:textId="77777777" w:rsidR="002814F0" w:rsidRPr="00675B09" w:rsidRDefault="002814F0" w:rsidP="00965BC3">
            <w:pPr>
              <w:widowControl/>
              <w:ind w:right="0"/>
              <w:jc w:val="center"/>
              <w:rPr>
                <w:lang w:val="en-GB"/>
              </w:rPr>
            </w:pPr>
            <w:r w:rsidRPr="00675B09">
              <w:rPr>
                <w:lang w:val="en-GB"/>
              </w:rPr>
              <w:t>9777</w:t>
            </w:r>
          </w:p>
        </w:tc>
        <w:tc>
          <w:tcPr>
            <w:tcW w:w="1275" w:type="dxa"/>
            <w:vAlign w:val="center"/>
          </w:tcPr>
          <w:p w14:paraId="375B4BF2" w14:textId="77777777" w:rsidR="002814F0" w:rsidRPr="00675B09" w:rsidRDefault="002814F0" w:rsidP="00965BC3">
            <w:pPr>
              <w:widowControl/>
              <w:ind w:right="0"/>
              <w:jc w:val="center"/>
              <w:rPr>
                <w:lang w:val="en-GB"/>
              </w:rPr>
            </w:pPr>
            <w:r w:rsidRPr="00675B09">
              <w:rPr>
                <w:lang w:val="en-GB"/>
              </w:rPr>
              <w:t>40%</w:t>
            </w:r>
          </w:p>
        </w:tc>
        <w:tc>
          <w:tcPr>
            <w:tcW w:w="1134" w:type="dxa"/>
            <w:vAlign w:val="center"/>
          </w:tcPr>
          <w:p w14:paraId="447D625F" w14:textId="77777777" w:rsidR="002814F0" w:rsidRPr="00675B09" w:rsidRDefault="002814F0" w:rsidP="00965BC3">
            <w:pPr>
              <w:widowControl/>
              <w:ind w:right="0"/>
              <w:jc w:val="center"/>
              <w:rPr>
                <w:lang w:val="en-GB"/>
              </w:rPr>
            </w:pPr>
            <w:r w:rsidRPr="00675B09">
              <w:rPr>
                <w:lang w:val="en-GB"/>
              </w:rPr>
              <w:t>34%</w:t>
            </w:r>
          </w:p>
        </w:tc>
        <w:tc>
          <w:tcPr>
            <w:tcW w:w="1276" w:type="dxa"/>
            <w:vAlign w:val="center"/>
          </w:tcPr>
          <w:p w14:paraId="1933C017" w14:textId="77777777" w:rsidR="002814F0" w:rsidRPr="00675B09" w:rsidRDefault="002814F0" w:rsidP="00965BC3">
            <w:pPr>
              <w:widowControl/>
              <w:ind w:right="0"/>
              <w:jc w:val="center"/>
              <w:rPr>
                <w:lang w:val="en-GB"/>
              </w:rPr>
            </w:pPr>
            <w:r w:rsidRPr="00675B09">
              <w:rPr>
                <w:lang w:val="en-GB"/>
              </w:rPr>
              <w:t>26%</w:t>
            </w:r>
          </w:p>
        </w:tc>
        <w:tc>
          <w:tcPr>
            <w:tcW w:w="1134" w:type="dxa"/>
            <w:vAlign w:val="center"/>
          </w:tcPr>
          <w:p w14:paraId="715CE335" w14:textId="77777777" w:rsidR="002814F0" w:rsidRPr="00675B09" w:rsidRDefault="002814F0" w:rsidP="00965BC3">
            <w:pPr>
              <w:widowControl/>
              <w:ind w:right="0"/>
              <w:jc w:val="center"/>
              <w:rPr>
                <w:lang w:val="en-GB"/>
              </w:rPr>
            </w:pPr>
            <w:r w:rsidRPr="00675B09">
              <w:rPr>
                <w:lang w:val="en-GB"/>
              </w:rPr>
              <w:t>13%</w:t>
            </w:r>
          </w:p>
        </w:tc>
        <w:tc>
          <w:tcPr>
            <w:tcW w:w="1559" w:type="dxa"/>
            <w:vAlign w:val="center"/>
          </w:tcPr>
          <w:p w14:paraId="13855295" w14:textId="77777777" w:rsidR="002814F0" w:rsidRPr="00675B09" w:rsidRDefault="002814F0" w:rsidP="00965BC3">
            <w:pPr>
              <w:widowControl/>
              <w:ind w:right="0"/>
              <w:jc w:val="center"/>
              <w:rPr>
                <w:lang w:val="en-GB"/>
              </w:rPr>
            </w:pPr>
            <w:r w:rsidRPr="00675B09">
              <w:rPr>
                <w:lang w:val="en-GB"/>
              </w:rPr>
              <w:t>5% (3-6%)</w:t>
            </w:r>
          </w:p>
        </w:tc>
        <w:tc>
          <w:tcPr>
            <w:tcW w:w="1701" w:type="dxa"/>
            <w:vAlign w:val="center"/>
          </w:tcPr>
          <w:p w14:paraId="7CBDC803" w14:textId="77777777" w:rsidR="002814F0" w:rsidRPr="00675B09" w:rsidRDefault="002814F0" w:rsidP="00965BC3">
            <w:pPr>
              <w:widowControl/>
              <w:ind w:right="0"/>
              <w:jc w:val="center"/>
              <w:rPr>
                <w:lang w:val="en-GB"/>
              </w:rPr>
            </w:pPr>
            <w:r w:rsidRPr="00675B09">
              <w:rPr>
                <w:lang w:val="en-GB"/>
              </w:rPr>
              <w:t>13% (10-16%)</w:t>
            </w:r>
          </w:p>
        </w:tc>
        <w:tc>
          <w:tcPr>
            <w:tcW w:w="1636" w:type="dxa"/>
            <w:vAlign w:val="center"/>
          </w:tcPr>
          <w:p w14:paraId="17AF0989" w14:textId="77777777" w:rsidR="002814F0" w:rsidRPr="00675B09" w:rsidRDefault="002814F0" w:rsidP="00965BC3">
            <w:pPr>
              <w:widowControl/>
              <w:ind w:right="0"/>
              <w:jc w:val="center"/>
              <w:rPr>
                <w:lang w:val="en-GB"/>
              </w:rPr>
            </w:pPr>
            <w:r w:rsidRPr="00675B09">
              <w:rPr>
                <w:lang w:val="en-GB"/>
              </w:rPr>
              <w:t>18% (11-28%)</w:t>
            </w:r>
          </w:p>
        </w:tc>
        <w:tc>
          <w:tcPr>
            <w:tcW w:w="1483" w:type="dxa"/>
            <w:vAlign w:val="center"/>
          </w:tcPr>
          <w:p w14:paraId="310D9CB8" w14:textId="77777777" w:rsidR="002814F0" w:rsidRPr="00675B09" w:rsidRDefault="002814F0" w:rsidP="00965BC3">
            <w:pPr>
              <w:widowControl/>
              <w:ind w:right="0"/>
              <w:jc w:val="center"/>
              <w:rPr>
                <w:lang w:val="en-GB"/>
              </w:rPr>
            </w:pPr>
            <w:r w:rsidRPr="00675B09">
              <w:rPr>
                <w:lang w:val="en-GB"/>
              </w:rPr>
              <w:t>6% (4-9%)</w:t>
            </w:r>
          </w:p>
        </w:tc>
        <w:tc>
          <w:tcPr>
            <w:tcW w:w="1559" w:type="dxa"/>
            <w:vAlign w:val="center"/>
          </w:tcPr>
          <w:p w14:paraId="72421169" w14:textId="77777777" w:rsidR="002814F0" w:rsidRPr="00675B09" w:rsidRDefault="002814F0" w:rsidP="00965BC3">
            <w:pPr>
              <w:widowControl/>
              <w:ind w:right="0"/>
              <w:jc w:val="center"/>
              <w:rPr>
                <w:lang w:val="en-GB"/>
              </w:rPr>
            </w:pPr>
            <w:r w:rsidRPr="00675B09">
              <w:rPr>
                <w:lang w:val="en-GB"/>
              </w:rPr>
              <w:t>77% (70-83%)</w:t>
            </w:r>
          </w:p>
        </w:tc>
      </w:tr>
      <w:tr w:rsidR="00675B09" w:rsidRPr="00675B09" w14:paraId="13BAA5B9" w14:textId="77777777" w:rsidTr="00C402B7">
        <w:trPr>
          <w:trHeight w:val="292"/>
          <w:jc w:val="center"/>
        </w:trPr>
        <w:tc>
          <w:tcPr>
            <w:tcW w:w="1134" w:type="dxa"/>
            <w:vAlign w:val="center"/>
          </w:tcPr>
          <w:p w14:paraId="64D601F4" w14:textId="77777777" w:rsidR="002814F0" w:rsidRPr="00675B09" w:rsidRDefault="002814F0" w:rsidP="00965BC3">
            <w:pPr>
              <w:widowControl/>
              <w:ind w:right="0"/>
              <w:jc w:val="center"/>
              <w:rPr>
                <w:lang w:val="en-GB"/>
              </w:rPr>
            </w:pPr>
            <w:r w:rsidRPr="00675B09">
              <w:rPr>
                <w:lang w:val="en-GB"/>
              </w:rPr>
              <w:t>Autism (18+)</w:t>
            </w:r>
          </w:p>
        </w:tc>
        <w:tc>
          <w:tcPr>
            <w:tcW w:w="851" w:type="dxa"/>
            <w:vAlign w:val="center"/>
          </w:tcPr>
          <w:p w14:paraId="0115EB4D" w14:textId="77777777" w:rsidR="002814F0" w:rsidRPr="00675B09" w:rsidRDefault="002814F0" w:rsidP="00965BC3">
            <w:pPr>
              <w:widowControl/>
              <w:ind w:right="0"/>
              <w:jc w:val="center"/>
              <w:rPr>
                <w:lang w:val="en-GB"/>
              </w:rPr>
            </w:pPr>
            <w:r w:rsidRPr="00675B09">
              <w:rPr>
                <w:lang w:val="en-GB"/>
              </w:rPr>
              <w:t>30</w:t>
            </w:r>
          </w:p>
        </w:tc>
        <w:tc>
          <w:tcPr>
            <w:tcW w:w="1276" w:type="dxa"/>
            <w:vAlign w:val="center"/>
          </w:tcPr>
          <w:p w14:paraId="40F08D8A" w14:textId="77777777" w:rsidR="002814F0" w:rsidRPr="00675B09" w:rsidRDefault="002814F0" w:rsidP="00965BC3">
            <w:pPr>
              <w:widowControl/>
              <w:ind w:right="0"/>
              <w:jc w:val="center"/>
              <w:rPr>
                <w:lang w:val="en-GB"/>
              </w:rPr>
            </w:pPr>
            <w:r w:rsidRPr="00675B09">
              <w:rPr>
                <w:lang w:val="en-GB"/>
              </w:rPr>
              <w:t>2292</w:t>
            </w:r>
          </w:p>
        </w:tc>
        <w:tc>
          <w:tcPr>
            <w:tcW w:w="1275" w:type="dxa"/>
            <w:vAlign w:val="center"/>
          </w:tcPr>
          <w:p w14:paraId="6772B32F" w14:textId="77777777" w:rsidR="002814F0" w:rsidRPr="00675B09" w:rsidRDefault="002814F0" w:rsidP="00965BC3">
            <w:pPr>
              <w:widowControl/>
              <w:ind w:right="0"/>
              <w:jc w:val="center"/>
              <w:rPr>
                <w:lang w:val="en-GB"/>
              </w:rPr>
            </w:pPr>
            <w:r w:rsidRPr="00675B09">
              <w:rPr>
                <w:lang w:val="en-GB"/>
              </w:rPr>
              <w:t>43%</w:t>
            </w:r>
          </w:p>
        </w:tc>
        <w:tc>
          <w:tcPr>
            <w:tcW w:w="1134" w:type="dxa"/>
            <w:vAlign w:val="center"/>
          </w:tcPr>
          <w:p w14:paraId="36510564" w14:textId="77777777" w:rsidR="002814F0" w:rsidRPr="00675B09" w:rsidRDefault="002814F0" w:rsidP="00965BC3">
            <w:pPr>
              <w:widowControl/>
              <w:ind w:right="0"/>
              <w:jc w:val="center"/>
              <w:rPr>
                <w:lang w:val="en-GB"/>
              </w:rPr>
            </w:pPr>
            <w:r w:rsidRPr="00675B09">
              <w:rPr>
                <w:lang w:val="en-GB"/>
              </w:rPr>
              <w:t>37%</w:t>
            </w:r>
          </w:p>
        </w:tc>
        <w:tc>
          <w:tcPr>
            <w:tcW w:w="1276" w:type="dxa"/>
            <w:vAlign w:val="center"/>
          </w:tcPr>
          <w:p w14:paraId="5D4895B5" w14:textId="77777777" w:rsidR="002814F0" w:rsidRPr="00675B09" w:rsidRDefault="002814F0" w:rsidP="00965BC3">
            <w:pPr>
              <w:widowControl/>
              <w:ind w:right="0"/>
              <w:jc w:val="center"/>
              <w:rPr>
                <w:lang w:val="en-GB"/>
              </w:rPr>
            </w:pPr>
            <w:r w:rsidRPr="00675B09">
              <w:rPr>
                <w:lang w:val="en-GB"/>
              </w:rPr>
              <w:t>27%</w:t>
            </w:r>
          </w:p>
        </w:tc>
        <w:tc>
          <w:tcPr>
            <w:tcW w:w="1134" w:type="dxa"/>
            <w:vAlign w:val="center"/>
          </w:tcPr>
          <w:p w14:paraId="44A42C6D" w14:textId="77777777" w:rsidR="002814F0" w:rsidRPr="00675B09" w:rsidRDefault="002814F0" w:rsidP="00965BC3">
            <w:pPr>
              <w:widowControl/>
              <w:ind w:right="0"/>
              <w:jc w:val="center"/>
              <w:rPr>
                <w:lang w:val="en-GB"/>
              </w:rPr>
            </w:pPr>
            <w:r w:rsidRPr="00675B09">
              <w:rPr>
                <w:lang w:val="en-GB"/>
              </w:rPr>
              <w:t>23%</w:t>
            </w:r>
          </w:p>
        </w:tc>
        <w:tc>
          <w:tcPr>
            <w:tcW w:w="1559" w:type="dxa"/>
            <w:vAlign w:val="center"/>
          </w:tcPr>
          <w:p w14:paraId="69492C1C" w14:textId="77777777" w:rsidR="002814F0" w:rsidRPr="00675B09" w:rsidRDefault="002814F0" w:rsidP="00965BC3">
            <w:pPr>
              <w:widowControl/>
              <w:ind w:right="0"/>
              <w:jc w:val="center"/>
              <w:rPr>
                <w:lang w:val="en-GB"/>
              </w:rPr>
            </w:pPr>
            <w:r w:rsidRPr="00675B09">
              <w:rPr>
                <w:lang w:val="en-GB"/>
              </w:rPr>
              <w:t>7% (2-21%)</w:t>
            </w:r>
          </w:p>
        </w:tc>
        <w:tc>
          <w:tcPr>
            <w:tcW w:w="1701" w:type="dxa"/>
            <w:vAlign w:val="center"/>
          </w:tcPr>
          <w:p w14:paraId="372E1832" w14:textId="77777777" w:rsidR="002814F0" w:rsidRPr="00675B09" w:rsidRDefault="002814F0" w:rsidP="00965BC3">
            <w:pPr>
              <w:widowControl/>
              <w:ind w:right="0"/>
              <w:jc w:val="center"/>
              <w:rPr>
                <w:lang w:val="en-GB"/>
              </w:rPr>
            </w:pPr>
            <w:r w:rsidRPr="00675B09">
              <w:rPr>
                <w:lang w:val="en-GB"/>
              </w:rPr>
              <w:t>7% (5-10%)</w:t>
            </w:r>
          </w:p>
        </w:tc>
        <w:tc>
          <w:tcPr>
            <w:tcW w:w="1636" w:type="dxa"/>
            <w:vAlign w:val="center"/>
          </w:tcPr>
          <w:p w14:paraId="7E6310D3" w14:textId="77777777" w:rsidR="002814F0" w:rsidRPr="00675B09" w:rsidRDefault="002814F0" w:rsidP="00965BC3">
            <w:pPr>
              <w:widowControl/>
              <w:ind w:right="0"/>
              <w:jc w:val="center"/>
              <w:rPr>
                <w:lang w:val="en-GB"/>
              </w:rPr>
            </w:pPr>
            <w:r w:rsidRPr="00675B09">
              <w:rPr>
                <w:lang w:val="en-GB"/>
              </w:rPr>
              <w:t>8% (5-12%)</w:t>
            </w:r>
          </w:p>
        </w:tc>
        <w:tc>
          <w:tcPr>
            <w:tcW w:w="1483" w:type="dxa"/>
            <w:vAlign w:val="center"/>
          </w:tcPr>
          <w:p w14:paraId="3989669D" w14:textId="77777777" w:rsidR="002814F0" w:rsidRPr="00675B09" w:rsidRDefault="002814F0" w:rsidP="00965BC3">
            <w:pPr>
              <w:widowControl/>
              <w:ind w:right="0"/>
              <w:jc w:val="center"/>
              <w:rPr>
                <w:lang w:val="en-GB"/>
              </w:rPr>
            </w:pPr>
            <w:r w:rsidRPr="00675B09">
              <w:rPr>
                <w:lang w:val="en-GB"/>
              </w:rPr>
              <w:t>3% (2-4%)</w:t>
            </w:r>
          </w:p>
        </w:tc>
        <w:tc>
          <w:tcPr>
            <w:tcW w:w="1559" w:type="dxa"/>
            <w:vAlign w:val="center"/>
          </w:tcPr>
          <w:p w14:paraId="67326787" w14:textId="77777777" w:rsidR="002814F0" w:rsidRPr="00675B09" w:rsidRDefault="002814F0" w:rsidP="00965BC3">
            <w:pPr>
              <w:widowControl/>
              <w:ind w:right="0"/>
              <w:jc w:val="center"/>
              <w:rPr>
                <w:lang w:val="en-GB"/>
              </w:rPr>
            </w:pPr>
            <w:r w:rsidRPr="00675B09">
              <w:rPr>
                <w:lang w:val="en-GB"/>
              </w:rPr>
              <w:t>80% (63-90%)</w:t>
            </w:r>
          </w:p>
        </w:tc>
      </w:tr>
      <w:tr w:rsidR="00675B09" w:rsidRPr="00675B09" w14:paraId="0843691A" w14:textId="77777777" w:rsidTr="00C402B7">
        <w:trPr>
          <w:trHeight w:val="292"/>
          <w:jc w:val="center"/>
        </w:trPr>
        <w:tc>
          <w:tcPr>
            <w:tcW w:w="1134" w:type="dxa"/>
            <w:vAlign w:val="center"/>
          </w:tcPr>
          <w:p w14:paraId="7A747176" w14:textId="77777777" w:rsidR="002814F0" w:rsidRPr="00675B09" w:rsidRDefault="002814F0" w:rsidP="00965BC3">
            <w:pPr>
              <w:widowControl/>
              <w:ind w:right="0"/>
              <w:jc w:val="center"/>
              <w:rPr>
                <w:lang w:val="en-GB"/>
              </w:rPr>
            </w:pPr>
            <w:r w:rsidRPr="00675B09">
              <w:rPr>
                <w:lang w:val="en-GB"/>
              </w:rPr>
              <w:t>Bipolar Disorder (&lt; 18)</w:t>
            </w:r>
          </w:p>
        </w:tc>
        <w:tc>
          <w:tcPr>
            <w:tcW w:w="851" w:type="dxa"/>
            <w:vAlign w:val="center"/>
          </w:tcPr>
          <w:p w14:paraId="6031B21A" w14:textId="77777777" w:rsidR="002814F0" w:rsidRPr="00675B09" w:rsidRDefault="002814F0" w:rsidP="00965BC3">
            <w:pPr>
              <w:widowControl/>
              <w:ind w:right="0"/>
              <w:jc w:val="center"/>
              <w:rPr>
                <w:lang w:val="en-GB"/>
              </w:rPr>
            </w:pPr>
            <w:r w:rsidRPr="00675B09">
              <w:rPr>
                <w:lang w:val="en-GB"/>
              </w:rPr>
              <w:t>11</w:t>
            </w:r>
          </w:p>
        </w:tc>
        <w:tc>
          <w:tcPr>
            <w:tcW w:w="1276" w:type="dxa"/>
            <w:vAlign w:val="center"/>
          </w:tcPr>
          <w:p w14:paraId="6D8A818F" w14:textId="77777777" w:rsidR="002814F0" w:rsidRPr="00675B09" w:rsidRDefault="002814F0" w:rsidP="00965BC3">
            <w:pPr>
              <w:widowControl/>
              <w:ind w:right="0"/>
              <w:jc w:val="center"/>
              <w:rPr>
                <w:lang w:val="en-GB"/>
              </w:rPr>
            </w:pPr>
            <w:r w:rsidRPr="00675B09">
              <w:rPr>
                <w:lang w:val="en-GB"/>
              </w:rPr>
              <w:t>1845</w:t>
            </w:r>
          </w:p>
        </w:tc>
        <w:tc>
          <w:tcPr>
            <w:tcW w:w="1275" w:type="dxa"/>
            <w:vAlign w:val="center"/>
          </w:tcPr>
          <w:p w14:paraId="75993D49" w14:textId="77777777" w:rsidR="002814F0" w:rsidRPr="00675B09" w:rsidRDefault="002814F0" w:rsidP="00965BC3">
            <w:pPr>
              <w:widowControl/>
              <w:ind w:right="0"/>
              <w:jc w:val="center"/>
              <w:rPr>
                <w:lang w:val="en-GB"/>
              </w:rPr>
            </w:pPr>
            <w:r w:rsidRPr="00675B09">
              <w:rPr>
                <w:lang w:val="en-GB"/>
              </w:rPr>
              <w:t>36%</w:t>
            </w:r>
          </w:p>
        </w:tc>
        <w:tc>
          <w:tcPr>
            <w:tcW w:w="1134" w:type="dxa"/>
            <w:vAlign w:val="center"/>
          </w:tcPr>
          <w:p w14:paraId="12D120EB" w14:textId="77777777" w:rsidR="002814F0" w:rsidRPr="00675B09" w:rsidRDefault="002814F0" w:rsidP="00965BC3">
            <w:pPr>
              <w:widowControl/>
              <w:ind w:right="0"/>
              <w:jc w:val="center"/>
              <w:rPr>
                <w:lang w:val="en-GB"/>
              </w:rPr>
            </w:pPr>
            <w:r w:rsidRPr="00675B09">
              <w:rPr>
                <w:lang w:val="en-GB"/>
              </w:rPr>
              <w:t>64%</w:t>
            </w:r>
          </w:p>
        </w:tc>
        <w:tc>
          <w:tcPr>
            <w:tcW w:w="1276" w:type="dxa"/>
            <w:vAlign w:val="center"/>
          </w:tcPr>
          <w:p w14:paraId="7BE89389" w14:textId="77777777" w:rsidR="002814F0" w:rsidRPr="00675B09" w:rsidRDefault="002814F0" w:rsidP="00965BC3">
            <w:pPr>
              <w:widowControl/>
              <w:ind w:right="0"/>
              <w:jc w:val="center"/>
              <w:rPr>
                <w:lang w:val="en-GB"/>
              </w:rPr>
            </w:pPr>
            <w:r w:rsidRPr="00675B09">
              <w:rPr>
                <w:lang w:val="en-GB"/>
              </w:rPr>
              <w:t>91%</w:t>
            </w:r>
          </w:p>
        </w:tc>
        <w:tc>
          <w:tcPr>
            <w:tcW w:w="1134" w:type="dxa"/>
            <w:vAlign w:val="center"/>
          </w:tcPr>
          <w:p w14:paraId="2470E981" w14:textId="77777777" w:rsidR="002814F0" w:rsidRPr="00675B09" w:rsidRDefault="002814F0" w:rsidP="00965BC3">
            <w:pPr>
              <w:widowControl/>
              <w:ind w:right="0"/>
              <w:jc w:val="center"/>
              <w:rPr>
                <w:lang w:val="en-GB"/>
              </w:rPr>
            </w:pPr>
            <w:r w:rsidRPr="00675B09">
              <w:rPr>
                <w:lang w:val="en-GB"/>
              </w:rPr>
              <w:t>27%</w:t>
            </w:r>
          </w:p>
        </w:tc>
        <w:tc>
          <w:tcPr>
            <w:tcW w:w="1559" w:type="dxa"/>
            <w:vAlign w:val="center"/>
          </w:tcPr>
          <w:p w14:paraId="1ABAC1B9" w14:textId="77777777" w:rsidR="002814F0" w:rsidRPr="00675B09" w:rsidRDefault="002814F0" w:rsidP="00965BC3">
            <w:pPr>
              <w:widowControl/>
              <w:ind w:right="0"/>
              <w:jc w:val="center"/>
              <w:rPr>
                <w:lang w:val="en-GB"/>
              </w:rPr>
            </w:pPr>
            <w:r w:rsidRPr="00675B09">
              <w:rPr>
                <w:lang w:val="en-GB"/>
              </w:rPr>
              <w:t>1% (0-1%)</w:t>
            </w:r>
          </w:p>
        </w:tc>
        <w:tc>
          <w:tcPr>
            <w:tcW w:w="1701" w:type="dxa"/>
            <w:vAlign w:val="center"/>
          </w:tcPr>
          <w:p w14:paraId="09A6911B" w14:textId="77777777" w:rsidR="002814F0" w:rsidRPr="00675B09" w:rsidRDefault="002814F0" w:rsidP="00965BC3">
            <w:pPr>
              <w:widowControl/>
              <w:ind w:right="0"/>
              <w:jc w:val="center"/>
              <w:rPr>
                <w:lang w:val="en-GB"/>
              </w:rPr>
            </w:pPr>
            <w:r w:rsidRPr="00675B09">
              <w:rPr>
                <w:lang w:val="en-GB"/>
              </w:rPr>
              <w:t>13% (10-17%)</w:t>
            </w:r>
          </w:p>
        </w:tc>
        <w:tc>
          <w:tcPr>
            <w:tcW w:w="1636" w:type="dxa"/>
            <w:vAlign w:val="center"/>
          </w:tcPr>
          <w:p w14:paraId="56196371" w14:textId="77777777" w:rsidR="002814F0" w:rsidRPr="00675B09" w:rsidRDefault="002814F0" w:rsidP="00965BC3">
            <w:pPr>
              <w:widowControl/>
              <w:ind w:right="0"/>
              <w:jc w:val="center"/>
              <w:rPr>
                <w:lang w:val="en-GB"/>
              </w:rPr>
            </w:pPr>
            <w:r w:rsidRPr="00675B09">
              <w:rPr>
                <w:lang w:val="en-GB"/>
              </w:rPr>
              <w:t>20% (12-30%)</w:t>
            </w:r>
          </w:p>
        </w:tc>
        <w:tc>
          <w:tcPr>
            <w:tcW w:w="1483" w:type="dxa"/>
            <w:vAlign w:val="center"/>
          </w:tcPr>
          <w:p w14:paraId="2708CD74" w14:textId="77777777" w:rsidR="002814F0" w:rsidRPr="00675B09" w:rsidRDefault="002814F0" w:rsidP="00965BC3">
            <w:pPr>
              <w:widowControl/>
              <w:ind w:right="0"/>
              <w:jc w:val="center"/>
              <w:rPr>
                <w:lang w:val="en-GB"/>
              </w:rPr>
            </w:pPr>
            <w:r w:rsidRPr="00675B09">
              <w:rPr>
                <w:lang w:val="en-GB"/>
              </w:rPr>
              <w:t>9% (5-15%)</w:t>
            </w:r>
          </w:p>
        </w:tc>
        <w:tc>
          <w:tcPr>
            <w:tcW w:w="1559" w:type="dxa"/>
            <w:vAlign w:val="center"/>
          </w:tcPr>
          <w:p w14:paraId="17BEA818" w14:textId="77777777" w:rsidR="002814F0" w:rsidRPr="00675B09" w:rsidRDefault="002814F0" w:rsidP="00965BC3">
            <w:pPr>
              <w:widowControl/>
              <w:ind w:right="0"/>
              <w:jc w:val="center"/>
              <w:rPr>
                <w:lang w:val="en-GB"/>
              </w:rPr>
            </w:pPr>
            <w:r w:rsidRPr="00675B09">
              <w:rPr>
                <w:lang w:val="en-GB"/>
              </w:rPr>
              <w:t>77% (70-84%)</w:t>
            </w:r>
          </w:p>
        </w:tc>
      </w:tr>
      <w:tr w:rsidR="00675B09" w:rsidRPr="00675B09" w14:paraId="27E8ED21" w14:textId="77777777" w:rsidTr="00C402B7">
        <w:trPr>
          <w:trHeight w:val="292"/>
          <w:jc w:val="center"/>
        </w:trPr>
        <w:tc>
          <w:tcPr>
            <w:tcW w:w="1134" w:type="dxa"/>
            <w:vAlign w:val="center"/>
          </w:tcPr>
          <w:p w14:paraId="1D23CFC2" w14:textId="77777777" w:rsidR="002814F0" w:rsidRPr="00675B09" w:rsidRDefault="002814F0" w:rsidP="00965BC3">
            <w:pPr>
              <w:widowControl/>
              <w:ind w:right="0"/>
              <w:jc w:val="center"/>
              <w:rPr>
                <w:lang w:val="en-GB"/>
              </w:rPr>
            </w:pPr>
            <w:r w:rsidRPr="00675B09">
              <w:rPr>
                <w:lang w:val="en-GB"/>
              </w:rPr>
              <w:t>Bipolar Disorder (18+)</w:t>
            </w:r>
          </w:p>
        </w:tc>
        <w:tc>
          <w:tcPr>
            <w:tcW w:w="851" w:type="dxa"/>
            <w:vAlign w:val="center"/>
          </w:tcPr>
          <w:p w14:paraId="01E5F9A1" w14:textId="77777777" w:rsidR="002814F0" w:rsidRPr="00675B09" w:rsidRDefault="002814F0" w:rsidP="00965BC3">
            <w:pPr>
              <w:widowControl/>
              <w:ind w:right="0"/>
              <w:jc w:val="center"/>
              <w:rPr>
                <w:lang w:val="en-GB"/>
              </w:rPr>
            </w:pPr>
            <w:r w:rsidRPr="00675B09">
              <w:rPr>
                <w:lang w:val="en-GB"/>
              </w:rPr>
              <w:t>181</w:t>
            </w:r>
          </w:p>
        </w:tc>
        <w:tc>
          <w:tcPr>
            <w:tcW w:w="1276" w:type="dxa"/>
            <w:vAlign w:val="center"/>
          </w:tcPr>
          <w:p w14:paraId="6EA65925" w14:textId="77777777" w:rsidR="002814F0" w:rsidRPr="00675B09" w:rsidRDefault="002814F0" w:rsidP="00965BC3">
            <w:pPr>
              <w:widowControl/>
              <w:ind w:right="0"/>
              <w:jc w:val="center"/>
              <w:rPr>
                <w:lang w:val="en-GB"/>
              </w:rPr>
            </w:pPr>
            <w:r w:rsidRPr="00675B09">
              <w:rPr>
                <w:lang w:val="en-GB"/>
              </w:rPr>
              <w:t>39690</w:t>
            </w:r>
          </w:p>
        </w:tc>
        <w:tc>
          <w:tcPr>
            <w:tcW w:w="1275" w:type="dxa"/>
            <w:vAlign w:val="center"/>
          </w:tcPr>
          <w:p w14:paraId="7EB6E177" w14:textId="77777777" w:rsidR="002814F0" w:rsidRPr="00675B09" w:rsidRDefault="002814F0" w:rsidP="00965BC3">
            <w:pPr>
              <w:widowControl/>
              <w:ind w:right="0"/>
              <w:jc w:val="center"/>
              <w:rPr>
                <w:lang w:val="en-GB"/>
              </w:rPr>
            </w:pPr>
            <w:r w:rsidRPr="00675B09">
              <w:rPr>
                <w:lang w:val="en-GB"/>
              </w:rPr>
              <w:t>41%</w:t>
            </w:r>
          </w:p>
        </w:tc>
        <w:tc>
          <w:tcPr>
            <w:tcW w:w="1134" w:type="dxa"/>
            <w:vAlign w:val="center"/>
          </w:tcPr>
          <w:p w14:paraId="48F4A145" w14:textId="77777777" w:rsidR="002814F0" w:rsidRPr="00675B09" w:rsidRDefault="002814F0" w:rsidP="00965BC3">
            <w:pPr>
              <w:widowControl/>
              <w:ind w:right="0"/>
              <w:jc w:val="center"/>
              <w:rPr>
                <w:lang w:val="en-GB"/>
              </w:rPr>
            </w:pPr>
            <w:r w:rsidRPr="00675B09">
              <w:rPr>
                <w:lang w:val="en-GB"/>
              </w:rPr>
              <w:t>52%</w:t>
            </w:r>
          </w:p>
        </w:tc>
        <w:tc>
          <w:tcPr>
            <w:tcW w:w="1276" w:type="dxa"/>
            <w:vAlign w:val="center"/>
          </w:tcPr>
          <w:p w14:paraId="6BDBA476" w14:textId="77777777" w:rsidR="002814F0" w:rsidRPr="00675B09" w:rsidRDefault="002814F0" w:rsidP="00965BC3">
            <w:pPr>
              <w:widowControl/>
              <w:ind w:right="0"/>
              <w:jc w:val="center"/>
              <w:rPr>
                <w:lang w:val="en-GB"/>
              </w:rPr>
            </w:pPr>
            <w:r w:rsidRPr="00675B09">
              <w:rPr>
                <w:lang w:val="en-GB"/>
              </w:rPr>
              <w:t>44%</w:t>
            </w:r>
          </w:p>
        </w:tc>
        <w:tc>
          <w:tcPr>
            <w:tcW w:w="1134" w:type="dxa"/>
            <w:vAlign w:val="center"/>
          </w:tcPr>
          <w:p w14:paraId="64413F3F" w14:textId="77777777" w:rsidR="002814F0" w:rsidRPr="00675B09" w:rsidRDefault="002814F0" w:rsidP="00965BC3">
            <w:pPr>
              <w:widowControl/>
              <w:ind w:right="0"/>
              <w:jc w:val="center"/>
              <w:rPr>
                <w:lang w:val="en-GB"/>
              </w:rPr>
            </w:pPr>
            <w:r w:rsidRPr="00675B09">
              <w:rPr>
                <w:lang w:val="en-GB"/>
              </w:rPr>
              <w:t>6%</w:t>
            </w:r>
          </w:p>
        </w:tc>
        <w:tc>
          <w:tcPr>
            <w:tcW w:w="1559" w:type="dxa"/>
            <w:vAlign w:val="center"/>
          </w:tcPr>
          <w:p w14:paraId="362441CF" w14:textId="77777777" w:rsidR="002814F0" w:rsidRPr="00675B09" w:rsidRDefault="002814F0" w:rsidP="00965BC3">
            <w:pPr>
              <w:widowControl/>
              <w:ind w:right="0"/>
              <w:jc w:val="center"/>
              <w:rPr>
                <w:lang w:val="en-GB"/>
              </w:rPr>
            </w:pPr>
            <w:r w:rsidRPr="00675B09">
              <w:rPr>
                <w:lang w:val="en-GB"/>
              </w:rPr>
              <w:t>6% (3-11%)</w:t>
            </w:r>
          </w:p>
        </w:tc>
        <w:tc>
          <w:tcPr>
            <w:tcW w:w="1701" w:type="dxa"/>
            <w:vAlign w:val="center"/>
          </w:tcPr>
          <w:p w14:paraId="27FD6796" w14:textId="77777777" w:rsidR="002814F0" w:rsidRPr="00675B09" w:rsidRDefault="002814F0" w:rsidP="00965BC3">
            <w:pPr>
              <w:widowControl/>
              <w:ind w:right="0"/>
              <w:jc w:val="center"/>
              <w:rPr>
                <w:lang w:val="en-GB"/>
              </w:rPr>
            </w:pPr>
            <w:r w:rsidRPr="00675B09">
              <w:rPr>
                <w:lang w:val="en-GB"/>
              </w:rPr>
              <w:t>11% (8-13%)</w:t>
            </w:r>
          </w:p>
        </w:tc>
        <w:tc>
          <w:tcPr>
            <w:tcW w:w="1636" w:type="dxa"/>
            <w:vAlign w:val="center"/>
          </w:tcPr>
          <w:p w14:paraId="3F7BA09C" w14:textId="77777777" w:rsidR="002814F0" w:rsidRPr="00675B09" w:rsidRDefault="002814F0" w:rsidP="00965BC3">
            <w:pPr>
              <w:widowControl/>
              <w:ind w:right="0"/>
              <w:jc w:val="center"/>
              <w:rPr>
                <w:lang w:val="en-GB"/>
              </w:rPr>
            </w:pPr>
            <w:r w:rsidRPr="00675B09">
              <w:rPr>
                <w:lang w:val="en-GB"/>
              </w:rPr>
              <w:t>13% (9-19%)</w:t>
            </w:r>
          </w:p>
        </w:tc>
        <w:tc>
          <w:tcPr>
            <w:tcW w:w="1483" w:type="dxa"/>
            <w:vAlign w:val="center"/>
          </w:tcPr>
          <w:p w14:paraId="04CD6694" w14:textId="77777777" w:rsidR="002814F0" w:rsidRPr="00675B09" w:rsidRDefault="002814F0" w:rsidP="00965BC3">
            <w:pPr>
              <w:widowControl/>
              <w:ind w:right="0"/>
              <w:jc w:val="center"/>
              <w:rPr>
                <w:lang w:val="en-GB"/>
              </w:rPr>
            </w:pPr>
            <w:r w:rsidRPr="00675B09">
              <w:rPr>
                <w:lang w:val="en-GB"/>
              </w:rPr>
              <w:t>7% (6-10%)</w:t>
            </w:r>
          </w:p>
        </w:tc>
        <w:tc>
          <w:tcPr>
            <w:tcW w:w="1559" w:type="dxa"/>
            <w:vAlign w:val="center"/>
          </w:tcPr>
          <w:p w14:paraId="56E4F070" w14:textId="77777777" w:rsidR="002814F0" w:rsidRPr="00675B09" w:rsidRDefault="002814F0" w:rsidP="00965BC3">
            <w:pPr>
              <w:widowControl/>
              <w:ind w:right="0"/>
              <w:jc w:val="center"/>
              <w:rPr>
                <w:lang w:val="en-GB"/>
              </w:rPr>
            </w:pPr>
            <w:r w:rsidRPr="00675B09">
              <w:rPr>
                <w:lang w:val="en-GB"/>
              </w:rPr>
              <w:t>72% (68-75%)</w:t>
            </w:r>
          </w:p>
        </w:tc>
      </w:tr>
      <w:tr w:rsidR="00675B09" w:rsidRPr="00675B09" w14:paraId="69860C27" w14:textId="77777777" w:rsidTr="00C402B7">
        <w:trPr>
          <w:trHeight w:val="292"/>
          <w:jc w:val="center"/>
        </w:trPr>
        <w:tc>
          <w:tcPr>
            <w:tcW w:w="1134" w:type="dxa"/>
            <w:vAlign w:val="center"/>
          </w:tcPr>
          <w:p w14:paraId="2DDDC8CE" w14:textId="77777777" w:rsidR="002814F0" w:rsidRPr="00675B09" w:rsidRDefault="002814F0" w:rsidP="00965BC3">
            <w:pPr>
              <w:widowControl/>
              <w:ind w:right="0"/>
              <w:jc w:val="center"/>
              <w:rPr>
                <w:lang w:val="en-GB"/>
              </w:rPr>
            </w:pPr>
            <w:r w:rsidRPr="00675B09">
              <w:rPr>
                <w:lang w:val="en-GB"/>
              </w:rPr>
              <w:t>Dementia (18+)</w:t>
            </w:r>
          </w:p>
        </w:tc>
        <w:tc>
          <w:tcPr>
            <w:tcW w:w="851" w:type="dxa"/>
            <w:vAlign w:val="center"/>
          </w:tcPr>
          <w:p w14:paraId="306D5B0E" w14:textId="77777777" w:rsidR="002814F0" w:rsidRPr="00675B09" w:rsidRDefault="002814F0" w:rsidP="00965BC3">
            <w:pPr>
              <w:widowControl/>
              <w:ind w:right="0"/>
              <w:jc w:val="center"/>
              <w:rPr>
                <w:lang w:val="en-GB"/>
              </w:rPr>
            </w:pPr>
            <w:r w:rsidRPr="00675B09">
              <w:rPr>
                <w:lang w:val="en-GB"/>
              </w:rPr>
              <w:t>63</w:t>
            </w:r>
          </w:p>
        </w:tc>
        <w:tc>
          <w:tcPr>
            <w:tcW w:w="1276" w:type="dxa"/>
            <w:vAlign w:val="center"/>
          </w:tcPr>
          <w:p w14:paraId="6E4B0837" w14:textId="77777777" w:rsidR="002814F0" w:rsidRPr="00675B09" w:rsidRDefault="002814F0" w:rsidP="00965BC3">
            <w:pPr>
              <w:widowControl/>
              <w:ind w:right="0"/>
              <w:jc w:val="center"/>
              <w:rPr>
                <w:lang w:val="en-GB"/>
              </w:rPr>
            </w:pPr>
            <w:r w:rsidRPr="00675B09">
              <w:rPr>
                <w:lang w:val="en-GB"/>
              </w:rPr>
              <w:t>10132</w:t>
            </w:r>
          </w:p>
        </w:tc>
        <w:tc>
          <w:tcPr>
            <w:tcW w:w="1275" w:type="dxa"/>
            <w:vAlign w:val="center"/>
          </w:tcPr>
          <w:p w14:paraId="4F8727E8" w14:textId="77777777" w:rsidR="002814F0" w:rsidRPr="00675B09" w:rsidRDefault="002814F0" w:rsidP="00965BC3">
            <w:pPr>
              <w:widowControl/>
              <w:ind w:right="0"/>
              <w:jc w:val="center"/>
              <w:rPr>
                <w:lang w:val="en-GB"/>
              </w:rPr>
            </w:pPr>
            <w:r w:rsidRPr="00675B09">
              <w:rPr>
                <w:lang w:val="en-GB"/>
              </w:rPr>
              <w:t>29%</w:t>
            </w:r>
          </w:p>
        </w:tc>
        <w:tc>
          <w:tcPr>
            <w:tcW w:w="1134" w:type="dxa"/>
            <w:vAlign w:val="center"/>
          </w:tcPr>
          <w:p w14:paraId="0F12C7ED" w14:textId="77777777" w:rsidR="002814F0" w:rsidRPr="00675B09" w:rsidRDefault="002814F0" w:rsidP="00965BC3">
            <w:pPr>
              <w:widowControl/>
              <w:ind w:right="0"/>
              <w:jc w:val="center"/>
              <w:rPr>
                <w:lang w:val="en-GB"/>
              </w:rPr>
            </w:pPr>
            <w:r w:rsidRPr="00675B09">
              <w:rPr>
                <w:lang w:val="en-GB"/>
              </w:rPr>
              <w:t>63%</w:t>
            </w:r>
          </w:p>
        </w:tc>
        <w:tc>
          <w:tcPr>
            <w:tcW w:w="1276" w:type="dxa"/>
            <w:vAlign w:val="center"/>
          </w:tcPr>
          <w:p w14:paraId="5E8C7E00" w14:textId="77777777" w:rsidR="002814F0" w:rsidRPr="00675B09" w:rsidRDefault="002814F0" w:rsidP="00965BC3">
            <w:pPr>
              <w:widowControl/>
              <w:ind w:right="0"/>
              <w:jc w:val="center"/>
              <w:rPr>
                <w:lang w:val="en-GB"/>
              </w:rPr>
            </w:pPr>
            <w:r w:rsidRPr="00675B09">
              <w:rPr>
                <w:lang w:val="en-GB"/>
              </w:rPr>
              <w:t>41%</w:t>
            </w:r>
          </w:p>
        </w:tc>
        <w:tc>
          <w:tcPr>
            <w:tcW w:w="1134" w:type="dxa"/>
            <w:vAlign w:val="center"/>
          </w:tcPr>
          <w:p w14:paraId="4ECABAF6" w14:textId="77777777" w:rsidR="002814F0" w:rsidRPr="00675B09" w:rsidRDefault="002814F0" w:rsidP="00965BC3">
            <w:pPr>
              <w:widowControl/>
              <w:ind w:right="0"/>
              <w:jc w:val="center"/>
              <w:rPr>
                <w:lang w:val="en-GB"/>
              </w:rPr>
            </w:pPr>
            <w:r w:rsidRPr="00675B09">
              <w:rPr>
                <w:lang w:val="en-GB"/>
              </w:rPr>
              <w:t>38%</w:t>
            </w:r>
          </w:p>
        </w:tc>
        <w:tc>
          <w:tcPr>
            <w:tcW w:w="1559" w:type="dxa"/>
            <w:vAlign w:val="center"/>
          </w:tcPr>
          <w:p w14:paraId="52735DF6" w14:textId="77777777" w:rsidR="002814F0" w:rsidRPr="00675B09" w:rsidRDefault="002814F0" w:rsidP="00965BC3">
            <w:pPr>
              <w:widowControl/>
              <w:ind w:right="0"/>
              <w:jc w:val="center"/>
              <w:rPr>
                <w:lang w:val="en-GB"/>
              </w:rPr>
            </w:pPr>
            <w:r w:rsidRPr="00675B09">
              <w:rPr>
                <w:lang w:val="en-GB"/>
              </w:rPr>
              <w:t>3% (0-18%)</w:t>
            </w:r>
          </w:p>
        </w:tc>
        <w:tc>
          <w:tcPr>
            <w:tcW w:w="1701" w:type="dxa"/>
            <w:vAlign w:val="center"/>
          </w:tcPr>
          <w:p w14:paraId="2EE8841B" w14:textId="77777777" w:rsidR="002814F0" w:rsidRPr="00675B09" w:rsidRDefault="002814F0" w:rsidP="00965BC3">
            <w:pPr>
              <w:widowControl/>
              <w:ind w:right="0"/>
              <w:jc w:val="center"/>
              <w:rPr>
                <w:lang w:val="en-GB"/>
              </w:rPr>
            </w:pPr>
            <w:r w:rsidRPr="00675B09">
              <w:rPr>
                <w:lang w:val="en-GB"/>
              </w:rPr>
              <w:t>3% (2-4%)</w:t>
            </w:r>
          </w:p>
        </w:tc>
        <w:tc>
          <w:tcPr>
            <w:tcW w:w="1636" w:type="dxa"/>
            <w:vAlign w:val="center"/>
          </w:tcPr>
          <w:p w14:paraId="2920BC34" w14:textId="77777777" w:rsidR="002814F0" w:rsidRPr="00675B09" w:rsidRDefault="002814F0" w:rsidP="00965BC3">
            <w:pPr>
              <w:widowControl/>
              <w:ind w:right="0"/>
              <w:jc w:val="center"/>
              <w:rPr>
                <w:lang w:val="en-GB"/>
              </w:rPr>
            </w:pPr>
            <w:r w:rsidRPr="00675B09">
              <w:rPr>
                <w:lang w:val="en-GB"/>
              </w:rPr>
              <w:t>2% (1-4%)</w:t>
            </w:r>
          </w:p>
        </w:tc>
        <w:tc>
          <w:tcPr>
            <w:tcW w:w="1483" w:type="dxa"/>
            <w:vAlign w:val="center"/>
          </w:tcPr>
          <w:p w14:paraId="67E0D9CD" w14:textId="77777777" w:rsidR="002814F0" w:rsidRPr="00675B09" w:rsidRDefault="002814F0" w:rsidP="00965BC3">
            <w:pPr>
              <w:widowControl/>
              <w:ind w:right="0"/>
              <w:jc w:val="center"/>
              <w:rPr>
                <w:lang w:val="en-GB"/>
              </w:rPr>
            </w:pPr>
            <w:r w:rsidRPr="00675B09">
              <w:rPr>
                <w:lang w:val="en-GB"/>
              </w:rPr>
              <w:t>3% (1-5%)</w:t>
            </w:r>
          </w:p>
        </w:tc>
        <w:tc>
          <w:tcPr>
            <w:tcW w:w="1559" w:type="dxa"/>
            <w:vAlign w:val="center"/>
          </w:tcPr>
          <w:p w14:paraId="38106F2E" w14:textId="77777777" w:rsidR="002814F0" w:rsidRPr="00675B09" w:rsidRDefault="002814F0" w:rsidP="00965BC3">
            <w:pPr>
              <w:widowControl/>
              <w:ind w:right="0"/>
              <w:jc w:val="center"/>
              <w:rPr>
                <w:lang w:val="en-GB"/>
              </w:rPr>
            </w:pPr>
            <w:r w:rsidRPr="00675B09">
              <w:rPr>
                <w:lang w:val="en-GB"/>
              </w:rPr>
              <w:t>92% (89-94%)</w:t>
            </w:r>
          </w:p>
        </w:tc>
      </w:tr>
      <w:tr w:rsidR="00675B09" w:rsidRPr="00675B09" w14:paraId="51FA1E9E" w14:textId="77777777" w:rsidTr="00C402B7">
        <w:trPr>
          <w:trHeight w:val="292"/>
          <w:jc w:val="center"/>
        </w:trPr>
        <w:tc>
          <w:tcPr>
            <w:tcW w:w="1134" w:type="dxa"/>
            <w:vAlign w:val="center"/>
          </w:tcPr>
          <w:p w14:paraId="568D2934" w14:textId="77777777" w:rsidR="002814F0" w:rsidRPr="00675B09" w:rsidRDefault="002814F0" w:rsidP="00965BC3">
            <w:pPr>
              <w:widowControl/>
              <w:ind w:right="0"/>
              <w:jc w:val="center"/>
              <w:rPr>
                <w:lang w:val="en-GB"/>
              </w:rPr>
            </w:pPr>
            <w:r w:rsidRPr="00675B09">
              <w:rPr>
                <w:lang w:val="en-GB"/>
              </w:rPr>
              <w:t>Eating Disorders (18+)</w:t>
            </w:r>
          </w:p>
        </w:tc>
        <w:tc>
          <w:tcPr>
            <w:tcW w:w="851" w:type="dxa"/>
            <w:vAlign w:val="center"/>
          </w:tcPr>
          <w:p w14:paraId="0072A575" w14:textId="77777777" w:rsidR="002814F0" w:rsidRPr="00675B09" w:rsidRDefault="002814F0" w:rsidP="00965BC3">
            <w:pPr>
              <w:widowControl/>
              <w:ind w:right="0"/>
              <w:jc w:val="center"/>
              <w:rPr>
                <w:lang w:val="en-GB"/>
              </w:rPr>
            </w:pPr>
            <w:r w:rsidRPr="00675B09">
              <w:rPr>
                <w:lang w:val="en-GB"/>
              </w:rPr>
              <w:t>13</w:t>
            </w:r>
          </w:p>
        </w:tc>
        <w:tc>
          <w:tcPr>
            <w:tcW w:w="1276" w:type="dxa"/>
            <w:vAlign w:val="center"/>
          </w:tcPr>
          <w:p w14:paraId="49422CC1" w14:textId="77777777" w:rsidR="002814F0" w:rsidRPr="00675B09" w:rsidRDefault="002814F0" w:rsidP="00965BC3">
            <w:pPr>
              <w:widowControl/>
              <w:ind w:right="0"/>
              <w:jc w:val="center"/>
              <w:rPr>
                <w:lang w:val="en-GB"/>
              </w:rPr>
            </w:pPr>
            <w:r w:rsidRPr="00675B09">
              <w:rPr>
                <w:lang w:val="en-GB"/>
              </w:rPr>
              <w:t>2261</w:t>
            </w:r>
          </w:p>
        </w:tc>
        <w:tc>
          <w:tcPr>
            <w:tcW w:w="1275" w:type="dxa"/>
            <w:vAlign w:val="center"/>
          </w:tcPr>
          <w:p w14:paraId="0ABBCB40" w14:textId="77777777" w:rsidR="002814F0" w:rsidRPr="00675B09" w:rsidRDefault="002814F0" w:rsidP="00965BC3">
            <w:pPr>
              <w:widowControl/>
              <w:ind w:right="0"/>
              <w:jc w:val="center"/>
              <w:rPr>
                <w:lang w:val="en-GB"/>
              </w:rPr>
            </w:pPr>
            <w:r w:rsidRPr="00675B09">
              <w:rPr>
                <w:lang w:val="en-GB"/>
              </w:rPr>
              <w:t>31%</w:t>
            </w:r>
          </w:p>
        </w:tc>
        <w:tc>
          <w:tcPr>
            <w:tcW w:w="1134" w:type="dxa"/>
            <w:vAlign w:val="center"/>
          </w:tcPr>
          <w:p w14:paraId="6170FABD" w14:textId="77777777" w:rsidR="002814F0" w:rsidRPr="00675B09" w:rsidRDefault="002814F0" w:rsidP="00965BC3">
            <w:pPr>
              <w:widowControl/>
              <w:ind w:right="0"/>
              <w:jc w:val="center"/>
              <w:rPr>
                <w:lang w:val="en-GB"/>
              </w:rPr>
            </w:pPr>
            <w:r w:rsidRPr="00675B09">
              <w:rPr>
                <w:lang w:val="en-GB"/>
              </w:rPr>
              <w:t>46%</w:t>
            </w:r>
          </w:p>
        </w:tc>
        <w:tc>
          <w:tcPr>
            <w:tcW w:w="1276" w:type="dxa"/>
            <w:vAlign w:val="center"/>
          </w:tcPr>
          <w:p w14:paraId="4650101B" w14:textId="77777777" w:rsidR="002814F0" w:rsidRPr="00675B09" w:rsidRDefault="002814F0" w:rsidP="00965BC3">
            <w:pPr>
              <w:widowControl/>
              <w:ind w:right="0"/>
              <w:jc w:val="center"/>
              <w:rPr>
                <w:lang w:val="en-GB"/>
              </w:rPr>
            </w:pPr>
            <w:r w:rsidRPr="00675B09">
              <w:rPr>
                <w:lang w:val="en-GB"/>
              </w:rPr>
              <w:t>69%</w:t>
            </w:r>
          </w:p>
        </w:tc>
        <w:tc>
          <w:tcPr>
            <w:tcW w:w="1134" w:type="dxa"/>
            <w:vAlign w:val="center"/>
          </w:tcPr>
          <w:p w14:paraId="0886C7C9" w14:textId="77777777" w:rsidR="002814F0" w:rsidRPr="00675B09" w:rsidRDefault="002814F0" w:rsidP="00965BC3">
            <w:pPr>
              <w:widowControl/>
              <w:ind w:right="0"/>
              <w:jc w:val="center"/>
              <w:rPr>
                <w:lang w:val="en-GB"/>
              </w:rPr>
            </w:pPr>
            <w:r w:rsidRPr="00675B09">
              <w:rPr>
                <w:lang w:val="en-GB"/>
              </w:rPr>
              <w:t>62%</w:t>
            </w:r>
          </w:p>
        </w:tc>
        <w:tc>
          <w:tcPr>
            <w:tcW w:w="1559" w:type="dxa"/>
            <w:vAlign w:val="center"/>
          </w:tcPr>
          <w:p w14:paraId="35AB13AE" w14:textId="77777777" w:rsidR="002814F0" w:rsidRPr="00675B09" w:rsidRDefault="002814F0" w:rsidP="00965BC3">
            <w:pPr>
              <w:widowControl/>
              <w:ind w:right="0"/>
              <w:jc w:val="center"/>
              <w:rPr>
                <w:lang w:val="en-GB"/>
              </w:rPr>
            </w:pPr>
            <w:r w:rsidRPr="00675B09">
              <w:rPr>
                <w:lang w:val="en-GB"/>
              </w:rPr>
              <w:t>1% (1-2%)</w:t>
            </w:r>
          </w:p>
        </w:tc>
        <w:tc>
          <w:tcPr>
            <w:tcW w:w="1701" w:type="dxa"/>
            <w:vAlign w:val="center"/>
          </w:tcPr>
          <w:p w14:paraId="7F1ED3BF" w14:textId="77777777" w:rsidR="002814F0" w:rsidRPr="00675B09" w:rsidRDefault="002814F0" w:rsidP="00965BC3">
            <w:pPr>
              <w:widowControl/>
              <w:ind w:right="0"/>
              <w:jc w:val="center"/>
              <w:rPr>
                <w:lang w:val="en-GB"/>
              </w:rPr>
            </w:pPr>
            <w:r w:rsidRPr="00675B09">
              <w:rPr>
                <w:lang w:val="en-GB"/>
              </w:rPr>
              <w:t>12% (9-16%)</w:t>
            </w:r>
          </w:p>
        </w:tc>
        <w:tc>
          <w:tcPr>
            <w:tcW w:w="1636" w:type="dxa"/>
            <w:vAlign w:val="center"/>
          </w:tcPr>
          <w:p w14:paraId="5CAE48E9" w14:textId="77777777" w:rsidR="002814F0" w:rsidRPr="00675B09" w:rsidRDefault="002814F0" w:rsidP="00965BC3">
            <w:pPr>
              <w:widowControl/>
              <w:ind w:right="0"/>
              <w:jc w:val="center"/>
              <w:rPr>
                <w:lang w:val="en-GB"/>
              </w:rPr>
            </w:pPr>
            <w:r w:rsidRPr="00675B09">
              <w:rPr>
                <w:lang w:val="en-GB"/>
              </w:rPr>
              <w:t>0% (0-1%)</w:t>
            </w:r>
          </w:p>
        </w:tc>
        <w:tc>
          <w:tcPr>
            <w:tcW w:w="1483" w:type="dxa"/>
            <w:vAlign w:val="center"/>
          </w:tcPr>
          <w:p w14:paraId="252FFCAC" w14:textId="77777777" w:rsidR="002814F0" w:rsidRPr="00675B09" w:rsidRDefault="002814F0" w:rsidP="00965BC3">
            <w:pPr>
              <w:widowControl/>
              <w:ind w:right="0"/>
              <w:jc w:val="center"/>
              <w:rPr>
                <w:lang w:val="en-GB"/>
              </w:rPr>
            </w:pPr>
            <w:r w:rsidRPr="00675B09">
              <w:rPr>
                <w:lang w:val="en-GB"/>
              </w:rPr>
              <w:t>8% (4-15%)</w:t>
            </w:r>
          </w:p>
        </w:tc>
        <w:tc>
          <w:tcPr>
            <w:tcW w:w="1559" w:type="dxa"/>
            <w:vAlign w:val="center"/>
          </w:tcPr>
          <w:p w14:paraId="3CFD06C9" w14:textId="77777777" w:rsidR="002814F0" w:rsidRPr="00675B09" w:rsidRDefault="002814F0" w:rsidP="00965BC3">
            <w:pPr>
              <w:widowControl/>
              <w:ind w:right="0"/>
              <w:jc w:val="center"/>
              <w:rPr>
                <w:lang w:val="en-GB"/>
              </w:rPr>
            </w:pPr>
            <w:r w:rsidRPr="00675B09">
              <w:rPr>
                <w:lang w:val="en-GB"/>
              </w:rPr>
              <w:t>84% (78-89%)</w:t>
            </w:r>
          </w:p>
        </w:tc>
      </w:tr>
      <w:tr w:rsidR="00675B09" w:rsidRPr="00675B09" w14:paraId="26FFA623" w14:textId="77777777" w:rsidTr="00C402B7">
        <w:trPr>
          <w:trHeight w:val="292"/>
          <w:jc w:val="center"/>
        </w:trPr>
        <w:tc>
          <w:tcPr>
            <w:tcW w:w="1134" w:type="dxa"/>
            <w:vAlign w:val="center"/>
          </w:tcPr>
          <w:p w14:paraId="037565D3" w14:textId="77777777" w:rsidR="002814F0" w:rsidRPr="00675B09" w:rsidRDefault="002814F0" w:rsidP="00965BC3">
            <w:pPr>
              <w:widowControl/>
              <w:ind w:right="0"/>
              <w:jc w:val="center"/>
              <w:rPr>
                <w:lang w:val="en-GB"/>
              </w:rPr>
            </w:pPr>
            <w:r w:rsidRPr="00675B09">
              <w:rPr>
                <w:lang w:val="en-GB"/>
              </w:rPr>
              <w:t>Generalised Anxiety Disorder (18+)</w:t>
            </w:r>
          </w:p>
        </w:tc>
        <w:tc>
          <w:tcPr>
            <w:tcW w:w="851" w:type="dxa"/>
            <w:vAlign w:val="center"/>
          </w:tcPr>
          <w:p w14:paraId="49CFFBA3" w14:textId="77777777" w:rsidR="002814F0" w:rsidRPr="00675B09" w:rsidRDefault="002814F0" w:rsidP="00965BC3">
            <w:pPr>
              <w:widowControl/>
              <w:ind w:right="0"/>
              <w:jc w:val="center"/>
              <w:rPr>
                <w:lang w:val="en-GB"/>
              </w:rPr>
            </w:pPr>
            <w:r w:rsidRPr="00675B09">
              <w:rPr>
                <w:lang w:val="en-GB"/>
              </w:rPr>
              <w:t>67</w:t>
            </w:r>
          </w:p>
        </w:tc>
        <w:tc>
          <w:tcPr>
            <w:tcW w:w="1276" w:type="dxa"/>
            <w:vAlign w:val="center"/>
          </w:tcPr>
          <w:p w14:paraId="4AF56798" w14:textId="77777777" w:rsidR="002814F0" w:rsidRPr="00675B09" w:rsidRDefault="002814F0" w:rsidP="00965BC3">
            <w:pPr>
              <w:widowControl/>
              <w:ind w:right="0"/>
              <w:jc w:val="center"/>
              <w:rPr>
                <w:lang w:val="en-GB"/>
              </w:rPr>
            </w:pPr>
            <w:r w:rsidRPr="00675B09">
              <w:rPr>
                <w:lang w:val="en-GB"/>
              </w:rPr>
              <w:t>24336</w:t>
            </w:r>
          </w:p>
        </w:tc>
        <w:tc>
          <w:tcPr>
            <w:tcW w:w="1275" w:type="dxa"/>
            <w:vAlign w:val="center"/>
          </w:tcPr>
          <w:p w14:paraId="439401B8" w14:textId="77777777" w:rsidR="002814F0" w:rsidRPr="00675B09" w:rsidRDefault="002814F0" w:rsidP="00965BC3">
            <w:pPr>
              <w:widowControl/>
              <w:ind w:right="0"/>
              <w:jc w:val="center"/>
              <w:rPr>
                <w:lang w:val="en-GB"/>
              </w:rPr>
            </w:pPr>
            <w:r w:rsidRPr="00675B09">
              <w:rPr>
                <w:lang w:val="en-GB"/>
              </w:rPr>
              <w:t>12%</w:t>
            </w:r>
          </w:p>
        </w:tc>
        <w:tc>
          <w:tcPr>
            <w:tcW w:w="1134" w:type="dxa"/>
            <w:vAlign w:val="center"/>
          </w:tcPr>
          <w:p w14:paraId="2012BEF8" w14:textId="77777777" w:rsidR="002814F0" w:rsidRPr="00675B09" w:rsidRDefault="002814F0" w:rsidP="00965BC3">
            <w:pPr>
              <w:widowControl/>
              <w:ind w:right="0"/>
              <w:jc w:val="center"/>
              <w:rPr>
                <w:lang w:val="en-GB"/>
              </w:rPr>
            </w:pPr>
            <w:r w:rsidRPr="00675B09">
              <w:rPr>
                <w:lang w:val="en-GB"/>
              </w:rPr>
              <w:t>85%</w:t>
            </w:r>
          </w:p>
        </w:tc>
        <w:tc>
          <w:tcPr>
            <w:tcW w:w="1276" w:type="dxa"/>
            <w:vAlign w:val="center"/>
          </w:tcPr>
          <w:p w14:paraId="0A3502BE" w14:textId="77777777" w:rsidR="002814F0" w:rsidRPr="00675B09" w:rsidRDefault="002814F0" w:rsidP="00965BC3">
            <w:pPr>
              <w:widowControl/>
              <w:ind w:right="0"/>
              <w:jc w:val="center"/>
              <w:rPr>
                <w:lang w:val="en-GB"/>
              </w:rPr>
            </w:pPr>
            <w:r w:rsidRPr="00675B09">
              <w:rPr>
                <w:lang w:val="en-GB"/>
              </w:rPr>
              <w:t>57%</w:t>
            </w:r>
          </w:p>
        </w:tc>
        <w:tc>
          <w:tcPr>
            <w:tcW w:w="1134" w:type="dxa"/>
            <w:vAlign w:val="center"/>
          </w:tcPr>
          <w:p w14:paraId="2EB6F3EA" w14:textId="77777777" w:rsidR="002814F0" w:rsidRPr="00675B09" w:rsidRDefault="002814F0" w:rsidP="00965BC3">
            <w:pPr>
              <w:widowControl/>
              <w:ind w:right="0"/>
              <w:jc w:val="center"/>
              <w:rPr>
                <w:lang w:val="en-GB"/>
              </w:rPr>
            </w:pPr>
            <w:r w:rsidRPr="00675B09">
              <w:rPr>
                <w:lang w:val="en-GB"/>
              </w:rPr>
              <w:t>16%</w:t>
            </w:r>
          </w:p>
        </w:tc>
        <w:tc>
          <w:tcPr>
            <w:tcW w:w="1559" w:type="dxa"/>
            <w:vAlign w:val="center"/>
          </w:tcPr>
          <w:p w14:paraId="3BB81706" w14:textId="77777777" w:rsidR="002814F0" w:rsidRPr="00675B09" w:rsidRDefault="002814F0" w:rsidP="00965BC3">
            <w:pPr>
              <w:widowControl/>
              <w:ind w:right="0"/>
              <w:jc w:val="center"/>
              <w:rPr>
                <w:lang w:val="en-GB"/>
              </w:rPr>
            </w:pPr>
            <w:r w:rsidRPr="00675B09">
              <w:rPr>
                <w:lang w:val="en-GB"/>
              </w:rPr>
              <w:t>1% (1-1%)</w:t>
            </w:r>
          </w:p>
        </w:tc>
        <w:tc>
          <w:tcPr>
            <w:tcW w:w="1701" w:type="dxa"/>
            <w:vAlign w:val="center"/>
          </w:tcPr>
          <w:p w14:paraId="205811CE" w14:textId="77777777" w:rsidR="002814F0" w:rsidRPr="00675B09" w:rsidRDefault="002814F0" w:rsidP="00965BC3">
            <w:pPr>
              <w:widowControl/>
              <w:ind w:right="0"/>
              <w:jc w:val="center"/>
              <w:rPr>
                <w:lang w:val="en-GB"/>
              </w:rPr>
            </w:pPr>
            <w:r w:rsidRPr="00675B09">
              <w:rPr>
                <w:lang w:val="en-GB"/>
              </w:rPr>
              <w:t>6% (4-8%)</w:t>
            </w:r>
          </w:p>
        </w:tc>
        <w:tc>
          <w:tcPr>
            <w:tcW w:w="1636" w:type="dxa"/>
            <w:vAlign w:val="center"/>
          </w:tcPr>
          <w:p w14:paraId="6DAFD065" w14:textId="77777777" w:rsidR="002814F0" w:rsidRPr="00675B09" w:rsidRDefault="002814F0" w:rsidP="00965BC3">
            <w:pPr>
              <w:widowControl/>
              <w:ind w:right="0"/>
              <w:jc w:val="center"/>
              <w:rPr>
                <w:lang w:val="en-GB"/>
              </w:rPr>
            </w:pPr>
            <w:r w:rsidRPr="00675B09">
              <w:rPr>
                <w:lang w:val="en-GB"/>
              </w:rPr>
              <w:t>5% (3-10%)</w:t>
            </w:r>
          </w:p>
        </w:tc>
        <w:tc>
          <w:tcPr>
            <w:tcW w:w="1483" w:type="dxa"/>
            <w:vAlign w:val="center"/>
          </w:tcPr>
          <w:p w14:paraId="0CDA9440" w14:textId="77777777" w:rsidR="002814F0" w:rsidRPr="00675B09" w:rsidRDefault="002814F0" w:rsidP="00965BC3">
            <w:pPr>
              <w:widowControl/>
              <w:ind w:right="0"/>
              <w:jc w:val="center"/>
              <w:rPr>
                <w:lang w:val="en-GB"/>
              </w:rPr>
            </w:pPr>
            <w:r w:rsidRPr="00675B09">
              <w:rPr>
                <w:lang w:val="en-GB"/>
              </w:rPr>
              <w:t>4% (3-6%)</w:t>
            </w:r>
          </w:p>
        </w:tc>
        <w:tc>
          <w:tcPr>
            <w:tcW w:w="1559" w:type="dxa"/>
            <w:vAlign w:val="center"/>
          </w:tcPr>
          <w:p w14:paraId="387621E8" w14:textId="77777777" w:rsidR="002814F0" w:rsidRPr="00675B09" w:rsidRDefault="002814F0" w:rsidP="00965BC3">
            <w:pPr>
              <w:widowControl/>
              <w:ind w:right="0"/>
              <w:jc w:val="center"/>
              <w:rPr>
                <w:lang w:val="en-GB"/>
              </w:rPr>
            </w:pPr>
            <w:r w:rsidRPr="00675B09">
              <w:rPr>
                <w:lang w:val="en-GB"/>
              </w:rPr>
              <w:t>89% (85-92%)</w:t>
            </w:r>
          </w:p>
        </w:tc>
      </w:tr>
      <w:tr w:rsidR="00675B09" w:rsidRPr="00675B09" w14:paraId="35F16B88" w14:textId="77777777" w:rsidTr="00C402B7">
        <w:trPr>
          <w:trHeight w:val="292"/>
          <w:jc w:val="center"/>
        </w:trPr>
        <w:tc>
          <w:tcPr>
            <w:tcW w:w="1134" w:type="dxa"/>
            <w:vAlign w:val="center"/>
          </w:tcPr>
          <w:p w14:paraId="389552EC" w14:textId="77777777" w:rsidR="002814F0" w:rsidRPr="00675B09" w:rsidRDefault="002814F0" w:rsidP="00965BC3">
            <w:pPr>
              <w:widowControl/>
              <w:ind w:right="0"/>
              <w:jc w:val="center"/>
              <w:rPr>
                <w:lang w:val="en-GB"/>
              </w:rPr>
            </w:pPr>
            <w:r w:rsidRPr="00675B09">
              <w:rPr>
                <w:lang w:val="en-GB"/>
              </w:rPr>
              <w:t xml:space="preserve">Major Depressive </w:t>
            </w:r>
            <w:r w:rsidRPr="00675B09">
              <w:rPr>
                <w:lang w:val="en-GB"/>
              </w:rPr>
              <w:lastRenderedPageBreak/>
              <w:t>Disorder (18+)</w:t>
            </w:r>
          </w:p>
        </w:tc>
        <w:tc>
          <w:tcPr>
            <w:tcW w:w="851" w:type="dxa"/>
            <w:vAlign w:val="center"/>
          </w:tcPr>
          <w:p w14:paraId="539B0924" w14:textId="77777777" w:rsidR="002814F0" w:rsidRPr="00675B09" w:rsidRDefault="002814F0" w:rsidP="00965BC3">
            <w:pPr>
              <w:widowControl/>
              <w:ind w:right="0"/>
              <w:jc w:val="center"/>
              <w:rPr>
                <w:lang w:val="en-GB"/>
              </w:rPr>
            </w:pPr>
            <w:r w:rsidRPr="00675B09">
              <w:rPr>
                <w:lang w:val="en-GB"/>
              </w:rPr>
              <w:lastRenderedPageBreak/>
              <w:t>226</w:t>
            </w:r>
          </w:p>
        </w:tc>
        <w:tc>
          <w:tcPr>
            <w:tcW w:w="1276" w:type="dxa"/>
            <w:vAlign w:val="center"/>
          </w:tcPr>
          <w:p w14:paraId="7DBA8902" w14:textId="77777777" w:rsidR="002814F0" w:rsidRPr="00675B09" w:rsidRDefault="002814F0" w:rsidP="00965BC3">
            <w:pPr>
              <w:widowControl/>
              <w:ind w:right="0"/>
              <w:jc w:val="center"/>
              <w:rPr>
                <w:lang w:val="en-GB"/>
              </w:rPr>
            </w:pPr>
            <w:r w:rsidRPr="00675B09">
              <w:rPr>
                <w:lang w:val="en-GB"/>
              </w:rPr>
              <w:t>66560</w:t>
            </w:r>
          </w:p>
        </w:tc>
        <w:tc>
          <w:tcPr>
            <w:tcW w:w="1275" w:type="dxa"/>
            <w:vAlign w:val="center"/>
          </w:tcPr>
          <w:p w14:paraId="7827173F" w14:textId="77777777" w:rsidR="002814F0" w:rsidRPr="00675B09" w:rsidRDefault="002814F0" w:rsidP="00965BC3">
            <w:pPr>
              <w:widowControl/>
              <w:ind w:right="0"/>
              <w:jc w:val="center"/>
              <w:rPr>
                <w:lang w:val="en-GB"/>
              </w:rPr>
            </w:pPr>
            <w:r w:rsidRPr="00675B09">
              <w:rPr>
                <w:lang w:val="en-GB"/>
              </w:rPr>
              <w:t>10%</w:t>
            </w:r>
          </w:p>
        </w:tc>
        <w:tc>
          <w:tcPr>
            <w:tcW w:w="1134" w:type="dxa"/>
            <w:vAlign w:val="center"/>
          </w:tcPr>
          <w:p w14:paraId="0EB3C01B" w14:textId="77777777" w:rsidR="002814F0" w:rsidRPr="00675B09" w:rsidRDefault="002814F0" w:rsidP="00965BC3">
            <w:pPr>
              <w:widowControl/>
              <w:ind w:right="0"/>
              <w:jc w:val="center"/>
              <w:rPr>
                <w:lang w:val="en-GB"/>
              </w:rPr>
            </w:pPr>
            <w:r w:rsidRPr="00675B09">
              <w:rPr>
                <w:lang w:val="en-GB"/>
              </w:rPr>
              <w:t>81%</w:t>
            </w:r>
          </w:p>
        </w:tc>
        <w:tc>
          <w:tcPr>
            <w:tcW w:w="1276" w:type="dxa"/>
            <w:vAlign w:val="center"/>
          </w:tcPr>
          <w:p w14:paraId="20DD74CC" w14:textId="77777777" w:rsidR="002814F0" w:rsidRPr="00675B09" w:rsidRDefault="002814F0" w:rsidP="00965BC3">
            <w:pPr>
              <w:widowControl/>
              <w:ind w:right="0"/>
              <w:jc w:val="center"/>
              <w:rPr>
                <w:lang w:val="en-GB"/>
              </w:rPr>
            </w:pPr>
            <w:r w:rsidRPr="00675B09">
              <w:rPr>
                <w:lang w:val="en-GB"/>
              </w:rPr>
              <w:t>53%</w:t>
            </w:r>
          </w:p>
        </w:tc>
        <w:tc>
          <w:tcPr>
            <w:tcW w:w="1134" w:type="dxa"/>
            <w:vAlign w:val="center"/>
          </w:tcPr>
          <w:p w14:paraId="6AD6774B" w14:textId="77777777" w:rsidR="002814F0" w:rsidRPr="00675B09" w:rsidRDefault="002814F0" w:rsidP="00965BC3">
            <w:pPr>
              <w:widowControl/>
              <w:ind w:right="0"/>
              <w:jc w:val="center"/>
              <w:rPr>
                <w:lang w:val="en-GB"/>
              </w:rPr>
            </w:pPr>
            <w:r w:rsidRPr="00675B09">
              <w:rPr>
                <w:lang w:val="en-GB"/>
              </w:rPr>
              <w:t>12%</w:t>
            </w:r>
          </w:p>
        </w:tc>
        <w:tc>
          <w:tcPr>
            <w:tcW w:w="1559" w:type="dxa"/>
            <w:vAlign w:val="center"/>
          </w:tcPr>
          <w:p w14:paraId="40AB797F" w14:textId="77777777" w:rsidR="002814F0" w:rsidRPr="00675B09" w:rsidRDefault="002814F0" w:rsidP="00965BC3">
            <w:pPr>
              <w:widowControl/>
              <w:ind w:right="0"/>
              <w:jc w:val="center"/>
              <w:rPr>
                <w:lang w:val="en-GB"/>
              </w:rPr>
            </w:pPr>
            <w:r w:rsidRPr="00675B09">
              <w:rPr>
                <w:lang w:val="en-GB"/>
              </w:rPr>
              <w:t>2% (1-6%)</w:t>
            </w:r>
          </w:p>
        </w:tc>
        <w:tc>
          <w:tcPr>
            <w:tcW w:w="1701" w:type="dxa"/>
            <w:vAlign w:val="center"/>
          </w:tcPr>
          <w:p w14:paraId="0D60E3B8" w14:textId="77777777" w:rsidR="002814F0" w:rsidRPr="00675B09" w:rsidRDefault="002814F0" w:rsidP="00965BC3">
            <w:pPr>
              <w:widowControl/>
              <w:ind w:right="0"/>
              <w:jc w:val="center"/>
              <w:rPr>
                <w:lang w:val="en-GB"/>
              </w:rPr>
            </w:pPr>
            <w:r w:rsidRPr="00675B09">
              <w:rPr>
                <w:lang w:val="en-GB"/>
              </w:rPr>
              <w:t>5% (4-7%)</w:t>
            </w:r>
          </w:p>
        </w:tc>
        <w:tc>
          <w:tcPr>
            <w:tcW w:w="1636" w:type="dxa"/>
            <w:vAlign w:val="center"/>
          </w:tcPr>
          <w:p w14:paraId="590CB081" w14:textId="77777777" w:rsidR="002814F0" w:rsidRPr="00675B09" w:rsidRDefault="002814F0" w:rsidP="00965BC3">
            <w:pPr>
              <w:widowControl/>
              <w:ind w:right="0"/>
              <w:jc w:val="center"/>
              <w:rPr>
                <w:lang w:val="en-GB"/>
              </w:rPr>
            </w:pPr>
            <w:r w:rsidRPr="00675B09">
              <w:rPr>
                <w:lang w:val="en-GB"/>
              </w:rPr>
              <w:t>7% (4-10%)</w:t>
            </w:r>
          </w:p>
        </w:tc>
        <w:tc>
          <w:tcPr>
            <w:tcW w:w="1483" w:type="dxa"/>
            <w:vAlign w:val="center"/>
          </w:tcPr>
          <w:p w14:paraId="56DC3A93" w14:textId="77777777" w:rsidR="002814F0" w:rsidRPr="00675B09" w:rsidRDefault="002814F0" w:rsidP="00965BC3">
            <w:pPr>
              <w:widowControl/>
              <w:ind w:right="0"/>
              <w:jc w:val="center"/>
              <w:rPr>
                <w:lang w:val="en-GB"/>
              </w:rPr>
            </w:pPr>
            <w:r w:rsidRPr="00675B09">
              <w:rPr>
                <w:lang w:val="en-GB"/>
              </w:rPr>
              <w:t>5% (4-6%)</w:t>
            </w:r>
          </w:p>
        </w:tc>
        <w:tc>
          <w:tcPr>
            <w:tcW w:w="1559" w:type="dxa"/>
            <w:vAlign w:val="center"/>
          </w:tcPr>
          <w:p w14:paraId="59C000F4" w14:textId="77777777" w:rsidR="002814F0" w:rsidRPr="00675B09" w:rsidRDefault="002814F0" w:rsidP="00965BC3">
            <w:pPr>
              <w:widowControl/>
              <w:ind w:right="0"/>
              <w:jc w:val="center"/>
              <w:rPr>
                <w:lang w:val="en-GB"/>
              </w:rPr>
            </w:pPr>
            <w:r w:rsidRPr="00675B09">
              <w:rPr>
                <w:lang w:val="en-GB"/>
              </w:rPr>
              <w:t>84% (82-86%)</w:t>
            </w:r>
          </w:p>
        </w:tc>
      </w:tr>
      <w:tr w:rsidR="00675B09" w:rsidRPr="00675B09" w14:paraId="5AA18E34" w14:textId="77777777" w:rsidTr="00C402B7">
        <w:trPr>
          <w:trHeight w:val="292"/>
          <w:jc w:val="center"/>
        </w:trPr>
        <w:tc>
          <w:tcPr>
            <w:tcW w:w="1134" w:type="dxa"/>
            <w:vAlign w:val="center"/>
          </w:tcPr>
          <w:p w14:paraId="09B7008C" w14:textId="77777777" w:rsidR="002814F0" w:rsidRPr="00675B09" w:rsidRDefault="002814F0" w:rsidP="00965BC3">
            <w:pPr>
              <w:widowControl/>
              <w:ind w:right="0"/>
              <w:jc w:val="center"/>
              <w:rPr>
                <w:lang w:val="en-GB"/>
              </w:rPr>
            </w:pPr>
            <w:r w:rsidRPr="00675B09">
              <w:rPr>
                <w:lang w:val="en-GB"/>
              </w:rPr>
              <w:t>Obsessive Compulsive Disorder (18+)</w:t>
            </w:r>
          </w:p>
        </w:tc>
        <w:tc>
          <w:tcPr>
            <w:tcW w:w="851" w:type="dxa"/>
            <w:vAlign w:val="center"/>
          </w:tcPr>
          <w:p w14:paraId="4C9CC0EB" w14:textId="77777777" w:rsidR="002814F0" w:rsidRPr="00675B09" w:rsidRDefault="002814F0" w:rsidP="00965BC3">
            <w:pPr>
              <w:widowControl/>
              <w:ind w:right="0"/>
              <w:jc w:val="center"/>
              <w:rPr>
                <w:lang w:val="en-GB"/>
              </w:rPr>
            </w:pPr>
            <w:r w:rsidRPr="00675B09">
              <w:rPr>
                <w:lang w:val="en-GB"/>
              </w:rPr>
              <w:t>132</w:t>
            </w:r>
          </w:p>
        </w:tc>
        <w:tc>
          <w:tcPr>
            <w:tcW w:w="1276" w:type="dxa"/>
            <w:vAlign w:val="center"/>
          </w:tcPr>
          <w:p w14:paraId="34A1CAD8" w14:textId="77777777" w:rsidR="002814F0" w:rsidRPr="00675B09" w:rsidRDefault="002814F0" w:rsidP="00965BC3">
            <w:pPr>
              <w:widowControl/>
              <w:ind w:right="0"/>
              <w:jc w:val="center"/>
              <w:rPr>
                <w:lang w:val="en-GB"/>
              </w:rPr>
            </w:pPr>
            <w:r w:rsidRPr="00675B09">
              <w:rPr>
                <w:lang w:val="en-GB"/>
              </w:rPr>
              <w:t>9627</w:t>
            </w:r>
          </w:p>
        </w:tc>
        <w:tc>
          <w:tcPr>
            <w:tcW w:w="1275" w:type="dxa"/>
            <w:vAlign w:val="center"/>
          </w:tcPr>
          <w:p w14:paraId="3DEF8148" w14:textId="77777777" w:rsidR="002814F0" w:rsidRPr="00675B09" w:rsidRDefault="002814F0" w:rsidP="00965BC3">
            <w:pPr>
              <w:widowControl/>
              <w:ind w:right="0"/>
              <w:jc w:val="center"/>
              <w:rPr>
                <w:lang w:val="en-GB"/>
              </w:rPr>
            </w:pPr>
            <w:r w:rsidRPr="00675B09">
              <w:rPr>
                <w:lang w:val="en-GB"/>
              </w:rPr>
              <w:t>46%</w:t>
            </w:r>
          </w:p>
        </w:tc>
        <w:tc>
          <w:tcPr>
            <w:tcW w:w="1134" w:type="dxa"/>
            <w:vAlign w:val="center"/>
          </w:tcPr>
          <w:p w14:paraId="283F8591" w14:textId="77777777" w:rsidR="002814F0" w:rsidRPr="00675B09" w:rsidRDefault="002814F0" w:rsidP="00965BC3">
            <w:pPr>
              <w:widowControl/>
              <w:ind w:right="0"/>
              <w:jc w:val="center"/>
              <w:rPr>
                <w:lang w:val="en-GB"/>
              </w:rPr>
            </w:pPr>
            <w:r w:rsidRPr="00675B09">
              <w:rPr>
                <w:lang w:val="en-GB"/>
              </w:rPr>
              <w:t>45%</w:t>
            </w:r>
          </w:p>
        </w:tc>
        <w:tc>
          <w:tcPr>
            <w:tcW w:w="1276" w:type="dxa"/>
            <w:vAlign w:val="center"/>
          </w:tcPr>
          <w:p w14:paraId="27F3E06C" w14:textId="77777777" w:rsidR="002814F0" w:rsidRPr="00675B09" w:rsidRDefault="002814F0" w:rsidP="00965BC3">
            <w:pPr>
              <w:widowControl/>
              <w:ind w:right="0"/>
              <w:jc w:val="center"/>
              <w:rPr>
                <w:lang w:val="en-GB"/>
              </w:rPr>
            </w:pPr>
            <w:r w:rsidRPr="00675B09">
              <w:rPr>
                <w:lang w:val="en-GB"/>
              </w:rPr>
              <w:t>14%</w:t>
            </w:r>
          </w:p>
        </w:tc>
        <w:tc>
          <w:tcPr>
            <w:tcW w:w="1134" w:type="dxa"/>
            <w:vAlign w:val="center"/>
          </w:tcPr>
          <w:p w14:paraId="51F5536B" w14:textId="77777777" w:rsidR="002814F0" w:rsidRPr="00675B09" w:rsidRDefault="002814F0" w:rsidP="00965BC3">
            <w:pPr>
              <w:widowControl/>
              <w:ind w:right="0"/>
              <w:jc w:val="center"/>
              <w:rPr>
                <w:lang w:val="en-GB"/>
              </w:rPr>
            </w:pPr>
            <w:r w:rsidRPr="00675B09">
              <w:rPr>
                <w:lang w:val="en-GB"/>
              </w:rPr>
              <w:t>2%</w:t>
            </w:r>
          </w:p>
        </w:tc>
        <w:tc>
          <w:tcPr>
            <w:tcW w:w="1559" w:type="dxa"/>
            <w:vAlign w:val="center"/>
          </w:tcPr>
          <w:p w14:paraId="4B8E14F3" w14:textId="77777777" w:rsidR="002814F0" w:rsidRPr="00675B09" w:rsidRDefault="002814F0" w:rsidP="00965BC3">
            <w:pPr>
              <w:widowControl/>
              <w:ind w:right="0"/>
              <w:jc w:val="center"/>
              <w:rPr>
                <w:lang w:val="en-GB"/>
              </w:rPr>
            </w:pPr>
            <w:r w:rsidRPr="00675B09">
              <w:rPr>
                <w:lang w:val="en-GB"/>
              </w:rPr>
              <w:t>2% (1-4%)</w:t>
            </w:r>
          </w:p>
        </w:tc>
        <w:tc>
          <w:tcPr>
            <w:tcW w:w="1701" w:type="dxa"/>
            <w:vAlign w:val="center"/>
          </w:tcPr>
          <w:p w14:paraId="24C68964" w14:textId="77777777" w:rsidR="002814F0" w:rsidRPr="00675B09" w:rsidRDefault="002814F0" w:rsidP="00965BC3">
            <w:pPr>
              <w:widowControl/>
              <w:ind w:right="0"/>
              <w:jc w:val="center"/>
              <w:rPr>
                <w:lang w:val="en-GB"/>
              </w:rPr>
            </w:pPr>
            <w:r w:rsidRPr="00675B09">
              <w:rPr>
                <w:lang w:val="en-GB"/>
              </w:rPr>
              <w:t>1% (1-1%)</w:t>
            </w:r>
          </w:p>
        </w:tc>
        <w:tc>
          <w:tcPr>
            <w:tcW w:w="1636" w:type="dxa"/>
            <w:vAlign w:val="center"/>
          </w:tcPr>
          <w:p w14:paraId="6F91965F" w14:textId="77777777" w:rsidR="002814F0" w:rsidRPr="00675B09" w:rsidRDefault="002814F0" w:rsidP="00965BC3">
            <w:pPr>
              <w:widowControl/>
              <w:ind w:right="0"/>
              <w:jc w:val="center"/>
              <w:rPr>
                <w:lang w:val="en-GB"/>
              </w:rPr>
            </w:pPr>
            <w:r w:rsidRPr="00675B09">
              <w:rPr>
                <w:lang w:val="en-GB"/>
              </w:rPr>
              <w:t>3% (1-7%)</w:t>
            </w:r>
          </w:p>
        </w:tc>
        <w:tc>
          <w:tcPr>
            <w:tcW w:w="1483" w:type="dxa"/>
            <w:vAlign w:val="center"/>
          </w:tcPr>
          <w:p w14:paraId="3F429A92" w14:textId="77777777" w:rsidR="002814F0" w:rsidRPr="00675B09" w:rsidRDefault="002814F0" w:rsidP="00965BC3">
            <w:pPr>
              <w:widowControl/>
              <w:ind w:right="0"/>
              <w:jc w:val="center"/>
              <w:rPr>
                <w:lang w:val="en-GB"/>
              </w:rPr>
            </w:pPr>
            <w:r w:rsidRPr="00675B09">
              <w:rPr>
                <w:lang w:val="en-GB"/>
              </w:rPr>
              <w:t>6% (4-9%)</w:t>
            </w:r>
          </w:p>
        </w:tc>
        <w:tc>
          <w:tcPr>
            <w:tcW w:w="1559" w:type="dxa"/>
            <w:vAlign w:val="center"/>
          </w:tcPr>
          <w:p w14:paraId="7930A7C8" w14:textId="77777777" w:rsidR="002814F0" w:rsidRPr="00675B09" w:rsidRDefault="002814F0" w:rsidP="00965BC3">
            <w:pPr>
              <w:widowControl/>
              <w:ind w:right="0"/>
              <w:jc w:val="center"/>
              <w:rPr>
                <w:lang w:val="en-GB"/>
              </w:rPr>
            </w:pPr>
            <w:r w:rsidRPr="00675B09">
              <w:rPr>
                <w:lang w:val="en-GB"/>
              </w:rPr>
              <w:t>90% (87-93%)</w:t>
            </w:r>
          </w:p>
        </w:tc>
      </w:tr>
      <w:tr w:rsidR="00675B09" w:rsidRPr="00675B09" w14:paraId="46BDB37A" w14:textId="77777777" w:rsidTr="00C402B7">
        <w:trPr>
          <w:trHeight w:val="292"/>
          <w:jc w:val="center"/>
        </w:trPr>
        <w:tc>
          <w:tcPr>
            <w:tcW w:w="1134" w:type="dxa"/>
            <w:vAlign w:val="center"/>
          </w:tcPr>
          <w:p w14:paraId="02D9461F" w14:textId="77777777" w:rsidR="002814F0" w:rsidRPr="00675B09" w:rsidRDefault="002814F0" w:rsidP="00965BC3">
            <w:pPr>
              <w:widowControl/>
              <w:ind w:right="0"/>
              <w:jc w:val="center"/>
              <w:rPr>
                <w:lang w:val="en-GB"/>
              </w:rPr>
            </w:pPr>
            <w:r w:rsidRPr="00675B09">
              <w:rPr>
                <w:lang w:val="en-GB"/>
              </w:rPr>
              <w:t>Opioid Use Disorder (18+)</w:t>
            </w:r>
          </w:p>
        </w:tc>
        <w:tc>
          <w:tcPr>
            <w:tcW w:w="851" w:type="dxa"/>
            <w:vAlign w:val="center"/>
          </w:tcPr>
          <w:p w14:paraId="6463D5F2" w14:textId="77777777" w:rsidR="002814F0" w:rsidRPr="00675B09" w:rsidRDefault="002814F0" w:rsidP="00965BC3">
            <w:pPr>
              <w:widowControl/>
              <w:ind w:right="0"/>
              <w:jc w:val="center"/>
              <w:rPr>
                <w:lang w:val="en-GB"/>
              </w:rPr>
            </w:pPr>
            <w:r w:rsidRPr="00675B09">
              <w:rPr>
                <w:lang w:val="en-GB"/>
              </w:rPr>
              <w:t>74</w:t>
            </w:r>
          </w:p>
        </w:tc>
        <w:tc>
          <w:tcPr>
            <w:tcW w:w="1276" w:type="dxa"/>
            <w:vAlign w:val="center"/>
          </w:tcPr>
          <w:p w14:paraId="65139814" w14:textId="77777777" w:rsidR="002814F0" w:rsidRPr="00675B09" w:rsidRDefault="002814F0" w:rsidP="00965BC3">
            <w:pPr>
              <w:widowControl/>
              <w:ind w:right="0"/>
              <w:jc w:val="center"/>
              <w:rPr>
                <w:lang w:val="en-GB"/>
              </w:rPr>
            </w:pPr>
            <w:r w:rsidRPr="00675B09">
              <w:rPr>
                <w:lang w:val="en-GB"/>
              </w:rPr>
              <w:t>74502</w:t>
            </w:r>
          </w:p>
        </w:tc>
        <w:tc>
          <w:tcPr>
            <w:tcW w:w="1275" w:type="dxa"/>
            <w:vAlign w:val="center"/>
          </w:tcPr>
          <w:p w14:paraId="3BBE2F14" w14:textId="77777777" w:rsidR="002814F0" w:rsidRPr="00675B09" w:rsidRDefault="002814F0" w:rsidP="00965BC3">
            <w:pPr>
              <w:widowControl/>
              <w:ind w:right="0"/>
              <w:jc w:val="center"/>
              <w:rPr>
                <w:lang w:val="en-GB"/>
              </w:rPr>
            </w:pPr>
            <w:r w:rsidRPr="00675B09">
              <w:rPr>
                <w:lang w:val="en-GB"/>
              </w:rPr>
              <w:t>85%</w:t>
            </w:r>
          </w:p>
        </w:tc>
        <w:tc>
          <w:tcPr>
            <w:tcW w:w="1134" w:type="dxa"/>
            <w:vAlign w:val="center"/>
          </w:tcPr>
          <w:p w14:paraId="0A20D6C1" w14:textId="77777777" w:rsidR="002814F0" w:rsidRPr="00675B09" w:rsidRDefault="002814F0" w:rsidP="00965BC3">
            <w:pPr>
              <w:widowControl/>
              <w:ind w:right="0"/>
              <w:jc w:val="center"/>
              <w:rPr>
                <w:lang w:val="en-GB"/>
              </w:rPr>
            </w:pPr>
            <w:r w:rsidRPr="00675B09">
              <w:rPr>
                <w:lang w:val="en-GB"/>
              </w:rPr>
              <w:t>9%</w:t>
            </w:r>
          </w:p>
        </w:tc>
        <w:tc>
          <w:tcPr>
            <w:tcW w:w="1276" w:type="dxa"/>
            <w:vAlign w:val="center"/>
          </w:tcPr>
          <w:p w14:paraId="28DB5E57" w14:textId="77777777" w:rsidR="002814F0" w:rsidRPr="00675B09" w:rsidRDefault="002814F0" w:rsidP="00965BC3">
            <w:pPr>
              <w:widowControl/>
              <w:ind w:right="0"/>
              <w:jc w:val="center"/>
              <w:rPr>
                <w:lang w:val="en-GB"/>
              </w:rPr>
            </w:pPr>
            <w:r w:rsidRPr="00675B09">
              <w:rPr>
                <w:lang w:val="en-GB"/>
              </w:rPr>
              <w:t>41%</w:t>
            </w:r>
          </w:p>
        </w:tc>
        <w:tc>
          <w:tcPr>
            <w:tcW w:w="1134" w:type="dxa"/>
            <w:vAlign w:val="center"/>
          </w:tcPr>
          <w:p w14:paraId="02BEFA3D" w14:textId="77777777" w:rsidR="002814F0" w:rsidRPr="00675B09" w:rsidRDefault="002814F0" w:rsidP="00965BC3">
            <w:pPr>
              <w:widowControl/>
              <w:ind w:right="0"/>
              <w:jc w:val="center"/>
              <w:rPr>
                <w:lang w:val="en-GB"/>
              </w:rPr>
            </w:pPr>
            <w:r w:rsidRPr="00675B09">
              <w:rPr>
                <w:lang w:val="en-GB"/>
              </w:rPr>
              <w:t>18%</w:t>
            </w:r>
          </w:p>
        </w:tc>
        <w:tc>
          <w:tcPr>
            <w:tcW w:w="1559" w:type="dxa"/>
            <w:vAlign w:val="center"/>
          </w:tcPr>
          <w:p w14:paraId="7392A656" w14:textId="77777777" w:rsidR="002814F0" w:rsidRPr="00675B09" w:rsidRDefault="002814F0" w:rsidP="00965BC3">
            <w:pPr>
              <w:widowControl/>
              <w:ind w:right="0"/>
              <w:jc w:val="center"/>
              <w:rPr>
                <w:lang w:val="en-GB"/>
              </w:rPr>
            </w:pPr>
            <w:r w:rsidRPr="00675B09">
              <w:rPr>
                <w:lang w:val="en-GB"/>
              </w:rPr>
              <w:t>4% (0-15%)</w:t>
            </w:r>
          </w:p>
        </w:tc>
        <w:tc>
          <w:tcPr>
            <w:tcW w:w="1701" w:type="dxa"/>
            <w:vAlign w:val="center"/>
          </w:tcPr>
          <w:p w14:paraId="5C042994" w14:textId="77777777" w:rsidR="002814F0" w:rsidRPr="00675B09" w:rsidRDefault="002814F0" w:rsidP="00965BC3">
            <w:pPr>
              <w:widowControl/>
              <w:ind w:right="0"/>
              <w:jc w:val="center"/>
              <w:rPr>
                <w:lang w:val="en-GB"/>
              </w:rPr>
            </w:pPr>
            <w:r w:rsidRPr="00675B09">
              <w:rPr>
                <w:lang w:val="en-GB"/>
              </w:rPr>
              <w:t>20% (13-29%)</w:t>
            </w:r>
          </w:p>
        </w:tc>
        <w:tc>
          <w:tcPr>
            <w:tcW w:w="1636" w:type="dxa"/>
            <w:vAlign w:val="center"/>
          </w:tcPr>
          <w:p w14:paraId="26BBF8BF" w14:textId="77777777" w:rsidR="002814F0" w:rsidRPr="00675B09" w:rsidRDefault="002814F0" w:rsidP="00965BC3">
            <w:pPr>
              <w:widowControl/>
              <w:ind w:right="0"/>
              <w:jc w:val="center"/>
              <w:rPr>
                <w:lang w:val="en-GB"/>
              </w:rPr>
            </w:pPr>
            <w:r w:rsidRPr="00675B09">
              <w:rPr>
                <w:lang w:val="en-GB"/>
              </w:rPr>
              <w:t>31% (15-53%)</w:t>
            </w:r>
          </w:p>
        </w:tc>
        <w:tc>
          <w:tcPr>
            <w:tcW w:w="1483" w:type="dxa"/>
            <w:vAlign w:val="center"/>
          </w:tcPr>
          <w:p w14:paraId="14427308" w14:textId="77777777" w:rsidR="002814F0" w:rsidRPr="00675B09" w:rsidRDefault="002814F0" w:rsidP="00965BC3">
            <w:pPr>
              <w:widowControl/>
              <w:ind w:right="0"/>
              <w:jc w:val="center"/>
              <w:rPr>
                <w:lang w:val="en-GB"/>
              </w:rPr>
            </w:pPr>
            <w:r w:rsidRPr="00675B09">
              <w:rPr>
                <w:lang w:val="en-GB"/>
              </w:rPr>
              <w:t>8% (4-14%)</w:t>
            </w:r>
          </w:p>
        </w:tc>
        <w:tc>
          <w:tcPr>
            <w:tcW w:w="1559" w:type="dxa"/>
            <w:vAlign w:val="center"/>
          </w:tcPr>
          <w:p w14:paraId="5443C3DC" w14:textId="77777777" w:rsidR="002814F0" w:rsidRPr="00675B09" w:rsidRDefault="002814F0" w:rsidP="00965BC3">
            <w:pPr>
              <w:widowControl/>
              <w:ind w:right="0"/>
              <w:jc w:val="center"/>
              <w:rPr>
                <w:lang w:val="en-GB"/>
              </w:rPr>
            </w:pPr>
            <w:r w:rsidRPr="00675B09">
              <w:rPr>
                <w:lang w:val="en-GB"/>
              </w:rPr>
              <w:t>59% (48-69%)</w:t>
            </w:r>
          </w:p>
        </w:tc>
      </w:tr>
      <w:tr w:rsidR="00675B09" w:rsidRPr="00675B09" w14:paraId="4C98C389" w14:textId="77777777" w:rsidTr="00C402B7">
        <w:trPr>
          <w:trHeight w:val="292"/>
          <w:jc w:val="center"/>
        </w:trPr>
        <w:tc>
          <w:tcPr>
            <w:tcW w:w="1134" w:type="dxa"/>
            <w:vAlign w:val="center"/>
          </w:tcPr>
          <w:p w14:paraId="769B2004" w14:textId="77777777" w:rsidR="002814F0" w:rsidRPr="00675B09" w:rsidRDefault="002814F0" w:rsidP="00965BC3">
            <w:pPr>
              <w:widowControl/>
              <w:ind w:right="0"/>
              <w:jc w:val="center"/>
              <w:rPr>
                <w:lang w:val="en-GB"/>
              </w:rPr>
            </w:pPr>
            <w:r w:rsidRPr="00675B09">
              <w:rPr>
                <w:lang w:val="en-GB"/>
              </w:rPr>
              <w:t>Panic disorder (18+)</w:t>
            </w:r>
          </w:p>
        </w:tc>
        <w:tc>
          <w:tcPr>
            <w:tcW w:w="851" w:type="dxa"/>
            <w:vAlign w:val="center"/>
          </w:tcPr>
          <w:p w14:paraId="38282B58" w14:textId="77777777" w:rsidR="002814F0" w:rsidRPr="00675B09" w:rsidRDefault="002814F0" w:rsidP="00965BC3">
            <w:pPr>
              <w:widowControl/>
              <w:ind w:right="0"/>
              <w:jc w:val="center"/>
              <w:rPr>
                <w:lang w:val="en-GB"/>
              </w:rPr>
            </w:pPr>
            <w:r w:rsidRPr="00675B09">
              <w:rPr>
                <w:lang w:val="en-GB"/>
              </w:rPr>
              <w:t>84</w:t>
            </w:r>
          </w:p>
        </w:tc>
        <w:tc>
          <w:tcPr>
            <w:tcW w:w="1276" w:type="dxa"/>
            <w:vAlign w:val="center"/>
          </w:tcPr>
          <w:p w14:paraId="7813AC67" w14:textId="77777777" w:rsidR="002814F0" w:rsidRPr="00675B09" w:rsidRDefault="002814F0" w:rsidP="00965BC3">
            <w:pPr>
              <w:widowControl/>
              <w:ind w:right="0"/>
              <w:jc w:val="center"/>
              <w:rPr>
                <w:lang w:val="en-GB"/>
              </w:rPr>
            </w:pPr>
            <w:r w:rsidRPr="00675B09">
              <w:rPr>
                <w:lang w:val="en-GB"/>
              </w:rPr>
              <w:t>14076</w:t>
            </w:r>
          </w:p>
        </w:tc>
        <w:tc>
          <w:tcPr>
            <w:tcW w:w="1275" w:type="dxa"/>
            <w:vAlign w:val="center"/>
          </w:tcPr>
          <w:p w14:paraId="25C9D8AA" w14:textId="77777777" w:rsidR="002814F0" w:rsidRPr="00675B09" w:rsidRDefault="002814F0" w:rsidP="00965BC3">
            <w:pPr>
              <w:widowControl/>
              <w:ind w:right="0"/>
              <w:jc w:val="center"/>
              <w:rPr>
                <w:lang w:val="en-GB"/>
              </w:rPr>
            </w:pPr>
            <w:r w:rsidRPr="00675B09">
              <w:rPr>
                <w:lang w:val="en-GB"/>
              </w:rPr>
              <w:t>30%</w:t>
            </w:r>
          </w:p>
        </w:tc>
        <w:tc>
          <w:tcPr>
            <w:tcW w:w="1134" w:type="dxa"/>
            <w:vAlign w:val="center"/>
          </w:tcPr>
          <w:p w14:paraId="4B89C54D" w14:textId="77777777" w:rsidR="002814F0" w:rsidRPr="00675B09" w:rsidRDefault="002814F0" w:rsidP="00965BC3">
            <w:pPr>
              <w:widowControl/>
              <w:ind w:right="0"/>
              <w:jc w:val="center"/>
              <w:rPr>
                <w:lang w:val="en-GB"/>
              </w:rPr>
            </w:pPr>
            <w:r w:rsidRPr="00675B09">
              <w:rPr>
                <w:lang w:val="en-GB"/>
              </w:rPr>
              <w:t>70%</w:t>
            </w:r>
          </w:p>
        </w:tc>
        <w:tc>
          <w:tcPr>
            <w:tcW w:w="1276" w:type="dxa"/>
            <w:vAlign w:val="center"/>
          </w:tcPr>
          <w:p w14:paraId="7F63091D" w14:textId="77777777" w:rsidR="002814F0" w:rsidRPr="00675B09" w:rsidRDefault="002814F0" w:rsidP="00965BC3">
            <w:pPr>
              <w:widowControl/>
              <w:ind w:right="0"/>
              <w:jc w:val="center"/>
              <w:rPr>
                <w:lang w:val="en-GB"/>
              </w:rPr>
            </w:pPr>
            <w:r w:rsidRPr="00675B09">
              <w:rPr>
                <w:lang w:val="en-GB"/>
              </w:rPr>
              <w:t>18%</w:t>
            </w:r>
          </w:p>
        </w:tc>
        <w:tc>
          <w:tcPr>
            <w:tcW w:w="1134" w:type="dxa"/>
            <w:vAlign w:val="center"/>
          </w:tcPr>
          <w:p w14:paraId="15619E31" w14:textId="77777777" w:rsidR="002814F0" w:rsidRPr="00675B09" w:rsidRDefault="002814F0" w:rsidP="00965BC3">
            <w:pPr>
              <w:widowControl/>
              <w:ind w:right="0"/>
              <w:jc w:val="center"/>
              <w:rPr>
                <w:lang w:val="en-GB"/>
              </w:rPr>
            </w:pPr>
            <w:r w:rsidRPr="00675B09">
              <w:rPr>
                <w:lang w:val="en-GB"/>
              </w:rPr>
              <w:t>1%</w:t>
            </w:r>
          </w:p>
        </w:tc>
        <w:tc>
          <w:tcPr>
            <w:tcW w:w="1559" w:type="dxa"/>
            <w:vAlign w:val="center"/>
          </w:tcPr>
          <w:p w14:paraId="5CFE6CA1" w14:textId="77777777" w:rsidR="002814F0" w:rsidRPr="00675B09" w:rsidRDefault="002814F0" w:rsidP="00965BC3">
            <w:pPr>
              <w:widowControl/>
              <w:ind w:right="0"/>
              <w:jc w:val="center"/>
              <w:rPr>
                <w:lang w:val="en-GB"/>
              </w:rPr>
            </w:pPr>
            <w:r w:rsidRPr="00675B09">
              <w:rPr>
                <w:lang w:val="en-GB"/>
              </w:rPr>
              <w:t>0% (0-0%)</w:t>
            </w:r>
          </w:p>
        </w:tc>
        <w:tc>
          <w:tcPr>
            <w:tcW w:w="1701" w:type="dxa"/>
            <w:vAlign w:val="center"/>
          </w:tcPr>
          <w:p w14:paraId="279A4A7C" w14:textId="77777777" w:rsidR="002814F0" w:rsidRPr="00675B09" w:rsidRDefault="002814F0" w:rsidP="00965BC3">
            <w:pPr>
              <w:widowControl/>
              <w:ind w:right="0"/>
              <w:jc w:val="center"/>
              <w:rPr>
                <w:lang w:val="en-GB"/>
              </w:rPr>
            </w:pPr>
            <w:r w:rsidRPr="00675B09">
              <w:rPr>
                <w:lang w:val="en-GB"/>
              </w:rPr>
              <w:t>1% (1-2%)</w:t>
            </w:r>
          </w:p>
        </w:tc>
        <w:tc>
          <w:tcPr>
            <w:tcW w:w="1636" w:type="dxa"/>
            <w:vAlign w:val="center"/>
          </w:tcPr>
          <w:p w14:paraId="65284366" w14:textId="77777777" w:rsidR="002814F0" w:rsidRPr="00675B09" w:rsidRDefault="002814F0" w:rsidP="00965BC3">
            <w:pPr>
              <w:widowControl/>
              <w:ind w:right="0"/>
              <w:jc w:val="center"/>
              <w:rPr>
                <w:lang w:val="en-GB"/>
              </w:rPr>
            </w:pPr>
            <w:r w:rsidRPr="00675B09">
              <w:rPr>
                <w:lang w:val="en-GB"/>
              </w:rPr>
              <w:t>5% (3-9%)</w:t>
            </w:r>
          </w:p>
        </w:tc>
        <w:tc>
          <w:tcPr>
            <w:tcW w:w="1483" w:type="dxa"/>
            <w:vAlign w:val="center"/>
          </w:tcPr>
          <w:p w14:paraId="54AE7D6A" w14:textId="77777777" w:rsidR="002814F0" w:rsidRPr="00675B09" w:rsidRDefault="002814F0" w:rsidP="00965BC3">
            <w:pPr>
              <w:widowControl/>
              <w:ind w:right="0"/>
              <w:jc w:val="center"/>
              <w:rPr>
                <w:lang w:val="en-GB"/>
              </w:rPr>
            </w:pPr>
            <w:r w:rsidRPr="00675B09">
              <w:rPr>
                <w:lang w:val="en-GB"/>
              </w:rPr>
              <w:t>10% (6-16%)</w:t>
            </w:r>
          </w:p>
        </w:tc>
        <w:tc>
          <w:tcPr>
            <w:tcW w:w="1559" w:type="dxa"/>
            <w:vAlign w:val="center"/>
          </w:tcPr>
          <w:p w14:paraId="450E31C9" w14:textId="77777777" w:rsidR="002814F0" w:rsidRPr="00675B09" w:rsidRDefault="002814F0" w:rsidP="00965BC3">
            <w:pPr>
              <w:widowControl/>
              <w:ind w:right="0"/>
              <w:jc w:val="center"/>
              <w:rPr>
                <w:lang w:val="en-GB"/>
              </w:rPr>
            </w:pPr>
            <w:r w:rsidRPr="00675B09">
              <w:rPr>
                <w:lang w:val="en-GB"/>
              </w:rPr>
              <w:t>88% (84-91%)</w:t>
            </w:r>
          </w:p>
        </w:tc>
      </w:tr>
      <w:tr w:rsidR="00675B09" w:rsidRPr="00675B09" w14:paraId="1F7AB406" w14:textId="77777777" w:rsidTr="00C402B7">
        <w:trPr>
          <w:trHeight w:val="292"/>
          <w:jc w:val="center"/>
        </w:trPr>
        <w:tc>
          <w:tcPr>
            <w:tcW w:w="1134" w:type="dxa"/>
            <w:vAlign w:val="center"/>
          </w:tcPr>
          <w:p w14:paraId="1B923E9B" w14:textId="77777777" w:rsidR="002814F0" w:rsidRPr="00675B09" w:rsidRDefault="002814F0" w:rsidP="00965BC3">
            <w:pPr>
              <w:widowControl/>
              <w:ind w:right="0"/>
              <w:jc w:val="center"/>
              <w:rPr>
                <w:lang w:val="en-GB"/>
              </w:rPr>
            </w:pPr>
            <w:r w:rsidRPr="00675B09">
              <w:rPr>
                <w:lang w:val="en-GB"/>
              </w:rPr>
              <w:t>Post-traumatic stress disorder (18+)</w:t>
            </w:r>
          </w:p>
        </w:tc>
        <w:tc>
          <w:tcPr>
            <w:tcW w:w="851" w:type="dxa"/>
            <w:vAlign w:val="center"/>
          </w:tcPr>
          <w:p w14:paraId="54787FFF" w14:textId="77777777" w:rsidR="002814F0" w:rsidRPr="00675B09" w:rsidRDefault="002814F0" w:rsidP="00965BC3">
            <w:pPr>
              <w:widowControl/>
              <w:ind w:right="0"/>
              <w:jc w:val="center"/>
              <w:rPr>
                <w:lang w:val="en-GB"/>
              </w:rPr>
            </w:pPr>
            <w:r w:rsidRPr="00675B09">
              <w:rPr>
                <w:lang w:val="en-GB"/>
              </w:rPr>
              <w:t>53</w:t>
            </w:r>
          </w:p>
        </w:tc>
        <w:tc>
          <w:tcPr>
            <w:tcW w:w="1276" w:type="dxa"/>
            <w:vAlign w:val="center"/>
          </w:tcPr>
          <w:p w14:paraId="2DD3429D" w14:textId="77777777" w:rsidR="002814F0" w:rsidRPr="00675B09" w:rsidRDefault="002814F0" w:rsidP="00965BC3">
            <w:pPr>
              <w:widowControl/>
              <w:ind w:right="0"/>
              <w:jc w:val="center"/>
              <w:rPr>
                <w:lang w:val="en-GB"/>
              </w:rPr>
            </w:pPr>
            <w:r w:rsidRPr="00675B09">
              <w:rPr>
                <w:lang w:val="en-GB"/>
              </w:rPr>
              <w:t>6070</w:t>
            </w:r>
          </w:p>
        </w:tc>
        <w:tc>
          <w:tcPr>
            <w:tcW w:w="1275" w:type="dxa"/>
            <w:vAlign w:val="center"/>
          </w:tcPr>
          <w:p w14:paraId="1CAF46DF" w14:textId="77777777" w:rsidR="002814F0" w:rsidRPr="00675B09" w:rsidRDefault="002814F0" w:rsidP="00965BC3">
            <w:pPr>
              <w:widowControl/>
              <w:ind w:right="0"/>
              <w:jc w:val="center"/>
              <w:rPr>
                <w:lang w:val="en-GB"/>
              </w:rPr>
            </w:pPr>
            <w:r w:rsidRPr="00675B09">
              <w:rPr>
                <w:lang w:val="en-GB"/>
              </w:rPr>
              <w:t>25%</w:t>
            </w:r>
          </w:p>
        </w:tc>
        <w:tc>
          <w:tcPr>
            <w:tcW w:w="1134" w:type="dxa"/>
            <w:vAlign w:val="center"/>
          </w:tcPr>
          <w:p w14:paraId="0B3E9795" w14:textId="77777777" w:rsidR="002814F0" w:rsidRPr="00675B09" w:rsidRDefault="002814F0" w:rsidP="00965BC3">
            <w:pPr>
              <w:widowControl/>
              <w:ind w:right="0"/>
              <w:jc w:val="center"/>
              <w:rPr>
                <w:lang w:val="en-GB"/>
              </w:rPr>
            </w:pPr>
            <w:r w:rsidRPr="00675B09">
              <w:rPr>
                <w:lang w:val="en-GB"/>
              </w:rPr>
              <w:t>58%</w:t>
            </w:r>
          </w:p>
        </w:tc>
        <w:tc>
          <w:tcPr>
            <w:tcW w:w="1276" w:type="dxa"/>
            <w:vAlign w:val="center"/>
          </w:tcPr>
          <w:p w14:paraId="7B49D5F0" w14:textId="77777777" w:rsidR="002814F0" w:rsidRPr="00675B09" w:rsidRDefault="002814F0" w:rsidP="00965BC3">
            <w:pPr>
              <w:widowControl/>
              <w:ind w:right="0"/>
              <w:jc w:val="center"/>
              <w:rPr>
                <w:lang w:val="en-GB"/>
              </w:rPr>
            </w:pPr>
            <w:r w:rsidRPr="00675B09">
              <w:rPr>
                <w:lang w:val="en-GB"/>
              </w:rPr>
              <w:t>66%</w:t>
            </w:r>
          </w:p>
        </w:tc>
        <w:tc>
          <w:tcPr>
            <w:tcW w:w="1134" w:type="dxa"/>
            <w:vAlign w:val="center"/>
          </w:tcPr>
          <w:p w14:paraId="5AA15BD6" w14:textId="77777777" w:rsidR="002814F0" w:rsidRPr="00675B09" w:rsidRDefault="002814F0" w:rsidP="00965BC3">
            <w:pPr>
              <w:widowControl/>
              <w:ind w:right="0"/>
              <w:jc w:val="center"/>
              <w:rPr>
                <w:lang w:val="en-GB"/>
              </w:rPr>
            </w:pPr>
            <w:r w:rsidRPr="00675B09">
              <w:rPr>
                <w:lang w:val="en-GB"/>
              </w:rPr>
              <w:t>25%</w:t>
            </w:r>
          </w:p>
        </w:tc>
        <w:tc>
          <w:tcPr>
            <w:tcW w:w="1559" w:type="dxa"/>
            <w:vAlign w:val="center"/>
          </w:tcPr>
          <w:p w14:paraId="7B4D001F" w14:textId="77777777" w:rsidR="002814F0" w:rsidRPr="00675B09" w:rsidRDefault="002814F0" w:rsidP="00965BC3">
            <w:pPr>
              <w:widowControl/>
              <w:ind w:right="0"/>
              <w:jc w:val="center"/>
              <w:rPr>
                <w:lang w:val="en-GB"/>
              </w:rPr>
            </w:pPr>
            <w:r w:rsidRPr="00675B09">
              <w:rPr>
                <w:lang w:val="en-GB"/>
              </w:rPr>
              <w:t>1% (0-4%)</w:t>
            </w:r>
          </w:p>
        </w:tc>
        <w:tc>
          <w:tcPr>
            <w:tcW w:w="1701" w:type="dxa"/>
            <w:vAlign w:val="center"/>
          </w:tcPr>
          <w:p w14:paraId="540AAE3B" w14:textId="77777777" w:rsidR="002814F0" w:rsidRPr="00675B09" w:rsidRDefault="002814F0" w:rsidP="00965BC3">
            <w:pPr>
              <w:widowControl/>
              <w:ind w:right="0"/>
              <w:jc w:val="center"/>
              <w:rPr>
                <w:lang w:val="en-GB"/>
              </w:rPr>
            </w:pPr>
            <w:r w:rsidRPr="00675B09">
              <w:rPr>
                <w:lang w:val="en-GB"/>
              </w:rPr>
              <w:t>15% (11-19%)</w:t>
            </w:r>
          </w:p>
        </w:tc>
        <w:tc>
          <w:tcPr>
            <w:tcW w:w="1636" w:type="dxa"/>
            <w:vAlign w:val="center"/>
          </w:tcPr>
          <w:p w14:paraId="38CAE8C6" w14:textId="77777777" w:rsidR="002814F0" w:rsidRPr="00675B09" w:rsidRDefault="002814F0" w:rsidP="00965BC3">
            <w:pPr>
              <w:widowControl/>
              <w:ind w:right="0"/>
              <w:jc w:val="center"/>
              <w:rPr>
                <w:lang w:val="en-GB"/>
              </w:rPr>
            </w:pPr>
            <w:r w:rsidRPr="00675B09">
              <w:rPr>
                <w:lang w:val="en-GB"/>
              </w:rPr>
              <w:t>22% (12-37%)</w:t>
            </w:r>
          </w:p>
        </w:tc>
        <w:tc>
          <w:tcPr>
            <w:tcW w:w="1483" w:type="dxa"/>
            <w:vAlign w:val="center"/>
          </w:tcPr>
          <w:p w14:paraId="5B50B783" w14:textId="77777777" w:rsidR="002814F0" w:rsidRPr="00675B09" w:rsidRDefault="002814F0" w:rsidP="00965BC3">
            <w:pPr>
              <w:widowControl/>
              <w:ind w:right="0"/>
              <w:jc w:val="center"/>
              <w:rPr>
                <w:lang w:val="en-GB"/>
              </w:rPr>
            </w:pPr>
            <w:r w:rsidRPr="00675B09">
              <w:rPr>
                <w:lang w:val="en-GB"/>
              </w:rPr>
              <w:t>7% (5-10%)</w:t>
            </w:r>
          </w:p>
        </w:tc>
        <w:tc>
          <w:tcPr>
            <w:tcW w:w="1559" w:type="dxa"/>
            <w:vAlign w:val="center"/>
          </w:tcPr>
          <w:p w14:paraId="429D16A6" w14:textId="77777777" w:rsidR="002814F0" w:rsidRPr="00675B09" w:rsidRDefault="002814F0" w:rsidP="00965BC3">
            <w:pPr>
              <w:widowControl/>
              <w:ind w:right="0"/>
              <w:jc w:val="center"/>
              <w:rPr>
                <w:lang w:val="en-GB"/>
              </w:rPr>
            </w:pPr>
            <w:r w:rsidRPr="00675B09">
              <w:rPr>
                <w:lang w:val="en-GB"/>
              </w:rPr>
              <w:t>73% (67-78%)</w:t>
            </w:r>
          </w:p>
        </w:tc>
      </w:tr>
      <w:tr w:rsidR="00675B09" w:rsidRPr="00675B09" w14:paraId="2CF5BBFE" w14:textId="77777777" w:rsidTr="00C402B7">
        <w:trPr>
          <w:trHeight w:val="292"/>
          <w:jc w:val="center"/>
        </w:trPr>
        <w:tc>
          <w:tcPr>
            <w:tcW w:w="1134" w:type="dxa"/>
            <w:vAlign w:val="center"/>
          </w:tcPr>
          <w:p w14:paraId="41591C3A" w14:textId="77777777" w:rsidR="002814F0" w:rsidRPr="00675B09" w:rsidRDefault="002814F0" w:rsidP="00965BC3">
            <w:pPr>
              <w:widowControl/>
              <w:ind w:right="0"/>
              <w:jc w:val="center"/>
              <w:rPr>
                <w:lang w:val="en-GB"/>
              </w:rPr>
            </w:pPr>
            <w:r w:rsidRPr="00675B09">
              <w:rPr>
                <w:lang w:val="en-GB"/>
              </w:rPr>
              <w:t>Schizophrenia (&lt; 18)</w:t>
            </w:r>
          </w:p>
        </w:tc>
        <w:tc>
          <w:tcPr>
            <w:tcW w:w="851" w:type="dxa"/>
            <w:vAlign w:val="center"/>
          </w:tcPr>
          <w:p w14:paraId="129CB2F1" w14:textId="77777777" w:rsidR="002814F0" w:rsidRPr="00675B09" w:rsidRDefault="002814F0" w:rsidP="00965BC3">
            <w:pPr>
              <w:widowControl/>
              <w:ind w:right="0"/>
              <w:jc w:val="center"/>
              <w:rPr>
                <w:lang w:val="en-GB"/>
              </w:rPr>
            </w:pPr>
            <w:r w:rsidRPr="00675B09">
              <w:rPr>
                <w:lang w:val="en-GB"/>
              </w:rPr>
              <w:t>2</w:t>
            </w:r>
          </w:p>
        </w:tc>
        <w:tc>
          <w:tcPr>
            <w:tcW w:w="1276" w:type="dxa"/>
            <w:vAlign w:val="center"/>
          </w:tcPr>
          <w:p w14:paraId="2089812C" w14:textId="77777777" w:rsidR="002814F0" w:rsidRPr="00675B09" w:rsidRDefault="002814F0" w:rsidP="00965BC3">
            <w:pPr>
              <w:widowControl/>
              <w:ind w:right="0"/>
              <w:jc w:val="center"/>
              <w:rPr>
                <w:lang w:val="en-GB"/>
              </w:rPr>
            </w:pPr>
            <w:r w:rsidRPr="00675B09">
              <w:rPr>
                <w:lang w:val="en-GB"/>
              </w:rPr>
              <w:t>276</w:t>
            </w:r>
          </w:p>
        </w:tc>
        <w:tc>
          <w:tcPr>
            <w:tcW w:w="1275" w:type="dxa"/>
            <w:vAlign w:val="center"/>
          </w:tcPr>
          <w:p w14:paraId="562D429C" w14:textId="77777777" w:rsidR="002814F0" w:rsidRPr="00675B09" w:rsidRDefault="002814F0" w:rsidP="00965BC3">
            <w:pPr>
              <w:widowControl/>
              <w:ind w:right="0"/>
              <w:jc w:val="center"/>
              <w:rPr>
                <w:lang w:val="en-GB"/>
              </w:rPr>
            </w:pPr>
            <w:r w:rsidRPr="00675B09">
              <w:rPr>
                <w:lang w:val="en-GB"/>
              </w:rPr>
              <w:t>50%</w:t>
            </w:r>
          </w:p>
        </w:tc>
        <w:tc>
          <w:tcPr>
            <w:tcW w:w="1134" w:type="dxa"/>
            <w:vAlign w:val="center"/>
          </w:tcPr>
          <w:p w14:paraId="21613B68" w14:textId="77777777" w:rsidR="002814F0" w:rsidRPr="00675B09" w:rsidRDefault="002814F0" w:rsidP="00965BC3">
            <w:pPr>
              <w:widowControl/>
              <w:ind w:right="0"/>
              <w:jc w:val="center"/>
              <w:rPr>
                <w:lang w:val="en-GB"/>
              </w:rPr>
            </w:pPr>
            <w:r w:rsidRPr="00675B09">
              <w:rPr>
                <w:lang w:val="en-GB"/>
              </w:rPr>
              <w:t>50%</w:t>
            </w:r>
          </w:p>
        </w:tc>
        <w:tc>
          <w:tcPr>
            <w:tcW w:w="1276" w:type="dxa"/>
            <w:vAlign w:val="center"/>
          </w:tcPr>
          <w:p w14:paraId="2A30CB5E" w14:textId="77777777" w:rsidR="002814F0" w:rsidRPr="00675B09" w:rsidRDefault="002814F0" w:rsidP="00965BC3">
            <w:pPr>
              <w:widowControl/>
              <w:ind w:right="0"/>
              <w:jc w:val="center"/>
              <w:rPr>
                <w:lang w:val="en-GB"/>
              </w:rPr>
            </w:pPr>
            <w:r w:rsidRPr="00675B09">
              <w:rPr>
                <w:lang w:val="en-GB"/>
              </w:rPr>
              <w:t>50%</w:t>
            </w:r>
          </w:p>
        </w:tc>
        <w:tc>
          <w:tcPr>
            <w:tcW w:w="1134" w:type="dxa"/>
            <w:vAlign w:val="center"/>
          </w:tcPr>
          <w:p w14:paraId="2CF68CAC" w14:textId="77777777" w:rsidR="002814F0" w:rsidRPr="00675B09" w:rsidRDefault="002814F0" w:rsidP="00965BC3">
            <w:pPr>
              <w:widowControl/>
              <w:ind w:right="0"/>
              <w:jc w:val="center"/>
              <w:rPr>
                <w:lang w:val="en-GB"/>
              </w:rPr>
            </w:pPr>
            <w:r w:rsidRPr="00675B09">
              <w:rPr>
                <w:lang w:val="en-GB"/>
              </w:rPr>
              <w:t>0%</w:t>
            </w:r>
          </w:p>
        </w:tc>
        <w:tc>
          <w:tcPr>
            <w:tcW w:w="1559" w:type="dxa"/>
            <w:vAlign w:val="center"/>
          </w:tcPr>
          <w:p w14:paraId="097F6CD1" w14:textId="77777777" w:rsidR="002814F0" w:rsidRPr="00675B09" w:rsidRDefault="002814F0" w:rsidP="00965BC3">
            <w:pPr>
              <w:widowControl/>
              <w:ind w:right="0"/>
              <w:jc w:val="center"/>
              <w:rPr>
                <w:lang w:val="en-GB"/>
              </w:rPr>
            </w:pPr>
            <w:r w:rsidRPr="00675B09">
              <w:rPr>
                <w:lang w:val="en-GB"/>
              </w:rPr>
              <w:t>17% (13-23%)</w:t>
            </w:r>
          </w:p>
        </w:tc>
        <w:tc>
          <w:tcPr>
            <w:tcW w:w="1701" w:type="dxa"/>
            <w:vAlign w:val="center"/>
          </w:tcPr>
          <w:p w14:paraId="787E4897" w14:textId="77777777" w:rsidR="002814F0" w:rsidRPr="00675B09" w:rsidRDefault="002814F0" w:rsidP="00965BC3">
            <w:pPr>
              <w:widowControl/>
              <w:ind w:right="0"/>
              <w:jc w:val="center"/>
              <w:rPr>
                <w:lang w:val="en-GB"/>
              </w:rPr>
            </w:pPr>
            <w:r w:rsidRPr="00675B09">
              <w:rPr>
                <w:lang w:val="en-GB"/>
              </w:rPr>
              <w:t>6% (3-10%)</w:t>
            </w:r>
          </w:p>
        </w:tc>
        <w:tc>
          <w:tcPr>
            <w:tcW w:w="1636" w:type="dxa"/>
            <w:vAlign w:val="center"/>
          </w:tcPr>
          <w:p w14:paraId="1FB3D1AD" w14:textId="77777777" w:rsidR="002814F0" w:rsidRPr="00675B09" w:rsidRDefault="002814F0" w:rsidP="00965BC3">
            <w:pPr>
              <w:widowControl/>
              <w:ind w:right="0"/>
              <w:jc w:val="center"/>
              <w:rPr>
                <w:lang w:val="en-GB"/>
              </w:rPr>
            </w:pPr>
            <w:r w:rsidRPr="00675B09">
              <w:rPr>
                <w:lang w:val="en-GB"/>
              </w:rPr>
              <w:t>0% (0-0%)</w:t>
            </w:r>
          </w:p>
        </w:tc>
        <w:tc>
          <w:tcPr>
            <w:tcW w:w="1483" w:type="dxa"/>
            <w:vAlign w:val="center"/>
          </w:tcPr>
          <w:p w14:paraId="507FA766" w14:textId="77777777" w:rsidR="002814F0" w:rsidRPr="00675B09" w:rsidRDefault="002814F0" w:rsidP="00965BC3">
            <w:pPr>
              <w:widowControl/>
              <w:ind w:right="0"/>
              <w:jc w:val="center"/>
              <w:rPr>
                <w:lang w:val="en-GB"/>
              </w:rPr>
            </w:pPr>
            <w:r w:rsidRPr="00675B09">
              <w:rPr>
                <w:lang w:val="en-GB"/>
              </w:rPr>
              <w:t>1% (0-3%)</w:t>
            </w:r>
          </w:p>
        </w:tc>
        <w:tc>
          <w:tcPr>
            <w:tcW w:w="1559" w:type="dxa"/>
            <w:vAlign w:val="center"/>
          </w:tcPr>
          <w:p w14:paraId="4C45CDD1" w14:textId="77777777" w:rsidR="002814F0" w:rsidRPr="00675B09" w:rsidRDefault="002814F0" w:rsidP="00965BC3">
            <w:pPr>
              <w:widowControl/>
              <w:ind w:right="0"/>
              <w:jc w:val="center"/>
              <w:rPr>
                <w:lang w:val="en-GB"/>
              </w:rPr>
            </w:pPr>
            <w:r w:rsidRPr="00675B09">
              <w:rPr>
                <w:lang w:val="en-GB"/>
              </w:rPr>
              <w:t>76% (69-81%)</w:t>
            </w:r>
          </w:p>
        </w:tc>
      </w:tr>
      <w:tr w:rsidR="00675B09" w:rsidRPr="00675B09" w14:paraId="5577ACA6" w14:textId="77777777" w:rsidTr="00C402B7">
        <w:trPr>
          <w:trHeight w:val="292"/>
          <w:jc w:val="center"/>
        </w:trPr>
        <w:tc>
          <w:tcPr>
            <w:tcW w:w="1134" w:type="dxa"/>
            <w:vAlign w:val="center"/>
          </w:tcPr>
          <w:p w14:paraId="6A39DCC8" w14:textId="77777777" w:rsidR="002814F0" w:rsidRPr="00675B09" w:rsidRDefault="002814F0" w:rsidP="00965BC3">
            <w:pPr>
              <w:widowControl/>
              <w:ind w:right="0"/>
              <w:jc w:val="center"/>
              <w:rPr>
                <w:lang w:val="en-GB"/>
              </w:rPr>
            </w:pPr>
            <w:r w:rsidRPr="00675B09">
              <w:rPr>
                <w:lang w:val="en-GB"/>
              </w:rPr>
              <w:t>Schizophrenia (18+)</w:t>
            </w:r>
          </w:p>
        </w:tc>
        <w:tc>
          <w:tcPr>
            <w:tcW w:w="851" w:type="dxa"/>
            <w:vAlign w:val="center"/>
          </w:tcPr>
          <w:p w14:paraId="48D7D8DF" w14:textId="77777777" w:rsidR="002814F0" w:rsidRPr="00675B09" w:rsidRDefault="002814F0" w:rsidP="00965BC3">
            <w:pPr>
              <w:widowControl/>
              <w:ind w:right="0"/>
              <w:jc w:val="center"/>
              <w:rPr>
                <w:lang w:val="en-GB"/>
              </w:rPr>
            </w:pPr>
            <w:r w:rsidRPr="00675B09">
              <w:rPr>
                <w:lang w:val="en-GB"/>
              </w:rPr>
              <w:t>221</w:t>
            </w:r>
          </w:p>
        </w:tc>
        <w:tc>
          <w:tcPr>
            <w:tcW w:w="1276" w:type="dxa"/>
            <w:vAlign w:val="center"/>
          </w:tcPr>
          <w:p w14:paraId="1BA7B24A" w14:textId="77777777" w:rsidR="002814F0" w:rsidRPr="00675B09" w:rsidRDefault="002814F0" w:rsidP="00965BC3">
            <w:pPr>
              <w:widowControl/>
              <w:ind w:right="0"/>
              <w:jc w:val="center"/>
              <w:rPr>
                <w:lang w:val="en-GB"/>
              </w:rPr>
            </w:pPr>
            <w:r w:rsidRPr="00675B09">
              <w:rPr>
                <w:lang w:val="en-GB"/>
              </w:rPr>
              <w:t>64405</w:t>
            </w:r>
          </w:p>
        </w:tc>
        <w:tc>
          <w:tcPr>
            <w:tcW w:w="1275" w:type="dxa"/>
            <w:vAlign w:val="center"/>
          </w:tcPr>
          <w:p w14:paraId="0B6F7B1B" w14:textId="77777777" w:rsidR="002814F0" w:rsidRPr="00675B09" w:rsidRDefault="002814F0" w:rsidP="00965BC3">
            <w:pPr>
              <w:widowControl/>
              <w:ind w:right="0"/>
              <w:jc w:val="center"/>
              <w:rPr>
                <w:lang w:val="en-GB"/>
              </w:rPr>
            </w:pPr>
            <w:r w:rsidRPr="00675B09">
              <w:rPr>
                <w:lang w:val="en-GB"/>
              </w:rPr>
              <w:t>38%</w:t>
            </w:r>
          </w:p>
        </w:tc>
        <w:tc>
          <w:tcPr>
            <w:tcW w:w="1134" w:type="dxa"/>
            <w:vAlign w:val="center"/>
          </w:tcPr>
          <w:p w14:paraId="4ED27374" w14:textId="77777777" w:rsidR="002814F0" w:rsidRPr="00675B09" w:rsidRDefault="002814F0" w:rsidP="00965BC3">
            <w:pPr>
              <w:widowControl/>
              <w:ind w:right="0"/>
              <w:jc w:val="center"/>
              <w:rPr>
                <w:lang w:val="en-GB"/>
              </w:rPr>
            </w:pPr>
            <w:r w:rsidRPr="00675B09">
              <w:rPr>
                <w:lang w:val="en-GB"/>
              </w:rPr>
              <w:t>58%</w:t>
            </w:r>
          </w:p>
        </w:tc>
        <w:tc>
          <w:tcPr>
            <w:tcW w:w="1276" w:type="dxa"/>
            <w:vAlign w:val="center"/>
          </w:tcPr>
          <w:p w14:paraId="7AA40F44" w14:textId="77777777" w:rsidR="002814F0" w:rsidRPr="00675B09" w:rsidRDefault="002814F0" w:rsidP="00965BC3">
            <w:pPr>
              <w:widowControl/>
              <w:ind w:right="0"/>
              <w:jc w:val="center"/>
              <w:rPr>
                <w:lang w:val="en-GB"/>
              </w:rPr>
            </w:pPr>
            <w:r w:rsidRPr="00675B09">
              <w:rPr>
                <w:lang w:val="en-GB"/>
              </w:rPr>
              <w:t>38%</w:t>
            </w:r>
          </w:p>
        </w:tc>
        <w:tc>
          <w:tcPr>
            <w:tcW w:w="1134" w:type="dxa"/>
            <w:vAlign w:val="center"/>
          </w:tcPr>
          <w:p w14:paraId="02EA93A6" w14:textId="77777777" w:rsidR="002814F0" w:rsidRPr="00675B09" w:rsidRDefault="002814F0" w:rsidP="00965BC3">
            <w:pPr>
              <w:widowControl/>
              <w:ind w:right="0"/>
              <w:jc w:val="center"/>
              <w:rPr>
                <w:lang w:val="en-GB"/>
              </w:rPr>
            </w:pPr>
            <w:r w:rsidRPr="00675B09">
              <w:rPr>
                <w:lang w:val="en-GB"/>
              </w:rPr>
              <w:t>14%</w:t>
            </w:r>
          </w:p>
        </w:tc>
        <w:tc>
          <w:tcPr>
            <w:tcW w:w="1559" w:type="dxa"/>
            <w:vAlign w:val="center"/>
          </w:tcPr>
          <w:p w14:paraId="7C2F092A" w14:textId="77777777" w:rsidR="002814F0" w:rsidRPr="00675B09" w:rsidRDefault="002814F0" w:rsidP="00965BC3">
            <w:pPr>
              <w:widowControl/>
              <w:ind w:right="0"/>
              <w:jc w:val="center"/>
              <w:rPr>
                <w:lang w:val="en-GB"/>
              </w:rPr>
            </w:pPr>
            <w:r w:rsidRPr="00675B09">
              <w:rPr>
                <w:lang w:val="en-GB"/>
              </w:rPr>
              <w:t>4% (2-6%)</w:t>
            </w:r>
          </w:p>
        </w:tc>
        <w:tc>
          <w:tcPr>
            <w:tcW w:w="1701" w:type="dxa"/>
            <w:vAlign w:val="center"/>
          </w:tcPr>
          <w:p w14:paraId="337F8380" w14:textId="77777777" w:rsidR="002814F0" w:rsidRPr="00675B09" w:rsidRDefault="002814F0" w:rsidP="00965BC3">
            <w:pPr>
              <w:widowControl/>
              <w:ind w:right="0"/>
              <w:jc w:val="center"/>
              <w:rPr>
                <w:lang w:val="en-GB"/>
              </w:rPr>
            </w:pPr>
            <w:r w:rsidRPr="00675B09">
              <w:rPr>
                <w:lang w:val="en-GB"/>
              </w:rPr>
              <w:t>20% (16-25%)</w:t>
            </w:r>
          </w:p>
        </w:tc>
        <w:tc>
          <w:tcPr>
            <w:tcW w:w="1636" w:type="dxa"/>
            <w:vAlign w:val="center"/>
          </w:tcPr>
          <w:p w14:paraId="3DE49DFE" w14:textId="77777777" w:rsidR="002814F0" w:rsidRPr="00675B09" w:rsidRDefault="002814F0" w:rsidP="00965BC3">
            <w:pPr>
              <w:widowControl/>
              <w:ind w:right="0"/>
              <w:jc w:val="center"/>
              <w:rPr>
                <w:lang w:val="en-GB"/>
              </w:rPr>
            </w:pPr>
            <w:r w:rsidRPr="00675B09">
              <w:rPr>
                <w:lang w:val="en-GB"/>
              </w:rPr>
              <w:t>16% (9-26%)</w:t>
            </w:r>
          </w:p>
        </w:tc>
        <w:tc>
          <w:tcPr>
            <w:tcW w:w="1483" w:type="dxa"/>
            <w:vAlign w:val="center"/>
          </w:tcPr>
          <w:p w14:paraId="068DE09C" w14:textId="77777777" w:rsidR="002814F0" w:rsidRPr="00675B09" w:rsidRDefault="002814F0" w:rsidP="00965BC3">
            <w:pPr>
              <w:widowControl/>
              <w:ind w:right="0"/>
              <w:jc w:val="center"/>
              <w:rPr>
                <w:lang w:val="en-GB"/>
              </w:rPr>
            </w:pPr>
            <w:r w:rsidRPr="00675B09">
              <w:rPr>
                <w:lang w:val="en-GB"/>
              </w:rPr>
              <w:t>5% (3-6%)</w:t>
            </w:r>
          </w:p>
        </w:tc>
        <w:tc>
          <w:tcPr>
            <w:tcW w:w="1559" w:type="dxa"/>
            <w:vAlign w:val="center"/>
          </w:tcPr>
          <w:p w14:paraId="0BEE7127" w14:textId="77777777" w:rsidR="002814F0" w:rsidRPr="00675B09" w:rsidRDefault="002814F0" w:rsidP="00965BC3">
            <w:pPr>
              <w:widowControl/>
              <w:ind w:right="0"/>
              <w:jc w:val="center"/>
              <w:rPr>
                <w:lang w:val="en-GB"/>
              </w:rPr>
            </w:pPr>
            <w:r w:rsidRPr="00675B09">
              <w:rPr>
                <w:lang w:val="en-GB"/>
              </w:rPr>
              <w:t>68% (62-74%)</w:t>
            </w:r>
          </w:p>
        </w:tc>
      </w:tr>
      <w:tr w:rsidR="00675B09" w:rsidRPr="00675B09" w14:paraId="6A77235A" w14:textId="77777777" w:rsidTr="00C402B7">
        <w:trPr>
          <w:trHeight w:val="292"/>
          <w:jc w:val="center"/>
        </w:trPr>
        <w:tc>
          <w:tcPr>
            <w:tcW w:w="1134" w:type="dxa"/>
            <w:vAlign w:val="center"/>
          </w:tcPr>
          <w:p w14:paraId="6B274115" w14:textId="77777777" w:rsidR="002814F0" w:rsidRPr="00675B09" w:rsidRDefault="002814F0" w:rsidP="00965BC3">
            <w:pPr>
              <w:widowControl/>
              <w:ind w:right="0"/>
              <w:jc w:val="center"/>
              <w:rPr>
                <w:lang w:val="en-GB"/>
              </w:rPr>
            </w:pPr>
            <w:r w:rsidRPr="00675B09">
              <w:rPr>
                <w:lang w:val="en-GB"/>
              </w:rPr>
              <w:lastRenderedPageBreak/>
              <w:t>Social Anxiety Disorder (18+)</w:t>
            </w:r>
          </w:p>
        </w:tc>
        <w:tc>
          <w:tcPr>
            <w:tcW w:w="851" w:type="dxa"/>
            <w:vAlign w:val="center"/>
          </w:tcPr>
          <w:p w14:paraId="5BF8A83B" w14:textId="77777777" w:rsidR="002814F0" w:rsidRPr="00675B09" w:rsidRDefault="002814F0" w:rsidP="00965BC3">
            <w:pPr>
              <w:widowControl/>
              <w:ind w:right="0"/>
              <w:jc w:val="center"/>
              <w:rPr>
                <w:lang w:val="en-GB"/>
              </w:rPr>
            </w:pPr>
            <w:r w:rsidRPr="00675B09">
              <w:rPr>
                <w:lang w:val="en-GB"/>
              </w:rPr>
              <w:t>54</w:t>
            </w:r>
          </w:p>
        </w:tc>
        <w:tc>
          <w:tcPr>
            <w:tcW w:w="1276" w:type="dxa"/>
            <w:vAlign w:val="center"/>
          </w:tcPr>
          <w:p w14:paraId="6D5AC4F6" w14:textId="77777777" w:rsidR="002814F0" w:rsidRPr="00675B09" w:rsidRDefault="002814F0" w:rsidP="00965BC3">
            <w:pPr>
              <w:widowControl/>
              <w:ind w:right="0"/>
              <w:jc w:val="center"/>
              <w:rPr>
                <w:lang w:val="en-GB"/>
              </w:rPr>
            </w:pPr>
            <w:r w:rsidRPr="00675B09">
              <w:rPr>
                <w:lang w:val="en-GB"/>
              </w:rPr>
              <w:t>9914</w:t>
            </w:r>
          </w:p>
        </w:tc>
        <w:tc>
          <w:tcPr>
            <w:tcW w:w="1275" w:type="dxa"/>
            <w:vAlign w:val="center"/>
          </w:tcPr>
          <w:p w14:paraId="4E42EFED" w14:textId="77777777" w:rsidR="002814F0" w:rsidRPr="00675B09" w:rsidRDefault="002814F0" w:rsidP="00965BC3">
            <w:pPr>
              <w:widowControl/>
              <w:ind w:right="0"/>
              <w:jc w:val="center"/>
              <w:rPr>
                <w:lang w:val="en-GB"/>
              </w:rPr>
            </w:pPr>
            <w:r w:rsidRPr="00675B09">
              <w:rPr>
                <w:lang w:val="en-GB"/>
              </w:rPr>
              <w:t>22%</w:t>
            </w:r>
          </w:p>
        </w:tc>
        <w:tc>
          <w:tcPr>
            <w:tcW w:w="1134" w:type="dxa"/>
            <w:vAlign w:val="center"/>
          </w:tcPr>
          <w:p w14:paraId="78FB39ED" w14:textId="77777777" w:rsidR="002814F0" w:rsidRPr="00675B09" w:rsidRDefault="002814F0" w:rsidP="00965BC3">
            <w:pPr>
              <w:widowControl/>
              <w:ind w:right="0"/>
              <w:jc w:val="center"/>
              <w:rPr>
                <w:lang w:val="en-GB"/>
              </w:rPr>
            </w:pPr>
            <w:r w:rsidRPr="00675B09">
              <w:rPr>
                <w:lang w:val="en-GB"/>
              </w:rPr>
              <w:t>59%</w:t>
            </w:r>
          </w:p>
        </w:tc>
        <w:tc>
          <w:tcPr>
            <w:tcW w:w="1276" w:type="dxa"/>
            <w:vAlign w:val="center"/>
          </w:tcPr>
          <w:p w14:paraId="58EA2957" w14:textId="77777777" w:rsidR="002814F0" w:rsidRPr="00675B09" w:rsidRDefault="002814F0" w:rsidP="00965BC3">
            <w:pPr>
              <w:widowControl/>
              <w:ind w:right="0"/>
              <w:jc w:val="center"/>
              <w:rPr>
                <w:lang w:val="en-GB"/>
              </w:rPr>
            </w:pPr>
            <w:r w:rsidRPr="00675B09">
              <w:rPr>
                <w:lang w:val="en-GB"/>
              </w:rPr>
              <w:t>46%</w:t>
            </w:r>
          </w:p>
        </w:tc>
        <w:tc>
          <w:tcPr>
            <w:tcW w:w="1134" w:type="dxa"/>
            <w:vAlign w:val="center"/>
          </w:tcPr>
          <w:p w14:paraId="2A40CC58" w14:textId="77777777" w:rsidR="002814F0" w:rsidRPr="00675B09" w:rsidRDefault="002814F0" w:rsidP="00965BC3">
            <w:pPr>
              <w:widowControl/>
              <w:ind w:right="0"/>
              <w:jc w:val="center"/>
              <w:rPr>
                <w:lang w:val="en-GB"/>
              </w:rPr>
            </w:pPr>
            <w:r w:rsidRPr="00675B09">
              <w:rPr>
                <w:lang w:val="en-GB"/>
              </w:rPr>
              <w:t>13%</w:t>
            </w:r>
          </w:p>
        </w:tc>
        <w:tc>
          <w:tcPr>
            <w:tcW w:w="1559" w:type="dxa"/>
            <w:vAlign w:val="center"/>
          </w:tcPr>
          <w:p w14:paraId="12EC085D" w14:textId="77777777" w:rsidR="002814F0" w:rsidRPr="00675B09" w:rsidRDefault="002814F0" w:rsidP="00965BC3">
            <w:pPr>
              <w:widowControl/>
              <w:ind w:right="0"/>
              <w:jc w:val="center"/>
              <w:rPr>
                <w:lang w:val="en-GB"/>
              </w:rPr>
            </w:pPr>
            <w:r w:rsidRPr="00675B09">
              <w:rPr>
                <w:lang w:val="en-GB"/>
              </w:rPr>
              <w:t>1% (1-1%)</w:t>
            </w:r>
          </w:p>
        </w:tc>
        <w:tc>
          <w:tcPr>
            <w:tcW w:w="1701" w:type="dxa"/>
            <w:vAlign w:val="center"/>
          </w:tcPr>
          <w:p w14:paraId="04099AB3" w14:textId="77777777" w:rsidR="002814F0" w:rsidRPr="00675B09" w:rsidRDefault="002814F0" w:rsidP="00965BC3">
            <w:pPr>
              <w:widowControl/>
              <w:ind w:right="0"/>
              <w:jc w:val="center"/>
              <w:rPr>
                <w:lang w:val="en-GB"/>
              </w:rPr>
            </w:pPr>
            <w:r w:rsidRPr="00675B09">
              <w:rPr>
                <w:lang w:val="en-GB"/>
              </w:rPr>
              <w:t>5% (3-6%)</w:t>
            </w:r>
          </w:p>
        </w:tc>
        <w:tc>
          <w:tcPr>
            <w:tcW w:w="1636" w:type="dxa"/>
            <w:vAlign w:val="center"/>
          </w:tcPr>
          <w:p w14:paraId="7F80805E" w14:textId="77777777" w:rsidR="002814F0" w:rsidRPr="00675B09" w:rsidRDefault="002814F0" w:rsidP="00965BC3">
            <w:pPr>
              <w:widowControl/>
              <w:ind w:right="0"/>
              <w:jc w:val="center"/>
              <w:rPr>
                <w:lang w:val="en-GB"/>
              </w:rPr>
            </w:pPr>
            <w:r w:rsidRPr="00675B09">
              <w:rPr>
                <w:lang w:val="en-GB"/>
              </w:rPr>
              <w:t>12% (8-18%)</w:t>
            </w:r>
          </w:p>
        </w:tc>
        <w:tc>
          <w:tcPr>
            <w:tcW w:w="1483" w:type="dxa"/>
            <w:vAlign w:val="center"/>
          </w:tcPr>
          <w:p w14:paraId="7FC990F4" w14:textId="77777777" w:rsidR="002814F0" w:rsidRPr="00675B09" w:rsidRDefault="002814F0" w:rsidP="00965BC3">
            <w:pPr>
              <w:widowControl/>
              <w:ind w:right="0"/>
              <w:jc w:val="center"/>
              <w:rPr>
                <w:lang w:val="en-GB"/>
              </w:rPr>
            </w:pPr>
            <w:r w:rsidRPr="00675B09">
              <w:rPr>
                <w:lang w:val="en-GB"/>
              </w:rPr>
              <w:t>7% (4-10%)</w:t>
            </w:r>
          </w:p>
        </w:tc>
        <w:tc>
          <w:tcPr>
            <w:tcW w:w="1559" w:type="dxa"/>
            <w:vAlign w:val="center"/>
          </w:tcPr>
          <w:p w14:paraId="72CAD5C0" w14:textId="77777777" w:rsidR="002814F0" w:rsidRPr="00675B09" w:rsidRDefault="002814F0" w:rsidP="00965BC3">
            <w:pPr>
              <w:widowControl/>
              <w:ind w:right="0"/>
              <w:jc w:val="center"/>
              <w:rPr>
                <w:lang w:val="en-GB"/>
              </w:rPr>
            </w:pPr>
            <w:r w:rsidRPr="00675B09">
              <w:rPr>
                <w:lang w:val="en-GB"/>
              </w:rPr>
              <w:t>88% (84-92%)</w:t>
            </w:r>
          </w:p>
        </w:tc>
      </w:tr>
      <w:tr w:rsidR="00675B09" w:rsidRPr="00675B09" w14:paraId="27D0B255" w14:textId="77777777" w:rsidTr="00C402B7">
        <w:trPr>
          <w:trHeight w:val="292"/>
          <w:jc w:val="center"/>
        </w:trPr>
        <w:tc>
          <w:tcPr>
            <w:tcW w:w="1134" w:type="dxa"/>
            <w:vAlign w:val="center"/>
          </w:tcPr>
          <w:p w14:paraId="77943698" w14:textId="77777777" w:rsidR="002814F0" w:rsidRPr="00675B09" w:rsidRDefault="002814F0" w:rsidP="00965BC3">
            <w:pPr>
              <w:widowControl/>
              <w:ind w:right="0"/>
              <w:jc w:val="center"/>
              <w:rPr>
                <w:lang w:val="en-GB"/>
              </w:rPr>
            </w:pPr>
            <w:r w:rsidRPr="00675B09">
              <w:rPr>
                <w:lang w:val="en-GB"/>
              </w:rPr>
              <w:t>Stimulant or Cocaine Use Disorder (18+)</w:t>
            </w:r>
          </w:p>
        </w:tc>
        <w:tc>
          <w:tcPr>
            <w:tcW w:w="851" w:type="dxa"/>
            <w:vAlign w:val="center"/>
          </w:tcPr>
          <w:p w14:paraId="0BFF4B93" w14:textId="77777777" w:rsidR="002814F0" w:rsidRPr="00675B09" w:rsidRDefault="002814F0" w:rsidP="00965BC3">
            <w:pPr>
              <w:widowControl/>
              <w:ind w:right="0"/>
              <w:jc w:val="center"/>
              <w:rPr>
                <w:lang w:val="en-GB"/>
              </w:rPr>
            </w:pPr>
            <w:r w:rsidRPr="00675B09">
              <w:rPr>
                <w:lang w:val="en-GB"/>
              </w:rPr>
              <w:t>22</w:t>
            </w:r>
          </w:p>
        </w:tc>
        <w:tc>
          <w:tcPr>
            <w:tcW w:w="1276" w:type="dxa"/>
            <w:vAlign w:val="center"/>
          </w:tcPr>
          <w:p w14:paraId="5C02FEAC" w14:textId="77777777" w:rsidR="002814F0" w:rsidRPr="00675B09" w:rsidRDefault="002814F0" w:rsidP="00965BC3">
            <w:pPr>
              <w:widowControl/>
              <w:ind w:right="0"/>
              <w:jc w:val="center"/>
              <w:rPr>
                <w:lang w:val="en-GB"/>
              </w:rPr>
            </w:pPr>
            <w:r w:rsidRPr="00675B09">
              <w:rPr>
                <w:lang w:val="en-GB"/>
              </w:rPr>
              <w:t>2098</w:t>
            </w:r>
          </w:p>
        </w:tc>
        <w:tc>
          <w:tcPr>
            <w:tcW w:w="1275" w:type="dxa"/>
            <w:vAlign w:val="center"/>
          </w:tcPr>
          <w:p w14:paraId="79F0F621" w14:textId="77777777" w:rsidR="002814F0" w:rsidRPr="00675B09" w:rsidRDefault="002814F0" w:rsidP="00965BC3">
            <w:pPr>
              <w:widowControl/>
              <w:ind w:right="0"/>
              <w:jc w:val="center"/>
              <w:rPr>
                <w:lang w:val="en-GB"/>
              </w:rPr>
            </w:pPr>
            <w:r w:rsidRPr="00675B09">
              <w:rPr>
                <w:lang w:val="en-GB"/>
              </w:rPr>
              <w:t>55%</w:t>
            </w:r>
          </w:p>
        </w:tc>
        <w:tc>
          <w:tcPr>
            <w:tcW w:w="1134" w:type="dxa"/>
            <w:vAlign w:val="center"/>
          </w:tcPr>
          <w:p w14:paraId="2C1F548A" w14:textId="77777777" w:rsidR="002814F0" w:rsidRPr="00675B09" w:rsidRDefault="002814F0" w:rsidP="00965BC3">
            <w:pPr>
              <w:widowControl/>
              <w:ind w:right="0"/>
              <w:jc w:val="center"/>
              <w:rPr>
                <w:lang w:val="en-GB"/>
              </w:rPr>
            </w:pPr>
            <w:r w:rsidRPr="00675B09">
              <w:rPr>
                <w:lang w:val="en-GB"/>
              </w:rPr>
              <w:t>27%</w:t>
            </w:r>
          </w:p>
        </w:tc>
        <w:tc>
          <w:tcPr>
            <w:tcW w:w="1276" w:type="dxa"/>
            <w:vAlign w:val="center"/>
          </w:tcPr>
          <w:p w14:paraId="48FAF20C" w14:textId="77777777" w:rsidR="002814F0" w:rsidRPr="00675B09" w:rsidRDefault="002814F0" w:rsidP="00965BC3">
            <w:pPr>
              <w:widowControl/>
              <w:ind w:right="0"/>
              <w:jc w:val="center"/>
              <w:rPr>
                <w:lang w:val="en-GB"/>
              </w:rPr>
            </w:pPr>
            <w:r w:rsidRPr="00675B09">
              <w:rPr>
                <w:lang w:val="en-GB"/>
              </w:rPr>
              <w:t>23%</w:t>
            </w:r>
          </w:p>
        </w:tc>
        <w:tc>
          <w:tcPr>
            <w:tcW w:w="1134" w:type="dxa"/>
            <w:vAlign w:val="center"/>
          </w:tcPr>
          <w:p w14:paraId="5E248DE0" w14:textId="77777777" w:rsidR="002814F0" w:rsidRPr="00675B09" w:rsidRDefault="002814F0" w:rsidP="00965BC3">
            <w:pPr>
              <w:widowControl/>
              <w:ind w:right="0"/>
              <w:jc w:val="center"/>
              <w:rPr>
                <w:lang w:val="en-GB"/>
              </w:rPr>
            </w:pPr>
            <w:r w:rsidRPr="00675B09">
              <w:rPr>
                <w:lang w:val="en-GB"/>
              </w:rPr>
              <w:t>5%</w:t>
            </w:r>
          </w:p>
        </w:tc>
        <w:tc>
          <w:tcPr>
            <w:tcW w:w="1559" w:type="dxa"/>
            <w:vAlign w:val="center"/>
          </w:tcPr>
          <w:p w14:paraId="3B63AA35" w14:textId="77777777" w:rsidR="002814F0" w:rsidRPr="00675B09" w:rsidRDefault="002814F0" w:rsidP="00965BC3">
            <w:pPr>
              <w:widowControl/>
              <w:ind w:right="0"/>
              <w:jc w:val="center"/>
              <w:rPr>
                <w:lang w:val="en-GB"/>
              </w:rPr>
            </w:pPr>
            <w:r w:rsidRPr="00675B09">
              <w:rPr>
                <w:lang w:val="en-GB"/>
              </w:rPr>
              <w:t>0% (0-1%)</w:t>
            </w:r>
          </w:p>
        </w:tc>
        <w:tc>
          <w:tcPr>
            <w:tcW w:w="1701" w:type="dxa"/>
            <w:vAlign w:val="center"/>
          </w:tcPr>
          <w:p w14:paraId="7985994E" w14:textId="77777777" w:rsidR="002814F0" w:rsidRPr="00675B09" w:rsidRDefault="002814F0" w:rsidP="00965BC3">
            <w:pPr>
              <w:widowControl/>
              <w:ind w:right="0"/>
              <w:jc w:val="center"/>
              <w:rPr>
                <w:lang w:val="en-GB"/>
              </w:rPr>
            </w:pPr>
            <w:r w:rsidRPr="00675B09">
              <w:rPr>
                <w:lang w:val="en-GB"/>
              </w:rPr>
              <w:t>15% (9-23%)</w:t>
            </w:r>
          </w:p>
        </w:tc>
        <w:tc>
          <w:tcPr>
            <w:tcW w:w="1636" w:type="dxa"/>
            <w:vAlign w:val="center"/>
          </w:tcPr>
          <w:p w14:paraId="15572E50" w14:textId="77777777" w:rsidR="002814F0" w:rsidRPr="00675B09" w:rsidRDefault="002814F0" w:rsidP="00965BC3">
            <w:pPr>
              <w:widowControl/>
              <w:ind w:right="0"/>
              <w:jc w:val="center"/>
              <w:rPr>
                <w:lang w:val="en-GB"/>
              </w:rPr>
            </w:pPr>
            <w:r w:rsidRPr="00675B09">
              <w:rPr>
                <w:lang w:val="en-GB"/>
              </w:rPr>
              <w:t>24% (16-35%)</w:t>
            </w:r>
          </w:p>
        </w:tc>
        <w:tc>
          <w:tcPr>
            <w:tcW w:w="1483" w:type="dxa"/>
            <w:vAlign w:val="center"/>
          </w:tcPr>
          <w:p w14:paraId="4C9878F8" w14:textId="77777777" w:rsidR="002814F0" w:rsidRPr="00675B09" w:rsidRDefault="002814F0" w:rsidP="00965BC3">
            <w:pPr>
              <w:widowControl/>
              <w:ind w:right="0"/>
              <w:jc w:val="center"/>
              <w:rPr>
                <w:lang w:val="en-GB"/>
              </w:rPr>
            </w:pPr>
            <w:r w:rsidRPr="00675B09">
              <w:rPr>
                <w:lang w:val="en-GB"/>
              </w:rPr>
              <w:t>14% (7-28%)</w:t>
            </w:r>
          </w:p>
        </w:tc>
        <w:tc>
          <w:tcPr>
            <w:tcW w:w="1559" w:type="dxa"/>
            <w:vAlign w:val="center"/>
          </w:tcPr>
          <w:p w14:paraId="1065ADFE" w14:textId="77777777" w:rsidR="002814F0" w:rsidRPr="00675B09" w:rsidRDefault="002814F0" w:rsidP="00965BC3">
            <w:pPr>
              <w:widowControl/>
              <w:ind w:right="0"/>
              <w:jc w:val="center"/>
              <w:rPr>
                <w:lang w:val="en-GB"/>
              </w:rPr>
            </w:pPr>
            <w:r w:rsidRPr="00675B09">
              <w:rPr>
                <w:lang w:val="en-GB"/>
              </w:rPr>
              <w:t>70% (62-76%)</w:t>
            </w:r>
          </w:p>
        </w:tc>
      </w:tr>
      <w:tr w:rsidR="00675B09" w:rsidRPr="00675B09" w14:paraId="6BD25270" w14:textId="77777777" w:rsidTr="00C402B7">
        <w:trPr>
          <w:trHeight w:val="292"/>
          <w:jc w:val="center"/>
        </w:trPr>
        <w:tc>
          <w:tcPr>
            <w:tcW w:w="1134" w:type="dxa"/>
            <w:vAlign w:val="center"/>
          </w:tcPr>
          <w:p w14:paraId="0C561E2E" w14:textId="77777777" w:rsidR="002814F0" w:rsidRPr="00675B09" w:rsidRDefault="002814F0" w:rsidP="00965BC3">
            <w:pPr>
              <w:widowControl/>
              <w:ind w:right="0"/>
              <w:jc w:val="center"/>
              <w:rPr>
                <w:lang w:val="en-GB"/>
              </w:rPr>
            </w:pPr>
            <w:r w:rsidRPr="00675B09">
              <w:rPr>
                <w:lang w:val="en-GB"/>
              </w:rPr>
              <w:t>Tourette's (&lt;18)</w:t>
            </w:r>
          </w:p>
        </w:tc>
        <w:tc>
          <w:tcPr>
            <w:tcW w:w="851" w:type="dxa"/>
            <w:vAlign w:val="center"/>
          </w:tcPr>
          <w:p w14:paraId="5ED08022" w14:textId="77777777" w:rsidR="002814F0" w:rsidRPr="00675B09" w:rsidRDefault="002814F0" w:rsidP="00965BC3">
            <w:pPr>
              <w:widowControl/>
              <w:ind w:right="0"/>
              <w:jc w:val="center"/>
              <w:rPr>
                <w:lang w:val="en-GB"/>
              </w:rPr>
            </w:pPr>
            <w:r w:rsidRPr="00675B09">
              <w:rPr>
                <w:lang w:val="en-GB"/>
              </w:rPr>
              <w:t>21</w:t>
            </w:r>
          </w:p>
        </w:tc>
        <w:tc>
          <w:tcPr>
            <w:tcW w:w="1276" w:type="dxa"/>
            <w:vAlign w:val="center"/>
          </w:tcPr>
          <w:p w14:paraId="7FD085BE" w14:textId="77777777" w:rsidR="002814F0" w:rsidRPr="00675B09" w:rsidRDefault="002814F0" w:rsidP="00965BC3">
            <w:pPr>
              <w:widowControl/>
              <w:ind w:right="0"/>
              <w:jc w:val="center"/>
              <w:rPr>
                <w:lang w:val="en-GB"/>
              </w:rPr>
            </w:pPr>
            <w:r w:rsidRPr="00675B09">
              <w:rPr>
                <w:lang w:val="en-GB"/>
              </w:rPr>
              <w:t>2586</w:t>
            </w:r>
          </w:p>
        </w:tc>
        <w:tc>
          <w:tcPr>
            <w:tcW w:w="1275" w:type="dxa"/>
            <w:vAlign w:val="center"/>
          </w:tcPr>
          <w:p w14:paraId="7DA7D1B7" w14:textId="77777777" w:rsidR="002814F0" w:rsidRPr="00675B09" w:rsidRDefault="002814F0" w:rsidP="00965BC3">
            <w:pPr>
              <w:widowControl/>
              <w:ind w:right="0"/>
              <w:jc w:val="center"/>
              <w:rPr>
                <w:lang w:val="en-GB"/>
              </w:rPr>
            </w:pPr>
            <w:r w:rsidRPr="00675B09">
              <w:rPr>
                <w:lang w:val="en-GB"/>
              </w:rPr>
              <w:t>29%</w:t>
            </w:r>
          </w:p>
        </w:tc>
        <w:tc>
          <w:tcPr>
            <w:tcW w:w="1134" w:type="dxa"/>
            <w:vAlign w:val="center"/>
          </w:tcPr>
          <w:p w14:paraId="2A2557E3" w14:textId="77777777" w:rsidR="002814F0" w:rsidRPr="00675B09" w:rsidRDefault="002814F0" w:rsidP="00965BC3">
            <w:pPr>
              <w:widowControl/>
              <w:ind w:right="0"/>
              <w:jc w:val="center"/>
              <w:rPr>
                <w:lang w:val="en-GB"/>
              </w:rPr>
            </w:pPr>
            <w:r w:rsidRPr="00675B09">
              <w:rPr>
                <w:lang w:val="en-GB"/>
              </w:rPr>
              <w:t>33%</w:t>
            </w:r>
          </w:p>
        </w:tc>
        <w:tc>
          <w:tcPr>
            <w:tcW w:w="1276" w:type="dxa"/>
            <w:vAlign w:val="center"/>
          </w:tcPr>
          <w:p w14:paraId="75A9636C" w14:textId="77777777" w:rsidR="002814F0" w:rsidRPr="00675B09" w:rsidRDefault="002814F0" w:rsidP="00965BC3">
            <w:pPr>
              <w:widowControl/>
              <w:ind w:right="0"/>
              <w:jc w:val="center"/>
              <w:rPr>
                <w:lang w:val="en-GB"/>
              </w:rPr>
            </w:pPr>
            <w:r w:rsidRPr="00675B09">
              <w:rPr>
                <w:lang w:val="en-GB"/>
              </w:rPr>
              <w:t>38%</w:t>
            </w:r>
          </w:p>
        </w:tc>
        <w:tc>
          <w:tcPr>
            <w:tcW w:w="1134" w:type="dxa"/>
            <w:vAlign w:val="center"/>
          </w:tcPr>
          <w:p w14:paraId="7E581CC4" w14:textId="77777777" w:rsidR="002814F0" w:rsidRPr="00675B09" w:rsidRDefault="002814F0" w:rsidP="00965BC3">
            <w:pPr>
              <w:widowControl/>
              <w:ind w:right="0"/>
              <w:jc w:val="center"/>
              <w:rPr>
                <w:lang w:val="en-GB"/>
              </w:rPr>
            </w:pPr>
            <w:r w:rsidRPr="00675B09">
              <w:rPr>
                <w:lang w:val="en-GB"/>
              </w:rPr>
              <w:t>19%</w:t>
            </w:r>
          </w:p>
        </w:tc>
        <w:tc>
          <w:tcPr>
            <w:tcW w:w="1559" w:type="dxa"/>
            <w:vAlign w:val="center"/>
          </w:tcPr>
          <w:p w14:paraId="15549932" w14:textId="77777777" w:rsidR="002814F0" w:rsidRPr="00675B09" w:rsidRDefault="002814F0" w:rsidP="00965BC3">
            <w:pPr>
              <w:widowControl/>
              <w:ind w:right="0"/>
              <w:jc w:val="center"/>
              <w:rPr>
                <w:lang w:val="en-GB"/>
              </w:rPr>
            </w:pPr>
            <w:r w:rsidRPr="00675B09">
              <w:rPr>
                <w:lang w:val="en-GB"/>
              </w:rPr>
              <w:t>54% (2-83%)</w:t>
            </w:r>
          </w:p>
        </w:tc>
        <w:tc>
          <w:tcPr>
            <w:tcW w:w="1701" w:type="dxa"/>
            <w:vAlign w:val="center"/>
          </w:tcPr>
          <w:p w14:paraId="6985CEBB" w14:textId="77777777" w:rsidR="002814F0" w:rsidRPr="00675B09" w:rsidRDefault="002814F0" w:rsidP="00965BC3">
            <w:pPr>
              <w:widowControl/>
              <w:ind w:right="0"/>
              <w:jc w:val="center"/>
              <w:rPr>
                <w:lang w:val="en-GB"/>
              </w:rPr>
            </w:pPr>
            <w:r w:rsidRPr="00675B09">
              <w:rPr>
                <w:lang w:val="en-GB"/>
              </w:rPr>
              <w:t>1% (0-4%)</w:t>
            </w:r>
          </w:p>
        </w:tc>
        <w:tc>
          <w:tcPr>
            <w:tcW w:w="1636" w:type="dxa"/>
            <w:vAlign w:val="center"/>
          </w:tcPr>
          <w:p w14:paraId="4D58C548" w14:textId="77777777" w:rsidR="002814F0" w:rsidRPr="00675B09" w:rsidRDefault="002814F0" w:rsidP="00965BC3">
            <w:pPr>
              <w:widowControl/>
              <w:ind w:right="0"/>
              <w:jc w:val="center"/>
              <w:rPr>
                <w:lang w:val="en-GB"/>
              </w:rPr>
            </w:pPr>
            <w:r w:rsidRPr="00675B09">
              <w:rPr>
                <w:lang w:val="en-GB"/>
              </w:rPr>
              <w:t>8% (3-22%)</w:t>
            </w:r>
          </w:p>
        </w:tc>
        <w:tc>
          <w:tcPr>
            <w:tcW w:w="1483" w:type="dxa"/>
            <w:vAlign w:val="center"/>
          </w:tcPr>
          <w:p w14:paraId="619543D4" w14:textId="77777777" w:rsidR="002814F0" w:rsidRPr="00675B09" w:rsidRDefault="002814F0" w:rsidP="00965BC3">
            <w:pPr>
              <w:widowControl/>
              <w:ind w:right="0"/>
              <w:jc w:val="center"/>
              <w:rPr>
                <w:lang w:val="en-GB"/>
              </w:rPr>
            </w:pPr>
            <w:r w:rsidRPr="00675B09">
              <w:rPr>
                <w:lang w:val="en-GB"/>
              </w:rPr>
              <w:t>3% (1-7%)</w:t>
            </w:r>
          </w:p>
        </w:tc>
        <w:tc>
          <w:tcPr>
            <w:tcW w:w="1559" w:type="dxa"/>
            <w:vAlign w:val="center"/>
          </w:tcPr>
          <w:p w14:paraId="365812B4" w14:textId="77777777" w:rsidR="002814F0" w:rsidRPr="00675B09" w:rsidRDefault="002814F0" w:rsidP="00965BC3">
            <w:pPr>
              <w:widowControl/>
              <w:ind w:right="0"/>
              <w:jc w:val="center"/>
              <w:rPr>
                <w:lang w:val="en-GB"/>
              </w:rPr>
            </w:pPr>
            <w:r w:rsidRPr="00675B09">
              <w:rPr>
                <w:lang w:val="en-GB"/>
              </w:rPr>
              <w:t>37% (34-41%)</w:t>
            </w:r>
          </w:p>
        </w:tc>
      </w:tr>
      <w:tr w:rsidR="00675B09" w:rsidRPr="00675B09" w14:paraId="4706A4C6" w14:textId="77777777" w:rsidTr="00C402B7">
        <w:trPr>
          <w:trHeight w:val="292"/>
          <w:jc w:val="center"/>
        </w:trPr>
        <w:tc>
          <w:tcPr>
            <w:tcW w:w="1134" w:type="dxa"/>
            <w:vAlign w:val="center"/>
          </w:tcPr>
          <w:p w14:paraId="7EB184BA" w14:textId="77777777" w:rsidR="002814F0" w:rsidRPr="00675B09" w:rsidRDefault="002814F0" w:rsidP="00965BC3">
            <w:pPr>
              <w:widowControl/>
              <w:ind w:right="0"/>
              <w:jc w:val="center"/>
              <w:rPr>
                <w:lang w:val="en-GB"/>
              </w:rPr>
            </w:pPr>
            <w:r w:rsidRPr="00675B09">
              <w:rPr>
                <w:lang w:val="en-GB"/>
              </w:rPr>
              <w:t>Tourette's (18+)</w:t>
            </w:r>
          </w:p>
        </w:tc>
        <w:tc>
          <w:tcPr>
            <w:tcW w:w="851" w:type="dxa"/>
            <w:vAlign w:val="center"/>
          </w:tcPr>
          <w:p w14:paraId="7B3DBF17" w14:textId="77777777" w:rsidR="002814F0" w:rsidRPr="00675B09" w:rsidRDefault="002814F0" w:rsidP="00965BC3">
            <w:pPr>
              <w:widowControl/>
              <w:ind w:right="0"/>
              <w:jc w:val="center"/>
              <w:rPr>
                <w:lang w:val="en-GB"/>
              </w:rPr>
            </w:pPr>
            <w:r w:rsidRPr="00675B09">
              <w:rPr>
                <w:lang w:val="en-GB"/>
              </w:rPr>
              <w:t>2</w:t>
            </w:r>
          </w:p>
        </w:tc>
        <w:tc>
          <w:tcPr>
            <w:tcW w:w="1276" w:type="dxa"/>
            <w:vAlign w:val="center"/>
          </w:tcPr>
          <w:p w14:paraId="0AD8C860" w14:textId="77777777" w:rsidR="002814F0" w:rsidRPr="00675B09" w:rsidRDefault="002814F0" w:rsidP="00965BC3">
            <w:pPr>
              <w:widowControl/>
              <w:ind w:right="0"/>
              <w:jc w:val="center"/>
              <w:rPr>
                <w:lang w:val="en-GB"/>
              </w:rPr>
            </w:pPr>
            <w:r w:rsidRPr="00675B09">
              <w:rPr>
                <w:lang w:val="en-GB"/>
              </w:rPr>
              <w:t>128</w:t>
            </w:r>
          </w:p>
        </w:tc>
        <w:tc>
          <w:tcPr>
            <w:tcW w:w="1275" w:type="dxa"/>
            <w:vAlign w:val="center"/>
          </w:tcPr>
          <w:p w14:paraId="398BB775" w14:textId="77777777" w:rsidR="002814F0" w:rsidRPr="00675B09" w:rsidRDefault="002814F0" w:rsidP="00965BC3">
            <w:pPr>
              <w:widowControl/>
              <w:ind w:right="0"/>
              <w:jc w:val="center"/>
              <w:rPr>
                <w:lang w:val="en-GB"/>
              </w:rPr>
            </w:pPr>
            <w:r w:rsidRPr="00675B09">
              <w:rPr>
                <w:lang w:val="en-GB"/>
              </w:rPr>
              <w:t>0%</w:t>
            </w:r>
          </w:p>
        </w:tc>
        <w:tc>
          <w:tcPr>
            <w:tcW w:w="1134" w:type="dxa"/>
            <w:vAlign w:val="center"/>
          </w:tcPr>
          <w:p w14:paraId="4009E044" w14:textId="77777777" w:rsidR="002814F0" w:rsidRPr="00675B09" w:rsidRDefault="002814F0" w:rsidP="00965BC3">
            <w:pPr>
              <w:widowControl/>
              <w:ind w:right="0"/>
              <w:jc w:val="center"/>
              <w:rPr>
                <w:lang w:val="en-GB"/>
              </w:rPr>
            </w:pPr>
            <w:r w:rsidRPr="00675B09">
              <w:rPr>
                <w:lang w:val="en-GB"/>
              </w:rPr>
              <w:t>50%</w:t>
            </w:r>
          </w:p>
        </w:tc>
        <w:tc>
          <w:tcPr>
            <w:tcW w:w="1276" w:type="dxa"/>
            <w:vAlign w:val="center"/>
          </w:tcPr>
          <w:p w14:paraId="55ED6599" w14:textId="77777777" w:rsidR="002814F0" w:rsidRPr="00675B09" w:rsidRDefault="002814F0" w:rsidP="00965BC3">
            <w:pPr>
              <w:widowControl/>
              <w:ind w:right="0"/>
              <w:jc w:val="center"/>
              <w:rPr>
                <w:lang w:val="en-GB"/>
              </w:rPr>
            </w:pPr>
            <w:r w:rsidRPr="00675B09">
              <w:rPr>
                <w:lang w:val="en-GB"/>
              </w:rPr>
              <w:t>50%</w:t>
            </w:r>
          </w:p>
        </w:tc>
        <w:tc>
          <w:tcPr>
            <w:tcW w:w="1134" w:type="dxa"/>
            <w:vAlign w:val="center"/>
          </w:tcPr>
          <w:p w14:paraId="0F5F70B5" w14:textId="77777777" w:rsidR="002814F0" w:rsidRPr="00675B09" w:rsidRDefault="002814F0" w:rsidP="00965BC3">
            <w:pPr>
              <w:widowControl/>
              <w:ind w:right="0"/>
              <w:jc w:val="center"/>
              <w:rPr>
                <w:lang w:val="en-GB"/>
              </w:rPr>
            </w:pPr>
            <w:r w:rsidRPr="00675B09">
              <w:rPr>
                <w:lang w:val="en-GB"/>
              </w:rPr>
              <w:t>0%</w:t>
            </w:r>
          </w:p>
        </w:tc>
        <w:tc>
          <w:tcPr>
            <w:tcW w:w="1559" w:type="dxa"/>
            <w:vAlign w:val="center"/>
          </w:tcPr>
          <w:p w14:paraId="5B73863A" w14:textId="77777777" w:rsidR="002814F0" w:rsidRPr="00675B09" w:rsidRDefault="002814F0" w:rsidP="00965BC3">
            <w:pPr>
              <w:widowControl/>
              <w:ind w:right="0"/>
              <w:jc w:val="center"/>
              <w:rPr>
                <w:lang w:val="en-GB"/>
              </w:rPr>
            </w:pPr>
            <w:r w:rsidRPr="00675B09">
              <w:rPr>
                <w:lang w:val="en-GB"/>
              </w:rPr>
              <w:t>2% (0-6%)</w:t>
            </w:r>
          </w:p>
        </w:tc>
        <w:tc>
          <w:tcPr>
            <w:tcW w:w="1701" w:type="dxa"/>
            <w:vAlign w:val="center"/>
          </w:tcPr>
          <w:p w14:paraId="79F13AEE" w14:textId="77777777" w:rsidR="002814F0" w:rsidRPr="00675B09" w:rsidRDefault="002814F0" w:rsidP="00965BC3">
            <w:pPr>
              <w:widowControl/>
              <w:ind w:right="0"/>
              <w:jc w:val="center"/>
              <w:rPr>
                <w:lang w:val="en-GB"/>
              </w:rPr>
            </w:pPr>
            <w:r w:rsidRPr="00675B09">
              <w:rPr>
                <w:lang w:val="en-GB"/>
              </w:rPr>
              <w:t>4% (2-9%)</w:t>
            </w:r>
          </w:p>
        </w:tc>
        <w:tc>
          <w:tcPr>
            <w:tcW w:w="1636" w:type="dxa"/>
            <w:vAlign w:val="center"/>
          </w:tcPr>
          <w:p w14:paraId="366EB0D3" w14:textId="77777777" w:rsidR="002814F0" w:rsidRPr="00675B09" w:rsidRDefault="002814F0" w:rsidP="00965BC3">
            <w:pPr>
              <w:widowControl/>
              <w:ind w:right="0"/>
              <w:jc w:val="center"/>
              <w:rPr>
                <w:lang w:val="en-GB"/>
              </w:rPr>
            </w:pPr>
            <w:r w:rsidRPr="00675B09">
              <w:rPr>
                <w:lang w:val="en-GB"/>
              </w:rPr>
              <w:t>0% (0-0%)</w:t>
            </w:r>
          </w:p>
        </w:tc>
        <w:tc>
          <w:tcPr>
            <w:tcW w:w="1483" w:type="dxa"/>
            <w:vAlign w:val="center"/>
          </w:tcPr>
          <w:p w14:paraId="4F826BF0" w14:textId="77777777" w:rsidR="002814F0" w:rsidRPr="00675B09" w:rsidRDefault="002814F0" w:rsidP="00965BC3">
            <w:pPr>
              <w:widowControl/>
              <w:ind w:right="0"/>
              <w:jc w:val="center"/>
              <w:rPr>
                <w:lang w:val="en-GB"/>
              </w:rPr>
            </w:pPr>
            <w:r w:rsidRPr="00675B09">
              <w:rPr>
                <w:lang w:val="en-GB"/>
              </w:rPr>
              <w:t>5% (2-10%)</w:t>
            </w:r>
          </w:p>
        </w:tc>
        <w:tc>
          <w:tcPr>
            <w:tcW w:w="1559" w:type="dxa"/>
            <w:vAlign w:val="center"/>
          </w:tcPr>
          <w:p w14:paraId="5973B57F" w14:textId="77777777" w:rsidR="002814F0" w:rsidRPr="00675B09" w:rsidRDefault="002814F0" w:rsidP="00965BC3">
            <w:pPr>
              <w:widowControl/>
              <w:ind w:right="0"/>
              <w:jc w:val="center"/>
              <w:rPr>
                <w:lang w:val="en-GB"/>
              </w:rPr>
            </w:pPr>
            <w:r w:rsidRPr="00675B09">
              <w:rPr>
                <w:lang w:val="en-GB"/>
              </w:rPr>
              <w:t>89% (81-93%)</w:t>
            </w:r>
          </w:p>
        </w:tc>
      </w:tr>
    </w:tbl>
    <w:p w14:paraId="7FD79C03" w14:textId="55A96974" w:rsidR="000239E0" w:rsidRPr="00675B09" w:rsidRDefault="005630C9" w:rsidP="00FC235A">
      <w:pPr>
        <w:widowControl/>
        <w:spacing w:line="240" w:lineRule="auto"/>
        <w:ind w:right="0"/>
        <w:rPr>
          <w:lang w:val="en-GB"/>
        </w:rPr>
      </w:pPr>
      <w:r w:rsidRPr="00675B09">
        <w:rPr>
          <w:lang w:val="en-GB"/>
        </w:rPr>
        <w:t xml:space="preserve">Note: </w:t>
      </w:r>
      <w:bookmarkStart w:id="70" w:name="_Hlk185235963"/>
      <w:r w:rsidRPr="00675B09">
        <w:rPr>
          <w:lang w:val="en-GB"/>
        </w:rPr>
        <w:t xml:space="preserve">Percentages may not sum to 100% because each estimate </w:t>
      </w:r>
      <w:r w:rsidR="00D05E87" w:rsidRPr="00675B09">
        <w:rPr>
          <w:lang w:val="en-GB"/>
        </w:rPr>
        <w:t xml:space="preserve">used </w:t>
      </w:r>
      <w:r w:rsidRPr="00675B09">
        <w:rPr>
          <w:lang w:val="en-GB"/>
        </w:rPr>
        <w:t>a separate meta-analysis with slight differences in study weighting</w:t>
      </w:r>
      <w:bookmarkEnd w:id="70"/>
      <w:r w:rsidRPr="00675B09">
        <w:rPr>
          <w:lang w:val="en-GB"/>
        </w:rPr>
        <w:t>.</w:t>
      </w:r>
    </w:p>
    <w:sectPr w:rsidR="000239E0" w:rsidRPr="00675B09" w:rsidSect="00965BC3">
      <w:pgSz w:w="16838" w:h="11906" w:orient="landscape"/>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CC67B" w14:textId="77777777" w:rsidR="0067045F" w:rsidRDefault="0067045F">
      <w:pPr>
        <w:spacing w:after="0" w:line="240" w:lineRule="auto"/>
      </w:pPr>
      <w:r>
        <w:separator/>
      </w:r>
    </w:p>
  </w:endnote>
  <w:endnote w:type="continuationSeparator" w:id="0">
    <w:p w14:paraId="0338E6ED" w14:textId="77777777" w:rsidR="0067045F" w:rsidRDefault="00670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9CD98" w14:textId="77777777" w:rsidR="0067045F" w:rsidRDefault="0067045F">
      <w:pPr>
        <w:spacing w:after="0" w:line="240" w:lineRule="auto"/>
      </w:pPr>
      <w:r>
        <w:separator/>
      </w:r>
    </w:p>
  </w:footnote>
  <w:footnote w:type="continuationSeparator" w:id="0">
    <w:p w14:paraId="7BC04E4C" w14:textId="77777777" w:rsidR="0067045F" w:rsidRDefault="006704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0A86C" w14:textId="77777777" w:rsidR="00C402B7" w:rsidRDefault="00C402B7">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3FC9D9ED" w14:textId="77777777" w:rsidR="00C402B7" w:rsidRDefault="00C402B7">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B6F23"/>
    <w:multiLevelType w:val="multilevel"/>
    <w:tmpl w:val="ACA011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54E5E5D"/>
    <w:multiLevelType w:val="multilevel"/>
    <w:tmpl w:val="1A9888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7C3F8D"/>
    <w:multiLevelType w:val="hybridMultilevel"/>
    <w:tmpl w:val="8C8AFD5C"/>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1079EB"/>
    <w:multiLevelType w:val="multilevel"/>
    <w:tmpl w:val="F2845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486391"/>
    <w:multiLevelType w:val="hybridMultilevel"/>
    <w:tmpl w:val="DF5C5746"/>
    <w:lvl w:ilvl="0" w:tplc="42AC237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180A71"/>
    <w:multiLevelType w:val="hybridMultilevel"/>
    <w:tmpl w:val="B1E08138"/>
    <w:lvl w:ilvl="0" w:tplc="CCA0A7BC">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0134570">
    <w:abstractNumId w:val="0"/>
  </w:num>
  <w:num w:numId="2" w16cid:durableId="617378077">
    <w:abstractNumId w:val="1"/>
  </w:num>
  <w:num w:numId="3" w16cid:durableId="248933272">
    <w:abstractNumId w:val="2"/>
  </w:num>
  <w:num w:numId="4" w16cid:durableId="602882105">
    <w:abstractNumId w:val="5"/>
  </w:num>
  <w:num w:numId="5" w16cid:durableId="105931487">
    <w:abstractNumId w:val="3"/>
  </w:num>
  <w:num w:numId="6" w16cid:durableId="1094324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M1N7IwNDCwMDMwNjBU0lEKTi0uzszPAykwrAUAaUE47SwAAAA="/>
    <w:docVar w:name="EN.InstantFormat" w:val="&lt;ENInstantFormat&gt;&lt;Enabled&gt;1&lt;/Enabled&gt;&lt;ScanUnformatted&gt;1&lt;/ScanUnformatted&gt;&lt;ScanChanges&gt;1&lt;/ScanChanges&gt;&lt;Suspended&gt;1&lt;/Suspended&gt;&lt;/ENInstantFormat&gt;"/>
    <w:docVar w:name="EN.Layout" w:val="&lt;ENLayout&gt;&lt;Style&gt;Lancet&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w00p9r2ser2paed5tspt5dw02fw99pxeaxt&quot;&gt;RACE&lt;record-ids&gt;&lt;item&gt;42&lt;/item&gt;&lt;/record-ids&gt;&lt;/item&gt;&lt;/Libraries&gt;"/>
  </w:docVars>
  <w:rsids>
    <w:rsidRoot w:val="008851C4"/>
    <w:rsid w:val="000019C6"/>
    <w:rsid w:val="00002B99"/>
    <w:rsid w:val="00003FE2"/>
    <w:rsid w:val="0000647F"/>
    <w:rsid w:val="000114B8"/>
    <w:rsid w:val="00013C2F"/>
    <w:rsid w:val="00014CBA"/>
    <w:rsid w:val="00017828"/>
    <w:rsid w:val="00020FEC"/>
    <w:rsid w:val="0002153B"/>
    <w:rsid w:val="00021A3A"/>
    <w:rsid w:val="000239E0"/>
    <w:rsid w:val="00024F06"/>
    <w:rsid w:val="000274AC"/>
    <w:rsid w:val="00031035"/>
    <w:rsid w:val="0003168A"/>
    <w:rsid w:val="00033835"/>
    <w:rsid w:val="000345F5"/>
    <w:rsid w:val="0005242B"/>
    <w:rsid w:val="000525F2"/>
    <w:rsid w:val="000605B2"/>
    <w:rsid w:val="00067820"/>
    <w:rsid w:val="00073C37"/>
    <w:rsid w:val="00083D78"/>
    <w:rsid w:val="000860B9"/>
    <w:rsid w:val="00087177"/>
    <w:rsid w:val="000A6EDA"/>
    <w:rsid w:val="000B0B18"/>
    <w:rsid w:val="000B1C41"/>
    <w:rsid w:val="000B6459"/>
    <w:rsid w:val="000C4DCE"/>
    <w:rsid w:val="000D15B9"/>
    <w:rsid w:val="000D32E7"/>
    <w:rsid w:val="000D3C2E"/>
    <w:rsid w:val="000D5D55"/>
    <w:rsid w:val="000E0D51"/>
    <w:rsid w:val="000E0D5A"/>
    <w:rsid w:val="000E4287"/>
    <w:rsid w:val="000E4359"/>
    <w:rsid w:val="000E5B2E"/>
    <w:rsid w:val="000E7384"/>
    <w:rsid w:val="000F25D2"/>
    <w:rsid w:val="00105F6F"/>
    <w:rsid w:val="001060B9"/>
    <w:rsid w:val="00106CE8"/>
    <w:rsid w:val="001072C2"/>
    <w:rsid w:val="00110251"/>
    <w:rsid w:val="00113AE0"/>
    <w:rsid w:val="0012297B"/>
    <w:rsid w:val="00127636"/>
    <w:rsid w:val="00140724"/>
    <w:rsid w:val="0014493F"/>
    <w:rsid w:val="00145FDD"/>
    <w:rsid w:val="00150925"/>
    <w:rsid w:val="00156B1E"/>
    <w:rsid w:val="0016320C"/>
    <w:rsid w:val="00167389"/>
    <w:rsid w:val="00167E9E"/>
    <w:rsid w:val="0017081C"/>
    <w:rsid w:val="0017115C"/>
    <w:rsid w:val="001778D6"/>
    <w:rsid w:val="00194130"/>
    <w:rsid w:val="00194230"/>
    <w:rsid w:val="001A0F59"/>
    <w:rsid w:val="001B0A1B"/>
    <w:rsid w:val="001B3516"/>
    <w:rsid w:val="001C0B1A"/>
    <w:rsid w:val="001C41CB"/>
    <w:rsid w:val="001D0968"/>
    <w:rsid w:val="001D5909"/>
    <w:rsid w:val="001E1D96"/>
    <w:rsid w:val="001E4514"/>
    <w:rsid w:val="001E6CDA"/>
    <w:rsid w:val="00202310"/>
    <w:rsid w:val="002029B9"/>
    <w:rsid w:val="002040D9"/>
    <w:rsid w:val="0020489E"/>
    <w:rsid w:val="002051BB"/>
    <w:rsid w:val="002051F2"/>
    <w:rsid w:val="002067B0"/>
    <w:rsid w:val="002069D7"/>
    <w:rsid w:val="002072B2"/>
    <w:rsid w:val="002219F1"/>
    <w:rsid w:val="00221F73"/>
    <w:rsid w:val="002242DE"/>
    <w:rsid w:val="00230350"/>
    <w:rsid w:val="00251AC3"/>
    <w:rsid w:val="002561D2"/>
    <w:rsid w:val="00257791"/>
    <w:rsid w:val="002605C0"/>
    <w:rsid w:val="00264B4A"/>
    <w:rsid w:val="002664FB"/>
    <w:rsid w:val="002814F0"/>
    <w:rsid w:val="002A3442"/>
    <w:rsid w:val="002A396A"/>
    <w:rsid w:val="002B46E7"/>
    <w:rsid w:val="002B71CF"/>
    <w:rsid w:val="002C0E65"/>
    <w:rsid w:val="002C2F6C"/>
    <w:rsid w:val="002C3559"/>
    <w:rsid w:val="002C5CA6"/>
    <w:rsid w:val="002C7BF6"/>
    <w:rsid w:val="002D7CE9"/>
    <w:rsid w:val="002E1B00"/>
    <w:rsid w:val="002E4F1A"/>
    <w:rsid w:val="002E6ADE"/>
    <w:rsid w:val="002F240F"/>
    <w:rsid w:val="002F5A6E"/>
    <w:rsid w:val="0030110D"/>
    <w:rsid w:val="00301A40"/>
    <w:rsid w:val="00301AAD"/>
    <w:rsid w:val="00303882"/>
    <w:rsid w:val="00306ACB"/>
    <w:rsid w:val="003119E8"/>
    <w:rsid w:val="0031206E"/>
    <w:rsid w:val="00312850"/>
    <w:rsid w:val="00315F9B"/>
    <w:rsid w:val="0032274C"/>
    <w:rsid w:val="003233C2"/>
    <w:rsid w:val="00326CAE"/>
    <w:rsid w:val="00330BCC"/>
    <w:rsid w:val="0035132A"/>
    <w:rsid w:val="00356FD1"/>
    <w:rsid w:val="0036680D"/>
    <w:rsid w:val="003670BA"/>
    <w:rsid w:val="00372D2B"/>
    <w:rsid w:val="003749AE"/>
    <w:rsid w:val="00391A31"/>
    <w:rsid w:val="00395BBE"/>
    <w:rsid w:val="00397362"/>
    <w:rsid w:val="003A075D"/>
    <w:rsid w:val="003A2208"/>
    <w:rsid w:val="003A318B"/>
    <w:rsid w:val="003A50A0"/>
    <w:rsid w:val="003A6D88"/>
    <w:rsid w:val="003B2503"/>
    <w:rsid w:val="003C072C"/>
    <w:rsid w:val="003C1373"/>
    <w:rsid w:val="003C213A"/>
    <w:rsid w:val="003C370A"/>
    <w:rsid w:val="003C64C0"/>
    <w:rsid w:val="003D3038"/>
    <w:rsid w:val="003D4FBD"/>
    <w:rsid w:val="003E37C1"/>
    <w:rsid w:val="003F184F"/>
    <w:rsid w:val="003F77D8"/>
    <w:rsid w:val="0041011E"/>
    <w:rsid w:val="00414C9B"/>
    <w:rsid w:val="00416062"/>
    <w:rsid w:val="00420523"/>
    <w:rsid w:val="00423810"/>
    <w:rsid w:val="004244CA"/>
    <w:rsid w:val="004249C9"/>
    <w:rsid w:val="004257B2"/>
    <w:rsid w:val="00425EE9"/>
    <w:rsid w:val="0043108F"/>
    <w:rsid w:val="00432B1E"/>
    <w:rsid w:val="00441E44"/>
    <w:rsid w:val="004431F2"/>
    <w:rsid w:val="00446BAE"/>
    <w:rsid w:val="0045045A"/>
    <w:rsid w:val="00462229"/>
    <w:rsid w:val="0046259D"/>
    <w:rsid w:val="004672F2"/>
    <w:rsid w:val="00467FCE"/>
    <w:rsid w:val="00471CE3"/>
    <w:rsid w:val="00485D25"/>
    <w:rsid w:val="0049760A"/>
    <w:rsid w:val="004B0FE2"/>
    <w:rsid w:val="004C18BE"/>
    <w:rsid w:val="004C319D"/>
    <w:rsid w:val="004D17D2"/>
    <w:rsid w:val="004D7B2E"/>
    <w:rsid w:val="004E2E9B"/>
    <w:rsid w:val="004E3CA0"/>
    <w:rsid w:val="004E5D4C"/>
    <w:rsid w:val="004F3F7A"/>
    <w:rsid w:val="00503AF7"/>
    <w:rsid w:val="00504609"/>
    <w:rsid w:val="00504E44"/>
    <w:rsid w:val="00505909"/>
    <w:rsid w:val="00523EDA"/>
    <w:rsid w:val="005317B6"/>
    <w:rsid w:val="00533B34"/>
    <w:rsid w:val="005541F1"/>
    <w:rsid w:val="005630C9"/>
    <w:rsid w:val="00566707"/>
    <w:rsid w:val="00567DDB"/>
    <w:rsid w:val="00580B01"/>
    <w:rsid w:val="00582D74"/>
    <w:rsid w:val="00587D8B"/>
    <w:rsid w:val="0059066D"/>
    <w:rsid w:val="005964A5"/>
    <w:rsid w:val="005A2CE9"/>
    <w:rsid w:val="005B2E46"/>
    <w:rsid w:val="005C6B93"/>
    <w:rsid w:val="005D2A3D"/>
    <w:rsid w:val="005D425D"/>
    <w:rsid w:val="005D449D"/>
    <w:rsid w:val="005E1773"/>
    <w:rsid w:val="005E30D7"/>
    <w:rsid w:val="005E712A"/>
    <w:rsid w:val="00604F22"/>
    <w:rsid w:val="00604FD7"/>
    <w:rsid w:val="00611666"/>
    <w:rsid w:val="00615C5F"/>
    <w:rsid w:val="00624112"/>
    <w:rsid w:val="00624B0E"/>
    <w:rsid w:val="0062579C"/>
    <w:rsid w:val="00640567"/>
    <w:rsid w:val="00641D4C"/>
    <w:rsid w:val="006469EA"/>
    <w:rsid w:val="00647595"/>
    <w:rsid w:val="00647E9D"/>
    <w:rsid w:val="006504FB"/>
    <w:rsid w:val="00650575"/>
    <w:rsid w:val="006506E7"/>
    <w:rsid w:val="00661140"/>
    <w:rsid w:val="006643FD"/>
    <w:rsid w:val="00664F08"/>
    <w:rsid w:val="006654F9"/>
    <w:rsid w:val="0067045F"/>
    <w:rsid w:val="00675B09"/>
    <w:rsid w:val="006802A8"/>
    <w:rsid w:val="0068135C"/>
    <w:rsid w:val="00683281"/>
    <w:rsid w:val="00690D6E"/>
    <w:rsid w:val="00697CE3"/>
    <w:rsid w:val="006A002D"/>
    <w:rsid w:val="006A74AF"/>
    <w:rsid w:val="006B27F3"/>
    <w:rsid w:val="006B5192"/>
    <w:rsid w:val="006B57A4"/>
    <w:rsid w:val="006C3414"/>
    <w:rsid w:val="006C4CEC"/>
    <w:rsid w:val="006C7076"/>
    <w:rsid w:val="006D0D4B"/>
    <w:rsid w:val="006D6732"/>
    <w:rsid w:val="006E25F0"/>
    <w:rsid w:val="006E2CC7"/>
    <w:rsid w:val="006F03AC"/>
    <w:rsid w:val="006F436A"/>
    <w:rsid w:val="006F4B6B"/>
    <w:rsid w:val="006F6C3A"/>
    <w:rsid w:val="00700EDA"/>
    <w:rsid w:val="00706900"/>
    <w:rsid w:val="00710D4B"/>
    <w:rsid w:val="00711852"/>
    <w:rsid w:val="00741B06"/>
    <w:rsid w:val="00742B18"/>
    <w:rsid w:val="0074379E"/>
    <w:rsid w:val="007546A7"/>
    <w:rsid w:val="00772665"/>
    <w:rsid w:val="00772BD8"/>
    <w:rsid w:val="00772FB3"/>
    <w:rsid w:val="007806EA"/>
    <w:rsid w:val="0078135C"/>
    <w:rsid w:val="0078382E"/>
    <w:rsid w:val="00786840"/>
    <w:rsid w:val="00794F73"/>
    <w:rsid w:val="007A4375"/>
    <w:rsid w:val="007E19B5"/>
    <w:rsid w:val="007E45AC"/>
    <w:rsid w:val="007E6565"/>
    <w:rsid w:val="007F42F5"/>
    <w:rsid w:val="00800330"/>
    <w:rsid w:val="008015D8"/>
    <w:rsid w:val="0080439D"/>
    <w:rsid w:val="00806F1B"/>
    <w:rsid w:val="00824A31"/>
    <w:rsid w:val="00843E5E"/>
    <w:rsid w:val="00860EF5"/>
    <w:rsid w:val="00870215"/>
    <w:rsid w:val="008747CE"/>
    <w:rsid w:val="00875338"/>
    <w:rsid w:val="008760E6"/>
    <w:rsid w:val="00881E51"/>
    <w:rsid w:val="008851C4"/>
    <w:rsid w:val="00885305"/>
    <w:rsid w:val="008875F7"/>
    <w:rsid w:val="008906FB"/>
    <w:rsid w:val="008A05C7"/>
    <w:rsid w:val="008A32D7"/>
    <w:rsid w:val="008A41DA"/>
    <w:rsid w:val="008A4BC7"/>
    <w:rsid w:val="008A7E57"/>
    <w:rsid w:val="008B7B8D"/>
    <w:rsid w:val="008D3E03"/>
    <w:rsid w:val="008F1874"/>
    <w:rsid w:val="008F78EE"/>
    <w:rsid w:val="008F7FCF"/>
    <w:rsid w:val="00900E47"/>
    <w:rsid w:val="00902DEA"/>
    <w:rsid w:val="00903D04"/>
    <w:rsid w:val="009059F0"/>
    <w:rsid w:val="009148F0"/>
    <w:rsid w:val="00921534"/>
    <w:rsid w:val="0092549A"/>
    <w:rsid w:val="00930F86"/>
    <w:rsid w:val="00931B68"/>
    <w:rsid w:val="009365C2"/>
    <w:rsid w:val="00940C08"/>
    <w:rsid w:val="0095103A"/>
    <w:rsid w:val="00951C94"/>
    <w:rsid w:val="00955D22"/>
    <w:rsid w:val="009622F6"/>
    <w:rsid w:val="00962396"/>
    <w:rsid w:val="00963E26"/>
    <w:rsid w:val="00963E5E"/>
    <w:rsid w:val="00965BC3"/>
    <w:rsid w:val="009700D3"/>
    <w:rsid w:val="0097101C"/>
    <w:rsid w:val="00974076"/>
    <w:rsid w:val="00975E2A"/>
    <w:rsid w:val="00977FAC"/>
    <w:rsid w:val="00981901"/>
    <w:rsid w:val="00983016"/>
    <w:rsid w:val="00983CAB"/>
    <w:rsid w:val="00986BB5"/>
    <w:rsid w:val="00986D0F"/>
    <w:rsid w:val="0099490C"/>
    <w:rsid w:val="00997F0D"/>
    <w:rsid w:val="009A09C1"/>
    <w:rsid w:val="009B4E53"/>
    <w:rsid w:val="009B737C"/>
    <w:rsid w:val="009D06EE"/>
    <w:rsid w:val="009D6465"/>
    <w:rsid w:val="009E1154"/>
    <w:rsid w:val="009E2C07"/>
    <w:rsid w:val="009E3541"/>
    <w:rsid w:val="009F14E1"/>
    <w:rsid w:val="00A01310"/>
    <w:rsid w:val="00A02486"/>
    <w:rsid w:val="00A02C96"/>
    <w:rsid w:val="00A06668"/>
    <w:rsid w:val="00A114A6"/>
    <w:rsid w:val="00A134E5"/>
    <w:rsid w:val="00A1370D"/>
    <w:rsid w:val="00A139EA"/>
    <w:rsid w:val="00A14FB0"/>
    <w:rsid w:val="00A15877"/>
    <w:rsid w:val="00A170C5"/>
    <w:rsid w:val="00A222CF"/>
    <w:rsid w:val="00A241A9"/>
    <w:rsid w:val="00A33CB3"/>
    <w:rsid w:val="00A402E7"/>
    <w:rsid w:val="00A50C7F"/>
    <w:rsid w:val="00A568F8"/>
    <w:rsid w:val="00A62041"/>
    <w:rsid w:val="00A63856"/>
    <w:rsid w:val="00A73379"/>
    <w:rsid w:val="00A76A81"/>
    <w:rsid w:val="00A80C52"/>
    <w:rsid w:val="00A819DD"/>
    <w:rsid w:val="00A852A5"/>
    <w:rsid w:val="00A85480"/>
    <w:rsid w:val="00A867AB"/>
    <w:rsid w:val="00A86A50"/>
    <w:rsid w:val="00A8768A"/>
    <w:rsid w:val="00AA1359"/>
    <w:rsid w:val="00AA5C5E"/>
    <w:rsid w:val="00AA7149"/>
    <w:rsid w:val="00AB3441"/>
    <w:rsid w:val="00AC0FDA"/>
    <w:rsid w:val="00AC1FC5"/>
    <w:rsid w:val="00AD1626"/>
    <w:rsid w:val="00AD3CCC"/>
    <w:rsid w:val="00AD5487"/>
    <w:rsid w:val="00AD7237"/>
    <w:rsid w:val="00AE4A22"/>
    <w:rsid w:val="00AF522F"/>
    <w:rsid w:val="00AF6AA3"/>
    <w:rsid w:val="00B04653"/>
    <w:rsid w:val="00B102B6"/>
    <w:rsid w:val="00B11798"/>
    <w:rsid w:val="00B11E26"/>
    <w:rsid w:val="00B12877"/>
    <w:rsid w:val="00B1753D"/>
    <w:rsid w:val="00B17C71"/>
    <w:rsid w:val="00B33EB0"/>
    <w:rsid w:val="00B413CC"/>
    <w:rsid w:val="00B47319"/>
    <w:rsid w:val="00B56ADA"/>
    <w:rsid w:val="00B601E0"/>
    <w:rsid w:val="00B64951"/>
    <w:rsid w:val="00B6681F"/>
    <w:rsid w:val="00B7051A"/>
    <w:rsid w:val="00B70B0A"/>
    <w:rsid w:val="00B82FB3"/>
    <w:rsid w:val="00B95547"/>
    <w:rsid w:val="00B96352"/>
    <w:rsid w:val="00B970E2"/>
    <w:rsid w:val="00B97728"/>
    <w:rsid w:val="00BA1959"/>
    <w:rsid w:val="00BA4E22"/>
    <w:rsid w:val="00BB5C0E"/>
    <w:rsid w:val="00BB7657"/>
    <w:rsid w:val="00BC1DBA"/>
    <w:rsid w:val="00BC1FE9"/>
    <w:rsid w:val="00BC39AC"/>
    <w:rsid w:val="00BC39D0"/>
    <w:rsid w:val="00BC5160"/>
    <w:rsid w:val="00BD54FE"/>
    <w:rsid w:val="00BD5C56"/>
    <w:rsid w:val="00BE682C"/>
    <w:rsid w:val="00BF1651"/>
    <w:rsid w:val="00BF2D2C"/>
    <w:rsid w:val="00BF4EF1"/>
    <w:rsid w:val="00BF79FD"/>
    <w:rsid w:val="00C00F01"/>
    <w:rsid w:val="00C0629C"/>
    <w:rsid w:val="00C114CB"/>
    <w:rsid w:val="00C14767"/>
    <w:rsid w:val="00C27987"/>
    <w:rsid w:val="00C27E44"/>
    <w:rsid w:val="00C30B45"/>
    <w:rsid w:val="00C32352"/>
    <w:rsid w:val="00C32645"/>
    <w:rsid w:val="00C33CAC"/>
    <w:rsid w:val="00C34598"/>
    <w:rsid w:val="00C35970"/>
    <w:rsid w:val="00C371A3"/>
    <w:rsid w:val="00C402B7"/>
    <w:rsid w:val="00C40564"/>
    <w:rsid w:val="00C43B16"/>
    <w:rsid w:val="00C44EB5"/>
    <w:rsid w:val="00C5347E"/>
    <w:rsid w:val="00C5761E"/>
    <w:rsid w:val="00C71021"/>
    <w:rsid w:val="00C7288A"/>
    <w:rsid w:val="00C747A8"/>
    <w:rsid w:val="00C750AD"/>
    <w:rsid w:val="00C75885"/>
    <w:rsid w:val="00C9561C"/>
    <w:rsid w:val="00CA314F"/>
    <w:rsid w:val="00CA692B"/>
    <w:rsid w:val="00CA714F"/>
    <w:rsid w:val="00CB3AE2"/>
    <w:rsid w:val="00CB48BD"/>
    <w:rsid w:val="00CB7A3B"/>
    <w:rsid w:val="00CC74DB"/>
    <w:rsid w:val="00CD15E9"/>
    <w:rsid w:val="00CD1BA7"/>
    <w:rsid w:val="00CD2CCA"/>
    <w:rsid w:val="00CD4D06"/>
    <w:rsid w:val="00CD7C29"/>
    <w:rsid w:val="00CE18AD"/>
    <w:rsid w:val="00CE376F"/>
    <w:rsid w:val="00CE59F1"/>
    <w:rsid w:val="00CE72A1"/>
    <w:rsid w:val="00CE741E"/>
    <w:rsid w:val="00CE7A7F"/>
    <w:rsid w:val="00CF0748"/>
    <w:rsid w:val="00D01957"/>
    <w:rsid w:val="00D020CC"/>
    <w:rsid w:val="00D05E87"/>
    <w:rsid w:val="00D1378E"/>
    <w:rsid w:val="00D278B5"/>
    <w:rsid w:val="00D3226D"/>
    <w:rsid w:val="00D3504C"/>
    <w:rsid w:val="00D357A9"/>
    <w:rsid w:val="00D3587E"/>
    <w:rsid w:val="00D35C32"/>
    <w:rsid w:val="00D4113E"/>
    <w:rsid w:val="00D44F8A"/>
    <w:rsid w:val="00D50782"/>
    <w:rsid w:val="00D55D1E"/>
    <w:rsid w:val="00D56CD0"/>
    <w:rsid w:val="00D61399"/>
    <w:rsid w:val="00D61956"/>
    <w:rsid w:val="00D63ABF"/>
    <w:rsid w:val="00D64CC8"/>
    <w:rsid w:val="00D64E32"/>
    <w:rsid w:val="00D65503"/>
    <w:rsid w:val="00D6731C"/>
    <w:rsid w:val="00D70B66"/>
    <w:rsid w:val="00D717C1"/>
    <w:rsid w:val="00D728BC"/>
    <w:rsid w:val="00D74E25"/>
    <w:rsid w:val="00D9059D"/>
    <w:rsid w:val="00D915E9"/>
    <w:rsid w:val="00D92838"/>
    <w:rsid w:val="00D9323D"/>
    <w:rsid w:val="00D979B5"/>
    <w:rsid w:val="00DA620D"/>
    <w:rsid w:val="00DB3A6A"/>
    <w:rsid w:val="00DC2C64"/>
    <w:rsid w:val="00DC2CF5"/>
    <w:rsid w:val="00DC65FB"/>
    <w:rsid w:val="00DD2E7D"/>
    <w:rsid w:val="00DD3392"/>
    <w:rsid w:val="00DD773A"/>
    <w:rsid w:val="00DE19AB"/>
    <w:rsid w:val="00DE2D33"/>
    <w:rsid w:val="00DE6857"/>
    <w:rsid w:val="00DE68D0"/>
    <w:rsid w:val="00DF219D"/>
    <w:rsid w:val="00DF4A7B"/>
    <w:rsid w:val="00DF6BB4"/>
    <w:rsid w:val="00E020C2"/>
    <w:rsid w:val="00E02A12"/>
    <w:rsid w:val="00E1569C"/>
    <w:rsid w:val="00E25873"/>
    <w:rsid w:val="00E25BD4"/>
    <w:rsid w:val="00E310B5"/>
    <w:rsid w:val="00E4045F"/>
    <w:rsid w:val="00E40D40"/>
    <w:rsid w:val="00E530A6"/>
    <w:rsid w:val="00E54ED4"/>
    <w:rsid w:val="00E71A8C"/>
    <w:rsid w:val="00E72BC9"/>
    <w:rsid w:val="00E73379"/>
    <w:rsid w:val="00E767F8"/>
    <w:rsid w:val="00E84EF1"/>
    <w:rsid w:val="00E8556F"/>
    <w:rsid w:val="00E85DDB"/>
    <w:rsid w:val="00E860D5"/>
    <w:rsid w:val="00E90274"/>
    <w:rsid w:val="00E916C1"/>
    <w:rsid w:val="00E92BD9"/>
    <w:rsid w:val="00EA084E"/>
    <w:rsid w:val="00EA2A09"/>
    <w:rsid w:val="00EA6838"/>
    <w:rsid w:val="00EB53F6"/>
    <w:rsid w:val="00EC4ED6"/>
    <w:rsid w:val="00ED70AC"/>
    <w:rsid w:val="00EE0811"/>
    <w:rsid w:val="00EE3F54"/>
    <w:rsid w:val="00EE78A1"/>
    <w:rsid w:val="00EF287F"/>
    <w:rsid w:val="00EF4733"/>
    <w:rsid w:val="00EF68D6"/>
    <w:rsid w:val="00F01393"/>
    <w:rsid w:val="00F04676"/>
    <w:rsid w:val="00F0693B"/>
    <w:rsid w:val="00F1521F"/>
    <w:rsid w:val="00F25F99"/>
    <w:rsid w:val="00F27A08"/>
    <w:rsid w:val="00F345F2"/>
    <w:rsid w:val="00F44DF0"/>
    <w:rsid w:val="00F5274D"/>
    <w:rsid w:val="00F52F5E"/>
    <w:rsid w:val="00F54710"/>
    <w:rsid w:val="00F60693"/>
    <w:rsid w:val="00F60AE4"/>
    <w:rsid w:val="00F65FAD"/>
    <w:rsid w:val="00F73F48"/>
    <w:rsid w:val="00F7618A"/>
    <w:rsid w:val="00F77D05"/>
    <w:rsid w:val="00F80CB3"/>
    <w:rsid w:val="00F842FC"/>
    <w:rsid w:val="00F977BF"/>
    <w:rsid w:val="00FA2DED"/>
    <w:rsid w:val="00FC0719"/>
    <w:rsid w:val="00FC0D46"/>
    <w:rsid w:val="00FC235A"/>
    <w:rsid w:val="00FC356D"/>
    <w:rsid w:val="00FC5399"/>
    <w:rsid w:val="00FC6439"/>
    <w:rsid w:val="00FD32AA"/>
    <w:rsid w:val="00FD39CD"/>
    <w:rsid w:val="00FD4CDD"/>
    <w:rsid w:val="00FF0545"/>
    <w:rsid w:val="00FF1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4FDE6"/>
  <w15:docId w15:val="{E4BA6D39-82F2-4E6E-A01A-F9D8F6468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pPr>
        <w:widowControl w:val="0"/>
        <w:spacing w:after="120" w:line="480" w:lineRule="auto"/>
        <w:ind w:right="-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b/>
    </w:rPr>
  </w:style>
  <w:style w:type="paragraph" w:styleId="Heading2">
    <w:name w:val="heading 2"/>
    <w:basedOn w:val="Normal"/>
    <w:next w:val="Normal"/>
    <w:uiPriority w:val="9"/>
    <w:semiHidden/>
    <w:unhideWhenUsed/>
    <w:qFormat/>
    <w:pPr>
      <w:spacing w:line="360" w:lineRule="auto"/>
      <w:outlineLvl w:val="1"/>
    </w:pPr>
    <w:rPr>
      <w:b/>
    </w:rPr>
  </w:style>
  <w:style w:type="paragraph" w:styleId="Heading3">
    <w:name w:val="heading 3"/>
    <w:basedOn w:val="Normal"/>
    <w:next w:val="Normal"/>
    <w:uiPriority w:val="9"/>
    <w:semiHidden/>
    <w:unhideWhenUsed/>
    <w:qFormat/>
    <w:pPr>
      <w:keepNext/>
      <w:keepLines/>
      <w:spacing w:before="40" w:after="0"/>
      <w:outlineLvl w:val="2"/>
    </w:pPr>
    <w:rPr>
      <w:rFonts w:ascii="Calibri" w:eastAsia="Calibri" w:hAnsi="Calibri" w:cs="Calibri"/>
      <w:color w:val="1F3863"/>
    </w:rPr>
  </w:style>
  <w:style w:type="paragraph" w:styleId="Heading4">
    <w:name w:val="heading 4"/>
    <w:basedOn w:val="Normal"/>
    <w:next w:val="Normal"/>
    <w:uiPriority w:val="9"/>
    <w:semiHidden/>
    <w:unhideWhenUsed/>
    <w:qFormat/>
    <w:pPr>
      <w:keepNext/>
      <w:keepLines/>
      <w:spacing w:before="40" w:after="0"/>
      <w:outlineLvl w:val="3"/>
    </w:pPr>
    <w:rPr>
      <w:rFonts w:ascii="Calibri" w:eastAsia="Calibri" w:hAnsi="Calibri" w:cs="Calibri"/>
      <w:i/>
      <w:color w:val="2F5496"/>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C2CF5"/>
    <w:rPr>
      <w:b/>
      <w:bCs/>
    </w:rPr>
  </w:style>
  <w:style w:type="character" w:customStyle="1" w:styleId="CommentSubjectChar">
    <w:name w:val="Comment Subject Char"/>
    <w:basedOn w:val="CommentTextChar"/>
    <w:link w:val="CommentSubject"/>
    <w:uiPriority w:val="99"/>
    <w:semiHidden/>
    <w:rsid w:val="00DC2CF5"/>
    <w:rPr>
      <w:b/>
      <w:bCs/>
      <w:sz w:val="20"/>
      <w:szCs w:val="20"/>
    </w:rPr>
  </w:style>
  <w:style w:type="character" w:styleId="Hyperlink">
    <w:name w:val="Hyperlink"/>
    <w:basedOn w:val="DefaultParagraphFont"/>
    <w:uiPriority w:val="99"/>
    <w:unhideWhenUsed/>
    <w:rsid w:val="00DC2CF5"/>
    <w:rPr>
      <w:color w:val="0000FF" w:themeColor="hyperlink"/>
      <w:u w:val="single"/>
    </w:rPr>
  </w:style>
  <w:style w:type="character" w:styleId="UnresolvedMention">
    <w:name w:val="Unresolved Mention"/>
    <w:basedOn w:val="DefaultParagraphFont"/>
    <w:uiPriority w:val="99"/>
    <w:semiHidden/>
    <w:unhideWhenUsed/>
    <w:rsid w:val="00DC2CF5"/>
    <w:rPr>
      <w:color w:val="605E5C"/>
      <w:shd w:val="clear" w:color="auto" w:fill="E1DFDD"/>
    </w:rPr>
  </w:style>
  <w:style w:type="paragraph" w:customStyle="1" w:styleId="EndNoteBibliographyTitle">
    <w:name w:val="EndNote Bibliography Title"/>
    <w:basedOn w:val="Normal"/>
    <w:link w:val="EndNoteBibliographyTitleChar"/>
    <w:rsid w:val="00E020C2"/>
    <w:pPr>
      <w:spacing w:after="0"/>
      <w:jc w:val="center"/>
    </w:pPr>
    <w:rPr>
      <w:noProof/>
      <w:lang w:val="en-GB"/>
    </w:rPr>
  </w:style>
  <w:style w:type="character" w:customStyle="1" w:styleId="EndNoteBibliographyTitleChar">
    <w:name w:val="EndNote Bibliography Title Char"/>
    <w:basedOn w:val="DefaultParagraphFont"/>
    <w:link w:val="EndNoteBibliographyTitle"/>
    <w:rsid w:val="00E020C2"/>
    <w:rPr>
      <w:noProof/>
      <w:lang w:val="en-GB"/>
    </w:rPr>
  </w:style>
  <w:style w:type="paragraph" w:customStyle="1" w:styleId="EndNoteBibliography">
    <w:name w:val="EndNote Bibliography"/>
    <w:basedOn w:val="Normal"/>
    <w:link w:val="EndNoteBibliographyChar"/>
    <w:rsid w:val="00E020C2"/>
    <w:pPr>
      <w:spacing w:line="240" w:lineRule="auto"/>
    </w:pPr>
    <w:rPr>
      <w:noProof/>
      <w:lang w:val="en-GB"/>
    </w:rPr>
  </w:style>
  <w:style w:type="character" w:customStyle="1" w:styleId="EndNoteBibliographyChar">
    <w:name w:val="EndNote Bibliography Char"/>
    <w:basedOn w:val="DefaultParagraphFont"/>
    <w:link w:val="EndNoteBibliography"/>
    <w:rsid w:val="00E020C2"/>
    <w:rPr>
      <w:noProof/>
      <w:lang w:val="en-GB"/>
    </w:rPr>
  </w:style>
  <w:style w:type="paragraph" w:styleId="ListParagraph">
    <w:name w:val="List Paragraph"/>
    <w:basedOn w:val="Normal"/>
    <w:link w:val="ListParagraphChar"/>
    <w:uiPriority w:val="34"/>
    <w:qFormat/>
    <w:rsid w:val="00106CE8"/>
    <w:pPr>
      <w:widowControl/>
      <w:spacing w:after="0" w:line="240" w:lineRule="auto"/>
      <w:ind w:left="720" w:right="0"/>
      <w:contextualSpacing/>
      <w:jc w:val="left"/>
    </w:pPr>
    <w:rPr>
      <w:rFonts w:asciiTheme="minorHAnsi" w:eastAsiaTheme="minorHAnsi" w:hAnsiTheme="minorHAnsi" w:cstheme="minorBidi"/>
      <w:lang w:val="en-GB" w:eastAsia="en-US"/>
    </w:rPr>
  </w:style>
  <w:style w:type="character" w:customStyle="1" w:styleId="ListParagraphChar">
    <w:name w:val="List Paragraph Char"/>
    <w:basedOn w:val="DefaultParagraphFont"/>
    <w:link w:val="ListParagraph"/>
    <w:uiPriority w:val="34"/>
    <w:rsid w:val="00106CE8"/>
    <w:rPr>
      <w:rFonts w:asciiTheme="minorHAnsi" w:eastAsiaTheme="minorHAnsi" w:hAnsiTheme="minorHAnsi" w:cstheme="minorBidi"/>
      <w:lang w:val="en-GB" w:eastAsia="en-US"/>
    </w:rPr>
  </w:style>
  <w:style w:type="paragraph" w:styleId="Revision">
    <w:name w:val="Revision"/>
    <w:hidden/>
    <w:uiPriority w:val="99"/>
    <w:semiHidden/>
    <w:rsid w:val="00C34598"/>
    <w:pPr>
      <w:widowControl/>
      <w:spacing w:after="0" w:line="240" w:lineRule="auto"/>
      <w:ind w:right="0"/>
      <w:jc w:val="left"/>
    </w:pPr>
  </w:style>
  <w:style w:type="paragraph" w:styleId="NormalWeb">
    <w:name w:val="Normal (Web)"/>
    <w:basedOn w:val="Normal"/>
    <w:uiPriority w:val="99"/>
    <w:semiHidden/>
    <w:unhideWhenUsed/>
    <w:rsid w:val="00E71A8C"/>
    <w:pPr>
      <w:widowControl/>
      <w:spacing w:before="100" w:beforeAutospacing="1" w:after="100" w:afterAutospacing="1" w:line="240" w:lineRule="auto"/>
      <w:ind w:right="0"/>
      <w:jc w:val="left"/>
    </w:pPr>
    <w:rPr>
      <w:lang w:val="en-GB"/>
    </w:rPr>
  </w:style>
  <w:style w:type="paragraph" w:styleId="BalloonText">
    <w:name w:val="Balloon Text"/>
    <w:basedOn w:val="Normal"/>
    <w:link w:val="BalloonTextChar"/>
    <w:uiPriority w:val="99"/>
    <w:semiHidden/>
    <w:unhideWhenUsed/>
    <w:rsid w:val="00624112"/>
    <w:pPr>
      <w:spacing w:after="0" w:line="240" w:lineRule="auto"/>
    </w:pPr>
    <w:rPr>
      <w:sz w:val="18"/>
      <w:szCs w:val="18"/>
    </w:rPr>
  </w:style>
  <w:style w:type="character" w:customStyle="1" w:styleId="BalloonTextChar">
    <w:name w:val="Balloon Text Char"/>
    <w:basedOn w:val="DefaultParagraphFont"/>
    <w:link w:val="BalloonText"/>
    <w:uiPriority w:val="99"/>
    <w:semiHidden/>
    <w:rsid w:val="00624112"/>
    <w:rPr>
      <w:sz w:val="18"/>
      <w:szCs w:val="18"/>
    </w:rPr>
  </w:style>
  <w:style w:type="paragraph" w:customStyle="1" w:styleId="pf0">
    <w:name w:val="pf0"/>
    <w:basedOn w:val="Normal"/>
    <w:rsid w:val="00624112"/>
    <w:pPr>
      <w:widowControl/>
      <w:spacing w:before="100" w:beforeAutospacing="1" w:after="100" w:afterAutospacing="1" w:line="240" w:lineRule="auto"/>
      <w:ind w:left="280" w:right="0"/>
      <w:jc w:val="left"/>
    </w:pPr>
    <w:rPr>
      <w:lang w:val="en-GB"/>
    </w:rPr>
  </w:style>
  <w:style w:type="character" w:customStyle="1" w:styleId="cf01">
    <w:name w:val="cf01"/>
    <w:basedOn w:val="DefaultParagraphFont"/>
    <w:rsid w:val="00624112"/>
    <w:rPr>
      <w:rFonts w:ascii="Segoe UI" w:hAnsi="Segoe UI" w:cs="Segoe UI" w:hint="default"/>
      <w:sz w:val="18"/>
      <w:szCs w:val="18"/>
    </w:rPr>
  </w:style>
  <w:style w:type="character" w:customStyle="1" w:styleId="cf21">
    <w:name w:val="cf21"/>
    <w:basedOn w:val="DefaultParagraphFont"/>
    <w:rsid w:val="00624112"/>
    <w:rPr>
      <w:rFonts w:ascii="Segoe UI" w:hAnsi="Segoe UI" w:cs="Segoe UI" w:hint="default"/>
      <w:sz w:val="18"/>
      <w:szCs w:val="18"/>
      <w:shd w:val="clear" w:color="auto" w:fill="FFFFFF"/>
    </w:rPr>
  </w:style>
  <w:style w:type="paragraph" w:customStyle="1" w:styleId="pf1">
    <w:name w:val="pf1"/>
    <w:basedOn w:val="Normal"/>
    <w:rsid w:val="00624112"/>
    <w:pPr>
      <w:widowControl/>
      <w:spacing w:before="100" w:beforeAutospacing="1" w:after="100" w:afterAutospacing="1" w:line="240" w:lineRule="auto"/>
      <w:ind w:right="0"/>
      <w:jc w:val="left"/>
    </w:pPr>
    <w:rPr>
      <w:lang w:val="en-GB"/>
    </w:rPr>
  </w:style>
  <w:style w:type="character" w:customStyle="1" w:styleId="cf31">
    <w:name w:val="cf31"/>
    <w:basedOn w:val="DefaultParagraphFont"/>
    <w:rsid w:val="00624112"/>
    <w:rPr>
      <w:rFonts w:ascii="Segoe UI" w:hAnsi="Segoe UI" w:cs="Segoe UI" w:hint="default"/>
      <w:b/>
      <w:bCs/>
      <w:sz w:val="18"/>
      <w:szCs w:val="18"/>
    </w:rPr>
  </w:style>
  <w:style w:type="character" w:customStyle="1" w:styleId="cf41">
    <w:name w:val="cf41"/>
    <w:basedOn w:val="DefaultParagraphFont"/>
    <w:rsid w:val="00624112"/>
    <w:rPr>
      <w:rFonts w:ascii="Segoe UI" w:hAnsi="Segoe UI" w:cs="Segoe UI" w:hint="default"/>
      <w:sz w:val="18"/>
      <w:szCs w:val="18"/>
    </w:rPr>
  </w:style>
  <w:style w:type="character" w:styleId="Strong">
    <w:name w:val="Strong"/>
    <w:basedOn w:val="DefaultParagraphFont"/>
    <w:uiPriority w:val="22"/>
    <w:qFormat/>
    <w:rsid w:val="000D3C2E"/>
    <w:rPr>
      <w:b/>
      <w:bCs/>
    </w:rPr>
  </w:style>
  <w:style w:type="character" w:styleId="FollowedHyperlink">
    <w:name w:val="FollowedHyperlink"/>
    <w:basedOn w:val="DefaultParagraphFont"/>
    <w:uiPriority w:val="99"/>
    <w:semiHidden/>
    <w:unhideWhenUsed/>
    <w:rsid w:val="000C4D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9858">
      <w:bodyDiv w:val="1"/>
      <w:marLeft w:val="0"/>
      <w:marRight w:val="0"/>
      <w:marTop w:val="0"/>
      <w:marBottom w:val="0"/>
      <w:divBdr>
        <w:top w:val="none" w:sz="0" w:space="0" w:color="auto"/>
        <w:left w:val="none" w:sz="0" w:space="0" w:color="auto"/>
        <w:bottom w:val="none" w:sz="0" w:space="0" w:color="auto"/>
        <w:right w:val="none" w:sz="0" w:space="0" w:color="auto"/>
      </w:divBdr>
    </w:div>
    <w:div w:id="40712572">
      <w:bodyDiv w:val="1"/>
      <w:marLeft w:val="0"/>
      <w:marRight w:val="0"/>
      <w:marTop w:val="0"/>
      <w:marBottom w:val="0"/>
      <w:divBdr>
        <w:top w:val="none" w:sz="0" w:space="0" w:color="auto"/>
        <w:left w:val="none" w:sz="0" w:space="0" w:color="auto"/>
        <w:bottom w:val="none" w:sz="0" w:space="0" w:color="auto"/>
        <w:right w:val="none" w:sz="0" w:space="0" w:color="auto"/>
      </w:divBdr>
      <w:divsChild>
        <w:div w:id="1709793566">
          <w:marLeft w:val="0"/>
          <w:marRight w:val="0"/>
          <w:marTop w:val="0"/>
          <w:marBottom w:val="0"/>
          <w:divBdr>
            <w:top w:val="none" w:sz="0" w:space="0" w:color="auto"/>
            <w:left w:val="none" w:sz="0" w:space="0" w:color="auto"/>
            <w:bottom w:val="none" w:sz="0" w:space="0" w:color="auto"/>
            <w:right w:val="none" w:sz="0" w:space="0" w:color="auto"/>
          </w:divBdr>
        </w:div>
        <w:div w:id="1556240764">
          <w:marLeft w:val="0"/>
          <w:marRight w:val="0"/>
          <w:marTop w:val="0"/>
          <w:marBottom w:val="0"/>
          <w:divBdr>
            <w:top w:val="none" w:sz="0" w:space="0" w:color="auto"/>
            <w:left w:val="none" w:sz="0" w:space="0" w:color="auto"/>
            <w:bottom w:val="none" w:sz="0" w:space="0" w:color="auto"/>
            <w:right w:val="none" w:sz="0" w:space="0" w:color="auto"/>
          </w:divBdr>
        </w:div>
      </w:divsChild>
    </w:div>
    <w:div w:id="49572704">
      <w:bodyDiv w:val="1"/>
      <w:marLeft w:val="0"/>
      <w:marRight w:val="0"/>
      <w:marTop w:val="0"/>
      <w:marBottom w:val="0"/>
      <w:divBdr>
        <w:top w:val="none" w:sz="0" w:space="0" w:color="auto"/>
        <w:left w:val="none" w:sz="0" w:space="0" w:color="auto"/>
        <w:bottom w:val="none" w:sz="0" w:space="0" w:color="auto"/>
        <w:right w:val="none" w:sz="0" w:space="0" w:color="auto"/>
      </w:divBdr>
    </w:div>
    <w:div w:id="79764681">
      <w:bodyDiv w:val="1"/>
      <w:marLeft w:val="0"/>
      <w:marRight w:val="0"/>
      <w:marTop w:val="0"/>
      <w:marBottom w:val="0"/>
      <w:divBdr>
        <w:top w:val="none" w:sz="0" w:space="0" w:color="auto"/>
        <w:left w:val="none" w:sz="0" w:space="0" w:color="auto"/>
        <w:bottom w:val="none" w:sz="0" w:space="0" w:color="auto"/>
        <w:right w:val="none" w:sz="0" w:space="0" w:color="auto"/>
      </w:divBdr>
    </w:div>
    <w:div w:id="140274957">
      <w:bodyDiv w:val="1"/>
      <w:marLeft w:val="0"/>
      <w:marRight w:val="0"/>
      <w:marTop w:val="0"/>
      <w:marBottom w:val="0"/>
      <w:divBdr>
        <w:top w:val="none" w:sz="0" w:space="0" w:color="auto"/>
        <w:left w:val="none" w:sz="0" w:space="0" w:color="auto"/>
        <w:bottom w:val="none" w:sz="0" w:space="0" w:color="auto"/>
        <w:right w:val="none" w:sz="0" w:space="0" w:color="auto"/>
      </w:divBdr>
    </w:div>
    <w:div w:id="140394001">
      <w:bodyDiv w:val="1"/>
      <w:marLeft w:val="0"/>
      <w:marRight w:val="0"/>
      <w:marTop w:val="0"/>
      <w:marBottom w:val="0"/>
      <w:divBdr>
        <w:top w:val="none" w:sz="0" w:space="0" w:color="auto"/>
        <w:left w:val="none" w:sz="0" w:space="0" w:color="auto"/>
        <w:bottom w:val="none" w:sz="0" w:space="0" w:color="auto"/>
        <w:right w:val="none" w:sz="0" w:space="0" w:color="auto"/>
      </w:divBdr>
    </w:div>
    <w:div w:id="183716839">
      <w:bodyDiv w:val="1"/>
      <w:marLeft w:val="0"/>
      <w:marRight w:val="0"/>
      <w:marTop w:val="0"/>
      <w:marBottom w:val="0"/>
      <w:divBdr>
        <w:top w:val="none" w:sz="0" w:space="0" w:color="auto"/>
        <w:left w:val="none" w:sz="0" w:space="0" w:color="auto"/>
        <w:bottom w:val="none" w:sz="0" w:space="0" w:color="auto"/>
        <w:right w:val="none" w:sz="0" w:space="0" w:color="auto"/>
      </w:divBdr>
      <w:divsChild>
        <w:div w:id="2128505354">
          <w:marLeft w:val="0"/>
          <w:marRight w:val="0"/>
          <w:marTop w:val="0"/>
          <w:marBottom w:val="0"/>
          <w:divBdr>
            <w:top w:val="none" w:sz="0" w:space="0" w:color="auto"/>
            <w:left w:val="none" w:sz="0" w:space="0" w:color="auto"/>
            <w:bottom w:val="none" w:sz="0" w:space="0" w:color="auto"/>
            <w:right w:val="none" w:sz="0" w:space="0" w:color="auto"/>
          </w:divBdr>
        </w:div>
        <w:div w:id="697967145">
          <w:marLeft w:val="0"/>
          <w:marRight w:val="0"/>
          <w:marTop w:val="0"/>
          <w:marBottom w:val="0"/>
          <w:divBdr>
            <w:top w:val="none" w:sz="0" w:space="0" w:color="auto"/>
            <w:left w:val="none" w:sz="0" w:space="0" w:color="auto"/>
            <w:bottom w:val="none" w:sz="0" w:space="0" w:color="auto"/>
            <w:right w:val="none" w:sz="0" w:space="0" w:color="auto"/>
          </w:divBdr>
        </w:div>
      </w:divsChild>
    </w:div>
    <w:div w:id="210850523">
      <w:bodyDiv w:val="1"/>
      <w:marLeft w:val="0"/>
      <w:marRight w:val="0"/>
      <w:marTop w:val="0"/>
      <w:marBottom w:val="0"/>
      <w:divBdr>
        <w:top w:val="none" w:sz="0" w:space="0" w:color="auto"/>
        <w:left w:val="none" w:sz="0" w:space="0" w:color="auto"/>
        <w:bottom w:val="none" w:sz="0" w:space="0" w:color="auto"/>
        <w:right w:val="none" w:sz="0" w:space="0" w:color="auto"/>
      </w:divBdr>
    </w:div>
    <w:div w:id="323627657">
      <w:bodyDiv w:val="1"/>
      <w:marLeft w:val="0"/>
      <w:marRight w:val="0"/>
      <w:marTop w:val="0"/>
      <w:marBottom w:val="0"/>
      <w:divBdr>
        <w:top w:val="none" w:sz="0" w:space="0" w:color="auto"/>
        <w:left w:val="none" w:sz="0" w:space="0" w:color="auto"/>
        <w:bottom w:val="none" w:sz="0" w:space="0" w:color="auto"/>
        <w:right w:val="none" w:sz="0" w:space="0" w:color="auto"/>
      </w:divBdr>
    </w:div>
    <w:div w:id="329065940">
      <w:bodyDiv w:val="1"/>
      <w:marLeft w:val="0"/>
      <w:marRight w:val="0"/>
      <w:marTop w:val="0"/>
      <w:marBottom w:val="0"/>
      <w:divBdr>
        <w:top w:val="none" w:sz="0" w:space="0" w:color="auto"/>
        <w:left w:val="none" w:sz="0" w:space="0" w:color="auto"/>
        <w:bottom w:val="none" w:sz="0" w:space="0" w:color="auto"/>
        <w:right w:val="none" w:sz="0" w:space="0" w:color="auto"/>
      </w:divBdr>
    </w:div>
    <w:div w:id="392046689">
      <w:bodyDiv w:val="1"/>
      <w:marLeft w:val="0"/>
      <w:marRight w:val="0"/>
      <w:marTop w:val="0"/>
      <w:marBottom w:val="0"/>
      <w:divBdr>
        <w:top w:val="none" w:sz="0" w:space="0" w:color="auto"/>
        <w:left w:val="none" w:sz="0" w:space="0" w:color="auto"/>
        <w:bottom w:val="none" w:sz="0" w:space="0" w:color="auto"/>
        <w:right w:val="none" w:sz="0" w:space="0" w:color="auto"/>
      </w:divBdr>
      <w:divsChild>
        <w:div w:id="2068843775">
          <w:marLeft w:val="0"/>
          <w:marRight w:val="0"/>
          <w:marTop w:val="0"/>
          <w:marBottom w:val="0"/>
          <w:divBdr>
            <w:top w:val="none" w:sz="0" w:space="0" w:color="auto"/>
            <w:left w:val="none" w:sz="0" w:space="0" w:color="auto"/>
            <w:bottom w:val="none" w:sz="0" w:space="0" w:color="auto"/>
            <w:right w:val="none" w:sz="0" w:space="0" w:color="auto"/>
          </w:divBdr>
        </w:div>
        <w:div w:id="616253088">
          <w:marLeft w:val="0"/>
          <w:marRight w:val="0"/>
          <w:marTop w:val="0"/>
          <w:marBottom w:val="0"/>
          <w:divBdr>
            <w:top w:val="none" w:sz="0" w:space="0" w:color="auto"/>
            <w:left w:val="none" w:sz="0" w:space="0" w:color="auto"/>
            <w:bottom w:val="none" w:sz="0" w:space="0" w:color="auto"/>
            <w:right w:val="none" w:sz="0" w:space="0" w:color="auto"/>
          </w:divBdr>
        </w:div>
      </w:divsChild>
    </w:div>
    <w:div w:id="413169654">
      <w:bodyDiv w:val="1"/>
      <w:marLeft w:val="0"/>
      <w:marRight w:val="0"/>
      <w:marTop w:val="0"/>
      <w:marBottom w:val="0"/>
      <w:divBdr>
        <w:top w:val="none" w:sz="0" w:space="0" w:color="auto"/>
        <w:left w:val="none" w:sz="0" w:space="0" w:color="auto"/>
        <w:bottom w:val="none" w:sz="0" w:space="0" w:color="auto"/>
        <w:right w:val="none" w:sz="0" w:space="0" w:color="auto"/>
      </w:divBdr>
      <w:divsChild>
        <w:div w:id="1964728929">
          <w:marLeft w:val="0"/>
          <w:marRight w:val="0"/>
          <w:marTop w:val="0"/>
          <w:marBottom w:val="0"/>
          <w:divBdr>
            <w:top w:val="none" w:sz="0" w:space="0" w:color="auto"/>
            <w:left w:val="none" w:sz="0" w:space="0" w:color="auto"/>
            <w:bottom w:val="none" w:sz="0" w:space="0" w:color="auto"/>
            <w:right w:val="none" w:sz="0" w:space="0" w:color="auto"/>
          </w:divBdr>
        </w:div>
        <w:div w:id="1107119984">
          <w:marLeft w:val="0"/>
          <w:marRight w:val="0"/>
          <w:marTop w:val="0"/>
          <w:marBottom w:val="0"/>
          <w:divBdr>
            <w:top w:val="none" w:sz="0" w:space="0" w:color="auto"/>
            <w:left w:val="none" w:sz="0" w:space="0" w:color="auto"/>
            <w:bottom w:val="none" w:sz="0" w:space="0" w:color="auto"/>
            <w:right w:val="none" w:sz="0" w:space="0" w:color="auto"/>
          </w:divBdr>
        </w:div>
      </w:divsChild>
    </w:div>
    <w:div w:id="514271018">
      <w:bodyDiv w:val="1"/>
      <w:marLeft w:val="0"/>
      <w:marRight w:val="0"/>
      <w:marTop w:val="0"/>
      <w:marBottom w:val="0"/>
      <w:divBdr>
        <w:top w:val="none" w:sz="0" w:space="0" w:color="auto"/>
        <w:left w:val="none" w:sz="0" w:space="0" w:color="auto"/>
        <w:bottom w:val="none" w:sz="0" w:space="0" w:color="auto"/>
        <w:right w:val="none" w:sz="0" w:space="0" w:color="auto"/>
      </w:divBdr>
      <w:divsChild>
        <w:div w:id="969095246">
          <w:marLeft w:val="0"/>
          <w:marRight w:val="0"/>
          <w:marTop w:val="0"/>
          <w:marBottom w:val="0"/>
          <w:divBdr>
            <w:top w:val="none" w:sz="0" w:space="0" w:color="auto"/>
            <w:left w:val="none" w:sz="0" w:space="0" w:color="auto"/>
            <w:bottom w:val="none" w:sz="0" w:space="0" w:color="auto"/>
            <w:right w:val="none" w:sz="0" w:space="0" w:color="auto"/>
          </w:divBdr>
        </w:div>
      </w:divsChild>
    </w:div>
    <w:div w:id="675419257">
      <w:bodyDiv w:val="1"/>
      <w:marLeft w:val="0"/>
      <w:marRight w:val="0"/>
      <w:marTop w:val="0"/>
      <w:marBottom w:val="0"/>
      <w:divBdr>
        <w:top w:val="none" w:sz="0" w:space="0" w:color="auto"/>
        <w:left w:val="none" w:sz="0" w:space="0" w:color="auto"/>
        <w:bottom w:val="none" w:sz="0" w:space="0" w:color="auto"/>
        <w:right w:val="none" w:sz="0" w:space="0" w:color="auto"/>
      </w:divBdr>
      <w:divsChild>
        <w:div w:id="127823241">
          <w:marLeft w:val="0"/>
          <w:marRight w:val="0"/>
          <w:marTop w:val="0"/>
          <w:marBottom w:val="0"/>
          <w:divBdr>
            <w:top w:val="none" w:sz="0" w:space="0" w:color="auto"/>
            <w:left w:val="none" w:sz="0" w:space="0" w:color="auto"/>
            <w:bottom w:val="none" w:sz="0" w:space="0" w:color="auto"/>
            <w:right w:val="none" w:sz="0" w:space="0" w:color="auto"/>
          </w:divBdr>
        </w:div>
        <w:div w:id="1244606271">
          <w:marLeft w:val="0"/>
          <w:marRight w:val="0"/>
          <w:marTop w:val="0"/>
          <w:marBottom w:val="0"/>
          <w:divBdr>
            <w:top w:val="none" w:sz="0" w:space="0" w:color="auto"/>
            <w:left w:val="none" w:sz="0" w:space="0" w:color="auto"/>
            <w:bottom w:val="none" w:sz="0" w:space="0" w:color="auto"/>
            <w:right w:val="none" w:sz="0" w:space="0" w:color="auto"/>
          </w:divBdr>
        </w:div>
      </w:divsChild>
    </w:div>
    <w:div w:id="771045802">
      <w:bodyDiv w:val="1"/>
      <w:marLeft w:val="0"/>
      <w:marRight w:val="0"/>
      <w:marTop w:val="0"/>
      <w:marBottom w:val="0"/>
      <w:divBdr>
        <w:top w:val="none" w:sz="0" w:space="0" w:color="auto"/>
        <w:left w:val="none" w:sz="0" w:space="0" w:color="auto"/>
        <w:bottom w:val="none" w:sz="0" w:space="0" w:color="auto"/>
        <w:right w:val="none" w:sz="0" w:space="0" w:color="auto"/>
      </w:divBdr>
    </w:div>
    <w:div w:id="798304635">
      <w:bodyDiv w:val="1"/>
      <w:marLeft w:val="0"/>
      <w:marRight w:val="0"/>
      <w:marTop w:val="0"/>
      <w:marBottom w:val="0"/>
      <w:divBdr>
        <w:top w:val="none" w:sz="0" w:space="0" w:color="auto"/>
        <w:left w:val="none" w:sz="0" w:space="0" w:color="auto"/>
        <w:bottom w:val="none" w:sz="0" w:space="0" w:color="auto"/>
        <w:right w:val="none" w:sz="0" w:space="0" w:color="auto"/>
      </w:divBdr>
      <w:divsChild>
        <w:div w:id="464861045">
          <w:marLeft w:val="0"/>
          <w:marRight w:val="0"/>
          <w:marTop w:val="0"/>
          <w:marBottom w:val="0"/>
          <w:divBdr>
            <w:top w:val="none" w:sz="0" w:space="0" w:color="auto"/>
            <w:left w:val="none" w:sz="0" w:space="0" w:color="auto"/>
            <w:bottom w:val="none" w:sz="0" w:space="0" w:color="auto"/>
            <w:right w:val="none" w:sz="0" w:space="0" w:color="auto"/>
          </w:divBdr>
        </w:div>
        <w:div w:id="649793261">
          <w:marLeft w:val="0"/>
          <w:marRight w:val="0"/>
          <w:marTop w:val="0"/>
          <w:marBottom w:val="0"/>
          <w:divBdr>
            <w:top w:val="none" w:sz="0" w:space="0" w:color="auto"/>
            <w:left w:val="none" w:sz="0" w:space="0" w:color="auto"/>
            <w:bottom w:val="none" w:sz="0" w:space="0" w:color="auto"/>
            <w:right w:val="none" w:sz="0" w:space="0" w:color="auto"/>
          </w:divBdr>
        </w:div>
      </w:divsChild>
    </w:div>
    <w:div w:id="812523316">
      <w:bodyDiv w:val="1"/>
      <w:marLeft w:val="0"/>
      <w:marRight w:val="0"/>
      <w:marTop w:val="0"/>
      <w:marBottom w:val="0"/>
      <w:divBdr>
        <w:top w:val="none" w:sz="0" w:space="0" w:color="auto"/>
        <w:left w:val="none" w:sz="0" w:space="0" w:color="auto"/>
        <w:bottom w:val="none" w:sz="0" w:space="0" w:color="auto"/>
        <w:right w:val="none" w:sz="0" w:space="0" w:color="auto"/>
      </w:divBdr>
    </w:div>
    <w:div w:id="826945977">
      <w:bodyDiv w:val="1"/>
      <w:marLeft w:val="0"/>
      <w:marRight w:val="0"/>
      <w:marTop w:val="0"/>
      <w:marBottom w:val="0"/>
      <w:divBdr>
        <w:top w:val="none" w:sz="0" w:space="0" w:color="auto"/>
        <w:left w:val="none" w:sz="0" w:space="0" w:color="auto"/>
        <w:bottom w:val="none" w:sz="0" w:space="0" w:color="auto"/>
        <w:right w:val="none" w:sz="0" w:space="0" w:color="auto"/>
      </w:divBdr>
      <w:divsChild>
        <w:div w:id="985934550">
          <w:marLeft w:val="0"/>
          <w:marRight w:val="0"/>
          <w:marTop w:val="0"/>
          <w:marBottom w:val="0"/>
          <w:divBdr>
            <w:top w:val="none" w:sz="0" w:space="0" w:color="auto"/>
            <w:left w:val="none" w:sz="0" w:space="0" w:color="auto"/>
            <w:bottom w:val="none" w:sz="0" w:space="0" w:color="auto"/>
            <w:right w:val="none" w:sz="0" w:space="0" w:color="auto"/>
          </w:divBdr>
        </w:div>
        <w:div w:id="2029869524">
          <w:marLeft w:val="0"/>
          <w:marRight w:val="0"/>
          <w:marTop w:val="0"/>
          <w:marBottom w:val="0"/>
          <w:divBdr>
            <w:top w:val="none" w:sz="0" w:space="0" w:color="auto"/>
            <w:left w:val="none" w:sz="0" w:space="0" w:color="auto"/>
            <w:bottom w:val="none" w:sz="0" w:space="0" w:color="auto"/>
            <w:right w:val="none" w:sz="0" w:space="0" w:color="auto"/>
          </w:divBdr>
        </w:div>
      </w:divsChild>
    </w:div>
    <w:div w:id="858741791">
      <w:bodyDiv w:val="1"/>
      <w:marLeft w:val="0"/>
      <w:marRight w:val="0"/>
      <w:marTop w:val="0"/>
      <w:marBottom w:val="0"/>
      <w:divBdr>
        <w:top w:val="none" w:sz="0" w:space="0" w:color="auto"/>
        <w:left w:val="none" w:sz="0" w:space="0" w:color="auto"/>
        <w:bottom w:val="none" w:sz="0" w:space="0" w:color="auto"/>
        <w:right w:val="none" w:sz="0" w:space="0" w:color="auto"/>
      </w:divBdr>
      <w:divsChild>
        <w:div w:id="642737093">
          <w:marLeft w:val="0"/>
          <w:marRight w:val="0"/>
          <w:marTop w:val="0"/>
          <w:marBottom w:val="0"/>
          <w:divBdr>
            <w:top w:val="none" w:sz="0" w:space="0" w:color="auto"/>
            <w:left w:val="none" w:sz="0" w:space="0" w:color="auto"/>
            <w:bottom w:val="none" w:sz="0" w:space="0" w:color="auto"/>
            <w:right w:val="none" w:sz="0" w:space="0" w:color="auto"/>
          </w:divBdr>
        </w:div>
        <w:div w:id="303825091">
          <w:marLeft w:val="0"/>
          <w:marRight w:val="0"/>
          <w:marTop w:val="0"/>
          <w:marBottom w:val="0"/>
          <w:divBdr>
            <w:top w:val="none" w:sz="0" w:space="0" w:color="auto"/>
            <w:left w:val="none" w:sz="0" w:space="0" w:color="auto"/>
            <w:bottom w:val="none" w:sz="0" w:space="0" w:color="auto"/>
            <w:right w:val="none" w:sz="0" w:space="0" w:color="auto"/>
          </w:divBdr>
        </w:div>
      </w:divsChild>
    </w:div>
    <w:div w:id="919291483">
      <w:bodyDiv w:val="1"/>
      <w:marLeft w:val="0"/>
      <w:marRight w:val="0"/>
      <w:marTop w:val="0"/>
      <w:marBottom w:val="0"/>
      <w:divBdr>
        <w:top w:val="none" w:sz="0" w:space="0" w:color="auto"/>
        <w:left w:val="none" w:sz="0" w:space="0" w:color="auto"/>
        <w:bottom w:val="none" w:sz="0" w:space="0" w:color="auto"/>
        <w:right w:val="none" w:sz="0" w:space="0" w:color="auto"/>
      </w:divBdr>
      <w:divsChild>
        <w:div w:id="531765664">
          <w:marLeft w:val="0"/>
          <w:marRight w:val="0"/>
          <w:marTop w:val="0"/>
          <w:marBottom w:val="0"/>
          <w:divBdr>
            <w:top w:val="none" w:sz="0" w:space="0" w:color="auto"/>
            <w:left w:val="none" w:sz="0" w:space="0" w:color="auto"/>
            <w:bottom w:val="none" w:sz="0" w:space="0" w:color="auto"/>
            <w:right w:val="none" w:sz="0" w:space="0" w:color="auto"/>
          </w:divBdr>
        </w:div>
        <w:div w:id="586620101">
          <w:marLeft w:val="0"/>
          <w:marRight w:val="0"/>
          <w:marTop w:val="0"/>
          <w:marBottom w:val="0"/>
          <w:divBdr>
            <w:top w:val="none" w:sz="0" w:space="0" w:color="auto"/>
            <w:left w:val="none" w:sz="0" w:space="0" w:color="auto"/>
            <w:bottom w:val="none" w:sz="0" w:space="0" w:color="auto"/>
            <w:right w:val="none" w:sz="0" w:space="0" w:color="auto"/>
          </w:divBdr>
        </w:div>
      </w:divsChild>
    </w:div>
    <w:div w:id="1004362908">
      <w:bodyDiv w:val="1"/>
      <w:marLeft w:val="0"/>
      <w:marRight w:val="0"/>
      <w:marTop w:val="0"/>
      <w:marBottom w:val="0"/>
      <w:divBdr>
        <w:top w:val="none" w:sz="0" w:space="0" w:color="auto"/>
        <w:left w:val="none" w:sz="0" w:space="0" w:color="auto"/>
        <w:bottom w:val="none" w:sz="0" w:space="0" w:color="auto"/>
        <w:right w:val="none" w:sz="0" w:space="0" w:color="auto"/>
      </w:divBdr>
    </w:div>
    <w:div w:id="1077287135">
      <w:bodyDiv w:val="1"/>
      <w:marLeft w:val="0"/>
      <w:marRight w:val="0"/>
      <w:marTop w:val="0"/>
      <w:marBottom w:val="0"/>
      <w:divBdr>
        <w:top w:val="none" w:sz="0" w:space="0" w:color="auto"/>
        <w:left w:val="none" w:sz="0" w:space="0" w:color="auto"/>
        <w:bottom w:val="none" w:sz="0" w:space="0" w:color="auto"/>
        <w:right w:val="none" w:sz="0" w:space="0" w:color="auto"/>
      </w:divBdr>
    </w:div>
    <w:div w:id="1125391623">
      <w:bodyDiv w:val="1"/>
      <w:marLeft w:val="0"/>
      <w:marRight w:val="0"/>
      <w:marTop w:val="0"/>
      <w:marBottom w:val="0"/>
      <w:divBdr>
        <w:top w:val="none" w:sz="0" w:space="0" w:color="auto"/>
        <w:left w:val="none" w:sz="0" w:space="0" w:color="auto"/>
        <w:bottom w:val="none" w:sz="0" w:space="0" w:color="auto"/>
        <w:right w:val="none" w:sz="0" w:space="0" w:color="auto"/>
      </w:divBdr>
      <w:divsChild>
        <w:div w:id="90976006">
          <w:marLeft w:val="0"/>
          <w:marRight w:val="0"/>
          <w:marTop w:val="0"/>
          <w:marBottom w:val="0"/>
          <w:divBdr>
            <w:top w:val="none" w:sz="0" w:space="0" w:color="auto"/>
            <w:left w:val="none" w:sz="0" w:space="0" w:color="auto"/>
            <w:bottom w:val="none" w:sz="0" w:space="0" w:color="auto"/>
            <w:right w:val="none" w:sz="0" w:space="0" w:color="auto"/>
          </w:divBdr>
        </w:div>
        <w:div w:id="93719217">
          <w:marLeft w:val="0"/>
          <w:marRight w:val="0"/>
          <w:marTop w:val="0"/>
          <w:marBottom w:val="0"/>
          <w:divBdr>
            <w:top w:val="none" w:sz="0" w:space="0" w:color="auto"/>
            <w:left w:val="none" w:sz="0" w:space="0" w:color="auto"/>
            <w:bottom w:val="none" w:sz="0" w:space="0" w:color="auto"/>
            <w:right w:val="none" w:sz="0" w:space="0" w:color="auto"/>
          </w:divBdr>
        </w:div>
      </w:divsChild>
    </w:div>
    <w:div w:id="1206602184">
      <w:bodyDiv w:val="1"/>
      <w:marLeft w:val="0"/>
      <w:marRight w:val="0"/>
      <w:marTop w:val="0"/>
      <w:marBottom w:val="0"/>
      <w:divBdr>
        <w:top w:val="none" w:sz="0" w:space="0" w:color="auto"/>
        <w:left w:val="none" w:sz="0" w:space="0" w:color="auto"/>
        <w:bottom w:val="none" w:sz="0" w:space="0" w:color="auto"/>
        <w:right w:val="none" w:sz="0" w:space="0" w:color="auto"/>
      </w:divBdr>
      <w:divsChild>
        <w:div w:id="761218951">
          <w:marLeft w:val="0"/>
          <w:marRight w:val="0"/>
          <w:marTop w:val="0"/>
          <w:marBottom w:val="0"/>
          <w:divBdr>
            <w:top w:val="none" w:sz="0" w:space="0" w:color="auto"/>
            <w:left w:val="none" w:sz="0" w:space="0" w:color="auto"/>
            <w:bottom w:val="none" w:sz="0" w:space="0" w:color="auto"/>
            <w:right w:val="none" w:sz="0" w:space="0" w:color="auto"/>
          </w:divBdr>
        </w:div>
        <w:div w:id="650334496">
          <w:marLeft w:val="0"/>
          <w:marRight w:val="0"/>
          <w:marTop w:val="0"/>
          <w:marBottom w:val="0"/>
          <w:divBdr>
            <w:top w:val="none" w:sz="0" w:space="0" w:color="auto"/>
            <w:left w:val="none" w:sz="0" w:space="0" w:color="auto"/>
            <w:bottom w:val="none" w:sz="0" w:space="0" w:color="auto"/>
            <w:right w:val="none" w:sz="0" w:space="0" w:color="auto"/>
          </w:divBdr>
        </w:div>
      </w:divsChild>
    </w:div>
    <w:div w:id="1346665773">
      <w:bodyDiv w:val="1"/>
      <w:marLeft w:val="0"/>
      <w:marRight w:val="0"/>
      <w:marTop w:val="0"/>
      <w:marBottom w:val="0"/>
      <w:divBdr>
        <w:top w:val="none" w:sz="0" w:space="0" w:color="auto"/>
        <w:left w:val="none" w:sz="0" w:space="0" w:color="auto"/>
        <w:bottom w:val="none" w:sz="0" w:space="0" w:color="auto"/>
        <w:right w:val="none" w:sz="0" w:space="0" w:color="auto"/>
      </w:divBdr>
      <w:divsChild>
        <w:div w:id="2029745564">
          <w:marLeft w:val="0"/>
          <w:marRight w:val="0"/>
          <w:marTop w:val="0"/>
          <w:marBottom w:val="0"/>
          <w:divBdr>
            <w:top w:val="none" w:sz="0" w:space="0" w:color="auto"/>
            <w:left w:val="none" w:sz="0" w:space="0" w:color="auto"/>
            <w:bottom w:val="none" w:sz="0" w:space="0" w:color="auto"/>
            <w:right w:val="none" w:sz="0" w:space="0" w:color="auto"/>
          </w:divBdr>
        </w:div>
        <w:div w:id="242759145">
          <w:marLeft w:val="0"/>
          <w:marRight w:val="0"/>
          <w:marTop w:val="0"/>
          <w:marBottom w:val="0"/>
          <w:divBdr>
            <w:top w:val="none" w:sz="0" w:space="0" w:color="auto"/>
            <w:left w:val="none" w:sz="0" w:space="0" w:color="auto"/>
            <w:bottom w:val="none" w:sz="0" w:space="0" w:color="auto"/>
            <w:right w:val="none" w:sz="0" w:space="0" w:color="auto"/>
          </w:divBdr>
        </w:div>
      </w:divsChild>
    </w:div>
    <w:div w:id="1431505504">
      <w:bodyDiv w:val="1"/>
      <w:marLeft w:val="0"/>
      <w:marRight w:val="0"/>
      <w:marTop w:val="0"/>
      <w:marBottom w:val="0"/>
      <w:divBdr>
        <w:top w:val="none" w:sz="0" w:space="0" w:color="auto"/>
        <w:left w:val="none" w:sz="0" w:space="0" w:color="auto"/>
        <w:bottom w:val="none" w:sz="0" w:space="0" w:color="auto"/>
        <w:right w:val="none" w:sz="0" w:space="0" w:color="auto"/>
      </w:divBdr>
    </w:div>
    <w:div w:id="1667827132">
      <w:bodyDiv w:val="1"/>
      <w:marLeft w:val="0"/>
      <w:marRight w:val="0"/>
      <w:marTop w:val="0"/>
      <w:marBottom w:val="0"/>
      <w:divBdr>
        <w:top w:val="none" w:sz="0" w:space="0" w:color="auto"/>
        <w:left w:val="none" w:sz="0" w:space="0" w:color="auto"/>
        <w:bottom w:val="none" w:sz="0" w:space="0" w:color="auto"/>
        <w:right w:val="none" w:sz="0" w:space="0" w:color="auto"/>
      </w:divBdr>
      <w:divsChild>
        <w:div w:id="1610429293">
          <w:marLeft w:val="0"/>
          <w:marRight w:val="0"/>
          <w:marTop w:val="0"/>
          <w:marBottom w:val="0"/>
          <w:divBdr>
            <w:top w:val="none" w:sz="0" w:space="0" w:color="auto"/>
            <w:left w:val="none" w:sz="0" w:space="0" w:color="auto"/>
            <w:bottom w:val="none" w:sz="0" w:space="0" w:color="auto"/>
            <w:right w:val="none" w:sz="0" w:space="0" w:color="auto"/>
          </w:divBdr>
        </w:div>
        <w:div w:id="1976137318">
          <w:marLeft w:val="0"/>
          <w:marRight w:val="0"/>
          <w:marTop w:val="0"/>
          <w:marBottom w:val="0"/>
          <w:divBdr>
            <w:top w:val="none" w:sz="0" w:space="0" w:color="auto"/>
            <w:left w:val="none" w:sz="0" w:space="0" w:color="auto"/>
            <w:bottom w:val="none" w:sz="0" w:space="0" w:color="auto"/>
            <w:right w:val="none" w:sz="0" w:space="0" w:color="auto"/>
          </w:divBdr>
        </w:div>
      </w:divsChild>
    </w:div>
    <w:div w:id="1763069142">
      <w:bodyDiv w:val="1"/>
      <w:marLeft w:val="0"/>
      <w:marRight w:val="0"/>
      <w:marTop w:val="0"/>
      <w:marBottom w:val="0"/>
      <w:divBdr>
        <w:top w:val="none" w:sz="0" w:space="0" w:color="auto"/>
        <w:left w:val="none" w:sz="0" w:space="0" w:color="auto"/>
        <w:bottom w:val="none" w:sz="0" w:space="0" w:color="auto"/>
        <w:right w:val="none" w:sz="0" w:space="0" w:color="auto"/>
      </w:divBdr>
    </w:div>
    <w:div w:id="1911118371">
      <w:bodyDiv w:val="1"/>
      <w:marLeft w:val="0"/>
      <w:marRight w:val="0"/>
      <w:marTop w:val="0"/>
      <w:marBottom w:val="0"/>
      <w:divBdr>
        <w:top w:val="none" w:sz="0" w:space="0" w:color="auto"/>
        <w:left w:val="none" w:sz="0" w:space="0" w:color="auto"/>
        <w:bottom w:val="none" w:sz="0" w:space="0" w:color="auto"/>
        <w:right w:val="none" w:sz="0" w:space="0" w:color="auto"/>
      </w:divBdr>
    </w:div>
    <w:div w:id="2114663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https://unstats.un.org/unsd/demographic/sconcerns/popchar/ethnicitypaper.pdf"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sf.io/cvpx6" TargetMode="External"/><Relationship Id="rId17" Type="http://schemas.openxmlformats.org/officeDocument/2006/relationships/hyperlink" Target="https://osf.io/wkh5a/?view_only=d8138c80ddab4344a928108d6c20e4b9"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ecd-ilibrary.org/economics/diversity-statistics-in-the-oecd_89bae654-en" TargetMode="External"/><Relationship Id="rId5" Type="http://schemas.openxmlformats.org/officeDocument/2006/relationships/webSettings" Target="webSettings.xml"/><Relationship Id="rId15" Type="http://schemas.openxmlformats.org/officeDocument/2006/relationships/hyperlink" Target="https://www.nimh.nih.gov/about/director/messages/2020/racism-and-mental-health-research-steps-toward-equity" TargetMode="External"/><Relationship Id="rId10" Type="http://schemas.openxmlformats.org/officeDocument/2006/relationships/hyperlink" Target="about:blan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75EE1-9985-1F43-BDAD-E1C32C7ED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6366</Words>
  <Characters>36290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Cortese, Sam - Professor</dc:creator>
  <cp:lastModifiedBy>Alessio Bellato</cp:lastModifiedBy>
  <cp:revision>98</cp:revision>
  <dcterms:created xsi:type="dcterms:W3CDTF">2024-10-17T14:51:00Z</dcterms:created>
  <dcterms:modified xsi:type="dcterms:W3CDTF">2025-03-05T15:57:00Z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dae23c76-124f-3ddb-b0fb-e9347800d4c4</vt:lpwstr>
  </property>
</Properties>
</file>