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191F5" w14:textId="77777777" w:rsidR="00D561E8" w:rsidRDefault="00000000">
      <w:pPr>
        <w:spacing w:line="480" w:lineRule="auto"/>
      </w:pPr>
      <w:r>
        <w:rPr>
          <w:b/>
        </w:rPr>
        <w:t>Systematic identification of disease-causing promoter and untranslated region variants in 8,040 undiagnosed individuals with rare disease</w:t>
      </w:r>
    </w:p>
    <w:p w14:paraId="1149147C" w14:textId="77777777" w:rsidR="00D561E8" w:rsidRDefault="00D561E8">
      <w:pPr>
        <w:spacing w:line="480" w:lineRule="auto"/>
      </w:pPr>
    </w:p>
    <w:p w14:paraId="3BA3A088" w14:textId="77777777" w:rsidR="00D561E8" w:rsidRDefault="00000000">
      <w:pPr>
        <w:spacing w:line="480" w:lineRule="auto"/>
        <w:rPr>
          <w:vertAlign w:val="superscript"/>
        </w:rPr>
      </w:pPr>
      <w:r>
        <w:t>Alexandra C Martin-Geary</w:t>
      </w:r>
      <w:r>
        <w:rPr>
          <w:vertAlign w:val="superscript"/>
        </w:rPr>
        <w:t>1,2</w:t>
      </w:r>
      <w:r>
        <w:t>, Alexander J M Blakes</w:t>
      </w:r>
      <w:r>
        <w:rPr>
          <w:vertAlign w:val="superscript"/>
        </w:rPr>
        <w:t>3</w:t>
      </w:r>
      <w:r>
        <w:t>, Ruebena Dawes</w:t>
      </w:r>
      <w:r>
        <w:rPr>
          <w:vertAlign w:val="superscript"/>
        </w:rPr>
        <w:t>1,2</w:t>
      </w:r>
      <w:r>
        <w:t>, Scott D Findlay</w:t>
      </w:r>
      <w:r>
        <w:rPr>
          <w:vertAlign w:val="superscript"/>
        </w:rPr>
        <w:t>4</w:t>
      </w:r>
      <w:r>
        <w:t>, Jenny Lord</w:t>
      </w:r>
      <w:r>
        <w:rPr>
          <w:vertAlign w:val="superscript"/>
        </w:rPr>
        <w:t>5</w:t>
      </w:r>
      <w:r>
        <w:t>, Shan Dong</w:t>
      </w:r>
      <w:r>
        <w:rPr>
          <w:vertAlign w:val="superscript"/>
        </w:rPr>
        <w:t>6,7</w:t>
      </w:r>
      <w:r>
        <w:t>, Susan Walker</w:t>
      </w:r>
      <w:r>
        <w:rPr>
          <w:vertAlign w:val="superscript"/>
        </w:rPr>
        <w:t>8</w:t>
      </w:r>
      <w:r>
        <w:t>, Jonathan Talbot-Martin</w:t>
      </w:r>
      <w:r>
        <w:rPr>
          <w:vertAlign w:val="superscript"/>
        </w:rPr>
        <w:t>9</w:t>
      </w:r>
      <w:r>
        <w:t>, Nechama Wieder</w:t>
      </w:r>
      <w:r>
        <w:rPr>
          <w:vertAlign w:val="superscript"/>
        </w:rPr>
        <w:t>1,2</w:t>
      </w:r>
      <w:r>
        <w:t>, Elston N D’Souza</w:t>
      </w:r>
      <w:r>
        <w:rPr>
          <w:vertAlign w:val="superscript"/>
        </w:rPr>
        <w:t>1,2</w:t>
      </w:r>
      <w:r>
        <w:t>, Maria Fernandes</w:t>
      </w:r>
      <w:r>
        <w:rPr>
          <w:vertAlign w:val="superscript"/>
        </w:rPr>
        <w:t>1,2</w:t>
      </w:r>
      <w:r>
        <w:t>, Sarah Hilton</w:t>
      </w:r>
      <w:r>
        <w:rPr>
          <w:vertAlign w:val="superscript"/>
        </w:rPr>
        <w:t>10</w:t>
      </w:r>
      <w:r>
        <w:t>, Nayana Lahiri</w:t>
      </w:r>
      <w:r>
        <w:rPr>
          <w:vertAlign w:val="superscript"/>
        </w:rPr>
        <w:t>11</w:t>
      </w:r>
      <w:r>
        <w:t xml:space="preserve">, </w:t>
      </w:r>
      <w:r>
        <w:rPr>
          <w:highlight w:val="white"/>
        </w:rPr>
        <w:t>Christopher Campbell</w:t>
      </w:r>
      <w:r>
        <w:rPr>
          <w:highlight w:val="white"/>
          <w:vertAlign w:val="superscript"/>
        </w:rPr>
        <w:t>10</w:t>
      </w:r>
      <w:r>
        <w:rPr>
          <w:highlight w:val="white"/>
        </w:rPr>
        <w:t>,</w:t>
      </w:r>
      <w:r>
        <w:t xml:space="preserve"> Sarah Jenkinson</w:t>
      </w:r>
      <w:r>
        <w:rPr>
          <w:vertAlign w:val="superscript"/>
        </w:rPr>
        <w:t>10</w:t>
      </w:r>
      <w:r>
        <w:t>, Christian G E L DeGoede</w:t>
      </w:r>
      <w:r>
        <w:rPr>
          <w:vertAlign w:val="superscript"/>
        </w:rPr>
        <w:t>12,13</w:t>
      </w:r>
      <w:r>
        <w:t>, Emily R Anderson</w:t>
      </w:r>
      <w:r>
        <w:rPr>
          <w:vertAlign w:val="superscript"/>
        </w:rPr>
        <w:t>14</w:t>
      </w:r>
      <w:r>
        <w:t>, Toby Candler</w:t>
      </w:r>
      <w:r>
        <w:rPr>
          <w:vertAlign w:val="superscript"/>
        </w:rPr>
        <w:t>15, 16</w:t>
      </w:r>
      <w:r>
        <w:t>, Helen Firth</w:t>
      </w:r>
      <w:r>
        <w:rPr>
          <w:vertAlign w:val="superscript"/>
        </w:rPr>
        <w:t>17,18,19</w:t>
      </w:r>
      <w:r>
        <w:t>, Christopher B. Burge</w:t>
      </w:r>
      <w:r>
        <w:rPr>
          <w:vertAlign w:val="superscript"/>
        </w:rPr>
        <w:t>4</w:t>
      </w:r>
      <w:r>
        <w:t>, Stephan J Sanders</w:t>
      </w:r>
      <w:r>
        <w:rPr>
          <w:vertAlign w:val="superscript"/>
        </w:rPr>
        <w:t>6,7,20</w:t>
      </w:r>
      <w:r>
        <w:t>, Jamie Ellingford</w:t>
      </w:r>
      <w:r>
        <w:rPr>
          <w:vertAlign w:val="superscript"/>
        </w:rPr>
        <w:t>3,10</w:t>
      </w:r>
      <w:r>
        <w:t>, Diana Baralle</w:t>
      </w:r>
      <w:r>
        <w:rPr>
          <w:vertAlign w:val="superscript"/>
        </w:rPr>
        <w:t>8</w:t>
      </w:r>
      <w:r>
        <w:t>, Siddharth Banka</w:t>
      </w:r>
      <w:r>
        <w:rPr>
          <w:vertAlign w:val="superscript"/>
        </w:rPr>
        <w:t>3,10</w:t>
      </w:r>
      <w:r>
        <w:t xml:space="preserve">, </w:t>
      </w:r>
      <w:r>
        <w:rPr>
          <w:color w:val="333333"/>
        </w:rPr>
        <w:t>a</w:t>
      </w:r>
      <w:r>
        <w:t>nd Nicola Whiffin</w:t>
      </w:r>
      <w:r>
        <w:rPr>
          <w:vertAlign w:val="superscript"/>
        </w:rPr>
        <w:t>1,2,21</w:t>
      </w:r>
    </w:p>
    <w:p w14:paraId="0F5256D4" w14:textId="77777777" w:rsidR="00D561E8" w:rsidRDefault="00D561E8">
      <w:pPr>
        <w:spacing w:line="480" w:lineRule="auto"/>
        <w:rPr>
          <w:highlight w:val="yellow"/>
        </w:rPr>
      </w:pPr>
    </w:p>
    <w:p w14:paraId="64D9B930" w14:textId="77777777" w:rsidR="00D561E8" w:rsidRDefault="00000000">
      <w:pPr>
        <w:numPr>
          <w:ilvl w:val="0"/>
          <w:numId w:val="1"/>
        </w:numPr>
        <w:spacing w:line="360" w:lineRule="auto"/>
      </w:pPr>
      <w:r>
        <w:t>Big Data Institute, University of Oxford, UK</w:t>
      </w:r>
    </w:p>
    <w:p w14:paraId="0FA24CCB" w14:textId="77777777" w:rsidR="00D561E8" w:rsidRDefault="00000000">
      <w:pPr>
        <w:numPr>
          <w:ilvl w:val="0"/>
          <w:numId w:val="1"/>
        </w:numPr>
        <w:spacing w:line="360" w:lineRule="auto"/>
      </w:pPr>
      <w:r>
        <w:t>Wellcome Centre for Human Genetics, University of Oxford, UK</w:t>
      </w:r>
    </w:p>
    <w:p w14:paraId="6068BFDE" w14:textId="77777777" w:rsidR="00D561E8" w:rsidRDefault="00000000">
      <w:pPr>
        <w:numPr>
          <w:ilvl w:val="0"/>
          <w:numId w:val="1"/>
        </w:numPr>
        <w:spacing w:line="360" w:lineRule="auto"/>
      </w:pPr>
      <w:r>
        <w:t>Manchester Centre for Genomic Medicine, Division of Evolution and Genomic Sciences, School of Biological Sciences, Faculty of Biology, Medicine and Health, University of Manchester, Manchester, UK</w:t>
      </w:r>
    </w:p>
    <w:p w14:paraId="2D95835D" w14:textId="77777777" w:rsidR="00D561E8" w:rsidRDefault="00000000">
      <w:pPr>
        <w:numPr>
          <w:ilvl w:val="0"/>
          <w:numId w:val="1"/>
        </w:numPr>
        <w:spacing w:line="360" w:lineRule="auto"/>
      </w:pPr>
      <w:r>
        <w:t>Department of Biology, Massachusetts Institute of Technology, Cambridge, USA</w:t>
      </w:r>
    </w:p>
    <w:p w14:paraId="5BDD46D9" w14:textId="77777777" w:rsidR="00D561E8" w:rsidRDefault="00000000">
      <w:pPr>
        <w:numPr>
          <w:ilvl w:val="0"/>
          <w:numId w:val="1"/>
        </w:numPr>
        <w:spacing w:line="360" w:lineRule="auto"/>
      </w:pPr>
      <w:r>
        <w:t>School of Human Development and Health, Faculty of Medicine, University of Southampton, Southampton, United Kingdom</w:t>
      </w:r>
    </w:p>
    <w:p w14:paraId="52F3D849" w14:textId="77777777" w:rsidR="00D561E8" w:rsidRDefault="00000000">
      <w:pPr>
        <w:numPr>
          <w:ilvl w:val="0"/>
          <w:numId w:val="1"/>
        </w:numPr>
        <w:spacing w:line="360" w:lineRule="auto"/>
      </w:pPr>
      <w:r>
        <w:rPr>
          <w:color w:val="012012"/>
        </w:rPr>
        <w:t>Institute of Developmental and Regenerative Medicine, Department of Paediatrics, University of Oxford, Oxford, OX3 7TY, UK</w:t>
      </w:r>
    </w:p>
    <w:p w14:paraId="6FBD401C" w14:textId="77777777" w:rsidR="00D561E8" w:rsidRDefault="00000000">
      <w:pPr>
        <w:numPr>
          <w:ilvl w:val="0"/>
          <w:numId w:val="1"/>
        </w:numPr>
        <w:spacing w:line="360" w:lineRule="auto"/>
      </w:pPr>
      <w:r>
        <w:t>Department of Psychiatry and Behavioral Sciences, UCSF Weill Institute for Neurosciences, University of California, San Francisco, San Francisco, CA 94158, USA</w:t>
      </w:r>
    </w:p>
    <w:p w14:paraId="4A5158F9" w14:textId="77777777" w:rsidR="00D561E8" w:rsidRDefault="00000000">
      <w:pPr>
        <w:numPr>
          <w:ilvl w:val="0"/>
          <w:numId w:val="1"/>
        </w:numPr>
        <w:spacing w:line="360" w:lineRule="auto"/>
      </w:pPr>
      <w:r>
        <w:t>Genomics England, UK</w:t>
      </w:r>
    </w:p>
    <w:p w14:paraId="2DCF2A64" w14:textId="77777777" w:rsidR="00D561E8" w:rsidRDefault="00000000">
      <w:pPr>
        <w:numPr>
          <w:ilvl w:val="0"/>
          <w:numId w:val="1"/>
        </w:numPr>
        <w:spacing w:line="360" w:lineRule="auto"/>
      </w:pPr>
      <w:r>
        <w:t>Department of Bioengineering, Imperial College London, UK</w:t>
      </w:r>
    </w:p>
    <w:p w14:paraId="7F9A014F" w14:textId="77777777" w:rsidR="00D561E8" w:rsidRDefault="00000000">
      <w:pPr>
        <w:numPr>
          <w:ilvl w:val="0"/>
          <w:numId w:val="1"/>
        </w:numPr>
        <w:spacing w:line="360" w:lineRule="auto"/>
      </w:pPr>
      <w:r>
        <w:t>Manchester Centre for Genomic Medicine, Manchester University NHS Foundation Trust, Health Innovation Manchester, Manchester M13 9WL, UK</w:t>
      </w:r>
    </w:p>
    <w:p w14:paraId="523142BD" w14:textId="77777777" w:rsidR="00D561E8" w:rsidRDefault="00000000">
      <w:pPr>
        <w:numPr>
          <w:ilvl w:val="0"/>
          <w:numId w:val="1"/>
        </w:numPr>
        <w:spacing w:line="360" w:lineRule="auto"/>
      </w:pPr>
      <w:r>
        <w:t>St George’s, University of London &amp; St George’s University Hospitals NHS Foundation Trust, Institute of Molecular and Clinical Sciences, London, SW17 0QT, UK</w:t>
      </w:r>
    </w:p>
    <w:p w14:paraId="46DA1D0F" w14:textId="77777777" w:rsidR="00D561E8" w:rsidRDefault="00000000">
      <w:pPr>
        <w:numPr>
          <w:ilvl w:val="0"/>
          <w:numId w:val="1"/>
        </w:numPr>
        <w:spacing w:line="360" w:lineRule="auto"/>
      </w:pPr>
      <w:r>
        <w:t>Department of Paediatric Neurology, Clinical research Facility, Lancashire Teaching Hospitals NHS Trust</w:t>
      </w:r>
    </w:p>
    <w:p w14:paraId="38999E78" w14:textId="77777777" w:rsidR="00D561E8" w:rsidRDefault="00000000">
      <w:pPr>
        <w:numPr>
          <w:ilvl w:val="0"/>
          <w:numId w:val="1"/>
        </w:numPr>
        <w:spacing w:line="360" w:lineRule="auto"/>
      </w:pPr>
      <w:r>
        <w:t>Manchester Metropolitan University</w:t>
      </w:r>
    </w:p>
    <w:p w14:paraId="78612926" w14:textId="77777777" w:rsidR="00D561E8" w:rsidRDefault="00000000">
      <w:pPr>
        <w:numPr>
          <w:ilvl w:val="0"/>
          <w:numId w:val="1"/>
        </w:numPr>
        <w:spacing w:line="360" w:lineRule="auto"/>
      </w:pPr>
      <w:r>
        <w:lastRenderedPageBreak/>
        <w:t>Liverpool Centre for Genomic Medicine, Liverpool Women’s Hospital, Liverpool, UK</w:t>
      </w:r>
    </w:p>
    <w:p w14:paraId="4274828D" w14:textId="77777777" w:rsidR="00D561E8" w:rsidRDefault="00000000">
      <w:pPr>
        <w:numPr>
          <w:ilvl w:val="0"/>
          <w:numId w:val="1"/>
        </w:numPr>
        <w:spacing w:line="360" w:lineRule="auto"/>
      </w:pPr>
      <w:r>
        <w:t xml:space="preserve"> Department of Paediatric Endocrinology and Diabetes, Bristol Royal Hospital for Children (Level 6, Education Centre, Upper Maudlin Street, Bristol, BS2 8BJ)</w:t>
      </w:r>
    </w:p>
    <w:p w14:paraId="0AC13CDC" w14:textId="77777777" w:rsidR="00D561E8" w:rsidRDefault="00000000">
      <w:pPr>
        <w:numPr>
          <w:ilvl w:val="0"/>
          <w:numId w:val="1"/>
        </w:numPr>
        <w:spacing w:line="360" w:lineRule="auto"/>
      </w:pPr>
      <w:r>
        <w:t>NIHR Bristol Biomedical Research Centre, Clinical Diet and Physical Activity Theme, University of Bristol</w:t>
      </w:r>
    </w:p>
    <w:p w14:paraId="32486B09" w14:textId="77777777" w:rsidR="00D561E8" w:rsidRDefault="00000000">
      <w:pPr>
        <w:numPr>
          <w:ilvl w:val="0"/>
          <w:numId w:val="1"/>
        </w:numPr>
        <w:shd w:val="clear" w:color="auto" w:fill="FFFFFF"/>
        <w:spacing w:line="360" w:lineRule="auto"/>
      </w:pPr>
      <w:r>
        <w:t>Cambridge University Hospitals, Cambridge, UK</w:t>
      </w:r>
    </w:p>
    <w:p w14:paraId="1F3F0B11" w14:textId="77777777" w:rsidR="00D561E8" w:rsidRDefault="00000000">
      <w:pPr>
        <w:numPr>
          <w:ilvl w:val="0"/>
          <w:numId w:val="1"/>
        </w:numPr>
        <w:shd w:val="clear" w:color="auto" w:fill="FFFFFF"/>
        <w:spacing w:line="360" w:lineRule="auto"/>
      </w:pPr>
      <w:r>
        <w:t>Wellcome Sanger Institute, Hinxton, UK</w:t>
      </w:r>
    </w:p>
    <w:p w14:paraId="50985A00" w14:textId="77777777" w:rsidR="00D561E8" w:rsidRDefault="00000000">
      <w:pPr>
        <w:numPr>
          <w:ilvl w:val="0"/>
          <w:numId w:val="1"/>
        </w:numPr>
        <w:shd w:val="clear" w:color="auto" w:fill="FFFFFF"/>
        <w:spacing w:line="360" w:lineRule="auto"/>
      </w:pPr>
      <w:r>
        <w:t>University of Cambridge</w:t>
      </w:r>
    </w:p>
    <w:p w14:paraId="7FC18F22" w14:textId="77777777" w:rsidR="00D561E8" w:rsidRDefault="00000000">
      <w:pPr>
        <w:numPr>
          <w:ilvl w:val="0"/>
          <w:numId w:val="1"/>
        </w:numPr>
        <w:spacing w:line="360" w:lineRule="auto"/>
      </w:pPr>
      <w:r>
        <w:t>New York Genome Center, New York, NY, USA</w:t>
      </w:r>
    </w:p>
    <w:p w14:paraId="3F9D0316" w14:textId="77777777" w:rsidR="00D561E8" w:rsidRDefault="00000000">
      <w:pPr>
        <w:numPr>
          <w:ilvl w:val="0"/>
          <w:numId w:val="1"/>
        </w:numPr>
        <w:spacing w:line="360" w:lineRule="auto"/>
      </w:pPr>
      <w:r>
        <w:t>Program in Medical and Population Genetics, Broad Institute of MIT and Harvard, Cambridge, MA, USA</w:t>
      </w:r>
    </w:p>
    <w:p w14:paraId="058C4706" w14:textId="77777777" w:rsidR="00D561E8" w:rsidRDefault="00D561E8">
      <w:pPr>
        <w:spacing w:line="480" w:lineRule="auto"/>
      </w:pPr>
    </w:p>
    <w:p w14:paraId="718D7776" w14:textId="77777777" w:rsidR="00D561E8" w:rsidRDefault="00000000">
      <w:pPr>
        <w:spacing w:line="480" w:lineRule="auto"/>
      </w:pPr>
      <w:r>
        <w:t>Correspondence should be addressed to Alexandra Martin-Geary (</w:t>
      </w:r>
      <w:r>
        <w:rPr>
          <w:color w:val="1155CC"/>
        </w:rPr>
        <w:t>alex.geary@well.ox.ac.uk</w:t>
      </w:r>
      <w:r>
        <w:t>) or Nicola Whiffin (</w:t>
      </w:r>
      <w:r>
        <w:rPr>
          <w:color w:val="1155CC"/>
        </w:rPr>
        <w:t xml:space="preserve">nwhiffin@well.ox.ac.uk </w:t>
      </w:r>
      <w:r>
        <w:t xml:space="preserve">) </w:t>
      </w:r>
    </w:p>
    <w:p w14:paraId="5B2CD23E" w14:textId="77777777" w:rsidR="00D561E8" w:rsidRDefault="00000000">
      <w:pPr>
        <w:spacing w:line="480" w:lineRule="auto"/>
        <w:rPr>
          <w:b/>
        </w:rPr>
      </w:pPr>
      <w:r>
        <w:t>Big Data Institute, Old Road Campus, University of Oxford, UK, OX37LF</w:t>
      </w:r>
      <w:r>
        <w:rPr>
          <w:b/>
        </w:rPr>
        <w:tab/>
      </w:r>
      <w:r>
        <w:rPr>
          <w:b/>
        </w:rPr>
        <w:tab/>
      </w:r>
    </w:p>
    <w:p w14:paraId="618A6F69" w14:textId="77777777" w:rsidR="00D561E8" w:rsidRDefault="00D561E8">
      <w:pPr>
        <w:spacing w:line="480" w:lineRule="auto"/>
        <w:rPr>
          <w:b/>
          <w:sz w:val="28"/>
          <w:szCs w:val="28"/>
        </w:rPr>
      </w:pPr>
    </w:p>
    <w:p w14:paraId="16E0F5A6" w14:textId="77777777" w:rsidR="00D561E8" w:rsidRDefault="00000000">
      <w:pPr>
        <w:spacing w:line="480" w:lineRule="auto"/>
        <w:rPr>
          <w:b/>
          <w:sz w:val="28"/>
          <w:szCs w:val="28"/>
        </w:rPr>
      </w:pPr>
      <w:r>
        <w:rPr>
          <w:b/>
          <w:sz w:val="28"/>
          <w:szCs w:val="28"/>
        </w:rPr>
        <w:t>Abstract</w:t>
      </w:r>
    </w:p>
    <w:p w14:paraId="4F3CA75D" w14:textId="77777777" w:rsidR="00D561E8" w:rsidRDefault="00D561E8">
      <w:pPr>
        <w:spacing w:line="480" w:lineRule="auto"/>
        <w:rPr>
          <w:b/>
        </w:rPr>
      </w:pPr>
    </w:p>
    <w:p w14:paraId="64ED6E41" w14:textId="77777777" w:rsidR="00D561E8" w:rsidRDefault="00000000">
      <w:pPr>
        <w:spacing w:line="480" w:lineRule="auto"/>
        <w:rPr>
          <w:b/>
        </w:rPr>
      </w:pPr>
      <w:r>
        <w:rPr>
          <w:b/>
        </w:rPr>
        <w:t>Background</w:t>
      </w:r>
    </w:p>
    <w:p w14:paraId="03AB9ACB" w14:textId="77777777" w:rsidR="00D561E8" w:rsidRDefault="00000000">
      <w:pPr>
        <w:spacing w:line="480" w:lineRule="auto"/>
        <w:rPr>
          <w:b/>
        </w:rPr>
      </w:pPr>
      <w:r>
        <w:t>Both promoters and untranslated regions (UTRs) have critical regulatory roles, yet variants in these regions are largely excluded from clinical genetic testing due to difficulty in interpreting pathogenicity. The extent to which these regions may harbour diagnoses for individuals with rare disease is currently unknown.</w:t>
      </w:r>
    </w:p>
    <w:p w14:paraId="695E15CA" w14:textId="77777777" w:rsidR="00D561E8" w:rsidRDefault="00D561E8">
      <w:pPr>
        <w:spacing w:line="480" w:lineRule="auto"/>
        <w:rPr>
          <w:b/>
        </w:rPr>
      </w:pPr>
    </w:p>
    <w:p w14:paraId="5976E17D" w14:textId="77777777" w:rsidR="00D561E8" w:rsidRDefault="00000000">
      <w:pPr>
        <w:spacing w:line="480" w:lineRule="auto"/>
        <w:rPr>
          <w:b/>
        </w:rPr>
      </w:pPr>
      <w:r>
        <w:rPr>
          <w:b/>
        </w:rPr>
        <w:t>Methods</w:t>
      </w:r>
    </w:p>
    <w:p w14:paraId="40B562F5" w14:textId="77777777" w:rsidR="00D561E8" w:rsidRDefault="00000000">
      <w:pPr>
        <w:spacing w:line="480" w:lineRule="auto"/>
        <w:rPr>
          <w:b/>
        </w:rPr>
      </w:pPr>
      <w:r>
        <w:t xml:space="preserve">We present a framework for the identification and annotation of potentially deleterious proximal promoter and UTR variants in known dominant disease genes. We use this framework to annotate </w:t>
      </w:r>
      <w:r>
        <w:rPr>
          <w:i/>
        </w:rPr>
        <w:t>de novo</w:t>
      </w:r>
      <w:r>
        <w:t xml:space="preserve"> variants (DNVs) in 8,040 undiagnosed individuals in the Genomics England 100,000 genomes project, which were subject to strict region-based filtering, clinical review, and validation studies where possible. In addition, we performed </w:t>
      </w:r>
      <w:r>
        <w:lastRenderedPageBreak/>
        <w:t xml:space="preserve">region and variant annotation-based burden testing in </w:t>
      </w:r>
      <w:r>
        <w:rPr>
          <w:color w:val="1D1C1D"/>
          <w:highlight w:val="white"/>
        </w:rPr>
        <w:t>7,862</w:t>
      </w:r>
      <w:r>
        <w:t xml:space="preserve"> unrelated probands against matched unaffected controls.</w:t>
      </w:r>
    </w:p>
    <w:p w14:paraId="09A23616" w14:textId="77777777" w:rsidR="00D561E8" w:rsidRDefault="00D561E8">
      <w:pPr>
        <w:spacing w:line="480" w:lineRule="auto"/>
        <w:rPr>
          <w:b/>
        </w:rPr>
      </w:pPr>
    </w:p>
    <w:p w14:paraId="2F019EBE" w14:textId="77777777" w:rsidR="00D561E8" w:rsidRDefault="00000000">
      <w:pPr>
        <w:spacing w:line="480" w:lineRule="auto"/>
        <w:rPr>
          <w:b/>
        </w:rPr>
      </w:pPr>
      <w:r>
        <w:rPr>
          <w:b/>
        </w:rPr>
        <w:t xml:space="preserve">Results </w:t>
      </w:r>
    </w:p>
    <w:p w14:paraId="6C33B411" w14:textId="77777777" w:rsidR="00D561E8" w:rsidRDefault="00000000">
      <w:pPr>
        <w:spacing w:line="480" w:lineRule="auto"/>
        <w:rPr>
          <w:b/>
        </w:rPr>
      </w:pPr>
      <w:r>
        <w:t>We prioritised eleven DNVs and identified an additional variant overlapping one of the eleven. Ten of these twelve variants (82%) are in genes that are a strong match to the individual’s phenotype and six had not previously been identified. Through burden testing, we did not observe a significant enrichment of potentially deleterious promoter and/or UTR variants in individuals with rare disease collectively across any of our region or variant annotations.</w:t>
      </w:r>
    </w:p>
    <w:p w14:paraId="168FD03D" w14:textId="77777777" w:rsidR="00D561E8" w:rsidRDefault="00D561E8">
      <w:pPr>
        <w:spacing w:line="480" w:lineRule="auto"/>
        <w:rPr>
          <w:b/>
        </w:rPr>
      </w:pPr>
    </w:p>
    <w:p w14:paraId="2634628B" w14:textId="77777777" w:rsidR="00D561E8" w:rsidRDefault="00000000">
      <w:pPr>
        <w:spacing w:line="480" w:lineRule="auto"/>
        <w:rPr>
          <w:b/>
        </w:rPr>
      </w:pPr>
      <w:r>
        <w:rPr>
          <w:b/>
        </w:rPr>
        <w:t>Conclusions</w:t>
      </w:r>
    </w:p>
    <w:p w14:paraId="42B532AE" w14:textId="77777777" w:rsidR="00D561E8" w:rsidRDefault="00000000">
      <w:pPr>
        <w:spacing w:line="480" w:lineRule="auto"/>
      </w:pPr>
      <w:r>
        <w:t>While screening promoters and UTRs can uncover additional diagnoses for individuals with rare disease, including these regions in diagnostic pipelines is not likely to dramatically increase diagnostic yield. Nethertheless, we provide a framework to aid identification of these variants.</w:t>
      </w:r>
    </w:p>
    <w:p w14:paraId="3C66224A" w14:textId="77777777" w:rsidR="00D561E8" w:rsidRDefault="00D561E8">
      <w:pPr>
        <w:spacing w:line="480" w:lineRule="auto"/>
      </w:pPr>
    </w:p>
    <w:p w14:paraId="353E4BFF" w14:textId="77777777" w:rsidR="00D561E8" w:rsidRDefault="00000000">
      <w:pPr>
        <w:shd w:val="clear" w:color="auto" w:fill="FFFFFF"/>
        <w:spacing w:line="480" w:lineRule="auto"/>
        <w:rPr>
          <w:b/>
        </w:rPr>
      </w:pPr>
      <w:r>
        <w:rPr>
          <w:b/>
        </w:rPr>
        <w:t>Keywords</w:t>
      </w:r>
    </w:p>
    <w:p w14:paraId="31F64AAE" w14:textId="77777777" w:rsidR="00D561E8" w:rsidRDefault="00000000">
      <w:pPr>
        <w:shd w:val="clear" w:color="auto" w:fill="FFFFFF"/>
        <w:spacing w:after="400" w:line="480" w:lineRule="auto"/>
        <w:rPr>
          <w:b/>
        </w:rPr>
      </w:pPr>
      <w:r>
        <w:t>Untranslated regions, promoters, splicing, rare disease, non-coding, regulatory regions</w:t>
      </w:r>
    </w:p>
    <w:p w14:paraId="509BD545" w14:textId="77777777" w:rsidR="00D561E8" w:rsidRDefault="00000000">
      <w:pPr>
        <w:shd w:val="clear" w:color="auto" w:fill="FFFFFF"/>
        <w:spacing w:after="180" w:line="480" w:lineRule="auto"/>
        <w:rPr>
          <w:sz w:val="28"/>
          <w:szCs w:val="28"/>
        </w:rPr>
      </w:pPr>
      <w:r>
        <w:rPr>
          <w:b/>
          <w:sz w:val="28"/>
          <w:szCs w:val="28"/>
        </w:rPr>
        <w:t>Background</w:t>
      </w:r>
    </w:p>
    <w:p w14:paraId="05518CAA" w14:textId="77777777" w:rsidR="00D561E8" w:rsidRDefault="00000000">
      <w:pPr>
        <w:spacing w:line="480" w:lineRule="auto"/>
      </w:pPr>
      <w:r>
        <w:t xml:space="preserve">Current approaches to identify a genetic diagnosis for individuals with rare disease are heavily focused on protein-coding regions of the genome. Even where genome sequencing data are available, analysis methods often exclude variants that are not in, or immediately adjacent to protein-coding exons. This is in large part due to the difficulty in interpreting variants outside of these regions, but also due to the increased burden of variant review in a clinical context. Studies that have investigated a wider genomic context have successfully </w:t>
      </w:r>
      <w:r>
        <w:lastRenderedPageBreak/>
        <w:t>identified variants in non-coding regions that cause penetrant Mendelian disease</w:t>
      </w:r>
      <w:hyperlink r:id="rId7">
        <w:r>
          <w:rPr>
            <w:color w:val="000000"/>
            <w:vertAlign w:val="superscript"/>
          </w:rPr>
          <w:t>1–3</w:t>
        </w:r>
      </w:hyperlink>
      <w:r>
        <w:t>. The majority of these studies have, however, focused on small numbers of individuals, specific phenotypes, and/or limited genetic regions. Consequently, we still do not know what proportion of currently genetically undiagnosed individuals with rare disease have disease-causing variants in non-coding regions.</w:t>
      </w:r>
    </w:p>
    <w:p w14:paraId="248E0C02" w14:textId="77777777" w:rsidR="00D561E8" w:rsidRDefault="00D561E8">
      <w:pPr>
        <w:spacing w:line="480" w:lineRule="auto"/>
      </w:pPr>
    </w:p>
    <w:p w14:paraId="786F6FAE" w14:textId="77777777" w:rsidR="00D561E8" w:rsidRDefault="00000000">
      <w:pPr>
        <w:spacing w:line="480" w:lineRule="auto"/>
      </w:pPr>
      <w:r>
        <w:t>In this work, we focus on promoters and untranslated regions (UTRs) given that these regions can be confidently linked to known disease genes, and variants within them can significantly disrupt normal gene regulation and have previously been implicated in rare disease</w:t>
      </w:r>
      <w:hyperlink r:id="rId8">
        <w:r>
          <w:rPr>
            <w:color w:val="000000"/>
            <w:vertAlign w:val="superscript"/>
          </w:rPr>
          <w:t>4,5</w:t>
        </w:r>
      </w:hyperlink>
      <w:r>
        <w:t>. In short, they provide the best opportunity to expand clinical screening into non-coding regions.</w:t>
      </w:r>
    </w:p>
    <w:p w14:paraId="661C66F0" w14:textId="77777777" w:rsidR="00D561E8" w:rsidRDefault="00D561E8">
      <w:pPr>
        <w:spacing w:line="480" w:lineRule="auto"/>
      </w:pPr>
    </w:p>
    <w:p w14:paraId="6AA5E16C" w14:textId="77777777" w:rsidR="00D561E8" w:rsidRDefault="00000000">
      <w:pPr>
        <w:spacing w:line="480" w:lineRule="auto"/>
      </w:pPr>
      <w:r>
        <w:t>UTRs are regulatory sequences encoded immediately up- and down-stream of the coding sequence (CDS) of protein-coding genes. These regions have important roles in regulating RNA stability, RNA localisation, and the rate of CDS translation</w:t>
      </w:r>
      <w:hyperlink r:id="rId9">
        <w:r>
          <w:rPr>
            <w:color w:val="000000"/>
            <w:vertAlign w:val="superscript"/>
          </w:rPr>
          <w:t>6,7</w:t>
        </w:r>
      </w:hyperlink>
      <w:r>
        <w:t>. Variants in UTRs that disrupt these regulatory processes have been shown to cause rare disease through a variety of mechanisms</w:t>
      </w:r>
      <w:hyperlink r:id="rId10">
        <w:r>
          <w:rPr>
            <w:color w:val="000000"/>
            <w:vertAlign w:val="superscript"/>
          </w:rPr>
          <w:t>8</w:t>
        </w:r>
      </w:hyperlink>
      <w:r>
        <w:t xml:space="preserve">. For example, 5’UTR variants that disrupt translation by creating upstream start codons (uAUGs) or perturbing upstream open reading frames (uORFs) cause a range of phenotypes including in genes causing severe developmental disorders (e.g. </w:t>
      </w:r>
      <w:r>
        <w:rPr>
          <w:i/>
        </w:rPr>
        <w:t>NF1</w:t>
      </w:r>
      <w:hyperlink r:id="rId11">
        <w:r>
          <w:rPr>
            <w:i/>
            <w:color w:val="000000"/>
            <w:vertAlign w:val="superscript"/>
          </w:rPr>
          <w:t>9</w:t>
        </w:r>
      </w:hyperlink>
      <w:r>
        <w:t xml:space="preserve"> and</w:t>
      </w:r>
      <w:r>
        <w:rPr>
          <w:i/>
        </w:rPr>
        <w:t xml:space="preserve"> MEF2C</w:t>
      </w:r>
      <w:hyperlink r:id="rId12">
        <w:r>
          <w:rPr>
            <w:i/>
            <w:color w:val="000000"/>
            <w:vertAlign w:val="superscript"/>
          </w:rPr>
          <w:t>2</w:t>
        </w:r>
      </w:hyperlink>
      <w:r>
        <w:t xml:space="preserve">, whilst variants directly upstream of the CDS in the </w:t>
      </w:r>
      <w:r>
        <w:rPr>
          <w:i/>
        </w:rPr>
        <w:t>GATA4</w:t>
      </w:r>
      <w:r>
        <w:t xml:space="preserve"> gene, that alter the ‘Kozak’ consensus (i.e., the AUG start codon and surrounding motif) have been linked to atrial septal defect</w:t>
      </w:r>
      <w:hyperlink r:id="rId13">
        <w:r>
          <w:rPr>
            <w:color w:val="000000"/>
            <w:vertAlign w:val="superscript"/>
          </w:rPr>
          <w:t>10</w:t>
        </w:r>
      </w:hyperlink>
      <w:r>
        <w:t xml:space="preserve">. Variants resulting in aberrant splicing of the </w:t>
      </w:r>
      <w:r>
        <w:rPr>
          <w:i/>
        </w:rPr>
        <w:t>PAX6</w:t>
      </w:r>
      <w:r>
        <w:t xml:space="preserve"> 5’UTR are a frequent cause of aniridia</w:t>
      </w:r>
      <w:hyperlink r:id="rId14">
        <w:r>
          <w:rPr>
            <w:color w:val="000000"/>
            <w:vertAlign w:val="superscript"/>
          </w:rPr>
          <w:t>11</w:t>
        </w:r>
      </w:hyperlink>
      <w:r>
        <w:t>. 3’UTR variants that disrupt polyadenylation signals or RNA Binding protein (RBP) binding sites in the α and β-globin genes have been found in individuals with α and β-thalassemia</w:t>
      </w:r>
      <w:hyperlink r:id="rId15">
        <w:r>
          <w:rPr>
            <w:color w:val="000000"/>
            <w:vertAlign w:val="superscript"/>
          </w:rPr>
          <w:t>12</w:t>
        </w:r>
      </w:hyperlink>
      <w:r>
        <w:t>. A comprehensive search for 5’UTR variants in retinal disease patients uncovered variants that cause disease through a variety of mechanisms</w:t>
      </w:r>
      <w:hyperlink r:id="rId16">
        <w:r>
          <w:rPr>
            <w:color w:val="000000"/>
            <w:vertAlign w:val="superscript"/>
          </w:rPr>
          <w:t>13</w:t>
        </w:r>
      </w:hyperlink>
      <w:r>
        <w:t>.</w:t>
      </w:r>
    </w:p>
    <w:p w14:paraId="78C5DD13" w14:textId="77777777" w:rsidR="00D561E8" w:rsidRDefault="00D561E8">
      <w:pPr>
        <w:spacing w:line="480" w:lineRule="auto"/>
      </w:pPr>
    </w:p>
    <w:p w14:paraId="59BF10DF" w14:textId="77777777" w:rsidR="00D561E8" w:rsidRDefault="00000000">
      <w:pPr>
        <w:spacing w:line="480" w:lineRule="auto"/>
      </w:pPr>
      <w:r>
        <w:lastRenderedPageBreak/>
        <w:t xml:space="preserve">Proximal promoters comprise an open region of chromatin spanning both up- and down-stream of the transcription start site (TSS) to which transcription factors and polymerase bind to initiate transcription. Variants within promoter regions that disrupt transcription by altering transcription factor binding, or by changing methylation patterns have been identified as being causal of a number of diseases, including </w:t>
      </w:r>
      <w:r>
        <w:rPr>
          <w:i/>
        </w:rPr>
        <w:t>TERT</w:t>
      </w:r>
      <w:r>
        <w:t xml:space="preserve"> promoter variants in idiopathic pulmonary fibrosis</w:t>
      </w:r>
      <w:hyperlink r:id="rId17">
        <w:r>
          <w:rPr>
            <w:color w:val="000000"/>
            <w:vertAlign w:val="superscript"/>
          </w:rPr>
          <w:t>14</w:t>
        </w:r>
      </w:hyperlink>
      <w:r>
        <w:t xml:space="preserve"> and </w:t>
      </w:r>
      <w:r>
        <w:rPr>
          <w:i/>
        </w:rPr>
        <w:t>CAMK1D</w:t>
      </w:r>
      <w:r>
        <w:t xml:space="preserve"> promoter variants in type 2 diabetes</w:t>
      </w:r>
      <w:hyperlink r:id="rId18">
        <w:r>
          <w:rPr>
            <w:color w:val="000000"/>
            <w:vertAlign w:val="superscript"/>
          </w:rPr>
          <w:t>15</w:t>
        </w:r>
      </w:hyperlink>
      <w:r>
        <w:t>. Whilst there are many documented mechanisms through which UTR and promoter variants cause rare phenotypes, our knowledge is likely far from complete. It is also unclear to what extent increasing our understanding of, and regularly including these regions in clinical testing pipelines, will uncover novel diagnoses for currently undiagnosed individuals with rare disorders.</w:t>
      </w:r>
    </w:p>
    <w:p w14:paraId="11F7154E" w14:textId="77777777" w:rsidR="00D561E8" w:rsidRDefault="00D561E8">
      <w:pPr>
        <w:spacing w:line="480" w:lineRule="auto"/>
      </w:pPr>
    </w:p>
    <w:p w14:paraId="4EF90017" w14:textId="77777777" w:rsidR="00D561E8" w:rsidRDefault="00000000">
      <w:pPr>
        <w:spacing w:line="480" w:lineRule="auto"/>
      </w:pPr>
      <w:r>
        <w:t xml:space="preserve">Here, we used the Genomics England 100,000 Genomes Project (GEL) dataset to systematically identify and annotate variants in promoters, UTRs, and UTR introns in 8,040 undiagnosed trios. We developed a reproducible annotation approach with high specificity that can be used in clinical settings without dramatically increasing the number of candidate variants for manual review. After employing strict region-based filters we identified ten likely diagnostic variants, nine </w:t>
      </w:r>
      <w:r>
        <w:rPr>
          <w:i/>
        </w:rPr>
        <w:t xml:space="preserve">de novo </w:t>
      </w:r>
      <w:r>
        <w:t>and one additional overlapping variant. Comparing individuals with rare disorders to matched controls we did not identify a significant burden of rare potentially disruptive variants collectively across any region type or variant annotation, although this may be due to limited statistical power. Our results highlight how promoter and UTR regions can be effectively searched for new diagnoses in rare disease patients and we outline a framework for identification and annotation of such variants in large-scale cohorts.</w:t>
      </w:r>
    </w:p>
    <w:p w14:paraId="41855962" w14:textId="77777777" w:rsidR="00D561E8" w:rsidRDefault="00D561E8">
      <w:pPr>
        <w:spacing w:line="480" w:lineRule="auto"/>
      </w:pPr>
    </w:p>
    <w:p w14:paraId="33C2D513" w14:textId="77777777" w:rsidR="00D561E8" w:rsidRDefault="00000000">
      <w:pPr>
        <w:spacing w:line="480" w:lineRule="auto"/>
      </w:pPr>
      <w:r>
        <w:rPr>
          <w:b/>
          <w:sz w:val="28"/>
          <w:szCs w:val="28"/>
        </w:rPr>
        <w:t>Methods</w:t>
      </w:r>
      <w:r>
        <w:t xml:space="preserve"> </w:t>
      </w:r>
    </w:p>
    <w:p w14:paraId="547516E3" w14:textId="77777777" w:rsidR="00D561E8" w:rsidRDefault="00D561E8">
      <w:pPr>
        <w:spacing w:line="480" w:lineRule="auto"/>
      </w:pPr>
    </w:p>
    <w:p w14:paraId="2AFBEC44" w14:textId="77777777" w:rsidR="00D561E8" w:rsidRDefault="00000000">
      <w:pPr>
        <w:spacing w:line="480" w:lineRule="auto"/>
        <w:rPr>
          <w:b/>
        </w:rPr>
      </w:pPr>
      <w:r>
        <w:rPr>
          <w:b/>
        </w:rPr>
        <w:t>Identifying known disease genes using PanelApp</w:t>
      </w:r>
    </w:p>
    <w:p w14:paraId="1DA3B277" w14:textId="77777777" w:rsidR="00D561E8" w:rsidRDefault="00D561E8">
      <w:pPr>
        <w:spacing w:line="480" w:lineRule="auto"/>
        <w:rPr>
          <w:b/>
        </w:rPr>
      </w:pPr>
    </w:p>
    <w:p w14:paraId="2C0236D4" w14:textId="77777777" w:rsidR="00D561E8" w:rsidRDefault="00000000">
      <w:pPr>
        <w:spacing w:line="480" w:lineRule="auto"/>
      </w:pPr>
      <w:r>
        <w:t>PanelApp gene panels were obtained from panelapp.genomicsengland.co.uk using lynx v2.8.9</w:t>
      </w:r>
      <w:hyperlink r:id="rId19">
        <w:r>
          <w:rPr>
            <w:color w:val="000000"/>
            <w:vertAlign w:val="superscript"/>
          </w:rPr>
          <w:t>16</w:t>
        </w:r>
      </w:hyperlink>
      <w:r>
        <w:t xml:space="preserve">, on 12/09/2022. These were filtered to include only the 6,504 genes where the strength of association for one or more gene panel was “green”, corresponding to those with a confident link to the phenotype. </w:t>
      </w:r>
    </w:p>
    <w:p w14:paraId="6BFE344F" w14:textId="77777777" w:rsidR="00D561E8" w:rsidRDefault="00D561E8">
      <w:pPr>
        <w:spacing w:line="480" w:lineRule="auto"/>
      </w:pPr>
    </w:p>
    <w:p w14:paraId="1229BDFA" w14:textId="77777777" w:rsidR="00D561E8" w:rsidRDefault="00000000">
      <w:pPr>
        <w:spacing w:line="480" w:lineRule="auto"/>
      </w:pPr>
      <w:r>
        <w:t xml:space="preserve">We further filtered to only include genes known to cause a disorder with a dominant mode of inheritance (MOI), inclusive of any genes associated with both dominant and recessive phenotypes. Finally, we selected only genes with transcripts in the MANE v1.0 dataset </w:t>
      </w:r>
      <w:hyperlink r:id="rId20">
        <w:r>
          <w:rPr>
            <w:color w:val="000000"/>
            <w:vertAlign w:val="superscript"/>
          </w:rPr>
          <w:t>17</w:t>
        </w:r>
      </w:hyperlink>
      <w:r>
        <w:t>. In total we included 1,536 genes.</w:t>
      </w:r>
    </w:p>
    <w:p w14:paraId="6669DC49" w14:textId="77777777" w:rsidR="00D561E8" w:rsidRDefault="00D561E8">
      <w:pPr>
        <w:spacing w:line="480" w:lineRule="auto"/>
      </w:pPr>
    </w:p>
    <w:p w14:paraId="0634CCC4" w14:textId="77777777" w:rsidR="00D561E8" w:rsidRDefault="00000000">
      <w:pPr>
        <w:spacing w:line="480" w:lineRule="auto"/>
        <w:rPr>
          <w:b/>
        </w:rPr>
      </w:pPr>
      <w:r>
        <w:rPr>
          <w:b/>
        </w:rPr>
        <w:t>Annotating non-coding regions of interest</w:t>
      </w:r>
    </w:p>
    <w:p w14:paraId="32A0326D" w14:textId="77777777" w:rsidR="00D561E8" w:rsidRDefault="00D561E8">
      <w:pPr>
        <w:spacing w:line="480" w:lineRule="auto"/>
        <w:rPr>
          <w:b/>
        </w:rPr>
      </w:pPr>
    </w:p>
    <w:p w14:paraId="46BB546B" w14:textId="77777777" w:rsidR="00D561E8" w:rsidRDefault="00000000">
      <w:pPr>
        <w:spacing w:line="480" w:lineRule="auto"/>
      </w:pPr>
      <w:r>
        <w:t>Transcripts were defined using MANE v1.0, inclusive of 19,062 MANE ‘select’ and 58 ‘plus clinical’ transcripts</w:t>
      </w:r>
      <w:hyperlink r:id="rId21">
        <w:r>
          <w:rPr>
            <w:color w:val="000000"/>
            <w:vertAlign w:val="superscript"/>
          </w:rPr>
          <w:t>17</w:t>
        </w:r>
      </w:hyperlink>
      <w:r>
        <w:t xml:space="preserve">. 1,567 transcripts corresponded to the 1,536 known disease genes identified above. </w:t>
      </w:r>
    </w:p>
    <w:p w14:paraId="1BA25807" w14:textId="77777777" w:rsidR="00D561E8" w:rsidRDefault="00D561E8">
      <w:pPr>
        <w:spacing w:line="480" w:lineRule="auto"/>
      </w:pPr>
    </w:p>
    <w:p w14:paraId="3E17BF23" w14:textId="77777777" w:rsidR="00D561E8" w:rsidRDefault="00000000">
      <w:pPr>
        <w:spacing w:line="480" w:lineRule="auto"/>
      </w:pPr>
      <w:r>
        <w:t>UTR exon and intron coordinates were taken directly from the MANE .gff file.</w:t>
      </w:r>
    </w:p>
    <w:p w14:paraId="300C7D34" w14:textId="77777777" w:rsidR="00D561E8" w:rsidRDefault="00D561E8">
      <w:pPr>
        <w:spacing w:line="480" w:lineRule="auto"/>
        <w:rPr>
          <w:i/>
        </w:rPr>
      </w:pPr>
    </w:p>
    <w:p w14:paraId="6A2C0569" w14:textId="77777777" w:rsidR="00D561E8" w:rsidRDefault="00000000">
      <w:pPr>
        <w:spacing w:line="480" w:lineRule="auto"/>
      </w:pPr>
      <w:r>
        <w:t xml:space="preserve">Proximal promoter regions were defined using candidate </w:t>
      </w:r>
      <w:r>
        <w:rPr>
          <w:i/>
        </w:rPr>
        <w:t>cis</w:t>
      </w:r>
      <w:r>
        <w:t xml:space="preserve"> regulatory elements (cCREs) overlapping the TSS of each MANE transcript obtained from ENCODE</w:t>
      </w:r>
      <w:hyperlink r:id="rId22">
        <w:r>
          <w:rPr>
            <w:color w:val="000000"/>
            <w:vertAlign w:val="superscript"/>
          </w:rPr>
          <w:t>18</w:t>
        </w:r>
      </w:hyperlink>
      <w:r>
        <w:rPr>
          <w:color w:val="1F1F1F"/>
          <w:highlight w:val="white"/>
        </w:rPr>
        <w:t xml:space="preserve"> Specifically, these incorporate chromatin modification and DNA accessibility data across 706 human biosamples spanning 369 tissues</w:t>
      </w:r>
      <w:r>
        <w:t xml:space="preserve">. Accurate promoter definition is hampered by their tissue specificity. In tissues where a promoter is inactive, it is often marked by a minimal nucleosome free region, but this region may be expanded when the promoter is active. To account for this, as well as promoters that are not annotated at all in the ENCODE dataset, we calculated the average size of all ‘promoter-like’ cCREs that overlap with TSS of MANE transcripts. We calculated the 25th and 75th centiles of the distribution of distances these </w:t>
      </w:r>
      <w:r>
        <w:lastRenderedPageBreak/>
        <w:t xml:space="preserve">cCREs extend up- (25%=181bp; 75%=266bp) and down-stream (25%=67bp; 75%=139bp) of the TSS (Additional file 2:Fig S1). The 25th centiles (-181bp to +67bp from TSS) and 75th centiles (-266bp to +139bp) were used to define a ‘minimal’ and ‘maximal’ promoter region respectively. </w:t>
      </w:r>
    </w:p>
    <w:p w14:paraId="35D87EF6" w14:textId="77777777" w:rsidR="00D561E8" w:rsidRDefault="00D561E8">
      <w:pPr>
        <w:spacing w:line="480" w:lineRule="auto"/>
      </w:pPr>
    </w:p>
    <w:p w14:paraId="4D8B79D5" w14:textId="77777777" w:rsidR="00D561E8" w:rsidRDefault="00000000">
      <w:pPr>
        <w:spacing w:line="480" w:lineRule="auto"/>
      </w:pPr>
      <w:r>
        <w:t>For transcripts with a cCRE that overlaps the TSS:</w:t>
      </w:r>
    </w:p>
    <w:p w14:paraId="7ACDD1BE" w14:textId="77777777" w:rsidR="00D561E8" w:rsidRDefault="00000000">
      <w:pPr>
        <w:numPr>
          <w:ilvl w:val="0"/>
          <w:numId w:val="3"/>
        </w:numPr>
        <w:spacing w:line="480" w:lineRule="auto"/>
      </w:pPr>
      <w:r>
        <w:rPr>
          <w:rFonts w:ascii="Arial Unicode MS" w:eastAsia="Arial Unicode MS" w:hAnsi="Arial Unicode MS" w:cs="Arial Unicode MS"/>
        </w:rPr>
        <w:t>If the cCRE extends ≥ 181bp upstream and ≥ 67bp downstream of the TSS (i.e. at least the minimal 25th centile definition) the exact region defined by the cCRE is used (</w:t>
      </w:r>
      <w:r>
        <w:t>Additional file 2:Fig S1d; n=7,368).</w:t>
      </w:r>
    </w:p>
    <w:p w14:paraId="44F45F68" w14:textId="77777777" w:rsidR="00D561E8" w:rsidRDefault="00000000">
      <w:pPr>
        <w:numPr>
          <w:ilvl w:val="0"/>
          <w:numId w:val="3"/>
        </w:numPr>
        <w:spacing w:line="480" w:lineRule="auto"/>
      </w:pPr>
      <w:r>
        <w:t>If the cCRE falls short in either (or both) direction(s), it is extended to reach the 25th centile distance in that/those direction(s) (Additional file 2:Fig S1e; extended upstream n=2,953; extended downstream n=2,918, extended in both directions n=464).</w:t>
      </w:r>
    </w:p>
    <w:p w14:paraId="6DFCFC82" w14:textId="77777777" w:rsidR="00D561E8" w:rsidRDefault="00D561E8">
      <w:pPr>
        <w:spacing w:line="480" w:lineRule="auto"/>
      </w:pPr>
    </w:p>
    <w:p w14:paraId="1D6FFE5D" w14:textId="77777777" w:rsidR="00D561E8" w:rsidRDefault="00000000">
      <w:pPr>
        <w:spacing w:line="480" w:lineRule="auto"/>
      </w:pPr>
      <w:r>
        <w:t xml:space="preserve">For transcripts with no TSS overlapping cCRE (n=5,417), the 75th centiles are used to define a promoter region that stretches 266bp up- and 139bp down-stream of the TSS. </w:t>
      </w:r>
    </w:p>
    <w:p w14:paraId="6C7E086E" w14:textId="77777777" w:rsidR="00D561E8" w:rsidRDefault="00D561E8">
      <w:pPr>
        <w:spacing w:line="480" w:lineRule="auto"/>
      </w:pPr>
    </w:p>
    <w:p w14:paraId="3A164B36" w14:textId="77777777" w:rsidR="00D561E8" w:rsidRDefault="00000000">
      <w:pPr>
        <w:spacing w:line="480" w:lineRule="auto"/>
      </w:pPr>
      <w:r>
        <w:t>We used bedtools</w:t>
      </w:r>
      <w:hyperlink r:id="rId23">
        <w:r>
          <w:rPr>
            <w:color w:val="000000"/>
            <w:vertAlign w:val="superscript"/>
          </w:rPr>
          <w:t>19</w:t>
        </w:r>
      </w:hyperlink>
      <w:r>
        <w:t xml:space="preserve"> to exclude any positions from our defined UTR, UTR intron, and promoter regions that intersect with a CDS position in any MANE transcript. In total, we defined 20,417,669 promoter and UTR bases across the 1,567 green PanelApp genes, for an average of 13,030 bases per transcript (min=264, max=791,387), and between 17 and 18,786 bases per region (Additional file 1:Table S1). The final set of promoter and UTR regions defined across all green PanelApp genes is in Additional file 2:Table S2.</w:t>
      </w:r>
    </w:p>
    <w:p w14:paraId="04503C26" w14:textId="77777777" w:rsidR="00D561E8" w:rsidRDefault="00D561E8">
      <w:pPr>
        <w:spacing w:line="480" w:lineRule="auto"/>
      </w:pPr>
    </w:p>
    <w:p w14:paraId="15203601" w14:textId="77777777" w:rsidR="00D561E8" w:rsidRDefault="00000000">
      <w:pPr>
        <w:spacing w:line="480" w:lineRule="auto"/>
        <w:rPr>
          <w:b/>
        </w:rPr>
      </w:pPr>
      <w:r>
        <w:rPr>
          <w:b/>
        </w:rPr>
        <w:t>Cohort Details</w:t>
      </w:r>
    </w:p>
    <w:p w14:paraId="0FC480AF" w14:textId="77777777" w:rsidR="00D561E8" w:rsidRDefault="00000000">
      <w:pPr>
        <w:spacing w:line="480" w:lineRule="auto"/>
        <w:rPr>
          <w:sz w:val="24"/>
          <w:szCs w:val="24"/>
        </w:rPr>
      </w:pPr>
      <w:r>
        <w:rPr>
          <w:sz w:val="24"/>
          <w:szCs w:val="24"/>
        </w:rPr>
        <w:lastRenderedPageBreak/>
        <w:t>We accessed genomic and phenotypic data from GEL v15</w:t>
      </w:r>
      <w:hyperlink r:id="rId24">
        <w:r>
          <w:rPr>
            <w:color w:val="000000"/>
            <w:sz w:val="24"/>
            <w:szCs w:val="24"/>
            <w:vertAlign w:val="superscript"/>
          </w:rPr>
          <w:t>20</w:t>
        </w:r>
      </w:hyperlink>
      <w:r>
        <w:rPr>
          <w:sz w:val="24"/>
          <w:szCs w:val="24"/>
        </w:rPr>
        <w:t xml:space="preserve"> part of the National Genomics Research Library. The data used in this study were collected from 75,856 rare disease participants recruited via participating genomics ‘hubs’ within the United Kingdom’s National health service. The </w:t>
      </w:r>
      <w:r>
        <w:rPr>
          <w:i/>
          <w:sz w:val="24"/>
          <w:szCs w:val="24"/>
        </w:rPr>
        <w:t>de novo</w:t>
      </w:r>
      <w:r>
        <w:rPr>
          <w:sz w:val="24"/>
          <w:szCs w:val="24"/>
        </w:rPr>
        <w:t xml:space="preserve"> variant data</w:t>
      </w:r>
      <w:hyperlink r:id="rId25">
        <w:r>
          <w:rPr>
            <w:color w:val="000000"/>
            <w:sz w:val="24"/>
            <w:szCs w:val="24"/>
            <w:vertAlign w:val="superscript"/>
          </w:rPr>
          <w:t>21</w:t>
        </w:r>
      </w:hyperlink>
      <w:r>
        <w:rPr>
          <w:sz w:val="24"/>
          <w:szCs w:val="24"/>
        </w:rPr>
        <w:t xml:space="preserve"> was derived from a set of 12,572 families (13,913 trios) from within this larger cohort. The aggregated variant data</w:t>
      </w:r>
      <w:hyperlink r:id="rId26">
        <w:r>
          <w:rPr>
            <w:color w:val="000000"/>
            <w:sz w:val="24"/>
            <w:szCs w:val="24"/>
            <w:vertAlign w:val="superscript"/>
          </w:rPr>
          <w:t>22</w:t>
        </w:r>
      </w:hyperlink>
      <w:r>
        <w:rPr>
          <w:sz w:val="24"/>
          <w:szCs w:val="24"/>
        </w:rPr>
        <w:t xml:space="preserve"> data set comprises the combined genomic variant call data from a subset of </w:t>
      </w:r>
      <w:r>
        <w:rPr>
          <w:sz w:val="24"/>
          <w:szCs w:val="24"/>
          <w:highlight w:val="white"/>
        </w:rPr>
        <w:t xml:space="preserve">78,143 participants </w:t>
      </w:r>
      <w:r>
        <w:rPr>
          <w:sz w:val="24"/>
          <w:szCs w:val="24"/>
        </w:rPr>
        <w:t>within the main cohort from GEL v9</w:t>
      </w:r>
      <w:hyperlink r:id="rId27">
        <w:r>
          <w:rPr>
            <w:color w:val="000000"/>
            <w:sz w:val="24"/>
            <w:szCs w:val="24"/>
            <w:vertAlign w:val="superscript"/>
          </w:rPr>
          <w:t>23</w:t>
        </w:r>
      </w:hyperlink>
      <w:r>
        <w:rPr>
          <w:sz w:val="24"/>
          <w:szCs w:val="24"/>
        </w:rPr>
        <w:t>.</w:t>
      </w:r>
    </w:p>
    <w:p w14:paraId="00897585" w14:textId="77777777" w:rsidR="00D561E8" w:rsidRDefault="00000000">
      <w:pPr>
        <w:spacing w:line="480" w:lineRule="auto"/>
        <w:rPr>
          <w:sz w:val="24"/>
          <w:szCs w:val="24"/>
          <w:highlight w:val="white"/>
        </w:rPr>
      </w:pPr>
      <w:r>
        <w:rPr>
          <w:sz w:val="24"/>
          <w:szCs w:val="24"/>
          <w:highlight w:val="white"/>
        </w:rPr>
        <w:t>Analyses within the ‘</w:t>
      </w:r>
      <w:r>
        <w:rPr>
          <w:i/>
          <w:sz w:val="24"/>
          <w:szCs w:val="24"/>
          <w:highlight w:val="white"/>
        </w:rPr>
        <w:t>De Novo</w:t>
      </w:r>
      <w:r>
        <w:rPr>
          <w:sz w:val="24"/>
          <w:szCs w:val="24"/>
          <w:highlight w:val="white"/>
        </w:rPr>
        <w:t xml:space="preserve">’ section of this manuscript were performed on samples from the 13,913 trios, burden testing was performed using samples from the 78,143 participants included in the aggregated variant data. </w:t>
      </w:r>
    </w:p>
    <w:p w14:paraId="346E2EC8" w14:textId="77777777" w:rsidR="00D561E8" w:rsidRDefault="00D561E8">
      <w:pPr>
        <w:rPr>
          <w:sz w:val="24"/>
          <w:szCs w:val="24"/>
        </w:rPr>
      </w:pPr>
    </w:p>
    <w:p w14:paraId="020582BB" w14:textId="77777777" w:rsidR="00D561E8" w:rsidRDefault="00D561E8">
      <w:pPr>
        <w:rPr>
          <w:sz w:val="24"/>
          <w:szCs w:val="24"/>
        </w:rPr>
      </w:pPr>
    </w:p>
    <w:p w14:paraId="2874F745" w14:textId="77777777" w:rsidR="00D561E8" w:rsidRDefault="00000000">
      <w:pPr>
        <w:spacing w:line="480" w:lineRule="auto"/>
        <w:rPr>
          <w:b/>
        </w:rPr>
      </w:pPr>
      <w:r>
        <w:rPr>
          <w:b/>
        </w:rPr>
        <w:t xml:space="preserve">Identifying and filtering </w:t>
      </w:r>
      <w:r>
        <w:rPr>
          <w:b/>
          <w:i/>
        </w:rPr>
        <w:t>de novo</w:t>
      </w:r>
      <w:r>
        <w:rPr>
          <w:b/>
        </w:rPr>
        <w:t xml:space="preserve"> variants</w:t>
      </w:r>
    </w:p>
    <w:p w14:paraId="2A3EDE29" w14:textId="77777777" w:rsidR="00D561E8" w:rsidRDefault="00D561E8">
      <w:pPr>
        <w:spacing w:line="480" w:lineRule="auto"/>
      </w:pPr>
    </w:p>
    <w:p w14:paraId="48DD93B0" w14:textId="77777777" w:rsidR="00D561E8" w:rsidRDefault="00000000">
      <w:pPr>
        <w:spacing w:line="480" w:lineRule="auto"/>
      </w:pPr>
      <w:r>
        <w:t xml:space="preserve">We used a dataset of previously identified and filtered high confidence </w:t>
      </w:r>
      <w:r>
        <w:rPr>
          <w:i/>
        </w:rPr>
        <w:t>de novo</w:t>
      </w:r>
      <w:r>
        <w:t xml:space="preserve"> variants (DNVs) within GEL</w:t>
      </w:r>
      <w:hyperlink r:id="rId28">
        <w:r>
          <w:rPr>
            <w:color w:val="000000"/>
            <w:vertAlign w:val="superscript"/>
          </w:rPr>
          <w:t>21</w:t>
        </w:r>
      </w:hyperlink>
      <w:r>
        <w:t>, accessed using the GEL RLabKey API</w:t>
      </w:r>
      <w:hyperlink r:id="rId29">
        <w:r>
          <w:rPr>
            <w:color w:val="000000"/>
            <w:vertAlign w:val="superscript"/>
          </w:rPr>
          <w:t>24</w:t>
        </w:r>
      </w:hyperlink>
      <w:r>
        <w:t>. These DNVs were identified from trios for which parentage had been genetically confirmed. We filtered individuals to remove any with subsequently withdrawn consent, and to only include those with a ‘participant type’ of ‘proband’, where neither parent was classified as ‘affected’ or had any</w:t>
      </w:r>
      <w:r>
        <w:rPr>
          <w:i/>
        </w:rPr>
        <w:t xml:space="preserve"> </w:t>
      </w:r>
      <w:r>
        <w:t xml:space="preserve">associated Human Phenotype Ontology (HPO) terms, and for whom variant calls were on the GRCh38 reference genome. Finally, we excluded participants with an identified coding diagnosis (see below). This resulted in a set of 8,040 trio probands (Additional file 2:Fig S2). </w:t>
      </w:r>
    </w:p>
    <w:p w14:paraId="77779F63" w14:textId="77777777" w:rsidR="00D561E8" w:rsidRDefault="00D561E8">
      <w:pPr>
        <w:spacing w:line="480" w:lineRule="auto"/>
      </w:pPr>
    </w:p>
    <w:p w14:paraId="432A9665" w14:textId="77777777" w:rsidR="00D561E8" w:rsidRDefault="00000000">
      <w:pPr>
        <w:spacing w:line="480" w:lineRule="auto"/>
      </w:pPr>
      <w:r>
        <w:t>Variants were filtered to only those that passed the most stringent set of GEL filters</w:t>
      </w:r>
      <w:hyperlink r:id="rId30">
        <w:r>
          <w:rPr>
            <w:color w:val="000000"/>
            <w:vertAlign w:val="superscript"/>
          </w:rPr>
          <w:t>25</w:t>
        </w:r>
      </w:hyperlink>
      <w:r>
        <w:t xml:space="preserve">. We removed variants with allele frequency (AF) </w:t>
      </w:r>
      <w:r>
        <w:rPr>
          <w:rFonts w:ascii="Arial Unicode MS" w:eastAsia="Arial Unicode MS" w:hAnsi="Arial Unicode MS" w:cs="Arial Unicode MS"/>
        </w:rPr>
        <w:t>≥</w:t>
      </w:r>
      <w:r>
        <w:t xml:space="preserve"> 0.00005 or allele count (AC) &gt;=5 in the GEL defined set of 55,603 unrelated individuals or with AF </w:t>
      </w:r>
      <w:r>
        <w:rPr>
          <w:rFonts w:ascii="Arial Unicode MS" w:eastAsia="Arial Unicode MS" w:hAnsi="Arial Unicode MS" w:cs="Arial Unicode MS"/>
        </w:rPr>
        <w:t>≥</w:t>
      </w:r>
      <w:r>
        <w:t xml:space="preserve"> 0.00005 in any of the major </w:t>
      </w:r>
      <w:r>
        <w:lastRenderedPageBreak/>
        <w:t>population groups in gnomAD v3.1.1.</w:t>
      </w:r>
      <w:hyperlink r:id="rId31">
        <w:r>
          <w:rPr>
            <w:color w:val="000000"/>
            <w:vertAlign w:val="superscript"/>
          </w:rPr>
          <w:t>26</w:t>
        </w:r>
      </w:hyperlink>
      <w:r>
        <w:t xml:space="preserve">. We restricted our analyses to DNVs within our defined promoter and UTR regions of PanelApp genes with high confidence phenotypic associations (flagged as ‘green’ genes) for the individual’s phenotype. Of note, 309 probands did not have any assigned green dominant genes. This resulted in a set of 1,311 DNVs, in 1,118 probands. </w:t>
      </w:r>
    </w:p>
    <w:p w14:paraId="53D87D3A" w14:textId="77777777" w:rsidR="00D561E8" w:rsidRDefault="00D561E8">
      <w:pPr>
        <w:spacing w:line="480" w:lineRule="auto"/>
      </w:pPr>
    </w:p>
    <w:p w14:paraId="3349006C" w14:textId="77777777" w:rsidR="00D561E8" w:rsidRDefault="00000000">
      <w:pPr>
        <w:spacing w:line="480" w:lineRule="auto"/>
        <w:rPr>
          <w:b/>
        </w:rPr>
      </w:pPr>
      <w:r>
        <w:rPr>
          <w:b/>
        </w:rPr>
        <w:t>Identifying individuals with existing diagnoses</w:t>
      </w:r>
    </w:p>
    <w:p w14:paraId="12A20DB9" w14:textId="77777777" w:rsidR="00D561E8" w:rsidRDefault="00D561E8">
      <w:pPr>
        <w:spacing w:line="480" w:lineRule="auto"/>
        <w:rPr>
          <w:b/>
          <w:u w:val="single"/>
        </w:rPr>
      </w:pPr>
    </w:p>
    <w:p w14:paraId="6DF5278E" w14:textId="77777777" w:rsidR="00D561E8" w:rsidRDefault="00000000">
      <w:pPr>
        <w:spacing w:line="480" w:lineRule="auto"/>
      </w:pPr>
      <w:r>
        <w:t>A list of all participants for whom a confirmed diagnosis was recorded was obtained from the Genomics England ‘exit questionnaire’ table, identified as those for whom the family case was flagged as “solved”. The proposed disease-causing variant in each case was then cross referenced with MANE V1.0 coding sequence coordinates, with variants mapped onto GRCh38 using the ‘LiftOver’</w:t>
      </w:r>
      <w:hyperlink r:id="rId32">
        <w:r>
          <w:rPr>
            <w:color w:val="000000"/>
            <w:vertAlign w:val="superscript"/>
          </w:rPr>
          <w:t>27</w:t>
        </w:r>
      </w:hyperlink>
      <w:r>
        <w:t xml:space="preserve"> tool where required. Any individual found to have a diagnostic variant in a protein-coding position was excluded from the analysis (n=1,625; 16.8%). Participants with diagnostic variants that fall outside of coding regions were retained as positive controls for use in the later validation of our method. </w:t>
      </w:r>
    </w:p>
    <w:p w14:paraId="70FB5903" w14:textId="77777777" w:rsidR="00D561E8" w:rsidRDefault="00D561E8">
      <w:pPr>
        <w:spacing w:line="480" w:lineRule="auto"/>
      </w:pPr>
    </w:p>
    <w:p w14:paraId="7592AD9D" w14:textId="77777777" w:rsidR="00D561E8" w:rsidRDefault="00000000">
      <w:pPr>
        <w:spacing w:line="480" w:lineRule="auto"/>
        <w:rPr>
          <w:b/>
        </w:rPr>
      </w:pPr>
      <w:r>
        <w:rPr>
          <w:b/>
        </w:rPr>
        <w:t>Region level variant annotations</w:t>
      </w:r>
    </w:p>
    <w:p w14:paraId="171B6509" w14:textId="77777777" w:rsidR="00D561E8" w:rsidRDefault="00D561E8">
      <w:pPr>
        <w:spacing w:line="480" w:lineRule="auto"/>
        <w:rPr>
          <w:b/>
        </w:rPr>
      </w:pPr>
    </w:p>
    <w:p w14:paraId="10FFCDA2" w14:textId="77777777" w:rsidR="00D561E8" w:rsidRDefault="00000000">
      <w:pPr>
        <w:spacing w:line="480" w:lineRule="auto"/>
      </w:pPr>
      <w:r>
        <w:t>Variants were annotated using Ensembl’s variant effect predictor (VEP) v99.1</w:t>
      </w:r>
      <w:hyperlink r:id="rId33">
        <w:r>
          <w:rPr>
            <w:color w:val="000000"/>
            <w:vertAlign w:val="superscript"/>
          </w:rPr>
          <w:t>28</w:t>
        </w:r>
      </w:hyperlink>
      <w:r>
        <w:t xml:space="preserve"> with UTRannotator</w:t>
      </w:r>
      <w:hyperlink r:id="rId34">
        <w:r>
          <w:rPr>
            <w:color w:val="000000"/>
            <w:vertAlign w:val="superscript"/>
          </w:rPr>
          <w:t>29</w:t>
        </w:r>
      </w:hyperlink>
      <w:r>
        <w:t>, SpliceAI v1.3</w:t>
      </w:r>
      <w:hyperlink r:id="rId35">
        <w:r>
          <w:rPr>
            <w:color w:val="000000"/>
            <w:vertAlign w:val="superscript"/>
          </w:rPr>
          <w:t>30</w:t>
        </w:r>
      </w:hyperlink>
      <w:r>
        <w:t>, and CADD v.1.6 plugins</w:t>
      </w:r>
      <w:hyperlink r:id="rId36">
        <w:r>
          <w:rPr>
            <w:color w:val="000000"/>
            <w:vertAlign w:val="superscript"/>
          </w:rPr>
          <w:t>31</w:t>
        </w:r>
      </w:hyperlink>
      <w:r>
        <w:t>, as well as custom annotations for PhyloP 100 way vertebrate conservation scores</w:t>
      </w:r>
      <w:hyperlink r:id="rId37">
        <w:r>
          <w:rPr>
            <w:color w:val="000000"/>
            <w:vertAlign w:val="superscript"/>
          </w:rPr>
          <w:t>32</w:t>
        </w:r>
      </w:hyperlink>
      <w:r>
        <w:t xml:space="preserve">, and ClinVar </w:t>
      </w:r>
      <w:hyperlink r:id="rId38">
        <w:r>
          <w:rPr>
            <w:color w:val="000000"/>
            <w:vertAlign w:val="superscript"/>
          </w:rPr>
          <w:t>33</w:t>
        </w:r>
      </w:hyperlink>
      <w:r>
        <w:t xml:space="preserve"> clinical significance annotations (accessed 2022/08/12). Variants were excluded if they were reported in ClinVar as ‘benign’, ‘likely benign’, ‘benign/likely benign’, or ‘protective’.</w:t>
      </w:r>
    </w:p>
    <w:p w14:paraId="40807EA4" w14:textId="77777777" w:rsidR="00D561E8" w:rsidRDefault="00D561E8">
      <w:pPr>
        <w:spacing w:line="480" w:lineRule="auto"/>
      </w:pPr>
    </w:p>
    <w:p w14:paraId="1C873BA9" w14:textId="77777777" w:rsidR="00D561E8" w:rsidRDefault="00000000">
      <w:pPr>
        <w:spacing w:line="480" w:lineRule="auto"/>
      </w:pPr>
      <w:r>
        <w:t>The datasets and annotations used for variant annotation are listed in Additional file 2:Table S3 and a schematic of the approach used is shown in Figure 1A.</w:t>
      </w:r>
    </w:p>
    <w:p w14:paraId="0B089352" w14:textId="77777777" w:rsidR="00D561E8" w:rsidRDefault="00D561E8">
      <w:pPr>
        <w:spacing w:line="480" w:lineRule="auto"/>
      </w:pPr>
    </w:p>
    <w:p w14:paraId="63086ADB" w14:textId="77777777" w:rsidR="00D561E8" w:rsidRDefault="00000000">
      <w:pPr>
        <w:spacing w:line="480" w:lineRule="auto"/>
      </w:pPr>
      <w:r>
        <w:lastRenderedPageBreak/>
        <w:t>Variants across all regions were annotated with CADD PHRED</w:t>
      </w:r>
      <w:hyperlink r:id="rId39">
        <w:r>
          <w:rPr>
            <w:color w:val="000000"/>
            <w:vertAlign w:val="superscript"/>
          </w:rPr>
          <w:t>31</w:t>
        </w:r>
      </w:hyperlink>
      <w:r>
        <w:t xml:space="preserve"> and PhyloP</w:t>
      </w:r>
      <w:hyperlink r:id="rId40">
        <w:r>
          <w:rPr>
            <w:color w:val="000000"/>
            <w:vertAlign w:val="superscript"/>
          </w:rPr>
          <w:t>32</w:t>
        </w:r>
      </w:hyperlink>
      <w:r>
        <w:t xml:space="preserve"> scores. For variants with multiple recorded scores, the maximum was taken. We note that thresholds for these scores have been calibrated only for missense variants </w:t>
      </w:r>
      <w:hyperlink r:id="rId41">
        <w:r>
          <w:rPr>
            <w:color w:val="000000"/>
            <w:vertAlign w:val="superscript"/>
          </w:rPr>
          <w:t>34</w:t>
        </w:r>
      </w:hyperlink>
      <w:r>
        <w:rPr>
          <w:rFonts w:ascii="Arial Unicode MS" w:eastAsia="Arial Unicode MS" w:hAnsi="Arial Unicode MS" w:cs="Arial Unicode MS"/>
        </w:rPr>
        <w:t xml:space="preserve">, but no alternative exists for non-coding region variants due to the paucity of variants available to benchmark against. Due to this, CADD PHRED and PhyloP scores were not used to prioritise variants in deep intronic regions (&gt;20bp from the end of the exon), to reduce noise. In all other regions, variants with CADD ≥25.3 or PhyloP ≥7.367 were prioritised (‘supporting’ evidence thresholds towards pathogenicity taken from Pejaver </w:t>
      </w:r>
      <w:r>
        <w:rPr>
          <w:i/>
        </w:rPr>
        <w:t>et al</w:t>
      </w:r>
      <w:hyperlink r:id="rId42">
        <w:r>
          <w:rPr>
            <w:i/>
            <w:color w:val="000000"/>
            <w:vertAlign w:val="superscript"/>
          </w:rPr>
          <w:t>34</w:t>
        </w:r>
      </w:hyperlink>
      <w:r>
        <w:t>).</w:t>
      </w:r>
    </w:p>
    <w:p w14:paraId="54F84AFE" w14:textId="77777777" w:rsidR="00D561E8" w:rsidRDefault="00D561E8">
      <w:pPr>
        <w:spacing w:line="480" w:lineRule="auto"/>
      </w:pPr>
    </w:p>
    <w:p w14:paraId="5461E0A4" w14:textId="77777777" w:rsidR="00D561E8" w:rsidRDefault="00000000">
      <w:pPr>
        <w:spacing w:line="480" w:lineRule="auto"/>
        <w:rPr>
          <w:i/>
        </w:rPr>
      </w:pPr>
      <w:r>
        <w:rPr>
          <w:i/>
        </w:rPr>
        <w:t>Annotating variants impacting splicing</w:t>
      </w:r>
    </w:p>
    <w:p w14:paraId="49F3E2C5" w14:textId="77777777" w:rsidR="00D561E8" w:rsidRDefault="00D561E8">
      <w:pPr>
        <w:spacing w:line="480" w:lineRule="auto"/>
      </w:pPr>
    </w:p>
    <w:p w14:paraId="2C4F8EB0" w14:textId="77777777" w:rsidR="00D561E8" w:rsidRDefault="00000000">
      <w:pPr>
        <w:spacing w:line="480" w:lineRule="auto"/>
      </w:pPr>
      <w:r>
        <w:t xml:space="preserve">For SpliceAI scores, we took the highest delta value across all predictions. For the </w:t>
      </w:r>
      <w:r>
        <w:rPr>
          <w:i/>
        </w:rPr>
        <w:t xml:space="preserve">de novo </w:t>
      </w:r>
      <w:r>
        <w:t>variant analysis we set a threshold of 0.2, which is the recommended cutoff for high sensitivity, to avoid excluding potentially diagnostic variants. For the burden testing analysis, we used a cutoff of 0.5 as a trade-off between high sensitivity and high specificity that is more appropriate for burden testing. This is the threshold recommended by the authors of SpliceAI for ‘general purposes’.</w:t>
      </w:r>
      <w:hyperlink r:id="rId43">
        <w:r>
          <w:rPr>
            <w:color w:val="000000"/>
            <w:vertAlign w:val="superscript"/>
          </w:rPr>
          <w:t>30</w:t>
        </w:r>
      </w:hyperlink>
      <w:r>
        <w:t>.</w:t>
      </w:r>
    </w:p>
    <w:p w14:paraId="0321B7BB" w14:textId="77777777" w:rsidR="00D561E8" w:rsidRDefault="00D561E8">
      <w:pPr>
        <w:spacing w:line="480" w:lineRule="auto"/>
      </w:pPr>
    </w:p>
    <w:p w14:paraId="3F92207B" w14:textId="77777777" w:rsidR="00D561E8" w:rsidRDefault="00000000">
      <w:pPr>
        <w:spacing w:line="480" w:lineRule="auto"/>
        <w:rPr>
          <w:i/>
        </w:rPr>
      </w:pPr>
      <w:r>
        <w:rPr>
          <w:i/>
        </w:rPr>
        <w:t>Annotating UTR variants impacting translational regulation, miRNA-binding sites, and RNA-binding protein binding sites</w:t>
      </w:r>
    </w:p>
    <w:p w14:paraId="63F4D438" w14:textId="77777777" w:rsidR="00D561E8" w:rsidRDefault="00D561E8">
      <w:pPr>
        <w:spacing w:line="480" w:lineRule="auto"/>
      </w:pPr>
    </w:p>
    <w:p w14:paraId="427E4867" w14:textId="77777777" w:rsidR="00D561E8" w:rsidRDefault="00000000">
      <w:pPr>
        <w:spacing w:line="480" w:lineRule="auto"/>
      </w:pPr>
      <w:r>
        <w:t>5’UTR variants annotated by UTRannotator</w:t>
      </w:r>
      <w:hyperlink r:id="rId44">
        <w:r>
          <w:rPr>
            <w:color w:val="000000"/>
            <w:vertAlign w:val="superscript"/>
          </w:rPr>
          <w:t>29</w:t>
        </w:r>
      </w:hyperlink>
      <w:r>
        <w:t xml:space="preserve"> were filtered to identify those with the highest likelihood of disrupting translation. To this end, we extracted all variants annotated as:</w:t>
      </w:r>
    </w:p>
    <w:p w14:paraId="01AC6C04" w14:textId="77777777" w:rsidR="00D561E8" w:rsidRDefault="00000000">
      <w:pPr>
        <w:numPr>
          <w:ilvl w:val="0"/>
          <w:numId w:val="4"/>
        </w:numPr>
        <w:spacing w:line="480" w:lineRule="auto"/>
      </w:pPr>
      <w:r>
        <w:lastRenderedPageBreak/>
        <w:t xml:space="preserve">uAUG gain resulting in creation of an overlapping open reading frame (oORF) with a strong or moderate Kozak consensus sequence; </w:t>
      </w:r>
    </w:p>
    <w:p w14:paraId="4EB88BB3" w14:textId="77777777" w:rsidR="00D561E8" w:rsidRDefault="00000000">
      <w:pPr>
        <w:numPr>
          <w:ilvl w:val="0"/>
          <w:numId w:val="4"/>
        </w:numPr>
        <w:spacing w:line="480" w:lineRule="auto"/>
      </w:pPr>
      <w:r>
        <w:t xml:space="preserve">uSTOP loss, with no alternate stop prior to the CDS start (i.e. also resulting in an oORF) and a strong or moderate Kozak consensus sequence; </w:t>
      </w:r>
    </w:p>
    <w:p w14:paraId="18D43F5A" w14:textId="77777777" w:rsidR="00D561E8" w:rsidRDefault="00000000">
      <w:pPr>
        <w:numPr>
          <w:ilvl w:val="0"/>
          <w:numId w:val="4"/>
        </w:numPr>
        <w:spacing w:line="480" w:lineRule="auto"/>
      </w:pPr>
      <w:r>
        <w:t xml:space="preserve">uAUG loss, with strong Kozak consensus sequence; </w:t>
      </w:r>
    </w:p>
    <w:p w14:paraId="218F2AB3" w14:textId="77777777" w:rsidR="00D561E8" w:rsidRDefault="00000000">
      <w:pPr>
        <w:numPr>
          <w:ilvl w:val="0"/>
          <w:numId w:val="4"/>
        </w:numPr>
        <w:spacing w:line="480" w:lineRule="auto"/>
      </w:pPr>
      <w:r>
        <w:t>uFrameshift resulting in an oORF with a strong or moderate Kozak consensus sequence.</w:t>
      </w:r>
    </w:p>
    <w:p w14:paraId="0C65E80D" w14:textId="77777777" w:rsidR="00D561E8" w:rsidRDefault="00D561E8">
      <w:pPr>
        <w:spacing w:line="480" w:lineRule="auto"/>
      </w:pPr>
    </w:p>
    <w:p w14:paraId="3C83F817" w14:textId="77777777" w:rsidR="00D561E8" w:rsidRDefault="00000000">
      <w:pPr>
        <w:spacing w:line="480" w:lineRule="auto"/>
        <w:rPr>
          <w:color w:val="1D1C1D"/>
        </w:rPr>
      </w:pPr>
      <w:r>
        <w:t>Internal ribosome entry site (IRES) data were obtained from IRESbase</w:t>
      </w:r>
      <w:hyperlink r:id="rId45">
        <w:r>
          <w:rPr>
            <w:color w:val="000000"/>
            <w:vertAlign w:val="superscript"/>
          </w:rPr>
          <w:t>35</w:t>
        </w:r>
      </w:hyperlink>
      <w:r>
        <w:t xml:space="preserve"> on 23/08/2022, </w:t>
      </w:r>
      <w:r>
        <w:rPr>
          <w:color w:val="1D1C1D"/>
        </w:rPr>
        <w:t>microRNA (miRNA) binding sites were obtained from the literature</w:t>
      </w:r>
      <w:hyperlink r:id="rId46">
        <w:r>
          <w:rPr>
            <w:color w:val="000000"/>
            <w:vertAlign w:val="superscript"/>
          </w:rPr>
          <w:t>36–39</w:t>
        </w:r>
      </w:hyperlink>
      <w:r>
        <w:t xml:space="preserve">, and downstream open reading frame (dORF) coordinates were obtained from Chothani </w:t>
      </w:r>
      <w:r>
        <w:rPr>
          <w:i/>
        </w:rPr>
        <w:t>et al</w:t>
      </w:r>
      <w:hyperlink r:id="rId47">
        <w:r>
          <w:rPr>
            <w:i/>
            <w:color w:val="000000"/>
            <w:vertAlign w:val="superscript"/>
          </w:rPr>
          <w:t>40</w:t>
        </w:r>
      </w:hyperlink>
      <w:r>
        <w:t xml:space="preserve">. For each, locations were cross referenced with our variant positions, and any intersecting variant flagged. </w:t>
      </w:r>
      <w:r>
        <w:rPr>
          <w:color w:val="1D1C1D"/>
        </w:rPr>
        <w:t xml:space="preserve">Given the large proportion of variants that fall into miRNA and IRES sites, we excluded any variants that also had a CADD </w:t>
      </w:r>
      <w:r>
        <w:rPr>
          <w:rFonts w:ascii="Arial Unicode MS" w:eastAsia="Arial Unicode MS" w:hAnsi="Arial Unicode MS" w:cs="Arial Unicode MS"/>
        </w:rPr>
        <w:t xml:space="preserve">≤ </w:t>
      </w:r>
      <w:r>
        <w:rPr>
          <w:color w:val="1D1C1D"/>
        </w:rPr>
        <w:t xml:space="preserve">22.7 or PhyloP </w:t>
      </w:r>
      <w:r>
        <w:rPr>
          <w:rFonts w:ascii="Arial Unicode MS" w:eastAsia="Arial Unicode MS" w:hAnsi="Arial Unicode MS" w:cs="Arial Unicode MS"/>
        </w:rPr>
        <w:t xml:space="preserve">≤ </w:t>
      </w:r>
      <w:r>
        <w:rPr>
          <w:color w:val="1D1C1D"/>
        </w:rPr>
        <w:t xml:space="preserve">1.879. These scores were suggested by </w:t>
      </w:r>
      <w:r>
        <w:t xml:space="preserve">Pejaver </w:t>
      </w:r>
      <w:r>
        <w:rPr>
          <w:i/>
        </w:rPr>
        <w:t>et al</w:t>
      </w:r>
      <w:r>
        <w:rPr>
          <w:color w:val="1D1C1D"/>
        </w:rPr>
        <w:t xml:space="preserve"> as supporting evidence for a benign classification</w:t>
      </w:r>
      <w:hyperlink r:id="rId48">
        <w:r>
          <w:rPr>
            <w:color w:val="000000"/>
            <w:vertAlign w:val="superscript"/>
          </w:rPr>
          <w:t>34</w:t>
        </w:r>
      </w:hyperlink>
      <w:r>
        <w:rPr>
          <w:color w:val="1D1C1D"/>
        </w:rPr>
        <w:t>.</w:t>
      </w:r>
    </w:p>
    <w:p w14:paraId="2DD15B21" w14:textId="77777777" w:rsidR="00D561E8" w:rsidRDefault="00D561E8">
      <w:pPr>
        <w:spacing w:line="480" w:lineRule="auto"/>
      </w:pPr>
    </w:p>
    <w:p w14:paraId="53A1D37C" w14:textId="77777777" w:rsidR="00D561E8" w:rsidRDefault="00000000">
      <w:pPr>
        <w:spacing w:line="480" w:lineRule="auto"/>
      </w:pPr>
      <w:r>
        <w:t>Kozak consensus sequence variants in the -3 position were identified with reference to MANE v1.0 CDS start positions (i.e. the R of the gccRccAUGG motif). Any variant that changed a reference A or G to a C or T was annotated as potentially Kozak disrupting</w:t>
      </w:r>
      <w:hyperlink r:id="rId49">
        <w:r>
          <w:rPr>
            <w:color w:val="000000"/>
            <w:vertAlign w:val="superscript"/>
          </w:rPr>
          <w:t>41</w:t>
        </w:r>
      </w:hyperlink>
      <w:r>
        <w:t>.</w:t>
      </w:r>
    </w:p>
    <w:p w14:paraId="023B155E" w14:textId="77777777" w:rsidR="00D561E8" w:rsidRDefault="00D561E8">
      <w:pPr>
        <w:spacing w:line="480" w:lineRule="auto"/>
        <w:rPr>
          <w:highlight w:val="yellow"/>
        </w:rPr>
      </w:pPr>
    </w:p>
    <w:p w14:paraId="2FAF580B" w14:textId="77777777" w:rsidR="00D561E8" w:rsidRDefault="00000000">
      <w:pPr>
        <w:spacing w:line="480" w:lineRule="auto"/>
      </w:pPr>
      <w:r>
        <w:t xml:space="preserve">RNA binding protein predictions were generated using the methods detailed in Findlay </w:t>
      </w:r>
      <w:r>
        <w:rPr>
          <w:i/>
        </w:rPr>
        <w:t>et al</w:t>
      </w:r>
      <w:hyperlink r:id="rId50">
        <w:r>
          <w:rPr>
            <w:i/>
            <w:color w:val="000000"/>
            <w:vertAlign w:val="superscript"/>
          </w:rPr>
          <w:t>42</w:t>
        </w:r>
      </w:hyperlink>
      <w:r>
        <w:t xml:space="preserve"> for all possible variants within </w:t>
      </w:r>
      <w:r>
        <w:rPr>
          <w:color w:val="191919"/>
          <w:highlight w:val="white"/>
        </w:rPr>
        <w:t xml:space="preserve">motifs that are proximal to ENCODE eCLIP </w:t>
      </w:r>
      <w:r>
        <w:t xml:space="preserve">sites, that are also </w:t>
      </w:r>
      <w:r>
        <w:rPr>
          <w:color w:val="191919"/>
          <w:highlight w:val="white"/>
        </w:rPr>
        <w:t>high affinity sites as predicted by RBPamp</w:t>
      </w:r>
      <w:hyperlink r:id="rId51">
        <w:r>
          <w:rPr>
            <w:color w:val="000000"/>
            <w:highlight w:val="white"/>
            <w:vertAlign w:val="superscript"/>
          </w:rPr>
          <w:t>43</w:t>
        </w:r>
      </w:hyperlink>
      <w:r>
        <w:t xml:space="preserve">. These were intersected with our variants and filtered to retain only those with a reference affinity of </w:t>
      </w:r>
      <w:r>
        <w:rPr>
          <w:rFonts w:ascii="Arial Unicode MS" w:eastAsia="Arial Unicode MS" w:hAnsi="Arial Unicode MS" w:cs="Arial Unicode MS"/>
        </w:rPr>
        <w:t>≥</w:t>
      </w:r>
      <w:r>
        <w:t xml:space="preserve"> 0.1 and with an impact of ‘loss of binding’ predicted by the RBP binding affinity model (defined as alternative allele affinity / reference allele affinity &lt; ⅓).</w:t>
      </w:r>
    </w:p>
    <w:p w14:paraId="74D16DDE" w14:textId="77777777" w:rsidR="00D561E8" w:rsidRDefault="00D561E8">
      <w:pPr>
        <w:spacing w:line="480" w:lineRule="auto"/>
      </w:pPr>
    </w:p>
    <w:p w14:paraId="2170E69F" w14:textId="77777777" w:rsidR="00D561E8" w:rsidRDefault="00000000">
      <w:pPr>
        <w:spacing w:line="480" w:lineRule="auto"/>
      </w:pPr>
      <w:r>
        <w:rPr>
          <w:i/>
        </w:rPr>
        <w:lastRenderedPageBreak/>
        <w:t xml:space="preserve">Annotating </w:t>
      </w:r>
      <w:r>
        <w:t>polyadenylation</w:t>
      </w:r>
      <w:r>
        <w:rPr>
          <w:i/>
        </w:rPr>
        <w:t xml:space="preserve"> signal motifs</w:t>
      </w:r>
    </w:p>
    <w:p w14:paraId="034C16BD" w14:textId="77777777" w:rsidR="00D561E8" w:rsidRDefault="00D561E8">
      <w:pPr>
        <w:spacing w:line="480" w:lineRule="auto"/>
      </w:pPr>
    </w:p>
    <w:p w14:paraId="19111440" w14:textId="77777777" w:rsidR="00D561E8" w:rsidRDefault="00000000">
      <w:pPr>
        <w:spacing w:line="480" w:lineRule="auto"/>
      </w:pPr>
      <w:r>
        <w:t>Using MANE</w:t>
      </w:r>
      <w:hyperlink r:id="rId52">
        <w:r>
          <w:rPr>
            <w:color w:val="000000"/>
            <w:vertAlign w:val="superscript"/>
          </w:rPr>
          <w:t>17</w:t>
        </w:r>
      </w:hyperlink>
      <w:r>
        <w:t xml:space="preserve"> v1.0 mRNA sequences, we identified the locations of all 3’UTR AAUAAA and AUUAAA polyA signal motifs. These were then cross referenced with primary polyA sites (those with the highest mean TPM from polyA DB</w:t>
      </w:r>
      <w:hyperlink r:id="rId53">
        <w:r>
          <w:rPr>
            <w:color w:val="000000"/>
            <w:vertAlign w:val="superscript"/>
          </w:rPr>
          <w:t>44</w:t>
        </w:r>
      </w:hyperlink>
      <w:r>
        <w:t xml:space="preserve">), and the closest upstream motif within 30 bps was retained. Comparing these data with that of motifs identified by Shiferaw </w:t>
      </w:r>
      <w:r>
        <w:rPr>
          <w:i/>
        </w:rPr>
        <w:t>et al</w:t>
      </w:r>
      <w:hyperlink r:id="rId54">
        <w:r>
          <w:rPr>
            <w:i/>
            <w:color w:val="000000"/>
            <w:vertAlign w:val="superscript"/>
          </w:rPr>
          <w:t>45</w:t>
        </w:r>
      </w:hyperlink>
      <w:r>
        <w:t>, we find that 80.5% are concordant. It is likely that unmatched motifs are a result of differences in polyA cleavage site selection, alongside regional differences caused by transcript vs gene level annotation.</w:t>
      </w:r>
      <w:hyperlink r:id="rId55">
        <w:r>
          <w:rPr>
            <w:color w:val="000000"/>
            <w:vertAlign w:val="superscript"/>
          </w:rPr>
          <w:t>46</w:t>
        </w:r>
      </w:hyperlink>
      <w:r>
        <w:t>.</w:t>
      </w:r>
    </w:p>
    <w:p w14:paraId="3F428896" w14:textId="77777777" w:rsidR="00D561E8" w:rsidRDefault="00D561E8">
      <w:pPr>
        <w:spacing w:line="480" w:lineRule="auto"/>
        <w:rPr>
          <w:highlight w:val="white"/>
        </w:rPr>
      </w:pPr>
    </w:p>
    <w:p w14:paraId="767EA8D9" w14:textId="77777777" w:rsidR="00D561E8" w:rsidRDefault="00000000">
      <w:pPr>
        <w:spacing w:line="480" w:lineRule="auto"/>
        <w:rPr>
          <w:i/>
          <w:highlight w:val="white"/>
        </w:rPr>
      </w:pPr>
      <w:r>
        <w:rPr>
          <w:i/>
          <w:highlight w:val="white"/>
        </w:rPr>
        <w:t>Identifying transcription factor binding sites</w:t>
      </w:r>
    </w:p>
    <w:p w14:paraId="74207C2C" w14:textId="77777777" w:rsidR="00D561E8" w:rsidRDefault="00D561E8">
      <w:pPr>
        <w:spacing w:line="480" w:lineRule="auto"/>
      </w:pPr>
    </w:p>
    <w:p w14:paraId="1D48A131" w14:textId="77777777" w:rsidR="00D561E8" w:rsidRDefault="00000000">
      <w:pPr>
        <w:spacing w:line="480" w:lineRule="auto"/>
      </w:pPr>
      <w:r>
        <w:t>Transcription factor binding site (TFBS) locations were obtained from ENCODE</w:t>
      </w:r>
      <w:hyperlink r:id="rId56">
        <w:r>
          <w:rPr>
            <w:color w:val="000000"/>
            <w:vertAlign w:val="superscript"/>
          </w:rPr>
          <w:t>47</w:t>
        </w:r>
      </w:hyperlink>
      <w:r>
        <w:t xml:space="preserve"> and converted using bigBedToBed</w:t>
      </w:r>
      <w:hyperlink r:id="rId57">
        <w:r>
          <w:rPr>
            <w:color w:val="000000"/>
            <w:vertAlign w:val="superscript"/>
          </w:rPr>
          <w:t>48</w:t>
        </w:r>
      </w:hyperlink>
      <w:r>
        <w:t xml:space="preserve"> on the command line, resulting in 4,465,728 TFBS footprints. Any variant not within a footprint identified by ENCODE as falling within the ‘core’ region of a DNase I hypersensitive (DHS) peak was excluded. Remaining variants were annotated using FABIAN</w:t>
      </w:r>
      <w:hyperlink r:id="rId58">
        <w:r>
          <w:rPr>
            <w:color w:val="000000"/>
            <w:vertAlign w:val="superscript"/>
          </w:rPr>
          <w:t>49</w:t>
        </w:r>
      </w:hyperlink>
      <w:r>
        <w:t>, limiting to only transcription factor flexible models as these have been shown to outperform positional weight matrices</w:t>
      </w:r>
      <w:hyperlink r:id="rId59">
        <w:r>
          <w:rPr>
            <w:color w:val="000000"/>
            <w:vertAlign w:val="superscript"/>
          </w:rPr>
          <w:t>50</w:t>
        </w:r>
      </w:hyperlink>
      <w:r>
        <w:t>. The resultant data was transformed to produce one score per transcription factor, per variant:</w:t>
      </w:r>
    </w:p>
    <w:p w14:paraId="065C9C5C" w14:textId="77777777" w:rsidR="00D561E8" w:rsidRDefault="00000000">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Score = (ΣA1:AN)/N</w:t>
      </w:r>
    </w:p>
    <w:p w14:paraId="29E73ACF" w14:textId="77777777" w:rsidR="00D561E8" w:rsidRDefault="00000000">
      <w:pPr>
        <w:spacing w:line="480" w:lineRule="auto"/>
        <w:rPr>
          <w:color w:val="1D1C1D"/>
        </w:rPr>
      </w:pPr>
      <w:r>
        <w:t>Where A is each model’s predicted change in binding affinity and ‘</w:t>
      </w:r>
      <w:r>
        <w:rPr>
          <w:i/>
        </w:rPr>
        <w:t>N</w:t>
      </w:r>
      <w:r>
        <w:t>’ is the total number of these predictions provided for that transcription factor.</w:t>
      </w:r>
      <w:r>
        <w:rPr>
          <w:rFonts w:ascii="Arial Unicode MS" w:eastAsia="Arial Unicode MS" w:hAnsi="Arial Unicode MS" w:cs="Arial Unicode MS"/>
        </w:rPr>
        <w:t xml:space="preserve"> Scores ≥ 0.04 were recorded as predicted gain and those ≤ -0.04 as predicted loss. For each variant we then calculated the mean </w:t>
      </w:r>
      <w:r>
        <w:rPr>
          <w:color w:val="1D1C1D"/>
        </w:rPr>
        <w:t xml:space="preserve">gain/loss/total scores and retained any variant with a loss score </w:t>
      </w:r>
      <w:r>
        <w:rPr>
          <w:rFonts w:ascii="Arial Unicode MS" w:eastAsia="Arial Unicode MS" w:hAnsi="Arial Unicode MS" w:cs="Arial Unicode MS"/>
        </w:rPr>
        <w:t xml:space="preserve">≤ </w:t>
      </w:r>
      <w:r>
        <w:rPr>
          <w:color w:val="1D1C1D"/>
        </w:rPr>
        <w:t>-0.4.</w:t>
      </w:r>
    </w:p>
    <w:p w14:paraId="26C7D252" w14:textId="77777777" w:rsidR="00D561E8" w:rsidRDefault="00D561E8">
      <w:pPr>
        <w:spacing w:line="480" w:lineRule="auto"/>
        <w:rPr>
          <w:highlight w:val="yellow"/>
        </w:rPr>
      </w:pPr>
    </w:p>
    <w:p w14:paraId="5ADC5354" w14:textId="77777777" w:rsidR="00D561E8" w:rsidRDefault="00000000">
      <w:pPr>
        <w:spacing w:line="480" w:lineRule="auto"/>
        <w:rPr>
          <w:b/>
        </w:rPr>
      </w:pPr>
      <w:r>
        <w:rPr>
          <w:b/>
        </w:rPr>
        <w:t>Clinical Review of candidate variants</w:t>
      </w:r>
    </w:p>
    <w:p w14:paraId="5175988E" w14:textId="77777777" w:rsidR="00D561E8" w:rsidRDefault="00D561E8">
      <w:pPr>
        <w:spacing w:line="480" w:lineRule="auto"/>
      </w:pPr>
    </w:p>
    <w:p w14:paraId="276A4DAA" w14:textId="77777777" w:rsidR="00D561E8" w:rsidRDefault="00000000">
      <w:pPr>
        <w:spacing w:line="480" w:lineRule="auto"/>
      </w:pPr>
      <w:r>
        <w:t xml:space="preserve">For each participant with a candidate diagnostic </w:t>
      </w:r>
      <w:r>
        <w:rPr>
          <w:i/>
        </w:rPr>
        <w:t>de novo</w:t>
      </w:r>
      <w:r>
        <w:t xml:space="preserve"> variant, we compared the similarity between the HPO terms assigned at recruitment with the phenotype expected for a heterozygous variant in the gene. Given that all of the genes in which we identified candidate variants had been linked to a loss of function mechanism, variants were interpreted under the assumption that they caused loss-of-function (LoF) and were of high penetrance. Expected phenotypes for each gene were sought from OMIM</w:t>
      </w:r>
      <w:hyperlink r:id="rId60">
        <w:r>
          <w:rPr>
            <w:color w:val="000000"/>
            <w:vertAlign w:val="superscript"/>
          </w:rPr>
          <w:t>51</w:t>
        </w:r>
      </w:hyperlink>
      <w:r>
        <w:t xml:space="preserve"> and the published literature. Where we identified a plausible phenotype match, we raised a clinical collaboration request with Genomics England via the secure ‘Airlock’ protocol</w:t>
      </w:r>
      <w:hyperlink r:id="rId61">
        <w:r>
          <w:rPr>
            <w:color w:val="000000"/>
            <w:vertAlign w:val="superscript"/>
          </w:rPr>
          <w:t>52</w:t>
        </w:r>
      </w:hyperlink>
      <w:r>
        <w:t xml:space="preserve"> to contact the recruiting clinician.</w:t>
      </w:r>
    </w:p>
    <w:p w14:paraId="34323093" w14:textId="77777777" w:rsidR="00D561E8" w:rsidRDefault="00D561E8">
      <w:pPr>
        <w:spacing w:line="480" w:lineRule="auto"/>
      </w:pPr>
    </w:p>
    <w:p w14:paraId="047E4BA0" w14:textId="77777777" w:rsidR="00D561E8" w:rsidRDefault="00000000">
      <w:pPr>
        <w:spacing w:line="480" w:lineRule="auto"/>
        <w:rPr>
          <w:b/>
        </w:rPr>
      </w:pPr>
      <w:r>
        <w:rPr>
          <w:b/>
        </w:rPr>
        <w:t>Assessing performance using ClinVar</w:t>
      </w:r>
    </w:p>
    <w:p w14:paraId="7C27F2E4" w14:textId="77777777" w:rsidR="00D561E8" w:rsidRDefault="00D561E8">
      <w:pPr>
        <w:spacing w:line="480" w:lineRule="auto"/>
        <w:rPr>
          <w:b/>
        </w:rPr>
      </w:pPr>
    </w:p>
    <w:p w14:paraId="239E16C1" w14:textId="77777777" w:rsidR="00D561E8" w:rsidRDefault="00000000">
      <w:pPr>
        <w:spacing w:line="480" w:lineRule="auto"/>
      </w:pPr>
      <w:r>
        <w:t xml:space="preserve">Using ClinVar downloaded on 2023/08/19 (n=1,380,750 variants) we identified variants overlapping one of our annotated regions (n=55,081 unique variants). We filtered to high confidence pathogenic/likely pathogenic variants, defined as those classified as ‘Pathogenic’, </w:t>
      </w:r>
      <w:r>
        <w:rPr>
          <w:color w:val="1F1F1F"/>
        </w:rPr>
        <w:t xml:space="preserve">'Likely_pathogenic', or 'Pathogenic/Likely_pathogenic', and reviewed as  'reviewed_by_expert_panel', ‘criteria_provided,_multiple_submitters,_no_conflicts', or 'practice_guideline' </w:t>
      </w:r>
      <w:r>
        <w:t xml:space="preserve"> (N=123). We compared these to variants annotated as ‘Benign’ or ‘Benign/Likely_benign’ (N=3,364). Each set of variants was then annotated and filtered as detailed above for </w:t>
      </w:r>
      <w:r>
        <w:rPr>
          <w:i/>
        </w:rPr>
        <w:t>de novo</w:t>
      </w:r>
      <w:r>
        <w:t xml:space="preserve"> variants, with filtering on allele frequency only using gnomAD. </w:t>
      </w:r>
    </w:p>
    <w:p w14:paraId="02DBC2C2" w14:textId="77777777" w:rsidR="00D561E8" w:rsidRDefault="00D561E8">
      <w:pPr>
        <w:spacing w:line="480" w:lineRule="auto"/>
        <w:rPr>
          <w:highlight w:val="yellow"/>
        </w:rPr>
      </w:pPr>
    </w:p>
    <w:p w14:paraId="43CB3B62" w14:textId="77777777" w:rsidR="00D561E8" w:rsidRDefault="00000000">
      <w:pPr>
        <w:spacing w:line="480" w:lineRule="auto"/>
        <w:rPr>
          <w:b/>
          <w:u w:val="single"/>
        </w:rPr>
      </w:pPr>
      <w:r>
        <w:rPr>
          <w:b/>
        </w:rPr>
        <w:t>Defining case and control sets for burden testing</w:t>
      </w:r>
      <w:r>
        <w:rPr>
          <w:b/>
          <w:u w:val="single"/>
        </w:rPr>
        <w:t xml:space="preserve"> </w:t>
      </w:r>
    </w:p>
    <w:p w14:paraId="66B1ED34" w14:textId="77777777" w:rsidR="00D561E8" w:rsidRDefault="00D561E8">
      <w:pPr>
        <w:spacing w:line="480" w:lineRule="auto"/>
        <w:rPr>
          <w:b/>
        </w:rPr>
      </w:pPr>
    </w:p>
    <w:p w14:paraId="52E5C320" w14:textId="77777777" w:rsidR="00D561E8" w:rsidRDefault="00000000">
      <w:pPr>
        <w:spacing w:line="480" w:lineRule="auto"/>
        <w:rPr>
          <w:b/>
        </w:rPr>
      </w:pPr>
      <w:r>
        <w:t>From GEL version 15</w:t>
      </w:r>
      <w:hyperlink r:id="rId62">
        <w:r>
          <w:rPr>
            <w:color w:val="000000"/>
            <w:vertAlign w:val="superscript"/>
          </w:rPr>
          <w:t>20</w:t>
        </w:r>
      </w:hyperlink>
      <w:r>
        <w:t xml:space="preserve">, we selected participants meeting all of the following criteria: </w:t>
      </w:r>
    </w:p>
    <w:p w14:paraId="537B774B" w14:textId="77777777" w:rsidR="00D561E8" w:rsidRDefault="00000000">
      <w:pPr>
        <w:numPr>
          <w:ilvl w:val="0"/>
          <w:numId w:val="5"/>
        </w:numPr>
        <w:spacing w:line="480" w:lineRule="auto"/>
      </w:pPr>
      <w:r>
        <w:t>Variants called on genome build ‘GRCh38 and with delivery version ‘V4’</w:t>
      </w:r>
    </w:p>
    <w:p w14:paraId="429C5BD3" w14:textId="77777777" w:rsidR="00D561E8" w:rsidRDefault="00000000">
      <w:pPr>
        <w:numPr>
          <w:ilvl w:val="0"/>
          <w:numId w:val="5"/>
        </w:numPr>
        <w:spacing w:line="480" w:lineRule="auto"/>
      </w:pPr>
      <w:r>
        <w:t>Consent not subsequently withdrawn</w:t>
      </w:r>
    </w:p>
    <w:p w14:paraId="037B96DB" w14:textId="77777777" w:rsidR="00D561E8" w:rsidRDefault="00000000">
      <w:pPr>
        <w:numPr>
          <w:ilvl w:val="0"/>
          <w:numId w:val="5"/>
        </w:numPr>
        <w:spacing w:line="480" w:lineRule="auto"/>
      </w:pPr>
      <w:r>
        <w:t>Karyotype one of ‘XX’, ‘XY’, ‘NA’, ‘Other’ and karyotypic and phenotypic sex not in conflict</w:t>
      </w:r>
    </w:p>
    <w:p w14:paraId="375703EF" w14:textId="77777777" w:rsidR="00D561E8" w:rsidRDefault="00D561E8">
      <w:pPr>
        <w:spacing w:line="480" w:lineRule="auto"/>
        <w:rPr>
          <w:b/>
        </w:rPr>
      </w:pPr>
    </w:p>
    <w:p w14:paraId="203EC064" w14:textId="77777777" w:rsidR="00D561E8" w:rsidRDefault="00000000">
      <w:pPr>
        <w:spacing w:line="480" w:lineRule="auto"/>
      </w:pPr>
      <w:r>
        <w:t xml:space="preserve">Cases were defined as: </w:t>
      </w:r>
    </w:p>
    <w:p w14:paraId="22678AA1" w14:textId="77777777" w:rsidR="00D561E8" w:rsidRDefault="00000000">
      <w:pPr>
        <w:numPr>
          <w:ilvl w:val="0"/>
          <w:numId w:val="2"/>
        </w:numPr>
        <w:spacing w:line="480" w:lineRule="auto"/>
      </w:pPr>
      <w:r>
        <w:t>Individuals with a participant type of ‘proband’</w:t>
      </w:r>
    </w:p>
    <w:p w14:paraId="793E1535" w14:textId="77777777" w:rsidR="00D561E8" w:rsidRDefault="00000000">
      <w:pPr>
        <w:numPr>
          <w:ilvl w:val="0"/>
          <w:numId w:val="2"/>
        </w:numPr>
        <w:spacing w:line="480" w:lineRule="auto"/>
      </w:pPr>
      <w:r>
        <w:t>With at least one ‘green’ PanelApp gene in a virtual gene panel assigned to them</w:t>
      </w:r>
    </w:p>
    <w:p w14:paraId="5DC08079" w14:textId="77777777" w:rsidR="00D561E8" w:rsidRDefault="00000000">
      <w:pPr>
        <w:numPr>
          <w:ilvl w:val="0"/>
          <w:numId w:val="2"/>
        </w:numPr>
        <w:spacing w:line="480" w:lineRule="auto"/>
      </w:pPr>
      <w:r>
        <w:t>Without an existing coding diagnosis (see above).</w:t>
      </w:r>
    </w:p>
    <w:p w14:paraId="3D0D834A" w14:textId="77777777" w:rsidR="00D561E8" w:rsidRDefault="00D561E8">
      <w:pPr>
        <w:spacing w:line="480" w:lineRule="auto"/>
        <w:rPr>
          <w:b/>
        </w:rPr>
      </w:pPr>
    </w:p>
    <w:p w14:paraId="4A7285D9" w14:textId="77777777" w:rsidR="00D561E8" w:rsidRDefault="00000000">
      <w:pPr>
        <w:spacing w:line="480" w:lineRule="auto"/>
      </w:pPr>
      <w:r>
        <w:t>Controls were taken as the unaffected parents of participants with rare disease. Defined as:</w:t>
      </w:r>
    </w:p>
    <w:p w14:paraId="2685B91D" w14:textId="77777777" w:rsidR="00D561E8" w:rsidRDefault="00000000">
      <w:pPr>
        <w:numPr>
          <w:ilvl w:val="0"/>
          <w:numId w:val="6"/>
        </w:numPr>
        <w:spacing w:line="480" w:lineRule="auto"/>
      </w:pPr>
      <w:r>
        <w:t>Participant type is ‘Mother’ or ‘Father’</w:t>
      </w:r>
    </w:p>
    <w:p w14:paraId="731B5ADC" w14:textId="77777777" w:rsidR="00D561E8" w:rsidRDefault="00000000">
      <w:pPr>
        <w:numPr>
          <w:ilvl w:val="0"/>
          <w:numId w:val="6"/>
        </w:numPr>
        <w:spacing w:line="480" w:lineRule="auto"/>
      </w:pPr>
      <w:r>
        <w:t>Affected status is ‘Unaffected’</w:t>
      </w:r>
    </w:p>
    <w:p w14:paraId="7B799524" w14:textId="77777777" w:rsidR="00D561E8" w:rsidRDefault="00000000">
      <w:pPr>
        <w:numPr>
          <w:ilvl w:val="0"/>
          <w:numId w:val="6"/>
        </w:numPr>
        <w:spacing w:line="480" w:lineRule="auto"/>
      </w:pPr>
      <w:r>
        <w:t>No recorded HPO terms</w:t>
      </w:r>
    </w:p>
    <w:p w14:paraId="025B8396" w14:textId="77777777" w:rsidR="00D561E8" w:rsidRDefault="00D561E8">
      <w:pPr>
        <w:spacing w:line="480" w:lineRule="auto"/>
        <w:ind w:left="1440"/>
      </w:pPr>
    </w:p>
    <w:p w14:paraId="0BD3CE90" w14:textId="77777777" w:rsidR="00D561E8" w:rsidRDefault="00000000">
      <w:pPr>
        <w:spacing w:line="480" w:lineRule="auto"/>
      </w:pPr>
      <w:r>
        <w:t>The genetically-inferred ancestry of each participant, as calculated by GEL, was obtained from LabKey. Participants with a single origin ancestry match of 99% or greater were retained and defined as that ancestry</w:t>
      </w:r>
      <w:hyperlink r:id="rId63">
        <w:r>
          <w:rPr>
            <w:color w:val="000000"/>
            <w:vertAlign w:val="superscript"/>
          </w:rPr>
          <w:t>53</w:t>
        </w:r>
      </w:hyperlink>
      <w:r>
        <w:t>. Through this approach, we defined a total of 19,220 cases and 20,683 controls (Additional file 2:Fig S3).</w:t>
      </w:r>
    </w:p>
    <w:p w14:paraId="57A81F37" w14:textId="77777777" w:rsidR="00D561E8" w:rsidRDefault="00D561E8">
      <w:pPr>
        <w:spacing w:line="480" w:lineRule="auto"/>
      </w:pPr>
    </w:p>
    <w:p w14:paraId="67C25497" w14:textId="77777777" w:rsidR="00D561E8" w:rsidRDefault="00000000">
      <w:pPr>
        <w:spacing w:line="480" w:lineRule="auto"/>
        <w:rPr>
          <w:b/>
        </w:rPr>
      </w:pPr>
      <w:r>
        <w:rPr>
          <w:b/>
        </w:rPr>
        <w:t>Filtering aggregated variants</w:t>
      </w:r>
    </w:p>
    <w:p w14:paraId="25340AAF" w14:textId="77777777" w:rsidR="00D561E8" w:rsidRDefault="00D561E8">
      <w:pPr>
        <w:spacing w:line="480" w:lineRule="auto"/>
        <w:rPr>
          <w:b/>
        </w:rPr>
      </w:pPr>
    </w:p>
    <w:p w14:paraId="588AAFA5" w14:textId="77777777" w:rsidR="00D561E8" w:rsidRDefault="00000000">
      <w:pPr>
        <w:spacing w:line="480" w:lineRule="auto"/>
      </w:pPr>
      <w:r>
        <w:t>Variants within MANEv1.0 transcripts, for all potential case and control participants that passed all internal QC filters were extracted from the aggregated variant VCF files in GEL</w:t>
      </w:r>
      <w:hyperlink r:id="rId64">
        <w:r>
          <w:rPr>
            <w:color w:val="000000"/>
            <w:vertAlign w:val="superscript"/>
          </w:rPr>
          <w:t>54</w:t>
        </w:r>
      </w:hyperlink>
      <w:r>
        <w:t>.</w:t>
      </w:r>
    </w:p>
    <w:p w14:paraId="5B811F23" w14:textId="77777777" w:rsidR="00D561E8" w:rsidRDefault="00D561E8">
      <w:pPr>
        <w:spacing w:line="480" w:lineRule="auto"/>
      </w:pPr>
    </w:p>
    <w:p w14:paraId="03946586" w14:textId="77777777" w:rsidR="00D561E8" w:rsidRDefault="00000000">
      <w:pPr>
        <w:spacing w:line="480" w:lineRule="auto"/>
      </w:pPr>
      <w:r>
        <w:t xml:space="preserve">In line with recommendations from Pedersen </w:t>
      </w:r>
      <w:r>
        <w:rPr>
          <w:i/>
        </w:rPr>
        <w:t>et al</w:t>
      </w:r>
      <w:hyperlink r:id="rId65">
        <w:r>
          <w:rPr>
            <w:i/>
            <w:color w:val="000000"/>
            <w:vertAlign w:val="superscript"/>
          </w:rPr>
          <w:t>55</w:t>
        </w:r>
      </w:hyperlink>
      <w:r>
        <w:t xml:space="preserve"> we filtered variants to those with genotype quality (GQ) </w:t>
      </w:r>
      <w:r>
        <w:rPr>
          <w:rFonts w:ascii="Arial Unicode MS" w:eastAsia="Arial Unicode MS" w:hAnsi="Arial Unicode MS" w:cs="Arial Unicode MS"/>
          <w:color w:val="222222"/>
        </w:rPr>
        <w:t>≥ </w:t>
      </w:r>
      <w:r>
        <w:t xml:space="preserve"> 20, read depth (DP) </w:t>
      </w:r>
      <w:r>
        <w:rPr>
          <w:rFonts w:ascii="Arial Unicode MS" w:eastAsia="Arial Unicode MS" w:hAnsi="Arial Unicode MS" w:cs="Arial Unicode MS"/>
          <w:color w:val="222222"/>
        </w:rPr>
        <w:t xml:space="preserve">≥ 10, missingness  ≤ 5% heterozygous allele balance (AB) 0.2 ≤ AB ≤ 0.8, and homozygous AB </w:t>
      </w:r>
      <w:r>
        <w:rPr>
          <w:rFonts w:ascii="Arial Unicode MS" w:eastAsia="Arial Unicode MS" w:hAnsi="Arial Unicode MS" w:cs="Arial Unicode MS"/>
        </w:rPr>
        <w:t>≤</w:t>
      </w:r>
      <w:r>
        <w:rPr>
          <w:color w:val="222222"/>
        </w:rPr>
        <w:t xml:space="preserve"> 0.02. If a variant call failed one or more of these filters in </w:t>
      </w:r>
      <w:r>
        <w:rPr>
          <w:rFonts w:ascii="Arial Unicode MS" w:eastAsia="Arial Unicode MS" w:hAnsi="Arial Unicode MS" w:cs="Arial Unicode MS"/>
          <w:color w:val="222222"/>
        </w:rPr>
        <w:t>≥</w:t>
      </w:r>
      <w:r>
        <w:rPr>
          <w:color w:val="222222"/>
        </w:rPr>
        <w:t xml:space="preserve"> 25% of cases, that call was excluded. </w:t>
      </w:r>
      <w:r>
        <w:rPr>
          <w:rFonts w:ascii="Arial Unicode MS" w:eastAsia="Arial Unicode MS" w:hAnsi="Arial Unicode MS" w:cs="Arial Unicode MS"/>
        </w:rPr>
        <w:t xml:space="preserve">We further filtered to only those with GEL internal and gnomAD (v3.1.1; in any population) AF ≤ </w:t>
      </w:r>
      <w:r>
        <w:t xml:space="preserve">0.0001. We retained a total of </w:t>
      </w:r>
      <w:r>
        <w:lastRenderedPageBreak/>
        <w:t xml:space="preserve">18,498,584 variants, a mean variant count per individual of 463.59 (461.74 in cases and 465.74 in controls). </w:t>
      </w:r>
    </w:p>
    <w:p w14:paraId="6F07770E" w14:textId="77777777" w:rsidR="00D561E8" w:rsidRDefault="00D561E8">
      <w:pPr>
        <w:spacing w:line="480" w:lineRule="auto"/>
        <w:rPr>
          <w:b/>
        </w:rPr>
      </w:pPr>
    </w:p>
    <w:p w14:paraId="0C6F48D4" w14:textId="77777777" w:rsidR="00D561E8" w:rsidRDefault="00000000">
      <w:pPr>
        <w:spacing w:line="480" w:lineRule="auto"/>
      </w:pPr>
      <w:r>
        <w:rPr>
          <w:b/>
        </w:rPr>
        <w:t>Participant Matching</w:t>
      </w:r>
    </w:p>
    <w:p w14:paraId="2449A07E" w14:textId="77777777" w:rsidR="00D561E8" w:rsidRDefault="00D561E8">
      <w:pPr>
        <w:spacing w:line="480" w:lineRule="auto"/>
      </w:pPr>
    </w:p>
    <w:p w14:paraId="379ED372" w14:textId="77777777" w:rsidR="00D561E8" w:rsidRDefault="00000000">
      <w:pPr>
        <w:spacing w:line="480" w:lineRule="auto"/>
      </w:pPr>
      <w:r>
        <w:t>To exclude any individuals with very high numbers of called variants (suggestive of systematic error), we calculated a population-specific Z-score per participant as follows:</w:t>
      </w:r>
    </w:p>
    <w:p w14:paraId="632295CD" w14:textId="77777777" w:rsidR="00D561E8" w:rsidRDefault="00000000">
      <w:pPr>
        <w:spacing w:line="48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z = (x-μ)/σ </w:t>
      </w:r>
    </w:p>
    <w:p w14:paraId="40D9CE10" w14:textId="77777777" w:rsidR="00D561E8" w:rsidRDefault="00000000">
      <w:pPr>
        <w:spacing w:line="480" w:lineRule="auto"/>
      </w:pPr>
      <w:r>
        <w:t>Where ‘</w:t>
      </w:r>
      <w:r>
        <w:rPr>
          <w:i/>
        </w:rPr>
        <w:t>x’</w:t>
      </w:r>
      <w:r>
        <w:t xml:space="preserve"> is the variant count in that participant, across all MANE transcripts, from the start of the promoter to the transcript end, ‘</w:t>
      </w:r>
      <w:r>
        <w:rPr>
          <w:i/>
        </w:rPr>
        <w:t>μ</w:t>
      </w:r>
      <w:r>
        <w:t xml:space="preserve"> ‘is the population mean, and ‘</w:t>
      </w:r>
      <w:r>
        <w:rPr>
          <w:i/>
        </w:rPr>
        <w:t>σ</w:t>
      </w:r>
      <w:r>
        <w:t>’ is the population standard deviation, where the population is all individuals defined of the same genetic ancestry (see above). Participants with a Z-score of ± 2 were dropped (N=1,560; 728 probands, 832 controls) resulting in a set of 18,492 probands and 19,851 control participants.</w:t>
      </w:r>
    </w:p>
    <w:p w14:paraId="7EC30790" w14:textId="77777777" w:rsidR="00D561E8" w:rsidRDefault="00D561E8">
      <w:pPr>
        <w:spacing w:line="480" w:lineRule="auto"/>
      </w:pPr>
    </w:p>
    <w:p w14:paraId="1B0611A8" w14:textId="77777777" w:rsidR="00D561E8" w:rsidRDefault="00000000">
      <w:pPr>
        <w:spacing w:line="480" w:lineRule="auto"/>
      </w:pPr>
      <w:r>
        <w:t>Within each cohort, we removed individuals with KING score</w:t>
      </w:r>
      <w:hyperlink r:id="rId66">
        <w:r>
          <w:rPr>
            <w:color w:val="000000"/>
            <w:vertAlign w:val="superscript"/>
          </w:rPr>
          <w:t>56</w:t>
        </w:r>
      </w:hyperlink>
      <w:r>
        <w:t xml:space="preserve"> </w:t>
      </w:r>
      <w:r>
        <w:rPr>
          <w:rFonts w:ascii="Arial Unicode MS" w:eastAsia="Arial Unicode MS" w:hAnsi="Arial Unicode MS" w:cs="Arial Unicode MS"/>
        </w:rPr>
        <w:t>≥ 0.0442 within the Genomics England relatedness data</w:t>
      </w:r>
      <w:hyperlink r:id="rId67">
        <w:r>
          <w:rPr>
            <w:color w:val="000000"/>
            <w:vertAlign w:val="superscript"/>
          </w:rPr>
          <w:t>53</w:t>
        </w:r>
      </w:hyperlink>
      <w:r>
        <w:t>, indicative of being a 3rd degree relative, by randomly selecting one participant for removal in an iterative process until no further relatedness in individuals was detected.</w:t>
      </w:r>
    </w:p>
    <w:p w14:paraId="52E014B3" w14:textId="77777777" w:rsidR="00D561E8" w:rsidRDefault="00D561E8">
      <w:pPr>
        <w:spacing w:line="480" w:lineRule="auto"/>
      </w:pPr>
    </w:p>
    <w:p w14:paraId="7986F97B" w14:textId="77777777" w:rsidR="00D561E8" w:rsidRDefault="00000000">
      <w:pPr>
        <w:spacing w:line="480" w:lineRule="auto"/>
      </w:pPr>
      <w:r>
        <w:t xml:space="preserve">We then matched each proband 1:1 with a single control participant by sex and genetically-inferred ancestry, ensuring that the matched proband and control did not share a family ID. The resultant matched cohort consisted of 18,304 probands, paired with 11,641 unique controls (some controls were matched to more than one proband). To avoid potential biases when matching participants caused by low population numbers, we limited to genetically-inferred ancestries where the number of both case and control participants was &gt; 200. This </w:t>
      </w:r>
      <w:r>
        <w:lastRenderedPageBreak/>
        <w:t>resulted in a cohort of 1</w:t>
      </w:r>
      <w:r>
        <w:rPr>
          <w:color w:val="1D1C1D"/>
          <w:highlight w:val="white"/>
        </w:rPr>
        <w:t>7,641</w:t>
      </w:r>
      <w:r>
        <w:t xml:space="preserve"> case probands, and 11,227 control participants with either European or South Asian genetically-inferred ancestry (Additional file 2:Table S4). </w:t>
      </w:r>
    </w:p>
    <w:p w14:paraId="4A1DD773" w14:textId="77777777" w:rsidR="00D561E8" w:rsidRDefault="00D561E8">
      <w:pPr>
        <w:spacing w:line="480" w:lineRule="auto"/>
      </w:pPr>
    </w:p>
    <w:p w14:paraId="75DF22AD" w14:textId="77777777" w:rsidR="00D561E8" w:rsidRDefault="00000000">
      <w:pPr>
        <w:spacing w:line="480" w:lineRule="auto"/>
      </w:pPr>
      <w:r>
        <w:t>Given the disparity in gene panel size, with many probands having over 500 assigned green dominant genes (Additional file 2:Fig S4), to reduce noise we filtered probands to include only those to whom 100 or fewer green dominant PanelApp genes had been assigned (28% of all probands).This resulted in a final cohort of 7,862 probands and 6,371 matched controls.</w:t>
      </w:r>
    </w:p>
    <w:p w14:paraId="0C424721" w14:textId="77777777" w:rsidR="00D561E8" w:rsidRDefault="00D561E8">
      <w:pPr>
        <w:spacing w:line="480" w:lineRule="auto"/>
        <w:rPr>
          <w:b/>
          <w:i/>
          <w:u w:val="single"/>
        </w:rPr>
      </w:pPr>
    </w:p>
    <w:p w14:paraId="65AF6F43" w14:textId="77777777" w:rsidR="00D561E8" w:rsidRDefault="00000000">
      <w:pPr>
        <w:spacing w:line="480" w:lineRule="auto"/>
        <w:rPr>
          <w:b/>
        </w:rPr>
      </w:pPr>
      <w:r>
        <w:rPr>
          <w:b/>
        </w:rPr>
        <w:t>Burden testing</w:t>
      </w:r>
    </w:p>
    <w:p w14:paraId="164C58F9" w14:textId="77777777" w:rsidR="00D561E8" w:rsidRDefault="00D561E8">
      <w:pPr>
        <w:spacing w:line="480" w:lineRule="auto"/>
      </w:pPr>
    </w:p>
    <w:p w14:paraId="09FE170F" w14:textId="77777777" w:rsidR="00D561E8" w:rsidRDefault="00000000">
      <w:pPr>
        <w:spacing w:line="480" w:lineRule="auto"/>
      </w:pPr>
      <w:r>
        <w:rPr>
          <w:rFonts w:ascii="Arial Unicode MS" w:eastAsia="Arial Unicode MS" w:hAnsi="Arial Unicode MS" w:cs="Arial Unicode MS"/>
        </w:rPr>
        <w:t xml:space="preserve">Aggregated variants filtered as above were further restricted to those with AF ≤ 0.00005 for both internal and gnomAD major population frequencies and to exclude any with an allele count (AC) across the entirety of AggV2 of &gt;= 5. These </w:t>
      </w:r>
      <w:r>
        <w:t xml:space="preserve">1,079,616 variants were annotated and filtered with reference to the annotations described above (Additional file 2:Fig S5). </w:t>
      </w:r>
    </w:p>
    <w:p w14:paraId="73C762AD" w14:textId="77777777" w:rsidR="00D561E8" w:rsidRDefault="00D561E8">
      <w:pPr>
        <w:spacing w:line="480" w:lineRule="auto"/>
      </w:pPr>
    </w:p>
    <w:p w14:paraId="43218AF2" w14:textId="77777777" w:rsidR="00D561E8" w:rsidRDefault="00000000">
      <w:pPr>
        <w:spacing w:line="480" w:lineRule="auto"/>
      </w:pPr>
      <w:r>
        <w:t xml:space="preserve">A simple burden test was performed across all defined promoter and UTR regions and variant annotations comparing individuals that had one or more annotated variants meeting our criteria in any promoter or UTR region to those that did not, using a one-sided Fisher’s exact test, to test whether cases were enriched for prioritised variants compared to controls (Additional file 2:Table S5). The test was repeated for each region annotation separately. A Bonferroni adjusted </w:t>
      </w:r>
      <w:r>
        <w:rPr>
          <w:i/>
        </w:rPr>
        <w:t>P</w:t>
      </w:r>
      <w:r>
        <w:t xml:space="preserve">-value threshold of </w:t>
      </w:r>
      <w:r>
        <w:rPr>
          <w:rFonts w:ascii="Arial Unicode MS" w:eastAsia="Arial Unicode MS" w:hAnsi="Arial Unicode MS" w:cs="Arial Unicode MS"/>
        </w:rPr>
        <w:t>≤0.0031</w:t>
      </w:r>
      <w:r>
        <w:t>, correcting for 16 tests was used to assess statistical significance.</w:t>
      </w:r>
    </w:p>
    <w:p w14:paraId="78DC48BE" w14:textId="77777777" w:rsidR="00D561E8" w:rsidRDefault="00D561E8">
      <w:pPr>
        <w:spacing w:line="480" w:lineRule="auto"/>
      </w:pPr>
    </w:p>
    <w:p w14:paraId="35DF9144" w14:textId="77777777" w:rsidR="00D561E8" w:rsidRDefault="00000000">
      <w:pPr>
        <w:spacing w:line="480" w:lineRule="auto"/>
      </w:pPr>
      <w:r>
        <w:t>Power estimation was performed using the statmod library’s power.fisher.test</w:t>
      </w:r>
      <w:hyperlink r:id="rId68">
        <w:r>
          <w:rPr>
            <w:color w:val="000000"/>
            <w:vertAlign w:val="superscript"/>
          </w:rPr>
          <w:t>57</w:t>
        </w:r>
      </w:hyperlink>
      <w:r>
        <w:t xml:space="preserve"> function in R, with a one-sided hypothesis of ‘greater’, alpha 0.0031, 1000 replicates, and seed set to 42. </w:t>
      </w:r>
    </w:p>
    <w:p w14:paraId="5CD4BB70" w14:textId="77777777" w:rsidR="00D561E8" w:rsidRDefault="00D561E8">
      <w:pPr>
        <w:spacing w:line="480" w:lineRule="auto"/>
      </w:pPr>
    </w:p>
    <w:p w14:paraId="68279A71" w14:textId="77777777" w:rsidR="00D561E8" w:rsidRDefault="00000000">
      <w:pPr>
        <w:spacing w:line="480" w:lineRule="auto"/>
      </w:pPr>
      <w:r>
        <w:t xml:space="preserve">To estimate the number of participants required to see a significant enrichment across all region and variant annotations, we iteratively increased the number of case and control participants by 1, while maintaining the proportion of observed cases and controls with candidate variants. Fisher’s tests were performed for each iteration, until the resulting </w:t>
      </w:r>
      <w:r>
        <w:rPr>
          <w:i/>
        </w:rPr>
        <w:t>P</w:t>
      </w:r>
      <w:r>
        <w:rPr>
          <w:rFonts w:ascii="Arial Unicode MS" w:eastAsia="Arial Unicode MS" w:hAnsi="Arial Unicode MS" w:cs="Arial Unicode MS"/>
        </w:rPr>
        <w:t>-value was ≤0.0031.</w:t>
      </w:r>
    </w:p>
    <w:p w14:paraId="525CCA53" w14:textId="77777777" w:rsidR="00D561E8" w:rsidRDefault="00D561E8">
      <w:pPr>
        <w:spacing w:line="480" w:lineRule="auto"/>
      </w:pPr>
    </w:p>
    <w:p w14:paraId="4CCAB3DC" w14:textId="77777777" w:rsidR="00D561E8" w:rsidRDefault="00000000">
      <w:pPr>
        <w:spacing w:line="480" w:lineRule="auto"/>
        <w:rPr>
          <w:b/>
        </w:rPr>
      </w:pPr>
      <w:r>
        <w:rPr>
          <w:b/>
        </w:rPr>
        <w:t>Analysing de novo variants in autism</w:t>
      </w:r>
    </w:p>
    <w:p w14:paraId="1762D35E" w14:textId="77777777" w:rsidR="00D561E8" w:rsidRDefault="00D561E8">
      <w:pPr>
        <w:spacing w:line="480" w:lineRule="auto"/>
      </w:pPr>
    </w:p>
    <w:p w14:paraId="45538BD3" w14:textId="77777777" w:rsidR="00D561E8" w:rsidRDefault="00000000">
      <w:pPr>
        <w:spacing w:line="480" w:lineRule="auto"/>
      </w:pPr>
      <w:r>
        <w:rPr>
          <w:color w:val="212121"/>
        </w:rPr>
        <w:t xml:space="preserve">We annotated </w:t>
      </w:r>
      <w:r>
        <w:rPr>
          <w:i/>
        </w:rPr>
        <w:t>de novo</w:t>
      </w:r>
      <w:r>
        <w:t xml:space="preserve"> variants identified in 4,199 trios (2,317 case, 1,882 control) from the </w:t>
      </w:r>
      <w:r>
        <w:rPr>
          <w:color w:val="212121"/>
        </w:rPr>
        <w:t>Simons Foundation Autism Research Initiative (SFARI) Simplex Collection (SS</w:t>
      </w:r>
      <w:r>
        <w:t>C)</w:t>
      </w:r>
      <w:hyperlink r:id="rId69">
        <w:r>
          <w:rPr>
            <w:color w:val="000000"/>
            <w:vertAlign w:val="superscript"/>
          </w:rPr>
          <w:t>58</w:t>
        </w:r>
      </w:hyperlink>
      <w:r>
        <w:rPr>
          <w:rFonts w:ascii="Arial Unicode MS" w:eastAsia="Arial Unicode MS" w:hAnsi="Arial Unicode MS" w:cs="Arial Unicode MS"/>
        </w:rPr>
        <w:t xml:space="preserve">. We identified 1,678 variants (920 in cases, 766 in controls) in annotated promoter and UTR regions of 664 NDD associated genes (FDR ≤ 0.05) from Fu </w:t>
      </w:r>
      <w:r>
        <w:rPr>
          <w:i/>
        </w:rPr>
        <w:t>et al</w:t>
      </w:r>
      <w:hyperlink r:id="rId70">
        <w:r>
          <w:rPr>
            <w:i/>
            <w:color w:val="000000"/>
            <w:vertAlign w:val="superscript"/>
          </w:rPr>
          <w:t>59</w:t>
        </w:r>
      </w:hyperlink>
      <w:r>
        <w:t xml:space="preserve">. Variants were annotated as detailed above for </w:t>
      </w:r>
      <w:r>
        <w:rPr>
          <w:i/>
        </w:rPr>
        <w:t>de novo</w:t>
      </w:r>
      <w:r>
        <w:t xml:space="preserve"> variants. </w:t>
      </w:r>
    </w:p>
    <w:p w14:paraId="3127ECDA" w14:textId="77777777" w:rsidR="00D561E8" w:rsidRDefault="00D561E8">
      <w:pPr>
        <w:spacing w:line="480" w:lineRule="auto"/>
      </w:pPr>
    </w:p>
    <w:p w14:paraId="63B640CF" w14:textId="77777777" w:rsidR="00D561E8" w:rsidRDefault="00000000">
      <w:pPr>
        <w:spacing w:line="480" w:lineRule="auto"/>
        <w:rPr>
          <w:b/>
        </w:rPr>
      </w:pPr>
      <w:r>
        <w:rPr>
          <w:b/>
        </w:rPr>
        <w:t xml:space="preserve">RNA sequencing and </w:t>
      </w:r>
      <w:r>
        <w:rPr>
          <w:b/>
          <w:color w:val="191919"/>
        </w:rPr>
        <w:t>DNA methylation analyses</w:t>
      </w:r>
    </w:p>
    <w:p w14:paraId="61E12854" w14:textId="77777777" w:rsidR="00D561E8" w:rsidRDefault="00D561E8">
      <w:pPr>
        <w:spacing w:line="480" w:lineRule="auto"/>
        <w:rPr>
          <w:highlight w:val="yellow"/>
        </w:rPr>
      </w:pPr>
    </w:p>
    <w:p w14:paraId="15D50445" w14:textId="77777777" w:rsidR="00D561E8" w:rsidRDefault="00000000">
      <w:pPr>
        <w:spacing w:line="480" w:lineRule="auto"/>
      </w:pPr>
      <w:r>
        <w:t>Blood was collected from a subset of 100,000 Genomes Project probands in PaxGene tubes to preserve RNA at the time of recruitment. RNA was extracted, depleted of globin and ribosomal RNAs, and subjected to sequencing by Illumina using 100bp paired-end reads, with a mean of 102M mapped reads per individual. Alignment was performed using Illumina's DRAGEN pipeline. IGV</w:t>
      </w:r>
      <w:hyperlink r:id="rId71">
        <w:r>
          <w:rPr>
            <w:color w:val="000000"/>
            <w:vertAlign w:val="superscript"/>
          </w:rPr>
          <w:t>60</w:t>
        </w:r>
      </w:hyperlink>
      <w:r>
        <w:t xml:space="preserve"> was used to inspect sequencing reads and generate Sashimi plots to show splicing junctions supported by 5 or more reads in areas of interest. FRASER2</w:t>
      </w:r>
      <w:hyperlink r:id="rId72">
        <w:r>
          <w:rPr>
            <w:color w:val="000000"/>
            <w:vertAlign w:val="superscript"/>
          </w:rPr>
          <w:t>61</w:t>
        </w:r>
      </w:hyperlink>
      <w:r>
        <w:t xml:space="preserve"> and OUTRIDER</w:t>
      </w:r>
      <w:hyperlink r:id="rId73">
        <w:r>
          <w:rPr>
            <w:color w:val="000000"/>
            <w:vertAlign w:val="superscript"/>
          </w:rPr>
          <w:t>62</w:t>
        </w:r>
      </w:hyperlink>
      <w:r>
        <w:t xml:space="preserve"> were used to detect abnormal splicing events and expression differences with 499 samples used as controls.</w:t>
      </w:r>
    </w:p>
    <w:p w14:paraId="2811982B" w14:textId="77777777" w:rsidR="00D561E8" w:rsidRDefault="00D561E8">
      <w:pPr>
        <w:spacing w:line="480" w:lineRule="auto"/>
      </w:pPr>
    </w:p>
    <w:p w14:paraId="46077FF0" w14:textId="77777777" w:rsidR="00D561E8" w:rsidRDefault="00000000">
      <w:pPr>
        <w:spacing w:line="480" w:lineRule="auto"/>
      </w:pPr>
      <w:r>
        <w:t>DNA methylation array testing was performed on a diagnostic basis as described previously</w:t>
      </w:r>
      <w:hyperlink r:id="rId74">
        <w:r>
          <w:rPr>
            <w:color w:val="000000"/>
            <w:vertAlign w:val="superscript"/>
          </w:rPr>
          <w:t>63,64</w:t>
        </w:r>
      </w:hyperlink>
      <w:r>
        <w:t>.</w:t>
      </w:r>
    </w:p>
    <w:p w14:paraId="28C3FD9E" w14:textId="77777777" w:rsidR="00D561E8" w:rsidRDefault="00D561E8">
      <w:pPr>
        <w:spacing w:after="160" w:line="301" w:lineRule="auto"/>
      </w:pPr>
    </w:p>
    <w:p w14:paraId="01E571AA" w14:textId="77777777" w:rsidR="00D561E8" w:rsidRDefault="00000000">
      <w:pPr>
        <w:spacing w:after="160" w:line="301" w:lineRule="auto"/>
      </w:pPr>
      <w:r>
        <w:t>Unless otherwise stated, all analyses were performed using R Statistical software version 4.0.2</w:t>
      </w:r>
      <w:hyperlink r:id="rId75">
        <w:r>
          <w:rPr>
            <w:color w:val="000000"/>
            <w:vertAlign w:val="superscript"/>
          </w:rPr>
          <w:t>65</w:t>
        </w:r>
      </w:hyperlink>
      <w:r>
        <w:t>, with the packages ‘dplyr’</w:t>
      </w:r>
      <w:hyperlink r:id="rId76">
        <w:r>
          <w:rPr>
            <w:color w:val="000000"/>
            <w:vertAlign w:val="superscript"/>
          </w:rPr>
          <w:t>66</w:t>
        </w:r>
      </w:hyperlink>
      <w:r>
        <w:t>, ‘tidyr’</w:t>
      </w:r>
      <w:hyperlink r:id="rId77">
        <w:r>
          <w:rPr>
            <w:color w:val="000000"/>
            <w:vertAlign w:val="superscript"/>
          </w:rPr>
          <w:t>67</w:t>
        </w:r>
      </w:hyperlink>
      <w:r>
        <w:t>, ‘stringr’</w:t>
      </w:r>
      <w:hyperlink r:id="rId78">
        <w:r>
          <w:rPr>
            <w:color w:val="000000"/>
            <w:vertAlign w:val="superscript"/>
          </w:rPr>
          <w:t>68</w:t>
        </w:r>
      </w:hyperlink>
      <w:r>
        <w:t>, ’Rlabkey’</w:t>
      </w:r>
      <w:hyperlink r:id="rId79">
        <w:r>
          <w:rPr>
            <w:color w:val="000000"/>
            <w:vertAlign w:val="superscript"/>
          </w:rPr>
          <w:t>24</w:t>
        </w:r>
      </w:hyperlink>
      <w:r>
        <w:t>, ’UpSetR’</w:t>
      </w:r>
      <w:hyperlink r:id="rId80">
        <w:r>
          <w:rPr>
            <w:color w:val="000000"/>
            <w:vertAlign w:val="superscript"/>
          </w:rPr>
          <w:t>69</w:t>
        </w:r>
      </w:hyperlink>
      <w:r>
        <w:t>, and ‘ggplot2’</w:t>
      </w:r>
      <w:hyperlink r:id="rId81">
        <w:r>
          <w:rPr>
            <w:color w:val="000000"/>
            <w:vertAlign w:val="superscript"/>
          </w:rPr>
          <w:t>70</w:t>
        </w:r>
      </w:hyperlink>
      <w:r>
        <w:t>.</w:t>
      </w:r>
    </w:p>
    <w:p w14:paraId="5A464360" w14:textId="77777777" w:rsidR="00D561E8" w:rsidRDefault="00D561E8">
      <w:pPr>
        <w:spacing w:line="480" w:lineRule="auto"/>
      </w:pPr>
    </w:p>
    <w:p w14:paraId="549391B1" w14:textId="77777777" w:rsidR="00D561E8" w:rsidRDefault="00D561E8">
      <w:pPr>
        <w:spacing w:line="480" w:lineRule="auto"/>
        <w:rPr>
          <w:b/>
        </w:rPr>
      </w:pPr>
    </w:p>
    <w:p w14:paraId="3C491FA6" w14:textId="77777777" w:rsidR="00D561E8" w:rsidRDefault="00000000">
      <w:pPr>
        <w:spacing w:line="480" w:lineRule="auto"/>
        <w:rPr>
          <w:b/>
          <w:sz w:val="28"/>
          <w:szCs w:val="28"/>
        </w:rPr>
      </w:pPr>
      <w:r>
        <w:rPr>
          <w:b/>
          <w:sz w:val="28"/>
          <w:szCs w:val="28"/>
        </w:rPr>
        <w:t>Results</w:t>
      </w:r>
    </w:p>
    <w:p w14:paraId="5C4FEFCE" w14:textId="77777777" w:rsidR="00D561E8" w:rsidRDefault="00D561E8">
      <w:pPr>
        <w:spacing w:line="480" w:lineRule="auto"/>
      </w:pPr>
    </w:p>
    <w:p w14:paraId="01AF9D23" w14:textId="77777777" w:rsidR="00D561E8" w:rsidRDefault="00000000">
      <w:pPr>
        <w:spacing w:line="480" w:lineRule="auto"/>
      </w:pPr>
      <w:r>
        <w:rPr>
          <w:b/>
        </w:rPr>
        <w:t>Strict region-specific filtering prioritises likely deleterious de novo promoter and UTR variants</w:t>
      </w:r>
    </w:p>
    <w:p w14:paraId="492BFF63" w14:textId="77777777" w:rsidR="00D561E8" w:rsidRDefault="00D561E8">
      <w:pPr>
        <w:spacing w:line="480" w:lineRule="auto"/>
      </w:pPr>
    </w:p>
    <w:p w14:paraId="37F1513C" w14:textId="77777777" w:rsidR="00D561E8" w:rsidRDefault="00000000">
      <w:pPr>
        <w:spacing w:line="480" w:lineRule="auto"/>
      </w:pPr>
      <w:r>
        <w:t xml:space="preserve">We identified 685,438 rare (AF </w:t>
      </w:r>
      <w:r>
        <w:rPr>
          <w:rFonts w:ascii="Arial Unicode MS" w:eastAsia="Arial Unicode MS" w:hAnsi="Arial Unicode MS" w:cs="Arial Unicode MS"/>
        </w:rPr>
        <w:t xml:space="preserve">≤ </w:t>
      </w:r>
      <w:r>
        <w:t xml:space="preserve">0.005%) high-confidence DNVs in 9,665 trio probands with unaffected parents in GEL (70.9 per proband). 8,040 of these probands (83.2%) did not have an existing confirmed diagnosis attributed to a variant in a protein-coding region. We filtered to include only DNVs in UTR exons and introns (both defined using MANEv1.0 transcripts), and promoter regions (defined by ENCODE candidate </w:t>
      </w:r>
      <w:r>
        <w:rPr>
          <w:i/>
        </w:rPr>
        <w:t>cis</w:t>
      </w:r>
      <w:r>
        <w:t xml:space="preserve"> regulatory elements; see Methods). We limited our analysis to variants which fell in or near known monogenic disorder genes (3,316 variants) and filtered these to genes which could be plausibly associated with the participant’s phenotype. Accordingly, we filtered for DNVs of genes flagged as ‘green’ in one or more PanelApp</w:t>
      </w:r>
      <w:hyperlink r:id="rId82">
        <w:r>
          <w:rPr>
            <w:color w:val="000000"/>
            <w:vertAlign w:val="superscript"/>
          </w:rPr>
          <w:t>71</w:t>
        </w:r>
      </w:hyperlink>
      <w:r>
        <w:t xml:space="preserve"> gene panel(s) assigned to the individual, and which were associated with disorders with a dominant mode of inheritance. In total, we proceeded with 1,311 candidate DNVs in 1,118 probands.</w:t>
      </w:r>
    </w:p>
    <w:p w14:paraId="3FC6343A" w14:textId="77777777" w:rsidR="00D561E8" w:rsidRDefault="00D561E8">
      <w:pPr>
        <w:spacing w:line="480" w:lineRule="auto"/>
      </w:pPr>
    </w:p>
    <w:p w14:paraId="31CE6F36" w14:textId="77777777" w:rsidR="00D561E8" w:rsidRDefault="00000000">
      <w:pPr>
        <w:spacing w:line="480" w:lineRule="auto"/>
      </w:pPr>
      <w:r>
        <w:t xml:space="preserve">To identify likely disease-causing DNVs we used a region-specific annotation and filtering approach (Figure 1A). We prioritised 5’UTR variants that create uAUGs or disrupt uORFs </w:t>
      </w:r>
      <w:r>
        <w:lastRenderedPageBreak/>
        <w:t>using UTRannotator</w:t>
      </w:r>
      <w:hyperlink r:id="rId83">
        <w:r>
          <w:rPr>
            <w:color w:val="000000"/>
            <w:vertAlign w:val="superscript"/>
          </w:rPr>
          <w:t>29</w:t>
        </w:r>
      </w:hyperlink>
      <w:r>
        <w:t xml:space="preserve">, that overlap </w:t>
      </w:r>
      <w:r>
        <w:rPr>
          <w:i/>
        </w:rPr>
        <w:t>IRES</w:t>
      </w:r>
      <w:r>
        <w:t xml:space="preserve"> defined by IRESbase</w:t>
      </w:r>
      <w:hyperlink r:id="rId84">
        <w:r>
          <w:rPr>
            <w:color w:val="000000"/>
            <w:vertAlign w:val="superscript"/>
          </w:rPr>
          <w:t>35</w:t>
        </w:r>
      </w:hyperlink>
      <w:r>
        <w:t>, or that lead to disruption of the Kozak consensus sequence</w:t>
      </w:r>
      <w:hyperlink r:id="rId85">
        <w:r>
          <w:rPr>
            <w:color w:val="000000"/>
            <w:vertAlign w:val="superscript"/>
          </w:rPr>
          <w:t>41</w:t>
        </w:r>
      </w:hyperlink>
      <w:r>
        <w:t xml:space="preserve">. 3’UTR variants were prioritised if they disrupt a polyadenylation site or signal sequence, disrupt a miRNA binding site, disrupt an RBP motif, or if they disrupt the start/stop of a dORF with evidence of translation from ribosome profiling (from Chothani </w:t>
      </w:r>
      <w:r>
        <w:rPr>
          <w:i/>
        </w:rPr>
        <w:t>et al</w:t>
      </w:r>
      <w:hyperlink r:id="rId86">
        <w:r>
          <w:rPr>
            <w:i/>
            <w:color w:val="000000"/>
            <w:vertAlign w:val="superscript"/>
          </w:rPr>
          <w:t>40</w:t>
        </w:r>
      </w:hyperlink>
      <w:r>
        <w:t>). Given the large numbers of variants annotated as within IRES or miRNA binding sites, these variants were further filtered to remove any with CADD (&lt;22.7) or PhyloP (&lt;1.879) scores in support of being benign</w:t>
      </w:r>
      <w:hyperlink r:id="rId87">
        <w:r>
          <w:rPr>
            <w:color w:val="000000"/>
            <w:vertAlign w:val="superscript"/>
          </w:rPr>
          <w:t>34</w:t>
        </w:r>
      </w:hyperlink>
      <w:r>
        <w:t>. Across all UTR exons, and in 5’ and 3’ UTR introns, variants with SpliceAI</w:t>
      </w:r>
      <w:r>
        <w:rPr>
          <w:rFonts w:ascii="Arial Unicode MS" w:eastAsia="Arial Unicode MS" w:hAnsi="Arial Unicode MS" w:cs="Arial Unicode MS"/>
        </w:rPr>
        <w:t xml:space="preserve"> masked delta scores ≥</w:t>
      </w:r>
      <w:r>
        <w:t xml:space="preserve"> 0.2 were prioritised. Promoter variants were prioritised if they are predicted to disrupt a transcription factor binding site using FABIAN</w:t>
      </w:r>
      <w:hyperlink r:id="rId88">
        <w:r>
          <w:rPr>
            <w:color w:val="000000"/>
            <w:vertAlign w:val="superscript"/>
          </w:rPr>
          <w:t>49</w:t>
        </w:r>
      </w:hyperlink>
      <w:r>
        <w:t xml:space="preserve">. Finally, across all regions, variants with a CADD score </w:t>
      </w:r>
      <w:r>
        <w:rPr>
          <w:rFonts w:ascii="Arial Unicode MS" w:eastAsia="Arial Unicode MS" w:hAnsi="Arial Unicode MS" w:cs="Arial Unicode MS"/>
        </w:rPr>
        <w:t>≥</w:t>
      </w:r>
      <w:r>
        <w:t xml:space="preserve"> 25.3 and/or a PhyloP score </w:t>
      </w:r>
      <w:r>
        <w:rPr>
          <w:rFonts w:ascii="Arial Unicode MS" w:eastAsia="Arial Unicode MS" w:hAnsi="Arial Unicode MS" w:cs="Arial Unicode MS"/>
        </w:rPr>
        <w:t>≥</w:t>
      </w:r>
      <w:r>
        <w:t xml:space="preserve"> 7.367 were prioritised, irrespective of whether they had any other annotation (thresholds equivalent to ‘supporting’ evidence towards pathogenicity taken from Pejaver </w:t>
      </w:r>
      <w:r>
        <w:rPr>
          <w:i/>
        </w:rPr>
        <w:t>et al</w:t>
      </w:r>
      <w:hyperlink r:id="rId89">
        <w:r>
          <w:rPr>
            <w:i/>
            <w:color w:val="000000"/>
            <w:vertAlign w:val="superscript"/>
          </w:rPr>
          <w:t>34</w:t>
        </w:r>
      </w:hyperlink>
      <w:r>
        <w:t>). After filtering to only include variants with one or more of these annotations, we retained eleven candidate DNVs (0.8% of the initial 1,311 DNVs) each found in a different individual (Figure 1B; Additional file 1:Table S1).</w:t>
      </w:r>
    </w:p>
    <w:p w14:paraId="578D31CC" w14:textId="77777777" w:rsidR="00D561E8" w:rsidRDefault="00000000">
      <w:pPr>
        <w:spacing w:line="480" w:lineRule="auto"/>
        <w:rPr>
          <w:highlight w:val="yellow"/>
        </w:rPr>
      </w:pPr>
      <w:r>
        <w:rPr>
          <w:noProof/>
        </w:rPr>
        <w:lastRenderedPageBreak/>
        <w:drawing>
          <wp:inline distT="114300" distB="114300" distL="114300" distR="114300" wp14:anchorId="6AC40CBA" wp14:editId="7E29254A">
            <wp:extent cx="5731200" cy="5918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0"/>
                    <a:srcRect l="8970" r="15116"/>
                    <a:stretch>
                      <a:fillRect/>
                    </a:stretch>
                  </pic:blipFill>
                  <pic:spPr>
                    <a:xfrm>
                      <a:off x="0" y="0"/>
                      <a:ext cx="5731200" cy="5918200"/>
                    </a:xfrm>
                    <a:prstGeom prst="rect">
                      <a:avLst/>
                    </a:prstGeom>
                    <a:ln/>
                  </pic:spPr>
                </pic:pic>
              </a:graphicData>
            </a:graphic>
          </wp:inline>
        </w:drawing>
      </w:r>
    </w:p>
    <w:p w14:paraId="5EBC4E60" w14:textId="77777777" w:rsidR="00D561E8" w:rsidRDefault="00D561E8">
      <w:pPr>
        <w:spacing w:line="480" w:lineRule="auto"/>
      </w:pPr>
    </w:p>
    <w:p w14:paraId="7917AEF5" w14:textId="77777777" w:rsidR="00D561E8" w:rsidRDefault="00000000">
      <w:pPr>
        <w:spacing w:line="480" w:lineRule="auto"/>
        <w:rPr>
          <w:b/>
          <w:sz w:val="20"/>
          <w:szCs w:val="20"/>
        </w:rPr>
      </w:pPr>
      <w:r>
        <w:rPr>
          <w:b/>
          <w:sz w:val="20"/>
          <w:szCs w:val="20"/>
        </w:rPr>
        <w:t xml:space="preserve">Figure 1: Prioritised </w:t>
      </w:r>
      <w:r>
        <w:rPr>
          <w:b/>
          <w:i/>
          <w:sz w:val="20"/>
          <w:szCs w:val="20"/>
        </w:rPr>
        <w:t>de novo</w:t>
      </w:r>
      <w:r>
        <w:rPr>
          <w:b/>
          <w:sz w:val="20"/>
          <w:szCs w:val="20"/>
        </w:rPr>
        <w:t xml:space="preserve"> variants split by region and variant annotations</w:t>
      </w:r>
      <w:r>
        <w:rPr>
          <w:sz w:val="20"/>
          <w:szCs w:val="20"/>
        </w:rPr>
        <w:t>. DNVs were identified from the Genomics England</w:t>
      </w:r>
      <w:r>
        <w:rPr>
          <w:i/>
          <w:sz w:val="20"/>
          <w:szCs w:val="20"/>
        </w:rPr>
        <w:t xml:space="preserve"> de novo</w:t>
      </w:r>
      <w:r>
        <w:rPr>
          <w:sz w:val="20"/>
          <w:szCs w:val="20"/>
        </w:rPr>
        <w:t xml:space="preserve"> dataset in the following regions: Promoter (mustard), UTR exons (raspberry), and UTR introns (teal). A. Flowchart showing </w:t>
      </w:r>
      <w:r>
        <w:rPr>
          <w:i/>
          <w:sz w:val="20"/>
          <w:szCs w:val="20"/>
        </w:rPr>
        <w:t xml:space="preserve">de novo </w:t>
      </w:r>
      <w:r>
        <w:rPr>
          <w:sz w:val="20"/>
          <w:szCs w:val="20"/>
        </w:rPr>
        <w:t xml:space="preserve">variant counts for all steps in our pipeline and the annotations used to prioritise variants in each region type. Filtering steps are shown in pink boxes; Initial participants without a diagnosis attributed to a coding variant are shown in gold box; </w:t>
      </w:r>
      <w:r>
        <w:rPr>
          <w:i/>
          <w:sz w:val="20"/>
          <w:szCs w:val="20"/>
        </w:rPr>
        <w:t xml:space="preserve">De Novo </w:t>
      </w:r>
      <w:r>
        <w:rPr>
          <w:sz w:val="20"/>
          <w:szCs w:val="20"/>
        </w:rPr>
        <w:t xml:space="preserve">variant counts are each stage are shown in pale green boxes;  B. Upset plot showing genes with variants prioritised by our pipeline. The gene names corresponding to identified DNVs are written above the corresponding bar. Those in black represent likely diagnoses </w:t>
      </w:r>
      <w:r>
        <w:rPr>
          <w:sz w:val="20"/>
          <w:szCs w:val="20"/>
        </w:rPr>
        <w:lastRenderedPageBreak/>
        <w:t>(nine probands), with those in grey not being a good phenotypic match (two probands). Novel potential diagnoses are marked by an asterisk. Vertical bars in the top panel denote the number of variants identified with specific region and variant annotations that are represented by the bar colour (region annotations), and in the upset plot below (variant annotations). The total number of DNVs with each variant annotation is shown by the horizontal bars to the left of the upset</w:t>
      </w:r>
    </w:p>
    <w:p w14:paraId="1C9FF766" w14:textId="77777777" w:rsidR="00D561E8" w:rsidRDefault="00D561E8">
      <w:pPr>
        <w:spacing w:line="480" w:lineRule="auto"/>
        <w:rPr>
          <w:b/>
          <w:sz w:val="20"/>
          <w:szCs w:val="20"/>
        </w:rPr>
      </w:pPr>
    </w:p>
    <w:p w14:paraId="3FE2CA6A" w14:textId="77777777" w:rsidR="00D561E8" w:rsidRDefault="00000000">
      <w:pPr>
        <w:spacing w:line="480" w:lineRule="auto"/>
        <w:rPr>
          <w:b/>
        </w:rPr>
      </w:pPr>
      <w:r>
        <w:rPr>
          <w:b/>
        </w:rPr>
        <w:t>Promoter and UTR DNVs provide a diagnosis for undiagnosed individuals with rare disease</w:t>
      </w:r>
    </w:p>
    <w:p w14:paraId="7A7C0D7C" w14:textId="77777777" w:rsidR="00D561E8" w:rsidRDefault="00D561E8">
      <w:pPr>
        <w:spacing w:line="480" w:lineRule="auto"/>
      </w:pPr>
    </w:p>
    <w:p w14:paraId="041E4B1B" w14:textId="77777777" w:rsidR="00D561E8" w:rsidRDefault="00000000">
      <w:pPr>
        <w:spacing w:line="480" w:lineRule="auto"/>
      </w:pPr>
      <w:r>
        <w:t xml:space="preserve">Of the eleven remaining candidate variants, nine (82%) were assessed to be a good match for the individual’s phenotype after detailed clinical review (see methods). Three of these had been flagged as diagnostic variants in GEL (in the ‘exit questionnaire’ table) prior to starting this work: two 5’UTR splicing variants in </w:t>
      </w:r>
      <w:r>
        <w:rPr>
          <w:i/>
        </w:rPr>
        <w:t>PAX6</w:t>
      </w:r>
      <w:r>
        <w:t xml:space="preserve"> in two individuals with aniridia (OMIM:617141) and one 5’UTR splicing variant in </w:t>
      </w:r>
      <w:r>
        <w:rPr>
          <w:i/>
        </w:rPr>
        <w:t>RPL26</w:t>
      </w:r>
      <w:r>
        <w:t xml:space="preserve"> in an individual with a previously undiagnosed monogenic disorder. A further variant, a 5’UTR variant that creates an upstream start codon in </w:t>
      </w:r>
      <w:r>
        <w:rPr>
          <w:i/>
        </w:rPr>
        <w:t>MEF2C</w:t>
      </w:r>
      <w:r>
        <w:t xml:space="preserve">, we previously identified as occurring </w:t>
      </w:r>
      <w:r>
        <w:rPr>
          <w:i/>
        </w:rPr>
        <w:t>de novo</w:t>
      </w:r>
      <w:r>
        <w:t xml:space="preserve"> in three unrelated individuals with severe developmental disorders</w:t>
      </w:r>
      <w:hyperlink r:id="rId91">
        <w:r>
          <w:rPr>
            <w:color w:val="000000"/>
            <w:vertAlign w:val="superscript"/>
          </w:rPr>
          <w:t>2</w:t>
        </w:r>
      </w:hyperlink>
      <w:r>
        <w:t xml:space="preserve">. Our approach successfully prioritised all rare DNVs within our candidate regions that had previously been identified as likely diagnostic in GEL. Together, these data demonstrate that our pipeline effectively identifies known diagnostic variants. </w:t>
      </w:r>
    </w:p>
    <w:p w14:paraId="1934046E" w14:textId="77777777" w:rsidR="00D561E8" w:rsidRDefault="00D561E8">
      <w:pPr>
        <w:spacing w:line="480" w:lineRule="auto"/>
      </w:pPr>
    </w:p>
    <w:p w14:paraId="7B9ABD95" w14:textId="77777777" w:rsidR="00D561E8" w:rsidRDefault="00000000">
      <w:pPr>
        <w:spacing w:line="480" w:lineRule="auto"/>
      </w:pPr>
      <w:r>
        <w:t xml:space="preserve">Four of the remaining five variants represent likely new diagnoses: (1) a 5’UTR uAUG-creating variant in </w:t>
      </w:r>
      <w:r>
        <w:rPr>
          <w:i/>
        </w:rPr>
        <w:t>SLC2A1</w:t>
      </w:r>
      <w:r>
        <w:t xml:space="preserve"> in a patient with GLUT1 deficiency syndrome (OMIM:606777) that was not flagged by GEL as diagnostic, but that has been published previously</w:t>
      </w:r>
      <w:hyperlink r:id="rId92">
        <w:r>
          <w:rPr>
            <w:color w:val="000000"/>
            <w:vertAlign w:val="superscript"/>
          </w:rPr>
          <w:t>3</w:t>
        </w:r>
      </w:hyperlink>
      <w:r>
        <w:t xml:space="preserve"> (Figure 2A). This uAUG is created into a strong start codon context and functional studies support its translation</w:t>
      </w:r>
      <w:hyperlink r:id="rId93">
        <w:r>
          <w:rPr>
            <w:color w:val="000000"/>
            <w:vertAlign w:val="superscript"/>
          </w:rPr>
          <w:t>3</w:t>
        </w:r>
      </w:hyperlink>
      <w:r>
        <w:t xml:space="preserve">. Translation from this uAUG will prevent translation of the downstream CDS, leading to loss-of-function (Figure 2A). After returning this diagnosis to the recruiting clinical team it was classified as Likely Pathogenic and the individual is now on treatment; (2) A </w:t>
      </w:r>
      <w:r>
        <w:rPr>
          <w:i/>
        </w:rPr>
        <w:lastRenderedPageBreak/>
        <w:t xml:space="preserve">NIPBL </w:t>
      </w:r>
      <w:r>
        <w:t>splice disrupting (SpliceAI=0.24) variant 17 bp upstream of the final 5’UTR acceptor site in a participant with a phenotype closely related to Cornelia de Lange syndrome (OMIM:122470, Figure 2B). This variant introduces an AG dinucleotide which is predicted to result in a premature acceptor</w:t>
      </w:r>
      <w:r>
        <w:rPr>
          <w:i/>
        </w:rPr>
        <w:t>,</w:t>
      </w:r>
      <w:r>
        <w:t xml:space="preserve"> however, the positioning of this within the ‘AG exclusion zone’ may also cause skipping of the exon containing the CDS start codon or other splice defects</w:t>
      </w:r>
      <w:hyperlink r:id="rId94">
        <w:r>
          <w:rPr>
            <w:color w:val="000000"/>
            <w:vertAlign w:val="superscript"/>
          </w:rPr>
          <w:t>72</w:t>
        </w:r>
      </w:hyperlink>
      <w:r>
        <w:t xml:space="preserve"> (Figure 2B). The exact impact of this variant will need to be confirmed through RNA studies, but RNA was not available for the patient; (3) A promoter variant that is located in a highly evolutionarily conserved position (PhyloP=7.426) 13 bp upstream of the TSS of </w:t>
      </w:r>
      <w:r>
        <w:rPr>
          <w:i/>
        </w:rPr>
        <w:t xml:space="preserve">ZBTB18 </w:t>
      </w:r>
      <w:r>
        <w:t xml:space="preserve">in a participant with Intellectual disability; (4) A 5’UTR splice-site variant in </w:t>
      </w:r>
      <w:r>
        <w:rPr>
          <w:i/>
        </w:rPr>
        <w:t>SETD5</w:t>
      </w:r>
      <w:r>
        <w:t xml:space="preserve"> in an individual originally suspected to have Silver Russell Syndrome (OMIM:180860). This variant is predicted to result in loss of the splice donor (SpliceAI=0.97) of the first 5’UTR exon at the canonical +1 position. DNA methylation signature analysis in this patient revealed an episignature consistent with </w:t>
      </w:r>
      <w:r>
        <w:rPr>
          <w:i/>
        </w:rPr>
        <w:t>SETD5-related neurodevelopmental disorder</w:t>
      </w:r>
      <w:r>
        <w:t xml:space="preserve"> (Figure 2C) and no other candidate variants were identified after screening the protein-coding regions of </w:t>
      </w:r>
      <w:r>
        <w:rPr>
          <w:i/>
        </w:rPr>
        <w:t>SETD5</w:t>
      </w:r>
      <w:r>
        <w:t xml:space="preserve">. </w:t>
      </w:r>
    </w:p>
    <w:p w14:paraId="7A680439" w14:textId="77777777" w:rsidR="00D561E8" w:rsidRDefault="00D561E8">
      <w:pPr>
        <w:spacing w:line="480" w:lineRule="auto"/>
      </w:pPr>
    </w:p>
    <w:p w14:paraId="0376EBBB" w14:textId="77777777" w:rsidR="00D561E8" w:rsidRDefault="00000000">
      <w:pPr>
        <w:spacing w:line="480" w:lineRule="auto"/>
      </w:pPr>
      <w:r>
        <w:t xml:space="preserve">We also prioritised a cryptic splice variant in </w:t>
      </w:r>
      <w:r>
        <w:rPr>
          <w:i/>
        </w:rPr>
        <w:t xml:space="preserve">GNAS </w:t>
      </w:r>
      <w:r>
        <w:t xml:space="preserve">(SpliceAI=0.67) in a participant with hypothyroidism. Whilst we originally annotated this variant as within a 3’UTR intron for the MANE Plus Clinical transcript, the intron is between two CDS exons of the MANE Select transcript. Blood RNA-sequencing from the patient showed evidence of abnormal splicing of the MANE Select transcript, including intron retention (FRASER2 adjusted </w:t>
      </w:r>
      <w:r>
        <w:rPr>
          <w:i/>
        </w:rPr>
        <w:t>P</w:t>
      </w:r>
      <w:r>
        <w:t>=1.67x10</w:t>
      </w:r>
      <w:r>
        <w:rPr>
          <w:vertAlign w:val="superscript"/>
        </w:rPr>
        <w:t>-23</w:t>
      </w:r>
      <w:r>
        <w:t xml:space="preserve">), and significantly reduced expression (OUTRIDER adjusted </w:t>
      </w:r>
      <w:r>
        <w:rPr>
          <w:i/>
        </w:rPr>
        <w:t>P</w:t>
      </w:r>
      <w:r>
        <w:t xml:space="preserve">=0.0019; fold-change=0.66; Figure 2D), however the exact mechanism through which this variant could lead to disease is unclear. </w:t>
      </w:r>
    </w:p>
    <w:p w14:paraId="043E2381" w14:textId="77777777" w:rsidR="00D561E8" w:rsidRDefault="00D561E8">
      <w:pPr>
        <w:spacing w:line="480" w:lineRule="auto"/>
      </w:pPr>
    </w:p>
    <w:p w14:paraId="5EE4B2AD" w14:textId="77777777" w:rsidR="00D561E8" w:rsidRDefault="00000000">
      <w:pPr>
        <w:spacing w:line="480" w:lineRule="auto"/>
      </w:pPr>
      <w:r>
        <w:t xml:space="preserve">For all candidate variants, we checked whether they were found in any other individuals across the full GEL cohort (i.e. not limiting to full trios or DNVs). Whilst we did not observe recurrence of any of the exact variants identified, we did identify a second participant with a </w:t>
      </w:r>
      <w:r>
        <w:lastRenderedPageBreak/>
        <w:t xml:space="preserve">different </w:t>
      </w:r>
      <w:r>
        <w:rPr>
          <w:i/>
        </w:rPr>
        <w:t>SETD5</w:t>
      </w:r>
      <w:r>
        <w:t xml:space="preserve"> variant at the same genomic position (chr3:9397974 </w:t>
      </w:r>
      <w:r>
        <w:rPr>
          <w:color w:val="1D1C1D"/>
        </w:rPr>
        <w:t>CAAGGT&gt;C, hg38</w:t>
      </w:r>
      <w:r>
        <w:t xml:space="preserve">). On closer investigation, this variant is consistent with a germline </w:t>
      </w:r>
      <w:r>
        <w:rPr>
          <w:i/>
        </w:rPr>
        <w:t>de novo</w:t>
      </w:r>
      <w:r>
        <w:t xml:space="preserve">, but it fell just below the required coverage in one parent so it was excluded from the conservative high confidence </w:t>
      </w:r>
      <w:r>
        <w:rPr>
          <w:i/>
        </w:rPr>
        <w:t>de novo</w:t>
      </w:r>
      <w:r>
        <w:t xml:space="preserve"> callset. DNA methylation signature analysis also confirmed </w:t>
      </w:r>
      <w:r>
        <w:rPr>
          <w:i/>
        </w:rPr>
        <w:t>SETD5</w:t>
      </w:r>
      <w:r>
        <w:t xml:space="preserve"> as the diagnosis in this individual (Figure 2C). In total, we identified a likely disease-causing promoter and UTR DNV in ten of 8,040 individuals (0.0012%; nine initially prioritised variants and one additional </w:t>
      </w:r>
      <w:r>
        <w:rPr>
          <w:i/>
        </w:rPr>
        <w:t>SETD5</w:t>
      </w:r>
      <w:r>
        <w:t xml:space="preserve"> variant) who did not previously have a coding diagnosis. We classified all six newly identified variants as Likely Pathogenic following the ACMG/AMP guidelines (Additional file 2:Table S6)</w:t>
      </w:r>
      <w:hyperlink r:id="rId95">
        <w:r>
          <w:rPr>
            <w:color w:val="000000"/>
            <w:vertAlign w:val="superscript"/>
          </w:rPr>
          <w:t>8,73</w:t>
        </w:r>
      </w:hyperlink>
      <w:r>
        <w:t>.</w:t>
      </w:r>
    </w:p>
    <w:p w14:paraId="06A77423" w14:textId="77777777" w:rsidR="00D561E8" w:rsidRDefault="00000000">
      <w:pPr>
        <w:spacing w:line="480" w:lineRule="auto"/>
        <w:rPr>
          <w:b/>
          <w:sz w:val="20"/>
          <w:szCs w:val="20"/>
        </w:rPr>
      </w:pPr>
      <w:r>
        <w:rPr>
          <w:noProof/>
        </w:rPr>
        <w:drawing>
          <wp:inline distT="114300" distB="114300" distL="114300" distR="114300" wp14:anchorId="0B889367" wp14:editId="118B924A">
            <wp:extent cx="5731200" cy="3721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6"/>
                    <a:srcRect/>
                    <a:stretch>
                      <a:fillRect/>
                    </a:stretch>
                  </pic:blipFill>
                  <pic:spPr>
                    <a:xfrm>
                      <a:off x="0" y="0"/>
                      <a:ext cx="5731200" cy="3721100"/>
                    </a:xfrm>
                    <a:prstGeom prst="rect">
                      <a:avLst/>
                    </a:prstGeom>
                    <a:ln/>
                  </pic:spPr>
                </pic:pic>
              </a:graphicData>
            </a:graphic>
          </wp:inline>
        </w:drawing>
      </w:r>
    </w:p>
    <w:p w14:paraId="611F1BA9" w14:textId="77777777" w:rsidR="00D561E8" w:rsidRDefault="00000000">
      <w:pPr>
        <w:spacing w:line="480" w:lineRule="auto"/>
        <w:rPr>
          <w:sz w:val="20"/>
          <w:szCs w:val="20"/>
        </w:rPr>
      </w:pPr>
      <w:r>
        <w:rPr>
          <w:b/>
          <w:sz w:val="20"/>
          <w:szCs w:val="20"/>
        </w:rPr>
        <w:t>Figure 2</w:t>
      </w:r>
      <w:r>
        <w:rPr>
          <w:sz w:val="20"/>
          <w:szCs w:val="20"/>
        </w:rPr>
        <w:t>:</w:t>
      </w:r>
      <w:r>
        <w:rPr>
          <w:b/>
          <w:sz w:val="20"/>
          <w:szCs w:val="20"/>
        </w:rPr>
        <w:t xml:space="preserve"> Candidate diagnostic </w:t>
      </w:r>
      <w:r>
        <w:rPr>
          <w:b/>
          <w:i/>
          <w:sz w:val="20"/>
          <w:szCs w:val="20"/>
        </w:rPr>
        <w:t>de novo</w:t>
      </w:r>
      <w:r>
        <w:rPr>
          <w:b/>
          <w:sz w:val="20"/>
          <w:szCs w:val="20"/>
        </w:rPr>
        <w:t xml:space="preserve"> variants.</w:t>
      </w:r>
      <w:r>
        <w:rPr>
          <w:sz w:val="20"/>
          <w:szCs w:val="20"/>
        </w:rPr>
        <w:t xml:space="preserve"> A. Gene diagram showing the creation of an out of frame overlapping ORF (oORF; in red) in the </w:t>
      </w:r>
      <w:r>
        <w:rPr>
          <w:i/>
          <w:sz w:val="20"/>
          <w:szCs w:val="20"/>
        </w:rPr>
        <w:t xml:space="preserve">SLC2A1 </w:t>
      </w:r>
      <w:r>
        <w:rPr>
          <w:sz w:val="20"/>
          <w:szCs w:val="20"/>
        </w:rPr>
        <w:t xml:space="preserve">gene in the proband. B. Illustration of the AG exclusion zone in the </w:t>
      </w:r>
      <w:r>
        <w:rPr>
          <w:i/>
          <w:sz w:val="20"/>
          <w:szCs w:val="20"/>
        </w:rPr>
        <w:t xml:space="preserve">NIPBL </w:t>
      </w:r>
      <w:r>
        <w:rPr>
          <w:sz w:val="20"/>
          <w:szCs w:val="20"/>
        </w:rPr>
        <w:t>gene. The T&gt;A variant at the -17 position is marked in red, the most strongly</w:t>
      </w:r>
      <w:r>
        <w:rPr>
          <w:color w:val="1D1C1D"/>
          <w:sz w:val="20"/>
          <w:szCs w:val="20"/>
        </w:rPr>
        <w:t xml:space="preserve"> predicted branch point (Branchpointer</w:t>
      </w:r>
      <w:hyperlink r:id="rId97">
        <w:r>
          <w:rPr>
            <w:color w:val="000000"/>
            <w:sz w:val="20"/>
            <w:szCs w:val="20"/>
            <w:vertAlign w:val="superscript"/>
          </w:rPr>
          <w:t>74</w:t>
        </w:r>
      </w:hyperlink>
      <w:r>
        <w:rPr>
          <w:color w:val="1D1C1D"/>
          <w:sz w:val="20"/>
          <w:szCs w:val="20"/>
        </w:rPr>
        <w:t xml:space="preserve"> 0.48), directly upstream of the AG exclusion zone is shown in blue</w:t>
      </w:r>
      <w:r>
        <w:rPr>
          <w:sz w:val="20"/>
          <w:szCs w:val="20"/>
        </w:rPr>
        <w:t xml:space="preserve">. C. Multidimensional scaling plot showing differential methylation in </w:t>
      </w:r>
      <w:r>
        <w:rPr>
          <w:i/>
          <w:sz w:val="20"/>
          <w:szCs w:val="20"/>
        </w:rPr>
        <w:t xml:space="preserve">SETD5. </w:t>
      </w:r>
      <w:r>
        <w:rPr>
          <w:sz w:val="20"/>
          <w:szCs w:val="20"/>
        </w:rPr>
        <w:t xml:space="preserve">The position of both variants found in this gene are shown as red dotted lines. D. Sashimi plot showing aberrant splicing in the MANE Plus clinical transcript ENST00000371085. The proband shows some </w:t>
      </w:r>
      <w:r>
        <w:rPr>
          <w:sz w:val="20"/>
          <w:szCs w:val="20"/>
        </w:rPr>
        <w:lastRenderedPageBreak/>
        <w:t>retention of the intron containing the variant (which is marked by a red dotted line) and increased skipping of the following exon compared to the controls (6.06% vs 0.65% and 1%).</w:t>
      </w:r>
    </w:p>
    <w:p w14:paraId="0174FE09" w14:textId="77777777" w:rsidR="00D561E8" w:rsidRDefault="00D561E8">
      <w:pPr>
        <w:spacing w:line="480" w:lineRule="auto"/>
        <w:rPr>
          <w:sz w:val="20"/>
          <w:szCs w:val="20"/>
        </w:rPr>
      </w:pPr>
    </w:p>
    <w:p w14:paraId="0042585E" w14:textId="77777777" w:rsidR="00D561E8" w:rsidRDefault="00000000">
      <w:pPr>
        <w:spacing w:line="480" w:lineRule="auto"/>
        <w:rPr>
          <w:b/>
        </w:rPr>
      </w:pPr>
      <w:r>
        <w:rPr>
          <w:b/>
        </w:rPr>
        <w:t xml:space="preserve">Our approach shows high accuracy when tested using ClinVar </w:t>
      </w:r>
    </w:p>
    <w:p w14:paraId="0C44D15D" w14:textId="77777777" w:rsidR="00D561E8" w:rsidRDefault="00D561E8">
      <w:pPr>
        <w:spacing w:line="480" w:lineRule="auto"/>
        <w:rPr>
          <w:b/>
        </w:rPr>
      </w:pPr>
    </w:p>
    <w:p w14:paraId="47209923" w14:textId="77777777" w:rsidR="00D561E8" w:rsidRDefault="00000000">
      <w:pPr>
        <w:spacing w:line="480" w:lineRule="auto"/>
      </w:pPr>
      <w:r>
        <w:t xml:space="preserve">To further test the utility of our approach to identify known pathogenic and benign variants we used ClinVar. We identified 3,364 (likely) benign, and 123 (likely) pathogenic variants in our defined promoter and UTR regions across all genes (Table 2). Following annotation, 66/123 (53.7%) pathogenic variants, and only 24/3,364 (0.71%; Fisher’s P-value = </w:t>
      </w:r>
      <w:r>
        <w:rPr>
          <w:highlight w:val="white"/>
        </w:rPr>
        <w:t>2.59x10</w:t>
      </w:r>
      <w:r>
        <w:rPr>
          <w:highlight w:val="white"/>
          <w:vertAlign w:val="superscript"/>
        </w:rPr>
        <w:t>-84</w:t>
      </w:r>
      <w:r>
        <w:t>) benign variants were prioritised by our pipeline (Additional file 2:Tables S7 &amp; S8). Of the 57 pathogenic variants that were not prioritised, 15 (26.3%) were annotated as too common (allele frequency &gt;0.00005 in gnomAD), but all 15 were in genes primarily associated with recessive disease (</w:t>
      </w:r>
      <w:r>
        <w:rPr>
          <w:i/>
        </w:rPr>
        <w:t>HBB</w:t>
      </w:r>
      <w:r>
        <w:t xml:space="preserve"> (x8), </w:t>
      </w:r>
      <w:r>
        <w:rPr>
          <w:i/>
        </w:rPr>
        <w:t>GJB2</w:t>
      </w:r>
      <w:r>
        <w:t xml:space="preserve"> (x3), </w:t>
      </w:r>
      <w:r>
        <w:rPr>
          <w:i/>
        </w:rPr>
        <w:t>MYO7A</w:t>
      </w:r>
      <w:r>
        <w:t xml:space="preserve">, </w:t>
      </w:r>
      <w:r>
        <w:rPr>
          <w:i/>
        </w:rPr>
        <w:t>RAPSN</w:t>
      </w:r>
      <w:r>
        <w:t xml:space="preserve">, </w:t>
      </w:r>
      <w:r>
        <w:rPr>
          <w:i/>
        </w:rPr>
        <w:t>HBA2</w:t>
      </w:r>
      <w:r>
        <w:t xml:space="preserve">, and </w:t>
      </w:r>
      <w:r>
        <w:rPr>
          <w:i/>
        </w:rPr>
        <w:t>CHRNE</w:t>
      </w:r>
      <w:r>
        <w:t>). Four variants (7.0%) were not prioritised when using precomputed SpliceAI scores provided by VEP, but would have been prioritised if SpliceAI was run directly with up-to-date transcript models. The majority of the remaining variants (24/38; 63.2%) were annotated solely as promoter variants, highlighting limitations of our pipeline in annotating variants in these regions (Additional file 2:Table S8). Conversely, the majority of the benign variants that were aberrantly prioritised (18/25; 72.0%</w:t>
      </w:r>
      <w:r>
        <w:rPr>
          <w:rFonts w:ascii="Arial Unicode MS" w:eastAsia="Arial Unicode MS" w:hAnsi="Arial Unicode MS" w:cs="Arial Unicode MS"/>
        </w:rPr>
        <w:t>) had SpliceAI scores ≥ 0.2.</w:t>
      </w:r>
    </w:p>
    <w:p w14:paraId="489FB891" w14:textId="77777777" w:rsidR="00D561E8" w:rsidRDefault="00D561E8">
      <w:pPr>
        <w:spacing w:line="480" w:lineRule="auto"/>
      </w:pPr>
    </w:p>
    <w:p w14:paraId="32787F3F" w14:textId="77777777" w:rsidR="00D561E8" w:rsidRDefault="00000000">
      <w:pPr>
        <w:spacing w:line="480" w:lineRule="auto"/>
        <w:rPr>
          <w:sz w:val="20"/>
          <w:szCs w:val="20"/>
        </w:rPr>
      </w:pPr>
      <w:r>
        <w:rPr>
          <w:b/>
          <w:sz w:val="20"/>
          <w:szCs w:val="20"/>
        </w:rPr>
        <w:t>Table 2: Counts of prioritised and not prioritised ClinVar variants</w:t>
      </w:r>
      <w:r>
        <w:rPr>
          <w:sz w:val="20"/>
          <w:szCs w:val="20"/>
        </w:rPr>
        <w:t xml:space="preserve">. Variants are annotated with classification and region information. Variants annotated as overlapping the 5’UTR and promoter are included only in the 5’UTR counts. Two un-prioritised benign variants that overlap both 3’ and 5’ UTR exons are omitted from the region specific counts, but included in the total for that column.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D561E8" w14:paraId="349887C0" w14:textId="77777777">
        <w:tc>
          <w:tcPr>
            <w:tcW w:w="1805" w:type="dxa"/>
            <w:shd w:val="clear" w:color="auto" w:fill="auto"/>
            <w:tcMar>
              <w:top w:w="100" w:type="dxa"/>
              <w:left w:w="100" w:type="dxa"/>
              <w:bottom w:w="100" w:type="dxa"/>
              <w:right w:w="100" w:type="dxa"/>
            </w:tcMar>
          </w:tcPr>
          <w:p w14:paraId="53B6754B" w14:textId="77777777" w:rsidR="00D561E8" w:rsidRDefault="00000000">
            <w:pPr>
              <w:widowControl w:val="0"/>
              <w:spacing w:line="240" w:lineRule="auto"/>
              <w:rPr>
                <w:b/>
              </w:rPr>
            </w:pPr>
            <w:r>
              <w:rPr>
                <w:b/>
              </w:rPr>
              <w:t>Region</w:t>
            </w:r>
          </w:p>
        </w:tc>
        <w:tc>
          <w:tcPr>
            <w:tcW w:w="1805" w:type="dxa"/>
            <w:shd w:val="clear" w:color="auto" w:fill="auto"/>
            <w:tcMar>
              <w:top w:w="100" w:type="dxa"/>
              <w:left w:w="100" w:type="dxa"/>
              <w:bottom w:w="100" w:type="dxa"/>
              <w:right w:w="100" w:type="dxa"/>
            </w:tcMar>
          </w:tcPr>
          <w:p w14:paraId="19BE9D2F" w14:textId="77777777" w:rsidR="00D561E8" w:rsidRDefault="00000000">
            <w:pPr>
              <w:widowControl w:val="0"/>
              <w:spacing w:line="240" w:lineRule="auto"/>
              <w:rPr>
                <w:b/>
              </w:rPr>
            </w:pPr>
            <w:r>
              <w:rPr>
                <w:b/>
              </w:rPr>
              <w:t>Prioritised Pathogenic (%)</w:t>
            </w:r>
          </w:p>
        </w:tc>
        <w:tc>
          <w:tcPr>
            <w:tcW w:w="1805" w:type="dxa"/>
            <w:shd w:val="clear" w:color="auto" w:fill="auto"/>
            <w:tcMar>
              <w:top w:w="100" w:type="dxa"/>
              <w:left w:w="100" w:type="dxa"/>
              <w:bottom w:w="100" w:type="dxa"/>
              <w:right w:w="100" w:type="dxa"/>
            </w:tcMar>
          </w:tcPr>
          <w:p w14:paraId="40A0CCDF" w14:textId="77777777" w:rsidR="00D561E8" w:rsidRDefault="00000000">
            <w:pPr>
              <w:widowControl w:val="0"/>
              <w:spacing w:line="240" w:lineRule="auto"/>
              <w:rPr>
                <w:b/>
              </w:rPr>
            </w:pPr>
            <w:r>
              <w:rPr>
                <w:b/>
              </w:rPr>
              <w:t>Not prioritised Pathogenic</w:t>
            </w:r>
          </w:p>
        </w:tc>
        <w:tc>
          <w:tcPr>
            <w:tcW w:w="1805" w:type="dxa"/>
            <w:shd w:val="clear" w:color="auto" w:fill="auto"/>
            <w:tcMar>
              <w:top w:w="100" w:type="dxa"/>
              <w:left w:w="100" w:type="dxa"/>
              <w:bottom w:w="100" w:type="dxa"/>
              <w:right w:w="100" w:type="dxa"/>
            </w:tcMar>
          </w:tcPr>
          <w:p w14:paraId="73E054B6" w14:textId="77777777" w:rsidR="00D561E8" w:rsidRDefault="00000000">
            <w:pPr>
              <w:widowControl w:val="0"/>
              <w:spacing w:line="240" w:lineRule="auto"/>
              <w:rPr>
                <w:b/>
              </w:rPr>
            </w:pPr>
            <w:r>
              <w:rPr>
                <w:b/>
              </w:rPr>
              <w:t>Prioritised Benign (%)</w:t>
            </w:r>
          </w:p>
        </w:tc>
        <w:tc>
          <w:tcPr>
            <w:tcW w:w="1805" w:type="dxa"/>
            <w:shd w:val="clear" w:color="auto" w:fill="auto"/>
            <w:tcMar>
              <w:top w:w="100" w:type="dxa"/>
              <w:left w:w="100" w:type="dxa"/>
              <w:bottom w:w="100" w:type="dxa"/>
              <w:right w:w="100" w:type="dxa"/>
            </w:tcMar>
          </w:tcPr>
          <w:p w14:paraId="001EB1D2" w14:textId="77777777" w:rsidR="00D561E8" w:rsidRDefault="00000000">
            <w:pPr>
              <w:widowControl w:val="0"/>
              <w:spacing w:line="240" w:lineRule="auto"/>
              <w:rPr>
                <w:b/>
              </w:rPr>
            </w:pPr>
            <w:r>
              <w:rPr>
                <w:b/>
              </w:rPr>
              <w:t>Not prioritised Benign</w:t>
            </w:r>
          </w:p>
        </w:tc>
      </w:tr>
      <w:tr w:rsidR="00D561E8" w14:paraId="3F81B920" w14:textId="77777777">
        <w:tc>
          <w:tcPr>
            <w:tcW w:w="1805" w:type="dxa"/>
            <w:shd w:val="clear" w:color="auto" w:fill="auto"/>
            <w:tcMar>
              <w:top w:w="100" w:type="dxa"/>
              <w:left w:w="100" w:type="dxa"/>
              <w:bottom w:w="100" w:type="dxa"/>
              <w:right w:w="100" w:type="dxa"/>
            </w:tcMar>
          </w:tcPr>
          <w:p w14:paraId="5A9CAF03" w14:textId="77777777" w:rsidR="00D561E8" w:rsidRDefault="00000000">
            <w:pPr>
              <w:widowControl w:val="0"/>
              <w:spacing w:line="240" w:lineRule="auto"/>
            </w:pPr>
            <w:r>
              <w:t>Promoter</w:t>
            </w:r>
          </w:p>
        </w:tc>
        <w:tc>
          <w:tcPr>
            <w:tcW w:w="1805" w:type="dxa"/>
            <w:shd w:val="clear" w:color="auto" w:fill="auto"/>
            <w:tcMar>
              <w:top w:w="100" w:type="dxa"/>
              <w:left w:w="100" w:type="dxa"/>
              <w:bottom w:w="100" w:type="dxa"/>
              <w:right w:w="100" w:type="dxa"/>
            </w:tcMar>
          </w:tcPr>
          <w:p w14:paraId="47F2DB48" w14:textId="77777777" w:rsidR="00D561E8" w:rsidRDefault="00000000">
            <w:pPr>
              <w:widowControl w:val="0"/>
              <w:spacing w:line="240" w:lineRule="auto"/>
            </w:pPr>
            <w:r>
              <w:t>17 (36.2%)</w:t>
            </w:r>
          </w:p>
        </w:tc>
        <w:tc>
          <w:tcPr>
            <w:tcW w:w="1805" w:type="dxa"/>
            <w:shd w:val="clear" w:color="auto" w:fill="auto"/>
            <w:tcMar>
              <w:top w:w="100" w:type="dxa"/>
              <w:left w:w="100" w:type="dxa"/>
              <w:bottom w:w="100" w:type="dxa"/>
              <w:right w:w="100" w:type="dxa"/>
            </w:tcMar>
          </w:tcPr>
          <w:p w14:paraId="4AD34727" w14:textId="77777777" w:rsidR="00D561E8" w:rsidRDefault="00000000">
            <w:pPr>
              <w:widowControl w:val="0"/>
              <w:spacing w:line="240" w:lineRule="auto"/>
            </w:pPr>
            <w:r>
              <w:t>30</w:t>
            </w:r>
          </w:p>
        </w:tc>
        <w:tc>
          <w:tcPr>
            <w:tcW w:w="1805" w:type="dxa"/>
            <w:shd w:val="clear" w:color="auto" w:fill="auto"/>
            <w:tcMar>
              <w:top w:w="100" w:type="dxa"/>
              <w:left w:w="100" w:type="dxa"/>
              <w:bottom w:w="100" w:type="dxa"/>
              <w:right w:w="100" w:type="dxa"/>
            </w:tcMar>
          </w:tcPr>
          <w:p w14:paraId="265D6F86" w14:textId="77777777" w:rsidR="00D561E8" w:rsidRDefault="00000000">
            <w:pPr>
              <w:widowControl w:val="0"/>
              <w:spacing w:line="240" w:lineRule="auto"/>
            </w:pPr>
            <w:r>
              <w:t>0 (0%)</w:t>
            </w:r>
          </w:p>
        </w:tc>
        <w:tc>
          <w:tcPr>
            <w:tcW w:w="1805" w:type="dxa"/>
            <w:shd w:val="clear" w:color="auto" w:fill="auto"/>
            <w:tcMar>
              <w:top w:w="100" w:type="dxa"/>
              <w:left w:w="100" w:type="dxa"/>
              <w:bottom w:w="100" w:type="dxa"/>
              <w:right w:w="100" w:type="dxa"/>
            </w:tcMar>
          </w:tcPr>
          <w:p w14:paraId="698C1EAD" w14:textId="77777777" w:rsidR="00D561E8" w:rsidRDefault="00000000">
            <w:pPr>
              <w:widowControl w:val="0"/>
              <w:spacing w:line="240" w:lineRule="auto"/>
            </w:pPr>
            <w:r>
              <w:t>376</w:t>
            </w:r>
          </w:p>
        </w:tc>
      </w:tr>
      <w:tr w:rsidR="00D561E8" w14:paraId="05FCCF48" w14:textId="77777777">
        <w:tc>
          <w:tcPr>
            <w:tcW w:w="1805" w:type="dxa"/>
            <w:shd w:val="clear" w:color="auto" w:fill="auto"/>
            <w:tcMar>
              <w:top w:w="100" w:type="dxa"/>
              <w:left w:w="100" w:type="dxa"/>
              <w:bottom w:w="100" w:type="dxa"/>
              <w:right w:w="100" w:type="dxa"/>
            </w:tcMar>
          </w:tcPr>
          <w:p w14:paraId="6EA7D824" w14:textId="77777777" w:rsidR="00D561E8" w:rsidRDefault="00000000">
            <w:pPr>
              <w:widowControl w:val="0"/>
              <w:spacing w:line="240" w:lineRule="auto"/>
            </w:pPr>
            <w:r>
              <w:t>5’ UTR exon</w:t>
            </w:r>
          </w:p>
        </w:tc>
        <w:tc>
          <w:tcPr>
            <w:tcW w:w="1805" w:type="dxa"/>
            <w:shd w:val="clear" w:color="auto" w:fill="auto"/>
            <w:tcMar>
              <w:top w:w="100" w:type="dxa"/>
              <w:left w:w="100" w:type="dxa"/>
              <w:bottom w:w="100" w:type="dxa"/>
              <w:right w:w="100" w:type="dxa"/>
            </w:tcMar>
          </w:tcPr>
          <w:p w14:paraId="381BBCEA" w14:textId="77777777" w:rsidR="00D561E8" w:rsidRDefault="00000000">
            <w:pPr>
              <w:widowControl w:val="0"/>
              <w:spacing w:line="240" w:lineRule="auto"/>
            </w:pPr>
            <w:r>
              <w:t>10 (45.5%)</w:t>
            </w:r>
          </w:p>
        </w:tc>
        <w:tc>
          <w:tcPr>
            <w:tcW w:w="1805" w:type="dxa"/>
            <w:shd w:val="clear" w:color="auto" w:fill="auto"/>
            <w:tcMar>
              <w:top w:w="100" w:type="dxa"/>
              <w:left w:w="100" w:type="dxa"/>
              <w:bottom w:w="100" w:type="dxa"/>
              <w:right w:w="100" w:type="dxa"/>
            </w:tcMar>
          </w:tcPr>
          <w:p w14:paraId="1B2B1CC6" w14:textId="77777777" w:rsidR="00D561E8" w:rsidRDefault="00000000">
            <w:pPr>
              <w:widowControl w:val="0"/>
              <w:spacing w:line="240" w:lineRule="auto"/>
            </w:pPr>
            <w:r>
              <w:t>12</w:t>
            </w:r>
          </w:p>
        </w:tc>
        <w:tc>
          <w:tcPr>
            <w:tcW w:w="1805" w:type="dxa"/>
            <w:shd w:val="clear" w:color="auto" w:fill="auto"/>
            <w:tcMar>
              <w:top w:w="100" w:type="dxa"/>
              <w:left w:w="100" w:type="dxa"/>
              <w:bottom w:w="100" w:type="dxa"/>
              <w:right w:w="100" w:type="dxa"/>
            </w:tcMar>
          </w:tcPr>
          <w:p w14:paraId="5FFBA182" w14:textId="77777777" w:rsidR="00D561E8" w:rsidRDefault="00000000">
            <w:pPr>
              <w:widowControl w:val="0"/>
              <w:spacing w:line="240" w:lineRule="auto"/>
            </w:pPr>
            <w:r>
              <w:t>9 (1.17%)</w:t>
            </w:r>
          </w:p>
        </w:tc>
        <w:tc>
          <w:tcPr>
            <w:tcW w:w="1805" w:type="dxa"/>
            <w:shd w:val="clear" w:color="auto" w:fill="auto"/>
            <w:tcMar>
              <w:top w:w="100" w:type="dxa"/>
              <w:left w:w="100" w:type="dxa"/>
              <w:bottom w:w="100" w:type="dxa"/>
              <w:right w:w="100" w:type="dxa"/>
            </w:tcMar>
          </w:tcPr>
          <w:p w14:paraId="536FE04D" w14:textId="77777777" w:rsidR="00D561E8" w:rsidRDefault="00000000">
            <w:pPr>
              <w:widowControl w:val="0"/>
              <w:spacing w:line="240" w:lineRule="auto"/>
            </w:pPr>
            <w:r>
              <w:t>760</w:t>
            </w:r>
          </w:p>
        </w:tc>
      </w:tr>
      <w:tr w:rsidR="00D561E8" w14:paraId="2B11FF31" w14:textId="77777777">
        <w:tc>
          <w:tcPr>
            <w:tcW w:w="1805" w:type="dxa"/>
            <w:shd w:val="clear" w:color="auto" w:fill="auto"/>
            <w:tcMar>
              <w:top w:w="100" w:type="dxa"/>
              <w:left w:w="100" w:type="dxa"/>
              <w:bottom w:w="100" w:type="dxa"/>
              <w:right w:w="100" w:type="dxa"/>
            </w:tcMar>
          </w:tcPr>
          <w:p w14:paraId="4EA8A072" w14:textId="77777777" w:rsidR="00D561E8" w:rsidRDefault="00000000">
            <w:pPr>
              <w:widowControl w:val="0"/>
              <w:spacing w:line="240" w:lineRule="auto"/>
            </w:pPr>
            <w:r>
              <w:lastRenderedPageBreak/>
              <w:t>5’ UTR intron</w:t>
            </w:r>
          </w:p>
        </w:tc>
        <w:tc>
          <w:tcPr>
            <w:tcW w:w="1805" w:type="dxa"/>
            <w:shd w:val="clear" w:color="auto" w:fill="auto"/>
            <w:tcMar>
              <w:top w:w="100" w:type="dxa"/>
              <w:left w:w="100" w:type="dxa"/>
              <w:bottom w:w="100" w:type="dxa"/>
              <w:right w:w="100" w:type="dxa"/>
            </w:tcMar>
          </w:tcPr>
          <w:p w14:paraId="36202475" w14:textId="77777777" w:rsidR="00D561E8" w:rsidRDefault="00000000">
            <w:pPr>
              <w:widowControl w:val="0"/>
              <w:spacing w:line="240" w:lineRule="auto"/>
            </w:pPr>
            <w:r>
              <w:t>20 (76.9%)</w:t>
            </w:r>
          </w:p>
        </w:tc>
        <w:tc>
          <w:tcPr>
            <w:tcW w:w="1805" w:type="dxa"/>
            <w:shd w:val="clear" w:color="auto" w:fill="auto"/>
            <w:tcMar>
              <w:top w:w="100" w:type="dxa"/>
              <w:left w:w="100" w:type="dxa"/>
              <w:bottom w:w="100" w:type="dxa"/>
              <w:right w:w="100" w:type="dxa"/>
            </w:tcMar>
          </w:tcPr>
          <w:p w14:paraId="0A237DB1" w14:textId="77777777" w:rsidR="00D561E8" w:rsidRDefault="00000000">
            <w:pPr>
              <w:widowControl w:val="0"/>
              <w:spacing w:line="240" w:lineRule="auto"/>
            </w:pPr>
            <w:r>
              <w:t>6</w:t>
            </w:r>
          </w:p>
        </w:tc>
        <w:tc>
          <w:tcPr>
            <w:tcW w:w="1805" w:type="dxa"/>
            <w:shd w:val="clear" w:color="auto" w:fill="auto"/>
            <w:tcMar>
              <w:top w:w="100" w:type="dxa"/>
              <w:left w:w="100" w:type="dxa"/>
              <w:bottom w:w="100" w:type="dxa"/>
              <w:right w:w="100" w:type="dxa"/>
            </w:tcMar>
          </w:tcPr>
          <w:p w14:paraId="0E9992F8" w14:textId="77777777" w:rsidR="00D561E8" w:rsidRDefault="00000000">
            <w:pPr>
              <w:widowControl w:val="0"/>
              <w:spacing w:line="240" w:lineRule="auto"/>
            </w:pPr>
            <w:r>
              <w:t>4 (2.56%)</w:t>
            </w:r>
          </w:p>
        </w:tc>
        <w:tc>
          <w:tcPr>
            <w:tcW w:w="1805" w:type="dxa"/>
            <w:shd w:val="clear" w:color="auto" w:fill="auto"/>
            <w:tcMar>
              <w:top w:w="100" w:type="dxa"/>
              <w:left w:w="100" w:type="dxa"/>
              <w:bottom w:w="100" w:type="dxa"/>
              <w:right w:w="100" w:type="dxa"/>
            </w:tcMar>
          </w:tcPr>
          <w:p w14:paraId="34A7F941" w14:textId="77777777" w:rsidR="00D561E8" w:rsidRDefault="00000000">
            <w:pPr>
              <w:widowControl w:val="0"/>
              <w:spacing w:line="240" w:lineRule="auto"/>
            </w:pPr>
            <w:r>
              <w:t>152</w:t>
            </w:r>
          </w:p>
        </w:tc>
      </w:tr>
      <w:tr w:rsidR="00D561E8" w14:paraId="599FA43C" w14:textId="77777777">
        <w:tc>
          <w:tcPr>
            <w:tcW w:w="1805" w:type="dxa"/>
            <w:shd w:val="clear" w:color="auto" w:fill="auto"/>
            <w:tcMar>
              <w:top w:w="100" w:type="dxa"/>
              <w:left w:w="100" w:type="dxa"/>
              <w:bottom w:w="100" w:type="dxa"/>
              <w:right w:w="100" w:type="dxa"/>
            </w:tcMar>
          </w:tcPr>
          <w:p w14:paraId="6C77C6B3" w14:textId="77777777" w:rsidR="00D561E8" w:rsidRDefault="00000000">
            <w:pPr>
              <w:widowControl w:val="0"/>
              <w:spacing w:line="240" w:lineRule="auto"/>
            </w:pPr>
            <w:r>
              <w:t>3’ UTR exon</w:t>
            </w:r>
          </w:p>
        </w:tc>
        <w:tc>
          <w:tcPr>
            <w:tcW w:w="1805" w:type="dxa"/>
            <w:shd w:val="clear" w:color="auto" w:fill="auto"/>
            <w:tcMar>
              <w:top w:w="100" w:type="dxa"/>
              <w:left w:w="100" w:type="dxa"/>
              <w:bottom w:w="100" w:type="dxa"/>
              <w:right w:w="100" w:type="dxa"/>
            </w:tcMar>
          </w:tcPr>
          <w:p w14:paraId="4A0EC14E" w14:textId="77777777" w:rsidR="00D561E8" w:rsidRDefault="00000000">
            <w:pPr>
              <w:widowControl w:val="0"/>
              <w:spacing w:line="240" w:lineRule="auto"/>
            </w:pPr>
            <w:r>
              <w:t>16 (64.0%)</w:t>
            </w:r>
          </w:p>
        </w:tc>
        <w:tc>
          <w:tcPr>
            <w:tcW w:w="1805" w:type="dxa"/>
            <w:shd w:val="clear" w:color="auto" w:fill="auto"/>
            <w:tcMar>
              <w:top w:w="100" w:type="dxa"/>
              <w:left w:w="100" w:type="dxa"/>
              <w:bottom w:w="100" w:type="dxa"/>
              <w:right w:w="100" w:type="dxa"/>
            </w:tcMar>
          </w:tcPr>
          <w:p w14:paraId="331AA5FA" w14:textId="77777777" w:rsidR="00D561E8" w:rsidRDefault="00000000">
            <w:pPr>
              <w:widowControl w:val="0"/>
              <w:spacing w:line="240" w:lineRule="auto"/>
            </w:pPr>
            <w:r>
              <w:t>9</w:t>
            </w:r>
          </w:p>
        </w:tc>
        <w:tc>
          <w:tcPr>
            <w:tcW w:w="1805" w:type="dxa"/>
            <w:shd w:val="clear" w:color="auto" w:fill="auto"/>
            <w:tcMar>
              <w:top w:w="100" w:type="dxa"/>
              <w:left w:w="100" w:type="dxa"/>
              <w:bottom w:w="100" w:type="dxa"/>
              <w:right w:w="100" w:type="dxa"/>
            </w:tcMar>
          </w:tcPr>
          <w:p w14:paraId="205E3D17" w14:textId="77777777" w:rsidR="00D561E8" w:rsidRDefault="00000000">
            <w:pPr>
              <w:widowControl w:val="0"/>
              <w:spacing w:line="240" w:lineRule="auto"/>
            </w:pPr>
            <w:r>
              <w:t>9 (0.45%)</w:t>
            </w:r>
          </w:p>
        </w:tc>
        <w:tc>
          <w:tcPr>
            <w:tcW w:w="1805" w:type="dxa"/>
            <w:shd w:val="clear" w:color="auto" w:fill="auto"/>
            <w:tcMar>
              <w:top w:w="100" w:type="dxa"/>
              <w:left w:w="100" w:type="dxa"/>
              <w:bottom w:w="100" w:type="dxa"/>
              <w:right w:w="100" w:type="dxa"/>
            </w:tcMar>
          </w:tcPr>
          <w:p w14:paraId="5A5A69F4" w14:textId="77777777" w:rsidR="00D561E8" w:rsidRDefault="00000000">
            <w:pPr>
              <w:widowControl w:val="0"/>
              <w:spacing w:line="240" w:lineRule="auto"/>
            </w:pPr>
            <w:r>
              <w:t>2,000</w:t>
            </w:r>
          </w:p>
        </w:tc>
      </w:tr>
      <w:tr w:rsidR="00D561E8" w14:paraId="4D56E60B" w14:textId="77777777">
        <w:tc>
          <w:tcPr>
            <w:tcW w:w="1805" w:type="dxa"/>
            <w:shd w:val="clear" w:color="auto" w:fill="auto"/>
            <w:tcMar>
              <w:top w:w="100" w:type="dxa"/>
              <w:left w:w="100" w:type="dxa"/>
              <w:bottom w:w="100" w:type="dxa"/>
              <w:right w:w="100" w:type="dxa"/>
            </w:tcMar>
          </w:tcPr>
          <w:p w14:paraId="5C6C6F88" w14:textId="77777777" w:rsidR="00D561E8" w:rsidRDefault="00000000">
            <w:pPr>
              <w:widowControl w:val="0"/>
              <w:spacing w:line="240" w:lineRule="auto"/>
            </w:pPr>
            <w:r>
              <w:t>3’ UTR intron</w:t>
            </w:r>
          </w:p>
        </w:tc>
        <w:tc>
          <w:tcPr>
            <w:tcW w:w="1805" w:type="dxa"/>
            <w:shd w:val="clear" w:color="auto" w:fill="auto"/>
            <w:tcMar>
              <w:top w:w="100" w:type="dxa"/>
              <w:left w:w="100" w:type="dxa"/>
              <w:bottom w:w="100" w:type="dxa"/>
              <w:right w:w="100" w:type="dxa"/>
            </w:tcMar>
          </w:tcPr>
          <w:p w14:paraId="46FF9729" w14:textId="77777777" w:rsidR="00D561E8" w:rsidRDefault="00000000">
            <w:pPr>
              <w:widowControl w:val="0"/>
              <w:spacing w:line="240" w:lineRule="auto"/>
            </w:pPr>
            <w:r>
              <w:t>3 (100%)</w:t>
            </w:r>
          </w:p>
        </w:tc>
        <w:tc>
          <w:tcPr>
            <w:tcW w:w="1805" w:type="dxa"/>
            <w:shd w:val="clear" w:color="auto" w:fill="auto"/>
            <w:tcMar>
              <w:top w:w="100" w:type="dxa"/>
              <w:left w:w="100" w:type="dxa"/>
              <w:bottom w:w="100" w:type="dxa"/>
              <w:right w:w="100" w:type="dxa"/>
            </w:tcMar>
          </w:tcPr>
          <w:p w14:paraId="5656E92B" w14:textId="77777777" w:rsidR="00D561E8" w:rsidRDefault="00000000">
            <w:pPr>
              <w:widowControl w:val="0"/>
              <w:spacing w:line="240" w:lineRule="auto"/>
            </w:pPr>
            <w:r>
              <w:t xml:space="preserve">0 </w:t>
            </w:r>
          </w:p>
        </w:tc>
        <w:tc>
          <w:tcPr>
            <w:tcW w:w="1805" w:type="dxa"/>
            <w:shd w:val="clear" w:color="auto" w:fill="auto"/>
            <w:tcMar>
              <w:top w:w="100" w:type="dxa"/>
              <w:left w:w="100" w:type="dxa"/>
              <w:bottom w:w="100" w:type="dxa"/>
              <w:right w:w="100" w:type="dxa"/>
            </w:tcMar>
          </w:tcPr>
          <w:p w14:paraId="5F3BF853" w14:textId="77777777" w:rsidR="00D561E8" w:rsidRDefault="00000000">
            <w:pPr>
              <w:widowControl w:val="0"/>
              <w:spacing w:line="240" w:lineRule="auto"/>
            </w:pPr>
            <w:r>
              <w:t>2 (3.84%)</w:t>
            </w:r>
          </w:p>
        </w:tc>
        <w:tc>
          <w:tcPr>
            <w:tcW w:w="1805" w:type="dxa"/>
            <w:shd w:val="clear" w:color="auto" w:fill="auto"/>
            <w:tcMar>
              <w:top w:w="100" w:type="dxa"/>
              <w:left w:w="100" w:type="dxa"/>
              <w:bottom w:w="100" w:type="dxa"/>
              <w:right w:w="100" w:type="dxa"/>
            </w:tcMar>
          </w:tcPr>
          <w:p w14:paraId="1AB282F6" w14:textId="77777777" w:rsidR="00D561E8" w:rsidRDefault="00000000">
            <w:pPr>
              <w:widowControl w:val="0"/>
              <w:spacing w:line="240" w:lineRule="auto"/>
            </w:pPr>
            <w:r>
              <w:t>50</w:t>
            </w:r>
          </w:p>
        </w:tc>
      </w:tr>
      <w:tr w:rsidR="00D561E8" w14:paraId="46C0CF68" w14:textId="77777777">
        <w:tc>
          <w:tcPr>
            <w:tcW w:w="1805" w:type="dxa"/>
            <w:shd w:val="clear" w:color="auto" w:fill="auto"/>
            <w:tcMar>
              <w:top w:w="100" w:type="dxa"/>
              <w:left w:w="100" w:type="dxa"/>
              <w:bottom w:w="100" w:type="dxa"/>
              <w:right w:w="100" w:type="dxa"/>
            </w:tcMar>
          </w:tcPr>
          <w:p w14:paraId="19C40333" w14:textId="77777777" w:rsidR="00D561E8" w:rsidRDefault="00000000">
            <w:pPr>
              <w:widowControl w:val="0"/>
              <w:spacing w:line="240" w:lineRule="auto"/>
              <w:rPr>
                <w:b/>
              </w:rPr>
            </w:pPr>
            <w:r>
              <w:rPr>
                <w:b/>
              </w:rPr>
              <w:t>Total</w:t>
            </w:r>
          </w:p>
        </w:tc>
        <w:tc>
          <w:tcPr>
            <w:tcW w:w="1805" w:type="dxa"/>
            <w:shd w:val="clear" w:color="auto" w:fill="auto"/>
            <w:tcMar>
              <w:top w:w="100" w:type="dxa"/>
              <w:left w:w="100" w:type="dxa"/>
              <w:bottom w:w="100" w:type="dxa"/>
              <w:right w:w="100" w:type="dxa"/>
            </w:tcMar>
          </w:tcPr>
          <w:p w14:paraId="0FBB6EC8" w14:textId="77777777" w:rsidR="00D561E8" w:rsidRDefault="00000000">
            <w:pPr>
              <w:widowControl w:val="0"/>
              <w:spacing w:line="240" w:lineRule="auto"/>
              <w:rPr>
                <w:b/>
              </w:rPr>
            </w:pPr>
            <w:r>
              <w:rPr>
                <w:b/>
              </w:rPr>
              <w:t>66 (53.7%)</w:t>
            </w:r>
          </w:p>
        </w:tc>
        <w:tc>
          <w:tcPr>
            <w:tcW w:w="1805" w:type="dxa"/>
            <w:shd w:val="clear" w:color="auto" w:fill="auto"/>
            <w:tcMar>
              <w:top w:w="100" w:type="dxa"/>
              <w:left w:w="100" w:type="dxa"/>
              <w:bottom w:w="100" w:type="dxa"/>
              <w:right w:w="100" w:type="dxa"/>
            </w:tcMar>
          </w:tcPr>
          <w:p w14:paraId="2495AB6D" w14:textId="77777777" w:rsidR="00D561E8" w:rsidRDefault="00000000">
            <w:pPr>
              <w:widowControl w:val="0"/>
              <w:spacing w:line="240" w:lineRule="auto"/>
              <w:rPr>
                <w:b/>
              </w:rPr>
            </w:pPr>
            <w:r>
              <w:rPr>
                <w:b/>
              </w:rPr>
              <w:t>57</w:t>
            </w:r>
          </w:p>
        </w:tc>
        <w:tc>
          <w:tcPr>
            <w:tcW w:w="1805" w:type="dxa"/>
            <w:shd w:val="clear" w:color="auto" w:fill="auto"/>
            <w:tcMar>
              <w:top w:w="100" w:type="dxa"/>
              <w:left w:w="100" w:type="dxa"/>
              <w:bottom w:w="100" w:type="dxa"/>
              <w:right w:w="100" w:type="dxa"/>
            </w:tcMar>
          </w:tcPr>
          <w:p w14:paraId="1CDE33FD" w14:textId="77777777" w:rsidR="00D561E8" w:rsidRDefault="00000000">
            <w:pPr>
              <w:widowControl w:val="0"/>
              <w:spacing w:line="240" w:lineRule="auto"/>
              <w:rPr>
                <w:b/>
              </w:rPr>
            </w:pPr>
            <w:r>
              <w:rPr>
                <w:b/>
              </w:rPr>
              <w:t>24 (0.71%)</w:t>
            </w:r>
          </w:p>
        </w:tc>
        <w:tc>
          <w:tcPr>
            <w:tcW w:w="1805" w:type="dxa"/>
            <w:shd w:val="clear" w:color="auto" w:fill="auto"/>
            <w:tcMar>
              <w:top w:w="100" w:type="dxa"/>
              <w:left w:w="100" w:type="dxa"/>
              <w:bottom w:w="100" w:type="dxa"/>
              <w:right w:w="100" w:type="dxa"/>
            </w:tcMar>
          </w:tcPr>
          <w:p w14:paraId="137D3E04" w14:textId="77777777" w:rsidR="00D561E8" w:rsidRDefault="00000000">
            <w:pPr>
              <w:widowControl w:val="0"/>
              <w:spacing w:line="240" w:lineRule="auto"/>
              <w:rPr>
                <w:b/>
              </w:rPr>
            </w:pPr>
            <w:r>
              <w:rPr>
                <w:b/>
              </w:rPr>
              <w:t>3,340</w:t>
            </w:r>
          </w:p>
        </w:tc>
      </w:tr>
    </w:tbl>
    <w:p w14:paraId="6DE1AC35" w14:textId="77777777" w:rsidR="00D561E8" w:rsidRDefault="00D561E8">
      <w:pPr>
        <w:spacing w:line="480" w:lineRule="auto"/>
      </w:pPr>
    </w:p>
    <w:p w14:paraId="05986EE2" w14:textId="77777777" w:rsidR="00D561E8" w:rsidRDefault="00D561E8">
      <w:pPr>
        <w:spacing w:line="480" w:lineRule="auto"/>
      </w:pPr>
    </w:p>
    <w:p w14:paraId="43E290DE" w14:textId="77777777" w:rsidR="00D561E8" w:rsidRDefault="00000000">
      <w:pPr>
        <w:spacing w:line="480" w:lineRule="auto"/>
        <w:rPr>
          <w:b/>
        </w:rPr>
      </w:pPr>
      <w:r>
        <w:rPr>
          <w:b/>
        </w:rPr>
        <w:t>Burden testing does not detect a significant enrichment of variants with any collective region or variant annotation</w:t>
      </w:r>
    </w:p>
    <w:p w14:paraId="65DC7A66" w14:textId="77777777" w:rsidR="00D561E8" w:rsidRDefault="00D561E8">
      <w:pPr>
        <w:spacing w:line="480" w:lineRule="auto"/>
      </w:pPr>
    </w:p>
    <w:p w14:paraId="56508E85" w14:textId="77777777" w:rsidR="00D561E8" w:rsidRDefault="00000000">
      <w:pPr>
        <w:spacing w:line="480" w:lineRule="auto"/>
      </w:pPr>
      <w:r>
        <w:t xml:space="preserve">Given that we were able to identify disease-causing promoter and UTR variants using our region-based filtering pipeline, we sought to further use this approach to quantify the enrichment of potentially damaging promoter and UTR variants. Ideally such an approach would also utilise </w:t>
      </w:r>
      <w:r>
        <w:rPr>
          <w:i/>
        </w:rPr>
        <w:t>de novo</w:t>
      </w:r>
      <w:r>
        <w:t xml:space="preserve"> variants that have a high prior probability of being pathogenic, however, there are only a small number of trios within GEL with an unaffected child, and mutational models to directly assess enrichment of </w:t>
      </w:r>
      <w:r>
        <w:rPr>
          <w:i/>
        </w:rPr>
        <w:t>de novo</w:t>
      </w:r>
      <w:r>
        <w:t xml:space="preserve"> variants (by comparing observed to expected numbers) have not been well calibrated for non-coding regions, specifically struggling with the 5’ end of genes</w:t>
      </w:r>
      <w:hyperlink r:id="rId98">
        <w:r>
          <w:rPr>
            <w:color w:val="000000"/>
            <w:vertAlign w:val="superscript"/>
          </w:rPr>
          <w:t>75</w:t>
        </w:r>
      </w:hyperlink>
      <w:r>
        <w:t xml:space="preserve">. We instead used the full aggregated set of variants in GEL (which will include both inherited and </w:t>
      </w:r>
      <w:r>
        <w:rPr>
          <w:i/>
        </w:rPr>
        <w:t>de novo</w:t>
      </w:r>
      <w:r>
        <w:t xml:space="preserve"> variants). </w:t>
      </w:r>
    </w:p>
    <w:p w14:paraId="6B785AA2" w14:textId="77777777" w:rsidR="00D561E8" w:rsidRDefault="00D561E8">
      <w:pPr>
        <w:spacing w:line="480" w:lineRule="auto"/>
      </w:pPr>
    </w:p>
    <w:p w14:paraId="0339DC49" w14:textId="77777777" w:rsidR="00D561E8" w:rsidRDefault="00000000">
      <w:pPr>
        <w:spacing w:line="480" w:lineRule="auto"/>
      </w:pPr>
      <w:r>
        <w:t xml:space="preserve">We analysed a set of 7,862 probands matched, with replacement, to 6,371 unrelated unaffected individuals on sex and genetically-inferred ancestry (see methods; 1,295 matched controls were partnered with more than one proband). Each control individual was assigned the same dominant, green panelApp genes as had been assigned to the rare disease proband by GEL, allowing us to control for gene and region level differences in </w:t>
      </w:r>
      <w:r>
        <w:lastRenderedPageBreak/>
        <w:t xml:space="preserve">mutability (Figure 3).  </w:t>
      </w:r>
      <w:r>
        <w:rPr>
          <w:noProof/>
        </w:rPr>
        <w:drawing>
          <wp:inline distT="114300" distB="114300" distL="114300" distR="114300" wp14:anchorId="3277D961" wp14:editId="3ADB366E">
            <wp:extent cx="5731200" cy="6197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5731200" cy="6197600"/>
                    </a:xfrm>
                    <a:prstGeom prst="rect">
                      <a:avLst/>
                    </a:prstGeom>
                    <a:ln/>
                  </pic:spPr>
                </pic:pic>
              </a:graphicData>
            </a:graphic>
          </wp:inline>
        </w:drawing>
      </w:r>
    </w:p>
    <w:p w14:paraId="5DC4917E" w14:textId="77777777" w:rsidR="00D561E8" w:rsidRDefault="00000000">
      <w:pPr>
        <w:spacing w:line="480" w:lineRule="auto"/>
        <w:rPr>
          <w:sz w:val="20"/>
          <w:szCs w:val="20"/>
        </w:rPr>
      </w:pPr>
      <w:r>
        <w:rPr>
          <w:b/>
          <w:sz w:val="20"/>
          <w:szCs w:val="20"/>
        </w:rPr>
        <w:t>Figure 3: Burden testing results.</w:t>
      </w:r>
      <w:r>
        <w:rPr>
          <w:sz w:val="20"/>
          <w:szCs w:val="20"/>
        </w:rPr>
        <w:t xml:space="preserve"> Counts of variants and odd ratios (log10) testing for an enrichment of variants in cases compared to matched control participants, collectively by A. region annotation, and B. variant annotation. Annotation groups with fewer than 10 participants are omitted. Error bars represent 95% confidence intervals. Variants in 5’UTRs (one-sided Fishers, </w:t>
      </w:r>
      <w:r>
        <w:rPr>
          <w:i/>
          <w:sz w:val="20"/>
          <w:szCs w:val="20"/>
        </w:rPr>
        <w:t>P</w:t>
      </w:r>
      <w:r>
        <w:rPr>
          <w:sz w:val="20"/>
          <w:szCs w:val="20"/>
        </w:rPr>
        <w:t>=0.016)</w:t>
      </w:r>
      <w:r>
        <w:rPr>
          <w:rFonts w:ascii="Arial Unicode MS" w:eastAsia="Arial Unicode MS" w:hAnsi="Arial Unicode MS" w:cs="Arial Unicode MS"/>
          <w:sz w:val="20"/>
          <w:szCs w:val="20"/>
        </w:rPr>
        <w:t xml:space="preserve"> and variants with SpliceAI ≥0.5 (one-sided Fisher’s </w:t>
      </w:r>
      <w:r>
        <w:rPr>
          <w:i/>
          <w:sz w:val="20"/>
          <w:szCs w:val="20"/>
        </w:rPr>
        <w:t>P</w:t>
      </w:r>
      <w:r>
        <w:rPr>
          <w:sz w:val="20"/>
          <w:szCs w:val="20"/>
        </w:rPr>
        <w:t xml:space="preserve">=0.0039) are enriched in cases over matched controls, but neither remains significant after correcting for multiple testing (Bonferroni threshold adjusting for 16 </w:t>
      </w:r>
      <w:r>
        <w:rPr>
          <w:sz w:val="20"/>
          <w:szCs w:val="20"/>
        </w:rPr>
        <w:lastRenderedPageBreak/>
        <w:t>tests =0.0031). Full results are in Additional file 2:Table S5. Error bars represent 95% confidence intervals from a two-sided Fisher’s test.</w:t>
      </w:r>
    </w:p>
    <w:p w14:paraId="590E78B9" w14:textId="77777777" w:rsidR="00D561E8" w:rsidRDefault="00000000">
      <w:pPr>
        <w:spacing w:line="480" w:lineRule="auto"/>
        <w:rPr>
          <w:i/>
          <w:sz w:val="20"/>
          <w:szCs w:val="20"/>
        </w:rPr>
      </w:pPr>
      <w:r>
        <w:rPr>
          <w:i/>
          <w:sz w:val="20"/>
          <w:szCs w:val="20"/>
        </w:rPr>
        <w:t xml:space="preserve"> </w:t>
      </w:r>
    </w:p>
    <w:p w14:paraId="1B3A3BE8" w14:textId="77777777" w:rsidR="00D561E8" w:rsidRDefault="00000000">
      <w:pPr>
        <w:spacing w:line="480" w:lineRule="auto"/>
      </w:pPr>
      <w:r>
        <w:t>For all individuals, we extracted variants from GEL’s aggregated variant dataset (AggV2) and filtered these using our region-specific criteria (Additional file 2:Fig S5). Given that we used a high sensitivity SpliceAI threshold to prioritise DNVs with a high prior of pathogenicity, this was raised to a stricter cutoff of 0.5 for this analysis . As we are not powered to analyse individual genes or gene-regions, we performed burden testing collectively across all prioritised variants with the same regional (e.g., 5’UTR) or variant-level (e.g. SpliceAI) annotations, across all participants and their assigned green genes. Whilst we observed a greater number of probands with prioritised variants compared with matched controls for the majority of regional and variant-level annotations, no annotations were significantly enriched for variants in cases after correcting for multiple testing (Figure 3; Additional file 2:Table S5). We also did not observe a significant enrichment when combining across all regions and variant annotations (</w:t>
      </w:r>
      <w:r>
        <w:rPr>
          <w:i/>
        </w:rPr>
        <w:t>OR=</w:t>
      </w:r>
      <w:r>
        <w:t xml:space="preserve">1.09, 95% </w:t>
      </w:r>
      <w:r>
        <w:rPr>
          <w:i/>
        </w:rPr>
        <w:t>CI</w:t>
      </w:r>
      <w:r>
        <w:t>=[0.981,1.210]), this difference was not significant according to a one-tailed Fisher’s exact test (</w:t>
      </w:r>
      <w:r>
        <w:rPr>
          <w:i/>
        </w:rPr>
        <w:t>P=</w:t>
      </w:r>
      <w:r>
        <w:t>0.051).</w:t>
      </w:r>
    </w:p>
    <w:p w14:paraId="2418FFEF" w14:textId="77777777" w:rsidR="00D561E8" w:rsidRDefault="00D561E8">
      <w:pPr>
        <w:spacing w:line="480" w:lineRule="auto"/>
      </w:pPr>
    </w:p>
    <w:p w14:paraId="6E1F46B1" w14:textId="77777777" w:rsidR="00D561E8" w:rsidRDefault="00000000">
      <w:pPr>
        <w:spacing w:line="480" w:lineRule="auto"/>
      </w:pPr>
      <w:r>
        <w:t xml:space="preserve">We hypothesised that the lack of detectable burden in cases over controls is likely due to low variant numbers and limited statistical power. Indeed, at the current dataset size of 7,862 cases and controls we estimate that we have 14.3% power to identify a true association with OR=1.09 (the estimate for our combined test across all region and variant annotations) at our study-wide </w:t>
      </w:r>
      <w:r>
        <w:rPr>
          <w:i/>
        </w:rPr>
        <w:t>P</w:t>
      </w:r>
      <w:r>
        <w:t xml:space="preserve">-value threshold of &lt;0.0031. Assuming a constant ratio between case and control variants, and hence OR, we would need an estimated 7,928 cases and controls for significance at </w:t>
      </w:r>
      <w:r>
        <w:rPr>
          <w:i/>
        </w:rPr>
        <w:t>P</w:t>
      </w:r>
      <w:r>
        <w:t xml:space="preserve">&lt;0.05 in the combined test, and 21,528 for significance at </w:t>
      </w:r>
      <w:r>
        <w:rPr>
          <w:i/>
        </w:rPr>
        <w:t>P</w:t>
      </w:r>
      <w:r>
        <w:t>&lt;0.0031 (Additional file 2:Fig S6).</w:t>
      </w:r>
    </w:p>
    <w:p w14:paraId="40E7F075" w14:textId="77777777" w:rsidR="00D561E8" w:rsidRDefault="00D561E8">
      <w:pPr>
        <w:spacing w:line="480" w:lineRule="auto"/>
      </w:pPr>
    </w:p>
    <w:p w14:paraId="1D009199" w14:textId="77777777" w:rsidR="00D561E8" w:rsidRDefault="00000000">
      <w:pPr>
        <w:spacing w:line="480" w:lineRule="auto"/>
        <w:rPr>
          <w:highlight w:val="yellow"/>
        </w:rPr>
      </w:pPr>
      <w:r>
        <w:rPr>
          <w:rFonts w:ascii="Arial Unicode MS" w:eastAsia="Arial Unicode MS" w:hAnsi="Arial Unicode MS" w:cs="Arial Unicode MS"/>
        </w:rPr>
        <w:lastRenderedPageBreak/>
        <w:t>We additionally applied our approach to de novo variants identified in 4,199 trios from the SFARI SSC dataset (2,317 individuals with autism and 1,882 sibling controls). We identified 1,678 variants (920 in cases and 766 in controls) in promoter and UTR regions of 664 NDD associated genes (Fu et al). 1,503 of these variants appeared at a frequency of ≤0.00005 in gnomAD (833 in cases and 677 in controls). After annotation, we prioritised only six variants, four in cases and two in controls</w:t>
      </w:r>
      <w:r>
        <w:t xml:space="preserve"> (Additional file 2:Table S9; Fisher’s </w:t>
      </w:r>
      <w:r>
        <w:rPr>
          <w:i/>
        </w:rPr>
        <w:t>P</w:t>
      </w:r>
      <w:r>
        <w:t>=0.698).</w:t>
      </w:r>
    </w:p>
    <w:p w14:paraId="39DE4CEF" w14:textId="77777777" w:rsidR="00D561E8" w:rsidRDefault="00D561E8">
      <w:pPr>
        <w:spacing w:line="480" w:lineRule="auto"/>
        <w:rPr>
          <w:b/>
        </w:rPr>
      </w:pPr>
    </w:p>
    <w:p w14:paraId="203A4910" w14:textId="77777777" w:rsidR="00D561E8" w:rsidRDefault="00000000">
      <w:pPr>
        <w:spacing w:line="480" w:lineRule="auto"/>
        <w:rPr>
          <w:b/>
          <w:sz w:val="28"/>
          <w:szCs w:val="28"/>
        </w:rPr>
      </w:pPr>
      <w:r>
        <w:rPr>
          <w:b/>
          <w:sz w:val="28"/>
          <w:szCs w:val="28"/>
        </w:rPr>
        <w:t>Discussion</w:t>
      </w:r>
    </w:p>
    <w:p w14:paraId="7711B54A" w14:textId="77777777" w:rsidR="00D561E8" w:rsidRDefault="00D561E8">
      <w:pPr>
        <w:spacing w:line="480" w:lineRule="auto"/>
      </w:pPr>
    </w:p>
    <w:p w14:paraId="7D64C6D9" w14:textId="77777777" w:rsidR="00D561E8" w:rsidRDefault="00000000">
      <w:pPr>
        <w:spacing w:line="480" w:lineRule="auto"/>
      </w:pPr>
      <w:r>
        <w:t>Here, we have described a framework for the identification and annotation of potentially disease-causing UTR and promoter variants in individuals with rare disease. We show the utility of the approach through identification of ten likely diagnoses in the GEL 100,000 genomes project rare disease cohort. These comprised: three new confirmed diagnoses (</w:t>
      </w:r>
      <w:r>
        <w:rPr>
          <w:i/>
        </w:rPr>
        <w:t>SLC2A1</w:t>
      </w:r>
      <w:r>
        <w:t xml:space="preserve"> and 2x </w:t>
      </w:r>
      <w:r>
        <w:rPr>
          <w:i/>
        </w:rPr>
        <w:t>SETD5</w:t>
      </w:r>
      <w:r>
        <w:t>) and three new likely diagnoses (</w:t>
      </w:r>
      <w:r>
        <w:rPr>
          <w:i/>
        </w:rPr>
        <w:t>GNAS, NIPBL, ZBTB18</w:t>
      </w:r>
      <w:r>
        <w:t xml:space="preserve">) alongside four previously confirmed diagnostic variants (2x </w:t>
      </w:r>
      <w:r>
        <w:rPr>
          <w:i/>
        </w:rPr>
        <w:t>PAX6</w:t>
      </w:r>
      <w:r>
        <w:t xml:space="preserve">, </w:t>
      </w:r>
      <w:r>
        <w:rPr>
          <w:i/>
        </w:rPr>
        <w:t>RPL26</w:t>
      </w:r>
      <w:r>
        <w:t xml:space="preserve">, and </w:t>
      </w:r>
      <w:r>
        <w:rPr>
          <w:i/>
        </w:rPr>
        <w:t>MEF2C</w:t>
      </w:r>
      <w:r>
        <w:t>). While our results illustrate that expanding diagnostic screening into promoter regions and UTRs of known disease genes can identify new diagnoses, they suggest that the associated increase in diagnostic yield is likely to be very modest.</w:t>
      </w:r>
    </w:p>
    <w:p w14:paraId="1E2D737C" w14:textId="77777777" w:rsidR="00D561E8" w:rsidRDefault="00D561E8">
      <w:pPr>
        <w:spacing w:line="480" w:lineRule="auto"/>
      </w:pPr>
    </w:p>
    <w:p w14:paraId="50B4313D" w14:textId="77777777" w:rsidR="00D561E8" w:rsidRDefault="00000000">
      <w:pPr>
        <w:spacing w:line="480" w:lineRule="auto"/>
      </w:pPr>
      <w:r>
        <w:t xml:space="preserve">In our analysis, we concentrated on variants within or directly adjacent to UTR exons and proximal promoter sequences for three key reasons: (1) the functional link between these regions and the impacted gene is relatively clear; (2) the importance of these regions in gene regulation means that variants within them can have a large impact, even causing complete loss-of-function; and (3) known functional elements within these regions enable us to predict </w:t>
      </w:r>
      <w:r>
        <w:lastRenderedPageBreak/>
        <w:t>some variant effects. Many of these criteria do not apply to more distal non-coding elements, such as enhancers, which also suffer from redundancy, meaning small variants in any one enhancer may often be unlikely to have a large impact on gene expression and hence disease</w:t>
      </w:r>
      <w:hyperlink r:id="rId100">
        <w:r>
          <w:rPr>
            <w:color w:val="000000"/>
            <w:vertAlign w:val="superscript"/>
          </w:rPr>
          <w:t>76</w:t>
        </w:r>
      </w:hyperlink>
      <w:r>
        <w:t>, although there are exceptions</w:t>
      </w:r>
      <w:hyperlink r:id="rId101">
        <w:r>
          <w:rPr>
            <w:color w:val="000000"/>
            <w:vertAlign w:val="superscript"/>
          </w:rPr>
          <w:t>77</w:t>
        </w:r>
      </w:hyperlink>
      <w:r>
        <w:t>. Recent work has, however, shown that variants impacting tissue-specific silencer elements may be a frequent cause of some disorders, indicating that these specific elements may have lower levels of redundancy</w:t>
      </w:r>
      <w:hyperlink r:id="rId102">
        <w:r>
          <w:rPr>
            <w:color w:val="000000"/>
            <w:vertAlign w:val="superscript"/>
          </w:rPr>
          <w:t>78,79</w:t>
        </w:r>
      </w:hyperlink>
      <w:r>
        <w:t>. In addition, studies have demonstrated the importance of larger structural variants that disrupt cis-regulatory elements or chromatin conformation</w:t>
      </w:r>
      <w:hyperlink r:id="rId103">
        <w:r>
          <w:rPr>
            <w:color w:val="000000"/>
            <w:vertAlign w:val="superscript"/>
          </w:rPr>
          <w:t>80</w:t>
        </w:r>
      </w:hyperlink>
      <w:r>
        <w:t>, deep intronic variants that impact splicing</w:t>
      </w:r>
      <w:hyperlink r:id="rId104">
        <w:r>
          <w:rPr>
            <w:color w:val="000000"/>
            <w:vertAlign w:val="superscript"/>
          </w:rPr>
          <w:t>81</w:t>
        </w:r>
      </w:hyperlink>
      <w:r>
        <w:t>, and variants in non-coding RNAs in disease</w:t>
      </w:r>
      <w:hyperlink r:id="rId105">
        <w:r>
          <w:rPr>
            <w:color w:val="000000"/>
            <w:vertAlign w:val="superscript"/>
          </w:rPr>
          <w:t>82</w:t>
        </w:r>
      </w:hyperlink>
      <w:r>
        <w:t xml:space="preserve">. More research is needed to clarify the contribution of variants across diverse non-coding elements to rare monogenic disorders. </w:t>
      </w:r>
    </w:p>
    <w:p w14:paraId="2BD1DF28" w14:textId="77777777" w:rsidR="00D561E8" w:rsidRDefault="00D561E8">
      <w:pPr>
        <w:spacing w:line="480" w:lineRule="auto"/>
      </w:pPr>
    </w:p>
    <w:p w14:paraId="2D6ACDE2" w14:textId="77777777" w:rsidR="00D561E8" w:rsidRDefault="00000000">
      <w:pPr>
        <w:spacing w:line="480" w:lineRule="auto"/>
      </w:pPr>
      <w:r>
        <w:t xml:space="preserve">A key barrier to routine identification of non-coding variants in clinical settings is the potential dramatic increase in interpretation burden. Here, we employed strict filters based on known regulatory mechanisms, aiming for high specificity. Consequently, a very large proportion of the shortlisted variants (~82%) were flagged as good diagnostic candidates following clinical review. We also demonstrated this high specificity using ClinVar, where only 24 out of 3,364 (0.71%) benign variants were prioritised by our approach. Conversely, our approach had reasonable sensitivity, correctly prioritising 66/123 (53.7%) ClinVar pathogenic variants, although we note that there could be some circularity in this analysis as our annotations (for example cross species conservation) likely contributed to the initial identification of these variants. Together, this illustrates the validity of our method as a highly specific route to finding new diagnoses without dramatically increasing the number of variants that need to be manually reviewed. </w:t>
      </w:r>
    </w:p>
    <w:p w14:paraId="75693476" w14:textId="77777777" w:rsidR="00D561E8" w:rsidRDefault="00D561E8">
      <w:pPr>
        <w:spacing w:line="480" w:lineRule="auto"/>
      </w:pPr>
    </w:p>
    <w:p w14:paraId="600E7925" w14:textId="77777777" w:rsidR="00D561E8" w:rsidRDefault="00000000">
      <w:pPr>
        <w:spacing w:line="480" w:lineRule="auto"/>
      </w:pPr>
      <w:r>
        <w:t xml:space="preserve">Here, we focus on de novo variants given their high prior probability of being pathogenic. Currently, de novo inheritance pattern, clinical fit, and functional validation are essential to identifying and classifying non-coding variants as (likely) pathogenic. Hence it is much harder to identify disease-causing non-coding variants in more heterogeneous conditions </w:t>
      </w:r>
      <w:r>
        <w:lastRenderedPageBreak/>
        <w:t>and/or disorders where de novo variants are not a frequent disease mechanism. However, the same annotation approach can be applied to inherited variants</w:t>
      </w:r>
      <w:hyperlink r:id="rId106">
        <w:r>
          <w:rPr>
            <w:color w:val="000000"/>
            <w:vertAlign w:val="superscript"/>
          </w:rPr>
          <w:t>83</w:t>
        </w:r>
      </w:hyperlink>
      <w:r>
        <w:t xml:space="preserve">. Additionally, although we restricted our burden testing approach to only individuals of European or South Asian genetic ancestry, this was only to facilitate participant matching. There is no reason that our approach would not work equally well across more heterogeneous populations. </w:t>
      </w:r>
    </w:p>
    <w:p w14:paraId="264A5809" w14:textId="77777777" w:rsidR="00D561E8" w:rsidRDefault="00D561E8">
      <w:pPr>
        <w:spacing w:line="480" w:lineRule="auto"/>
      </w:pPr>
    </w:p>
    <w:p w14:paraId="0D2011B6" w14:textId="77777777" w:rsidR="00D561E8" w:rsidRDefault="00000000">
      <w:pPr>
        <w:spacing w:line="480" w:lineRule="auto"/>
        <w:rPr>
          <w:i/>
          <w:highlight w:val="yellow"/>
        </w:rPr>
      </w:pPr>
      <w:r>
        <w:t>Despite our strict filtering approach, the relatively modest number of new diagnoses given the size of the GEL cohort suggests that the proportion of currently undiagnosed individuals that will likely be diagnosed through regular assessment of proximal promoter and UTR regions will also be modest. This is in-line with the conclusions of our recent work looking for non-coding variants in recessive disease genes</w:t>
      </w:r>
      <w:hyperlink r:id="rId107">
        <w:r>
          <w:rPr>
            <w:color w:val="000000"/>
            <w:vertAlign w:val="superscript"/>
          </w:rPr>
          <w:t>83</w:t>
        </w:r>
      </w:hyperlink>
      <w:r>
        <w:t xml:space="preserve">. Nevertheless, our diagnostic yield is likely an underestimate. First, we limited our analyses to only genes within a diagnostic panel applied to each individual and, within this we focused on genes with a clear dominant disease mechanism. Gene agnostic approaches may have greater sensitivity for new diagnoses and allow the identification of candidate novel disease genes. Our study was also limited to MANE transcripts and may miss important variants impacting alternate transcripts. Our strict filtering approach was necessitated by our limited understanding of the ‘regulatory genetic code’, and the paucity of tools to accurately determine non-coding variant deleteriousness, and likely excluded some important variants. For example, our analysis of ClinVar variants demonstrated a particularly low sensitivity of our approach to identify (likely) pathogenic promoter variants. Future work should focus on accessible tools that improve our ability to  predict the pathogenicity of promoter variants at scale.  Finally, we only removed individuals flagged as ‘solved’ in the GEL ‘exit questionnaire’ as having an existing coding diagnosis. Many more individuals may be annotated as ‘partially solved’, or subsequently had likely diagnostic variants returned that were not reflected in the exit questionnaire at the time of analysis, due to ongoing analyses of the cohort. It is possible that the inclusion of these individuals in our analysis may result in the underestimation of diagnostic yield.    </w:t>
      </w:r>
    </w:p>
    <w:p w14:paraId="22542EB0" w14:textId="77777777" w:rsidR="00D561E8" w:rsidRDefault="00D561E8">
      <w:pPr>
        <w:spacing w:line="480" w:lineRule="auto"/>
      </w:pPr>
    </w:p>
    <w:p w14:paraId="128FD8ED" w14:textId="77777777" w:rsidR="00D561E8" w:rsidRDefault="00000000">
      <w:pPr>
        <w:spacing w:line="480" w:lineRule="auto"/>
      </w:pPr>
      <w:r>
        <w:lastRenderedPageBreak/>
        <w:t xml:space="preserve">Amongst our novel diagnoses was a 5’UTR uAUG-creating variant in </w:t>
      </w:r>
      <w:r>
        <w:rPr>
          <w:i/>
        </w:rPr>
        <w:t>SLC2A1</w:t>
      </w:r>
      <w:r>
        <w:t>, variants in which cause GLUT1 deficiency syndrome, which is treatable through diet. Hence, our diagnosis changed the clinical management of this patient. The exact same variant was found in a patient with a similar phenotype in 2017</w:t>
      </w:r>
      <w:hyperlink r:id="rId108">
        <w:r>
          <w:rPr>
            <w:color w:val="000000"/>
            <w:vertAlign w:val="superscript"/>
          </w:rPr>
          <w:t>3</w:t>
        </w:r>
      </w:hyperlink>
      <w:r>
        <w:t>, the same year the patient was recruited to GEL, but, whilst the variant was deposited in the more specialist Leiden Open Variation Database</w:t>
      </w:r>
      <w:hyperlink r:id="rId109">
        <w:r>
          <w:rPr>
            <w:color w:val="000000"/>
            <w:vertAlign w:val="superscript"/>
          </w:rPr>
          <w:t>84</w:t>
        </w:r>
      </w:hyperlink>
      <w:r>
        <w:t xml:space="preserve"> (I.D: SLC2A1_000036) it did not appear in the more widely used ClinVar database until 2022 (ID:</w:t>
      </w:r>
      <w:r>
        <w:rPr>
          <w:color w:val="212121"/>
        </w:rPr>
        <w:t>1491299</w:t>
      </w:r>
      <w:r>
        <w:t>). This highlights the necessity of data sharing through variant databases and the use of these datasets for re-analysis to reduce the lengthy diagnostic odysseys so often faced by individuals with rare disease.</w:t>
      </w:r>
    </w:p>
    <w:p w14:paraId="3381BE69" w14:textId="77777777" w:rsidR="00D561E8" w:rsidRDefault="00D561E8">
      <w:pPr>
        <w:spacing w:line="480" w:lineRule="auto"/>
      </w:pPr>
    </w:p>
    <w:p w14:paraId="13729279" w14:textId="77777777" w:rsidR="00D561E8" w:rsidRDefault="00000000">
      <w:pPr>
        <w:spacing w:line="480" w:lineRule="auto"/>
      </w:pPr>
      <w:r>
        <w:t xml:space="preserve">Whilst we expected the excess burden of promoter and UTR variants in cases to be relatively low, our approach was imperfect. In particular, analysing all variants identified in each individual (i.e., inherited as well as </w:t>
      </w:r>
      <w:r>
        <w:rPr>
          <w:i/>
        </w:rPr>
        <w:t>de novo</w:t>
      </w:r>
      <w:r>
        <w:t xml:space="preserve">) across large gene panels likely added a lot of noise. A better approach to assess this enrichment would be using only </w:t>
      </w:r>
      <w:r>
        <w:rPr>
          <w:i/>
        </w:rPr>
        <w:t>de novo</w:t>
      </w:r>
      <w:r>
        <w:t xml:space="preserve"> variants, however, the number of trios within GEL where the child is unaffected is very small, and we and others have struggled to correctly optimise mutational models for application at the 5’ end of genes</w:t>
      </w:r>
      <w:hyperlink r:id="rId110">
        <w:r>
          <w:rPr>
            <w:color w:val="000000"/>
            <w:vertAlign w:val="superscript"/>
          </w:rPr>
          <w:t>75</w:t>
        </w:r>
      </w:hyperlink>
      <w:r>
        <w:t xml:space="preserve">. Multiple additional factors also likely contribute to our observed lack of signal. Firstly, we used unaffected parents of rare disease probands as a control and these individuals may be more likely to have damaging variants (for example variants with reduced penetrance, or variants that modify coding variant penetrance). Secondly, the sizes of gene panels varied substantially between participants, with some containing vast numbers of genes (Additional file 2:Fig S4). These larger panels likely contribute an overrepresentation of variants that are unlikely to be causal. Thirdly, while we devised a careful approach to annotation of both regulatory regions and potentially deleterious variants within them, we were limited by current knowledge of variant effects and available data for region definition. For example, we used a broad approach to annotate promoter regions and focused only on MANE transcripts, however, promoter and TSS usage are known to vary across and within tissues. It is possible that these factors may result in an underestimation of the burden of </w:t>
      </w:r>
      <w:r>
        <w:lastRenderedPageBreak/>
        <w:t>rare, causal variants in these regions. Future work should expand region definition across transcripts, use tissue-specific datasets, and include well-documented regulatory elements curated from the literature.</w:t>
      </w:r>
    </w:p>
    <w:p w14:paraId="2D69D4A5" w14:textId="77777777" w:rsidR="00D561E8" w:rsidRDefault="00D561E8">
      <w:pPr>
        <w:spacing w:line="480" w:lineRule="auto"/>
      </w:pPr>
    </w:p>
    <w:p w14:paraId="500F899E" w14:textId="77777777" w:rsidR="00D561E8" w:rsidRDefault="00000000">
      <w:pPr>
        <w:shd w:val="clear" w:color="auto" w:fill="FFFFFF"/>
        <w:spacing w:after="180" w:line="480" w:lineRule="auto"/>
      </w:pPr>
      <w:r>
        <w:rPr>
          <w:b/>
          <w:sz w:val="28"/>
          <w:szCs w:val="28"/>
        </w:rPr>
        <w:t>Conclusions</w:t>
      </w:r>
    </w:p>
    <w:p w14:paraId="7F1F5DC4" w14:textId="77777777" w:rsidR="00D561E8" w:rsidRDefault="00000000">
      <w:pPr>
        <w:spacing w:line="480" w:lineRule="auto"/>
      </w:pPr>
      <w:r>
        <w:t xml:space="preserve">Our understanding of the mechanisms that underlie variation in the non-coding genome is far from complete. Despite this, routine interrogation of these regions with existing knowledge and tools can return valuable genetic diagnoses to patients. Identifying more disease-causing variants in non-coding regions and understanding how they lead to disease will, in turn, increase our understanding of regulatory biology, and enable us to create better tools to identify and annotate these variants. Here, focusing specifically on proximal promoters, UTRs, and UTR introns, we developed a flexible approach for variant annotation and filtering which can be extended and adapted to incorporate new functional variant classes as our understanding of non-coding genome biology increases. Our framework provides a foundation for the systematic analysis of variants in these regions, which can be readily applied to cohorts, and in clinical settings, globally. </w:t>
      </w:r>
    </w:p>
    <w:p w14:paraId="715D3391" w14:textId="77777777" w:rsidR="00D561E8" w:rsidRDefault="00D561E8">
      <w:pPr>
        <w:spacing w:line="480" w:lineRule="auto"/>
        <w:rPr>
          <w:b/>
          <w:sz w:val="28"/>
          <w:szCs w:val="28"/>
        </w:rPr>
      </w:pPr>
    </w:p>
    <w:p w14:paraId="1F903C30" w14:textId="77777777" w:rsidR="00D561E8" w:rsidRDefault="00000000">
      <w:pPr>
        <w:spacing w:line="480" w:lineRule="auto"/>
      </w:pPr>
      <w:r>
        <w:rPr>
          <w:b/>
          <w:sz w:val="28"/>
          <w:szCs w:val="28"/>
        </w:rPr>
        <w:t>Abbreviations</w:t>
      </w:r>
    </w:p>
    <w:p w14:paraId="7B61B04F" w14:textId="77777777" w:rsidR="00D561E8" w:rsidRDefault="00000000">
      <w:pPr>
        <w:spacing w:line="480" w:lineRule="auto"/>
      </w:pPr>
      <w:r>
        <w:t>AB - Allelic Balance</w:t>
      </w:r>
    </w:p>
    <w:p w14:paraId="6DB5D3B6" w14:textId="77777777" w:rsidR="00D561E8" w:rsidRDefault="00000000">
      <w:pPr>
        <w:spacing w:line="480" w:lineRule="auto"/>
      </w:pPr>
      <w:r>
        <w:t>AC - Allele Count</w:t>
      </w:r>
    </w:p>
    <w:p w14:paraId="7387E79F" w14:textId="77777777" w:rsidR="00D561E8" w:rsidRDefault="00000000">
      <w:pPr>
        <w:spacing w:line="480" w:lineRule="auto"/>
      </w:pPr>
      <w:r>
        <w:t>AD - Autosomal Dominant</w:t>
      </w:r>
    </w:p>
    <w:p w14:paraId="3FCDBE5D" w14:textId="77777777" w:rsidR="00D561E8" w:rsidRDefault="00000000">
      <w:pPr>
        <w:spacing w:line="480" w:lineRule="auto"/>
      </w:pPr>
      <w:r>
        <w:t>AF -Allele Frequency</w:t>
      </w:r>
    </w:p>
    <w:p w14:paraId="530CDC83" w14:textId="77777777" w:rsidR="00D561E8" w:rsidRDefault="00000000">
      <w:pPr>
        <w:spacing w:line="480" w:lineRule="auto"/>
      </w:pPr>
      <w:r>
        <w:t>AR - Autosomal Recessive</w:t>
      </w:r>
    </w:p>
    <w:p w14:paraId="2F74688E" w14:textId="77777777" w:rsidR="00D561E8" w:rsidRDefault="00000000">
      <w:pPr>
        <w:spacing w:line="480" w:lineRule="auto"/>
      </w:pPr>
      <w:r>
        <w:t>cCRE - Candidate Cis Regulatory Element</w:t>
      </w:r>
    </w:p>
    <w:p w14:paraId="1FDBD6B2" w14:textId="77777777" w:rsidR="00D561E8" w:rsidRDefault="00000000">
      <w:pPr>
        <w:spacing w:line="480" w:lineRule="auto"/>
      </w:pPr>
      <w:r>
        <w:t>CDS - Coding Sequence</w:t>
      </w:r>
    </w:p>
    <w:p w14:paraId="4FC82C9A" w14:textId="77777777" w:rsidR="00D561E8" w:rsidRDefault="00000000">
      <w:pPr>
        <w:spacing w:line="480" w:lineRule="auto"/>
      </w:pPr>
      <w:r>
        <w:t xml:space="preserve">DHS - DNase I hypersensitive </w:t>
      </w:r>
    </w:p>
    <w:p w14:paraId="4D63E3CA" w14:textId="77777777" w:rsidR="00D561E8" w:rsidRDefault="00000000">
      <w:pPr>
        <w:spacing w:line="480" w:lineRule="auto"/>
      </w:pPr>
      <w:r>
        <w:lastRenderedPageBreak/>
        <w:t>DNV - De Novo Variant</w:t>
      </w:r>
    </w:p>
    <w:p w14:paraId="0C26A00A" w14:textId="77777777" w:rsidR="00D561E8" w:rsidRDefault="00000000">
      <w:pPr>
        <w:spacing w:line="480" w:lineRule="auto"/>
      </w:pPr>
      <w:r>
        <w:t>dORF - Downstream Open Reading Frame</w:t>
      </w:r>
    </w:p>
    <w:p w14:paraId="40D66970" w14:textId="77777777" w:rsidR="00D561E8" w:rsidRDefault="00000000">
      <w:pPr>
        <w:spacing w:line="480" w:lineRule="auto"/>
      </w:pPr>
      <w:r>
        <w:t>DP - Read Depth</w:t>
      </w:r>
    </w:p>
    <w:p w14:paraId="7C97C44D" w14:textId="77777777" w:rsidR="00D561E8" w:rsidRDefault="00000000">
      <w:pPr>
        <w:spacing w:line="480" w:lineRule="auto"/>
      </w:pPr>
      <w:r>
        <w:t>GEL - Genomics England 100,000 Genomes Project</w:t>
      </w:r>
    </w:p>
    <w:p w14:paraId="6552BD46" w14:textId="77777777" w:rsidR="00D561E8" w:rsidRDefault="00000000">
      <w:pPr>
        <w:spacing w:line="480" w:lineRule="auto"/>
      </w:pPr>
      <w:r>
        <w:t>GQ - Genotype Quality</w:t>
      </w:r>
    </w:p>
    <w:p w14:paraId="323417A6" w14:textId="77777777" w:rsidR="00D561E8" w:rsidRDefault="00000000">
      <w:pPr>
        <w:spacing w:line="480" w:lineRule="auto"/>
      </w:pPr>
      <w:r>
        <w:t>HPO - Human Phenotype Ontology</w:t>
      </w:r>
    </w:p>
    <w:p w14:paraId="137C0064" w14:textId="77777777" w:rsidR="00D561E8" w:rsidRDefault="00000000">
      <w:pPr>
        <w:spacing w:line="480" w:lineRule="auto"/>
      </w:pPr>
      <w:r>
        <w:t>IRES - Internal Ribosome Entry Site</w:t>
      </w:r>
    </w:p>
    <w:p w14:paraId="1727C1F0" w14:textId="77777777" w:rsidR="00D561E8" w:rsidRDefault="00000000">
      <w:pPr>
        <w:spacing w:line="480" w:lineRule="auto"/>
      </w:pPr>
      <w:r>
        <w:t>LoF - Loss of Function</w:t>
      </w:r>
    </w:p>
    <w:p w14:paraId="6B47E435" w14:textId="77777777" w:rsidR="00D561E8" w:rsidRDefault="00000000">
      <w:pPr>
        <w:spacing w:line="480" w:lineRule="auto"/>
      </w:pPr>
      <w:r>
        <w:t>miRNA - micro RNA</w:t>
      </w:r>
    </w:p>
    <w:p w14:paraId="400AC528" w14:textId="77777777" w:rsidR="00D561E8" w:rsidRDefault="00000000">
      <w:pPr>
        <w:spacing w:line="480" w:lineRule="auto"/>
      </w:pPr>
      <w:r>
        <w:t>MOI - Mode of Inheritance</w:t>
      </w:r>
    </w:p>
    <w:p w14:paraId="783A6BC4" w14:textId="77777777" w:rsidR="00D561E8" w:rsidRDefault="00000000">
      <w:pPr>
        <w:spacing w:line="480" w:lineRule="auto"/>
      </w:pPr>
      <w:r>
        <w:t>NS - Not Specified</w:t>
      </w:r>
    </w:p>
    <w:p w14:paraId="74452F0B" w14:textId="77777777" w:rsidR="00D561E8" w:rsidRDefault="00000000">
      <w:pPr>
        <w:spacing w:line="480" w:lineRule="auto"/>
      </w:pPr>
      <w:r>
        <w:t>oORF - Overlapping Open Reading Frame</w:t>
      </w:r>
    </w:p>
    <w:p w14:paraId="1D2AA81E" w14:textId="77777777" w:rsidR="00D561E8" w:rsidRDefault="00000000">
      <w:pPr>
        <w:spacing w:line="480" w:lineRule="auto"/>
      </w:pPr>
      <w:r>
        <w:t>RBP - RNA Binding Protein</w:t>
      </w:r>
    </w:p>
    <w:p w14:paraId="088048C4" w14:textId="77777777" w:rsidR="00D561E8" w:rsidRDefault="00000000">
      <w:pPr>
        <w:spacing w:line="480" w:lineRule="auto"/>
      </w:pPr>
      <w:r>
        <w:t>TFBS - Transcription Factor Binding Site</w:t>
      </w:r>
    </w:p>
    <w:p w14:paraId="3C742DB8" w14:textId="77777777" w:rsidR="00D561E8" w:rsidRDefault="00000000">
      <w:pPr>
        <w:spacing w:line="480" w:lineRule="auto"/>
      </w:pPr>
      <w:r>
        <w:t>TSS - Transcription Start Site</w:t>
      </w:r>
    </w:p>
    <w:p w14:paraId="500AAD41" w14:textId="77777777" w:rsidR="00D561E8" w:rsidRDefault="00000000">
      <w:pPr>
        <w:spacing w:line="480" w:lineRule="auto"/>
      </w:pPr>
      <w:r>
        <w:t>uAUG - Upstream start codon</w:t>
      </w:r>
    </w:p>
    <w:p w14:paraId="44A58668" w14:textId="77777777" w:rsidR="00D561E8" w:rsidRDefault="00000000">
      <w:pPr>
        <w:spacing w:line="480" w:lineRule="auto"/>
      </w:pPr>
      <w:r>
        <w:t>uORF- Upstream Open Reading Frame</w:t>
      </w:r>
    </w:p>
    <w:p w14:paraId="1D221DEC" w14:textId="77777777" w:rsidR="00D561E8" w:rsidRDefault="00000000">
      <w:pPr>
        <w:spacing w:line="480" w:lineRule="auto"/>
      </w:pPr>
      <w:r>
        <w:t>UTR - Untranslated region</w:t>
      </w:r>
    </w:p>
    <w:p w14:paraId="40E2ADEB" w14:textId="77777777" w:rsidR="00D561E8" w:rsidRDefault="00000000">
      <w:pPr>
        <w:spacing w:line="480" w:lineRule="auto"/>
      </w:pPr>
      <w:r>
        <w:t>VEP - Variant Effect Predictor</w:t>
      </w:r>
    </w:p>
    <w:p w14:paraId="5336D947" w14:textId="77777777" w:rsidR="00D561E8" w:rsidRDefault="00D561E8">
      <w:pPr>
        <w:spacing w:line="480" w:lineRule="auto"/>
        <w:rPr>
          <w:b/>
          <w:sz w:val="28"/>
          <w:szCs w:val="28"/>
        </w:rPr>
      </w:pPr>
    </w:p>
    <w:p w14:paraId="7A3A4883" w14:textId="77777777" w:rsidR="00D561E8" w:rsidRDefault="00000000">
      <w:pPr>
        <w:spacing w:line="480" w:lineRule="auto"/>
        <w:rPr>
          <w:b/>
          <w:sz w:val="28"/>
          <w:szCs w:val="28"/>
        </w:rPr>
      </w:pPr>
      <w:r>
        <w:rPr>
          <w:b/>
          <w:sz w:val="28"/>
          <w:szCs w:val="28"/>
        </w:rPr>
        <w:t>Declarations</w:t>
      </w:r>
    </w:p>
    <w:p w14:paraId="28FCD3FC" w14:textId="77777777" w:rsidR="00D561E8" w:rsidRDefault="00000000">
      <w:pPr>
        <w:spacing w:after="100" w:line="480" w:lineRule="auto"/>
        <w:rPr>
          <w:rFonts w:ascii="Roboto" w:eastAsia="Roboto" w:hAnsi="Roboto" w:cs="Roboto"/>
          <w:b/>
          <w:color w:val="333333"/>
          <w:sz w:val="27"/>
          <w:szCs w:val="27"/>
        </w:rPr>
      </w:pPr>
      <w:r>
        <w:rPr>
          <w:rFonts w:ascii="Roboto" w:eastAsia="Roboto" w:hAnsi="Roboto" w:cs="Roboto"/>
          <w:b/>
          <w:color w:val="333333"/>
          <w:sz w:val="27"/>
          <w:szCs w:val="27"/>
        </w:rPr>
        <w:t>Ethics approval and consent to participate</w:t>
      </w:r>
    </w:p>
    <w:p w14:paraId="065D30E9" w14:textId="77777777" w:rsidR="00D561E8" w:rsidRDefault="00000000">
      <w:pPr>
        <w:spacing w:after="100" w:line="480" w:lineRule="auto"/>
        <w:rPr>
          <w:color w:val="333333"/>
          <w:highlight w:val="white"/>
        </w:rPr>
      </w:pPr>
      <w:r>
        <w:rPr>
          <w:color w:val="333333"/>
          <w:highlight w:val="white"/>
        </w:rPr>
        <w:t xml:space="preserve">Ethics approval was granted by the </w:t>
      </w:r>
      <w:r>
        <w:rPr>
          <w:highlight w:val="white"/>
        </w:rPr>
        <w:t>HRA Committee East of England – Cambridge South (REC Ref 14/EE/1112)</w:t>
      </w:r>
      <w:r>
        <w:rPr>
          <w:color w:val="333333"/>
          <w:highlight w:val="white"/>
        </w:rPr>
        <w:t>. This research conforms to the principles of the Helsinki Declaration. All participants provided informed consent for their data to be part of the National Genomics Research Library and for use in research and publication.</w:t>
      </w:r>
    </w:p>
    <w:p w14:paraId="4029FD43" w14:textId="77777777" w:rsidR="00D561E8" w:rsidRDefault="00000000">
      <w:pPr>
        <w:spacing w:after="100" w:line="480" w:lineRule="auto"/>
        <w:rPr>
          <w:rFonts w:ascii="Roboto" w:eastAsia="Roboto" w:hAnsi="Roboto" w:cs="Roboto"/>
          <w:b/>
          <w:color w:val="333333"/>
          <w:sz w:val="27"/>
          <w:szCs w:val="27"/>
        </w:rPr>
      </w:pPr>
      <w:r>
        <w:rPr>
          <w:rFonts w:ascii="Roboto" w:eastAsia="Roboto" w:hAnsi="Roboto" w:cs="Roboto"/>
          <w:b/>
          <w:color w:val="333333"/>
          <w:sz w:val="27"/>
          <w:szCs w:val="27"/>
        </w:rPr>
        <w:lastRenderedPageBreak/>
        <w:t>Consent for publication</w:t>
      </w:r>
    </w:p>
    <w:p w14:paraId="25E5CA09" w14:textId="77777777" w:rsidR="00D561E8" w:rsidRDefault="00000000">
      <w:pPr>
        <w:spacing w:after="100" w:line="480" w:lineRule="auto"/>
        <w:rPr>
          <w:rFonts w:ascii="Roboto" w:eastAsia="Roboto" w:hAnsi="Roboto" w:cs="Roboto"/>
          <w:b/>
          <w:color w:val="333333"/>
          <w:sz w:val="27"/>
          <w:szCs w:val="27"/>
        </w:rPr>
      </w:pPr>
      <w:r>
        <w:rPr>
          <w:color w:val="333333"/>
          <w:highlight w:val="white"/>
        </w:rPr>
        <w:t>All participants in this study have provided consent for their data to be part of the National Genomics Research Library and to the publication of research findings. For all cases, written informed consent for research use of clinical and genetic data was obtained from patients, their parents, or legal guardians in the case of those with intellectual disability.</w:t>
      </w:r>
    </w:p>
    <w:p w14:paraId="7B8474D0" w14:textId="77777777" w:rsidR="00D561E8" w:rsidRDefault="00000000">
      <w:pPr>
        <w:spacing w:after="100" w:line="480" w:lineRule="auto"/>
        <w:rPr>
          <w:rFonts w:ascii="Roboto" w:eastAsia="Roboto" w:hAnsi="Roboto" w:cs="Roboto"/>
          <w:b/>
          <w:color w:val="333333"/>
          <w:sz w:val="27"/>
          <w:szCs w:val="27"/>
        </w:rPr>
      </w:pPr>
      <w:r>
        <w:rPr>
          <w:rFonts w:ascii="Roboto" w:eastAsia="Roboto" w:hAnsi="Roboto" w:cs="Roboto"/>
          <w:b/>
          <w:color w:val="333333"/>
          <w:sz w:val="27"/>
          <w:szCs w:val="27"/>
        </w:rPr>
        <w:t>Availability of data and materials</w:t>
      </w:r>
    </w:p>
    <w:p w14:paraId="23823C96" w14:textId="77777777" w:rsidR="00D561E8" w:rsidRDefault="00000000">
      <w:pPr>
        <w:spacing w:line="523" w:lineRule="auto"/>
      </w:pPr>
      <w:r>
        <w:rPr>
          <w:color w:val="333333"/>
          <w:highlight w:val="white"/>
        </w:rPr>
        <w:t>The datasets supporting the conclusions of this article are available in the ‘near-coding annotation’ github repository</w:t>
      </w:r>
      <w:hyperlink r:id="rId111">
        <w:r>
          <w:rPr>
            <w:color w:val="000000"/>
            <w:highlight w:val="white"/>
            <w:vertAlign w:val="superscript"/>
          </w:rPr>
          <w:t>85</w:t>
        </w:r>
      </w:hyperlink>
      <w:r>
        <w:rPr>
          <w:color w:val="333333"/>
          <w:highlight w:val="white"/>
        </w:rPr>
        <w:t xml:space="preserve"> </w:t>
      </w:r>
      <w:hyperlink r:id="rId112">
        <w:r>
          <w:t xml:space="preserve">This repository includes data and scripts relating to MANE transcripts of ‘green’ PanelApp genes with a dominant mode of inheritance (GRCh38), including; .tsv, .bed and .bb files containing the coordinates of UTR and promoter regions; The coordinates of annotation features not already available via the Ensembl VEP in .tsv format; And all scripts used to annotate near coding variants that fall within regulatory elements. </w:t>
        </w:r>
      </w:hyperlink>
      <w:r>
        <w:rPr>
          <w:color w:val="333333"/>
          <w:highlight w:val="white"/>
        </w:rPr>
        <w:t>(</w:t>
      </w:r>
      <w:hyperlink r:id="rId113">
        <w:r>
          <w:rPr>
            <w:color w:val="1155CC"/>
            <w:highlight w:val="white"/>
            <w:u w:val="single"/>
          </w:rPr>
          <w:t>https://github.com/Computational-Rare-Disease-Genomics-WHG/Near_coding_annotation</w:t>
        </w:r>
      </w:hyperlink>
      <w:hyperlink r:id="rId114">
        <w:r>
          <w:rPr>
            <w:highlight w:val="white"/>
            <w:u w:val="single"/>
          </w:rPr>
          <w:t>).</w:t>
        </w:r>
      </w:hyperlink>
    </w:p>
    <w:p w14:paraId="565B050E" w14:textId="77777777" w:rsidR="00D561E8" w:rsidRDefault="00000000">
      <w:pPr>
        <w:spacing w:line="523" w:lineRule="auto"/>
        <w:rPr>
          <w:rFonts w:ascii="Roboto" w:eastAsia="Roboto" w:hAnsi="Roboto" w:cs="Roboto"/>
        </w:rPr>
      </w:pPr>
      <w:r>
        <w:t>In addition, a UCSC genome browser public session entitled ‘CRDG Near coding regions’ Martin-Geary et al ‘24’ has been made available</w:t>
      </w:r>
      <w:hyperlink r:id="rId115">
        <w:r>
          <w:rPr>
            <w:color w:val="000000"/>
            <w:vertAlign w:val="superscript"/>
          </w:rPr>
          <w:t>86</w:t>
        </w:r>
      </w:hyperlink>
      <w:r>
        <w:rPr>
          <w:color w:val="0B5394"/>
        </w:rPr>
        <w:t>.</w:t>
      </w:r>
      <w:r>
        <w:t xml:space="preserve"> This session contains a custom track showing near coding regions, including UTR exons, introns, and promoter regions in PanelApp green genes, and can be accessed via the UCSC Public Sessions portal</w:t>
      </w:r>
      <w:hyperlink r:id="rId116">
        <w:r>
          <w:rPr>
            <w:color w:val="000000"/>
            <w:vertAlign w:val="superscript"/>
          </w:rPr>
          <w:t>87</w:t>
        </w:r>
      </w:hyperlink>
      <w:r>
        <w:t xml:space="preserve">: </w:t>
      </w:r>
      <w:hyperlink r:id="rId117">
        <w:r>
          <w:rPr>
            <w:u w:val="single"/>
          </w:rPr>
          <w:t>https://genome.ucsc.edu/cgi-bin/hgPublicSessions</w:t>
        </w:r>
      </w:hyperlink>
      <w:r>
        <w:t>.</w:t>
      </w:r>
    </w:p>
    <w:p w14:paraId="7CDDDD9F" w14:textId="77777777" w:rsidR="00D561E8" w:rsidRDefault="00000000">
      <w:pPr>
        <w:spacing w:line="480" w:lineRule="auto"/>
        <w:rPr>
          <w:rFonts w:ascii="Roboto" w:eastAsia="Roboto" w:hAnsi="Roboto" w:cs="Roboto"/>
          <w:color w:val="333333"/>
        </w:rPr>
      </w:pPr>
      <w:r>
        <w:rPr>
          <w:rFonts w:ascii="Roboto" w:eastAsia="Roboto" w:hAnsi="Roboto" w:cs="Roboto"/>
        </w:rPr>
        <w:t xml:space="preserve">This research was made possible through access to data in the National Genomic Research Library, which is managed by Genomics England Limited (a wholly owned company of the Department of Health and Social Care). The National Genomic Research Library holds data provided by patients and collected by the NHS as part of their care and data collected as part of their participation in research. </w:t>
      </w:r>
      <w:r>
        <w:rPr>
          <w:rFonts w:ascii="Roboto" w:eastAsia="Roboto" w:hAnsi="Roboto" w:cs="Roboto"/>
          <w:color w:val="333333"/>
        </w:rPr>
        <w:t xml:space="preserve">All data from the Genomics England 100k Genomes Project v15 (26.05.2022), including Genetic, phenotypic and RNA-seq data, was accessed via </w:t>
      </w:r>
      <w:r>
        <w:rPr>
          <w:rFonts w:ascii="Roboto" w:eastAsia="Roboto" w:hAnsi="Roboto" w:cs="Roboto"/>
          <w:color w:val="333333"/>
        </w:rPr>
        <w:lastRenderedPageBreak/>
        <w:t>the Genomics England Trusted Research Environment</w:t>
      </w:r>
      <w:hyperlink r:id="rId118">
        <w:r>
          <w:rPr>
            <w:rFonts w:ascii="Roboto" w:eastAsia="Roboto" w:hAnsi="Roboto" w:cs="Roboto"/>
            <w:color w:val="000000"/>
            <w:vertAlign w:val="superscript"/>
          </w:rPr>
          <w:t>88</w:t>
        </w:r>
      </w:hyperlink>
      <w:r>
        <w:rPr>
          <w:rFonts w:ascii="Roboto" w:eastAsia="Roboto" w:hAnsi="Roboto" w:cs="Roboto"/>
          <w:color w:val="333333"/>
        </w:rPr>
        <w:t xml:space="preserve"> (TRE) and is available to registered users of the National Genomics Research Library through the TRE platform. </w:t>
      </w:r>
    </w:p>
    <w:p w14:paraId="668C2069" w14:textId="77777777" w:rsidR="00D561E8" w:rsidRDefault="00000000">
      <w:pPr>
        <w:spacing w:line="480" w:lineRule="auto"/>
        <w:rPr>
          <w:rFonts w:ascii="Roboto" w:eastAsia="Roboto" w:hAnsi="Roboto" w:cs="Roboto"/>
          <w:color w:val="333333"/>
        </w:rPr>
      </w:pPr>
      <w:r>
        <w:rPr>
          <w:rFonts w:ascii="Calibri" w:eastAsia="Calibri" w:hAnsi="Calibri" w:cs="Calibri"/>
          <w:color w:val="333333"/>
          <w:sz w:val="24"/>
          <w:szCs w:val="24"/>
        </w:rPr>
        <w:t>Detailed methylation data used in this analysis cannot be shared due to EpiSign-related proprietary issues and legal constraints on the redistribution of NHS patient data of this kind. If required, part of these data may be made available upon request subject to gaining the necessary approvals.</w:t>
      </w:r>
    </w:p>
    <w:p w14:paraId="28C43B88" w14:textId="77777777" w:rsidR="00D561E8" w:rsidRDefault="00000000">
      <w:pPr>
        <w:spacing w:after="100" w:line="480" w:lineRule="auto"/>
        <w:rPr>
          <w:rFonts w:ascii="Roboto" w:eastAsia="Roboto" w:hAnsi="Roboto" w:cs="Roboto"/>
          <w:b/>
          <w:color w:val="333333"/>
          <w:sz w:val="27"/>
          <w:szCs w:val="27"/>
        </w:rPr>
      </w:pPr>
      <w:r>
        <w:rPr>
          <w:rFonts w:ascii="Roboto" w:eastAsia="Roboto" w:hAnsi="Roboto" w:cs="Roboto"/>
          <w:b/>
          <w:color w:val="333333"/>
          <w:sz w:val="27"/>
          <w:szCs w:val="27"/>
        </w:rPr>
        <w:t>Competing interests</w:t>
      </w:r>
    </w:p>
    <w:p w14:paraId="0B2C8CA7" w14:textId="77777777" w:rsidR="00D561E8" w:rsidRDefault="00000000">
      <w:pPr>
        <w:spacing w:after="100" w:line="480" w:lineRule="auto"/>
        <w:rPr>
          <w:color w:val="333333"/>
        </w:rPr>
      </w:pPr>
      <w:r>
        <w:rPr>
          <w:color w:val="333333"/>
          <w:highlight w:val="white"/>
        </w:rPr>
        <w:t>The authors declare that they have no competing interests</w:t>
      </w:r>
    </w:p>
    <w:p w14:paraId="471C97A4" w14:textId="77777777" w:rsidR="00D561E8" w:rsidRDefault="00000000">
      <w:pPr>
        <w:spacing w:after="100" w:line="480" w:lineRule="auto"/>
        <w:rPr>
          <w:rFonts w:ascii="Roboto" w:eastAsia="Roboto" w:hAnsi="Roboto" w:cs="Roboto"/>
          <w:b/>
          <w:color w:val="333333"/>
          <w:sz w:val="27"/>
          <w:szCs w:val="27"/>
        </w:rPr>
      </w:pPr>
      <w:r>
        <w:rPr>
          <w:rFonts w:ascii="Roboto" w:eastAsia="Roboto" w:hAnsi="Roboto" w:cs="Roboto"/>
          <w:b/>
          <w:color w:val="333333"/>
          <w:sz w:val="27"/>
          <w:szCs w:val="27"/>
        </w:rPr>
        <w:t>Funding</w:t>
      </w:r>
    </w:p>
    <w:p w14:paraId="2EF25887" w14:textId="77777777" w:rsidR="00D561E8" w:rsidRDefault="00000000">
      <w:pPr>
        <w:spacing w:line="480" w:lineRule="auto"/>
      </w:pPr>
      <w:r>
        <w:t>NWhiffin and ACM-G are supported by a Sir Henry Dale Fellowship awarded to NWhiffin, jointly funded by the Wellcome Trust and the Royal Society (220134/Z/20/Z). NW, END, and MF are supported by research grant funding from the Rosetrees Trust (PGL19-2/10025). AJMB is supported by a Wellcome PhD Training Fellowship for Clinicians and the 4Ward North PhD Programme for Health Professionals (223521/Z/21/Z). JL is supported by a University of Southampton Anniversary Fellowship. DB is supported by a National Institute for Health Research (NIHR) (RP-2016-07-011) research professorship. SJS is supported by grant funding from the National Institutes of Health (NIH) (R01 MH116999 S.J.S. and U01 MH122681)</w:t>
      </w:r>
    </w:p>
    <w:p w14:paraId="223B06BD" w14:textId="77777777" w:rsidR="00D561E8" w:rsidRDefault="00000000">
      <w:pPr>
        <w:spacing w:line="480" w:lineRule="auto"/>
      </w:pPr>
      <w:r>
        <w:t>The National Genomic Research Library is funded by the National Institute for Health Research and NHS England. The Wellcome Trust, Cancer Research UK and the Medical Research Council have also funded research infrastructure.</w:t>
      </w:r>
    </w:p>
    <w:p w14:paraId="4D7E5661" w14:textId="77777777" w:rsidR="00D561E8" w:rsidRDefault="00D561E8">
      <w:pPr>
        <w:spacing w:after="100" w:line="480" w:lineRule="auto"/>
        <w:rPr>
          <w:rFonts w:ascii="Roboto" w:eastAsia="Roboto" w:hAnsi="Roboto" w:cs="Roboto"/>
          <w:b/>
          <w:color w:val="333333"/>
          <w:sz w:val="27"/>
          <w:szCs w:val="27"/>
        </w:rPr>
      </w:pPr>
    </w:p>
    <w:p w14:paraId="02C4994A" w14:textId="77777777" w:rsidR="00D561E8" w:rsidRDefault="00000000">
      <w:pPr>
        <w:spacing w:after="100" w:line="480" w:lineRule="auto"/>
        <w:rPr>
          <w:b/>
          <w:color w:val="333333"/>
          <w:sz w:val="28"/>
          <w:szCs w:val="28"/>
        </w:rPr>
      </w:pPr>
      <w:r>
        <w:rPr>
          <w:b/>
          <w:color w:val="333333"/>
          <w:sz w:val="28"/>
          <w:szCs w:val="28"/>
        </w:rPr>
        <w:t>Authors' contributions</w:t>
      </w:r>
    </w:p>
    <w:p w14:paraId="4B395B63" w14:textId="77777777" w:rsidR="00D561E8" w:rsidRDefault="00000000">
      <w:pPr>
        <w:spacing w:after="100" w:line="480" w:lineRule="auto"/>
        <w:rPr>
          <w:color w:val="333333"/>
        </w:rPr>
      </w:pPr>
      <w:r>
        <w:rPr>
          <w:color w:val="333333"/>
        </w:rPr>
        <w:t xml:space="preserve">NWhiffin conceived and supervised the project and co-wrote the manuscript. ACMG conducted data analysis within GEL, curated external datasets and co-wrote the manuscript. </w:t>
      </w:r>
      <w:r>
        <w:rPr>
          <w:color w:val="333333"/>
        </w:rPr>
        <w:lastRenderedPageBreak/>
        <w:t xml:space="preserve">AJMB conducted all clinical reviews. RD performed code-review and provided interpretation of all splicing variants. SDF and CBB provided data relating to RBPs. JL and DB performed RNA sequencing analysis and interpretation. SW contributed to variant interpretation. JTM contributed to methodological design and variant filtering. NWieder contributed to the analysis of 5’ UTR variants and filtering strategy. END contributed to study design and figure creation. MF contributed to study design and software. SH, NL,CC, SJ and SB performed methylation analyses and interpretation. CGELD, ERA and SB provided clinical contact. SJS contributed to study design. JE contributed to the application of ACMG guidelines. </w:t>
      </w:r>
      <w:r>
        <w:t xml:space="preserve">All authors read and approved the final manuscript. </w:t>
      </w:r>
    </w:p>
    <w:p w14:paraId="7273C4F3" w14:textId="77777777" w:rsidR="00D561E8" w:rsidRDefault="00D561E8">
      <w:pPr>
        <w:spacing w:after="100" w:line="480" w:lineRule="auto"/>
        <w:rPr>
          <w:color w:val="333333"/>
        </w:rPr>
      </w:pPr>
    </w:p>
    <w:p w14:paraId="5E5782E8" w14:textId="77777777" w:rsidR="00D561E8" w:rsidRDefault="00000000">
      <w:pPr>
        <w:spacing w:line="480" w:lineRule="auto"/>
      </w:pPr>
      <w:r>
        <w:rPr>
          <w:b/>
          <w:sz w:val="28"/>
          <w:szCs w:val="28"/>
        </w:rPr>
        <w:t>Acknowledgements</w:t>
      </w:r>
    </w:p>
    <w:p w14:paraId="5E45D605" w14:textId="77777777" w:rsidR="00D561E8" w:rsidRDefault="00000000">
      <w:pPr>
        <w:spacing w:line="480" w:lineRule="auto"/>
      </w:pPr>
      <w:r>
        <w:t xml:space="preserve">This research was made possible through access to data in the National Genomic Research Library, which is managed by Genomics England Limited (a wholly owned company of the Department of Health and Social Care). </w:t>
      </w:r>
    </w:p>
    <w:p w14:paraId="3830728E" w14:textId="77777777" w:rsidR="00D561E8" w:rsidRDefault="00000000">
      <w:pPr>
        <w:spacing w:line="480" w:lineRule="auto"/>
      </w:pPr>
      <w:r>
        <w:t>We would like to acknowledge the Genomics England service desk, in particular Daniel Rhodes, Roel Bevers, and Peter O'Donovan, for the support and guidance they provided to make this work possible. We would also like to thank Ana Lisa Taylor Tavares for her assistance in orchestrating connections with clinical collaborators, and both Esther Ng and Matteo Ferla for valuable discussions, and insight.</w:t>
      </w:r>
    </w:p>
    <w:p w14:paraId="35A78B47" w14:textId="77777777" w:rsidR="00D561E8" w:rsidRDefault="00D561E8">
      <w:pPr>
        <w:spacing w:line="480" w:lineRule="auto"/>
      </w:pPr>
    </w:p>
    <w:p w14:paraId="7796E686" w14:textId="77777777" w:rsidR="00D561E8" w:rsidRDefault="00000000">
      <w:pPr>
        <w:spacing w:line="480" w:lineRule="auto"/>
      </w:pPr>
      <w:r>
        <w:t xml:space="preserve">We acknowledge Episign® for the diagnostic DNA methylation array testing, and are grateful for the support of the NIHR Manchester Biomedical Research Centre (NIHR203308). </w:t>
      </w:r>
    </w:p>
    <w:p w14:paraId="7316AAAC" w14:textId="77777777" w:rsidR="00D561E8" w:rsidRDefault="00D561E8">
      <w:pPr>
        <w:spacing w:line="480" w:lineRule="auto"/>
        <w:rPr>
          <w:sz w:val="20"/>
          <w:szCs w:val="20"/>
        </w:rPr>
      </w:pPr>
    </w:p>
    <w:p w14:paraId="479E7C66" w14:textId="77777777" w:rsidR="00D561E8" w:rsidRDefault="00000000">
      <w:pPr>
        <w:spacing w:line="480" w:lineRule="auto"/>
        <w:rPr>
          <w:b/>
          <w:sz w:val="28"/>
          <w:szCs w:val="28"/>
        </w:rPr>
      </w:pPr>
      <w:r>
        <w:rPr>
          <w:b/>
          <w:sz w:val="28"/>
          <w:szCs w:val="28"/>
        </w:rPr>
        <w:t>References</w:t>
      </w:r>
    </w:p>
    <w:p w14:paraId="26172EE5" w14:textId="77777777" w:rsidR="00D561E8" w:rsidRDefault="00D561E8">
      <w:pPr>
        <w:spacing w:line="480" w:lineRule="auto"/>
        <w:rPr>
          <w:i/>
          <w:sz w:val="18"/>
          <w:szCs w:val="18"/>
        </w:rPr>
      </w:pPr>
    </w:p>
    <w:p w14:paraId="626ED8DD" w14:textId="77777777" w:rsidR="00D561E8" w:rsidRDefault="00000000">
      <w:pPr>
        <w:widowControl w:val="0"/>
        <w:pBdr>
          <w:top w:val="nil"/>
          <w:left w:val="nil"/>
          <w:bottom w:val="nil"/>
          <w:right w:val="nil"/>
          <w:between w:val="nil"/>
        </w:pBdr>
        <w:spacing w:before="180" w:line="480" w:lineRule="auto"/>
        <w:ind w:left="360" w:hanging="360"/>
        <w:rPr>
          <w:color w:val="000000"/>
          <w:sz w:val="18"/>
          <w:szCs w:val="18"/>
        </w:rPr>
      </w:pPr>
      <w:r>
        <w:rPr>
          <w:color w:val="000000"/>
          <w:sz w:val="18"/>
          <w:szCs w:val="18"/>
        </w:rPr>
        <w:t>1.</w:t>
      </w:r>
      <w:r>
        <w:rPr>
          <w:color w:val="000000"/>
          <w:sz w:val="18"/>
          <w:szCs w:val="18"/>
        </w:rPr>
        <w:tab/>
      </w:r>
      <w:hyperlink r:id="rId119">
        <w:r>
          <w:rPr>
            <w:color w:val="000000"/>
            <w:sz w:val="18"/>
            <w:szCs w:val="18"/>
          </w:rPr>
          <w:t xml:space="preserve">Blakes, A. J. M. </w:t>
        </w:r>
      </w:hyperlink>
      <w:hyperlink r:id="rId120">
        <w:r>
          <w:rPr>
            <w:i/>
            <w:color w:val="000000"/>
            <w:sz w:val="18"/>
            <w:szCs w:val="18"/>
          </w:rPr>
          <w:t>et al.</w:t>
        </w:r>
      </w:hyperlink>
      <w:hyperlink r:id="rId121">
        <w:r>
          <w:rPr>
            <w:color w:val="000000"/>
            <w:sz w:val="18"/>
            <w:szCs w:val="18"/>
          </w:rPr>
          <w:t xml:space="preserve"> A systematic analysis of splicing variants identifies new diagnoses in the 100,000 Genomes Project. </w:t>
        </w:r>
      </w:hyperlink>
      <w:hyperlink r:id="rId122">
        <w:r>
          <w:rPr>
            <w:i/>
            <w:color w:val="000000"/>
            <w:sz w:val="18"/>
            <w:szCs w:val="18"/>
          </w:rPr>
          <w:t>Genome Med.</w:t>
        </w:r>
      </w:hyperlink>
      <w:hyperlink r:id="rId123">
        <w:r>
          <w:rPr>
            <w:color w:val="000000"/>
            <w:sz w:val="18"/>
            <w:szCs w:val="18"/>
          </w:rPr>
          <w:t xml:space="preserve"> </w:t>
        </w:r>
      </w:hyperlink>
      <w:hyperlink r:id="rId124">
        <w:r>
          <w:rPr>
            <w:b/>
            <w:color w:val="000000"/>
            <w:sz w:val="18"/>
            <w:szCs w:val="18"/>
          </w:rPr>
          <w:t>14</w:t>
        </w:r>
      </w:hyperlink>
      <w:hyperlink r:id="rId125">
        <w:r>
          <w:rPr>
            <w:color w:val="000000"/>
            <w:sz w:val="18"/>
            <w:szCs w:val="18"/>
          </w:rPr>
          <w:t>, 1–11 (2022).</w:t>
        </w:r>
      </w:hyperlink>
    </w:p>
    <w:p w14:paraId="51826FA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lastRenderedPageBreak/>
        <w:t>2.</w:t>
      </w:r>
      <w:r>
        <w:rPr>
          <w:color w:val="000000"/>
          <w:sz w:val="18"/>
          <w:szCs w:val="18"/>
        </w:rPr>
        <w:tab/>
      </w:r>
      <w:hyperlink r:id="rId126">
        <w:r>
          <w:rPr>
            <w:color w:val="000000"/>
            <w:sz w:val="18"/>
            <w:szCs w:val="18"/>
          </w:rPr>
          <w:t xml:space="preserve">Wright, C. F. </w:t>
        </w:r>
      </w:hyperlink>
      <w:hyperlink r:id="rId127">
        <w:r>
          <w:rPr>
            <w:i/>
            <w:color w:val="000000"/>
            <w:sz w:val="18"/>
            <w:szCs w:val="18"/>
          </w:rPr>
          <w:t>et al.</w:t>
        </w:r>
      </w:hyperlink>
      <w:hyperlink r:id="rId128">
        <w:r>
          <w:rPr>
            <w:color w:val="000000"/>
            <w:sz w:val="18"/>
            <w:szCs w:val="18"/>
          </w:rPr>
          <w:t xml:space="preserve"> Non-coding region variants upstream of MEF2C cause severe developmental disorder through three distinct loss-of-function mechanisms. </w:t>
        </w:r>
      </w:hyperlink>
      <w:hyperlink r:id="rId129">
        <w:r>
          <w:rPr>
            <w:i/>
            <w:color w:val="000000"/>
            <w:sz w:val="18"/>
            <w:szCs w:val="18"/>
          </w:rPr>
          <w:t>Am. J. Hum. Genet.</w:t>
        </w:r>
      </w:hyperlink>
      <w:hyperlink r:id="rId130">
        <w:r>
          <w:rPr>
            <w:color w:val="000000"/>
            <w:sz w:val="18"/>
            <w:szCs w:val="18"/>
          </w:rPr>
          <w:t xml:space="preserve"> </w:t>
        </w:r>
      </w:hyperlink>
      <w:hyperlink r:id="rId131">
        <w:r>
          <w:rPr>
            <w:b/>
            <w:color w:val="000000"/>
            <w:sz w:val="18"/>
            <w:szCs w:val="18"/>
          </w:rPr>
          <w:t>108</w:t>
        </w:r>
      </w:hyperlink>
      <w:hyperlink r:id="rId132">
        <w:r>
          <w:rPr>
            <w:color w:val="000000"/>
            <w:sz w:val="18"/>
            <w:szCs w:val="18"/>
          </w:rPr>
          <w:t>, 1083–1094 (2021).</w:t>
        </w:r>
      </w:hyperlink>
    </w:p>
    <w:p w14:paraId="14030E13"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w:t>
      </w:r>
      <w:r>
        <w:rPr>
          <w:color w:val="000000"/>
          <w:sz w:val="18"/>
          <w:szCs w:val="18"/>
        </w:rPr>
        <w:tab/>
      </w:r>
      <w:hyperlink r:id="rId133">
        <w:r>
          <w:rPr>
            <w:color w:val="000000"/>
            <w:sz w:val="18"/>
            <w:szCs w:val="18"/>
          </w:rPr>
          <w:t xml:space="preserve">Willemsen, M. A. </w:t>
        </w:r>
      </w:hyperlink>
      <w:hyperlink r:id="rId134">
        <w:r>
          <w:rPr>
            <w:i/>
            <w:color w:val="000000"/>
            <w:sz w:val="18"/>
            <w:szCs w:val="18"/>
          </w:rPr>
          <w:t>et al.</w:t>
        </w:r>
      </w:hyperlink>
      <w:hyperlink r:id="rId135">
        <w:r>
          <w:rPr>
            <w:color w:val="000000"/>
            <w:sz w:val="18"/>
            <w:szCs w:val="18"/>
          </w:rPr>
          <w:t xml:space="preserve"> Upstream SLC2A1 translation initiation causes GLUT1 deficiency syndrome. </w:t>
        </w:r>
      </w:hyperlink>
      <w:hyperlink r:id="rId136">
        <w:r>
          <w:rPr>
            <w:i/>
            <w:color w:val="000000"/>
            <w:sz w:val="18"/>
            <w:szCs w:val="18"/>
          </w:rPr>
          <w:t>Eur. J. Hum. Genet.</w:t>
        </w:r>
      </w:hyperlink>
      <w:hyperlink r:id="rId137">
        <w:r>
          <w:rPr>
            <w:color w:val="000000"/>
            <w:sz w:val="18"/>
            <w:szCs w:val="18"/>
          </w:rPr>
          <w:t xml:space="preserve"> </w:t>
        </w:r>
      </w:hyperlink>
      <w:hyperlink r:id="rId138">
        <w:r>
          <w:rPr>
            <w:b/>
            <w:color w:val="000000"/>
            <w:sz w:val="18"/>
            <w:szCs w:val="18"/>
          </w:rPr>
          <w:t>25</w:t>
        </w:r>
      </w:hyperlink>
      <w:hyperlink r:id="rId139">
        <w:r>
          <w:rPr>
            <w:color w:val="000000"/>
            <w:sz w:val="18"/>
            <w:szCs w:val="18"/>
          </w:rPr>
          <w:t>, 771–774 (2017).</w:t>
        </w:r>
      </w:hyperlink>
    </w:p>
    <w:p w14:paraId="543FBAA7"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w:t>
      </w:r>
      <w:r>
        <w:rPr>
          <w:color w:val="000000"/>
          <w:sz w:val="18"/>
          <w:szCs w:val="18"/>
        </w:rPr>
        <w:tab/>
      </w:r>
      <w:hyperlink r:id="rId140">
        <w:r>
          <w:rPr>
            <w:color w:val="000000"/>
            <w:sz w:val="18"/>
            <w:szCs w:val="18"/>
          </w:rPr>
          <w:t xml:space="preserve">Kircher, M. </w:t>
        </w:r>
      </w:hyperlink>
      <w:hyperlink r:id="rId141">
        <w:r>
          <w:rPr>
            <w:i/>
            <w:color w:val="000000"/>
            <w:sz w:val="18"/>
            <w:szCs w:val="18"/>
          </w:rPr>
          <w:t>et al.</w:t>
        </w:r>
      </w:hyperlink>
      <w:hyperlink r:id="rId142">
        <w:r>
          <w:rPr>
            <w:color w:val="000000"/>
            <w:sz w:val="18"/>
            <w:szCs w:val="18"/>
          </w:rPr>
          <w:t xml:space="preserve"> Saturation mutagenesis of twenty disease-associated regulatory elements at single base-pair resolution. </w:t>
        </w:r>
      </w:hyperlink>
      <w:hyperlink r:id="rId143">
        <w:r>
          <w:rPr>
            <w:i/>
            <w:color w:val="000000"/>
            <w:sz w:val="18"/>
            <w:szCs w:val="18"/>
          </w:rPr>
          <w:t>Nat. Commun.</w:t>
        </w:r>
      </w:hyperlink>
      <w:hyperlink r:id="rId144">
        <w:r>
          <w:rPr>
            <w:color w:val="000000"/>
            <w:sz w:val="18"/>
            <w:szCs w:val="18"/>
          </w:rPr>
          <w:t xml:space="preserve"> </w:t>
        </w:r>
      </w:hyperlink>
      <w:hyperlink r:id="rId145">
        <w:r>
          <w:rPr>
            <w:b/>
            <w:color w:val="000000"/>
            <w:sz w:val="18"/>
            <w:szCs w:val="18"/>
          </w:rPr>
          <w:t>10</w:t>
        </w:r>
      </w:hyperlink>
      <w:hyperlink r:id="rId146">
        <w:r>
          <w:rPr>
            <w:color w:val="000000"/>
            <w:sz w:val="18"/>
            <w:szCs w:val="18"/>
          </w:rPr>
          <w:t>, (2019).</w:t>
        </w:r>
      </w:hyperlink>
    </w:p>
    <w:p w14:paraId="2BE88B03"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w:t>
      </w:r>
      <w:r>
        <w:rPr>
          <w:color w:val="000000"/>
          <w:sz w:val="18"/>
          <w:szCs w:val="18"/>
        </w:rPr>
        <w:tab/>
      </w:r>
      <w:hyperlink r:id="rId147">
        <w:r>
          <w:rPr>
            <w:color w:val="000000"/>
            <w:sz w:val="18"/>
            <w:szCs w:val="18"/>
          </w:rPr>
          <w:t xml:space="preserve">Griesemer, D. </w:t>
        </w:r>
      </w:hyperlink>
      <w:hyperlink r:id="rId148">
        <w:r>
          <w:rPr>
            <w:i/>
            <w:color w:val="000000"/>
            <w:sz w:val="18"/>
            <w:szCs w:val="18"/>
          </w:rPr>
          <w:t>et al.</w:t>
        </w:r>
      </w:hyperlink>
      <w:hyperlink r:id="rId149">
        <w:r>
          <w:rPr>
            <w:color w:val="000000"/>
            <w:sz w:val="18"/>
            <w:szCs w:val="18"/>
          </w:rPr>
          <w:t xml:space="preserve"> Genome-wide functional screen of 3’UTR variants uncovers causal variants for human disease and evolution. </w:t>
        </w:r>
      </w:hyperlink>
      <w:hyperlink r:id="rId150">
        <w:r>
          <w:rPr>
            <w:i/>
            <w:color w:val="000000"/>
            <w:sz w:val="18"/>
            <w:szCs w:val="18"/>
          </w:rPr>
          <w:t>Cell</w:t>
        </w:r>
      </w:hyperlink>
      <w:hyperlink r:id="rId151">
        <w:r>
          <w:rPr>
            <w:color w:val="000000"/>
            <w:sz w:val="18"/>
            <w:szCs w:val="18"/>
          </w:rPr>
          <w:t xml:space="preserve"> </w:t>
        </w:r>
      </w:hyperlink>
      <w:hyperlink r:id="rId152">
        <w:r>
          <w:rPr>
            <w:b/>
            <w:color w:val="000000"/>
            <w:sz w:val="18"/>
            <w:szCs w:val="18"/>
          </w:rPr>
          <w:t>184</w:t>
        </w:r>
      </w:hyperlink>
      <w:hyperlink r:id="rId153">
        <w:r>
          <w:rPr>
            <w:color w:val="000000"/>
            <w:sz w:val="18"/>
            <w:szCs w:val="18"/>
          </w:rPr>
          <w:t>, (2021).</w:t>
        </w:r>
      </w:hyperlink>
    </w:p>
    <w:p w14:paraId="1329AC9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w:t>
      </w:r>
      <w:r>
        <w:rPr>
          <w:color w:val="000000"/>
          <w:sz w:val="18"/>
          <w:szCs w:val="18"/>
        </w:rPr>
        <w:tab/>
      </w:r>
      <w:hyperlink r:id="rId154">
        <w:r>
          <w:rPr>
            <w:color w:val="000000"/>
            <w:sz w:val="18"/>
            <w:szCs w:val="18"/>
          </w:rPr>
          <w:t xml:space="preserve">Das, S., Vera, M., Gandin, V., Singer, R. H. &amp; Tutucci, E. Intracellular mRNA transport and localized translation. </w:t>
        </w:r>
      </w:hyperlink>
      <w:hyperlink r:id="rId155">
        <w:r>
          <w:rPr>
            <w:i/>
            <w:color w:val="000000"/>
            <w:sz w:val="18"/>
            <w:szCs w:val="18"/>
          </w:rPr>
          <w:t>Nat. Rev. Mol. Cell Biol.</w:t>
        </w:r>
      </w:hyperlink>
      <w:hyperlink r:id="rId156">
        <w:r>
          <w:rPr>
            <w:color w:val="000000"/>
            <w:sz w:val="18"/>
            <w:szCs w:val="18"/>
          </w:rPr>
          <w:t xml:space="preserve"> </w:t>
        </w:r>
      </w:hyperlink>
      <w:hyperlink r:id="rId157">
        <w:r>
          <w:rPr>
            <w:b/>
            <w:color w:val="000000"/>
            <w:sz w:val="18"/>
            <w:szCs w:val="18"/>
          </w:rPr>
          <w:t>22</w:t>
        </w:r>
      </w:hyperlink>
      <w:hyperlink r:id="rId158">
        <w:r>
          <w:rPr>
            <w:color w:val="000000"/>
            <w:sz w:val="18"/>
            <w:szCs w:val="18"/>
          </w:rPr>
          <w:t>, 483–504 (2021).</w:t>
        </w:r>
      </w:hyperlink>
    </w:p>
    <w:p w14:paraId="40CFB13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w:t>
      </w:r>
      <w:r>
        <w:rPr>
          <w:color w:val="000000"/>
          <w:sz w:val="18"/>
          <w:szCs w:val="18"/>
        </w:rPr>
        <w:tab/>
      </w:r>
      <w:hyperlink r:id="rId159">
        <w:r>
          <w:rPr>
            <w:color w:val="000000"/>
            <w:sz w:val="18"/>
            <w:szCs w:val="18"/>
          </w:rPr>
          <w:t xml:space="preserve">Sonneveld, S., Verhagen, B. M. P. &amp; Tanenbaum, M. E. Heterogeneity in mRNA Translation. </w:t>
        </w:r>
      </w:hyperlink>
      <w:hyperlink r:id="rId160">
        <w:r>
          <w:rPr>
            <w:i/>
            <w:color w:val="000000"/>
            <w:sz w:val="18"/>
            <w:szCs w:val="18"/>
          </w:rPr>
          <w:t>Trends Cell Biol.</w:t>
        </w:r>
      </w:hyperlink>
      <w:hyperlink r:id="rId161">
        <w:r>
          <w:rPr>
            <w:color w:val="000000"/>
            <w:sz w:val="18"/>
            <w:szCs w:val="18"/>
          </w:rPr>
          <w:t xml:space="preserve"> </w:t>
        </w:r>
      </w:hyperlink>
      <w:hyperlink r:id="rId162">
        <w:r>
          <w:rPr>
            <w:b/>
            <w:color w:val="000000"/>
            <w:sz w:val="18"/>
            <w:szCs w:val="18"/>
          </w:rPr>
          <w:t>30</w:t>
        </w:r>
      </w:hyperlink>
      <w:hyperlink r:id="rId163">
        <w:r>
          <w:rPr>
            <w:color w:val="000000"/>
            <w:sz w:val="18"/>
            <w:szCs w:val="18"/>
          </w:rPr>
          <w:t>, 606–618 (2020).</w:t>
        </w:r>
      </w:hyperlink>
    </w:p>
    <w:p w14:paraId="7ACD7A7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w:t>
      </w:r>
      <w:r>
        <w:rPr>
          <w:color w:val="000000"/>
          <w:sz w:val="18"/>
          <w:szCs w:val="18"/>
        </w:rPr>
        <w:tab/>
      </w:r>
      <w:hyperlink r:id="rId164">
        <w:r>
          <w:rPr>
            <w:color w:val="000000"/>
            <w:sz w:val="18"/>
            <w:szCs w:val="18"/>
          </w:rPr>
          <w:t xml:space="preserve">Ellingford, J. M. </w:t>
        </w:r>
      </w:hyperlink>
      <w:hyperlink r:id="rId165">
        <w:r>
          <w:rPr>
            <w:i/>
            <w:color w:val="000000"/>
            <w:sz w:val="18"/>
            <w:szCs w:val="18"/>
          </w:rPr>
          <w:t>et al.</w:t>
        </w:r>
      </w:hyperlink>
      <w:hyperlink r:id="rId166">
        <w:r>
          <w:rPr>
            <w:color w:val="000000"/>
            <w:sz w:val="18"/>
            <w:szCs w:val="18"/>
          </w:rPr>
          <w:t xml:space="preserve"> Recommendations for clinical interpretation of variants found in non-coding regions of the genome. </w:t>
        </w:r>
      </w:hyperlink>
      <w:hyperlink r:id="rId167">
        <w:r>
          <w:rPr>
            <w:i/>
            <w:color w:val="000000"/>
            <w:sz w:val="18"/>
            <w:szCs w:val="18"/>
          </w:rPr>
          <w:t>Genome Med.</w:t>
        </w:r>
      </w:hyperlink>
      <w:hyperlink r:id="rId168">
        <w:r>
          <w:rPr>
            <w:color w:val="000000"/>
            <w:sz w:val="18"/>
            <w:szCs w:val="18"/>
          </w:rPr>
          <w:t xml:space="preserve"> </w:t>
        </w:r>
      </w:hyperlink>
      <w:hyperlink r:id="rId169">
        <w:r>
          <w:rPr>
            <w:b/>
            <w:color w:val="000000"/>
            <w:sz w:val="18"/>
            <w:szCs w:val="18"/>
          </w:rPr>
          <w:t>14</w:t>
        </w:r>
      </w:hyperlink>
      <w:hyperlink r:id="rId170">
        <w:r>
          <w:rPr>
            <w:color w:val="000000"/>
            <w:sz w:val="18"/>
            <w:szCs w:val="18"/>
          </w:rPr>
          <w:t>, 1–19 (2022).</w:t>
        </w:r>
      </w:hyperlink>
    </w:p>
    <w:p w14:paraId="37DF327E"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9.</w:t>
      </w:r>
      <w:r>
        <w:rPr>
          <w:color w:val="000000"/>
          <w:sz w:val="18"/>
          <w:szCs w:val="18"/>
        </w:rPr>
        <w:tab/>
      </w:r>
      <w:hyperlink r:id="rId171">
        <w:r>
          <w:rPr>
            <w:color w:val="000000"/>
            <w:sz w:val="18"/>
            <w:szCs w:val="18"/>
          </w:rPr>
          <w:t xml:space="preserve">Whiffin, N. </w:t>
        </w:r>
      </w:hyperlink>
      <w:hyperlink r:id="rId172">
        <w:r>
          <w:rPr>
            <w:i/>
            <w:color w:val="000000"/>
            <w:sz w:val="18"/>
            <w:szCs w:val="18"/>
          </w:rPr>
          <w:t>et al.</w:t>
        </w:r>
      </w:hyperlink>
      <w:hyperlink r:id="rId173">
        <w:r>
          <w:rPr>
            <w:color w:val="000000"/>
            <w:sz w:val="18"/>
            <w:szCs w:val="18"/>
          </w:rPr>
          <w:t xml:space="preserve"> Characterising the loss-of-function impact of 5’ untranslated region variants in 15,708 individuals. </w:t>
        </w:r>
      </w:hyperlink>
      <w:hyperlink r:id="rId174">
        <w:r>
          <w:rPr>
            <w:i/>
            <w:color w:val="000000"/>
            <w:sz w:val="18"/>
            <w:szCs w:val="18"/>
          </w:rPr>
          <w:t>Nat. Commun.</w:t>
        </w:r>
      </w:hyperlink>
      <w:hyperlink r:id="rId175">
        <w:r>
          <w:rPr>
            <w:color w:val="000000"/>
            <w:sz w:val="18"/>
            <w:szCs w:val="18"/>
          </w:rPr>
          <w:t xml:space="preserve"> </w:t>
        </w:r>
      </w:hyperlink>
      <w:hyperlink r:id="rId176">
        <w:r>
          <w:rPr>
            <w:b/>
            <w:color w:val="000000"/>
            <w:sz w:val="18"/>
            <w:szCs w:val="18"/>
          </w:rPr>
          <w:t>11</w:t>
        </w:r>
      </w:hyperlink>
      <w:hyperlink r:id="rId177">
        <w:r>
          <w:rPr>
            <w:color w:val="000000"/>
            <w:sz w:val="18"/>
            <w:szCs w:val="18"/>
          </w:rPr>
          <w:t>, 1–12 (2020).</w:t>
        </w:r>
      </w:hyperlink>
    </w:p>
    <w:p w14:paraId="08A0E5E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10.</w:t>
      </w:r>
      <w:r>
        <w:rPr>
          <w:color w:val="000000"/>
          <w:sz w:val="18"/>
          <w:szCs w:val="18"/>
        </w:rPr>
        <w:tab/>
      </w:r>
      <w:hyperlink r:id="rId178">
        <w:r>
          <w:rPr>
            <w:color w:val="000000"/>
            <w:sz w:val="18"/>
            <w:szCs w:val="18"/>
          </w:rPr>
          <w:t xml:space="preserve">Mohan, R. A. </w:t>
        </w:r>
      </w:hyperlink>
      <w:hyperlink r:id="rId179">
        <w:r>
          <w:rPr>
            <w:i/>
            <w:color w:val="000000"/>
            <w:sz w:val="18"/>
            <w:szCs w:val="18"/>
          </w:rPr>
          <w:t>et al.</w:t>
        </w:r>
      </w:hyperlink>
      <w:hyperlink r:id="rId180">
        <w:r>
          <w:rPr>
            <w:color w:val="000000"/>
            <w:sz w:val="18"/>
            <w:szCs w:val="18"/>
          </w:rPr>
          <w:t xml:space="preserve"> A mutation in the Kozak sequence of GATA4 hampers translation in a family with atrial septal defects. </w:t>
        </w:r>
      </w:hyperlink>
      <w:hyperlink r:id="rId181">
        <w:r>
          <w:rPr>
            <w:i/>
            <w:color w:val="000000"/>
            <w:sz w:val="18"/>
            <w:szCs w:val="18"/>
          </w:rPr>
          <w:t>Am. J. Med. Genet. A</w:t>
        </w:r>
      </w:hyperlink>
      <w:hyperlink r:id="rId182">
        <w:r>
          <w:rPr>
            <w:color w:val="000000"/>
            <w:sz w:val="18"/>
            <w:szCs w:val="18"/>
          </w:rPr>
          <w:t xml:space="preserve"> </w:t>
        </w:r>
      </w:hyperlink>
      <w:hyperlink r:id="rId183">
        <w:r>
          <w:rPr>
            <w:b/>
            <w:color w:val="000000"/>
            <w:sz w:val="18"/>
            <w:szCs w:val="18"/>
          </w:rPr>
          <w:t>164A</w:t>
        </w:r>
      </w:hyperlink>
      <w:hyperlink r:id="rId184">
        <w:r>
          <w:rPr>
            <w:color w:val="000000"/>
            <w:sz w:val="18"/>
            <w:szCs w:val="18"/>
          </w:rPr>
          <w:t>, (2014).</w:t>
        </w:r>
      </w:hyperlink>
    </w:p>
    <w:p w14:paraId="1FA1093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11.</w:t>
      </w:r>
      <w:r>
        <w:rPr>
          <w:color w:val="000000"/>
          <w:sz w:val="18"/>
          <w:szCs w:val="18"/>
        </w:rPr>
        <w:tab/>
      </w:r>
      <w:hyperlink r:id="rId185">
        <w:r>
          <w:rPr>
            <w:color w:val="000000"/>
            <w:sz w:val="18"/>
            <w:szCs w:val="18"/>
          </w:rPr>
          <w:t xml:space="preserve">Filatova, A. Y. </w:t>
        </w:r>
      </w:hyperlink>
      <w:hyperlink r:id="rId186">
        <w:r>
          <w:rPr>
            <w:i/>
            <w:color w:val="000000"/>
            <w:sz w:val="18"/>
            <w:szCs w:val="18"/>
          </w:rPr>
          <w:t>et al.</w:t>
        </w:r>
      </w:hyperlink>
      <w:hyperlink r:id="rId187">
        <w:r>
          <w:rPr>
            <w:color w:val="000000"/>
            <w:sz w:val="18"/>
            <w:szCs w:val="18"/>
          </w:rPr>
          <w:t xml:space="preserve"> Upstream ORF frameshift variants in the PAX6 5ʹUTR cause congenital aniridia. </w:t>
        </w:r>
      </w:hyperlink>
      <w:hyperlink r:id="rId188">
        <w:r>
          <w:rPr>
            <w:i/>
            <w:color w:val="000000"/>
            <w:sz w:val="18"/>
            <w:szCs w:val="18"/>
          </w:rPr>
          <w:t>Hum. Mutat.</w:t>
        </w:r>
      </w:hyperlink>
      <w:hyperlink r:id="rId189">
        <w:r>
          <w:rPr>
            <w:color w:val="000000"/>
            <w:sz w:val="18"/>
            <w:szCs w:val="18"/>
          </w:rPr>
          <w:t xml:space="preserve"> </w:t>
        </w:r>
      </w:hyperlink>
      <w:hyperlink r:id="rId190">
        <w:r>
          <w:rPr>
            <w:b/>
            <w:color w:val="000000"/>
            <w:sz w:val="18"/>
            <w:szCs w:val="18"/>
          </w:rPr>
          <w:t>42</w:t>
        </w:r>
      </w:hyperlink>
      <w:hyperlink r:id="rId191">
        <w:r>
          <w:rPr>
            <w:color w:val="000000"/>
            <w:sz w:val="18"/>
            <w:szCs w:val="18"/>
          </w:rPr>
          <w:t>, 1053–1065 (2021).</w:t>
        </w:r>
      </w:hyperlink>
    </w:p>
    <w:p w14:paraId="7FEA65B4"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12.</w:t>
      </w:r>
      <w:r>
        <w:rPr>
          <w:color w:val="000000"/>
          <w:sz w:val="18"/>
          <w:szCs w:val="18"/>
        </w:rPr>
        <w:tab/>
      </w:r>
      <w:hyperlink r:id="rId192">
        <w:r>
          <w:rPr>
            <w:color w:val="000000"/>
            <w:sz w:val="18"/>
            <w:szCs w:val="18"/>
          </w:rPr>
          <w:t xml:space="preserve">Curinha, A., Braz, S. O., Pereira-Castro, I., Cruz, A. &amp; Moreira, A. Implications of polyadenylation in health and disease. </w:t>
        </w:r>
      </w:hyperlink>
      <w:hyperlink r:id="rId193">
        <w:r>
          <w:rPr>
            <w:i/>
            <w:color w:val="000000"/>
            <w:sz w:val="18"/>
            <w:szCs w:val="18"/>
          </w:rPr>
          <w:t>Nucleus</w:t>
        </w:r>
      </w:hyperlink>
      <w:hyperlink r:id="rId194">
        <w:r>
          <w:rPr>
            <w:color w:val="000000"/>
            <w:sz w:val="18"/>
            <w:szCs w:val="18"/>
          </w:rPr>
          <w:t xml:space="preserve"> (2015) doi:</w:t>
        </w:r>
      </w:hyperlink>
      <w:hyperlink r:id="rId195">
        <w:r>
          <w:rPr>
            <w:color w:val="000000"/>
            <w:sz w:val="18"/>
            <w:szCs w:val="18"/>
          </w:rPr>
          <w:t>10.4161/nucl.36360</w:t>
        </w:r>
      </w:hyperlink>
      <w:hyperlink r:id="rId196">
        <w:r>
          <w:rPr>
            <w:color w:val="000000"/>
            <w:sz w:val="18"/>
            <w:szCs w:val="18"/>
          </w:rPr>
          <w:t>.</w:t>
        </w:r>
      </w:hyperlink>
    </w:p>
    <w:p w14:paraId="5E4CA07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13.</w:t>
      </w:r>
      <w:r>
        <w:rPr>
          <w:color w:val="000000"/>
          <w:sz w:val="18"/>
          <w:szCs w:val="18"/>
        </w:rPr>
        <w:tab/>
      </w:r>
      <w:hyperlink r:id="rId197">
        <w:r>
          <w:rPr>
            <w:color w:val="000000"/>
            <w:sz w:val="18"/>
            <w:szCs w:val="18"/>
          </w:rPr>
          <w:t xml:space="preserve">Rey, A. D. </w:t>
        </w:r>
      </w:hyperlink>
      <w:hyperlink r:id="rId198">
        <w:r>
          <w:rPr>
            <w:i/>
            <w:color w:val="000000"/>
            <w:sz w:val="18"/>
            <w:szCs w:val="18"/>
          </w:rPr>
          <w:t>et al.</w:t>
        </w:r>
      </w:hyperlink>
      <w:hyperlink r:id="rId199">
        <w:r>
          <w:rPr>
            <w:color w:val="000000"/>
            <w:sz w:val="18"/>
            <w:szCs w:val="18"/>
          </w:rPr>
          <w:t xml:space="preserve"> Combining a prioritization strategy and functional studies nominates 5’UTR variants underlying inherited retinal disease. </w:t>
        </w:r>
      </w:hyperlink>
      <w:hyperlink r:id="rId200">
        <w:r>
          <w:rPr>
            <w:i/>
            <w:color w:val="000000"/>
            <w:sz w:val="18"/>
            <w:szCs w:val="18"/>
          </w:rPr>
          <w:t>medRxiv</w:t>
        </w:r>
      </w:hyperlink>
      <w:hyperlink r:id="rId201">
        <w:r>
          <w:rPr>
            <w:color w:val="000000"/>
            <w:sz w:val="18"/>
            <w:szCs w:val="18"/>
          </w:rPr>
          <w:t xml:space="preserve"> 2023.06.19.23291376 (2023) doi:</w:t>
        </w:r>
      </w:hyperlink>
      <w:hyperlink r:id="rId202">
        <w:r>
          <w:rPr>
            <w:color w:val="000000"/>
            <w:sz w:val="18"/>
            <w:szCs w:val="18"/>
          </w:rPr>
          <w:t>10.1101/2023.06.19.23291376</w:t>
        </w:r>
      </w:hyperlink>
      <w:hyperlink r:id="rId203">
        <w:r>
          <w:rPr>
            <w:color w:val="000000"/>
            <w:sz w:val="18"/>
            <w:szCs w:val="18"/>
          </w:rPr>
          <w:t>.</w:t>
        </w:r>
      </w:hyperlink>
    </w:p>
    <w:p w14:paraId="3CB54C5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14.</w:t>
      </w:r>
      <w:r>
        <w:rPr>
          <w:color w:val="000000"/>
          <w:sz w:val="18"/>
          <w:szCs w:val="18"/>
        </w:rPr>
        <w:tab/>
      </w:r>
      <w:hyperlink r:id="rId204">
        <w:r>
          <w:rPr>
            <w:color w:val="000000"/>
            <w:sz w:val="18"/>
            <w:szCs w:val="18"/>
          </w:rPr>
          <w:t xml:space="preserve">Gutierrez-Rodrigues, F. </w:t>
        </w:r>
      </w:hyperlink>
      <w:hyperlink r:id="rId205">
        <w:r>
          <w:rPr>
            <w:i/>
            <w:color w:val="000000"/>
            <w:sz w:val="18"/>
            <w:szCs w:val="18"/>
          </w:rPr>
          <w:t>et al.</w:t>
        </w:r>
      </w:hyperlink>
      <w:hyperlink r:id="rId206">
        <w:r>
          <w:rPr>
            <w:color w:val="000000"/>
            <w:sz w:val="18"/>
            <w:szCs w:val="18"/>
          </w:rPr>
          <w:t xml:space="preserve"> Pathogenic TERT promoter variants in telomere diseases. </w:t>
        </w:r>
      </w:hyperlink>
      <w:hyperlink r:id="rId207">
        <w:r>
          <w:rPr>
            <w:i/>
            <w:color w:val="000000"/>
            <w:sz w:val="18"/>
            <w:szCs w:val="18"/>
          </w:rPr>
          <w:t>Genet. Med.</w:t>
        </w:r>
      </w:hyperlink>
      <w:hyperlink r:id="rId208">
        <w:r>
          <w:rPr>
            <w:color w:val="000000"/>
            <w:sz w:val="18"/>
            <w:szCs w:val="18"/>
          </w:rPr>
          <w:t xml:space="preserve"> </w:t>
        </w:r>
      </w:hyperlink>
      <w:hyperlink r:id="rId209">
        <w:r>
          <w:rPr>
            <w:b/>
            <w:color w:val="000000"/>
            <w:sz w:val="18"/>
            <w:szCs w:val="18"/>
          </w:rPr>
          <w:t>21</w:t>
        </w:r>
      </w:hyperlink>
      <w:hyperlink r:id="rId210">
        <w:r>
          <w:rPr>
            <w:color w:val="000000"/>
            <w:sz w:val="18"/>
            <w:szCs w:val="18"/>
          </w:rPr>
          <w:t>, 1594–1602 (2018).</w:t>
        </w:r>
      </w:hyperlink>
    </w:p>
    <w:p w14:paraId="123EDEF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15.</w:t>
      </w:r>
      <w:r>
        <w:rPr>
          <w:color w:val="000000"/>
          <w:sz w:val="18"/>
          <w:szCs w:val="18"/>
        </w:rPr>
        <w:tab/>
      </w:r>
      <w:hyperlink r:id="rId211">
        <w:r>
          <w:rPr>
            <w:color w:val="000000"/>
            <w:sz w:val="18"/>
            <w:szCs w:val="18"/>
          </w:rPr>
          <w:t xml:space="preserve">Villicaña, S. &amp; Bell, J. T. Genetic impacts on DNA methylation: research findings and future perspectives. </w:t>
        </w:r>
      </w:hyperlink>
      <w:hyperlink r:id="rId212">
        <w:r>
          <w:rPr>
            <w:i/>
            <w:color w:val="000000"/>
            <w:sz w:val="18"/>
            <w:szCs w:val="18"/>
          </w:rPr>
          <w:t>Genome Biol.</w:t>
        </w:r>
      </w:hyperlink>
      <w:hyperlink r:id="rId213">
        <w:r>
          <w:rPr>
            <w:color w:val="000000"/>
            <w:sz w:val="18"/>
            <w:szCs w:val="18"/>
          </w:rPr>
          <w:t xml:space="preserve"> </w:t>
        </w:r>
      </w:hyperlink>
      <w:hyperlink r:id="rId214">
        <w:r>
          <w:rPr>
            <w:b/>
            <w:color w:val="000000"/>
            <w:sz w:val="18"/>
            <w:szCs w:val="18"/>
          </w:rPr>
          <w:t>22</w:t>
        </w:r>
      </w:hyperlink>
      <w:hyperlink r:id="rId215">
        <w:r>
          <w:rPr>
            <w:color w:val="000000"/>
            <w:sz w:val="18"/>
            <w:szCs w:val="18"/>
          </w:rPr>
          <w:t>, 1–35 (2021).</w:t>
        </w:r>
      </w:hyperlink>
    </w:p>
    <w:p w14:paraId="10FD0533"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16.</w:t>
      </w:r>
      <w:r>
        <w:rPr>
          <w:color w:val="000000"/>
          <w:sz w:val="18"/>
          <w:szCs w:val="18"/>
        </w:rPr>
        <w:tab/>
      </w:r>
      <w:hyperlink r:id="rId216">
        <w:r>
          <w:rPr>
            <w:color w:val="000000"/>
            <w:sz w:val="18"/>
            <w:szCs w:val="18"/>
          </w:rPr>
          <w:t xml:space="preserve">Montulli, L., Grobe, M. &amp; Rezac, C. </w:t>
        </w:r>
      </w:hyperlink>
      <w:hyperlink r:id="rId217">
        <w:r>
          <w:rPr>
            <w:i/>
            <w:color w:val="000000"/>
            <w:sz w:val="18"/>
            <w:szCs w:val="18"/>
          </w:rPr>
          <w:t>Lynx Web Browser</w:t>
        </w:r>
      </w:hyperlink>
      <w:hyperlink r:id="rId218">
        <w:r>
          <w:rPr>
            <w:color w:val="000000"/>
            <w:sz w:val="18"/>
            <w:szCs w:val="18"/>
          </w:rPr>
          <w:t>. (1992).</w:t>
        </w:r>
      </w:hyperlink>
    </w:p>
    <w:p w14:paraId="55BD29F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17.</w:t>
      </w:r>
      <w:r>
        <w:rPr>
          <w:color w:val="000000"/>
          <w:sz w:val="18"/>
          <w:szCs w:val="18"/>
        </w:rPr>
        <w:tab/>
      </w:r>
      <w:hyperlink r:id="rId219">
        <w:r>
          <w:rPr>
            <w:color w:val="000000"/>
            <w:sz w:val="18"/>
            <w:szCs w:val="18"/>
          </w:rPr>
          <w:t xml:space="preserve">Morales, J. </w:t>
        </w:r>
      </w:hyperlink>
      <w:hyperlink r:id="rId220">
        <w:r>
          <w:rPr>
            <w:i/>
            <w:color w:val="000000"/>
            <w:sz w:val="18"/>
            <w:szCs w:val="18"/>
          </w:rPr>
          <w:t>et al.</w:t>
        </w:r>
      </w:hyperlink>
      <w:hyperlink r:id="rId221">
        <w:r>
          <w:rPr>
            <w:color w:val="000000"/>
            <w:sz w:val="18"/>
            <w:szCs w:val="18"/>
          </w:rPr>
          <w:t xml:space="preserve"> A joint NCBI and EMBL-EBI transcript set for clinical genomics and research. </w:t>
        </w:r>
      </w:hyperlink>
      <w:hyperlink r:id="rId222">
        <w:r>
          <w:rPr>
            <w:i/>
            <w:color w:val="000000"/>
            <w:sz w:val="18"/>
            <w:szCs w:val="18"/>
          </w:rPr>
          <w:t>Nature</w:t>
        </w:r>
      </w:hyperlink>
      <w:hyperlink r:id="rId223">
        <w:r>
          <w:rPr>
            <w:color w:val="000000"/>
            <w:sz w:val="18"/>
            <w:szCs w:val="18"/>
          </w:rPr>
          <w:t xml:space="preserve"> </w:t>
        </w:r>
      </w:hyperlink>
      <w:hyperlink r:id="rId224">
        <w:r>
          <w:rPr>
            <w:b/>
            <w:color w:val="000000"/>
            <w:sz w:val="18"/>
            <w:szCs w:val="18"/>
          </w:rPr>
          <w:t>604</w:t>
        </w:r>
      </w:hyperlink>
      <w:hyperlink r:id="rId225">
        <w:r>
          <w:rPr>
            <w:color w:val="000000"/>
            <w:sz w:val="18"/>
            <w:szCs w:val="18"/>
          </w:rPr>
          <w:t>, 310–315 (2022).</w:t>
        </w:r>
      </w:hyperlink>
    </w:p>
    <w:p w14:paraId="55003B5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18.</w:t>
      </w:r>
      <w:r>
        <w:rPr>
          <w:color w:val="000000"/>
          <w:sz w:val="18"/>
          <w:szCs w:val="18"/>
        </w:rPr>
        <w:tab/>
      </w:r>
      <w:hyperlink r:id="rId226">
        <w:r>
          <w:rPr>
            <w:color w:val="000000"/>
            <w:sz w:val="18"/>
            <w:szCs w:val="18"/>
          </w:rPr>
          <w:t xml:space="preserve">Moore, J. E. </w:t>
        </w:r>
      </w:hyperlink>
      <w:hyperlink r:id="rId227">
        <w:r>
          <w:rPr>
            <w:i/>
            <w:color w:val="000000"/>
            <w:sz w:val="18"/>
            <w:szCs w:val="18"/>
          </w:rPr>
          <w:t>et al.</w:t>
        </w:r>
      </w:hyperlink>
      <w:hyperlink r:id="rId228">
        <w:r>
          <w:rPr>
            <w:color w:val="000000"/>
            <w:sz w:val="18"/>
            <w:szCs w:val="18"/>
          </w:rPr>
          <w:t xml:space="preserve"> Expanded encyclopaedias of DNA elements in the human and mouse genomes. </w:t>
        </w:r>
      </w:hyperlink>
      <w:hyperlink r:id="rId229">
        <w:r>
          <w:rPr>
            <w:i/>
            <w:color w:val="000000"/>
            <w:sz w:val="18"/>
            <w:szCs w:val="18"/>
          </w:rPr>
          <w:t>Nature</w:t>
        </w:r>
      </w:hyperlink>
      <w:hyperlink r:id="rId230">
        <w:r>
          <w:rPr>
            <w:color w:val="000000"/>
            <w:sz w:val="18"/>
            <w:szCs w:val="18"/>
          </w:rPr>
          <w:t xml:space="preserve"> </w:t>
        </w:r>
      </w:hyperlink>
      <w:hyperlink r:id="rId231">
        <w:r>
          <w:rPr>
            <w:b/>
            <w:color w:val="000000"/>
            <w:sz w:val="18"/>
            <w:szCs w:val="18"/>
          </w:rPr>
          <w:t>583</w:t>
        </w:r>
      </w:hyperlink>
      <w:hyperlink r:id="rId232">
        <w:r>
          <w:rPr>
            <w:color w:val="000000"/>
            <w:sz w:val="18"/>
            <w:szCs w:val="18"/>
          </w:rPr>
          <w:t>, 699–710 (2020).</w:t>
        </w:r>
      </w:hyperlink>
    </w:p>
    <w:p w14:paraId="04F1DC3E"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lastRenderedPageBreak/>
        <w:t>19.</w:t>
      </w:r>
      <w:r>
        <w:rPr>
          <w:color w:val="000000"/>
          <w:sz w:val="18"/>
          <w:szCs w:val="18"/>
        </w:rPr>
        <w:tab/>
      </w:r>
      <w:hyperlink r:id="rId233">
        <w:r>
          <w:rPr>
            <w:color w:val="000000"/>
            <w:sz w:val="18"/>
            <w:szCs w:val="18"/>
          </w:rPr>
          <w:t xml:space="preserve">Quinlan, A. R. &amp; Hall, I. M. BEDTools: a flexible suite of utilities for comparing genomic features. </w:t>
        </w:r>
      </w:hyperlink>
      <w:hyperlink r:id="rId234">
        <w:r>
          <w:rPr>
            <w:i/>
            <w:color w:val="000000"/>
            <w:sz w:val="18"/>
            <w:szCs w:val="18"/>
          </w:rPr>
          <w:t>Bioinformatics</w:t>
        </w:r>
      </w:hyperlink>
      <w:hyperlink r:id="rId235">
        <w:r>
          <w:rPr>
            <w:color w:val="000000"/>
            <w:sz w:val="18"/>
            <w:szCs w:val="18"/>
          </w:rPr>
          <w:t xml:space="preserve"> </w:t>
        </w:r>
      </w:hyperlink>
      <w:hyperlink r:id="rId236">
        <w:r>
          <w:rPr>
            <w:b/>
            <w:color w:val="000000"/>
            <w:sz w:val="18"/>
            <w:szCs w:val="18"/>
          </w:rPr>
          <w:t>26</w:t>
        </w:r>
      </w:hyperlink>
      <w:hyperlink r:id="rId237">
        <w:r>
          <w:rPr>
            <w:color w:val="000000"/>
            <w:sz w:val="18"/>
            <w:szCs w:val="18"/>
          </w:rPr>
          <w:t>, 841–842 (2010).</w:t>
        </w:r>
      </w:hyperlink>
    </w:p>
    <w:p w14:paraId="4D9AE34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20.</w:t>
      </w:r>
      <w:r>
        <w:rPr>
          <w:color w:val="000000"/>
          <w:sz w:val="18"/>
          <w:szCs w:val="18"/>
        </w:rPr>
        <w:tab/>
      </w:r>
      <w:hyperlink r:id="rId238">
        <w:r>
          <w:rPr>
            <w:color w:val="000000"/>
            <w:sz w:val="18"/>
            <w:szCs w:val="18"/>
          </w:rPr>
          <w:t xml:space="preserve">Release v15 (26/05/2022) - Genomics England Research Environment User Guide. </w:t>
        </w:r>
      </w:hyperlink>
      <w:hyperlink r:id="rId239">
        <w:r>
          <w:rPr>
            <w:color w:val="000000"/>
            <w:sz w:val="18"/>
            <w:szCs w:val="18"/>
          </w:rPr>
          <w:t>https://re-docs.genomicsengland.co.uk/release15/</w:t>
        </w:r>
      </w:hyperlink>
      <w:hyperlink r:id="rId240">
        <w:r>
          <w:rPr>
            <w:color w:val="000000"/>
            <w:sz w:val="18"/>
            <w:szCs w:val="18"/>
          </w:rPr>
          <w:t>.</w:t>
        </w:r>
      </w:hyperlink>
    </w:p>
    <w:p w14:paraId="4A0D1F50"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21.</w:t>
      </w:r>
      <w:r>
        <w:rPr>
          <w:color w:val="000000"/>
          <w:sz w:val="18"/>
          <w:szCs w:val="18"/>
        </w:rPr>
        <w:tab/>
      </w:r>
      <w:hyperlink r:id="rId241">
        <w:r>
          <w:rPr>
            <w:color w:val="000000"/>
            <w:sz w:val="18"/>
            <w:szCs w:val="18"/>
          </w:rPr>
          <w:t xml:space="preserve">De novo variant research dataset - Genomics England Trusted Research Environment User Guide. </w:t>
        </w:r>
      </w:hyperlink>
      <w:hyperlink r:id="rId242">
        <w:r>
          <w:rPr>
            <w:color w:val="000000"/>
            <w:sz w:val="18"/>
            <w:szCs w:val="18"/>
          </w:rPr>
          <w:t>https://re-docs.genomicsengland.co.uk/de_novo_data/</w:t>
        </w:r>
      </w:hyperlink>
      <w:hyperlink r:id="rId243">
        <w:r>
          <w:rPr>
            <w:color w:val="000000"/>
            <w:sz w:val="18"/>
            <w:szCs w:val="18"/>
          </w:rPr>
          <w:t>.</w:t>
        </w:r>
      </w:hyperlink>
    </w:p>
    <w:p w14:paraId="74770CB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22.</w:t>
      </w:r>
      <w:r>
        <w:rPr>
          <w:color w:val="000000"/>
          <w:sz w:val="18"/>
          <w:szCs w:val="18"/>
        </w:rPr>
        <w:tab/>
      </w:r>
      <w:hyperlink r:id="rId244">
        <w:r>
          <w:rPr>
            <w:color w:val="000000"/>
            <w:sz w:val="18"/>
            <w:szCs w:val="18"/>
          </w:rPr>
          <w:t xml:space="preserve">Aggregated Variant Calls (AggV2) - Genomics England Research Environment User Guide. </w:t>
        </w:r>
      </w:hyperlink>
      <w:hyperlink r:id="rId245">
        <w:r>
          <w:rPr>
            <w:color w:val="000000"/>
            <w:sz w:val="18"/>
            <w:szCs w:val="18"/>
          </w:rPr>
          <w:t>https://re-docs.genomicsengland.co.uk/aggv2/</w:t>
        </w:r>
      </w:hyperlink>
      <w:hyperlink r:id="rId246">
        <w:r>
          <w:rPr>
            <w:color w:val="000000"/>
            <w:sz w:val="18"/>
            <w:szCs w:val="18"/>
          </w:rPr>
          <w:t>.</w:t>
        </w:r>
      </w:hyperlink>
    </w:p>
    <w:p w14:paraId="162F9B5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23.</w:t>
      </w:r>
      <w:r>
        <w:rPr>
          <w:color w:val="000000"/>
          <w:sz w:val="18"/>
          <w:szCs w:val="18"/>
        </w:rPr>
        <w:tab/>
      </w:r>
      <w:hyperlink r:id="rId247">
        <w:r>
          <w:rPr>
            <w:color w:val="000000"/>
            <w:sz w:val="18"/>
            <w:szCs w:val="18"/>
          </w:rPr>
          <w:t xml:space="preserve">Release v9 (03/09/2020) - Genomics England Research Environment User Guide. </w:t>
        </w:r>
      </w:hyperlink>
      <w:hyperlink r:id="rId248">
        <w:r>
          <w:rPr>
            <w:color w:val="000000"/>
            <w:sz w:val="18"/>
            <w:szCs w:val="18"/>
          </w:rPr>
          <w:t>https://re-docs.genomicsengland.co.uk/release9/</w:t>
        </w:r>
      </w:hyperlink>
      <w:hyperlink r:id="rId249">
        <w:r>
          <w:rPr>
            <w:color w:val="000000"/>
            <w:sz w:val="18"/>
            <w:szCs w:val="18"/>
          </w:rPr>
          <w:t>.</w:t>
        </w:r>
      </w:hyperlink>
    </w:p>
    <w:p w14:paraId="3B67A1A3"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24.</w:t>
      </w:r>
      <w:r>
        <w:rPr>
          <w:color w:val="000000"/>
          <w:sz w:val="18"/>
          <w:szCs w:val="18"/>
        </w:rPr>
        <w:tab/>
      </w:r>
      <w:hyperlink r:id="rId250">
        <w:r>
          <w:rPr>
            <w:color w:val="000000"/>
            <w:sz w:val="18"/>
            <w:szCs w:val="18"/>
          </w:rPr>
          <w:t xml:space="preserve">Genomics England. Labkey API - Genomics England Research Environment User Guide. </w:t>
        </w:r>
      </w:hyperlink>
      <w:hyperlink r:id="rId251">
        <w:r>
          <w:rPr>
            <w:color w:val="000000"/>
            <w:sz w:val="18"/>
            <w:szCs w:val="18"/>
          </w:rPr>
          <w:t>https://re-docs.genomicsengland.co.uk/labkey_api/</w:t>
        </w:r>
      </w:hyperlink>
      <w:hyperlink r:id="rId252">
        <w:r>
          <w:rPr>
            <w:color w:val="000000"/>
            <w:sz w:val="18"/>
            <w:szCs w:val="18"/>
          </w:rPr>
          <w:t xml:space="preserve"> (2023).</w:t>
        </w:r>
      </w:hyperlink>
    </w:p>
    <w:p w14:paraId="11B0D12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25.</w:t>
      </w:r>
      <w:r>
        <w:rPr>
          <w:color w:val="000000"/>
          <w:sz w:val="18"/>
          <w:szCs w:val="18"/>
        </w:rPr>
        <w:tab/>
      </w:r>
      <w:hyperlink r:id="rId253">
        <w:r>
          <w:rPr>
            <w:color w:val="000000"/>
            <w:sz w:val="18"/>
            <w:szCs w:val="18"/>
          </w:rPr>
          <w:t xml:space="preserve">De novo variant research dataset - Genomics England Trusted Research Environment User Guide. </w:t>
        </w:r>
      </w:hyperlink>
      <w:hyperlink r:id="rId254">
        <w:r>
          <w:rPr>
            <w:color w:val="000000"/>
            <w:sz w:val="18"/>
            <w:szCs w:val="18"/>
          </w:rPr>
          <w:t>https://re-docs.genomicsengland.co.uk/de_novo_data/</w:t>
        </w:r>
      </w:hyperlink>
      <w:hyperlink r:id="rId255">
        <w:r>
          <w:rPr>
            <w:color w:val="000000"/>
            <w:sz w:val="18"/>
            <w:szCs w:val="18"/>
          </w:rPr>
          <w:t>.</w:t>
        </w:r>
      </w:hyperlink>
    </w:p>
    <w:p w14:paraId="47552820"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26.</w:t>
      </w:r>
      <w:r>
        <w:rPr>
          <w:color w:val="000000"/>
          <w:sz w:val="18"/>
          <w:szCs w:val="18"/>
        </w:rPr>
        <w:tab/>
      </w:r>
      <w:hyperlink r:id="rId256">
        <w:r>
          <w:rPr>
            <w:color w:val="000000"/>
            <w:sz w:val="18"/>
            <w:szCs w:val="18"/>
          </w:rPr>
          <w:t xml:space="preserve">Genomics England. Principal Components and genetically inferred relatedness - Genomics England Research Environment User Guide. </w:t>
        </w:r>
      </w:hyperlink>
      <w:hyperlink r:id="rId257">
        <w:r>
          <w:rPr>
            <w:color w:val="000000"/>
            <w:sz w:val="18"/>
            <w:szCs w:val="18"/>
          </w:rPr>
          <w:t>https://re-docs.genomicsengland.co.uk/principal_components/</w:t>
        </w:r>
      </w:hyperlink>
      <w:hyperlink r:id="rId258">
        <w:r>
          <w:rPr>
            <w:color w:val="000000"/>
            <w:sz w:val="18"/>
            <w:szCs w:val="18"/>
          </w:rPr>
          <w:t xml:space="preserve"> (2023).</w:t>
        </w:r>
      </w:hyperlink>
    </w:p>
    <w:p w14:paraId="28F134B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27.</w:t>
      </w:r>
      <w:r>
        <w:rPr>
          <w:color w:val="000000"/>
          <w:sz w:val="18"/>
          <w:szCs w:val="18"/>
        </w:rPr>
        <w:tab/>
      </w:r>
      <w:hyperlink r:id="rId259">
        <w:r>
          <w:rPr>
            <w:color w:val="000000"/>
            <w:sz w:val="18"/>
            <w:szCs w:val="18"/>
          </w:rPr>
          <w:t xml:space="preserve">Hinrichs, A. S. </w:t>
        </w:r>
      </w:hyperlink>
      <w:hyperlink r:id="rId260">
        <w:r>
          <w:rPr>
            <w:i/>
            <w:color w:val="000000"/>
            <w:sz w:val="18"/>
            <w:szCs w:val="18"/>
          </w:rPr>
          <w:t>et al.</w:t>
        </w:r>
      </w:hyperlink>
      <w:hyperlink r:id="rId261">
        <w:r>
          <w:rPr>
            <w:color w:val="000000"/>
            <w:sz w:val="18"/>
            <w:szCs w:val="18"/>
          </w:rPr>
          <w:t xml:space="preserve"> The UCSC Genome Browser Database: update 2006. </w:t>
        </w:r>
      </w:hyperlink>
      <w:hyperlink r:id="rId262">
        <w:r>
          <w:rPr>
            <w:i/>
            <w:color w:val="000000"/>
            <w:sz w:val="18"/>
            <w:szCs w:val="18"/>
          </w:rPr>
          <w:t>Nucleic Acids Res.</w:t>
        </w:r>
      </w:hyperlink>
      <w:hyperlink r:id="rId263">
        <w:r>
          <w:rPr>
            <w:color w:val="000000"/>
            <w:sz w:val="18"/>
            <w:szCs w:val="18"/>
          </w:rPr>
          <w:t xml:space="preserve"> </w:t>
        </w:r>
      </w:hyperlink>
      <w:hyperlink r:id="rId264">
        <w:r>
          <w:rPr>
            <w:b/>
            <w:color w:val="000000"/>
            <w:sz w:val="18"/>
            <w:szCs w:val="18"/>
          </w:rPr>
          <w:t>34</w:t>
        </w:r>
      </w:hyperlink>
      <w:hyperlink r:id="rId265">
        <w:r>
          <w:rPr>
            <w:color w:val="000000"/>
            <w:sz w:val="18"/>
            <w:szCs w:val="18"/>
          </w:rPr>
          <w:t>, D590–D598 (2006).</w:t>
        </w:r>
      </w:hyperlink>
    </w:p>
    <w:p w14:paraId="4880D35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28.</w:t>
      </w:r>
      <w:r>
        <w:rPr>
          <w:color w:val="000000"/>
          <w:sz w:val="18"/>
          <w:szCs w:val="18"/>
        </w:rPr>
        <w:tab/>
      </w:r>
      <w:hyperlink r:id="rId266">
        <w:r>
          <w:rPr>
            <w:color w:val="000000"/>
            <w:sz w:val="18"/>
            <w:szCs w:val="18"/>
          </w:rPr>
          <w:t xml:space="preserve">McLaren, W. </w:t>
        </w:r>
      </w:hyperlink>
      <w:hyperlink r:id="rId267">
        <w:r>
          <w:rPr>
            <w:i/>
            <w:color w:val="000000"/>
            <w:sz w:val="18"/>
            <w:szCs w:val="18"/>
          </w:rPr>
          <w:t>et al.</w:t>
        </w:r>
      </w:hyperlink>
      <w:hyperlink r:id="rId268">
        <w:r>
          <w:rPr>
            <w:color w:val="000000"/>
            <w:sz w:val="18"/>
            <w:szCs w:val="18"/>
          </w:rPr>
          <w:t xml:space="preserve"> The Ensembl Variant Effect Predictor. </w:t>
        </w:r>
      </w:hyperlink>
      <w:hyperlink r:id="rId269">
        <w:r>
          <w:rPr>
            <w:i/>
            <w:color w:val="000000"/>
            <w:sz w:val="18"/>
            <w:szCs w:val="18"/>
          </w:rPr>
          <w:t>Genome Biol.</w:t>
        </w:r>
      </w:hyperlink>
      <w:hyperlink r:id="rId270">
        <w:r>
          <w:rPr>
            <w:color w:val="000000"/>
            <w:sz w:val="18"/>
            <w:szCs w:val="18"/>
          </w:rPr>
          <w:t xml:space="preserve"> </w:t>
        </w:r>
      </w:hyperlink>
      <w:hyperlink r:id="rId271">
        <w:r>
          <w:rPr>
            <w:b/>
            <w:color w:val="000000"/>
            <w:sz w:val="18"/>
            <w:szCs w:val="18"/>
          </w:rPr>
          <w:t>17</w:t>
        </w:r>
      </w:hyperlink>
      <w:hyperlink r:id="rId272">
        <w:r>
          <w:rPr>
            <w:color w:val="000000"/>
            <w:sz w:val="18"/>
            <w:szCs w:val="18"/>
          </w:rPr>
          <w:t>, 122 (2016).</w:t>
        </w:r>
      </w:hyperlink>
    </w:p>
    <w:p w14:paraId="113939B4"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29.</w:t>
      </w:r>
      <w:r>
        <w:rPr>
          <w:color w:val="000000"/>
          <w:sz w:val="18"/>
          <w:szCs w:val="18"/>
        </w:rPr>
        <w:tab/>
      </w:r>
      <w:hyperlink r:id="rId273">
        <w:r>
          <w:rPr>
            <w:color w:val="000000"/>
            <w:sz w:val="18"/>
            <w:szCs w:val="18"/>
          </w:rPr>
          <w:t xml:space="preserve">Zhang, X., Wakeling, M., Ware, J. &amp; Whiffin, N. Annotating high-impact 5’untranslated region variants with the UTRannotator. </w:t>
        </w:r>
      </w:hyperlink>
      <w:hyperlink r:id="rId274">
        <w:r>
          <w:rPr>
            <w:i/>
            <w:color w:val="000000"/>
            <w:sz w:val="18"/>
            <w:szCs w:val="18"/>
          </w:rPr>
          <w:t>Bioinformatics</w:t>
        </w:r>
      </w:hyperlink>
      <w:hyperlink r:id="rId275">
        <w:r>
          <w:rPr>
            <w:color w:val="000000"/>
            <w:sz w:val="18"/>
            <w:szCs w:val="18"/>
          </w:rPr>
          <w:t xml:space="preserve"> </w:t>
        </w:r>
      </w:hyperlink>
      <w:hyperlink r:id="rId276">
        <w:r>
          <w:rPr>
            <w:b/>
            <w:color w:val="000000"/>
            <w:sz w:val="18"/>
            <w:szCs w:val="18"/>
          </w:rPr>
          <w:t>37</w:t>
        </w:r>
      </w:hyperlink>
      <w:hyperlink r:id="rId277">
        <w:r>
          <w:rPr>
            <w:color w:val="000000"/>
            <w:sz w:val="18"/>
            <w:szCs w:val="18"/>
          </w:rPr>
          <w:t>, 1171–1173 (2021).</w:t>
        </w:r>
      </w:hyperlink>
    </w:p>
    <w:p w14:paraId="5B677A97"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30.</w:t>
      </w:r>
      <w:r>
        <w:rPr>
          <w:color w:val="000000"/>
          <w:sz w:val="18"/>
          <w:szCs w:val="18"/>
        </w:rPr>
        <w:tab/>
      </w:r>
      <w:hyperlink r:id="rId278">
        <w:r>
          <w:rPr>
            <w:color w:val="000000"/>
            <w:sz w:val="18"/>
            <w:szCs w:val="18"/>
          </w:rPr>
          <w:t xml:space="preserve">Jaganathan, K. </w:t>
        </w:r>
      </w:hyperlink>
      <w:hyperlink r:id="rId279">
        <w:r>
          <w:rPr>
            <w:i/>
            <w:color w:val="000000"/>
            <w:sz w:val="18"/>
            <w:szCs w:val="18"/>
          </w:rPr>
          <w:t>et al.</w:t>
        </w:r>
      </w:hyperlink>
      <w:hyperlink r:id="rId280">
        <w:r>
          <w:rPr>
            <w:color w:val="000000"/>
            <w:sz w:val="18"/>
            <w:szCs w:val="18"/>
          </w:rPr>
          <w:t xml:space="preserve"> Predicting Splicing from Primary Sequence with Deep Learning. </w:t>
        </w:r>
      </w:hyperlink>
      <w:hyperlink r:id="rId281">
        <w:r>
          <w:rPr>
            <w:i/>
            <w:color w:val="000000"/>
            <w:sz w:val="18"/>
            <w:szCs w:val="18"/>
          </w:rPr>
          <w:t>Cell</w:t>
        </w:r>
      </w:hyperlink>
      <w:hyperlink r:id="rId282">
        <w:r>
          <w:rPr>
            <w:color w:val="000000"/>
            <w:sz w:val="18"/>
            <w:szCs w:val="18"/>
          </w:rPr>
          <w:t xml:space="preserve"> </w:t>
        </w:r>
      </w:hyperlink>
      <w:hyperlink r:id="rId283">
        <w:r>
          <w:rPr>
            <w:b/>
            <w:color w:val="000000"/>
            <w:sz w:val="18"/>
            <w:szCs w:val="18"/>
          </w:rPr>
          <w:t>176</w:t>
        </w:r>
      </w:hyperlink>
      <w:hyperlink r:id="rId284">
        <w:r>
          <w:rPr>
            <w:color w:val="000000"/>
            <w:sz w:val="18"/>
            <w:szCs w:val="18"/>
          </w:rPr>
          <w:t>, 535–548.e24 (2019).</w:t>
        </w:r>
      </w:hyperlink>
    </w:p>
    <w:p w14:paraId="2BD6E8A5"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31.</w:t>
      </w:r>
      <w:r>
        <w:rPr>
          <w:color w:val="000000"/>
          <w:sz w:val="18"/>
          <w:szCs w:val="18"/>
        </w:rPr>
        <w:tab/>
      </w:r>
      <w:hyperlink r:id="rId285">
        <w:r>
          <w:rPr>
            <w:color w:val="000000"/>
            <w:sz w:val="18"/>
            <w:szCs w:val="18"/>
          </w:rPr>
          <w:t xml:space="preserve">Rentzsch, P., Schubach, M., Shendure, J. &amp; Kircher, M. CADD-Splice-improving genome-wide variant effect prediction using deep learning-derived splice scores. </w:t>
        </w:r>
      </w:hyperlink>
      <w:hyperlink r:id="rId286">
        <w:r>
          <w:rPr>
            <w:i/>
            <w:color w:val="000000"/>
            <w:sz w:val="18"/>
            <w:szCs w:val="18"/>
          </w:rPr>
          <w:t>Genome Med.</w:t>
        </w:r>
      </w:hyperlink>
      <w:hyperlink r:id="rId287">
        <w:r>
          <w:rPr>
            <w:color w:val="000000"/>
            <w:sz w:val="18"/>
            <w:szCs w:val="18"/>
          </w:rPr>
          <w:t xml:space="preserve"> </w:t>
        </w:r>
      </w:hyperlink>
      <w:hyperlink r:id="rId288">
        <w:r>
          <w:rPr>
            <w:b/>
            <w:color w:val="000000"/>
            <w:sz w:val="18"/>
            <w:szCs w:val="18"/>
          </w:rPr>
          <w:t>13</w:t>
        </w:r>
      </w:hyperlink>
      <w:hyperlink r:id="rId289">
        <w:r>
          <w:rPr>
            <w:color w:val="000000"/>
            <w:sz w:val="18"/>
            <w:szCs w:val="18"/>
          </w:rPr>
          <w:t>, 31 (2021).</w:t>
        </w:r>
      </w:hyperlink>
    </w:p>
    <w:p w14:paraId="6EA7CA18"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32.</w:t>
      </w:r>
      <w:r>
        <w:rPr>
          <w:color w:val="000000"/>
          <w:sz w:val="18"/>
          <w:szCs w:val="18"/>
        </w:rPr>
        <w:tab/>
      </w:r>
      <w:hyperlink r:id="rId290">
        <w:r>
          <w:rPr>
            <w:color w:val="000000"/>
            <w:sz w:val="18"/>
            <w:szCs w:val="18"/>
          </w:rPr>
          <w:t xml:space="preserve">Pollard, K. S., Hubisz, M. J., Rosenbloom, K. R. &amp; Siepel, A. Detection of nonneutral substitution rates on mammalian phylogenies. </w:t>
        </w:r>
      </w:hyperlink>
      <w:hyperlink r:id="rId291">
        <w:r>
          <w:rPr>
            <w:i/>
            <w:color w:val="000000"/>
            <w:sz w:val="18"/>
            <w:szCs w:val="18"/>
          </w:rPr>
          <w:t>Genome Res.</w:t>
        </w:r>
      </w:hyperlink>
      <w:hyperlink r:id="rId292">
        <w:r>
          <w:rPr>
            <w:color w:val="000000"/>
            <w:sz w:val="18"/>
            <w:szCs w:val="18"/>
          </w:rPr>
          <w:t xml:space="preserve"> </w:t>
        </w:r>
      </w:hyperlink>
      <w:hyperlink r:id="rId293">
        <w:r>
          <w:rPr>
            <w:b/>
            <w:color w:val="000000"/>
            <w:sz w:val="18"/>
            <w:szCs w:val="18"/>
          </w:rPr>
          <w:t>20</w:t>
        </w:r>
      </w:hyperlink>
      <w:hyperlink r:id="rId294">
        <w:r>
          <w:rPr>
            <w:color w:val="000000"/>
            <w:sz w:val="18"/>
            <w:szCs w:val="18"/>
          </w:rPr>
          <w:t>, 110–121 (2010).</w:t>
        </w:r>
      </w:hyperlink>
    </w:p>
    <w:p w14:paraId="3600F7D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33.</w:t>
      </w:r>
      <w:r>
        <w:rPr>
          <w:color w:val="000000"/>
          <w:sz w:val="18"/>
          <w:szCs w:val="18"/>
        </w:rPr>
        <w:tab/>
      </w:r>
      <w:hyperlink r:id="rId295">
        <w:r>
          <w:rPr>
            <w:color w:val="000000"/>
            <w:sz w:val="18"/>
            <w:szCs w:val="18"/>
          </w:rPr>
          <w:t xml:space="preserve">Landrum, M. J. </w:t>
        </w:r>
      </w:hyperlink>
      <w:hyperlink r:id="rId296">
        <w:r>
          <w:rPr>
            <w:i/>
            <w:color w:val="000000"/>
            <w:sz w:val="18"/>
            <w:szCs w:val="18"/>
          </w:rPr>
          <w:t>et al.</w:t>
        </w:r>
      </w:hyperlink>
      <w:hyperlink r:id="rId297">
        <w:r>
          <w:rPr>
            <w:color w:val="000000"/>
            <w:sz w:val="18"/>
            <w:szCs w:val="18"/>
          </w:rPr>
          <w:t xml:space="preserve"> ClinVar: improvements to accessing data. </w:t>
        </w:r>
      </w:hyperlink>
      <w:hyperlink r:id="rId298">
        <w:r>
          <w:rPr>
            <w:i/>
            <w:color w:val="000000"/>
            <w:sz w:val="18"/>
            <w:szCs w:val="18"/>
          </w:rPr>
          <w:t>Nucleic Acids Res.</w:t>
        </w:r>
      </w:hyperlink>
      <w:hyperlink r:id="rId299">
        <w:r>
          <w:rPr>
            <w:color w:val="000000"/>
            <w:sz w:val="18"/>
            <w:szCs w:val="18"/>
          </w:rPr>
          <w:t xml:space="preserve"> </w:t>
        </w:r>
      </w:hyperlink>
      <w:hyperlink r:id="rId300">
        <w:r>
          <w:rPr>
            <w:b/>
            <w:color w:val="000000"/>
            <w:sz w:val="18"/>
            <w:szCs w:val="18"/>
          </w:rPr>
          <w:t>48</w:t>
        </w:r>
      </w:hyperlink>
      <w:hyperlink r:id="rId301">
        <w:r>
          <w:rPr>
            <w:color w:val="000000"/>
            <w:sz w:val="18"/>
            <w:szCs w:val="18"/>
          </w:rPr>
          <w:t>, D835–D844 (2020).</w:t>
        </w:r>
      </w:hyperlink>
    </w:p>
    <w:p w14:paraId="5E3126D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34.</w:t>
      </w:r>
      <w:r>
        <w:rPr>
          <w:color w:val="000000"/>
          <w:sz w:val="18"/>
          <w:szCs w:val="18"/>
        </w:rPr>
        <w:tab/>
      </w:r>
      <w:hyperlink r:id="rId302">
        <w:r>
          <w:rPr>
            <w:color w:val="000000"/>
            <w:sz w:val="18"/>
            <w:szCs w:val="18"/>
          </w:rPr>
          <w:t xml:space="preserve">Pejaver, V. </w:t>
        </w:r>
      </w:hyperlink>
      <w:hyperlink r:id="rId303">
        <w:r>
          <w:rPr>
            <w:i/>
            <w:color w:val="000000"/>
            <w:sz w:val="18"/>
            <w:szCs w:val="18"/>
          </w:rPr>
          <w:t>et al.</w:t>
        </w:r>
      </w:hyperlink>
      <w:hyperlink r:id="rId304">
        <w:r>
          <w:rPr>
            <w:color w:val="000000"/>
            <w:sz w:val="18"/>
            <w:szCs w:val="18"/>
          </w:rPr>
          <w:t xml:space="preserve"> Calibration of computational tools for missense variant pathogenicity classification and ClinGen recommendations for PP3/BP4 criteria. </w:t>
        </w:r>
      </w:hyperlink>
      <w:hyperlink r:id="rId305">
        <w:r>
          <w:rPr>
            <w:i/>
            <w:color w:val="000000"/>
            <w:sz w:val="18"/>
            <w:szCs w:val="18"/>
          </w:rPr>
          <w:t>Am. J. Hum. Genet.</w:t>
        </w:r>
      </w:hyperlink>
      <w:hyperlink r:id="rId306">
        <w:r>
          <w:rPr>
            <w:color w:val="000000"/>
            <w:sz w:val="18"/>
            <w:szCs w:val="18"/>
          </w:rPr>
          <w:t xml:space="preserve"> </w:t>
        </w:r>
      </w:hyperlink>
      <w:hyperlink r:id="rId307">
        <w:r>
          <w:rPr>
            <w:b/>
            <w:color w:val="000000"/>
            <w:sz w:val="18"/>
            <w:szCs w:val="18"/>
          </w:rPr>
          <w:t>109</w:t>
        </w:r>
      </w:hyperlink>
      <w:hyperlink r:id="rId308">
        <w:r>
          <w:rPr>
            <w:color w:val="000000"/>
            <w:sz w:val="18"/>
            <w:szCs w:val="18"/>
          </w:rPr>
          <w:t>, 2163–2177 (2022).</w:t>
        </w:r>
      </w:hyperlink>
    </w:p>
    <w:p w14:paraId="1EAC966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35.</w:t>
      </w:r>
      <w:r>
        <w:rPr>
          <w:color w:val="000000"/>
          <w:sz w:val="18"/>
          <w:szCs w:val="18"/>
        </w:rPr>
        <w:tab/>
      </w:r>
      <w:hyperlink r:id="rId309">
        <w:r>
          <w:rPr>
            <w:color w:val="000000"/>
            <w:sz w:val="18"/>
            <w:szCs w:val="18"/>
          </w:rPr>
          <w:t xml:space="preserve">Zhao, J. </w:t>
        </w:r>
      </w:hyperlink>
      <w:hyperlink r:id="rId310">
        <w:r>
          <w:rPr>
            <w:i/>
            <w:color w:val="000000"/>
            <w:sz w:val="18"/>
            <w:szCs w:val="18"/>
          </w:rPr>
          <w:t>et al.</w:t>
        </w:r>
      </w:hyperlink>
      <w:hyperlink r:id="rId311">
        <w:r>
          <w:rPr>
            <w:color w:val="000000"/>
            <w:sz w:val="18"/>
            <w:szCs w:val="18"/>
          </w:rPr>
          <w:t xml:space="preserve"> IRESbase: A Comprehensive Database of Experimentally Validated Internal Ribosome Entry Sites. </w:t>
        </w:r>
      </w:hyperlink>
      <w:hyperlink r:id="rId312">
        <w:r>
          <w:rPr>
            <w:i/>
            <w:color w:val="000000"/>
            <w:sz w:val="18"/>
            <w:szCs w:val="18"/>
          </w:rPr>
          <w:t>Genomics Proteomics Bioinformatics</w:t>
        </w:r>
      </w:hyperlink>
      <w:hyperlink r:id="rId313">
        <w:r>
          <w:rPr>
            <w:color w:val="000000"/>
            <w:sz w:val="18"/>
            <w:szCs w:val="18"/>
          </w:rPr>
          <w:t xml:space="preserve"> </w:t>
        </w:r>
      </w:hyperlink>
      <w:hyperlink r:id="rId314">
        <w:r>
          <w:rPr>
            <w:b/>
            <w:color w:val="000000"/>
            <w:sz w:val="18"/>
            <w:szCs w:val="18"/>
          </w:rPr>
          <w:t>18</w:t>
        </w:r>
      </w:hyperlink>
      <w:hyperlink r:id="rId315">
        <w:r>
          <w:rPr>
            <w:color w:val="000000"/>
            <w:sz w:val="18"/>
            <w:szCs w:val="18"/>
          </w:rPr>
          <w:t>, 129–139 (2020).</w:t>
        </w:r>
      </w:hyperlink>
    </w:p>
    <w:p w14:paraId="5E127DA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36.</w:t>
      </w:r>
      <w:r>
        <w:rPr>
          <w:color w:val="000000"/>
          <w:sz w:val="18"/>
          <w:szCs w:val="18"/>
        </w:rPr>
        <w:tab/>
      </w:r>
      <w:hyperlink r:id="rId316">
        <w:r>
          <w:rPr>
            <w:color w:val="000000"/>
            <w:sz w:val="18"/>
            <w:szCs w:val="18"/>
          </w:rPr>
          <w:t xml:space="preserve">Plotnikova, O., Baranova, A. &amp; Skoblov, M. Comprehensive Analysis of Human microRNA–mRNA Interactome. </w:t>
        </w:r>
      </w:hyperlink>
      <w:hyperlink r:id="rId317">
        <w:r>
          <w:rPr>
            <w:i/>
            <w:color w:val="000000"/>
            <w:sz w:val="18"/>
            <w:szCs w:val="18"/>
          </w:rPr>
          <w:t>Front. Genet.</w:t>
        </w:r>
      </w:hyperlink>
      <w:hyperlink r:id="rId318">
        <w:r>
          <w:rPr>
            <w:color w:val="000000"/>
            <w:sz w:val="18"/>
            <w:szCs w:val="18"/>
          </w:rPr>
          <w:t xml:space="preserve"> </w:t>
        </w:r>
      </w:hyperlink>
      <w:hyperlink r:id="rId319">
        <w:r>
          <w:rPr>
            <w:b/>
            <w:color w:val="000000"/>
            <w:sz w:val="18"/>
            <w:szCs w:val="18"/>
          </w:rPr>
          <w:t>10</w:t>
        </w:r>
      </w:hyperlink>
      <w:hyperlink r:id="rId320">
        <w:r>
          <w:rPr>
            <w:color w:val="000000"/>
            <w:sz w:val="18"/>
            <w:szCs w:val="18"/>
          </w:rPr>
          <w:t>, (2019).</w:t>
        </w:r>
      </w:hyperlink>
    </w:p>
    <w:p w14:paraId="066C3FA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lastRenderedPageBreak/>
        <w:t>37.</w:t>
      </w:r>
      <w:r>
        <w:rPr>
          <w:color w:val="000000"/>
          <w:sz w:val="18"/>
          <w:szCs w:val="18"/>
        </w:rPr>
        <w:tab/>
      </w:r>
      <w:hyperlink r:id="rId321">
        <w:r>
          <w:rPr>
            <w:color w:val="000000"/>
            <w:sz w:val="18"/>
            <w:szCs w:val="18"/>
          </w:rPr>
          <w:t xml:space="preserve">Nowakowski, T. J. </w:t>
        </w:r>
      </w:hyperlink>
      <w:hyperlink r:id="rId322">
        <w:r>
          <w:rPr>
            <w:i/>
            <w:color w:val="000000"/>
            <w:sz w:val="18"/>
            <w:szCs w:val="18"/>
          </w:rPr>
          <w:t>et al.</w:t>
        </w:r>
      </w:hyperlink>
      <w:hyperlink r:id="rId323">
        <w:r>
          <w:rPr>
            <w:color w:val="000000"/>
            <w:sz w:val="18"/>
            <w:szCs w:val="18"/>
          </w:rPr>
          <w:t xml:space="preserve"> Regulation of cell-type-specific transcriptomes by microRNA networks during human brain development. </w:t>
        </w:r>
      </w:hyperlink>
      <w:hyperlink r:id="rId324">
        <w:r>
          <w:rPr>
            <w:i/>
            <w:color w:val="000000"/>
            <w:sz w:val="18"/>
            <w:szCs w:val="18"/>
          </w:rPr>
          <w:t>Nat. Neurosci.</w:t>
        </w:r>
      </w:hyperlink>
      <w:hyperlink r:id="rId325">
        <w:r>
          <w:rPr>
            <w:color w:val="000000"/>
            <w:sz w:val="18"/>
            <w:szCs w:val="18"/>
          </w:rPr>
          <w:t xml:space="preserve"> </w:t>
        </w:r>
      </w:hyperlink>
      <w:hyperlink r:id="rId326">
        <w:r>
          <w:rPr>
            <w:b/>
            <w:color w:val="000000"/>
            <w:sz w:val="18"/>
            <w:szCs w:val="18"/>
          </w:rPr>
          <w:t>21</w:t>
        </w:r>
      </w:hyperlink>
      <w:hyperlink r:id="rId327">
        <w:r>
          <w:rPr>
            <w:color w:val="000000"/>
            <w:sz w:val="18"/>
            <w:szCs w:val="18"/>
          </w:rPr>
          <w:t>, 1784–1792 (2018).</w:t>
        </w:r>
      </w:hyperlink>
    </w:p>
    <w:p w14:paraId="01D2891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38.</w:t>
      </w:r>
      <w:r>
        <w:rPr>
          <w:color w:val="000000"/>
          <w:sz w:val="18"/>
          <w:szCs w:val="18"/>
        </w:rPr>
        <w:tab/>
      </w:r>
      <w:hyperlink r:id="rId328">
        <w:r>
          <w:rPr>
            <w:color w:val="000000"/>
            <w:sz w:val="18"/>
            <w:szCs w:val="18"/>
          </w:rPr>
          <w:t xml:space="preserve">Spengler, R. M. </w:t>
        </w:r>
      </w:hyperlink>
      <w:hyperlink r:id="rId329">
        <w:r>
          <w:rPr>
            <w:i/>
            <w:color w:val="000000"/>
            <w:sz w:val="18"/>
            <w:szCs w:val="18"/>
          </w:rPr>
          <w:t>et al.</w:t>
        </w:r>
      </w:hyperlink>
      <w:hyperlink r:id="rId330">
        <w:r>
          <w:rPr>
            <w:color w:val="000000"/>
            <w:sz w:val="18"/>
            <w:szCs w:val="18"/>
          </w:rPr>
          <w:t xml:space="preserve"> Elucidation of transcriptome-wide microRNA binding sites in human cardiac tissues by Ago2 HITS-CLIP. </w:t>
        </w:r>
      </w:hyperlink>
      <w:hyperlink r:id="rId331">
        <w:r>
          <w:rPr>
            <w:i/>
            <w:color w:val="000000"/>
            <w:sz w:val="18"/>
            <w:szCs w:val="18"/>
          </w:rPr>
          <w:t>Nucleic Acids Res.</w:t>
        </w:r>
      </w:hyperlink>
      <w:hyperlink r:id="rId332">
        <w:r>
          <w:rPr>
            <w:color w:val="000000"/>
            <w:sz w:val="18"/>
            <w:szCs w:val="18"/>
          </w:rPr>
          <w:t xml:space="preserve"> </w:t>
        </w:r>
      </w:hyperlink>
      <w:hyperlink r:id="rId333">
        <w:r>
          <w:rPr>
            <w:b/>
            <w:color w:val="000000"/>
            <w:sz w:val="18"/>
            <w:szCs w:val="18"/>
          </w:rPr>
          <w:t>44</w:t>
        </w:r>
      </w:hyperlink>
      <w:hyperlink r:id="rId334">
        <w:r>
          <w:rPr>
            <w:color w:val="000000"/>
            <w:sz w:val="18"/>
            <w:szCs w:val="18"/>
          </w:rPr>
          <w:t>, 7120–7131 (2016).</w:t>
        </w:r>
      </w:hyperlink>
    </w:p>
    <w:p w14:paraId="04E108C7"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39.</w:t>
      </w:r>
      <w:r>
        <w:rPr>
          <w:color w:val="000000"/>
          <w:sz w:val="18"/>
          <w:szCs w:val="18"/>
        </w:rPr>
        <w:tab/>
      </w:r>
      <w:hyperlink r:id="rId335">
        <w:r>
          <w:rPr>
            <w:color w:val="000000"/>
            <w:sz w:val="18"/>
            <w:szCs w:val="18"/>
          </w:rPr>
          <w:t xml:space="preserve">Boudreau, R. L. </w:t>
        </w:r>
      </w:hyperlink>
      <w:hyperlink r:id="rId336">
        <w:r>
          <w:rPr>
            <w:i/>
            <w:color w:val="000000"/>
            <w:sz w:val="18"/>
            <w:szCs w:val="18"/>
          </w:rPr>
          <w:t>et al.</w:t>
        </w:r>
      </w:hyperlink>
      <w:hyperlink r:id="rId337">
        <w:r>
          <w:rPr>
            <w:color w:val="000000"/>
            <w:sz w:val="18"/>
            <w:szCs w:val="18"/>
          </w:rPr>
          <w:t xml:space="preserve"> Transcriptome-wide Discovery of microRNA Binding Sites in Human Brain. </w:t>
        </w:r>
      </w:hyperlink>
      <w:hyperlink r:id="rId338">
        <w:r>
          <w:rPr>
            <w:i/>
            <w:color w:val="000000"/>
            <w:sz w:val="18"/>
            <w:szCs w:val="18"/>
          </w:rPr>
          <w:t>Neuron</w:t>
        </w:r>
      </w:hyperlink>
      <w:hyperlink r:id="rId339">
        <w:r>
          <w:rPr>
            <w:color w:val="000000"/>
            <w:sz w:val="18"/>
            <w:szCs w:val="18"/>
          </w:rPr>
          <w:t xml:space="preserve"> </w:t>
        </w:r>
      </w:hyperlink>
      <w:hyperlink r:id="rId340">
        <w:r>
          <w:rPr>
            <w:b/>
            <w:color w:val="000000"/>
            <w:sz w:val="18"/>
            <w:szCs w:val="18"/>
          </w:rPr>
          <w:t>81</w:t>
        </w:r>
      </w:hyperlink>
      <w:hyperlink r:id="rId341">
        <w:r>
          <w:rPr>
            <w:color w:val="000000"/>
            <w:sz w:val="18"/>
            <w:szCs w:val="18"/>
          </w:rPr>
          <w:t>, 294–305 (2014).</w:t>
        </w:r>
      </w:hyperlink>
    </w:p>
    <w:p w14:paraId="481A653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40.</w:t>
      </w:r>
      <w:r>
        <w:rPr>
          <w:color w:val="000000"/>
          <w:sz w:val="18"/>
          <w:szCs w:val="18"/>
        </w:rPr>
        <w:tab/>
      </w:r>
      <w:hyperlink r:id="rId342">
        <w:r>
          <w:rPr>
            <w:color w:val="000000"/>
            <w:sz w:val="18"/>
            <w:szCs w:val="18"/>
          </w:rPr>
          <w:t xml:space="preserve">Chothani, S. P. </w:t>
        </w:r>
      </w:hyperlink>
      <w:hyperlink r:id="rId343">
        <w:r>
          <w:rPr>
            <w:i/>
            <w:color w:val="000000"/>
            <w:sz w:val="18"/>
            <w:szCs w:val="18"/>
          </w:rPr>
          <w:t>et al.</w:t>
        </w:r>
      </w:hyperlink>
      <w:hyperlink r:id="rId344">
        <w:r>
          <w:rPr>
            <w:color w:val="000000"/>
            <w:sz w:val="18"/>
            <w:szCs w:val="18"/>
          </w:rPr>
          <w:t xml:space="preserve"> A high-resolution map of human RNA translation. </w:t>
        </w:r>
      </w:hyperlink>
      <w:hyperlink r:id="rId345">
        <w:r>
          <w:rPr>
            <w:i/>
            <w:color w:val="000000"/>
            <w:sz w:val="18"/>
            <w:szCs w:val="18"/>
          </w:rPr>
          <w:t>Mol. Cell</w:t>
        </w:r>
      </w:hyperlink>
      <w:hyperlink r:id="rId346">
        <w:r>
          <w:rPr>
            <w:color w:val="000000"/>
            <w:sz w:val="18"/>
            <w:szCs w:val="18"/>
          </w:rPr>
          <w:t xml:space="preserve"> </w:t>
        </w:r>
      </w:hyperlink>
      <w:hyperlink r:id="rId347">
        <w:r>
          <w:rPr>
            <w:b/>
            <w:color w:val="000000"/>
            <w:sz w:val="18"/>
            <w:szCs w:val="18"/>
          </w:rPr>
          <w:t>82</w:t>
        </w:r>
      </w:hyperlink>
      <w:hyperlink r:id="rId348">
        <w:r>
          <w:rPr>
            <w:color w:val="000000"/>
            <w:sz w:val="18"/>
            <w:szCs w:val="18"/>
          </w:rPr>
          <w:t>, 2885–2899.e8 (2022).</w:t>
        </w:r>
      </w:hyperlink>
    </w:p>
    <w:p w14:paraId="37AA55F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41.</w:t>
      </w:r>
      <w:r>
        <w:rPr>
          <w:color w:val="000000"/>
          <w:sz w:val="18"/>
          <w:szCs w:val="18"/>
        </w:rPr>
        <w:tab/>
      </w:r>
      <w:hyperlink r:id="rId349">
        <w:r>
          <w:rPr>
            <w:color w:val="000000"/>
            <w:sz w:val="18"/>
            <w:szCs w:val="18"/>
          </w:rPr>
          <w:t xml:space="preserve">Pisarev, A. V. </w:t>
        </w:r>
      </w:hyperlink>
      <w:hyperlink r:id="rId350">
        <w:r>
          <w:rPr>
            <w:i/>
            <w:color w:val="000000"/>
            <w:sz w:val="18"/>
            <w:szCs w:val="18"/>
          </w:rPr>
          <w:t>et al.</w:t>
        </w:r>
      </w:hyperlink>
      <w:hyperlink r:id="rId351">
        <w:r>
          <w:rPr>
            <w:color w:val="000000"/>
            <w:sz w:val="18"/>
            <w:szCs w:val="18"/>
          </w:rPr>
          <w:t xml:space="preserve"> Specific functional interactions of nucleotides at key -3 and +4 positions flanking the initiation codon with components of the mammalian 48S translation initiation complex. </w:t>
        </w:r>
      </w:hyperlink>
      <w:hyperlink r:id="rId352">
        <w:r>
          <w:rPr>
            <w:i/>
            <w:color w:val="000000"/>
            <w:sz w:val="18"/>
            <w:szCs w:val="18"/>
          </w:rPr>
          <w:t>Genes Dev.</w:t>
        </w:r>
      </w:hyperlink>
      <w:hyperlink r:id="rId353">
        <w:r>
          <w:rPr>
            <w:color w:val="000000"/>
            <w:sz w:val="18"/>
            <w:szCs w:val="18"/>
          </w:rPr>
          <w:t xml:space="preserve"> </w:t>
        </w:r>
      </w:hyperlink>
      <w:hyperlink r:id="rId354">
        <w:r>
          <w:rPr>
            <w:b/>
            <w:color w:val="000000"/>
            <w:sz w:val="18"/>
            <w:szCs w:val="18"/>
          </w:rPr>
          <w:t>20</w:t>
        </w:r>
      </w:hyperlink>
      <w:hyperlink r:id="rId355">
        <w:r>
          <w:rPr>
            <w:color w:val="000000"/>
            <w:sz w:val="18"/>
            <w:szCs w:val="18"/>
          </w:rPr>
          <w:t>, 624–636 (2006).</w:t>
        </w:r>
      </w:hyperlink>
    </w:p>
    <w:p w14:paraId="1CB1224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42.</w:t>
      </w:r>
      <w:r>
        <w:rPr>
          <w:color w:val="000000"/>
          <w:sz w:val="18"/>
          <w:szCs w:val="18"/>
        </w:rPr>
        <w:tab/>
      </w:r>
      <w:hyperlink r:id="rId356">
        <w:r>
          <w:rPr>
            <w:color w:val="000000"/>
            <w:sz w:val="18"/>
            <w:szCs w:val="18"/>
          </w:rPr>
          <w:t xml:space="preserve">Findlay, S. D., Romo, L. &amp; Burge, C. B. Quantifying negative selection in human 3’ UTRs uncovers constrained targets of RNA-binding proteins. </w:t>
        </w:r>
      </w:hyperlink>
      <w:hyperlink r:id="rId357">
        <w:r>
          <w:rPr>
            <w:i/>
            <w:color w:val="000000"/>
            <w:sz w:val="18"/>
            <w:szCs w:val="18"/>
          </w:rPr>
          <w:t>bioRxiv</w:t>
        </w:r>
      </w:hyperlink>
      <w:hyperlink r:id="rId358">
        <w:r>
          <w:rPr>
            <w:color w:val="000000"/>
            <w:sz w:val="18"/>
            <w:szCs w:val="18"/>
          </w:rPr>
          <w:t xml:space="preserve"> 2022.11.30.518628 (2022) doi:</w:t>
        </w:r>
      </w:hyperlink>
      <w:hyperlink r:id="rId359">
        <w:r>
          <w:rPr>
            <w:color w:val="000000"/>
            <w:sz w:val="18"/>
            <w:szCs w:val="18"/>
          </w:rPr>
          <w:t>10.1101/2022.11.30.518628</w:t>
        </w:r>
      </w:hyperlink>
      <w:hyperlink r:id="rId360">
        <w:r>
          <w:rPr>
            <w:color w:val="000000"/>
            <w:sz w:val="18"/>
            <w:szCs w:val="18"/>
          </w:rPr>
          <w:t>.</w:t>
        </w:r>
      </w:hyperlink>
    </w:p>
    <w:p w14:paraId="527DAC94"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43.</w:t>
      </w:r>
      <w:r>
        <w:rPr>
          <w:color w:val="000000"/>
          <w:sz w:val="18"/>
          <w:szCs w:val="18"/>
        </w:rPr>
        <w:tab/>
      </w:r>
      <w:hyperlink r:id="rId361">
        <w:r>
          <w:rPr>
            <w:color w:val="000000"/>
            <w:sz w:val="18"/>
            <w:szCs w:val="18"/>
          </w:rPr>
          <w:t xml:space="preserve">Jens, M., McGurk, M., Bundschuh, R. &amp; Burge, C. B. RBPamp: Quantitative Modeling of Protein-RNA Interactions in vitro Predicts in vivo Binding. </w:t>
        </w:r>
      </w:hyperlink>
      <w:hyperlink r:id="rId362">
        <w:r>
          <w:rPr>
            <w:i/>
            <w:color w:val="000000"/>
            <w:sz w:val="18"/>
            <w:szCs w:val="18"/>
          </w:rPr>
          <w:t>bioRxiv</w:t>
        </w:r>
      </w:hyperlink>
      <w:hyperlink r:id="rId363">
        <w:r>
          <w:rPr>
            <w:color w:val="000000"/>
            <w:sz w:val="18"/>
            <w:szCs w:val="18"/>
          </w:rPr>
          <w:t xml:space="preserve"> 2022.11.08.515616 (2022) doi:</w:t>
        </w:r>
      </w:hyperlink>
      <w:hyperlink r:id="rId364">
        <w:r>
          <w:rPr>
            <w:color w:val="000000"/>
            <w:sz w:val="18"/>
            <w:szCs w:val="18"/>
          </w:rPr>
          <w:t>10.1101/2022.11.08.515616</w:t>
        </w:r>
      </w:hyperlink>
      <w:hyperlink r:id="rId365">
        <w:r>
          <w:rPr>
            <w:color w:val="000000"/>
            <w:sz w:val="18"/>
            <w:szCs w:val="18"/>
          </w:rPr>
          <w:t>.</w:t>
        </w:r>
      </w:hyperlink>
    </w:p>
    <w:p w14:paraId="3A5283F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44.</w:t>
      </w:r>
      <w:r>
        <w:rPr>
          <w:color w:val="000000"/>
          <w:sz w:val="18"/>
          <w:szCs w:val="18"/>
        </w:rPr>
        <w:tab/>
      </w:r>
      <w:hyperlink r:id="rId366">
        <w:r>
          <w:rPr>
            <w:color w:val="000000"/>
            <w:sz w:val="18"/>
            <w:szCs w:val="18"/>
          </w:rPr>
          <w:t xml:space="preserve">Wang, R., Nambiar, R., Zheng, D. &amp; Tian, B. PolyA_DB 3 catalogs cleavage and polyadenylation sites identified by deep sequencing in multiple genomes. </w:t>
        </w:r>
      </w:hyperlink>
      <w:hyperlink r:id="rId367">
        <w:r>
          <w:rPr>
            <w:i/>
            <w:color w:val="000000"/>
            <w:sz w:val="18"/>
            <w:szCs w:val="18"/>
          </w:rPr>
          <w:t>Nucleic Acids Res.</w:t>
        </w:r>
      </w:hyperlink>
      <w:hyperlink r:id="rId368">
        <w:r>
          <w:rPr>
            <w:color w:val="000000"/>
            <w:sz w:val="18"/>
            <w:szCs w:val="18"/>
          </w:rPr>
          <w:t xml:space="preserve"> </w:t>
        </w:r>
      </w:hyperlink>
      <w:hyperlink r:id="rId369">
        <w:r>
          <w:rPr>
            <w:b/>
            <w:color w:val="000000"/>
            <w:sz w:val="18"/>
            <w:szCs w:val="18"/>
          </w:rPr>
          <w:t>46</w:t>
        </w:r>
      </w:hyperlink>
      <w:hyperlink r:id="rId370">
        <w:r>
          <w:rPr>
            <w:color w:val="000000"/>
            <w:sz w:val="18"/>
            <w:szCs w:val="18"/>
          </w:rPr>
          <w:t>, D315–D319 (2018).</w:t>
        </w:r>
      </w:hyperlink>
    </w:p>
    <w:p w14:paraId="0A9E025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45.</w:t>
      </w:r>
      <w:r>
        <w:rPr>
          <w:color w:val="000000"/>
          <w:sz w:val="18"/>
          <w:szCs w:val="18"/>
        </w:rPr>
        <w:tab/>
      </w:r>
      <w:hyperlink r:id="rId371">
        <w:r>
          <w:rPr>
            <w:color w:val="000000"/>
            <w:sz w:val="18"/>
            <w:szCs w:val="18"/>
          </w:rPr>
          <w:t xml:space="preserve">Shiferaw, H. K. </w:t>
        </w:r>
      </w:hyperlink>
      <w:hyperlink r:id="rId372">
        <w:r>
          <w:rPr>
            <w:i/>
            <w:color w:val="000000"/>
            <w:sz w:val="18"/>
            <w:szCs w:val="18"/>
          </w:rPr>
          <w:t>et al.</w:t>
        </w:r>
      </w:hyperlink>
      <w:hyperlink r:id="rId373">
        <w:r>
          <w:rPr>
            <w:color w:val="000000"/>
            <w:sz w:val="18"/>
            <w:szCs w:val="18"/>
          </w:rPr>
          <w:t xml:space="preserve"> Genome-wide identification of dominant polyadenylation hexamers for use in variant classification. </w:t>
        </w:r>
      </w:hyperlink>
      <w:hyperlink r:id="rId374">
        <w:r>
          <w:rPr>
            <w:i/>
            <w:color w:val="000000"/>
            <w:sz w:val="18"/>
            <w:szCs w:val="18"/>
          </w:rPr>
          <w:t>Hum. Mol. Genet.</w:t>
        </w:r>
      </w:hyperlink>
      <w:hyperlink r:id="rId375">
        <w:r>
          <w:rPr>
            <w:color w:val="000000"/>
            <w:sz w:val="18"/>
            <w:szCs w:val="18"/>
          </w:rPr>
          <w:t xml:space="preserve"> </w:t>
        </w:r>
      </w:hyperlink>
      <w:hyperlink r:id="rId376">
        <w:r>
          <w:rPr>
            <w:b/>
            <w:color w:val="000000"/>
            <w:sz w:val="18"/>
            <w:szCs w:val="18"/>
          </w:rPr>
          <w:t>32</w:t>
        </w:r>
      </w:hyperlink>
      <w:hyperlink r:id="rId377">
        <w:r>
          <w:rPr>
            <w:color w:val="000000"/>
            <w:sz w:val="18"/>
            <w:szCs w:val="18"/>
          </w:rPr>
          <w:t>, (2023).</w:t>
        </w:r>
      </w:hyperlink>
    </w:p>
    <w:p w14:paraId="6ACC620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46.</w:t>
      </w:r>
      <w:r>
        <w:rPr>
          <w:color w:val="000000"/>
          <w:sz w:val="18"/>
          <w:szCs w:val="18"/>
        </w:rPr>
        <w:tab/>
      </w:r>
      <w:hyperlink r:id="rId378">
        <w:r>
          <w:rPr>
            <w:color w:val="000000"/>
            <w:sz w:val="18"/>
            <w:szCs w:val="18"/>
          </w:rPr>
          <w:t xml:space="preserve">Ren, F., Zhang, N., Zhang, L., Miller, E. &amp; Pu, J. J. Alternative Polyadenylation: a new frontier in post transcriptional regulation. </w:t>
        </w:r>
      </w:hyperlink>
      <w:hyperlink r:id="rId379">
        <w:r>
          <w:rPr>
            <w:i/>
            <w:color w:val="000000"/>
            <w:sz w:val="18"/>
            <w:szCs w:val="18"/>
          </w:rPr>
          <w:t>Biomarker Research</w:t>
        </w:r>
      </w:hyperlink>
      <w:hyperlink r:id="rId380">
        <w:r>
          <w:rPr>
            <w:color w:val="000000"/>
            <w:sz w:val="18"/>
            <w:szCs w:val="18"/>
          </w:rPr>
          <w:t xml:space="preserve"> </w:t>
        </w:r>
      </w:hyperlink>
      <w:hyperlink r:id="rId381">
        <w:r>
          <w:rPr>
            <w:b/>
            <w:color w:val="000000"/>
            <w:sz w:val="18"/>
            <w:szCs w:val="18"/>
          </w:rPr>
          <w:t>8</w:t>
        </w:r>
      </w:hyperlink>
      <w:hyperlink r:id="rId382">
        <w:r>
          <w:rPr>
            <w:color w:val="000000"/>
            <w:sz w:val="18"/>
            <w:szCs w:val="18"/>
          </w:rPr>
          <w:t>, 1–10 (2020).</w:t>
        </w:r>
      </w:hyperlink>
    </w:p>
    <w:p w14:paraId="3DD976A4"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47.</w:t>
      </w:r>
      <w:r>
        <w:rPr>
          <w:color w:val="000000"/>
          <w:sz w:val="18"/>
          <w:szCs w:val="18"/>
        </w:rPr>
        <w:tab/>
      </w:r>
      <w:hyperlink r:id="rId383">
        <w:r>
          <w:rPr>
            <w:color w:val="000000"/>
            <w:sz w:val="18"/>
            <w:szCs w:val="18"/>
          </w:rPr>
          <w:t xml:space="preserve">Vierstra, J. </w:t>
        </w:r>
      </w:hyperlink>
      <w:hyperlink r:id="rId384">
        <w:r>
          <w:rPr>
            <w:i/>
            <w:color w:val="000000"/>
            <w:sz w:val="18"/>
            <w:szCs w:val="18"/>
          </w:rPr>
          <w:t>et al.</w:t>
        </w:r>
      </w:hyperlink>
      <w:hyperlink r:id="rId385">
        <w:r>
          <w:rPr>
            <w:color w:val="000000"/>
            <w:sz w:val="18"/>
            <w:szCs w:val="18"/>
          </w:rPr>
          <w:t xml:space="preserve"> Global reference mapping of human transcription factor footprints. </w:t>
        </w:r>
      </w:hyperlink>
      <w:hyperlink r:id="rId386">
        <w:r>
          <w:rPr>
            <w:i/>
            <w:color w:val="000000"/>
            <w:sz w:val="18"/>
            <w:szCs w:val="18"/>
          </w:rPr>
          <w:t>Nature</w:t>
        </w:r>
      </w:hyperlink>
      <w:hyperlink r:id="rId387">
        <w:r>
          <w:rPr>
            <w:color w:val="000000"/>
            <w:sz w:val="18"/>
            <w:szCs w:val="18"/>
          </w:rPr>
          <w:t xml:space="preserve"> </w:t>
        </w:r>
      </w:hyperlink>
      <w:hyperlink r:id="rId388">
        <w:r>
          <w:rPr>
            <w:b/>
            <w:color w:val="000000"/>
            <w:sz w:val="18"/>
            <w:szCs w:val="18"/>
          </w:rPr>
          <w:t>583</w:t>
        </w:r>
      </w:hyperlink>
      <w:hyperlink r:id="rId389">
        <w:r>
          <w:rPr>
            <w:color w:val="000000"/>
            <w:sz w:val="18"/>
            <w:szCs w:val="18"/>
          </w:rPr>
          <w:t>, 729–736 (2020).</w:t>
        </w:r>
      </w:hyperlink>
    </w:p>
    <w:p w14:paraId="5AA95229"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48.</w:t>
      </w:r>
      <w:r>
        <w:rPr>
          <w:color w:val="000000"/>
          <w:sz w:val="18"/>
          <w:szCs w:val="18"/>
        </w:rPr>
        <w:tab/>
      </w:r>
      <w:hyperlink r:id="rId390">
        <w:r>
          <w:rPr>
            <w:color w:val="000000"/>
            <w:sz w:val="18"/>
            <w:szCs w:val="18"/>
          </w:rPr>
          <w:t xml:space="preserve">Kuhn, R. M., Haussler, D. &amp; Kent, W. J. The UCSC genome browser and associated tools. </w:t>
        </w:r>
      </w:hyperlink>
      <w:hyperlink r:id="rId391">
        <w:r>
          <w:rPr>
            <w:i/>
            <w:color w:val="000000"/>
            <w:sz w:val="18"/>
            <w:szCs w:val="18"/>
          </w:rPr>
          <w:t>Brief. Bioinform.</w:t>
        </w:r>
      </w:hyperlink>
      <w:hyperlink r:id="rId392">
        <w:r>
          <w:rPr>
            <w:color w:val="000000"/>
            <w:sz w:val="18"/>
            <w:szCs w:val="18"/>
          </w:rPr>
          <w:t xml:space="preserve"> </w:t>
        </w:r>
      </w:hyperlink>
      <w:hyperlink r:id="rId393">
        <w:r>
          <w:rPr>
            <w:b/>
            <w:color w:val="000000"/>
            <w:sz w:val="18"/>
            <w:szCs w:val="18"/>
          </w:rPr>
          <w:t>14</w:t>
        </w:r>
      </w:hyperlink>
      <w:hyperlink r:id="rId394">
        <w:r>
          <w:rPr>
            <w:color w:val="000000"/>
            <w:sz w:val="18"/>
            <w:szCs w:val="18"/>
          </w:rPr>
          <w:t>, 144–161 (2013).</w:t>
        </w:r>
      </w:hyperlink>
    </w:p>
    <w:p w14:paraId="2CC1CDE8"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49.</w:t>
      </w:r>
      <w:r>
        <w:rPr>
          <w:color w:val="000000"/>
          <w:sz w:val="18"/>
          <w:szCs w:val="18"/>
        </w:rPr>
        <w:tab/>
      </w:r>
      <w:hyperlink r:id="rId395">
        <w:r>
          <w:rPr>
            <w:color w:val="000000"/>
            <w:sz w:val="18"/>
            <w:szCs w:val="18"/>
          </w:rPr>
          <w:t xml:space="preserve">Steinhaus, R., Robinson, P. N. &amp; Seelow, D. FABIAN-variant: predicting the effects of DNA variants on transcription factor binding. </w:t>
        </w:r>
      </w:hyperlink>
      <w:hyperlink r:id="rId396">
        <w:r>
          <w:rPr>
            <w:i/>
            <w:color w:val="000000"/>
            <w:sz w:val="18"/>
            <w:szCs w:val="18"/>
          </w:rPr>
          <w:t>Nucleic Acids Res.</w:t>
        </w:r>
      </w:hyperlink>
      <w:hyperlink r:id="rId397">
        <w:r>
          <w:rPr>
            <w:color w:val="000000"/>
            <w:sz w:val="18"/>
            <w:szCs w:val="18"/>
          </w:rPr>
          <w:t xml:space="preserve"> </w:t>
        </w:r>
      </w:hyperlink>
      <w:hyperlink r:id="rId398">
        <w:r>
          <w:rPr>
            <w:b/>
            <w:color w:val="000000"/>
            <w:sz w:val="18"/>
            <w:szCs w:val="18"/>
          </w:rPr>
          <w:t>50</w:t>
        </w:r>
      </w:hyperlink>
      <w:hyperlink r:id="rId399">
        <w:r>
          <w:rPr>
            <w:color w:val="000000"/>
            <w:sz w:val="18"/>
            <w:szCs w:val="18"/>
          </w:rPr>
          <w:t>, W322–W329 (2022).</w:t>
        </w:r>
      </w:hyperlink>
    </w:p>
    <w:p w14:paraId="2204FD0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50.</w:t>
      </w:r>
      <w:r>
        <w:rPr>
          <w:color w:val="000000"/>
          <w:sz w:val="18"/>
          <w:szCs w:val="18"/>
        </w:rPr>
        <w:tab/>
      </w:r>
      <w:hyperlink r:id="rId400">
        <w:r>
          <w:rPr>
            <w:color w:val="000000"/>
            <w:sz w:val="18"/>
            <w:szCs w:val="18"/>
          </w:rPr>
          <w:t xml:space="preserve">Mathelier, A. &amp; Wasserman, W. W. The next generation of transcription factor binding site prediction. </w:t>
        </w:r>
      </w:hyperlink>
      <w:hyperlink r:id="rId401">
        <w:r>
          <w:rPr>
            <w:i/>
            <w:color w:val="000000"/>
            <w:sz w:val="18"/>
            <w:szCs w:val="18"/>
          </w:rPr>
          <w:t>PLoS Comput. Biol.</w:t>
        </w:r>
      </w:hyperlink>
      <w:hyperlink r:id="rId402">
        <w:r>
          <w:rPr>
            <w:color w:val="000000"/>
            <w:sz w:val="18"/>
            <w:szCs w:val="18"/>
          </w:rPr>
          <w:t xml:space="preserve"> </w:t>
        </w:r>
      </w:hyperlink>
      <w:hyperlink r:id="rId403">
        <w:r>
          <w:rPr>
            <w:b/>
            <w:color w:val="000000"/>
            <w:sz w:val="18"/>
            <w:szCs w:val="18"/>
          </w:rPr>
          <w:t>9</w:t>
        </w:r>
      </w:hyperlink>
      <w:hyperlink r:id="rId404">
        <w:r>
          <w:rPr>
            <w:color w:val="000000"/>
            <w:sz w:val="18"/>
            <w:szCs w:val="18"/>
          </w:rPr>
          <w:t>, e1003214 (2013).</w:t>
        </w:r>
      </w:hyperlink>
    </w:p>
    <w:p w14:paraId="346C7EF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51.</w:t>
      </w:r>
      <w:r>
        <w:rPr>
          <w:color w:val="000000"/>
          <w:sz w:val="18"/>
          <w:szCs w:val="18"/>
        </w:rPr>
        <w:tab/>
      </w:r>
      <w:hyperlink r:id="rId405">
        <w:r>
          <w:rPr>
            <w:color w:val="000000"/>
            <w:sz w:val="18"/>
            <w:szCs w:val="18"/>
          </w:rPr>
          <w:t xml:space="preserve">Home - OMIM. </w:t>
        </w:r>
      </w:hyperlink>
      <w:hyperlink r:id="rId406">
        <w:r>
          <w:rPr>
            <w:color w:val="000000"/>
            <w:sz w:val="18"/>
            <w:szCs w:val="18"/>
          </w:rPr>
          <w:t>https://omim.org/</w:t>
        </w:r>
      </w:hyperlink>
      <w:hyperlink r:id="rId407">
        <w:r>
          <w:rPr>
            <w:color w:val="000000"/>
            <w:sz w:val="18"/>
            <w:szCs w:val="18"/>
          </w:rPr>
          <w:t>.</w:t>
        </w:r>
      </w:hyperlink>
    </w:p>
    <w:p w14:paraId="414EA543"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52.</w:t>
      </w:r>
      <w:r>
        <w:rPr>
          <w:color w:val="000000"/>
          <w:sz w:val="18"/>
          <w:szCs w:val="18"/>
        </w:rPr>
        <w:tab/>
      </w:r>
      <w:hyperlink r:id="rId408">
        <w:r>
          <w:rPr>
            <w:color w:val="000000"/>
            <w:sz w:val="18"/>
            <w:szCs w:val="18"/>
          </w:rPr>
          <w:t xml:space="preserve">Reporting potential diagnoses and contacting clinicians - Genomics England Research Environment User Guide. </w:t>
        </w:r>
      </w:hyperlink>
      <w:hyperlink r:id="rId409">
        <w:r>
          <w:rPr>
            <w:color w:val="000000"/>
            <w:sz w:val="18"/>
            <w:szCs w:val="18"/>
          </w:rPr>
          <w:t>https://re-docs.genomicsengland.co.uk/cri/</w:t>
        </w:r>
      </w:hyperlink>
      <w:hyperlink r:id="rId410">
        <w:r>
          <w:rPr>
            <w:color w:val="000000"/>
            <w:sz w:val="18"/>
            <w:szCs w:val="18"/>
          </w:rPr>
          <w:t>.</w:t>
        </w:r>
      </w:hyperlink>
    </w:p>
    <w:p w14:paraId="0126E0A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53.</w:t>
      </w:r>
      <w:r>
        <w:rPr>
          <w:color w:val="000000"/>
          <w:sz w:val="18"/>
          <w:szCs w:val="18"/>
        </w:rPr>
        <w:tab/>
      </w:r>
      <w:hyperlink r:id="rId411">
        <w:r>
          <w:rPr>
            <w:color w:val="000000"/>
            <w:sz w:val="18"/>
            <w:szCs w:val="18"/>
          </w:rPr>
          <w:t xml:space="preserve">Genomics England. Ancestry inference - Genomics England Research Environment User Guide. </w:t>
        </w:r>
      </w:hyperlink>
      <w:hyperlink r:id="rId412">
        <w:r>
          <w:rPr>
            <w:color w:val="000000"/>
            <w:sz w:val="18"/>
            <w:szCs w:val="18"/>
          </w:rPr>
          <w:t>https://re-</w:t>
        </w:r>
        <w:r>
          <w:rPr>
            <w:color w:val="000000"/>
            <w:sz w:val="18"/>
            <w:szCs w:val="18"/>
          </w:rPr>
          <w:lastRenderedPageBreak/>
          <w:t>docs.genomicsengland.co.uk/ancestry_inference/</w:t>
        </w:r>
      </w:hyperlink>
      <w:hyperlink r:id="rId413">
        <w:r>
          <w:rPr>
            <w:color w:val="000000"/>
            <w:sz w:val="18"/>
            <w:szCs w:val="18"/>
          </w:rPr>
          <w:t xml:space="preserve"> (2023).</w:t>
        </w:r>
      </w:hyperlink>
    </w:p>
    <w:p w14:paraId="4B84E398"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54.</w:t>
      </w:r>
      <w:r>
        <w:rPr>
          <w:color w:val="000000"/>
          <w:sz w:val="18"/>
          <w:szCs w:val="18"/>
        </w:rPr>
        <w:tab/>
      </w:r>
      <w:hyperlink r:id="rId414">
        <w:r>
          <w:rPr>
            <w:color w:val="000000"/>
            <w:sz w:val="18"/>
            <w:szCs w:val="18"/>
          </w:rPr>
          <w:t xml:space="preserve">Aggregated variant calls - genomics England research environment user guide. </w:t>
        </w:r>
      </w:hyperlink>
      <w:hyperlink r:id="rId415">
        <w:r>
          <w:rPr>
            <w:color w:val="000000"/>
            <w:sz w:val="18"/>
            <w:szCs w:val="18"/>
          </w:rPr>
          <w:t>https://re-docs.genomicsengland.co.uk/aggv2/</w:t>
        </w:r>
      </w:hyperlink>
      <w:hyperlink r:id="rId416">
        <w:r>
          <w:rPr>
            <w:color w:val="000000"/>
            <w:sz w:val="18"/>
            <w:szCs w:val="18"/>
          </w:rPr>
          <w:t>.</w:t>
        </w:r>
      </w:hyperlink>
    </w:p>
    <w:p w14:paraId="441C2D44"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55.</w:t>
      </w:r>
      <w:r>
        <w:rPr>
          <w:color w:val="000000"/>
          <w:sz w:val="18"/>
          <w:szCs w:val="18"/>
        </w:rPr>
        <w:tab/>
      </w:r>
      <w:hyperlink r:id="rId417">
        <w:r>
          <w:rPr>
            <w:color w:val="000000"/>
            <w:sz w:val="18"/>
            <w:szCs w:val="18"/>
          </w:rPr>
          <w:t xml:space="preserve">Pedersen, B. S. </w:t>
        </w:r>
      </w:hyperlink>
      <w:hyperlink r:id="rId418">
        <w:r>
          <w:rPr>
            <w:i/>
            <w:color w:val="000000"/>
            <w:sz w:val="18"/>
            <w:szCs w:val="18"/>
          </w:rPr>
          <w:t>et al.</w:t>
        </w:r>
      </w:hyperlink>
      <w:hyperlink r:id="rId419">
        <w:r>
          <w:rPr>
            <w:color w:val="000000"/>
            <w:sz w:val="18"/>
            <w:szCs w:val="18"/>
          </w:rPr>
          <w:t xml:space="preserve"> Effective variant filtering and expected candidate variant yield in studies of rare human disease. </w:t>
        </w:r>
      </w:hyperlink>
      <w:hyperlink r:id="rId420">
        <w:r>
          <w:rPr>
            <w:i/>
            <w:color w:val="000000"/>
            <w:sz w:val="18"/>
            <w:szCs w:val="18"/>
          </w:rPr>
          <w:t>NPJ Genom Med</w:t>
        </w:r>
      </w:hyperlink>
      <w:hyperlink r:id="rId421">
        <w:r>
          <w:rPr>
            <w:color w:val="000000"/>
            <w:sz w:val="18"/>
            <w:szCs w:val="18"/>
          </w:rPr>
          <w:t xml:space="preserve"> </w:t>
        </w:r>
      </w:hyperlink>
      <w:hyperlink r:id="rId422">
        <w:r>
          <w:rPr>
            <w:b/>
            <w:color w:val="000000"/>
            <w:sz w:val="18"/>
            <w:szCs w:val="18"/>
          </w:rPr>
          <w:t>6</w:t>
        </w:r>
      </w:hyperlink>
      <w:hyperlink r:id="rId423">
        <w:r>
          <w:rPr>
            <w:color w:val="000000"/>
            <w:sz w:val="18"/>
            <w:szCs w:val="18"/>
          </w:rPr>
          <w:t>, 60 (2021).</w:t>
        </w:r>
      </w:hyperlink>
    </w:p>
    <w:p w14:paraId="08014FF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56.</w:t>
      </w:r>
      <w:r>
        <w:rPr>
          <w:color w:val="000000"/>
          <w:sz w:val="18"/>
          <w:szCs w:val="18"/>
        </w:rPr>
        <w:tab/>
      </w:r>
      <w:hyperlink r:id="rId424">
        <w:r>
          <w:rPr>
            <w:color w:val="000000"/>
            <w:sz w:val="18"/>
            <w:szCs w:val="18"/>
          </w:rPr>
          <w:t xml:space="preserve">Manichaikul, A. </w:t>
        </w:r>
      </w:hyperlink>
      <w:hyperlink r:id="rId425">
        <w:r>
          <w:rPr>
            <w:i/>
            <w:color w:val="000000"/>
            <w:sz w:val="18"/>
            <w:szCs w:val="18"/>
          </w:rPr>
          <w:t>et al.</w:t>
        </w:r>
      </w:hyperlink>
      <w:hyperlink r:id="rId426">
        <w:r>
          <w:rPr>
            <w:color w:val="000000"/>
            <w:sz w:val="18"/>
            <w:szCs w:val="18"/>
          </w:rPr>
          <w:t xml:space="preserve"> Robust relationship inference in genome-wide association studies. </w:t>
        </w:r>
      </w:hyperlink>
      <w:hyperlink r:id="rId427">
        <w:r>
          <w:rPr>
            <w:i/>
            <w:color w:val="000000"/>
            <w:sz w:val="18"/>
            <w:szCs w:val="18"/>
          </w:rPr>
          <w:t>Bioinformatics</w:t>
        </w:r>
      </w:hyperlink>
      <w:hyperlink r:id="rId428">
        <w:r>
          <w:rPr>
            <w:color w:val="000000"/>
            <w:sz w:val="18"/>
            <w:szCs w:val="18"/>
          </w:rPr>
          <w:t xml:space="preserve"> </w:t>
        </w:r>
      </w:hyperlink>
      <w:hyperlink r:id="rId429">
        <w:r>
          <w:rPr>
            <w:b/>
            <w:color w:val="000000"/>
            <w:sz w:val="18"/>
            <w:szCs w:val="18"/>
          </w:rPr>
          <w:t>26</w:t>
        </w:r>
      </w:hyperlink>
      <w:hyperlink r:id="rId430">
        <w:r>
          <w:rPr>
            <w:color w:val="000000"/>
            <w:sz w:val="18"/>
            <w:szCs w:val="18"/>
          </w:rPr>
          <w:t>, 2867–2873 (2010).</w:t>
        </w:r>
      </w:hyperlink>
    </w:p>
    <w:p w14:paraId="35665EE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57.</w:t>
      </w:r>
      <w:r>
        <w:rPr>
          <w:color w:val="000000"/>
          <w:sz w:val="18"/>
          <w:szCs w:val="18"/>
        </w:rPr>
        <w:tab/>
      </w:r>
      <w:hyperlink r:id="rId431">
        <w:r>
          <w:rPr>
            <w:color w:val="000000"/>
            <w:sz w:val="18"/>
            <w:szCs w:val="18"/>
          </w:rPr>
          <w:t xml:space="preserve">Giner, G. &amp; Smyth, G. K. statmod: Probability Calculations for the Inverse Gaussian Distribution. </w:t>
        </w:r>
      </w:hyperlink>
      <w:hyperlink r:id="rId432">
        <w:r>
          <w:rPr>
            <w:i/>
            <w:color w:val="000000"/>
            <w:sz w:val="18"/>
            <w:szCs w:val="18"/>
          </w:rPr>
          <w:t>arXiv [stat.CO]</w:t>
        </w:r>
      </w:hyperlink>
      <w:hyperlink r:id="rId433">
        <w:r>
          <w:rPr>
            <w:color w:val="000000"/>
            <w:sz w:val="18"/>
            <w:szCs w:val="18"/>
          </w:rPr>
          <w:t xml:space="preserve"> (2016) doi:</w:t>
        </w:r>
      </w:hyperlink>
      <w:hyperlink r:id="rId434">
        <w:r>
          <w:rPr>
            <w:color w:val="000000"/>
            <w:sz w:val="18"/>
            <w:szCs w:val="18"/>
          </w:rPr>
          <w:t>10.48550/ARXIV.1603.06687</w:t>
        </w:r>
      </w:hyperlink>
      <w:hyperlink r:id="rId435">
        <w:r>
          <w:rPr>
            <w:color w:val="000000"/>
            <w:sz w:val="18"/>
            <w:szCs w:val="18"/>
          </w:rPr>
          <w:t>.</w:t>
        </w:r>
      </w:hyperlink>
    </w:p>
    <w:p w14:paraId="33545E8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58.</w:t>
      </w:r>
      <w:r>
        <w:rPr>
          <w:color w:val="000000"/>
          <w:sz w:val="18"/>
          <w:szCs w:val="18"/>
        </w:rPr>
        <w:tab/>
      </w:r>
      <w:hyperlink r:id="rId436">
        <w:r>
          <w:rPr>
            <w:color w:val="000000"/>
            <w:sz w:val="18"/>
            <w:szCs w:val="18"/>
          </w:rPr>
          <w:t xml:space="preserve">SFARI. </w:t>
        </w:r>
      </w:hyperlink>
      <w:hyperlink r:id="rId437">
        <w:r>
          <w:rPr>
            <w:i/>
            <w:color w:val="000000"/>
            <w:sz w:val="18"/>
            <w:szCs w:val="18"/>
          </w:rPr>
          <w:t>SFARI</w:t>
        </w:r>
      </w:hyperlink>
      <w:hyperlink r:id="rId438">
        <w:r>
          <w:rPr>
            <w:color w:val="000000"/>
            <w:sz w:val="18"/>
            <w:szCs w:val="18"/>
          </w:rPr>
          <w:t xml:space="preserve"> </w:t>
        </w:r>
      </w:hyperlink>
      <w:hyperlink r:id="rId439">
        <w:r>
          <w:rPr>
            <w:color w:val="000000"/>
            <w:sz w:val="18"/>
            <w:szCs w:val="18"/>
          </w:rPr>
          <w:t>https://www.sfari.org/resource/simons-simplex-collection/</w:t>
        </w:r>
      </w:hyperlink>
      <w:hyperlink r:id="rId440">
        <w:r>
          <w:rPr>
            <w:color w:val="000000"/>
            <w:sz w:val="18"/>
            <w:szCs w:val="18"/>
          </w:rPr>
          <w:t xml:space="preserve"> (2011).</w:t>
        </w:r>
      </w:hyperlink>
    </w:p>
    <w:p w14:paraId="46BC0065"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59.</w:t>
      </w:r>
      <w:r>
        <w:rPr>
          <w:color w:val="000000"/>
          <w:sz w:val="18"/>
          <w:szCs w:val="18"/>
        </w:rPr>
        <w:tab/>
      </w:r>
      <w:hyperlink r:id="rId441">
        <w:r>
          <w:rPr>
            <w:color w:val="000000"/>
            <w:sz w:val="18"/>
            <w:szCs w:val="18"/>
          </w:rPr>
          <w:t xml:space="preserve">Fu, J. M. </w:t>
        </w:r>
      </w:hyperlink>
      <w:hyperlink r:id="rId442">
        <w:r>
          <w:rPr>
            <w:i/>
            <w:color w:val="000000"/>
            <w:sz w:val="18"/>
            <w:szCs w:val="18"/>
          </w:rPr>
          <w:t>et al.</w:t>
        </w:r>
      </w:hyperlink>
      <w:hyperlink r:id="rId443">
        <w:r>
          <w:rPr>
            <w:color w:val="000000"/>
            <w:sz w:val="18"/>
            <w:szCs w:val="18"/>
          </w:rPr>
          <w:t xml:space="preserve"> Rare coding variation provides insight into the genetic architecture and phenotypic context of autism. </w:t>
        </w:r>
      </w:hyperlink>
      <w:hyperlink r:id="rId444">
        <w:r>
          <w:rPr>
            <w:i/>
            <w:color w:val="000000"/>
            <w:sz w:val="18"/>
            <w:szCs w:val="18"/>
          </w:rPr>
          <w:t>Nat. Genet.</w:t>
        </w:r>
      </w:hyperlink>
      <w:hyperlink r:id="rId445">
        <w:r>
          <w:rPr>
            <w:color w:val="000000"/>
            <w:sz w:val="18"/>
            <w:szCs w:val="18"/>
          </w:rPr>
          <w:t xml:space="preserve"> </w:t>
        </w:r>
      </w:hyperlink>
      <w:hyperlink r:id="rId446">
        <w:r>
          <w:rPr>
            <w:b/>
            <w:color w:val="000000"/>
            <w:sz w:val="18"/>
            <w:szCs w:val="18"/>
          </w:rPr>
          <w:t>54</w:t>
        </w:r>
      </w:hyperlink>
      <w:hyperlink r:id="rId447">
        <w:r>
          <w:rPr>
            <w:color w:val="000000"/>
            <w:sz w:val="18"/>
            <w:szCs w:val="18"/>
          </w:rPr>
          <w:t>, 1320–1331 (2022).</w:t>
        </w:r>
      </w:hyperlink>
    </w:p>
    <w:p w14:paraId="3567ECDF"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60.</w:t>
      </w:r>
      <w:r>
        <w:rPr>
          <w:color w:val="000000"/>
          <w:sz w:val="18"/>
          <w:szCs w:val="18"/>
        </w:rPr>
        <w:tab/>
      </w:r>
      <w:hyperlink r:id="rId448">
        <w:r>
          <w:rPr>
            <w:color w:val="000000"/>
            <w:sz w:val="18"/>
            <w:szCs w:val="18"/>
          </w:rPr>
          <w:t xml:space="preserve">Robinson, J. T. </w:t>
        </w:r>
      </w:hyperlink>
      <w:hyperlink r:id="rId449">
        <w:r>
          <w:rPr>
            <w:i/>
            <w:color w:val="000000"/>
            <w:sz w:val="18"/>
            <w:szCs w:val="18"/>
          </w:rPr>
          <w:t>et al.</w:t>
        </w:r>
      </w:hyperlink>
      <w:hyperlink r:id="rId450">
        <w:r>
          <w:rPr>
            <w:color w:val="000000"/>
            <w:sz w:val="18"/>
            <w:szCs w:val="18"/>
          </w:rPr>
          <w:t xml:space="preserve"> Integrative genomics viewer. </w:t>
        </w:r>
      </w:hyperlink>
      <w:hyperlink r:id="rId451">
        <w:r>
          <w:rPr>
            <w:i/>
            <w:color w:val="000000"/>
            <w:sz w:val="18"/>
            <w:szCs w:val="18"/>
          </w:rPr>
          <w:t>Nat. Biotechnol.</w:t>
        </w:r>
      </w:hyperlink>
      <w:hyperlink r:id="rId452">
        <w:r>
          <w:rPr>
            <w:color w:val="000000"/>
            <w:sz w:val="18"/>
            <w:szCs w:val="18"/>
          </w:rPr>
          <w:t xml:space="preserve"> </w:t>
        </w:r>
      </w:hyperlink>
      <w:hyperlink r:id="rId453">
        <w:r>
          <w:rPr>
            <w:b/>
            <w:color w:val="000000"/>
            <w:sz w:val="18"/>
            <w:szCs w:val="18"/>
          </w:rPr>
          <w:t>29</w:t>
        </w:r>
      </w:hyperlink>
      <w:hyperlink r:id="rId454">
        <w:r>
          <w:rPr>
            <w:color w:val="000000"/>
            <w:sz w:val="18"/>
            <w:szCs w:val="18"/>
          </w:rPr>
          <w:t>, 24–26 (2011).</w:t>
        </w:r>
      </w:hyperlink>
    </w:p>
    <w:p w14:paraId="6EF6FA1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61.</w:t>
      </w:r>
      <w:r>
        <w:rPr>
          <w:color w:val="000000"/>
          <w:sz w:val="18"/>
          <w:szCs w:val="18"/>
        </w:rPr>
        <w:tab/>
      </w:r>
      <w:hyperlink r:id="rId455">
        <w:r>
          <w:rPr>
            <w:color w:val="000000"/>
            <w:sz w:val="18"/>
            <w:szCs w:val="18"/>
          </w:rPr>
          <w:t xml:space="preserve">Scheller, I. F., Lutz, K., Mertes, C., Yépez, V. A. &amp; Gagneur, J. Improved detection of aberrant splicing using the Intron Jaccard Index. </w:t>
        </w:r>
      </w:hyperlink>
      <w:hyperlink r:id="rId456">
        <w:r>
          <w:rPr>
            <w:i/>
            <w:color w:val="000000"/>
            <w:sz w:val="18"/>
            <w:szCs w:val="18"/>
          </w:rPr>
          <w:t>medRxiv</w:t>
        </w:r>
      </w:hyperlink>
      <w:hyperlink r:id="rId457">
        <w:r>
          <w:rPr>
            <w:color w:val="000000"/>
            <w:sz w:val="18"/>
            <w:szCs w:val="18"/>
          </w:rPr>
          <w:t xml:space="preserve"> 2023.03.31.23287997 (2023) doi:</w:t>
        </w:r>
      </w:hyperlink>
      <w:hyperlink r:id="rId458">
        <w:r>
          <w:rPr>
            <w:color w:val="000000"/>
            <w:sz w:val="18"/>
            <w:szCs w:val="18"/>
          </w:rPr>
          <w:t>10.1101/2023.03.31.23287997</w:t>
        </w:r>
      </w:hyperlink>
      <w:hyperlink r:id="rId459">
        <w:r>
          <w:rPr>
            <w:color w:val="000000"/>
            <w:sz w:val="18"/>
            <w:szCs w:val="18"/>
          </w:rPr>
          <w:t>.</w:t>
        </w:r>
      </w:hyperlink>
    </w:p>
    <w:p w14:paraId="13E5C882"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62.</w:t>
      </w:r>
      <w:r>
        <w:rPr>
          <w:color w:val="000000"/>
          <w:sz w:val="18"/>
          <w:szCs w:val="18"/>
        </w:rPr>
        <w:tab/>
      </w:r>
      <w:hyperlink r:id="rId460">
        <w:r>
          <w:rPr>
            <w:color w:val="000000"/>
            <w:sz w:val="18"/>
            <w:szCs w:val="18"/>
          </w:rPr>
          <w:t xml:space="preserve">OUTRIDER: A Statistical Method for Detecting Aberrantly Expressed Genes in RNA Sequencing Data. </w:t>
        </w:r>
      </w:hyperlink>
      <w:hyperlink r:id="rId461">
        <w:r>
          <w:rPr>
            <w:i/>
            <w:color w:val="000000"/>
            <w:sz w:val="18"/>
            <w:szCs w:val="18"/>
          </w:rPr>
          <w:t>Am. J. Hum. Genet.</w:t>
        </w:r>
      </w:hyperlink>
      <w:hyperlink r:id="rId462">
        <w:r>
          <w:rPr>
            <w:color w:val="000000"/>
            <w:sz w:val="18"/>
            <w:szCs w:val="18"/>
          </w:rPr>
          <w:t xml:space="preserve"> </w:t>
        </w:r>
      </w:hyperlink>
      <w:hyperlink r:id="rId463">
        <w:r>
          <w:rPr>
            <w:b/>
            <w:color w:val="000000"/>
            <w:sz w:val="18"/>
            <w:szCs w:val="18"/>
          </w:rPr>
          <w:t>103</w:t>
        </w:r>
      </w:hyperlink>
      <w:hyperlink r:id="rId464">
        <w:r>
          <w:rPr>
            <w:color w:val="000000"/>
            <w:sz w:val="18"/>
            <w:szCs w:val="18"/>
          </w:rPr>
          <w:t>, 907–917 (2018).</w:t>
        </w:r>
      </w:hyperlink>
    </w:p>
    <w:p w14:paraId="7149EFE0"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63.</w:t>
      </w:r>
      <w:r>
        <w:rPr>
          <w:color w:val="000000"/>
          <w:sz w:val="18"/>
          <w:szCs w:val="18"/>
        </w:rPr>
        <w:tab/>
      </w:r>
      <w:hyperlink r:id="rId465">
        <w:r>
          <w:rPr>
            <w:color w:val="000000"/>
            <w:sz w:val="18"/>
            <w:szCs w:val="18"/>
          </w:rPr>
          <w:t xml:space="preserve">Levy, M. A. </w:t>
        </w:r>
      </w:hyperlink>
      <w:hyperlink r:id="rId466">
        <w:r>
          <w:rPr>
            <w:i/>
            <w:color w:val="000000"/>
            <w:sz w:val="18"/>
            <w:szCs w:val="18"/>
          </w:rPr>
          <w:t>et al.</w:t>
        </w:r>
      </w:hyperlink>
      <w:hyperlink r:id="rId467">
        <w:r>
          <w:rPr>
            <w:color w:val="000000"/>
            <w:sz w:val="18"/>
            <w:szCs w:val="18"/>
          </w:rPr>
          <w:t xml:space="preserve"> Novel diagnostic DNA methylation episignatures expand and refine the epigenetic landscapes of Mendelian disorders. </w:t>
        </w:r>
      </w:hyperlink>
      <w:hyperlink r:id="rId468">
        <w:r>
          <w:rPr>
            <w:i/>
            <w:color w:val="000000"/>
            <w:sz w:val="18"/>
            <w:szCs w:val="18"/>
          </w:rPr>
          <w:t>HGG advances</w:t>
        </w:r>
      </w:hyperlink>
      <w:hyperlink r:id="rId469">
        <w:r>
          <w:rPr>
            <w:color w:val="000000"/>
            <w:sz w:val="18"/>
            <w:szCs w:val="18"/>
          </w:rPr>
          <w:t xml:space="preserve"> </w:t>
        </w:r>
      </w:hyperlink>
      <w:hyperlink r:id="rId470">
        <w:r>
          <w:rPr>
            <w:b/>
            <w:color w:val="000000"/>
            <w:sz w:val="18"/>
            <w:szCs w:val="18"/>
          </w:rPr>
          <w:t>3</w:t>
        </w:r>
      </w:hyperlink>
      <w:hyperlink r:id="rId471">
        <w:r>
          <w:rPr>
            <w:color w:val="000000"/>
            <w:sz w:val="18"/>
            <w:szCs w:val="18"/>
          </w:rPr>
          <w:t>, (2021).</w:t>
        </w:r>
      </w:hyperlink>
    </w:p>
    <w:p w14:paraId="3C845D9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64.</w:t>
      </w:r>
      <w:r>
        <w:rPr>
          <w:color w:val="000000"/>
          <w:sz w:val="18"/>
          <w:szCs w:val="18"/>
        </w:rPr>
        <w:tab/>
      </w:r>
      <w:hyperlink r:id="rId472">
        <w:r>
          <w:rPr>
            <w:color w:val="000000"/>
            <w:sz w:val="18"/>
            <w:szCs w:val="18"/>
          </w:rPr>
          <w:t xml:space="preserve">Barili, V. </w:t>
        </w:r>
      </w:hyperlink>
      <w:hyperlink r:id="rId473">
        <w:r>
          <w:rPr>
            <w:i/>
            <w:color w:val="000000"/>
            <w:sz w:val="18"/>
            <w:szCs w:val="18"/>
          </w:rPr>
          <w:t>et al.</w:t>
        </w:r>
      </w:hyperlink>
      <w:hyperlink r:id="rId474">
        <w:r>
          <w:rPr>
            <w:color w:val="000000"/>
            <w:sz w:val="18"/>
            <w:szCs w:val="18"/>
          </w:rPr>
          <w:t xml:space="preserve"> Success and Pitfalls of Genetic Testing in Undiagnosed Diseases: Whole Exome Sequencing and Beyond. </w:t>
        </w:r>
      </w:hyperlink>
      <w:hyperlink r:id="rId475">
        <w:r>
          <w:rPr>
            <w:i/>
            <w:color w:val="000000"/>
            <w:sz w:val="18"/>
            <w:szCs w:val="18"/>
          </w:rPr>
          <w:t xml:space="preserve">Genes </w:t>
        </w:r>
      </w:hyperlink>
      <w:hyperlink r:id="rId476">
        <w:r>
          <w:rPr>
            <w:color w:val="000000"/>
            <w:sz w:val="18"/>
            <w:szCs w:val="18"/>
          </w:rPr>
          <w:t xml:space="preserve"> </w:t>
        </w:r>
      </w:hyperlink>
      <w:hyperlink r:id="rId477">
        <w:r>
          <w:rPr>
            <w:b/>
            <w:color w:val="000000"/>
            <w:sz w:val="18"/>
            <w:szCs w:val="18"/>
          </w:rPr>
          <w:t>14</w:t>
        </w:r>
      </w:hyperlink>
      <w:hyperlink r:id="rId478">
        <w:r>
          <w:rPr>
            <w:color w:val="000000"/>
            <w:sz w:val="18"/>
            <w:szCs w:val="18"/>
          </w:rPr>
          <w:t>, (2023).</w:t>
        </w:r>
      </w:hyperlink>
    </w:p>
    <w:p w14:paraId="3D07FF9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65.</w:t>
      </w:r>
      <w:r>
        <w:rPr>
          <w:color w:val="000000"/>
          <w:sz w:val="18"/>
          <w:szCs w:val="18"/>
        </w:rPr>
        <w:tab/>
      </w:r>
      <w:hyperlink r:id="rId479">
        <w:r>
          <w:rPr>
            <w:color w:val="000000"/>
            <w:sz w:val="18"/>
            <w:szCs w:val="18"/>
          </w:rPr>
          <w:t xml:space="preserve">The R Project for Statistical Computing. </w:t>
        </w:r>
      </w:hyperlink>
      <w:hyperlink r:id="rId480">
        <w:r>
          <w:rPr>
            <w:color w:val="000000"/>
            <w:sz w:val="18"/>
            <w:szCs w:val="18"/>
          </w:rPr>
          <w:t>https://www.R-project.org/</w:t>
        </w:r>
      </w:hyperlink>
      <w:hyperlink r:id="rId481">
        <w:r>
          <w:rPr>
            <w:color w:val="000000"/>
            <w:sz w:val="18"/>
            <w:szCs w:val="18"/>
          </w:rPr>
          <w:t>.</w:t>
        </w:r>
      </w:hyperlink>
    </w:p>
    <w:p w14:paraId="76E610F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66.</w:t>
      </w:r>
      <w:r>
        <w:rPr>
          <w:color w:val="000000"/>
          <w:sz w:val="18"/>
          <w:szCs w:val="18"/>
        </w:rPr>
        <w:tab/>
      </w:r>
      <w:hyperlink r:id="rId482">
        <w:r>
          <w:rPr>
            <w:color w:val="000000"/>
            <w:sz w:val="18"/>
            <w:szCs w:val="18"/>
          </w:rPr>
          <w:t>A Grammar of Data Manipulation [R package dplyr version 1.1.2]. (2023).</w:t>
        </w:r>
      </w:hyperlink>
    </w:p>
    <w:p w14:paraId="73268369"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67.</w:t>
      </w:r>
      <w:r>
        <w:rPr>
          <w:color w:val="000000"/>
          <w:sz w:val="18"/>
          <w:szCs w:val="18"/>
        </w:rPr>
        <w:tab/>
      </w:r>
      <w:hyperlink r:id="rId483">
        <w:r>
          <w:rPr>
            <w:color w:val="000000"/>
            <w:sz w:val="18"/>
            <w:szCs w:val="18"/>
          </w:rPr>
          <w:t>Tidy Messy Data [R package tidyr version 1.3.0]. (2023).</w:t>
        </w:r>
      </w:hyperlink>
    </w:p>
    <w:p w14:paraId="278C5AB1"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68.</w:t>
      </w:r>
      <w:r>
        <w:rPr>
          <w:color w:val="000000"/>
          <w:sz w:val="18"/>
          <w:szCs w:val="18"/>
        </w:rPr>
        <w:tab/>
      </w:r>
      <w:hyperlink r:id="rId484">
        <w:r>
          <w:rPr>
            <w:color w:val="000000"/>
            <w:sz w:val="18"/>
            <w:szCs w:val="18"/>
          </w:rPr>
          <w:t>Wickham, H. Simple, Consistent Wrappers for Common String Operations [R package stringr version 1.5.0]. (2022).</w:t>
        </w:r>
      </w:hyperlink>
    </w:p>
    <w:p w14:paraId="4E800268"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69.</w:t>
      </w:r>
      <w:r>
        <w:rPr>
          <w:color w:val="000000"/>
          <w:sz w:val="18"/>
          <w:szCs w:val="18"/>
        </w:rPr>
        <w:tab/>
      </w:r>
      <w:hyperlink r:id="rId485">
        <w:r>
          <w:rPr>
            <w:color w:val="000000"/>
            <w:sz w:val="18"/>
            <w:szCs w:val="18"/>
          </w:rPr>
          <w:t xml:space="preserve">Conway, J. R., Lex, A. &amp; Gehlenborg, N. UpSetR: an R package for the visualization of intersecting sets and their properties. </w:t>
        </w:r>
      </w:hyperlink>
      <w:hyperlink r:id="rId486">
        <w:r>
          <w:rPr>
            <w:i/>
            <w:color w:val="000000"/>
            <w:sz w:val="18"/>
            <w:szCs w:val="18"/>
          </w:rPr>
          <w:t>Bioinformatics</w:t>
        </w:r>
      </w:hyperlink>
      <w:hyperlink r:id="rId487">
        <w:r>
          <w:rPr>
            <w:color w:val="000000"/>
            <w:sz w:val="18"/>
            <w:szCs w:val="18"/>
          </w:rPr>
          <w:t xml:space="preserve"> </w:t>
        </w:r>
      </w:hyperlink>
      <w:hyperlink r:id="rId488">
        <w:r>
          <w:rPr>
            <w:b/>
            <w:color w:val="000000"/>
            <w:sz w:val="18"/>
            <w:szCs w:val="18"/>
          </w:rPr>
          <w:t>33</w:t>
        </w:r>
      </w:hyperlink>
      <w:hyperlink r:id="rId489">
        <w:r>
          <w:rPr>
            <w:color w:val="000000"/>
            <w:sz w:val="18"/>
            <w:szCs w:val="18"/>
          </w:rPr>
          <w:t>, 2938–2940 (2017).</w:t>
        </w:r>
      </w:hyperlink>
    </w:p>
    <w:p w14:paraId="1FE91BE9"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70.</w:t>
      </w:r>
      <w:r>
        <w:rPr>
          <w:color w:val="000000"/>
          <w:sz w:val="18"/>
          <w:szCs w:val="18"/>
        </w:rPr>
        <w:tab/>
      </w:r>
      <w:hyperlink r:id="rId490">
        <w:r>
          <w:rPr>
            <w:color w:val="000000"/>
            <w:sz w:val="18"/>
            <w:szCs w:val="18"/>
          </w:rPr>
          <w:t>Create Elegant Data Visualisations Using the Grammar of Graphics [R package ggplot2 version 3.4.3]. (2023).</w:t>
        </w:r>
      </w:hyperlink>
    </w:p>
    <w:p w14:paraId="4CE0821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71.</w:t>
      </w:r>
      <w:r>
        <w:rPr>
          <w:color w:val="000000"/>
          <w:sz w:val="18"/>
          <w:szCs w:val="18"/>
        </w:rPr>
        <w:tab/>
      </w:r>
      <w:hyperlink r:id="rId491">
        <w:r>
          <w:rPr>
            <w:color w:val="000000"/>
            <w:sz w:val="18"/>
            <w:szCs w:val="18"/>
          </w:rPr>
          <w:t xml:space="preserve">Martin, A. R. </w:t>
        </w:r>
      </w:hyperlink>
      <w:hyperlink r:id="rId492">
        <w:r>
          <w:rPr>
            <w:i/>
            <w:color w:val="000000"/>
            <w:sz w:val="18"/>
            <w:szCs w:val="18"/>
          </w:rPr>
          <w:t>et al.</w:t>
        </w:r>
      </w:hyperlink>
      <w:hyperlink r:id="rId493">
        <w:r>
          <w:rPr>
            <w:color w:val="000000"/>
            <w:sz w:val="18"/>
            <w:szCs w:val="18"/>
          </w:rPr>
          <w:t xml:space="preserve"> PanelApp crowdsources expert knowledge to establish consensus diagnostic gene panels. </w:t>
        </w:r>
      </w:hyperlink>
      <w:hyperlink r:id="rId494">
        <w:r>
          <w:rPr>
            <w:i/>
            <w:color w:val="000000"/>
            <w:sz w:val="18"/>
            <w:szCs w:val="18"/>
          </w:rPr>
          <w:t>Nat. Genet.</w:t>
        </w:r>
      </w:hyperlink>
      <w:hyperlink r:id="rId495">
        <w:r>
          <w:rPr>
            <w:color w:val="000000"/>
            <w:sz w:val="18"/>
            <w:szCs w:val="18"/>
          </w:rPr>
          <w:t xml:space="preserve"> </w:t>
        </w:r>
      </w:hyperlink>
      <w:hyperlink r:id="rId496">
        <w:r>
          <w:rPr>
            <w:b/>
            <w:color w:val="000000"/>
            <w:sz w:val="18"/>
            <w:szCs w:val="18"/>
          </w:rPr>
          <w:t>51</w:t>
        </w:r>
      </w:hyperlink>
      <w:hyperlink r:id="rId497">
        <w:r>
          <w:rPr>
            <w:color w:val="000000"/>
            <w:sz w:val="18"/>
            <w:szCs w:val="18"/>
          </w:rPr>
          <w:t>, 1560–1565 (2019).</w:t>
        </w:r>
      </w:hyperlink>
    </w:p>
    <w:p w14:paraId="5BEBEBB9"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72.</w:t>
      </w:r>
      <w:r>
        <w:rPr>
          <w:color w:val="000000"/>
          <w:sz w:val="18"/>
          <w:szCs w:val="18"/>
        </w:rPr>
        <w:tab/>
      </w:r>
      <w:hyperlink r:id="rId498">
        <w:r>
          <w:rPr>
            <w:color w:val="000000"/>
            <w:sz w:val="18"/>
            <w:szCs w:val="18"/>
          </w:rPr>
          <w:t xml:space="preserve">Bryen, S. J. </w:t>
        </w:r>
      </w:hyperlink>
      <w:hyperlink r:id="rId499">
        <w:r>
          <w:rPr>
            <w:i/>
            <w:color w:val="000000"/>
            <w:sz w:val="18"/>
            <w:szCs w:val="18"/>
          </w:rPr>
          <w:t>et al.</w:t>
        </w:r>
      </w:hyperlink>
      <w:hyperlink r:id="rId500">
        <w:r>
          <w:rPr>
            <w:color w:val="000000"/>
            <w:sz w:val="18"/>
            <w:szCs w:val="18"/>
          </w:rPr>
          <w:t xml:space="preserve"> Prevalence, parameters, and pathogenic mechanisms for splice-altering acceptor variants that disrupt the AG exclusion zone. </w:t>
        </w:r>
      </w:hyperlink>
      <w:hyperlink r:id="rId501">
        <w:r>
          <w:rPr>
            <w:i/>
            <w:color w:val="000000"/>
            <w:sz w:val="18"/>
            <w:szCs w:val="18"/>
          </w:rPr>
          <w:t>Human Genetics and Genomics Advances</w:t>
        </w:r>
      </w:hyperlink>
      <w:hyperlink r:id="rId502">
        <w:r>
          <w:rPr>
            <w:color w:val="000000"/>
            <w:sz w:val="18"/>
            <w:szCs w:val="18"/>
          </w:rPr>
          <w:t xml:space="preserve"> </w:t>
        </w:r>
      </w:hyperlink>
      <w:hyperlink r:id="rId503">
        <w:r>
          <w:rPr>
            <w:b/>
            <w:color w:val="000000"/>
            <w:sz w:val="18"/>
            <w:szCs w:val="18"/>
          </w:rPr>
          <w:t>3</w:t>
        </w:r>
      </w:hyperlink>
      <w:hyperlink r:id="rId504">
        <w:r>
          <w:rPr>
            <w:color w:val="000000"/>
            <w:sz w:val="18"/>
            <w:szCs w:val="18"/>
          </w:rPr>
          <w:t>, (2022).</w:t>
        </w:r>
      </w:hyperlink>
    </w:p>
    <w:p w14:paraId="04BEEE9A"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lastRenderedPageBreak/>
        <w:t>73.</w:t>
      </w:r>
      <w:r>
        <w:rPr>
          <w:color w:val="000000"/>
          <w:sz w:val="18"/>
          <w:szCs w:val="18"/>
        </w:rPr>
        <w:tab/>
      </w:r>
      <w:hyperlink r:id="rId505">
        <w:r>
          <w:rPr>
            <w:color w:val="000000"/>
            <w:sz w:val="18"/>
            <w:szCs w:val="18"/>
          </w:rPr>
          <w:t xml:space="preserve">Richards, S. </w:t>
        </w:r>
      </w:hyperlink>
      <w:hyperlink r:id="rId506">
        <w:r>
          <w:rPr>
            <w:i/>
            <w:color w:val="000000"/>
            <w:sz w:val="18"/>
            <w:szCs w:val="18"/>
          </w:rPr>
          <w:t>et al.</w:t>
        </w:r>
      </w:hyperlink>
      <w:hyperlink r:id="rId507">
        <w:r>
          <w:rPr>
            <w:color w:val="000000"/>
            <w:sz w:val="18"/>
            <w:szCs w:val="18"/>
          </w:rPr>
          <w:t xml:space="preserve"> Standards and Guidelines for the Interpretation of Sequence Variants: A Joint Consensus Recommendation of the American College of Medical Genetics and Genomics and the Association for Molecular Pathology. </w:t>
        </w:r>
      </w:hyperlink>
      <w:hyperlink r:id="rId508">
        <w:r>
          <w:rPr>
            <w:i/>
            <w:color w:val="000000"/>
            <w:sz w:val="18"/>
            <w:szCs w:val="18"/>
          </w:rPr>
          <w:t>Genet. Med.</w:t>
        </w:r>
      </w:hyperlink>
      <w:hyperlink r:id="rId509">
        <w:r>
          <w:rPr>
            <w:color w:val="000000"/>
            <w:sz w:val="18"/>
            <w:szCs w:val="18"/>
          </w:rPr>
          <w:t xml:space="preserve"> </w:t>
        </w:r>
      </w:hyperlink>
      <w:hyperlink r:id="rId510">
        <w:r>
          <w:rPr>
            <w:b/>
            <w:color w:val="000000"/>
            <w:sz w:val="18"/>
            <w:szCs w:val="18"/>
          </w:rPr>
          <w:t>17</w:t>
        </w:r>
      </w:hyperlink>
      <w:hyperlink r:id="rId511">
        <w:r>
          <w:rPr>
            <w:color w:val="000000"/>
            <w:sz w:val="18"/>
            <w:szCs w:val="18"/>
          </w:rPr>
          <w:t>, 405 (2015).</w:t>
        </w:r>
      </w:hyperlink>
    </w:p>
    <w:p w14:paraId="2BD44DFB"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74.</w:t>
      </w:r>
      <w:r>
        <w:rPr>
          <w:color w:val="000000"/>
          <w:sz w:val="18"/>
          <w:szCs w:val="18"/>
        </w:rPr>
        <w:tab/>
      </w:r>
      <w:hyperlink r:id="rId512">
        <w:r>
          <w:rPr>
            <w:color w:val="000000"/>
            <w:sz w:val="18"/>
            <w:szCs w:val="18"/>
          </w:rPr>
          <w:t xml:space="preserve">Signal, B., Gloss, B. S., Dinger, M. E. &amp; Mercer, T. R. Machine-learning annotation of human splicing branchpoints. </w:t>
        </w:r>
      </w:hyperlink>
      <w:hyperlink r:id="rId513">
        <w:r>
          <w:rPr>
            <w:i/>
            <w:color w:val="000000"/>
            <w:sz w:val="18"/>
            <w:szCs w:val="18"/>
          </w:rPr>
          <w:t>bioRxiv</w:t>
        </w:r>
      </w:hyperlink>
      <w:hyperlink r:id="rId514">
        <w:r>
          <w:rPr>
            <w:color w:val="000000"/>
            <w:sz w:val="18"/>
            <w:szCs w:val="18"/>
          </w:rPr>
          <w:t xml:space="preserve"> 094003 (2016) doi:</w:t>
        </w:r>
      </w:hyperlink>
      <w:hyperlink r:id="rId515">
        <w:r>
          <w:rPr>
            <w:color w:val="000000"/>
            <w:sz w:val="18"/>
            <w:szCs w:val="18"/>
          </w:rPr>
          <w:t>10.1101/094003</w:t>
        </w:r>
      </w:hyperlink>
      <w:hyperlink r:id="rId516">
        <w:r>
          <w:rPr>
            <w:color w:val="000000"/>
            <w:sz w:val="18"/>
            <w:szCs w:val="18"/>
          </w:rPr>
          <w:t>.</w:t>
        </w:r>
      </w:hyperlink>
    </w:p>
    <w:p w14:paraId="0AC06D54"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75.</w:t>
      </w:r>
      <w:r>
        <w:rPr>
          <w:color w:val="000000"/>
          <w:sz w:val="18"/>
          <w:szCs w:val="18"/>
        </w:rPr>
        <w:tab/>
      </w:r>
      <w:hyperlink r:id="rId517">
        <w:r>
          <w:rPr>
            <w:color w:val="000000"/>
            <w:sz w:val="18"/>
            <w:szCs w:val="18"/>
          </w:rPr>
          <w:t xml:space="preserve">Chen, S. </w:t>
        </w:r>
      </w:hyperlink>
      <w:hyperlink r:id="rId518">
        <w:r>
          <w:rPr>
            <w:i/>
            <w:color w:val="000000"/>
            <w:sz w:val="18"/>
            <w:szCs w:val="18"/>
          </w:rPr>
          <w:t>et al.</w:t>
        </w:r>
      </w:hyperlink>
      <w:hyperlink r:id="rId519">
        <w:r>
          <w:rPr>
            <w:color w:val="000000"/>
            <w:sz w:val="18"/>
            <w:szCs w:val="18"/>
          </w:rPr>
          <w:t xml:space="preserve"> A genome-wide mutational constraint map quantified from variation in 76,156 human genomes. </w:t>
        </w:r>
      </w:hyperlink>
      <w:hyperlink r:id="rId520">
        <w:r>
          <w:rPr>
            <w:i/>
            <w:color w:val="000000"/>
            <w:sz w:val="18"/>
            <w:szCs w:val="18"/>
          </w:rPr>
          <w:t>bioRxiv</w:t>
        </w:r>
      </w:hyperlink>
      <w:hyperlink r:id="rId521">
        <w:r>
          <w:rPr>
            <w:color w:val="000000"/>
            <w:sz w:val="18"/>
            <w:szCs w:val="18"/>
          </w:rPr>
          <w:t xml:space="preserve"> 2022.03.20.485034 (2022) doi:</w:t>
        </w:r>
      </w:hyperlink>
      <w:hyperlink r:id="rId522">
        <w:r>
          <w:rPr>
            <w:color w:val="000000"/>
            <w:sz w:val="18"/>
            <w:szCs w:val="18"/>
          </w:rPr>
          <w:t>10.1101/2022.03.20.485034</w:t>
        </w:r>
      </w:hyperlink>
      <w:hyperlink r:id="rId523">
        <w:r>
          <w:rPr>
            <w:color w:val="000000"/>
            <w:sz w:val="18"/>
            <w:szCs w:val="18"/>
          </w:rPr>
          <w:t>.</w:t>
        </w:r>
      </w:hyperlink>
    </w:p>
    <w:p w14:paraId="132EEC83"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76.</w:t>
      </w:r>
      <w:r>
        <w:rPr>
          <w:color w:val="000000"/>
          <w:sz w:val="18"/>
          <w:szCs w:val="18"/>
        </w:rPr>
        <w:tab/>
      </w:r>
      <w:hyperlink r:id="rId524">
        <w:r>
          <w:rPr>
            <w:color w:val="000000"/>
            <w:sz w:val="18"/>
            <w:szCs w:val="18"/>
          </w:rPr>
          <w:t xml:space="preserve">Kvon, E. Z., Waymack, R., Gad, M. &amp; Wunderlich, Z. Enhancer redundancy in development and disease. </w:t>
        </w:r>
      </w:hyperlink>
      <w:hyperlink r:id="rId525">
        <w:r>
          <w:rPr>
            <w:i/>
            <w:color w:val="000000"/>
            <w:sz w:val="18"/>
            <w:szCs w:val="18"/>
          </w:rPr>
          <w:t>Nat. Rev. Genet.</w:t>
        </w:r>
      </w:hyperlink>
      <w:hyperlink r:id="rId526">
        <w:r>
          <w:rPr>
            <w:color w:val="000000"/>
            <w:sz w:val="18"/>
            <w:szCs w:val="18"/>
          </w:rPr>
          <w:t xml:space="preserve"> </w:t>
        </w:r>
      </w:hyperlink>
      <w:hyperlink r:id="rId527">
        <w:r>
          <w:rPr>
            <w:b/>
            <w:color w:val="000000"/>
            <w:sz w:val="18"/>
            <w:szCs w:val="18"/>
          </w:rPr>
          <w:t>22</w:t>
        </w:r>
      </w:hyperlink>
      <w:hyperlink r:id="rId528">
        <w:r>
          <w:rPr>
            <w:color w:val="000000"/>
            <w:sz w:val="18"/>
            <w:szCs w:val="18"/>
          </w:rPr>
          <w:t>, (2021).</w:t>
        </w:r>
      </w:hyperlink>
    </w:p>
    <w:p w14:paraId="0A340B86"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77.</w:t>
      </w:r>
      <w:r>
        <w:rPr>
          <w:color w:val="000000"/>
          <w:sz w:val="18"/>
          <w:szCs w:val="18"/>
        </w:rPr>
        <w:tab/>
      </w:r>
      <w:hyperlink r:id="rId529">
        <w:r>
          <w:rPr>
            <w:color w:val="000000"/>
            <w:sz w:val="18"/>
            <w:szCs w:val="18"/>
          </w:rPr>
          <w:t xml:space="preserve">Fantauzzo, K. A. </w:t>
        </w:r>
      </w:hyperlink>
      <w:hyperlink r:id="rId530">
        <w:r>
          <w:rPr>
            <w:i/>
            <w:color w:val="000000"/>
            <w:sz w:val="18"/>
            <w:szCs w:val="18"/>
          </w:rPr>
          <w:t>et al.</w:t>
        </w:r>
      </w:hyperlink>
      <w:hyperlink r:id="rId531">
        <w:r>
          <w:rPr>
            <w:color w:val="000000"/>
            <w:sz w:val="18"/>
            <w:szCs w:val="18"/>
          </w:rPr>
          <w:t xml:space="preserve"> A position effect on TRPS1 is associated with Ambras syndrome in humans and the Koala phenotype in mice. </w:t>
        </w:r>
      </w:hyperlink>
      <w:hyperlink r:id="rId532">
        <w:r>
          <w:rPr>
            <w:i/>
            <w:color w:val="000000"/>
            <w:sz w:val="18"/>
            <w:szCs w:val="18"/>
          </w:rPr>
          <w:t>Hum. Mol. Genet.</w:t>
        </w:r>
      </w:hyperlink>
      <w:hyperlink r:id="rId533">
        <w:r>
          <w:rPr>
            <w:color w:val="000000"/>
            <w:sz w:val="18"/>
            <w:szCs w:val="18"/>
          </w:rPr>
          <w:t xml:space="preserve"> </w:t>
        </w:r>
      </w:hyperlink>
      <w:hyperlink r:id="rId534">
        <w:r>
          <w:rPr>
            <w:b/>
            <w:color w:val="000000"/>
            <w:sz w:val="18"/>
            <w:szCs w:val="18"/>
          </w:rPr>
          <w:t>17</w:t>
        </w:r>
      </w:hyperlink>
      <w:hyperlink r:id="rId535">
        <w:r>
          <w:rPr>
            <w:color w:val="000000"/>
            <w:sz w:val="18"/>
            <w:szCs w:val="18"/>
          </w:rPr>
          <w:t>, 3539–3551 (2008).</w:t>
        </w:r>
      </w:hyperlink>
    </w:p>
    <w:p w14:paraId="09AAD46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78.</w:t>
      </w:r>
      <w:r>
        <w:rPr>
          <w:color w:val="000000"/>
          <w:sz w:val="18"/>
          <w:szCs w:val="18"/>
        </w:rPr>
        <w:tab/>
      </w:r>
      <w:hyperlink r:id="rId536">
        <w:r>
          <w:rPr>
            <w:color w:val="000000"/>
            <w:sz w:val="18"/>
            <w:szCs w:val="18"/>
          </w:rPr>
          <w:t xml:space="preserve">Tenney, A. P. </w:t>
        </w:r>
      </w:hyperlink>
      <w:hyperlink r:id="rId537">
        <w:r>
          <w:rPr>
            <w:i/>
            <w:color w:val="000000"/>
            <w:sz w:val="18"/>
            <w:szCs w:val="18"/>
          </w:rPr>
          <w:t>et al.</w:t>
        </w:r>
      </w:hyperlink>
      <w:hyperlink r:id="rId538">
        <w:r>
          <w:rPr>
            <w:color w:val="000000"/>
            <w:sz w:val="18"/>
            <w:szCs w:val="18"/>
          </w:rPr>
          <w:t xml:space="preserve"> Noncoding variants alter GATA2 expression in rhombomere 4 motor neurons and cause dominant hereditary congenital facial paresis. </w:t>
        </w:r>
      </w:hyperlink>
      <w:hyperlink r:id="rId539">
        <w:r>
          <w:rPr>
            <w:i/>
            <w:color w:val="000000"/>
            <w:sz w:val="18"/>
            <w:szCs w:val="18"/>
          </w:rPr>
          <w:t>Nat. Genet.</w:t>
        </w:r>
      </w:hyperlink>
      <w:hyperlink r:id="rId540">
        <w:r>
          <w:rPr>
            <w:color w:val="000000"/>
            <w:sz w:val="18"/>
            <w:szCs w:val="18"/>
          </w:rPr>
          <w:t xml:space="preserve"> </w:t>
        </w:r>
      </w:hyperlink>
      <w:hyperlink r:id="rId541">
        <w:r>
          <w:rPr>
            <w:b/>
            <w:color w:val="000000"/>
            <w:sz w:val="18"/>
            <w:szCs w:val="18"/>
          </w:rPr>
          <w:t>55</w:t>
        </w:r>
      </w:hyperlink>
      <w:hyperlink r:id="rId542">
        <w:r>
          <w:rPr>
            <w:color w:val="000000"/>
            <w:sz w:val="18"/>
            <w:szCs w:val="18"/>
          </w:rPr>
          <w:t>, 1149–1163 (2023).</w:t>
        </w:r>
      </w:hyperlink>
    </w:p>
    <w:p w14:paraId="79A3E44F"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79.</w:t>
      </w:r>
      <w:r>
        <w:rPr>
          <w:color w:val="000000"/>
          <w:sz w:val="18"/>
          <w:szCs w:val="18"/>
        </w:rPr>
        <w:tab/>
      </w:r>
      <w:hyperlink r:id="rId543">
        <w:r>
          <w:rPr>
            <w:color w:val="000000"/>
            <w:sz w:val="18"/>
            <w:szCs w:val="18"/>
          </w:rPr>
          <w:t xml:space="preserve">Wakeling, M. N. </w:t>
        </w:r>
      </w:hyperlink>
      <w:hyperlink r:id="rId544">
        <w:r>
          <w:rPr>
            <w:i/>
            <w:color w:val="000000"/>
            <w:sz w:val="18"/>
            <w:szCs w:val="18"/>
          </w:rPr>
          <w:t>et al.</w:t>
        </w:r>
      </w:hyperlink>
      <w:hyperlink r:id="rId545">
        <w:r>
          <w:rPr>
            <w:color w:val="000000"/>
            <w:sz w:val="18"/>
            <w:szCs w:val="18"/>
          </w:rPr>
          <w:t xml:space="preserve"> Non-coding variants disrupting a tissue-specific regulatory element in HK1 cause congenital hyperinsulinism. </w:t>
        </w:r>
      </w:hyperlink>
      <w:hyperlink r:id="rId546">
        <w:r>
          <w:rPr>
            <w:i/>
            <w:color w:val="000000"/>
            <w:sz w:val="18"/>
            <w:szCs w:val="18"/>
          </w:rPr>
          <w:t>Nat. Genet.</w:t>
        </w:r>
      </w:hyperlink>
      <w:hyperlink r:id="rId547">
        <w:r>
          <w:rPr>
            <w:color w:val="000000"/>
            <w:sz w:val="18"/>
            <w:szCs w:val="18"/>
          </w:rPr>
          <w:t xml:space="preserve"> </w:t>
        </w:r>
      </w:hyperlink>
      <w:hyperlink r:id="rId548">
        <w:r>
          <w:rPr>
            <w:b/>
            <w:color w:val="000000"/>
            <w:sz w:val="18"/>
            <w:szCs w:val="18"/>
          </w:rPr>
          <w:t>54</w:t>
        </w:r>
      </w:hyperlink>
      <w:hyperlink r:id="rId549">
        <w:r>
          <w:rPr>
            <w:color w:val="000000"/>
            <w:sz w:val="18"/>
            <w:szCs w:val="18"/>
          </w:rPr>
          <w:t>, (2022).</w:t>
        </w:r>
      </w:hyperlink>
    </w:p>
    <w:p w14:paraId="1F7AA9EE"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80.</w:t>
      </w:r>
      <w:r>
        <w:rPr>
          <w:color w:val="000000"/>
          <w:sz w:val="18"/>
          <w:szCs w:val="18"/>
        </w:rPr>
        <w:tab/>
      </w:r>
      <w:hyperlink r:id="rId550">
        <w:r>
          <w:rPr>
            <w:color w:val="000000"/>
            <w:sz w:val="18"/>
            <w:szCs w:val="18"/>
          </w:rPr>
          <w:t xml:space="preserve">Han, L. </w:t>
        </w:r>
      </w:hyperlink>
      <w:hyperlink r:id="rId551">
        <w:r>
          <w:rPr>
            <w:i/>
            <w:color w:val="000000"/>
            <w:sz w:val="18"/>
            <w:szCs w:val="18"/>
          </w:rPr>
          <w:t>et al.</w:t>
        </w:r>
      </w:hyperlink>
      <w:hyperlink r:id="rId552">
        <w:r>
          <w:rPr>
            <w:color w:val="000000"/>
            <w:sz w:val="18"/>
            <w:szCs w:val="18"/>
          </w:rPr>
          <w:t xml:space="preserve"> Functional annotation of rare structural variation in the human brain. </w:t>
        </w:r>
      </w:hyperlink>
      <w:hyperlink r:id="rId553">
        <w:r>
          <w:rPr>
            <w:i/>
            <w:color w:val="000000"/>
            <w:sz w:val="18"/>
            <w:szCs w:val="18"/>
          </w:rPr>
          <w:t>Nat. Commun.</w:t>
        </w:r>
      </w:hyperlink>
      <w:hyperlink r:id="rId554">
        <w:r>
          <w:rPr>
            <w:color w:val="000000"/>
            <w:sz w:val="18"/>
            <w:szCs w:val="18"/>
          </w:rPr>
          <w:t xml:space="preserve"> </w:t>
        </w:r>
      </w:hyperlink>
      <w:hyperlink r:id="rId555">
        <w:r>
          <w:rPr>
            <w:b/>
            <w:color w:val="000000"/>
            <w:sz w:val="18"/>
            <w:szCs w:val="18"/>
          </w:rPr>
          <w:t>11</w:t>
        </w:r>
      </w:hyperlink>
      <w:hyperlink r:id="rId556">
        <w:r>
          <w:rPr>
            <w:color w:val="000000"/>
            <w:sz w:val="18"/>
            <w:szCs w:val="18"/>
          </w:rPr>
          <w:t>, 2990 (2020).</w:t>
        </w:r>
      </w:hyperlink>
    </w:p>
    <w:p w14:paraId="3FD5D36C"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81.</w:t>
      </w:r>
      <w:r>
        <w:rPr>
          <w:color w:val="000000"/>
          <w:sz w:val="18"/>
          <w:szCs w:val="18"/>
        </w:rPr>
        <w:tab/>
      </w:r>
      <w:hyperlink r:id="rId557">
        <w:r>
          <w:rPr>
            <w:color w:val="000000"/>
            <w:sz w:val="18"/>
            <w:szCs w:val="18"/>
          </w:rPr>
          <w:t xml:space="preserve">Walker, S. </w:t>
        </w:r>
      </w:hyperlink>
      <w:hyperlink r:id="rId558">
        <w:r>
          <w:rPr>
            <w:i/>
            <w:color w:val="000000"/>
            <w:sz w:val="18"/>
            <w:szCs w:val="18"/>
          </w:rPr>
          <w:t>et al.</w:t>
        </w:r>
      </w:hyperlink>
      <w:hyperlink r:id="rId559">
        <w:r>
          <w:rPr>
            <w:color w:val="000000"/>
            <w:sz w:val="18"/>
            <w:szCs w:val="18"/>
          </w:rPr>
          <w:t xml:space="preserve"> Genome sequencing for detection of pathogenic deep intronic variation: A clinical case report illustrating opportunities and challenges. </w:t>
        </w:r>
      </w:hyperlink>
      <w:hyperlink r:id="rId560">
        <w:r>
          <w:rPr>
            <w:i/>
            <w:color w:val="000000"/>
            <w:sz w:val="18"/>
            <w:szCs w:val="18"/>
          </w:rPr>
          <w:t>Am. J. Med. Genet. A</w:t>
        </w:r>
      </w:hyperlink>
      <w:hyperlink r:id="rId561">
        <w:r>
          <w:rPr>
            <w:color w:val="000000"/>
            <w:sz w:val="18"/>
            <w:szCs w:val="18"/>
          </w:rPr>
          <w:t xml:space="preserve"> </w:t>
        </w:r>
      </w:hyperlink>
      <w:hyperlink r:id="rId562">
        <w:r>
          <w:rPr>
            <w:b/>
            <w:color w:val="000000"/>
            <w:sz w:val="18"/>
            <w:szCs w:val="18"/>
          </w:rPr>
          <w:t>185</w:t>
        </w:r>
      </w:hyperlink>
      <w:hyperlink r:id="rId563">
        <w:r>
          <w:rPr>
            <w:color w:val="000000"/>
            <w:sz w:val="18"/>
            <w:szCs w:val="18"/>
          </w:rPr>
          <w:t>, 3129–3135 (2021).</w:t>
        </w:r>
      </w:hyperlink>
    </w:p>
    <w:p w14:paraId="091CA669"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82.</w:t>
      </w:r>
      <w:r>
        <w:rPr>
          <w:color w:val="000000"/>
          <w:sz w:val="18"/>
          <w:szCs w:val="18"/>
        </w:rPr>
        <w:tab/>
      </w:r>
      <w:hyperlink r:id="rId564">
        <w:r>
          <w:rPr>
            <w:color w:val="000000"/>
            <w:sz w:val="18"/>
            <w:szCs w:val="18"/>
          </w:rPr>
          <w:t xml:space="preserve">Chen, Y. </w:t>
        </w:r>
      </w:hyperlink>
      <w:hyperlink r:id="rId565">
        <w:r>
          <w:rPr>
            <w:i/>
            <w:color w:val="000000"/>
            <w:sz w:val="18"/>
            <w:szCs w:val="18"/>
          </w:rPr>
          <w:t>et al.</w:t>
        </w:r>
      </w:hyperlink>
      <w:hyperlink r:id="rId566">
        <w:r>
          <w:rPr>
            <w:color w:val="000000"/>
            <w:sz w:val="18"/>
            <w:szCs w:val="18"/>
          </w:rPr>
          <w:t xml:space="preserve"> De novo variants in the RNU4-2 snRNA cause a frequent neurodevelopmental syndrome. </w:t>
        </w:r>
      </w:hyperlink>
      <w:hyperlink r:id="rId567">
        <w:r>
          <w:rPr>
            <w:i/>
            <w:color w:val="000000"/>
            <w:sz w:val="18"/>
            <w:szCs w:val="18"/>
          </w:rPr>
          <w:t>Nature</w:t>
        </w:r>
      </w:hyperlink>
      <w:hyperlink r:id="rId568">
        <w:r>
          <w:rPr>
            <w:color w:val="000000"/>
            <w:sz w:val="18"/>
            <w:szCs w:val="18"/>
          </w:rPr>
          <w:t xml:space="preserve"> </w:t>
        </w:r>
      </w:hyperlink>
      <w:hyperlink r:id="rId569">
        <w:r>
          <w:rPr>
            <w:b/>
            <w:color w:val="000000"/>
            <w:sz w:val="18"/>
            <w:szCs w:val="18"/>
          </w:rPr>
          <w:t>632</w:t>
        </w:r>
      </w:hyperlink>
      <w:hyperlink r:id="rId570">
        <w:r>
          <w:rPr>
            <w:color w:val="000000"/>
            <w:sz w:val="18"/>
            <w:szCs w:val="18"/>
          </w:rPr>
          <w:t>, 832–840 (2024).</w:t>
        </w:r>
      </w:hyperlink>
    </w:p>
    <w:p w14:paraId="2B28CB42"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83.</w:t>
      </w:r>
      <w:r>
        <w:rPr>
          <w:color w:val="000000"/>
          <w:sz w:val="18"/>
          <w:szCs w:val="18"/>
        </w:rPr>
        <w:tab/>
      </w:r>
      <w:hyperlink r:id="rId571">
        <w:r>
          <w:rPr>
            <w:color w:val="000000"/>
            <w:sz w:val="18"/>
            <w:szCs w:val="18"/>
          </w:rPr>
          <w:t xml:space="preserve">Lord, J. </w:t>
        </w:r>
      </w:hyperlink>
      <w:hyperlink r:id="rId572">
        <w:r>
          <w:rPr>
            <w:i/>
            <w:color w:val="000000"/>
            <w:sz w:val="18"/>
            <w:szCs w:val="18"/>
          </w:rPr>
          <w:t>et al.</w:t>
        </w:r>
      </w:hyperlink>
      <w:hyperlink r:id="rId573">
        <w:r>
          <w:rPr>
            <w:color w:val="000000"/>
            <w:sz w:val="18"/>
            <w:szCs w:val="18"/>
          </w:rPr>
          <w:t xml:space="preserve"> Non-coding variants are a rare cause of recessive developmental disorders in trans with coding variants. </w:t>
        </w:r>
      </w:hyperlink>
      <w:hyperlink r:id="rId574">
        <w:r>
          <w:rPr>
            <w:i/>
            <w:color w:val="000000"/>
            <w:sz w:val="18"/>
            <w:szCs w:val="18"/>
          </w:rPr>
          <w:t>medRxiv</w:t>
        </w:r>
      </w:hyperlink>
      <w:hyperlink r:id="rId575">
        <w:r>
          <w:rPr>
            <w:color w:val="000000"/>
            <w:sz w:val="18"/>
            <w:szCs w:val="18"/>
          </w:rPr>
          <w:t xml:space="preserve"> 2023.06.23.23291805 (2023) doi:</w:t>
        </w:r>
      </w:hyperlink>
      <w:hyperlink r:id="rId576">
        <w:r>
          <w:rPr>
            <w:color w:val="000000"/>
            <w:sz w:val="18"/>
            <w:szCs w:val="18"/>
          </w:rPr>
          <w:t>10.1101/2023.06.23.23291805</w:t>
        </w:r>
      </w:hyperlink>
      <w:hyperlink r:id="rId577">
        <w:r>
          <w:rPr>
            <w:color w:val="000000"/>
            <w:sz w:val="18"/>
            <w:szCs w:val="18"/>
          </w:rPr>
          <w:t>.</w:t>
        </w:r>
      </w:hyperlink>
    </w:p>
    <w:p w14:paraId="570A76E5"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84.</w:t>
      </w:r>
      <w:r>
        <w:rPr>
          <w:color w:val="000000"/>
          <w:sz w:val="18"/>
          <w:szCs w:val="18"/>
        </w:rPr>
        <w:tab/>
      </w:r>
      <w:hyperlink r:id="rId578">
        <w:r>
          <w:rPr>
            <w:color w:val="000000"/>
            <w:sz w:val="18"/>
            <w:szCs w:val="18"/>
          </w:rPr>
          <w:t xml:space="preserve">Fokkema, I. F. A. </w:t>
        </w:r>
      </w:hyperlink>
      <w:hyperlink r:id="rId579">
        <w:r>
          <w:rPr>
            <w:i/>
            <w:color w:val="000000"/>
            <w:sz w:val="18"/>
            <w:szCs w:val="18"/>
          </w:rPr>
          <w:t>et al.</w:t>
        </w:r>
      </w:hyperlink>
      <w:hyperlink r:id="rId580">
        <w:r>
          <w:rPr>
            <w:color w:val="000000"/>
            <w:sz w:val="18"/>
            <w:szCs w:val="18"/>
          </w:rPr>
          <w:t xml:space="preserve"> LOVD v.2.0: the next generation in gene variant databases. </w:t>
        </w:r>
      </w:hyperlink>
      <w:hyperlink r:id="rId581">
        <w:r>
          <w:rPr>
            <w:i/>
            <w:color w:val="000000"/>
            <w:sz w:val="18"/>
            <w:szCs w:val="18"/>
          </w:rPr>
          <w:t>Hum. Mutat.</w:t>
        </w:r>
      </w:hyperlink>
      <w:hyperlink r:id="rId582">
        <w:r>
          <w:rPr>
            <w:color w:val="000000"/>
            <w:sz w:val="18"/>
            <w:szCs w:val="18"/>
          </w:rPr>
          <w:t xml:space="preserve"> </w:t>
        </w:r>
      </w:hyperlink>
      <w:hyperlink r:id="rId583">
        <w:r>
          <w:rPr>
            <w:b/>
            <w:color w:val="000000"/>
            <w:sz w:val="18"/>
            <w:szCs w:val="18"/>
          </w:rPr>
          <w:t>32</w:t>
        </w:r>
      </w:hyperlink>
      <w:hyperlink r:id="rId584">
        <w:r>
          <w:rPr>
            <w:color w:val="000000"/>
            <w:sz w:val="18"/>
            <w:szCs w:val="18"/>
          </w:rPr>
          <w:t>, 557–563 (2011).</w:t>
        </w:r>
      </w:hyperlink>
    </w:p>
    <w:p w14:paraId="478019D0"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85.</w:t>
      </w:r>
      <w:r>
        <w:rPr>
          <w:color w:val="000000"/>
          <w:sz w:val="18"/>
          <w:szCs w:val="18"/>
        </w:rPr>
        <w:tab/>
      </w:r>
      <w:hyperlink r:id="rId585">
        <w:r>
          <w:rPr>
            <w:color w:val="000000"/>
            <w:sz w:val="18"/>
            <w:szCs w:val="18"/>
          </w:rPr>
          <w:t xml:space="preserve">Geary, A. </w:t>
        </w:r>
      </w:hyperlink>
      <w:hyperlink r:id="rId586">
        <w:r>
          <w:rPr>
            <w:i/>
            <w:color w:val="000000"/>
            <w:sz w:val="18"/>
            <w:szCs w:val="18"/>
          </w:rPr>
          <w:t>Computational-Rare-Disease-Genomics-WHG/near_coding_annotation: NCGD_publication_release</w:t>
        </w:r>
      </w:hyperlink>
      <w:hyperlink r:id="rId587">
        <w:r>
          <w:rPr>
            <w:color w:val="000000"/>
            <w:sz w:val="18"/>
            <w:szCs w:val="18"/>
          </w:rPr>
          <w:t>. (Zenodo, 2025). doi:</w:t>
        </w:r>
      </w:hyperlink>
      <w:hyperlink r:id="rId588">
        <w:r>
          <w:rPr>
            <w:color w:val="000000"/>
            <w:sz w:val="18"/>
            <w:szCs w:val="18"/>
          </w:rPr>
          <w:t>10.5281/ZENODO.15100666</w:t>
        </w:r>
      </w:hyperlink>
      <w:hyperlink r:id="rId589">
        <w:r>
          <w:rPr>
            <w:color w:val="000000"/>
            <w:sz w:val="18"/>
            <w:szCs w:val="18"/>
          </w:rPr>
          <w:t>.</w:t>
        </w:r>
      </w:hyperlink>
    </w:p>
    <w:p w14:paraId="186B2C9D"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86.</w:t>
      </w:r>
      <w:r>
        <w:rPr>
          <w:color w:val="000000"/>
          <w:sz w:val="18"/>
          <w:szCs w:val="18"/>
        </w:rPr>
        <w:tab/>
      </w:r>
      <w:hyperlink r:id="rId590">
        <w:r>
          <w:rPr>
            <w:color w:val="000000"/>
            <w:sz w:val="18"/>
            <w:szCs w:val="18"/>
          </w:rPr>
          <w:t xml:space="preserve">Perez, G. </w:t>
        </w:r>
      </w:hyperlink>
      <w:hyperlink r:id="rId591">
        <w:r>
          <w:rPr>
            <w:i/>
            <w:color w:val="000000"/>
            <w:sz w:val="18"/>
            <w:szCs w:val="18"/>
          </w:rPr>
          <w:t>et al.</w:t>
        </w:r>
      </w:hyperlink>
      <w:hyperlink r:id="rId592">
        <w:r>
          <w:rPr>
            <w:color w:val="000000"/>
            <w:sz w:val="18"/>
            <w:szCs w:val="18"/>
          </w:rPr>
          <w:t xml:space="preserve"> The UCSC Genome Browser database: 2025 update. </w:t>
        </w:r>
      </w:hyperlink>
      <w:hyperlink r:id="rId593">
        <w:r>
          <w:rPr>
            <w:i/>
            <w:color w:val="000000"/>
            <w:sz w:val="18"/>
            <w:szCs w:val="18"/>
          </w:rPr>
          <w:t>Nucleic Acids Res</w:t>
        </w:r>
      </w:hyperlink>
      <w:hyperlink r:id="rId594">
        <w:r>
          <w:rPr>
            <w:color w:val="000000"/>
            <w:sz w:val="18"/>
            <w:szCs w:val="18"/>
          </w:rPr>
          <w:t xml:space="preserve"> </w:t>
        </w:r>
      </w:hyperlink>
      <w:hyperlink r:id="rId595">
        <w:r>
          <w:rPr>
            <w:b/>
            <w:color w:val="000000"/>
            <w:sz w:val="18"/>
            <w:szCs w:val="18"/>
          </w:rPr>
          <w:t>53</w:t>
        </w:r>
      </w:hyperlink>
      <w:hyperlink r:id="rId596">
        <w:r>
          <w:rPr>
            <w:color w:val="000000"/>
            <w:sz w:val="18"/>
            <w:szCs w:val="18"/>
          </w:rPr>
          <w:t>, D1243–D1249 (2025).</w:t>
        </w:r>
      </w:hyperlink>
    </w:p>
    <w:p w14:paraId="629B33A9" w14:textId="77777777" w:rsidR="00D561E8" w:rsidRDefault="00000000">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87.</w:t>
      </w:r>
      <w:r>
        <w:rPr>
          <w:color w:val="000000"/>
          <w:sz w:val="18"/>
          <w:szCs w:val="18"/>
        </w:rPr>
        <w:tab/>
      </w:r>
      <w:hyperlink r:id="rId597">
        <w:r>
          <w:rPr>
            <w:color w:val="000000"/>
            <w:sz w:val="18"/>
            <w:szCs w:val="18"/>
          </w:rPr>
          <w:t xml:space="preserve">Perez, G. et al. Perez, G. et al. The UCSC Genome Browser Public Sessions. </w:t>
        </w:r>
      </w:hyperlink>
      <w:hyperlink r:id="rId598">
        <w:r>
          <w:rPr>
            <w:i/>
            <w:color w:val="000000"/>
            <w:sz w:val="18"/>
            <w:szCs w:val="18"/>
          </w:rPr>
          <w:t>UCSC Genome Browser</w:t>
        </w:r>
      </w:hyperlink>
      <w:hyperlink r:id="rId599">
        <w:r>
          <w:rPr>
            <w:color w:val="000000"/>
            <w:sz w:val="18"/>
            <w:szCs w:val="18"/>
          </w:rPr>
          <w:t xml:space="preserve"> </w:t>
        </w:r>
      </w:hyperlink>
      <w:hyperlink r:id="rId600">
        <w:r>
          <w:rPr>
            <w:color w:val="000000"/>
            <w:sz w:val="18"/>
            <w:szCs w:val="18"/>
          </w:rPr>
          <w:t>https://genome.ucsc.edu/cgi-bin/hgPublicSessions</w:t>
        </w:r>
      </w:hyperlink>
      <w:hyperlink r:id="rId601">
        <w:r>
          <w:rPr>
            <w:color w:val="000000"/>
            <w:sz w:val="18"/>
            <w:szCs w:val="18"/>
          </w:rPr>
          <w:t xml:space="preserve"> (2025).</w:t>
        </w:r>
      </w:hyperlink>
    </w:p>
    <w:p w14:paraId="7719D62C" w14:textId="77777777" w:rsidR="00D561E8" w:rsidRDefault="00000000">
      <w:pPr>
        <w:widowControl w:val="0"/>
        <w:pBdr>
          <w:top w:val="nil"/>
          <w:left w:val="nil"/>
          <w:bottom w:val="nil"/>
          <w:right w:val="nil"/>
          <w:between w:val="nil"/>
        </w:pBdr>
        <w:spacing w:after="180" w:line="480" w:lineRule="auto"/>
        <w:ind w:left="360" w:hanging="360"/>
        <w:rPr>
          <w:color w:val="000000"/>
          <w:sz w:val="18"/>
          <w:szCs w:val="18"/>
        </w:rPr>
      </w:pPr>
      <w:r>
        <w:rPr>
          <w:color w:val="000000"/>
          <w:sz w:val="18"/>
          <w:szCs w:val="18"/>
        </w:rPr>
        <w:t>88.</w:t>
      </w:r>
      <w:r>
        <w:rPr>
          <w:color w:val="000000"/>
          <w:sz w:val="18"/>
          <w:szCs w:val="18"/>
        </w:rPr>
        <w:tab/>
      </w:r>
      <w:hyperlink r:id="rId602">
        <w:r>
          <w:rPr>
            <w:color w:val="000000"/>
            <w:sz w:val="18"/>
            <w:szCs w:val="18"/>
          </w:rPr>
          <w:t xml:space="preserve">England, G. The Genomics England Research Environment. </w:t>
        </w:r>
      </w:hyperlink>
      <w:hyperlink r:id="rId603">
        <w:r>
          <w:rPr>
            <w:i/>
            <w:color w:val="000000"/>
            <w:sz w:val="18"/>
            <w:szCs w:val="18"/>
          </w:rPr>
          <w:t>Genomics England</w:t>
        </w:r>
      </w:hyperlink>
      <w:hyperlink r:id="rId604">
        <w:r>
          <w:rPr>
            <w:color w:val="000000"/>
            <w:sz w:val="18"/>
            <w:szCs w:val="18"/>
          </w:rPr>
          <w:t xml:space="preserve"> Genomics England (2021).</w:t>
        </w:r>
      </w:hyperlink>
    </w:p>
    <w:p w14:paraId="353A58E3" w14:textId="77777777" w:rsidR="00D561E8" w:rsidRDefault="00D561E8">
      <w:pPr>
        <w:spacing w:line="480" w:lineRule="auto"/>
        <w:rPr>
          <w:i/>
          <w:sz w:val="18"/>
          <w:szCs w:val="18"/>
        </w:rPr>
      </w:pPr>
    </w:p>
    <w:p w14:paraId="1A70BC88" w14:textId="77777777" w:rsidR="00D561E8" w:rsidRDefault="00000000">
      <w:pPr>
        <w:pStyle w:val="Heading2"/>
        <w:keepNext w:val="0"/>
        <w:keepLines w:val="0"/>
        <w:spacing w:before="0" w:after="180" w:line="335" w:lineRule="auto"/>
        <w:rPr>
          <w:b/>
          <w:color w:val="1B3051"/>
          <w:sz w:val="28"/>
          <w:szCs w:val="28"/>
        </w:rPr>
      </w:pPr>
      <w:bookmarkStart w:id="0" w:name="_ewl4do4v7rdv" w:colFirst="0" w:colLast="0"/>
      <w:bookmarkEnd w:id="0"/>
      <w:r>
        <w:rPr>
          <w:b/>
          <w:color w:val="1B3051"/>
          <w:sz w:val="28"/>
          <w:szCs w:val="28"/>
        </w:rPr>
        <w:lastRenderedPageBreak/>
        <w:t>Additional files</w:t>
      </w:r>
    </w:p>
    <w:p w14:paraId="71FD6C7E" w14:textId="77777777" w:rsidR="00D561E8" w:rsidRDefault="00D561E8">
      <w:pPr>
        <w:spacing w:line="480" w:lineRule="auto"/>
        <w:rPr>
          <w:i/>
          <w:sz w:val="20"/>
          <w:szCs w:val="20"/>
          <w:highlight w:val="yellow"/>
        </w:rPr>
        <w:sectPr w:rsidR="00D561E8">
          <w:footerReference w:type="default" r:id="rId605"/>
          <w:footerReference w:type="first" r:id="rId606"/>
          <w:pgSz w:w="11909" w:h="16834"/>
          <w:pgMar w:top="1440" w:right="1440" w:bottom="1440" w:left="1440" w:header="720" w:footer="720" w:gutter="0"/>
          <w:pgNumType w:start="1"/>
          <w:cols w:space="720"/>
          <w:titlePg/>
        </w:sectPr>
      </w:pPr>
    </w:p>
    <w:p w14:paraId="22381BBB" w14:textId="77777777" w:rsidR="00D561E8" w:rsidRDefault="00000000">
      <w:pPr>
        <w:spacing w:line="480" w:lineRule="auto"/>
        <w:rPr>
          <w:sz w:val="20"/>
          <w:szCs w:val="20"/>
        </w:rPr>
      </w:pPr>
      <w:r>
        <w:rPr>
          <w:b/>
          <w:sz w:val="20"/>
          <w:szCs w:val="20"/>
        </w:rPr>
        <w:lastRenderedPageBreak/>
        <w:t xml:space="preserve">Additional file 1:Table S1: Details of prioritised </w:t>
      </w:r>
      <w:r>
        <w:rPr>
          <w:b/>
          <w:i/>
          <w:sz w:val="20"/>
          <w:szCs w:val="20"/>
        </w:rPr>
        <w:t>de novo</w:t>
      </w:r>
      <w:r>
        <w:rPr>
          <w:b/>
          <w:sz w:val="20"/>
          <w:szCs w:val="20"/>
        </w:rPr>
        <w:t xml:space="preserve"> variants.</w:t>
      </w:r>
      <w:r>
        <w:rPr>
          <w:sz w:val="20"/>
          <w:szCs w:val="20"/>
        </w:rPr>
        <w:t xml:space="preserve"> Including the variant annotation which led to it being prioritised, the HPO terms associated with the patient, and whether or not this represents a likely diagnosis. Due to GEL policies, all HPO terms have been re-coded to parent terms with at least one level of abstraction (in some cases up to two) in order to protect the anonymity of participants. Inheritance: autosomal dominant (AD), autosomal recessive (AR), not specified (NS).</w:t>
      </w:r>
    </w:p>
    <w:p w14:paraId="5D8C9572" w14:textId="77777777" w:rsidR="00D561E8" w:rsidRDefault="00D561E8">
      <w:pPr>
        <w:spacing w:line="480" w:lineRule="auto"/>
        <w:rPr>
          <w:sz w:val="20"/>
          <w:szCs w:val="20"/>
        </w:rPr>
      </w:pPr>
    </w:p>
    <w:tbl>
      <w:tblPr>
        <w:tblStyle w:val="a0"/>
        <w:tblW w:w="1483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305"/>
        <w:gridCol w:w="1620"/>
        <w:gridCol w:w="1245"/>
        <w:gridCol w:w="1320"/>
        <w:gridCol w:w="3600"/>
        <w:gridCol w:w="3375"/>
        <w:gridCol w:w="1200"/>
      </w:tblGrid>
      <w:tr w:rsidR="00D561E8" w14:paraId="337802F9" w14:textId="77777777">
        <w:tc>
          <w:tcPr>
            <w:tcW w:w="1170" w:type="dxa"/>
            <w:shd w:val="clear" w:color="auto" w:fill="auto"/>
            <w:tcMar>
              <w:top w:w="100" w:type="dxa"/>
              <w:left w:w="100" w:type="dxa"/>
              <w:bottom w:w="100" w:type="dxa"/>
              <w:right w:w="100" w:type="dxa"/>
            </w:tcMar>
          </w:tcPr>
          <w:p w14:paraId="754E1F50" w14:textId="77777777" w:rsidR="00D561E8" w:rsidRDefault="00000000">
            <w:pPr>
              <w:widowControl w:val="0"/>
              <w:spacing w:line="480" w:lineRule="auto"/>
              <w:rPr>
                <w:b/>
                <w:sz w:val="20"/>
                <w:szCs w:val="20"/>
              </w:rPr>
            </w:pPr>
            <w:r>
              <w:rPr>
                <w:b/>
                <w:sz w:val="20"/>
                <w:szCs w:val="20"/>
              </w:rPr>
              <w:t>Variant (GRCh38)</w:t>
            </w:r>
          </w:p>
        </w:tc>
        <w:tc>
          <w:tcPr>
            <w:tcW w:w="1305" w:type="dxa"/>
            <w:shd w:val="clear" w:color="auto" w:fill="auto"/>
            <w:tcMar>
              <w:top w:w="100" w:type="dxa"/>
              <w:left w:w="100" w:type="dxa"/>
              <w:bottom w:w="100" w:type="dxa"/>
              <w:right w:w="100" w:type="dxa"/>
            </w:tcMar>
          </w:tcPr>
          <w:p w14:paraId="5114254A" w14:textId="77777777" w:rsidR="00D561E8" w:rsidRDefault="00000000">
            <w:pPr>
              <w:widowControl w:val="0"/>
              <w:spacing w:line="480" w:lineRule="auto"/>
              <w:rPr>
                <w:b/>
                <w:sz w:val="20"/>
                <w:szCs w:val="20"/>
              </w:rPr>
            </w:pPr>
            <w:r>
              <w:rPr>
                <w:b/>
                <w:sz w:val="20"/>
                <w:szCs w:val="20"/>
              </w:rPr>
              <w:t>Gene (transcript)</w:t>
            </w:r>
          </w:p>
        </w:tc>
        <w:tc>
          <w:tcPr>
            <w:tcW w:w="1620" w:type="dxa"/>
            <w:shd w:val="clear" w:color="auto" w:fill="auto"/>
            <w:tcMar>
              <w:top w:w="100" w:type="dxa"/>
              <w:left w:w="100" w:type="dxa"/>
              <w:bottom w:w="100" w:type="dxa"/>
              <w:right w:w="100" w:type="dxa"/>
            </w:tcMar>
          </w:tcPr>
          <w:p w14:paraId="0CE77103" w14:textId="77777777" w:rsidR="00D561E8" w:rsidRDefault="00000000">
            <w:pPr>
              <w:widowControl w:val="0"/>
              <w:spacing w:line="480" w:lineRule="auto"/>
              <w:rPr>
                <w:b/>
                <w:sz w:val="20"/>
                <w:szCs w:val="20"/>
              </w:rPr>
            </w:pPr>
            <w:r>
              <w:rPr>
                <w:b/>
                <w:sz w:val="20"/>
                <w:szCs w:val="20"/>
              </w:rPr>
              <w:t>Known disease(s) linked to gene</w:t>
            </w:r>
          </w:p>
        </w:tc>
        <w:tc>
          <w:tcPr>
            <w:tcW w:w="1245" w:type="dxa"/>
            <w:shd w:val="clear" w:color="auto" w:fill="auto"/>
            <w:tcMar>
              <w:top w:w="100" w:type="dxa"/>
              <w:left w:w="100" w:type="dxa"/>
              <w:bottom w:w="100" w:type="dxa"/>
              <w:right w:w="100" w:type="dxa"/>
            </w:tcMar>
          </w:tcPr>
          <w:p w14:paraId="25E72D80" w14:textId="77777777" w:rsidR="00D561E8" w:rsidRDefault="00000000">
            <w:pPr>
              <w:widowControl w:val="0"/>
              <w:spacing w:line="480" w:lineRule="auto"/>
              <w:rPr>
                <w:b/>
                <w:sz w:val="20"/>
                <w:szCs w:val="20"/>
              </w:rPr>
            </w:pPr>
            <w:r>
              <w:rPr>
                <w:b/>
                <w:sz w:val="20"/>
                <w:szCs w:val="20"/>
              </w:rPr>
              <w:t>Region annotation</w:t>
            </w:r>
          </w:p>
        </w:tc>
        <w:tc>
          <w:tcPr>
            <w:tcW w:w="1320" w:type="dxa"/>
            <w:shd w:val="clear" w:color="auto" w:fill="auto"/>
            <w:tcMar>
              <w:top w:w="100" w:type="dxa"/>
              <w:left w:w="100" w:type="dxa"/>
              <w:bottom w:w="100" w:type="dxa"/>
              <w:right w:w="100" w:type="dxa"/>
            </w:tcMar>
          </w:tcPr>
          <w:p w14:paraId="30C93DD3" w14:textId="77777777" w:rsidR="00D561E8" w:rsidRDefault="00000000">
            <w:pPr>
              <w:widowControl w:val="0"/>
              <w:spacing w:line="480" w:lineRule="auto"/>
              <w:rPr>
                <w:b/>
                <w:sz w:val="20"/>
                <w:szCs w:val="20"/>
              </w:rPr>
            </w:pPr>
            <w:r>
              <w:rPr>
                <w:b/>
                <w:sz w:val="20"/>
                <w:szCs w:val="20"/>
              </w:rPr>
              <w:t>Variant annotation details</w:t>
            </w:r>
          </w:p>
        </w:tc>
        <w:tc>
          <w:tcPr>
            <w:tcW w:w="3600" w:type="dxa"/>
            <w:shd w:val="clear" w:color="auto" w:fill="auto"/>
            <w:tcMar>
              <w:top w:w="100" w:type="dxa"/>
              <w:left w:w="100" w:type="dxa"/>
              <w:bottom w:w="100" w:type="dxa"/>
              <w:right w:w="100" w:type="dxa"/>
            </w:tcMar>
          </w:tcPr>
          <w:p w14:paraId="33559594" w14:textId="77777777" w:rsidR="00D561E8" w:rsidRDefault="00000000">
            <w:pPr>
              <w:widowControl w:val="0"/>
              <w:spacing w:line="480" w:lineRule="auto"/>
              <w:rPr>
                <w:b/>
                <w:sz w:val="20"/>
                <w:szCs w:val="20"/>
              </w:rPr>
            </w:pPr>
            <w:r>
              <w:rPr>
                <w:b/>
                <w:sz w:val="20"/>
                <w:szCs w:val="20"/>
              </w:rPr>
              <w:t>Anonymised HPO terms</w:t>
            </w:r>
          </w:p>
        </w:tc>
        <w:tc>
          <w:tcPr>
            <w:tcW w:w="3375" w:type="dxa"/>
            <w:shd w:val="clear" w:color="auto" w:fill="auto"/>
            <w:tcMar>
              <w:top w:w="100" w:type="dxa"/>
              <w:left w:w="100" w:type="dxa"/>
              <w:bottom w:w="100" w:type="dxa"/>
              <w:right w:w="100" w:type="dxa"/>
            </w:tcMar>
          </w:tcPr>
          <w:p w14:paraId="75582501" w14:textId="77777777" w:rsidR="00D561E8" w:rsidRDefault="00000000">
            <w:pPr>
              <w:widowControl w:val="0"/>
              <w:spacing w:line="480" w:lineRule="auto"/>
              <w:rPr>
                <w:b/>
                <w:sz w:val="20"/>
                <w:szCs w:val="20"/>
              </w:rPr>
            </w:pPr>
            <w:r>
              <w:rPr>
                <w:b/>
                <w:sz w:val="20"/>
                <w:szCs w:val="20"/>
              </w:rPr>
              <w:t>Additional Clinical Presentation</w:t>
            </w:r>
          </w:p>
        </w:tc>
        <w:tc>
          <w:tcPr>
            <w:tcW w:w="1200" w:type="dxa"/>
            <w:shd w:val="clear" w:color="auto" w:fill="auto"/>
            <w:tcMar>
              <w:top w:w="100" w:type="dxa"/>
              <w:left w:w="100" w:type="dxa"/>
              <w:bottom w:w="100" w:type="dxa"/>
              <w:right w:w="100" w:type="dxa"/>
            </w:tcMar>
          </w:tcPr>
          <w:p w14:paraId="51909A30" w14:textId="77777777" w:rsidR="00D561E8" w:rsidRDefault="00000000">
            <w:pPr>
              <w:widowControl w:val="0"/>
              <w:spacing w:line="480" w:lineRule="auto"/>
              <w:rPr>
                <w:b/>
                <w:sz w:val="20"/>
                <w:szCs w:val="20"/>
              </w:rPr>
            </w:pPr>
            <w:r>
              <w:rPr>
                <w:b/>
                <w:sz w:val="20"/>
                <w:szCs w:val="20"/>
              </w:rPr>
              <w:t>Possible diagnosis</w:t>
            </w:r>
          </w:p>
        </w:tc>
      </w:tr>
      <w:tr w:rsidR="00D561E8" w14:paraId="4E1A7DC3" w14:textId="77777777">
        <w:tc>
          <w:tcPr>
            <w:tcW w:w="1170" w:type="dxa"/>
            <w:shd w:val="clear" w:color="auto" w:fill="auto"/>
            <w:tcMar>
              <w:top w:w="100" w:type="dxa"/>
              <w:left w:w="100" w:type="dxa"/>
              <w:bottom w:w="100" w:type="dxa"/>
              <w:right w:w="100" w:type="dxa"/>
            </w:tcMar>
          </w:tcPr>
          <w:p w14:paraId="1E16D4A3" w14:textId="77777777" w:rsidR="00D561E8" w:rsidRDefault="00000000">
            <w:pPr>
              <w:widowControl w:val="0"/>
              <w:spacing w:line="480" w:lineRule="auto"/>
              <w:rPr>
                <w:sz w:val="20"/>
                <w:szCs w:val="20"/>
              </w:rPr>
            </w:pPr>
            <w:r>
              <w:rPr>
                <w:sz w:val="20"/>
                <w:szCs w:val="20"/>
              </w:rPr>
              <w:t>Chr1:244051270 C&gt;T</w:t>
            </w:r>
          </w:p>
        </w:tc>
        <w:tc>
          <w:tcPr>
            <w:tcW w:w="1305" w:type="dxa"/>
            <w:shd w:val="clear" w:color="auto" w:fill="auto"/>
            <w:tcMar>
              <w:top w:w="100" w:type="dxa"/>
              <w:left w:w="100" w:type="dxa"/>
              <w:bottom w:w="100" w:type="dxa"/>
              <w:right w:w="100" w:type="dxa"/>
            </w:tcMar>
          </w:tcPr>
          <w:p w14:paraId="6CE8444F" w14:textId="77777777" w:rsidR="00D561E8" w:rsidRDefault="00000000">
            <w:pPr>
              <w:widowControl w:val="0"/>
              <w:spacing w:line="480" w:lineRule="auto"/>
              <w:rPr>
                <w:i/>
                <w:sz w:val="20"/>
                <w:szCs w:val="20"/>
              </w:rPr>
            </w:pPr>
            <w:r>
              <w:rPr>
                <w:i/>
                <w:sz w:val="20"/>
                <w:szCs w:val="20"/>
              </w:rPr>
              <w:t>ZBTB18</w:t>
            </w:r>
          </w:p>
          <w:p w14:paraId="25917566" w14:textId="77777777" w:rsidR="00D561E8" w:rsidRDefault="00000000">
            <w:pPr>
              <w:widowControl w:val="0"/>
              <w:spacing w:line="480" w:lineRule="auto"/>
              <w:rPr>
                <w:sz w:val="20"/>
                <w:szCs w:val="20"/>
              </w:rPr>
            </w:pPr>
            <w:r>
              <w:rPr>
                <w:sz w:val="20"/>
                <w:szCs w:val="20"/>
              </w:rPr>
              <w:t>(ENST00000358704)</w:t>
            </w:r>
          </w:p>
        </w:tc>
        <w:tc>
          <w:tcPr>
            <w:tcW w:w="1620" w:type="dxa"/>
            <w:shd w:val="clear" w:color="auto" w:fill="auto"/>
            <w:tcMar>
              <w:top w:w="100" w:type="dxa"/>
              <w:left w:w="100" w:type="dxa"/>
              <w:bottom w:w="100" w:type="dxa"/>
              <w:right w:w="100" w:type="dxa"/>
            </w:tcMar>
          </w:tcPr>
          <w:p w14:paraId="585196B5" w14:textId="77777777" w:rsidR="00D561E8" w:rsidRDefault="00000000">
            <w:pPr>
              <w:widowControl w:val="0"/>
              <w:spacing w:line="480" w:lineRule="auto"/>
              <w:rPr>
                <w:sz w:val="20"/>
                <w:szCs w:val="20"/>
              </w:rPr>
            </w:pPr>
            <w:r>
              <w:rPr>
                <w:sz w:val="20"/>
                <w:szCs w:val="20"/>
              </w:rPr>
              <w:t>Intellectual Developmental Disorder, (AD; OMIM:612337)</w:t>
            </w:r>
          </w:p>
        </w:tc>
        <w:tc>
          <w:tcPr>
            <w:tcW w:w="1245" w:type="dxa"/>
            <w:shd w:val="clear" w:color="auto" w:fill="auto"/>
            <w:tcMar>
              <w:top w:w="100" w:type="dxa"/>
              <w:left w:w="100" w:type="dxa"/>
              <w:bottom w:w="100" w:type="dxa"/>
              <w:right w:w="100" w:type="dxa"/>
            </w:tcMar>
          </w:tcPr>
          <w:p w14:paraId="4D0F70A0" w14:textId="77777777" w:rsidR="00D561E8" w:rsidRDefault="00000000">
            <w:pPr>
              <w:widowControl w:val="0"/>
              <w:spacing w:line="480" w:lineRule="auto"/>
              <w:rPr>
                <w:sz w:val="20"/>
                <w:szCs w:val="20"/>
              </w:rPr>
            </w:pPr>
            <w:r>
              <w:rPr>
                <w:sz w:val="20"/>
                <w:szCs w:val="20"/>
              </w:rPr>
              <w:t>Promoter</w:t>
            </w:r>
          </w:p>
        </w:tc>
        <w:tc>
          <w:tcPr>
            <w:tcW w:w="1320" w:type="dxa"/>
            <w:shd w:val="clear" w:color="auto" w:fill="auto"/>
            <w:tcMar>
              <w:top w:w="100" w:type="dxa"/>
              <w:left w:w="100" w:type="dxa"/>
              <w:bottom w:w="100" w:type="dxa"/>
              <w:right w:w="100" w:type="dxa"/>
            </w:tcMar>
          </w:tcPr>
          <w:p w14:paraId="64607FEA" w14:textId="77777777" w:rsidR="00D561E8" w:rsidRDefault="00000000">
            <w:pPr>
              <w:widowControl w:val="0"/>
              <w:spacing w:line="480" w:lineRule="auto"/>
              <w:rPr>
                <w:sz w:val="20"/>
                <w:szCs w:val="20"/>
              </w:rPr>
            </w:pPr>
            <w:r>
              <w:rPr>
                <w:sz w:val="20"/>
                <w:szCs w:val="20"/>
              </w:rPr>
              <w:t>PhyloP = 7.426</w:t>
            </w:r>
          </w:p>
        </w:tc>
        <w:tc>
          <w:tcPr>
            <w:tcW w:w="3600" w:type="dxa"/>
            <w:shd w:val="clear" w:color="auto" w:fill="auto"/>
            <w:tcMar>
              <w:top w:w="100" w:type="dxa"/>
              <w:left w:w="100" w:type="dxa"/>
              <w:bottom w:w="100" w:type="dxa"/>
              <w:right w:w="100" w:type="dxa"/>
            </w:tcMar>
          </w:tcPr>
          <w:p w14:paraId="65183362" w14:textId="77777777" w:rsidR="00D561E8" w:rsidRDefault="00000000">
            <w:pPr>
              <w:widowControl w:val="0"/>
              <w:spacing w:line="480" w:lineRule="auto"/>
              <w:rPr>
                <w:sz w:val="20"/>
                <w:szCs w:val="20"/>
              </w:rPr>
            </w:pPr>
            <w:r>
              <w:rPr>
                <w:sz w:val="20"/>
                <w:szCs w:val="20"/>
              </w:rPr>
              <w:t>Abnormality of higher mental function HP:0011446</w:t>
            </w:r>
          </w:p>
          <w:p w14:paraId="6C782EB6" w14:textId="77777777" w:rsidR="00D561E8" w:rsidRDefault="00000000">
            <w:pPr>
              <w:widowControl w:val="0"/>
              <w:spacing w:line="480" w:lineRule="auto"/>
              <w:rPr>
                <w:sz w:val="20"/>
                <w:szCs w:val="20"/>
              </w:rPr>
            </w:pPr>
            <w:r>
              <w:rPr>
                <w:sz w:val="20"/>
                <w:szCs w:val="20"/>
              </w:rPr>
              <w:t>Abnormality of speech or vocalisation HP:0002167</w:t>
            </w:r>
          </w:p>
          <w:p w14:paraId="59A4DC79" w14:textId="77777777" w:rsidR="00D561E8" w:rsidRDefault="00000000">
            <w:pPr>
              <w:widowControl w:val="0"/>
              <w:spacing w:line="480" w:lineRule="auto"/>
              <w:rPr>
                <w:sz w:val="20"/>
                <w:szCs w:val="20"/>
              </w:rPr>
            </w:pPr>
            <w:r>
              <w:rPr>
                <w:sz w:val="20"/>
                <w:szCs w:val="20"/>
              </w:rPr>
              <w:t>Motor delay HP:0001270</w:t>
            </w:r>
          </w:p>
        </w:tc>
        <w:tc>
          <w:tcPr>
            <w:tcW w:w="3375" w:type="dxa"/>
            <w:shd w:val="clear" w:color="auto" w:fill="auto"/>
            <w:tcMar>
              <w:top w:w="100" w:type="dxa"/>
              <w:left w:w="100" w:type="dxa"/>
              <w:bottom w:w="100" w:type="dxa"/>
              <w:right w:w="100" w:type="dxa"/>
            </w:tcMar>
          </w:tcPr>
          <w:p w14:paraId="24AAFE94" w14:textId="77777777" w:rsidR="00D561E8" w:rsidRDefault="00000000">
            <w:pPr>
              <w:widowControl w:val="0"/>
              <w:spacing w:line="480" w:lineRule="auto"/>
              <w:rPr>
                <w:color w:val="212121"/>
                <w:sz w:val="20"/>
                <w:szCs w:val="20"/>
              </w:rPr>
            </w:pPr>
            <w:r>
              <w:rPr>
                <w:color w:val="212121"/>
                <w:sz w:val="20"/>
                <w:szCs w:val="20"/>
              </w:rPr>
              <w:t>Intellectual disability (mild to moderate); Autism; ADHD</w:t>
            </w:r>
          </w:p>
          <w:p w14:paraId="4EF52777" w14:textId="77777777" w:rsidR="00D561E8" w:rsidRDefault="00000000">
            <w:pPr>
              <w:widowControl w:val="0"/>
              <w:spacing w:line="480" w:lineRule="auto"/>
              <w:rPr>
                <w:color w:val="212121"/>
                <w:sz w:val="20"/>
                <w:szCs w:val="20"/>
              </w:rPr>
            </w:pPr>
            <w:r>
              <w:rPr>
                <w:color w:val="212121"/>
                <w:sz w:val="20"/>
                <w:szCs w:val="20"/>
              </w:rPr>
              <w:t>Hypermobile</w:t>
            </w:r>
          </w:p>
          <w:p w14:paraId="2DF7E6CF" w14:textId="77777777" w:rsidR="00D561E8" w:rsidRDefault="00000000">
            <w:pPr>
              <w:widowControl w:val="0"/>
              <w:spacing w:line="480" w:lineRule="auto"/>
              <w:rPr>
                <w:color w:val="212121"/>
                <w:sz w:val="20"/>
                <w:szCs w:val="20"/>
              </w:rPr>
            </w:pPr>
            <w:r>
              <w:rPr>
                <w:color w:val="212121"/>
                <w:sz w:val="20"/>
                <w:szCs w:val="20"/>
              </w:rPr>
              <w:t>Poor weight gain, under dietitian as struggles to put on weight.</w:t>
            </w:r>
          </w:p>
          <w:p w14:paraId="1A5E603A" w14:textId="77777777" w:rsidR="00D561E8" w:rsidRDefault="00000000">
            <w:pPr>
              <w:widowControl w:val="0"/>
              <w:spacing w:line="480" w:lineRule="auto"/>
              <w:rPr>
                <w:color w:val="212121"/>
                <w:sz w:val="20"/>
                <w:szCs w:val="20"/>
              </w:rPr>
            </w:pPr>
            <w:r>
              <w:rPr>
                <w:color w:val="212121"/>
                <w:sz w:val="20"/>
                <w:szCs w:val="20"/>
              </w:rPr>
              <w:t>Small size – height/weight/head size all &lt;10</w:t>
            </w:r>
            <w:r>
              <w:rPr>
                <w:color w:val="212121"/>
                <w:sz w:val="20"/>
                <w:szCs w:val="20"/>
                <w:vertAlign w:val="superscript"/>
              </w:rPr>
              <w:t>th</w:t>
            </w:r>
            <w:r>
              <w:rPr>
                <w:color w:val="212121"/>
                <w:sz w:val="20"/>
                <w:szCs w:val="20"/>
              </w:rPr>
              <w:t xml:space="preserve"> centile.</w:t>
            </w:r>
          </w:p>
          <w:p w14:paraId="319E606C" w14:textId="77777777" w:rsidR="00D561E8" w:rsidRDefault="00000000">
            <w:pPr>
              <w:widowControl w:val="0"/>
              <w:spacing w:line="480" w:lineRule="auto"/>
              <w:rPr>
                <w:color w:val="212121"/>
                <w:sz w:val="20"/>
                <w:szCs w:val="20"/>
              </w:rPr>
            </w:pPr>
            <w:r>
              <w:rPr>
                <w:color w:val="212121"/>
                <w:sz w:val="20"/>
                <w:szCs w:val="20"/>
              </w:rPr>
              <w:t>Not strikingly dysmorphic, although has a slightly prominent nasal bridge and sparse eyebrows</w:t>
            </w:r>
          </w:p>
          <w:p w14:paraId="23E5D06D" w14:textId="77777777" w:rsidR="00D561E8" w:rsidRDefault="00000000">
            <w:pPr>
              <w:widowControl w:val="0"/>
              <w:spacing w:line="480" w:lineRule="auto"/>
              <w:rPr>
                <w:color w:val="212121"/>
                <w:sz w:val="20"/>
                <w:szCs w:val="20"/>
              </w:rPr>
            </w:pPr>
            <w:r>
              <w:rPr>
                <w:color w:val="212121"/>
                <w:sz w:val="20"/>
                <w:szCs w:val="20"/>
              </w:rPr>
              <w:lastRenderedPageBreak/>
              <w:t>Speech delay</w:t>
            </w:r>
          </w:p>
        </w:tc>
        <w:tc>
          <w:tcPr>
            <w:tcW w:w="1200" w:type="dxa"/>
            <w:shd w:val="clear" w:color="auto" w:fill="auto"/>
            <w:tcMar>
              <w:top w:w="100" w:type="dxa"/>
              <w:left w:w="100" w:type="dxa"/>
              <w:bottom w:w="100" w:type="dxa"/>
              <w:right w:w="100" w:type="dxa"/>
            </w:tcMar>
          </w:tcPr>
          <w:p w14:paraId="42799A1F" w14:textId="77777777" w:rsidR="00D561E8" w:rsidRDefault="00000000">
            <w:pPr>
              <w:widowControl w:val="0"/>
              <w:spacing w:line="480" w:lineRule="auto"/>
              <w:rPr>
                <w:sz w:val="20"/>
                <w:szCs w:val="20"/>
              </w:rPr>
            </w:pPr>
            <w:r>
              <w:rPr>
                <w:sz w:val="20"/>
                <w:szCs w:val="20"/>
              </w:rPr>
              <w:lastRenderedPageBreak/>
              <w:t>Yes</w:t>
            </w:r>
          </w:p>
        </w:tc>
      </w:tr>
      <w:tr w:rsidR="00D561E8" w14:paraId="6F226A88" w14:textId="77777777">
        <w:tc>
          <w:tcPr>
            <w:tcW w:w="1170" w:type="dxa"/>
            <w:shd w:val="clear" w:color="auto" w:fill="auto"/>
            <w:tcMar>
              <w:top w:w="100" w:type="dxa"/>
              <w:left w:w="100" w:type="dxa"/>
              <w:bottom w:w="100" w:type="dxa"/>
              <w:right w:w="100" w:type="dxa"/>
            </w:tcMar>
          </w:tcPr>
          <w:p w14:paraId="69578E42" w14:textId="77777777" w:rsidR="00D561E8" w:rsidRDefault="00000000">
            <w:pPr>
              <w:widowControl w:val="0"/>
              <w:spacing w:line="480" w:lineRule="auto"/>
              <w:rPr>
                <w:sz w:val="20"/>
                <w:szCs w:val="20"/>
              </w:rPr>
            </w:pPr>
            <w:r>
              <w:rPr>
                <w:sz w:val="20"/>
                <w:szCs w:val="20"/>
              </w:rPr>
              <w:t xml:space="preserve">Chr1:42958758 C&gt;T  </w:t>
            </w:r>
          </w:p>
        </w:tc>
        <w:tc>
          <w:tcPr>
            <w:tcW w:w="1305" w:type="dxa"/>
            <w:shd w:val="clear" w:color="auto" w:fill="auto"/>
            <w:tcMar>
              <w:top w:w="100" w:type="dxa"/>
              <w:left w:w="100" w:type="dxa"/>
              <w:bottom w:w="100" w:type="dxa"/>
              <w:right w:w="100" w:type="dxa"/>
            </w:tcMar>
          </w:tcPr>
          <w:p w14:paraId="5EF973CF" w14:textId="77777777" w:rsidR="00D561E8" w:rsidRDefault="00000000">
            <w:pPr>
              <w:widowControl w:val="0"/>
              <w:spacing w:line="480" w:lineRule="auto"/>
              <w:rPr>
                <w:sz w:val="20"/>
                <w:szCs w:val="20"/>
              </w:rPr>
            </w:pPr>
            <w:r>
              <w:rPr>
                <w:i/>
                <w:sz w:val="20"/>
                <w:szCs w:val="20"/>
              </w:rPr>
              <w:t xml:space="preserve">SLC2A1 </w:t>
            </w:r>
            <w:r>
              <w:rPr>
                <w:sz w:val="20"/>
                <w:szCs w:val="20"/>
              </w:rPr>
              <w:t>(ENST00000426263)</w:t>
            </w:r>
          </w:p>
        </w:tc>
        <w:tc>
          <w:tcPr>
            <w:tcW w:w="1620" w:type="dxa"/>
            <w:shd w:val="clear" w:color="auto" w:fill="auto"/>
            <w:tcMar>
              <w:top w:w="100" w:type="dxa"/>
              <w:left w:w="100" w:type="dxa"/>
              <w:bottom w:w="100" w:type="dxa"/>
              <w:right w:w="100" w:type="dxa"/>
            </w:tcMar>
          </w:tcPr>
          <w:p w14:paraId="22DCB361" w14:textId="77777777" w:rsidR="00D561E8" w:rsidRDefault="00000000">
            <w:pPr>
              <w:widowControl w:val="0"/>
              <w:spacing w:line="480" w:lineRule="auto"/>
              <w:rPr>
                <w:sz w:val="20"/>
                <w:szCs w:val="20"/>
              </w:rPr>
            </w:pPr>
            <w:r>
              <w:rPr>
                <w:sz w:val="20"/>
                <w:szCs w:val="20"/>
              </w:rPr>
              <w:t>Epilepsy, Idiopathic generalized, susceptibility to, 12, (AD; OMIM:614847),</w:t>
            </w:r>
          </w:p>
          <w:p w14:paraId="07DA484A" w14:textId="77777777" w:rsidR="00D561E8" w:rsidRDefault="00000000">
            <w:pPr>
              <w:widowControl w:val="0"/>
              <w:spacing w:line="480" w:lineRule="auto"/>
              <w:rPr>
                <w:sz w:val="20"/>
                <w:szCs w:val="20"/>
              </w:rPr>
            </w:pPr>
            <w:r>
              <w:rPr>
                <w:sz w:val="20"/>
                <w:szCs w:val="20"/>
              </w:rPr>
              <w:t>GLUT1 deficiency syndrome 1 (AD&amp;AR;  OMIM:606777) and 2</w:t>
            </w:r>
          </w:p>
          <w:p w14:paraId="5C13ED43" w14:textId="77777777" w:rsidR="00D561E8" w:rsidRDefault="00000000">
            <w:pPr>
              <w:widowControl w:val="0"/>
              <w:spacing w:line="480" w:lineRule="auto"/>
              <w:rPr>
                <w:sz w:val="20"/>
                <w:szCs w:val="20"/>
              </w:rPr>
            </w:pPr>
            <w:r>
              <w:rPr>
                <w:sz w:val="20"/>
                <w:szCs w:val="20"/>
              </w:rPr>
              <w:t>GLUT1 deficiency syndrome 1, (AD OMIM:612126),</w:t>
            </w:r>
          </w:p>
          <w:p w14:paraId="03820DE4" w14:textId="77777777" w:rsidR="00D561E8" w:rsidRDefault="00000000">
            <w:pPr>
              <w:widowControl w:val="0"/>
              <w:spacing w:line="480" w:lineRule="auto"/>
              <w:rPr>
                <w:sz w:val="20"/>
                <w:szCs w:val="20"/>
              </w:rPr>
            </w:pPr>
            <w:r>
              <w:rPr>
                <w:sz w:val="20"/>
                <w:szCs w:val="20"/>
              </w:rPr>
              <w:lastRenderedPageBreak/>
              <w:t xml:space="preserve">Stomatin-deficient chryohydrocytosis with neurologic defects, (AD;  OMIM:608885), </w:t>
            </w:r>
          </w:p>
          <w:p w14:paraId="2F5BA28B" w14:textId="77777777" w:rsidR="00D561E8" w:rsidRDefault="00000000">
            <w:pPr>
              <w:widowControl w:val="0"/>
              <w:spacing w:line="480" w:lineRule="auto"/>
              <w:rPr>
                <w:sz w:val="20"/>
                <w:szCs w:val="20"/>
              </w:rPr>
            </w:pPr>
            <w:r>
              <w:rPr>
                <w:sz w:val="20"/>
                <w:szCs w:val="20"/>
              </w:rPr>
              <w:t>Dystonia 9, (AD; OMIM: 601042)</w:t>
            </w:r>
          </w:p>
        </w:tc>
        <w:tc>
          <w:tcPr>
            <w:tcW w:w="1245" w:type="dxa"/>
            <w:shd w:val="clear" w:color="auto" w:fill="auto"/>
            <w:tcMar>
              <w:top w:w="100" w:type="dxa"/>
              <w:left w:w="100" w:type="dxa"/>
              <w:bottom w:w="100" w:type="dxa"/>
              <w:right w:w="100" w:type="dxa"/>
            </w:tcMar>
          </w:tcPr>
          <w:p w14:paraId="6977899B" w14:textId="77777777" w:rsidR="00D561E8" w:rsidRDefault="00000000">
            <w:pPr>
              <w:widowControl w:val="0"/>
              <w:spacing w:line="480" w:lineRule="auto"/>
              <w:rPr>
                <w:sz w:val="20"/>
                <w:szCs w:val="20"/>
              </w:rPr>
            </w:pPr>
            <w:r>
              <w:rPr>
                <w:sz w:val="20"/>
                <w:szCs w:val="20"/>
              </w:rPr>
              <w:lastRenderedPageBreak/>
              <w:t>5’UTR</w:t>
            </w:r>
          </w:p>
        </w:tc>
        <w:tc>
          <w:tcPr>
            <w:tcW w:w="1320" w:type="dxa"/>
            <w:shd w:val="clear" w:color="auto" w:fill="auto"/>
            <w:tcMar>
              <w:top w:w="100" w:type="dxa"/>
              <w:left w:w="100" w:type="dxa"/>
              <w:bottom w:w="100" w:type="dxa"/>
              <w:right w:w="100" w:type="dxa"/>
            </w:tcMar>
          </w:tcPr>
          <w:p w14:paraId="29E6FAB8" w14:textId="77777777" w:rsidR="00D561E8" w:rsidRDefault="00000000">
            <w:pPr>
              <w:widowControl w:val="0"/>
              <w:spacing w:line="480" w:lineRule="auto"/>
              <w:rPr>
                <w:sz w:val="20"/>
                <w:szCs w:val="20"/>
              </w:rPr>
            </w:pPr>
            <w:r>
              <w:rPr>
                <w:sz w:val="20"/>
                <w:szCs w:val="20"/>
              </w:rPr>
              <w:t>UTRannotator: uAUG gained. Out of frame oORF (c.-107G&gt;A)</w:t>
            </w:r>
          </w:p>
        </w:tc>
        <w:tc>
          <w:tcPr>
            <w:tcW w:w="3600" w:type="dxa"/>
            <w:shd w:val="clear" w:color="auto" w:fill="auto"/>
            <w:tcMar>
              <w:top w:w="100" w:type="dxa"/>
              <w:left w:w="100" w:type="dxa"/>
              <w:bottom w:w="100" w:type="dxa"/>
              <w:right w:w="100" w:type="dxa"/>
            </w:tcMar>
          </w:tcPr>
          <w:p w14:paraId="1D2D1E8A" w14:textId="77777777" w:rsidR="00D561E8" w:rsidRDefault="00000000">
            <w:pPr>
              <w:widowControl w:val="0"/>
              <w:spacing w:line="480" w:lineRule="auto"/>
              <w:rPr>
                <w:sz w:val="20"/>
                <w:szCs w:val="20"/>
              </w:rPr>
            </w:pPr>
            <w:r>
              <w:rPr>
                <w:sz w:val="20"/>
                <w:szCs w:val="20"/>
              </w:rPr>
              <w:t>Abnormal nervous system physiology HP:0012638</w:t>
            </w:r>
          </w:p>
          <w:p w14:paraId="66F968BA" w14:textId="77777777" w:rsidR="00D561E8" w:rsidRDefault="00000000">
            <w:pPr>
              <w:widowControl w:val="0"/>
              <w:spacing w:line="480" w:lineRule="auto"/>
              <w:rPr>
                <w:sz w:val="20"/>
                <w:szCs w:val="20"/>
              </w:rPr>
            </w:pPr>
            <w:r>
              <w:rPr>
                <w:sz w:val="20"/>
                <w:szCs w:val="20"/>
              </w:rPr>
              <w:t>Abnormal homeostasis HP:0012337</w:t>
            </w:r>
          </w:p>
          <w:p w14:paraId="0933842F" w14:textId="77777777" w:rsidR="00D561E8" w:rsidRDefault="00000000">
            <w:pPr>
              <w:widowControl w:val="0"/>
              <w:spacing w:line="480" w:lineRule="auto"/>
              <w:rPr>
                <w:sz w:val="20"/>
                <w:szCs w:val="20"/>
              </w:rPr>
            </w:pPr>
            <w:r>
              <w:rPr>
                <w:sz w:val="20"/>
                <w:szCs w:val="20"/>
              </w:rPr>
              <w:t>Phenotypic abnormality HP:0000118</w:t>
            </w:r>
          </w:p>
          <w:p w14:paraId="1862C609" w14:textId="77777777" w:rsidR="00D561E8" w:rsidRDefault="00000000">
            <w:pPr>
              <w:widowControl w:val="0"/>
              <w:spacing w:line="480" w:lineRule="auto"/>
              <w:rPr>
                <w:sz w:val="20"/>
                <w:szCs w:val="20"/>
              </w:rPr>
            </w:pPr>
            <w:r>
              <w:rPr>
                <w:sz w:val="20"/>
                <w:szCs w:val="20"/>
              </w:rPr>
              <w:t>Ataxia HP:0001251</w:t>
            </w:r>
          </w:p>
          <w:p w14:paraId="2053FB46" w14:textId="77777777" w:rsidR="00D561E8" w:rsidRDefault="00000000">
            <w:pPr>
              <w:widowControl w:val="0"/>
              <w:spacing w:line="480" w:lineRule="auto"/>
              <w:rPr>
                <w:sz w:val="20"/>
                <w:szCs w:val="20"/>
              </w:rPr>
            </w:pPr>
            <w:r>
              <w:rPr>
                <w:sz w:val="20"/>
                <w:szCs w:val="20"/>
              </w:rPr>
              <w:t>Gait disturbance HP:0001288</w:t>
            </w:r>
          </w:p>
          <w:p w14:paraId="50DB6227" w14:textId="77777777" w:rsidR="00D561E8" w:rsidRDefault="00000000">
            <w:pPr>
              <w:widowControl w:val="0"/>
              <w:spacing w:line="480" w:lineRule="auto"/>
              <w:rPr>
                <w:sz w:val="20"/>
                <w:szCs w:val="20"/>
              </w:rPr>
            </w:pPr>
            <w:r>
              <w:rPr>
                <w:sz w:val="20"/>
                <w:szCs w:val="20"/>
              </w:rPr>
              <w:t>Neurodevelopmental delay HP:0012758</w:t>
            </w:r>
          </w:p>
        </w:tc>
        <w:tc>
          <w:tcPr>
            <w:tcW w:w="3375" w:type="dxa"/>
            <w:shd w:val="clear" w:color="auto" w:fill="auto"/>
            <w:tcMar>
              <w:top w:w="100" w:type="dxa"/>
              <w:left w:w="100" w:type="dxa"/>
              <w:bottom w:w="100" w:type="dxa"/>
              <w:right w:w="100" w:type="dxa"/>
            </w:tcMar>
          </w:tcPr>
          <w:p w14:paraId="0B515514" w14:textId="77777777" w:rsidR="00D561E8" w:rsidRDefault="00000000">
            <w:pPr>
              <w:widowControl w:val="0"/>
              <w:spacing w:line="480" w:lineRule="auto"/>
              <w:rPr>
                <w:color w:val="444746"/>
                <w:sz w:val="20"/>
                <w:szCs w:val="20"/>
                <w:highlight w:val="white"/>
              </w:rPr>
            </w:pPr>
            <w:r>
              <w:rPr>
                <w:color w:val="444746"/>
                <w:sz w:val="20"/>
                <w:szCs w:val="20"/>
                <w:highlight w:val="white"/>
              </w:rPr>
              <w:t>Extrapyramidal movement disorder and developmental delay.</w:t>
            </w:r>
          </w:p>
          <w:p w14:paraId="4A398AC0" w14:textId="77777777" w:rsidR="00D561E8" w:rsidRDefault="00000000">
            <w:pPr>
              <w:widowControl w:val="0"/>
              <w:spacing w:line="480" w:lineRule="auto"/>
              <w:rPr>
                <w:color w:val="444746"/>
                <w:sz w:val="20"/>
                <w:szCs w:val="20"/>
                <w:highlight w:val="white"/>
              </w:rPr>
            </w:pPr>
            <w:r>
              <w:rPr>
                <w:color w:val="444746"/>
                <w:sz w:val="20"/>
                <w:szCs w:val="20"/>
                <w:highlight w:val="white"/>
              </w:rPr>
              <w:t>Low CSF glucose levels</w:t>
            </w:r>
          </w:p>
          <w:p w14:paraId="1C8CC138" w14:textId="77777777" w:rsidR="00D561E8" w:rsidRDefault="00000000">
            <w:pPr>
              <w:widowControl w:val="0"/>
              <w:spacing w:line="480" w:lineRule="auto"/>
              <w:rPr>
                <w:color w:val="444746"/>
                <w:sz w:val="20"/>
                <w:szCs w:val="20"/>
                <w:highlight w:val="white"/>
              </w:rPr>
            </w:pPr>
            <w:r>
              <w:rPr>
                <w:color w:val="444746"/>
                <w:sz w:val="20"/>
                <w:szCs w:val="20"/>
                <w:highlight w:val="white"/>
              </w:rPr>
              <w:t>responsive to ketogenic diet</w:t>
            </w:r>
          </w:p>
          <w:p w14:paraId="5EDD302C" w14:textId="77777777" w:rsidR="00D561E8" w:rsidRDefault="00000000">
            <w:pPr>
              <w:widowControl w:val="0"/>
              <w:spacing w:line="480" w:lineRule="auto"/>
              <w:rPr>
                <w:sz w:val="20"/>
                <w:szCs w:val="20"/>
              </w:rPr>
            </w:pPr>
            <w:r>
              <w:rPr>
                <w:color w:val="444746"/>
                <w:sz w:val="20"/>
                <w:szCs w:val="20"/>
                <w:highlight w:val="white"/>
              </w:rPr>
              <w:t>suggestive of Glut 1 deficiency.</w:t>
            </w:r>
          </w:p>
        </w:tc>
        <w:tc>
          <w:tcPr>
            <w:tcW w:w="1200" w:type="dxa"/>
            <w:shd w:val="clear" w:color="auto" w:fill="auto"/>
            <w:tcMar>
              <w:top w:w="100" w:type="dxa"/>
              <w:left w:w="100" w:type="dxa"/>
              <w:bottom w:w="100" w:type="dxa"/>
              <w:right w:w="100" w:type="dxa"/>
            </w:tcMar>
          </w:tcPr>
          <w:p w14:paraId="668DF5FA" w14:textId="77777777" w:rsidR="00D561E8" w:rsidRDefault="00000000">
            <w:pPr>
              <w:widowControl w:val="0"/>
              <w:spacing w:line="480" w:lineRule="auto"/>
              <w:rPr>
                <w:sz w:val="20"/>
                <w:szCs w:val="20"/>
              </w:rPr>
            </w:pPr>
            <w:r>
              <w:rPr>
                <w:sz w:val="20"/>
                <w:szCs w:val="20"/>
              </w:rPr>
              <w:t>Yes</w:t>
            </w:r>
          </w:p>
        </w:tc>
      </w:tr>
      <w:tr w:rsidR="00D561E8" w14:paraId="1A32041A" w14:textId="77777777">
        <w:tc>
          <w:tcPr>
            <w:tcW w:w="1170" w:type="dxa"/>
            <w:shd w:val="clear" w:color="auto" w:fill="auto"/>
            <w:tcMar>
              <w:top w:w="100" w:type="dxa"/>
              <w:left w:w="100" w:type="dxa"/>
              <w:bottom w:w="100" w:type="dxa"/>
              <w:right w:w="100" w:type="dxa"/>
            </w:tcMar>
          </w:tcPr>
          <w:p w14:paraId="165DE722" w14:textId="77777777" w:rsidR="00D561E8" w:rsidRDefault="00000000">
            <w:pPr>
              <w:widowControl w:val="0"/>
              <w:spacing w:line="480" w:lineRule="auto"/>
              <w:rPr>
                <w:sz w:val="20"/>
                <w:szCs w:val="20"/>
              </w:rPr>
            </w:pPr>
            <w:r>
              <w:rPr>
                <w:sz w:val="20"/>
                <w:szCs w:val="20"/>
              </w:rPr>
              <w:t xml:space="preserve">Chr3:9397978 G&gt;A   </w:t>
            </w:r>
          </w:p>
        </w:tc>
        <w:tc>
          <w:tcPr>
            <w:tcW w:w="1305" w:type="dxa"/>
            <w:shd w:val="clear" w:color="auto" w:fill="auto"/>
            <w:tcMar>
              <w:top w:w="100" w:type="dxa"/>
              <w:left w:w="100" w:type="dxa"/>
              <w:bottom w:w="100" w:type="dxa"/>
              <w:right w:w="100" w:type="dxa"/>
            </w:tcMar>
          </w:tcPr>
          <w:p w14:paraId="2B78C36B" w14:textId="77777777" w:rsidR="00D561E8" w:rsidRDefault="00000000">
            <w:pPr>
              <w:widowControl w:val="0"/>
              <w:spacing w:line="480" w:lineRule="auto"/>
              <w:rPr>
                <w:sz w:val="20"/>
                <w:szCs w:val="20"/>
              </w:rPr>
            </w:pPr>
            <w:r>
              <w:rPr>
                <w:i/>
                <w:sz w:val="20"/>
                <w:szCs w:val="20"/>
              </w:rPr>
              <w:t xml:space="preserve">SETD5 </w:t>
            </w:r>
            <w:r>
              <w:rPr>
                <w:sz w:val="20"/>
                <w:szCs w:val="20"/>
              </w:rPr>
              <w:t>(ENST00000402198)</w:t>
            </w:r>
          </w:p>
        </w:tc>
        <w:tc>
          <w:tcPr>
            <w:tcW w:w="1620" w:type="dxa"/>
            <w:shd w:val="clear" w:color="auto" w:fill="auto"/>
            <w:tcMar>
              <w:top w:w="100" w:type="dxa"/>
              <w:left w:w="100" w:type="dxa"/>
              <w:bottom w:w="100" w:type="dxa"/>
              <w:right w:w="100" w:type="dxa"/>
            </w:tcMar>
          </w:tcPr>
          <w:p w14:paraId="52ED9EF6" w14:textId="77777777" w:rsidR="00D561E8" w:rsidRDefault="00000000">
            <w:pPr>
              <w:widowControl w:val="0"/>
              <w:spacing w:line="480" w:lineRule="auto"/>
              <w:rPr>
                <w:sz w:val="20"/>
                <w:szCs w:val="20"/>
              </w:rPr>
            </w:pPr>
            <w:r>
              <w:rPr>
                <w:sz w:val="20"/>
                <w:szCs w:val="20"/>
              </w:rPr>
              <w:t>Intellectual developmental disorder, Autosomal Dominant, (AD; OMIM:615761)</w:t>
            </w:r>
          </w:p>
          <w:p w14:paraId="00F81AF6" w14:textId="77777777" w:rsidR="00D561E8" w:rsidRDefault="00D561E8">
            <w:pPr>
              <w:widowControl w:val="0"/>
              <w:spacing w:line="480" w:lineRule="auto"/>
              <w:rPr>
                <w:sz w:val="20"/>
                <w:szCs w:val="20"/>
              </w:rPr>
            </w:pPr>
          </w:p>
        </w:tc>
        <w:tc>
          <w:tcPr>
            <w:tcW w:w="1245" w:type="dxa"/>
            <w:shd w:val="clear" w:color="auto" w:fill="auto"/>
            <w:tcMar>
              <w:top w:w="100" w:type="dxa"/>
              <w:left w:w="100" w:type="dxa"/>
              <w:bottom w:w="100" w:type="dxa"/>
              <w:right w:w="100" w:type="dxa"/>
            </w:tcMar>
          </w:tcPr>
          <w:p w14:paraId="492F0FCE" w14:textId="77777777" w:rsidR="00D561E8" w:rsidRDefault="00000000">
            <w:pPr>
              <w:widowControl w:val="0"/>
              <w:spacing w:line="480" w:lineRule="auto"/>
              <w:rPr>
                <w:sz w:val="20"/>
                <w:szCs w:val="20"/>
              </w:rPr>
            </w:pPr>
            <w:r>
              <w:rPr>
                <w:sz w:val="20"/>
                <w:szCs w:val="20"/>
              </w:rPr>
              <w:t>5’UTR</w:t>
            </w:r>
          </w:p>
          <w:p w14:paraId="2D7E33C5" w14:textId="77777777" w:rsidR="00D561E8" w:rsidRDefault="00000000">
            <w:pPr>
              <w:widowControl w:val="0"/>
              <w:spacing w:line="480" w:lineRule="auto"/>
              <w:rPr>
                <w:sz w:val="20"/>
                <w:szCs w:val="20"/>
              </w:rPr>
            </w:pPr>
            <w:r>
              <w:rPr>
                <w:sz w:val="20"/>
                <w:szCs w:val="20"/>
              </w:rPr>
              <w:t>Splice</w:t>
            </w:r>
          </w:p>
        </w:tc>
        <w:tc>
          <w:tcPr>
            <w:tcW w:w="1320" w:type="dxa"/>
            <w:shd w:val="clear" w:color="auto" w:fill="auto"/>
            <w:tcMar>
              <w:top w:w="100" w:type="dxa"/>
              <w:left w:w="100" w:type="dxa"/>
              <w:bottom w:w="100" w:type="dxa"/>
              <w:right w:w="100" w:type="dxa"/>
            </w:tcMar>
          </w:tcPr>
          <w:p w14:paraId="5D94DB04" w14:textId="77777777" w:rsidR="00D561E8" w:rsidRDefault="00000000">
            <w:pPr>
              <w:widowControl w:val="0"/>
              <w:spacing w:line="480" w:lineRule="auto"/>
              <w:rPr>
                <w:sz w:val="20"/>
                <w:szCs w:val="20"/>
              </w:rPr>
            </w:pPr>
            <w:r>
              <w:rPr>
                <w:sz w:val="20"/>
                <w:szCs w:val="20"/>
              </w:rPr>
              <w:t>SpliceAI = 0.97 Donor loss (c.-177+1G&gt;A)</w:t>
            </w:r>
          </w:p>
        </w:tc>
        <w:tc>
          <w:tcPr>
            <w:tcW w:w="3600" w:type="dxa"/>
            <w:shd w:val="clear" w:color="auto" w:fill="auto"/>
            <w:tcMar>
              <w:top w:w="100" w:type="dxa"/>
              <w:left w:w="100" w:type="dxa"/>
              <w:bottom w:w="100" w:type="dxa"/>
              <w:right w:w="100" w:type="dxa"/>
            </w:tcMar>
          </w:tcPr>
          <w:p w14:paraId="32A3091D" w14:textId="77777777" w:rsidR="00D561E8" w:rsidRDefault="00000000">
            <w:pPr>
              <w:widowControl w:val="0"/>
              <w:spacing w:line="480" w:lineRule="auto"/>
              <w:rPr>
                <w:sz w:val="20"/>
                <w:szCs w:val="20"/>
              </w:rPr>
            </w:pPr>
            <w:r>
              <w:rPr>
                <w:sz w:val="20"/>
                <w:szCs w:val="20"/>
              </w:rPr>
              <w:t>Decreased body weight HP:0004325</w:t>
            </w:r>
          </w:p>
          <w:p w14:paraId="33A15D26" w14:textId="77777777" w:rsidR="00D561E8" w:rsidRDefault="00000000">
            <w:pPr>
              <w:widowControl w:val="0"/>
              <w:spacing w:line="480" w:lineRule="auto"/>
              <w:rPr>
                <w:sz w:val="20"/>
                <w:szCs w:val="20"/>
              </w:rPr>
            </w:pPr>
            <w:r>
              <w:rPr>
                <w:sz w:val="20"/>
                <w:szCs w:val="20"/>
              </w:rPr>
              <w:t>Abnormal facial shape HP:0001999</w:t>
            </w:r>
          </w:p>
          <w:p w14:paraId="507F5CCF" w14:textId="77777777" w:rsidR="00D561E8" w:rsidRDefault="00000000">
            <w:pPr>
              <w:widowControl w:val="0"/>
              <w:spacing w:line="480" w:lineRule="auto"/>
              <w:rPr>
                <w:sz w:val="20"/>
                <w:szCs w:val="20"/>
              </w:rPr>
            </w:pPr>
            <w:r>
              <w:rPr>
                <w:sz w:val="20"/>
                <w:szCs w:val="20"/>
              </w:rPr>
              <w:t>Growth delay HP:0001510</w:t>
            </w:r>
          </w:p>
          <w:p w14:paraId="41186184" w14:textId="77777777" w:rsidR="00D561E8" w:rsidRDefault="00000000">
            <w:pPr>
              <w:widowControl w:val="0"/>
              <w:spacing w:line="480" w:lineRule="auto"/>
              <w:rPr>
                <w:sz w:val="20"/>
                <w:szCs w:val="20"/>
              </w:rPr>
            </w:pPr>
            <w:r>
              <w:rPr>
                <w:sz w:val="20"/>
                <w:szCs w:val="20"/>
              </w:rPr>
              <w:t>Aplasia/Hypoplasia of the mandible HP:0009118</w:t>
            </w:r>
          </w:p>
          <w:p w14:paraId="5F61E981" w14:textId="77777777" w:rsidR="00D561E8" w:rsidRDefault="00000000">
            <w:pPr>
              <w:widowControl w:val="0"/>
              <w:spacing w:line="480" w:lineRule="auto"/>
              <w:rPr>
                <w:sz w:val="20"/>
                <w:szCs w:val="20"/>
              </w:rPr>
            </w:pPr>
            <w:r>
              <w:rPr>
                <w:sz w:val="20"/>
                <w:szCs w:val="20"/>
              </w:rPr>
              <w:t>Intellectual disability HP:0001249</w:t>
            </w:r>
          </w:p>
          <w:p w14:paraId="4A47F0ED" w14:textId="77777777" w:rsidR="00D561E8" w:rsidRDefault="00000000">
            <w:pPr>
              <w:widowControl w:val="0"/>
              <w:spacing w:line="480" w:lineRule="auto"/>
              <w:rPr>
                <w:sz w:val="20"/>
                <w:szCs w:val="20"/>
              </w:rPr>
            </w:pPr>
            <w:r>
              <w:rPr>
                <w:sz w:val="20"/>
                <w:szCs w:val="20"/>
              </w:rPr>
              <w:t>Abnormal rib cage morphology HP:0001547</w:t>
            </w:r>
          </w:p>
          <w:p w14:paraId="44F27FA0" w14:textId="77777777" w:rsidR="00D561E8" w:rsidRDefault="00000000">
            <w:pPr>
              <w:widowControl w:val="0"/>
              <w:spacing w:line="480" w:lineRule="auto"/>
              <w:rPr>
                <w:sz w:val="20"/>
                <w:szCs w:val="20"/>
              </w:rPr>
            </w:pPr>
            <w:r>
              <w:rPr>
                <w:sz w:val="20"/>
                <w:szCs w:val="20"/>
              </w:rPr>
              <w:lastRenderedPageBreak/>
              <w:t>Abnormal esophagus physiology HP:0025270</w:t>
            </w:r>
          </w:p>
          <w:p w14:paraId="2616FA90" w14:textId="77777777" w:rsidR="00D561E8" w:rsidRDefault="00000000">
            <w:pPr>
              <w:widowControl w:val="0"/>
              <w:spacing w:line="480" w:lineRule="auto"/>
              <w:rPr>
                <w:sz w:val="20"/>
                <w:szCs w:val="20"/>
              </w:rPr>
            </w:pPr>
            <w:r>
              <w:rPr>
                <w:sz w:val="20"/>
                <w:szCs w:val="20"/>
              </w:rPr>
              <w:t>Macrocephaly HP:0000256</w:t>
            </w:r>
          </w:p>
          <w:p w14:paraId="5A972D32" w14:textId="77777777" w:rsidR="00D561E8" w:rsidRDefault="00000000">
            <w:pPr>
              <w:widowControl w:val="0"/>
              <w:spacing w:line="480" w:lineRule="auto"/>
              <w:rPr>
                <w:sz w:val="20"/>
                <w:szCs w:val="20"/>
              </w:rPr>
            </w:pPr>
            <w:r>
              <w:rPr>
                <w:sz w:val="20"/>
                <w:szCs w:val="20"/>
              </w:rPr>
              <w:t>Abdominal symptom HP:0011458</w:t>
            </w:r>
          </w:p>
          <w:p w14:paraId="74ADAA8E" w14:textId="77777777" w:rsidR="00D561E8" w:rsidRDefault="00000000">
            <w:pPr>
              <w:widowControl w:val="0"/>
              <w:spacing w:line="480" w:lineRule="auto"/>
              <w:rPr>
                <w:sz w:val="20"/>
                <w:szCs w:val="20"/>
              </w:rPr>
            </w:pPr>
            <w:r>
              <w:rPr>
                <w:sz w:val="20"/>
                <w:szCs w:val="20"/>
              </w:rPr>
              <w:t>Asymmetric growth HP:0100555</w:t>
            </w:r>
          </w:p>
        </w:tc>
        <w:tc>
          <w:tcPr>
            <w:tcW w:w="3375" w:type="dxa"/>
            <w:shd w:val="clear" w:color="auto" w:fill="auto"/>
            <w:tcMar>
              <w:top w:w="100" w:type="dxa"/>
              <w:left w:w="100" w:type="dxa"/>
              <w:bottom w:w="100" w:type="dxa"/>
              <w:right w:w="100" w:type="dxa"/>
            </w:tcMar>
          </w:tcPr>
          <w:p w14:paraId="45751028" w14:textId="77777777" w:rsidR="00D561E8" w:rsidRDefault="00000000">
            <w:pPr>
              <w:widowControl w:val="0"/>
              <w:spacing w:line="480" w:lineRule="auto"/>
              <w:rPr>
                <w:color w:val="212121"/>
                <w:sz w:val="20"/>
                <w:szCs w:val="20"/>
              </w:rPr>
            </w:pPr>
            <w:r>
              <w:rPr>
                <w:color w:val="212121"/>
                <w:sz w:val="20"/>
                <w:szCs w:val="20"/>
              </w:rPr>
              <w:lastRenderedPageBreak/>
              <w:t xml:space="preserve">Velopalatal insufficiency </w:t>
            </w:r>
          </w:p>
          <w:p w14:paraId="36F9B110" w14:textId="77777777" w:rsidR="00D561E8" w:rsidRDefault="00000000">
            <w:pPr>
              <w:widowControl w:val="0"/>
              <w:spacing w:line="480" w:lineRule="auto"/>
              <w:rPr>
                <w:color w:val="212121"/>
                <w:sz w:val="20"/>
                <w:szCs w:val="20"/>
              </w:rPr>
            </w:pPr>
            <w:r>
              <w:rPr>
                <w:color w:val="212121"/>
                <w:sz w:val="20"/>
                <w:szCs w:val="20"/>
              </w:rPr>
              <w:t xml:space="preserve">Bilateral glue ears </w:t>
            </w:r>
          </w:p>
          <w:p w14:paraId="240A872F" w14:textId="77777777" w:rsidR="00D561E8" w:rsidRDefault="00000000">
            <w:pPr>
              <w:widowControl w:val="0"/>
              <w:spacing w:line="480" w:lineRule="auto"/>
              <w:rPr>
                <w:color w:val="212121"/>
                <w:sz w:val="20"/>
                <w:szCs w:val="20"/>
              </w:rPr>
            </w:pPr>
            <w:r>
              <w:rPr>
                <w:color w:val="212121"/>
                <w:sz w:val="20"/>
                <w:szCs w:val="20"/>
              </w:rPr>
              <w:t xml:space="preserve">Attention deficit hyperactivity disorder </w:t>
            </w:r>
          </w:p>
          <w:p w14:paraId="42F0DDC8" w14:textId="77777777" w:rsidR="00D561E8" w:rsidRDefault="00000000">
            <w:pPr>
              <w:widowControl w:val="0"/>
              <w:spacing w:line="480" w:lineRule="auto"/>
              <w:rPr>
                <w:color w:val="212121"/>
                <w:sz w:val="20"/>
                <w:szCs w:val="20"/>
              </w:rPr>
            </w:pPr>
            <w:r>
              <w:rPr>
                <w:color w:val="212121"/>
                <w:sz w:val="20"/>
                <w:szCs w:val="20"/>
              </w:rPr>
              <w:t xml:space="preserve">Mild learning difficulties </w:t>
            </w:r>
          </w:p>
          <w:p w14:paraId="2D7914FA" w14:textId="77777777" w:rsidR="00D561E8" w:rsidRDefault="00000000">
            <w:pPr>
              <w:widowControl w:val="0"/>
              <w:spacing w:line="480" w:lineRule="auto"/>
              <w:rPr>
                <w:color w:val="212121"/>
                <w:sz w:val="20"/>
                <w:szCs w:val="20"/>
              </w:rPr>
            </w:pPr>
            <w:r>
              <w:rPr>
                <w:color w:val="212121"/>
                <w:sz w:val="20"/>
                <w:szCs w:val="20"/>
              </w:rPr>
              <w:t xml:space="preserve">Intermittent drooling of saliva </w:t>
            </w:r>
          </w:p>
          <w:p w14:paraId="19269410" w14:textId="77777777" w:rsidR="00D561E8" w:rsidRDefault="00000000">
            <w:pPr>
              <w:widowControl w:val="0"/>
              <w:spacing w:line="480" w:lineRule="auto"/>
              <w:rPr>
                <w:color w:val="212121"/>
                <w:sz w:val="20"/>
                <w:szCs w:val="20"/>
              </w:rPr>
            </w:pPr>
            <w:r>
              <w:rPr>
                <w:color w:val="212121"/>
                <w:sz w:val="20"/>
                <w:szCs w:val="20"/>
              </w:rPr>
              <w:t xml:space="preserve">Constipation </w:t>
            </w:r>
          </w:p>
          <w:p w14:paraId="780AEA19" w14:textId="77777777" w:rsidR="00D561E8" w:rsidRDefault="00000000">
            <w:pPr>
              <w:widowControl w:val="0"/>
              <w:spacing w:line="480" w:lineRule="auto"/>
              <w:rPr>
                <w:color w:val="212121"/>
                <w:sz w:val="20"/>
                <w:szCs w:val="20"/>
              </w:rPr>
            </w:pPr>
            <w:r>
              <w:rPr>
                <w:color w:val="212121"/>
                <w:sz w:val="20"/>
                <w:szCs w:val="20"/>
              </w:rPr>
              <w:t xml:space="preserve">Eczema </w:t>
            </w:r>
          </w:p>
          <w:p w14:paraId="55C3BB70" w14:textId="77777777" w:rsidR="00D561E8" w:rsidRDefault="00000000">
            <w:pPr>
              <w:widowControl w:val="0"/>
              <w:spacing w:line="480" w:lineRule="auto"/>
              <w:rPr>
                <w:color w:val="212121"/>
                <w:sz w:val="20"/>
                <w:szCs w:val="20"/>
              </w:rPr>
            </w:pPr>
            <w:r>
              <w:rPr>
                <w:color w:val="212121"/>
                <w:sz w:val="20"/>
                <w:szCs w:val="20"/>
              </w:rPr>
              <w:lastRenderedPageBreak/>
              <w:t>Coeliac disease</w:t>
            </w:r>
          </w:p>
          <w:p w14:paraId="50FAA95A"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3B3FD097" w14:textId="77777777" w:rsidR="00D561E8" w:rsidRDefault="00000000">
            <w:pPr>
              <w:widowControl w:val="0"/>
              <w:spacing w:line="480" w:lineRule="auto"/>
              <w:rPr>
                <w:sz w:val="20"/>
                <w:szCs w:val="20"/>
              </w:rPr>
            </w:pPr>
            <w:r>
              <w:rPr>
                <w:sz w:val="20"/>
                <w:szCs w:val="20"/>
              </w:rPr>
              <w:lastRenderedPageBreak/>
              <w:t xml:space="preserve">Yes </w:t>
            </w:r>
          </w:p>
        </w:tc>
      </w:tr>
      <w:tr w:rsidR="00D561E8" w14:paraId="182B7EAC" w14:textId="77777777">
        <w:tc>
          <w:tcPr>
            <w:tcW w:w="1170" w:type="dxa"/>
            <w:shd w:val="clear" w:color="auto" w:fill="auto"/>
            <w:tcMar>
              <w:top w:w="100" w:type="dxa"/>
              <w:left w:w="100" w:type="dxa"/>
              <w:bottom w:w="100" w:type="dxa"/>
              <w:right w:w="100" w:type="dxa"/>
            </w:tcMar>
          </w:tcPr>
          <w:p w14:paraId="0BD42BB8" w14:textId="77777777" w:rsidR="00D561E8" w:rsidRDefault="00000000">
            <w:pPr>
              <w:widowControl w:val="0"/>
              <w:spacing w:line="480" w:lineRule="auto"/>
              <w:rPr>
                <w:sz w:val="20"/>
                <w:szCs w:val="20"/>
              </w:rPr>
            </w:pPr>
            <w:r>
              <w:rPr>
                <w:sz w:val="20"/>
                <w:szCs w:val="20"/>
              </w:rPr>
              <w:t>Chr5:36953601 T&gt;A</w:t>
            </w:r>
          </w:p>
        </w:tc>
        <w:tc>
          <w:tcPr>
            <w:tcW w:w="1305" w:type="dxa"/>
            <w:shd w:val="clear" w:color="auto" w:fill="auto"/>
            <w:tcMar>
              <w:top w:w="100" w:type="dxa"/>
              <w:left w:w="100" w:type="dxa"/>
              <w:bottom w:w="100" w:type="dxa"/>
              <w:right w:w="100" w:type="dxa"/>
            </w:tcMar>
          </w:tcPr>
          <w:p w14:paraId="659DF640" w14:textId="77777777" w:rsidR="00D561E8" w:rsidRDefault="00000000">
            <w:pPr>
              <w:widowControl w:val="0"/>
              <w:spacing w:line="480" w:lineRule="auto"/>
              <w:rPr>
                <w:sz w:val="20"/>
                <w:szCs w:val="20"/>
              </w:rPr>
            </w:pPr>
            <w:r>
              <w:rPr>
                <w:i/>
                <w:sz w:val="20"/>
                <w:szCs w:val="20"/>
              </w:rPr>
              <w:t xml:space="preserve">NIPBL </w:t>
            </w:r>
            <w:r>
              <w:rPr>
                <w:sz w:val="20"/>
                <w:szCs w:val="20"/>
              </w:rPr>
              <w:t>(ENST00000282516)</w:t>
            </w:r>
          </w:p>
        </w:tc>
        <w:tc>
          <w:tcPr>
            <w:tcW w:w="1620" w:type="dxa"/>
            <w:shd w:val="clear" w:color="auto" w:fill="auto"/>
            <w:tcMar>
              <w:top w:w="100" w:type="dxa"/>
              <w:left w:w="100" w:type="dxa"/>
              <w:bottom w:w="100" w:type="dxa"/>
              <w:right w:w="100" w:type="dxa"/>
            </w:tcMar>
          </w:tcPr>
          <w:p w14:paraId="77FCEF3B" w14:textId="77777777" w:rsidR="00D561E8" w:rsidRDefault="00000000">
            <w:pPr>
              <w:widowControl w:val="0"/>
              <w:spacing w:line="480" w:lineRule="auto"/>
              <w:rPr>
                <w:sz w:val="20"/>
                <w:szCs w:val="20"/>
              </w:rPr>
            </w:pPr>
            <w:r>
              <w:rPr>
                <w:sz w:val="20"/>
                <w:szCs w:val="20"/>
              </w:rPr>
              <w:t>Cornelia De Lange syndrome, (AD; OMIM:122470)</w:t>
            </w:r>
          </w:p>
        </w:tc>
        <w:tc>
          <w:tcPr>
            <w:tcW w:w="1245" w:type="dxa"/>
            <w:shd w:val="clear" w:color="auto" w:fill="auto"/>
            <w:tcMar>
              <w:top w:w="100" w:type="dxa"/>
              <w:left w:w="100" w:type="dxa"/>
              <w:bottom w:w="100" w:type="dxa"/>
              <w:right w:w="100" w:type="dxa"/>
            </w:tcMar>
          </w:tcPr>
          <w:p w14:paraId="3D729F8C" w14:textId="77777777" w:rsidR="00D561E8" w:rsidRDefault="00000000">
            <w:pPr>
              <w:widowControl w:val="0"/>
              <w:spacing w:line="480" w:lineRule="auto"/>
              <w:rPr>
                <w:sz w:val="20"/>
                <w:szCs w:val="20"/>
              </w:rPr>
            </w:pPr>
            <w:r>
              <w:rPr>
                <w:sz w:val="20"/>
                <w:szCs w:val="20"/>
              </w:rPr>
              <w:t>5’UTR</w:t>
            </w:r>
          </w:p>
          <w:p w14:paraId="715F9419" w14:textId="77777777" w:rsidR="00D561E8" w:rsidRDefault="00000000">
            <w:pPr>
              <w:widowControl w:val="0"/>
              <w:spacing w:line="480" w:lineRule="auto"/>
              <w:rPr>
                <w:sz w:val="20"/>
                <w:szCs w:val="20"/>
              </w:rPr>
            </w:pPr>
            <w:r>
              <w:rPr>
                <w:sz w:val="20"/>
                <w:szCs w:val="20"/>
              </w:rPr>
              <w:t>Splice</w:t>
            </w:r>
          </w:p>
        </w:tc>
        <w:tc>
          <w:tcPr>
            <w:tcW w:w="1320" w:type="dxa"/>
            <w:shd w:val="clear" w:color="auto" w:fill="auto"/>
            <w:tcMar>
              <w:top w:w="100" w:type="dxa"/>
              <w:left w:w="100" w:type="dxa"/>
              <w:bottom w:w="100" w:type="dxa"/>
              <w:right w:w="100" w:type="dxa"/>
            </w:tcMar>
          </w:tcPr>
          <w:p w14:paraId="7AC185E7" w14:textId="77777777" w:rsidR="00D561E8" w:rsidRDefault="00000000">
            <w:pPr>
              <w:widowControl w:val="0"/>
              <w:spacing w:line="480" w:lineRule="auto"/>
              <w:rPr>
                <w:sz w:val="20"/>
                <w:szCs w:val="20"/>
              </w:rPr>
            </w:pPr>
            <w:r>
              <w:rPr>
                <w:sz w:val="20"/>
                <w:szCs w:val="20"/>
              </w:rPr>
              <w:t>SpliceAI = 0.24 Acceptor gain (c.-79-17T&gt;A)</w:t>
            </w:r>
          </w:p>
        </w:tc>
        <w:tc>
          <w:tcPr>
            <w:tcW w:w="3600" w:type="dxa"/>
            <w:shd w:val="clear" w:color="auto" w:fill="auto"/>
            <w:tcMar>
              <w:top w:w="100" w:type="dxa"/>
              <w:left w:w="100" w:type="dxa"/>
              <w:bottom w:w="100" w:type="dxa"/>
              <w:right w:w="100" w:type="dxa"/>
            </w:tcMar>
          </w:tcPr>
          <w:p w14:paraId="6D3AF4D0" w14:textId="77777777" w:rsidR="00D561E8" w:rsidRDefault="00000000">
            <w:pPr>
              <w:widowControl w:val="0"/>
              <w:spacing w:line="480" w:lineRule="auto"/>
              <w:rPr>
                <w:sz w:val="20"/>
                <w:szCs w:val="20"/>
              </w:rPr>
            </w:pPr>
            <w:r>
              <w:rPr>
                <w:sz w:val="20"/>
                <w:szCs w:val="20"/>
              </w:rPr>
              <w:t>Growth delay HP:0001510</w:t>
            </w:r>
          </w:p>
          <w:p w14:paraId="09CEC02F" w14:textId="77777777" w:rsidR="00D561E8" w:rsidRDefault="00000000">
            <w:pPr>
              <w:widowControl w:val="0"/>
              <w:spacing w:line="480" w:lineRule="auto"/>
              <w:rPr>
                <w:sz w:val="20"/>
                <w:szCs w:val="20"/>
              </w:rPr>
            </w:pPr>
            <w:r>
              <w:rPr>
                <w:sz w:val="20"/>
                <w:szCs w:val="20"/>
              </w:rPr>
              <w:t>Abnormal upper lip morphology HP:0000177</w:t>
            </w:r>
          </w:p>
          <w:p w14:paraId="5BAF7ED9" w14:textId="77777777" w:rsidR="00D561E8" w:rsidRDefault="00000000">
            <w:pPr>
              <w:widowControl w:val="0"/>
              <w:spacing w:line="480" w:lineRule="auto"/>
              <w:rPr>
                <w:sz w:val="20"/>
                <w:szCs w:val="20"/>
              </w:rPr>
            </w:pPr>
            <w:r>
              <w:rPr>
                <w:sz w:val="20"/>
                <w:szCs w:val="20"/>
              </w:rPr>
              <w:t>Abnormal digit morphology HP:0001167</w:t>
            </w:r>
          </w:p>
          <w:p w14:paraId="76A23860" w14:textId="77777777" w:rsidR="00D561E8" w:rsidRDefault="00000000">
            <w:pPr>
              <w:widowControl w:val="0"/>
              <w:spacing w:line="480" w:lineRule="auto"/>
              <w:rPr>
                <w:sz w:val="20"/>
                <w:szCs w:val="20"/>
              </w:rPr>
            </w:pPr>
            <w:r>
              <w:rPr>
                <w:sz w:val="20"/>
                <w:szCs w:val="20"/>
              </w:rPr>
              <w:t>Neurodevelopmental abnormality HP:0012759</w:t>
            </w:r>
          </w:p>
          <w:p w14:paraId="4859AA25" w14:textId="77777777" w:rsidR="00D561E8" w:rsidRDefault="00000000">
            <w:pPr>
              <w:widowControl w:val="0"/>
              <w:spacing w:line="480" w:lineRule="auto"/>
              <w:rPr>
                <w:sz w:val="20"/>
                <w:szCs w:val="20"/>
              </w:rPr>
            </w:pPr>
            <w:r>
              <w:rPr>
                <w:sz w:val="20"/>
                <w:szCs w:val="20"/>
              </w:rPr>
              <w:t>Decreased head circumference HP:0040195</w:t>
            </w:r>
          </w:p>
        </w:tc>
        <w:tc>
          <w:tcPr>
            <w:tcW w:w="3375" w:type="dxa"/>
            <w:shd w:val="clear" w:color="auto" w:fill="auto"/>
            <w:tcMar>
              <w:top w:w="100" w:type="dxa"/>
              <w:left w:w="100" w:type="dxa"/>
              <w:bottom w:w="100" w:type="dxa"/>
              <w:right w:w="100" w:type="dxa"/>
            </w:tcMar>
          </w:tcPr>
          <w:p w14:paraId="32E11D3E" w14:textId="77777777" w:rsidR="00D561E8" w:rsidRDefault="00000000">
            <w:pPr>
              <w:widowControl w:val="0"/>
              <w:spacing w:line="480" w:lineRule="auto"/>
              <w:rPr>
                <w:sz w:val="20"/>
                <w:szCs w:val="20"/>
              </w:rPr>
            </w:pPr>
            <w:r>
              <w:rPr>
                <w:sz w:val="20"/>
                <w:szCs w:val="20"/>
              </w:rPr>
              <w:t>Intrauterine growth restriction</w:t>
            </w:r>
          </w:p>
          <w:p w14:paraId="012B9829" w14:textId="77777777" w:rsidR="00D561E8" w:rsidRDefault="00000000">
            <w:pPr>
              <w:widowControl w:val="0"/>
              <w:spacing w:line="480" w:lineRule="auto"/>
              <w:rPr>
                <w:sz w:val="20"/>
                <w:szCs w:val="20"/>
              </w:rPr>
            </w:pPr>
            <w:r>
              <w:rPr>
                <w:sz w:val="20"/>
                <w:szCs w:val="20"/>
              </w:rPr>
              <w:t>Microcephaly (-5SD)</w:t>
            </w:r>
          </w:p>
          <w:p w14:paraId="00791F0F" w14:textId="77777777" w:rsidR="00D561E8" w:rsidRDefault="00000000">
            <w:pPr>
              <w:widowControl w:val="0"/>
              <w:spacing w:line="480" w:lineRule="auto"/>
              <w:rPr>
                <w:sz w:val="20"/>
                <w:szCs w:val="20"/>
              </w:rPr>
            </w:pPr>
            <w:r>
              <w:rPr>
                <w:sz w:val="20"/>
                <w:szCs w:val="20"/>
              </w:rPr>
              <w:t xml:space="preserve">Developmental delay </w:t>
            </w:r>
          </w:p>
          <w:p w14:paraId="41A944D6" w14:textId="77777777" w:rsidR="00D561E8" w:rsidRDefault="00000000">
            <w:pPr>
              <w:widowControl w:val="0"/>
              <w:spacing w:line="480" w:lineRule="auto"/>
              <w:rPr>
                <w:sz w:val="20"/>
                <w:szCs w:val="20"/>
              </w:rPr>
            </w:pPr>
            <w:r>
              <w:rPr>
                <w:sz w:val="20"/>
                <w:szCs w:val="20"/>
              </w:rPr>
              <w:t>Intellectual disability (not able to read/write at 13 yrs)</w:t>
            </w:r>
          </w:p>
          <w:p w14:paraId="15C2A889" w14:textId="77777777" w:rsidR="00D561E8" w:rsidRDefault="00000000">
            <w:pPr>
              <w:widowControl w:val="0"/>
              <w:spacing w:line="480" w:lineRule="auto"/>
              <w:rPr>
                <w:sz w:val="20"/>
                <w:szCs w:val="20"/>
              </w:rPr>
            </w:pPr>
            <w:r>
              <w:rPr>
                <w:sz w:val="20"/>
                <w:szCs w:val="20"/>
              </w:rPr>
              <w:t xml:space="preserve">Short stature </w:t>
            </w:r>
          </w:p>
          <w:p w14:paraId="67C85261" w14:textId="77777777" w:rsidR="00D561E8" w:rsidRDefault="00000000">
            <w:pPr>
              <w:widowControl w:val="0"/>
              <w:spacing w:line="480" w:lineRule="auto"/>
              <w:rPr>
                <w:sz w:val="20"/>
                <w:szCs w:val="20"/>
              </w:rPr>
            </w:pPr>
            <w:r>
              <w:rPr>
                <w:sz w:val="20"/>
                <w:szCs w:val="20"/>
              </w:rPr>
              <w:t>Small hands with short index fingers</w:t>
            </w:r>
          </w:p>
          <w:p w14:paraId="0B0D3F70" w14:textId="77777777" w:rsidR="00D561E8" w:rsidRDefault="00000000">
            <w:pPr>
              <w:widowControl w:val="0"/>
              <w:spacing w:line="480" w:lineRule="auto"/>
              <w:rPr>
                <w:sz w:val="20"/>
                <w:szCs w:val="20"/>
              </w:rPr>
            </w:pPr>
            <w:r>
              <w:rPr>
                <w:sz w:val="20"/>
                <w:szCs w:val="20"/>
              </w:rPr>
              <w:t>2,3 toe syndactyly bilaterally.</w:t>
            </w:r>
          </w:p>
          <w:p w14:paraId="16476A41"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4CC40CCA" w14:textId="77777777" w:rsidR="00D561E8" w:rsidRDefault="00000000">
            <w:pPr>
              <w:widowControl w:val="0"/>
              <w:spacing w:line="480" w:lineRule="auto"/>
              <w:rPr>
                <w:sz w:val="20"/>
                <w:szCs w:val="20"/>
              </w:rPr>
            </w:pPr>
            <w:r>
              <w:rPr>
                <w:sz w:val="20"/>
                <w:szCs w:val="20"/>
              </w:rPr>
              <w:t>Yes</w:t>
            </w:r>
          </w:p>
        </w:tc>
      </w:tr>
      <w:tr w:rsidR="00D561E8" w14:paraId="169C18D8" w14:textId="77777777">
        <w:tc>
          <w:tcPr>
            <w:tcW w:w="1170" w:type="dxa"/>
            <w:shd w:val="clear" w:color="auto" w:fill="auto"/>
            <w:tcMar>
              <w:top w:w="100" w:type="dxa"/>
              <w:left w:w="100" w:type="dxa"/>
              <w:bottom w:w="100" w:type="dxa"/>
              <w:right w:w="100" w:type="dxa"/>
            </w:tcMar>
          </w:tcPr>
          <w:p w14:paraId="57A7456E" w14:textId="77777777" w:rsidR="00D561E8" w:rsidRDefault="00000000">
            <w:pPr>
              <w:widowControl w:val="0"/>
              <w:spacing w:line="480" w:lineRule="auto"/>
              <w:rPr>
                <w:sz w:val="20"/>
                <w:szCs w:val="20"/>
              </w:rPr>
            </w:pPr>
            <w:r>
              <w:rPr>
                <w:sz w:val="20"/>
                <w:szCs w:val="20"/>
              </w:rPr>
              <w:t>Chr5:88823814 G&gt;A</w:t>
            </w:r>
          </w:p>
        </w:tc>
        <w:tc>
          <w:tcPr>
            <w:tcW w:w="1305" w:type="dxa"/>
            <w:shd w:val="clear" w:color="auto" w:fill="auto"/>
            <w:tcMar>
              <w:top w:w="100" w:type="dxa"/>
              <w:left w:w="100" w:type="dxa"/>
              <w:bottom w:w="100" w:type="dxa"/>
              <w:right w:w="100" w:type="dxa"/>
            </w:tcMar>
          </w:tcPr>
          <w:p w14:paraId="471F6899" w14:textId="77777777" w:rsidR="00D561E8" w:rsidRDefault="00000000">
            <w:pPr>
              <w:widowControl w:val="0"/>
              <w:spacing w:line="480" w:lineRule="auto"/>
              <w:rPr>
                <w:sz w:val="20"/>
                <w:szCs w:val="20"/>
              </w:rPr>
            </w:pPr>
            <w:r>
              <w:rPr>
                <w:i/>
                <w:sz w:val="20"/>
                <w:szCs w:val="20"/>
              </w:rPr>
              <w:t xml:space="preserve">MEF2C </w:t>
            </w:r>
            <w:r>
              <w:rPr>
                <w:sz w:val="20"/>
                <w:szCs w:val="20"/>
              </w:rPr>
              <w:t>(ENST00000504921)</w:t>
            </w:r>
          </w:p>
        </w:tc>
        <w:tc>
          <w:tcPr>
            <w:tcW w:w="1620" w:type="dxa"/>
            <w:shd w:val="clear" w:color="auto" w:fill="auto"/>
            <w:tcMar>
              <w:top w:w="100" w:type="dxa"/>
              <w:left w:w="100" w:type="dxa"/>
              <w:bottom w:w="100" w:type="dxa"/>
              <w:right w:w="100" w:type="dxa"/>
            </w:tcMar>
          </w:tcPr>
          <w:p w14:paraId="1AFC950B" w14:textId="77777777" w:rsidR="00D561E8" w:rsidRDefault="00000000">
            <w:pPr>
              <w:widowControl w:val="0"/>
              <w:spacing w:line="480" w:lineRule="auto"/>
              <w:rPr>
                <w:sz w:val="20"/>
                <w:szCs w:val="20"/>
              </w:rPr>
            </w:pPr>
            <w:r>
              <w:rPr>
                <w:sz w:val="20"/>
                <w:szCs w:val="20"/>
              </w:rPr>
              <w:t xml:space="preserve">Neurodevelopmental disorder with hypotonia, </w:t>
            </w:r>
            <w:r>
              <w:rPr>
                <w:sz w:val="20"/>
                <w:szCs w:val="20"/>
              </w:rPr>
              <w:lastRenderedPageBreak/>
              <w:t>stereotypic hand movements, and impaired language, (AD; OMIM:613443)</w:t>
            </w:r>
          </w:p>
        </w:tc>
        <w:tc>
          <w:tcPr>
            <w:tcW w:w="1245" w:type="dxa"/>
            <w:shd w:val="clear" w:color="auto" w:fill="auto"/>
            <w:tcMar>
              <w:top w:w="100" w:type="dxa"/>
              <w:left w:w="100" w:type="dxa"/>
              <w:bottom w:w="100" w:type="dxa"/>
              <w:right w:w="100" w:type="dxa"/>
            </w:tcMar>
          </w:tcPr>
          <w:p w14:paraId="66EE8A34" w14:textId="77777777" w:rsidR="00D561E8" w:rsidRDefault="00000000">
            <w:pPr>
              <w:widowControl w:val="0"/>
              <w:spacing w:line="480" w:lineRule="auto"/>
              <w:rPr>
                <w:sz w:val="20"/>
                <w:szCs w:val="20"/>
              </w:rPr>
            </w:pPr>
            <w:r>
              <w:rPr>
                <w:sz w:val="20"/>
                <w:szCs w:val="20"/>
              </w:rPr>
              <w:lastRenderedPageBreak/>
              <w:t>5’UTR</w:t>
            </w:r>
          </w:p>
        </w:tc>
        <w:tc>
          <w:tcPr>
            <w:tcW w:w="1320" w:type="dxa"/>
            <w:shd w:val="clear" w:color="auto" w:fill="auto"/>
            <w:tcMar>
              <w:top w:w="100" w:type="dxa"/>
              <w:left w:w="100" w:type="dxa"/>
              <w:bottom w:w="100" w:type="dxa"/>
              <w:right w:w="100" w:type="dxa"/>
            </w:tcMar>
          </w:tcPr>
          <w:p w14:paraId="6838EA78" w14:textId="77777777" w:rsidR="00D561E8" w:rsidRDefault="00000000">
            <w:pPr>
              <w:widowControl w:val="0"/>
              <w:spacing w:line="480" w:lineRule="auto"/>
              <w:rPr>
                <w:sz w:val="20"/>
                <w:szCs w:val="20"/>
              </w:rPr>
            </w:pPr>
            <w:r>
              <w:rPr>
                <w:sz w:val="20"/>
                <w:szCs w:val="20"/>
              </w:rPr>
              <w:t xml:space="preserve">UTRannotator:uAUG gained. In </w:t>
            </w:r>
            <w:r>
              <w:rPr>
                <w:sz w:val="20"/>
                <w:szCs w:val="20"/>
              </w:rPr>
              <w:lastRenderedPageBreak/>
              <w:t>frame oORF (c.-26C&gt;T)</w:t>
            </w:r>
          </w:p>
        </w:tc>
        <w:tc>
          <w:tcPr>
            <w:tcW w:w="3600" w:type="dxa"/>
            <w:shd w:val="clear" w:color="auto" w:fill="auto"/>
            <w:tcMar>
              <w:top w:w="100" w:type="dxa"/>
              <w:left w:w="100" w:type="dxa"/>
              <w:bottom w:w="100" w:type="dxa"/>
              <w:right w:w="100" w:type="dxa"/>
            </w:tcMar>
          </w:tcPr>
          <w:p w14:paraId="6A87E7EA" w14:textId="77777777" w:rsidR="00D561E8" w:rsidRDefault="00000000">
            <w:pPr>
              <w:widowControl w:val="0"/>
              <w:spacing w:line="480" w:lineRule="auto"/>
              <w:rPr>
                <w:sz w:val="20"/>
                <w:szCs w:val="20"/>
              </w:rPr>
            </w:pPr>
            <w:r>
              <w:rPr>
                <w:sz w:val="20"/>
                <w:szCs w:val="20"/>
              </w:rPr>
              <w:lastRenderedPageBreak/>
              <w:t>Abnormality of mouth size HP:0011337</w:t>
            </w:r>
          </w:p>
          <w:p w14:paraId="7AD8F28B" w14:textId="77777777" w:rsidR="00D561E8" w:rsidRDefault="00000000">
            <w:pPr>
              <w:widowControl w:val="0"/>
              <w:spacing w:line="480" w:lineRule="auto"/>
              <w:rPr>
                <w:sz w:val="20"/>
                <w:szCs w:val="20"/>
              </w:rPr>
            </w:pPr>
            <w:r>
              <w:rPr>
                <w:sz w:val="20"/>
                <w:szCs w:val="20"/>
              </w:rPr>
              <w:t>Atypical behaviour HP:0000708</w:t>
            </w:r>
          </w:p>
          <w:p w14:paraId="6FDDA5F8" w14:textId="77777777" w:rsidR="00D561E8" w:rsidRDefault="00000000">
            <w:pPr>
              <w:widowControl w:val="0"/>
              <w:spacing w:line="480" w:lineRule="auto"/>
              <w:rPr>
                <w:sz w:val="20"/>
                <w:szCs w:val="20"/>
              </w:rPr>
            </w:pPr>
            <w:r>
              <w:rPr>
                <w:sz w:val="20"/>
                <w:szCs w:val="20"/>
              </w:rPr>
              <w:lastRenderedPageBreak/>
              <w:t>Neurodevelopmental abnormality HP:0012759</w:t>
            </w:r>
          </w:p>
          <w:p w14:paraId="25351574" w14:textId="77777777" w:rsidR="00D561E8" w:rsidRDefault="00000000">
            <w:pPr>
              <w:widowControl w:val="0"/>
              <w:spacing w:line="480" w:lineRule="auto"/>
              <w:rPr>
                <w:sz w:val="20"/>
                <w:szCs w:val="20"/>
              </w:rPr>
            </w:pPr>
            <w:r>
              <w:rPr>
                <w:sz w:val="20"/>
                <w:szCs w:val="20"/>
              </w:rPr>
              <w:t>Motor delay HP:0001270</w:t>
            </w:r>
          </w:p>
          <w:p w14:paraId="0084CE73" w14:textId="77777777" w:rsidR="00D561E8" w:rsidRDefault="00000000">
            <w:pPr>
              <w:widowControl w:val="0"/>
              <w:spacing w:line="480" w:lineRule="auto"/>
              <w:rPr>
                <w:sz w:val="20"/>
                <w:szCs w:val="20"/>
              </w:rPr>
            </w:pPr>
            <w:r>
              <w:rPr>
                <w:sz w:val="20"/>
                <w:szCs w:val="20"/>
              </w:rPr>
              <w:t>Reduced visual acuity HP:0007663</w:t>
            </w:r>
          </w:p>
          <w:p w14:paraId="01F0B3F3" w14:textId="77777777" w:rsidR="00D561E8" w:rsidRDefault="00000000">
            <w:pPr>
              <w:widowControl w:val="0"/>
              <w:spacing w:line="480" w:lineRule="auto"/>
              <w:rPr>
                <w:sz w:val="20"/>
                <w:szCs w:val="20"/>
              </w:rPr>
            </w:pPr>
            <w:r>
              <w:rPr>
                <w:sz w:val="20"/>
                <w:szCs w:val="20"/>
              </w:rPr>
              <w:t>Decreased body weight HP:0004325</w:t>
            </w:r>
          </w:p>
          <w:p w14:paraId="0A341E2A" w14:textId="77777777" w:rsidR="00D561E8" w:rsidRDefault="00000000">
            <w:pPr>
              <w:widowControl w:val="0"/>
              <w:spacing w:line="480" w:lineRule="auto"/>
              <w:rPr>
                <w:sz w:val="20"/>
                <w:szCs w:val="20"/>
              </w:rPr>
            </w:pPr>
            <w:r>
              <w:rPr>
                <w:sz w:val="20"/>
                <w:szCs w:val="20"/>
              </w:rPr>
              <w:t>Neurodevelopmental delay HP:0012758</w:t>
            </w:r>
          </w:p>
          <w:p w14:paraId="0C75E8AB" w14:textId="77777777" w:rsidR="00D561E8" w:rsidRDefault="00000000">
            <w:pPr>
              <w:widowControl w:val="0"/>
              <w:spacing w:line="480" w:lineRule="auto"/>
              <w:rPr>
                <w:sz w:val="20"/>
                <w:szCs w:val="20"/>
              </w:rPr>
            </w:pPr>
            <w:r>
              <w:rPr>
                <w:sz w:val="20"/>
                <w:szCs w:val="20"/>
              </w:rPr>
              <w:t>Aplasia/Hypoplasia of the corpus callosum HP:0007370</w:t>
            </w:r>
          </w:p>
          <w:p w14:paraId="226BA430" w14:textId="77777777" w:rsidR="00D561E8" w:rsidRDefault="00000000">
            <w:pPr>
              <w:widowControl w:val="0"/>
              <w:spacing w:line="480" w:lineRule="auto"/>
              <w:rPr>
                <w:sz w:val="20"/>
                <w:szCs w:val="20"/>
              </w:rPr>
            </w:pPr>
            <w:r>
              <w:rPr>
                <w:sz w:val="20"/>
                <w:szCs w:val="20"/>
              </w:rPr>
              <w:t>Abnormal nervous system physiology HP:0012638</w:t>
            </w:r>
          </w:p>
          <w:p w14:paraId="16868B6F" w14:textId="77777777" w:rsidR="00D561E8" w:rsidRDefault="00000000">
            <w:pPr>
              <w:widowControl w:val="0"/>
              <w:spacing w:line="480" w:lineRule="auto"/>
              <w:rPr>
                <w:sz w:val="20"/>
                <w:szCs w:val="20"/>
              </w:rPr>
            </w:pPr>
            <w:r>
              <w:rPr>
                <w:sz w:val="20"/>
                <w:szCs w:val="20"/>
              </w:rPr>
              <w:t>Abnormal response to social norms HP:5200123</w:t>
            </w:r>
          </w:p>
          <w:p w14:paraId="429FD6B6" w14:textId="77777777" w:rsidR="00D561E8" w:rsidRDefault="00000000">
            <w:pPr>
              <w:widowControl w:val="0"/>
              <w:spacing w:line="480" w:lineRule="auto"/>
              <w:rPr>
                <w:sz w:val="20"/>
                <w:szCs w:val="20"/>
              </w:rPr>
            </w:pPr>
            <w:r>
              <w:rPr>
                <w:sz w:val="20"/>
                <w:szCs w:val="20"/>
              </w:rPr>
              <w:t>Abnormal eyelid morphology HP:0000492</w:t>
            </w:r>
          </w:p>
        </w:tc>
        <w:tc>
          <w:tcPr>
            <w:tcW w:w="3375" w:type="dxa"/>
            <w:shd w:val="clear" w:color="auto" w:fill="auto"/>
            <w:tcMar>
              <w:top w:w="100" w:type="dxa"/>
              <w:left w:w="100" w:type="dxa"/>
              <w:bottom w:w="100" w:type="dxa"/>
              <w:right w:w="100" w:type="dxa"/>
            </w:tcMar>
          </w:tcPr>
          <w:p w14:paraId="08FCDADA"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67648701" w14:textId="77777777" w:rsidR="00D561E8" w:rsidRDefault="00000000">
            <w:pPr>
              <w:widowControl w:val="0"/>
              <w:spacing w:line="480" w:lineRule="auto"/>
              <w:rPr>
                <w:sz w:val="20"/>
                <w:szCs w:val="20"/>
              </w:rPr>
            </w:pPr>
            <w:r>
              <w:rPr>
                <w:sz w:val="20"/>
                <w:szCs w:val="20"/>
              </w:rPr>
              <w:t>Yes</w:t>
            </w:r>
          </w:p>
        </w:tc>
      </w:tr>
      <w:tr w:rsidR="00D561E8" w14:paraId="0BB0EEA9" w14:textId="77777777">
        <w:tc>
          <w:tcPr>
            <w:tcW w:w="1170" w:type="dxa"/>
            <w:shd w:val="clear" w:color="auto" w:fill="auto"/>
            <w:tcMar>
              <w:top w:w="100" w:type="dxa"/>
              <w:left w:w="100" w:type="dxa"/>
              <w:bottom w:w="100" w:type="dxa"/>
              <w:right w:w="100" w:type="dxa"/>
            </w:tcMar>
          </w:tcPr>
          <w:p w14:paraId="7D71C406" w14:textId="77777777" w:rsidR="00D561E8" w:rsidRDefault="00000000">
            <w:pPr>
              <w:widowControl w:val="0"/>
              <w:spacing w:line="480" w:lineRule="auto"/>
              <w:rPr>
                <w:sz w:val="20"/>
                <w:szCs w:val="20"/>
              </w:rPr>
            </w:pPr>
            <w:r>
              <w:rPr>
                <w:sz w:val="20"/>
                <w:szCs w:val="20"/>
              </w:rPr>
              <w:t>Chr11:31806844 C&gt;T</w:t>
            </w:r>
          </w:p>
        </w:tc>
        <w:tc>
          <w:tcPr>
            <w:tcW w:w="1305" w:type="dxa"/>
            <w:shd w:val="clear" w:color="auto" w:fill="auto"/>
            <w:tcMar>
              <w:top w:w="100" w:type="dxa"/>
              <w:left w:w="100" w:type="dxa"/>
              <w:bottom w:w="100" w:type="dxa"/>
              <w:right w:w="100" w:type="dxa"/>
            </w:tcMar>
          </w:tcPr>
          <w:p w14:paraId="107A04CE" w14:textId="77777777" w:rsidR="00D561E8" w:rsidRDefault="00000000">
            <w:pPr>
              <w:widowControl w:val="0"/>
              <w:spacing w:line="480" w:lineRule="auto"/>
              <w:rPr>
                <w:sz w:val="20"/>
                <w:szCs w:val="20"/>
              </w:rPr>
            </w:pPr>
            <w:r>
              <w:rPr>
                <w:i/>
                <w:sz w:val="20"/>
                <w:szCs w:val="20"/>
              </w:rPr>
              <w:t xml:space="preserve">PAX6 </w:t>
            </w:r>
            <w:r>
              <w:rPr>
                <w:sz w:val="20"/>
                <w:szCs w:val="20"/>
              </w:rPr>
              <w:t>(ENST00000640368)</w:t>
            </w:r>
          </w:p>
        </w:tc>
        <w:tc>
          <w:tcPr>
            <w:tcW w:w="1620" w:type="dxa"/>
            <w:shd w:val="clear" w:color="auto" w:fill="auto"/>
            <w:tcMar>
              <w:top w:w="100" w:type="dxa"/>
              <w:left w:w="100" w:type="dxa"/>
              <w:bottom w:w="100" w:type="dxa"/>
              <w:right w:w="100" w:type="dxa"/>
            </w:tcMar>
          </w:tcPr>
          <w:p w14:paraId="34171898" w14:textId="77777777" w:rsidR="00D561E8" w:rsidRDefault="00000000">
            <w:pPr>
              <w:widowControl w:val="0"/>
              <w:spacing w:line="480" w:lineRule="auto"/>
              <w:rPr>
                <w:sz w:val="20"/>
                <w:szCs w:val="20"/>
              </w:rPr>
            </w:pPr>
            <w:r>
              <w:rPr>
                <w:sz w:val="20"/>
                <w:szCs w:val="20"/>
              </w:rPr>
              <w:t xml:space="preserve">Aniridia 1, (AD), OMIM:106210. </w:t>
            </w:r>
          </w:p>
          <w:p w14:paraId="75175D2D" w14:textId="77777777" w:rsidR="00D561E8" w:rsidRDefault="00000000">
            <w:pPr>
              <w:widowControl w:val="0"/>
              <w:spacing w:line="480" w:lineRule="auto"/>
              <w:rPr>
                <w:sz w:val="20"/>
                <w:szCs w:val="20"/>
              </w:rPr>
            </w:pPr>
            <w:r>
              <w:rPr>
                <w:sz w:val="20"/>
                <w:szCs w:val="20"/>
              </w:rPr>
              <w:t xml:space="preserve">Foveal </w:t>
            </w:r>
            <w:r>
              <w:rPr>
                <w:sz w:val="20"/>
                <w:szCs w:val="20"/>
              </w:rPr>
              <w:lastRenderedPageBreak/>
              <w:t xml:space="preserve">Hypoplasia 1, (AD; OMIM:136520), </w:t>
            </w:r>
          </w:p>
          <w:p w14:paraId="1C5E7F03" w14:textId="77777777" w:rsidR="00D561E8" w:rsidRDefault="00000000">
            <w:pPr>
              <w:widowControl w:val="0"/>
              <w:spacing w:line="480" w:lineRule="auto"/>
              <w:rPr>
                <w:sz w:val="20"/>
                <w:szCs w:val="20"/>
              </w:rPr>
            </w:pPr>
            <w:r>
              <w:rPr>
                <w:sz w:val="20"/>
                <w:szCs w:val="20"/>
              </w:rPr>
              <w:t xml:space="preserve">Anterior segment dysgenesis 5, (AD), (AD; OMIM:604229), </w:t>
            </w:r>
          </w:p>
          <w:p w14:paraId="703B4CB6" w14:textId="77777777" w:rsidR="00D561E8" w:rsidRDefault="00000000">
            <w:pPr>
              <w:widowControl w:val="0"/>
              <w:spacing w:line="480" w:lineRule="auto"/>
              <w:rPr>
                <w:sz w:val="20"/>
                <w:szCs w:val="20"/>
              </w:rPr>
            </w:pPr>
            <w:r>
              <w:rPr>
                <w:sz w:val="20"/>
                <w:szCs w:val="20"/>
              </w:rPr>
              <w:t>Keratitis, Hereditary, (AD; OMIM:148190),</w:t>
            </w:r>
          </w:p>
          <w:p w14:paraId="2DFACBEB" w14:textId="77777777" w:rsidR="00D561E8" w:rsidRDefault="00000000">
            <w:pPr>
              <w:widowControl w:val="0"/>
              <w:spacing w:line="480" w:lineRule="auto"/>
              <w:rPr>
                <w:sz w:val="20"/>
                <w:szCs w:val="20"/>
              </w:rPr>
            </w:pPr>
            <w:r>
              <w:rPr>
                <w:sz w:val="20"/>
                <w:szCs w:val="20"/>
              </w:rPr>
              <w:t xml:space="preserve">Coloboma, ocular, autosomal dominant, (AD; OMIM:120200), </w:t>
            </w:r>
          </w:p>
          <w:p w14:paraId="096DBC22" w14:textId="77777777" w:rsidR="00D561E8" w:rsidRDefault="00000000">
            <w:pPr>
              <w:widowControl w:val="0"/>
              <w:spacing w:line="480" w:lineRule="auto"/>
              <w:rPr>
                <w:sz w:val="20"/>
                <w:szCs w:val="20"/>
              </w:rPr>
            </w:pPr>
            <w:r>
              <w:rPr>
                <w:sz w:val="20"/>
                <w:szCs w:val="20"/>
              </w:rPr>
              <w:t xml:space="preserve">Coloboma of optic nerve, </w:t>
            </w:r>
            <w:r>
              <w:rPr>
                <w:sz w:val="20"/>
                <w:szCs w:val="20"/>
              </w:rPr>
              <w:lastRenderedPageBreak/>
              <w:t>(AD; OMIM:120430),</w:t>
            </w:r>
          </w:p>
          <w:p w14:paraId="51D71BF3" w14:textId="77777777" w:rsidR="00D561E8" w:rsidRDefault="00000000">
            <w:pPr>
              <w:widowControl w:val="0"/>
              <w:spacing w:line="480" w:lineRule="auto"/>
              <w:rPr>
                <w:sz w:val="20"/>
                <w:szCs w:val="20"/>
              </w:rPr>
            </w:pPr>
            <w:r>
              <w:rPr>
                <w:sz w:val="20"/>
                <w:szCs w:val="20"/>
              </w:rPr>
              <w:t>Optic nerve hypoplasia, bilateral, (AD; OMIM:165550),</w:t>
            </w:r>
          </w:p>
        </w:tc>
        <w:tc>
          <w:tcPr>
            <w:tcW w:w="1245" w:type="dxa"/>
            <w:shd w:val="clear" w:color="auto" w:fill="auto"/>
            <w:tcMar>
              <w:top w:w="100" w:type="dxa"/>
              <w:left w:w="100" w:type="dxa"/>
              <w:bottom w:w="100" w:type="dxa"/>
              <w:right w:w="100" w:type="dxa"/>
            </w:tcMar>
          </w:tcPr>
          <w:p w14:paraId="44580A93" w14:textId="77777777" w:rsidR="00D561E8" w:rsidRDefault="00000000">
            <w:pPr>
              <w:widowControl w:val="0"/>
              <w:spacing w:line="480" w:lineRule="auto"/>
              <w:rPr>
                <w:sz w:val="20"/>
                <w:szCs w:val="20"/>
              </w:rPr>
            </w:pPr>
            <w:r>
              <w:rPr>
                <w:sz w:val="20"/>
                <w:szCs w:val="20"/>
              </w:rPr>
              <w:lastRenderedPageBreak/>
              <w:t>5’UTR</w:t>
            </w:r>
          </w:p>
          <w:p w14:paraId="009A8651" w14:textId="77777777" w:rsidR="00D561E8" w:rsidRDefault="00000000">
            <w:pPr>
              <w:widowControl w:val="0"/>
              <w:spacing w:line="480" w:lineRule="auto"/>
              <w:rPr>
                <w:sz w:val="20"/>
                <w:szCs w:val="20"/>
              </w:rPr>
            </w:pPr>
            <w:r>
              <w:rPr>
                <w:sz w:val="20"/>
                <w:szCs w:val="20"/>
              </w:rPr>
              <w:t>Splice</w:t>
            </w:r>
          </w:p>
        </w:tc>
        <w:tc>
          <w:tcPr>
            <w:tcW w:w="1320" w:type="dxa"/>
            <w:shd w:val="clear" w:color="auto" w:fill="auto"/>
            <w:tcMar>
              <w:top w:w="100" w:type="dxa"/>
              <w:left w:w="100" w:type="dxa"/>
              <w:bottom w:w="100" w:type="dxa"/>
              <w:right w:w="100" w:type="dxa"/>
            </w:tcMar>
          </w:tcPr>
          <w:p w14:paraId="431F8DE5" w14:textId="77777777" w:rsidR="00D561E8" w:rsidRDefault="00000000">
            <w:pPr>
              <w:widowControl w:val="0"/>
              <w:spacing w:line="480" w:lineRule="auto"/>
              <w:rPr>
                <w:sz w:val="20"/>
                <w:szCs w:val="20"/>
              </w:rPr>
            </w:pPr>
            <w:r>
              <w:rPr>
                <w:sz w:val="20"/>
                <w:szCs w:val="20"/>
              </w:rPr>
              <w:t>SpliceAI = 0.56 Donor loss (c.-</w:t>
            </w:r>
            <w:r>
              <w:rPr>
                <w:sz w:val="20"/>
                <w:szCs w:val="20"/>
              </w:rPr>
              <w:lastRenderedPageBreak/>
              <w:t>52+5G&gt;A)</w:t>
            </w:r>
          </w:p>
        </w:tc>
        <w:tc>
          <w:tcPr>
            <w:tcW w:w="3600" w:type="dxa"/>
            <w:shd w:val="clear" w:color="auto" w:fill="auto"/>
            <w:tcMar>
              <w:top w:w="100" w:type="dxa"/>
              <w:left w:w="100" w:type="dxa"/>
              <w:bottom w:w="100" w:type="dxa"/>
              <w:right w:w="100" w:type="dxa"/>
            </w:tcMar>
          </w:tcPr>
          <w:p w14:paraId="2C935413" w14:textId="77777777" w:rsidR="00D561E8" w:rsidRDefault="00000000">
            <w:pPr>
              <w:widowControl w:val="0"/>
              <w:spacing w:line="480" w:lineRule="auto"/>
              <w:rPr>
                <w:sz w:val="20"/>
                <w:szCs w:val="20"/>
              </w:rPr>
            </w:pPr>
            <w:r>
              <w:rPr>
                <w:sz w:val="20"/>
                <w:szCs w:val="20"/>
              </w:rPr>
              <w:lastRenderedPageBreak/>
              <w:t>Phenotypic abnormality HP:0000118</w:t>
            </w:r>
          </w:p>
          <w:p w14:paraId="2B0D1F97" w14:textId="77777777" w:rsidR="00D561E8" w:rsidRDefault="00000000">
            <w:pPr>
              <w:widowControl w:val="0"/>
              <w:spacing w:line="480" w:lineRule="auto"/>
              <w:rPr>
                <w:sz w:val="20"/>
                <w:szCs w:val="20"/>
              </w:rPr>
            </w:pPr>
            <w:r>
              <w:rPr>
                <w:sz w:val="20"/>
                <w:szCs w:val="20"/>
              </w:rPr>
              <w:t>Aplasia/Hypoplasia of the iris</w:t>
            </w:r>
          </w:p>
        </w:tc>
        <w:tc>
          <w:tcPr>
            <w:tcW w:w="3375" w:type="dxa"/>
            <w:shd w:val="clear" w:color="auto" w:fill="auto"/>
            <w:tcMar>
              <w:top w:w="100" w:type="dxa"/>
              <w:left w:w="100" w:type="dxa"/>
              <w:bottom w:w="100" w:type="dxa"/>
              <w:right w:w="100" w:type="dxa"/>
            </w:tcMar>
          </w:tcPr>
          <w:p w14:paraId="3181B0A8"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5762FDD6" w14:textId="77777777" w:rsidR="00D561E8" w:rsidRDefault="00000000">
            <w:pPr>
              <w:widowControl w:val="0"/>
              <w:spacing w:line="480" w:lineRule="auto"/>
              <w:rPr>
                <w:sz w:val="20"/>
                <w:szCs w:val="20"/>
              </w:rPr>
            </w:pPr>
            <w:r>
              <w:rPr>
                <w:sz w:val="20"/>
                <w:szCs w:val="20"/>
              </w:rPr>
              <w:t>Yes</w:t>
            </w:r>
          </w:p>
        </w:tc>
      </w:tr>
      <w:tr w:rsidR="00D561E8" w14:paraId="780C2891" w14:textId="77777777">
        <w:tc>
          <w:tcPr>
            <w:tcW w:w="1170" w:type="dxa"/>
            <w:shd w:val="clear" w:color="auto" w:fill="auto"/>
            <w:tcMar>
              <w:top w:w="100" w:type="dxa"/>
              <w:left w:w="100" w:type="dxa"/>
              <w:bottom w:w="100" w:type="dxa"/>
              <w:right w:w="100" w:type="dxa"/>
            </w:tcMar>
          </w:tcPr>
          <w:p w14:paraId="1DC07CCC" w14:textId="77777777" w:rsidR="00D561E8" w:rsidRDefault="00000000">
            <w:pPr>
              <w:widowControl w:val="0"/>
              <w:spacing w:line="480" w:lineRule="auto"/>
              <w:rPr>
                <w:sz w:val="20"/>
                <w:szCs w:val="20"/>
              </w:rPr>
            </w:pPr>
            <w:r>
              <w:rPr>
                <w:sz w:val="20"/>
                <w:szCs w:val="20"/>
              </w:rPr>
              <w:lastRenderedPageBreak/>
              <w:t>Chr11:31806926 CT&gt;C</w:t>
            </w:r>
          </w:p>
        </w:tc>
        <w:tc>
          <w:tcPr>
            <w:tcW w:w="1305" w:type="dxa"/>
            <w:shd w:val="clear" w:color="auto" w:fill="auto"/>
            <w:tcMar>
              <w:top w:w="100" w:type="dxa"/>
              <w:left w:w="100" w:type="dxa"/>
              <w:bottom w:w="100" w:type="dxa"/>
              <w:right w:w="100" w:type="dxa"/>
            </w:tcMar>
          </w:tcPr>
          <w:p w14:paraId="7C8068CF" w14:textId="77777777" w:rsidR="00D561E8" w:rsidRDefault="00000000">
            <w:pPr>
              <w:widowControl w:val="0"/>
              <w:spacing w:line="480" w:lineRule="auto"/>
              <w:rPr>
                <w:sz w:val="20"/>
                <w:szCs w:val="20"/>
              </w:rPr>
            </w:pPr>
            <w:r>
              <w:rPr>
                <w:i/>
                <w:sz w:val="20"/>
                <w:szCs w:val="20"/>
              </w:rPr>
              <w:t xml:space="preserve">PAX6 </w:t>
            </w:r>
            <w:r>
              <w:rPr>
                <w:sz w:val="20"/>
                <w:szCs w:val="20"/>
              </w:rPr>
              <w:t>(ENST00000640368)</w:t>
            </w:r>
          </w:p>
        </w:tc>
        <w:tc>
          <w:tcPr>
            <w:tcW w:w="1620" w:type="dxa"/>
            <w:shd w:val="clear" w:color="auto" w:fill="auto"/>
            <w:tcMar>
              <w:top w:w="100" w:type="dxa"/>
              <w:left w:w="100" w:type="dxa"/>
              <w:bottom w:w="100" w:type="dxa"/>
              <w:right w:w="100" w:type="dxa"/>
            </w:tcMar>
          </w:tcPr>
          <w:p w14:paraId="6541D112" w14:textId="77777777" w:rsidR="00D561E8" w:rsidRDefault="00000000">
            <w:pPr>
              <w:widowControl w:val="0"/>
              <w:spacing w:line="480" w:lineRule="auto"/>
              <w:rPr>
                <w:sz w:val="20"/>
                <w:szCs w:val="20"/>
              </w:rPr>
            </w:pPr>
            <w:r>
              <w:rPr>
                <w:sz w:val="20"/>
                <w:szCs w:val="20"/>
              </w:rPr>
              <w:t xml:space="preserve">Aniridia 1, (AD), OMIM:106210. </w:t>
            </w:r>
          </w:p>
          <w:p w14:paraId="28FE93C1" w14:textId="77777777" w:rsidR="00D561E8" w:rsidRDefault="00000000">
            <w:pPr>
              <w:widowControl w:val="0"/>
              <w:spacing w:line="480" w:lineRule="auto"/>
              <w:rPr>
                <w:sz w:val="20"/>
                <w:szCs w:val="20"/>
              </w:rPr>
            </w:pPr>
            <w:r>
              <w:rPr>
                <w:sz w:val="20"/>
                <w:szCs w:val="20"/>
              </w:rPr>
              <w:t xml:space="preserve">Foveal Hypoplasia 1, (AD; OMIM:136520), </w:t>
            </w:r>
          </w:p>
          <w:p w14:paraId="49772263" w14:textId="77777777" w:rsidR="00D561E8" w:rsidRDefault="00000000">
            <w:pPr>
              <w:widowControl w:val="0"/>
              <w:spacing w:line="480" w:lineRule="auto"/>
              <w:rPr>
                <w:sz w:val="20"/>
                <w:szCs w:val="20"/>
              </w:rPr>
            </w:pPr>
            <w:r>
              <w:rPr>
                <w:sz w:val="20"/>
                <w:szCs w:val="20"/>
              </w:rPr>
              <w:t xml:space="preserve">Anterior segment dysgenesis 5, (AD), (AD; OMIM:604229), </w:t>
            </w:r>
          </w:p>
          <w:p w14:paraId="7A6F108B" w14:textId="77777777" w:rsidR="00D561E8" w:rsidRDefault="00000000">
            <w:pPr>
              <w:widowControl w:val="0"/>
              <w:spacing w:line="480" w:lineRule="auto"/>
              <w:rPr>
                <w:sz w:val="20"/>
                <w:szCs w:val="20"/>
              </w:rPr>
            </w:pPr>
            <w:r>
              <w:rPr>
                <w:sz w:val="20"/>
                <w:szCs w:val="20"/>
              </w:rPr>
              <w:t xml:space="preserve">Keratitis, </w:t>
            </w:r>
            <w:r>
              <w:rPr>
                <w:sz w:val="20"/>
                <w:szCs w:val="20"/>
              </w:rPr>
              <w:lastRenderedPageBreak/>
              <w:t>Hereditary, (AD; OMIM:148190),</w:t>
            </w:r>
          </w:p>
          <w:p w14:paraId="11DAA9DF" w14:textId="77777777" w:rsidR="00D561E8" w:rsidRDefault="00000000">
            <w:pPr>
              <w:widowControl w:val="0"/>
              <w:spacing w:line="480" w:lineRule="auto"/>
              <w:rPr>
                <w:sz w:val="20"/>
                <w:szCs w:val="20"/>
              </w:rPr>
            </w:pPr>
            <w:r>
              <w:rPr>
                <w:sz w:val="20"/>
                <w:szCs w:val="20"/>
              </w:rPr>
              <w:t xml:space="preserve">Coloboma, ocular, autosomal dominant, (AD; OMIM:120200), </w:t>
            </w:r>
          </w:p>
          <w:p w14:paraId="0CB38FC7" w14:textId="77777777" w:rsidR="00D561E8" w:rsidRDefault="00000000">
            <w:pPr>
              <w:widowControl w:val="0"/>
              <w:spacing w:line="480" w:lineRule="auto"/>
              <w:rPr>
                <w:sz w:val="20"/>
                <w:szCs w:val="20"/>
              </w:rPr>
            </w:pPr>
            <w:r>
              <w:rPr>
                <w:sz w:val="20"/>
                <w:szCs w:val="20"/>
              </w:rPr>
              <w:t>Coloboma of optic nerve, (AD; OMIM:120430),</w:t>
            </w:r>
          </w:p>
          <w:p w14:paraId="5F9F8EDF" w14:textId="77777777" w:rsidR="00D561E8" w:rsidRDefault="00000000">
            <w:pPr>
              <w:widowControl w:val="0"/>
              <w:spacing w:line="480" w:lineRule="auto"/>
              <w:rPr>
                <w:sz w:val="20"/>
                <w:szCs w:val="20"/>
              </w:rPr>
            </w:pPr>
            <w:r>
              <w:rPr>
                <w:sz w:val="20"/>
                <w:szCs w:val="20"/>
              </w:rPr>
              <w:t>Optic nerve hypoplasia, bilateral, (AD; OMIM:165550),</w:t>
            </w:r>
          </w:p>
        </w:tc>
        <w:tc>
          <w:tcPr>
            <w:tcW w:w="1245" w:type="dxa"/>
            <w:shd w:val="clear" w:color="auto" w:fill="auto"/>
            <w:tcMar>
              <w:top w:w="100" w:type="dxa"/>
              <w:left w:w="100" w:type="dxa"/>
              <w:bottom w:w="100" w:type="dxa"/>
              <w:right w:w="100" w:type="dxa"/>
            </w:tcMar>
          </w:tcPr>
          <w:p w14:paraId="0738E917" w14:textId="77777777" w:rsidR="00D561E8" w:rsidRDefault="00000000">
            <w:pPr>
              <w:widowControl w:val="0"/>
              <w:spacing w:line="480" w:lineRule="auto"/>
              <w:rPr>
                <w:sz w:val="20"/>
                <w:szCs w:val="20"/>
              </w:rPr>
            </w:pPr>
            <w:r>
              <w:rPr>
                <w:sz w:val="20"/>
                <w:szCs w:val="20"/>
              </w:rPr>
              <w:lastRenderedPageBreak/>
              <w:t>5’UTR</w:t>
            </w:r>
          </w:p>
          <w:p w14:paraId="2D52D64C" w14:textId="77777777" w:rsidR="00D561E8" w:rsidRDefault="00000000">
            <w:pPr>
              <w:widowControl w:val="0"/>
              <w:spacing w:line="480" w:lineRule="auto"/>
              <w:rPr>
                <w:sz w:val="20"/>
                <w:szCs w:val="20"/>
              </w:rPr>
            </w:pPr>
            <w:r>
              <w:rPr>
                <w:sz w:val="20"/>
                <w:szCs w:val="20"/>
              </w:rPr>
              <w:t>Splice</w:t>
            </w:r>
          </w:p>
        </w:tc>
        <w:tc>
          <w:tcPr>
            <w:tcW w:w="1320" w:type="dxa"/>
            <w:shd w:val="clear" w:color="auto" w:fill="auto"/>
            <w:tcMar>
              <w:top w:w="100" w:type="dxa"/>
              <w:left w:w="100" w:type="dxa"/>
              <w:bottom w:w="100" w:type="dxa"/>
              <w:right w:w="100" w:type="dxa"/>
            </w:tcMar>
          </w:tcPr>
          <w:p w14:paraId="5DF3EB43" w14:textId="77777777" w:rsidR="00D561E8" w:rsidRDefault="00000000">
            <w:pPr>
              <w:widowControl w:val="0"/>
              <w:spacing w:line="480" w:lineRule="auto"/>
              <w:rPr>
                <w:sz w:val="20"/>
                <w:szCs w:val="20"/>
              </w:rPr>
            </w:pPr>
            <w:r>
              <w:rPr>
                <w:sz w:val="20"/>
                <w:szCs w:val="20"/>
              </w:rPr>
              <w:t>SpliceAI = 0.65 Acceptor loss</w:t>
            </w:r>
          </w:p>
          <w:p w14:paraId="71955862" w14:textId="77777777" w:rsidR="00D561E8" w:rsidRDefault="00000000">
            <w:pPr>
              <w:widowControl w:val="0"/>
              <w:spacing w:line="480" w:lineRule="auto"/>
              <w:rPr>
                <w:sz w:val="20"/>
                <w:szCs w:val="20"/>
              </w:rPr>
            </w:pPr>
            <w:r>
              <w:rPr>
                <w:sz w:val="20"/>
                <w:szCs w:val="20"/>
              </w:rPr>
              <w:t>(c.-128-2del)</w:t>
            </w:r>
          </w:p>
        </w:tc>
        <w:tc>
          <w:tcPr>
            <w:tcW w:w="3600" w:type="dxa"/>
            <w:shd w:val="clear" w:color="auto" w:fill="auto"/>
            <w:tcMar>
              <w:top w:w="100" w:type="dxa"/>
              <w:left w:w="100" w:type="dxa"/>
              <w:bottom w:w="100" w:type="dxa"/>
              <w:right w:w="100" w:type="dxa"/>
            </w:tcMar>
          </w:tcPr>
          <w:p w14:paraId="096C88CA" w14:textId="77777777" w:rsidR="00D561E8" w:rsidRDefault="00000000">
            <w:pPr>
              <w:widowControl w:val="0"/>
              <w:spacing w:line="480" w:lineRule="auto"/>
              <w:rPr>
                <w:sz w:val="20"/>
                <w:szCs w:val="20"/>
              </w:rPr>
            </w:pPr>
            <w:r>
              <w:rPr>
                <w:sz w:val="20"/>
                <w:szCs w:val="20"/>
              </w:rPr>
              <w:t>Aplasia/Hypoplasia of the iris</w:t>
            </w:r>
          </w:p>
        </w:tc>
        <w:tc>
          <w:tcPr>
            <w:tcW w:w="3375" w:type="dxa"/>
            <w:shd w:val="clear" w:color="auto" w:fill="auto"/>
            <w:tcMar>
              <w:top w:w="100" w:type="dxa"/>
              <w:left w:w="100" w:type="dxa"/>
              <w:bottom w:w="100" w:type="dxa"/>
              <w:right w:w="100" w:type="dxa"/>
            </w:tcMar>
          </w:tcPr>
          <w:p w14:paraId="23C85120"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56DD04C0" w14:textId="77777777" w:rsidR="00D561E8" w:rsidRDefault="00000000">
            <w:pPr>
              <w:widowControl w:val="0"/>
              <w:spacing w:line="480" w:lineRule="auto"/>
              <w:rPr>
                <w:sz w:val="20"/>
                <w:szCs w:val="20"/>
              </w:rPr>
            </w:pPr>
            <w:r>
              <w:rPr>
                <w:sz w:val="20"/>
                <w:szCs w:val="20"/>
              </w:rPr>
              <w:t>Yes</w:t>
            </w:r>
          </w:p>
        </w:tc>
      </w:tr>
      <w:tr w:rsidR="00D561E8" w14:paraId="1B9EC76A" w14:textId="77777777">
        <w:tc>
          <w:tcPr>
            <w:tcW w:w="1170" w:type="dxa"/>
            <w:shd w:val="clear" w:color="auto" w:fill="auto"/>
            <w:tcMar>
              <w:top w:w="100" w:type="dxa"/>
              <w:left w:w="100" w:type="dxa"/>
              <w:bottom w:w="100" w:type="dxa"/>
              <w:right w:w="100" w:type="dxa"/>
            </w:tcMar>
          </w:tcPr>
          <w:p w14:paraId="057D3552" w14:textId="77777777" w:rsidR="00D561E8" w:rsidRDefault="00000000">
            <w:pPr>
              <w:widowControl w:val="0"/>
              <w:spacing w:line="480" w:lineRule="auto"/>
              <w:rPr>
                <w:sz w:val="20"/>
                <w:szCs w:val="20"/>
              </w:rPr>
            </w:pPr>
            <w:r>
              <w:rPr>
                <w:sz w:val="20"/>
                <w:szCs w:val="20"/>
              </w:rPr>
              <w:t>Chr17:8382317 T&gt;C</w:t>
            </w:r>
          </w:p>
        </w:tc>
        <w:tc>
          <w:tcPr>
            <w:tcW w:w="1305" w:type="dxa"/>
            <w:shd w:val="clear" w:color="auto" w:fill="auto"/>
            <w:tcMar>
              <w:top w:w="100" w:type="dxa"/>
              <w:left w:w="100" w:type="dxa"/>
              <w:bottom w:w="100" w:type="dxa"/>
              <w:right w:w="100" w:type="dxa"/>
            </w:tcMar>
          </w:tcPr>
          <w:p w14:paraId="2F733AF8" w14:textId="77777777" w:rsidR="00D561E8" w:rsidRDefault="00000000">
            <w:pPr>
              <w:widowControl w:val="0"/>
              <w:spacing w:line="480" w:lineRule="auto"/>
              <w:rPr>
                <w:sz w:val="20"/>
                <w:szCs w:val="20"/>
              </w:rPr>
            </w:pPr>
            <w:r>
              <w:rPr>
                <w:i/>
                <w:sz w:val="20"/>
                <w:szCs w:val="20"/>
              </w:rPr>
              <w:t xml:space="preserve">RPL26 </w:t>
            </w:r>
            <w:r>
              <w:rPr>
                <w:sz w:val="20"/>
                <w:szCs w:val="20"/>
              </w:rPr>
              <w:t>(ENST0000</w:t>
            </w:r>
            <w:r>
              <w:rPr>
                <w:sz w:val="20"/>
                <w:szCs w:val="20"/>
              </w:rPr>
              <w:lastRenderedPageBreak/>
              <w:t>0648839)</w:t>
            </w:r>
          </w:p>
        </w:tc>
        <w:tc>
          <w:tcPr>
            <w:tcW w:w="1620" w:type="dxa"/>
            <w:shd w:val="clear" w:color="auto" w:fill="auto"/>
            <w:tcMar>
              <w:top w:w="100" w:type="dxa"/>
              <w:left w:w="100" w:type="dxa"/>
              <w:bottom w:w="100" w:type="dxa"/>
              <w:right w:w="100" w:type="dxa"/>
            </w:tcMar>
          </w:tcPr>
          <w:p w14:paraId="72AA0E10" w14:textId="77777777" w:rsidR="00D561E8" w:rsidRDefault="00000000">
            <w:pPr>
              <w:widowControl w:val="0"/>
              <w:spacing w:line="480" w:lineRule="auto"/>
              <w:rPr>
                <w:sz w:val="20"/>
                <w:szCs w:val="20"/>
              </w:rPr>
            </w:pPr>
            <w:r>
              <w:rPr>
                <w:sz w:val="20"/>
                <w:szCs w:val="20"/>
              </w:rPr>
              <w:lastRenderedPageBreak/>
              <w:t xml:space="preserve">Diamond-Blackfan </w:t>
            </w:r>
            <w:r>
              <w:rPr>
                <w:sz w:val="20"/>
                <w:szCs w:val="20"/>
              </w:rPr>
              <w:lastRenderedPageBreak/>
              <w:t>anemia 11, (AD; OMIM:614900)</w:t>
            </w:r>
          </w:p>
          <w:p w14:paraId="00EA7114" w14:textId="77777777" w:rsidR="00D561E8" w:rsidRDefault="00D561E8">
            <w:pPr>
              <w:widowControl w:val="0"/>
              <w:spacing w:line="480" w:lineRule="auto"/>
              <w:rPr>
                <w:sz w:val="20"/>
                <w:szCs w:val="20"/>
              </w:rPr>
            </w:pPr>
          </w:p>
        </w:tc>
        <w:tc>
          <w:tcPr>
            <w:tcW w:w="1245" w:type="dxa"/>
            <w:shd w:val="clear" w:color="auto" w:fill="auto"/>
            <w:tcMar>
              <w:top w:w="100" w:type="dxa"/>
              <w:left w:w="100" w:type="dxa"/>
              <w:bottom w:w="100" w:type="dxa"/>
              <w:right w:w="100" w:type="dxa"/>
            </w:tcMar>
          </w:tcPr>
          <w:p w14:paraId="3D00CA15" w14:textId="77777777" w:rsidR="00D561E8" w:rsidRDefault="00000000">
            <w:pPr>
              <w:widowControl w:val="0"/>
              <w:spacing w:line="480" w:lineRule="auto"/>
              <w:rPr>
                <w:sz w:val="20"/>
                <w:szCs w:val="20"/>
              </w:rPr>
            </w:pPr>
            <w:r>
              <w:rPr>
                <w:sz w:val="20"/>
                <w:szCs w:val="20"/>
              </w:rPr>
              <w:lastRenderedPageBreak/>
              <w:t>5’UTR</w:t>
            </w:r>
          </w:p>
          <w:p w14:paraId="62555BD9" w14:textId="77777777" w:rsidR="00D561E8" w:rsidRDefault="00000000">
            <w:pPr>
              <w:widowControl w:val="0"/>
              <w:spacing w:line="480" w:lineRule="auto"/>
              <w:rPr>
                <w:sz w:val="20"/>
                <w:szCs w:val="20"/>
              </w:rPr>
            </w:pPr>
            <w:r>
              <w:rPr>
                <w:sz w:val="20"/>
                <w:szCs w:val="20"/>
              </w:rPr>
              <w:t>Splice</w:t>
            </w:r>
          </w:p>
        </w:tc>
        <w:tc>
          <w:tcPr>
            <w:tcW w:w="1320" w:type="dxa"/>
            <w:shd w:val="clear" w:color="auto" w:fill="auto"/>
            <w:tcMar>
              <w:top w:w="100" w:type="dxa"/>
              <w:left w:w="100" w:type="dxa"/>
              <w:bottom w:w="100" w:type="dxa"/>
              <w:right w:w="100" w:type="dxa"/>
            </w:tcMar>
          </w:tcPr>
          <w:p w14:paraId="7FB17F6D" w14:textId="77777777" w:rsidR="00D561E8" w:rsidRDefault="00000000">
            <w:pPr>
              <w:widowControl w:val="0"/>
              <w:spacing w:line="480" w:lineRule="auto"/>
              <w:rPr>
                <w:sz w:val="20"/>
                <w:szCs w:val="20"/>
              </w:rPr>
            </w:pPr>
            <w:r>
              <w:rPr>
                <w:sz w:val="20"/>
                <w:szCs w:val="20"/>
              </w:rPr>
              <w:t xml:space="preserve">CADD_Phred = 35, </w:t>
            </w:r>
            <w:r>
              <w:rPr>
                <w:sz w:val="20"/>
                <w:szCs w:val="20"/>
              </w:rPr>
              <w:lastRenderedPageBreak/>
              <w:t>SpliceAI = 0.97 Acceptor loss (c.-5-2A&gt;G)</w:t>
            </w:r>
          </w:p>
        </w:tc>
        <w:tc>
          <w:tcPr>
            <w:tcW w:w="3600" w:type="dxa"/>
            <w:shd w:val="clear" w:color="auto" w:fill="auto"/>
            <w:tcMar>
              <w:top w:w="100" w:type="dxa"/>
              <w:left w:w="100" w:type="dxa"/>
              <w:bottom w:w="100" w:type="dxa"/>
              <w:right w:w="100" w:type="dxa"/>
            </w:tcMar>
          </w:tcPr>
          <w:p w14:paraId="57727281" w14:textId="77777777" w:rsidR="00D561E8" w:rsidRDefault="00000000">
            <w:pPr>
              <w:widowControl w:val="0"/>
              <w:spacing w:line="480" w:lineRule="auto"/>
              <w:rPr>
                <w:sz w:val="20"/>
                <w:szCs w:val="20"/>
              </w:rPr>
            </w:pPr>
            <w:r>
              <w:rPr>
                <w:sz w:val="20"/>
                <w:szCs w:val="20"/>
              </w:rPr>
              <w:lastRenderedPageBreak/>
              <w:t>Periauricular skin pits HP:0100277</w:t>
            </w:r>
          </w:p>
          <w:p w14:paraId="5C9FAD15" w14:textId="77777777" w:rsidR="00D561E8" w:rsidRDefault="00000000">
            <w:pPr>
              <w:widowControl w:val="0"/>
              <w:spacing w:line="480" w:lineRule="auto"/>
              <w:rPr>
                <w:sz w:val="20"/>
                <w:szCs w:val="20"/>
              </w:rPr>
            </w:pPr>
            <w:r>
              <w:rPr>
                <w:sz w:val="20"/>
                <w:szCs w:val="20"/>
              </w:rPr>
              <w:t>Radioulnar synostosis HP:0002974</w:t>
            </w:r>
          </w:p>
          <w:p w14:paraId="74BFDFE2" w14:textId="77777777" w:rsidR="00D561E8" w:rsidRDefault="00000000">
            <w:pPr>
              <w:widowControl w:val="0"/>
              <w:spacing w:line="480" w:lineRule="auto"/>
              <w:rPr>
                <w:sz w:val="20"/>
                <w:szCs w:val="20"/>
              </w:rPr>
            </w:pPr>
            <w:r>
              <w:rPr>
                <w:sz w:val="20"/>
                <w:szCs w:val="20"/>
              </w:rPr>
              <w:lastRenderedPageBreak/>
              <w:t>Aplasia/Hypoplasia of the thumb HP:0009601</w:t>
            </w:r>
          </w:p>
          <w:p w14:paraId="7FFCD875" w14:textId="77777777" w:rsidR="00D561E8" w:rsidRDefault="00000000">
            <w:pPr>
              <w:widowControl w:val="0"/>
              <w:spacing w:line="480" w:lineRule="auto"/>
              <w:rPr>
                <w:sz w:val="20"/>
                <w:szCs w:val="20"/>
              </w:rPr>
            </w:pPr>
            <w:r>
              <w:rPr>
                <w:sz w:val="20"/>
                <w:szCs w:val="20"/>
              </w:rPr>
              <w:t>Abnormal zygomatic bone morphology HP:0010668</w:t>
            </w:r>
          </w:p>
          <w:p w14:paraId="22090E58" w14:textId="77777777" w:rsidR="00D561E8" w:rsidRDefault="00000000">
            <w:pPr>
              <w:widowControl w:val="0"/>
              <w:spacing w:line="480" w:lineRule="auto"/>
              <w:rPr>
                <w:sz w:val="20"/>
                <w:szCs w:val="20"/>
              </w:rPr>
            </w:pPr>
            <w:r>
              <w:rPr>
                <w:sz w:val="20"/>
                <w:szCs w:val="20"/>
              </w:rPr>
              <w:t>Thickened cortex of bones HP:0100039</w:t>
            </w:r>
          </w:p>
          <w:p w14:paraId="507819F6" w14:textId="77777777" w:rsidR="00D561E8" w:rsidRDefault="00000000">
            <w:pPr>
              <w:widowControl w:val="0"/>
              <w:spacing w:line="480" w:lineRule="auto"/>
              <w:rPr>
                <w:sz w:val="20"/>
                <w:szCs w:val="20"/>
              </w:rPr>
            </w:pPr>
            <w:r>
              <w:rPr>
                <w:sz w:val="20"/>
                <w:szCs w:val="20"/>
              </w:rPr>
              <w:t>Phenotypic abnormality HP:0000118</w:t>
            </w:r>
          </w:p>
          <w:p w14:paraId="2A88E3F6" w14:textId="77777777" w:rsidR="00D561E8" w:rsidRDefault="00000000">
            <w:pPr>
              <w:widowControl w:val="0"/>
              <w:spacing w:line="480" w:lineRule="auto"/>
              <w:rPr>
                <w:sz w:val="20"/>
                <w:szCs w:val="20"/>
              </w:rPr>
            </w:pPr>
            <w:r>
              <w:rPr>
                <w:sz w:val="20"/>
                <w:szCs w:val="20"/>
              </w:rPr>
              <w:t>Abnormality of the musculoskeletal system HP:0033127</w:t>
            </w:r>
          </w:p>
          <w:p w14:paraId="609E15EE" w14:textId="77777777" w:rsidR="00D561E8" w:rsidRDefault="00000000">
            <w:pPr>
              <w:widowControl w:val="0"/>
              <w:spacing w:line="480" w:lineRule="auto"/>
              <w:rPr>
                <w:sz w:val="20"/>
                <w:szCs w:val="20"/>
              </w:rPr>
            </w:pPr>
            <w:r>
              <w:rPr>
                <w:sz w:val="20"/>
                <w:szCs w:val="20"/>
              </w:rPr>
              <w:t>Slanting of the palpebral fissure HP:0200006</w:t>
            </w:r>
          </w:p>
          <w:p w14:paraId="2BBC22D4" w14:textId="77777777" w:rsidR="00D561E8" w:rsidRDefault="00000000">
            <w:pPr>
              <w:widowControl w:val="0"/>
              <w:spacing w:line="480" w:lineRule="auto"/>
              <w:rPr>
                <w:sz w:val="20"/>
                <w:szCs w:val="20"/>
              </w:rPr>
            </w:pPr>
            <w:r>
              <w:rPr>
                <w:sz w:val="20"/>
                <w:szCs w:val="20"/>
              </w:rPr>
              <w:t>Atrial septal defect HP:0001631</w:t>
            </w:r>
          </w:p>
        </w:tc>
        <w:tc>
          <w:tcPr>
            <w:tcW w:w="3375" w:type="dxa"/>
            <w:shd w:val="clear" w:color="auto" w:fill="auto"/>
            <w:tcMar>
              <w:top w:w="100" w:type="dxa"/>
              <w:left w:w="100" w:type="dxa"/>
              <w:bottom w:w="100" w:type="dxa"/>
              <w:right w:w="100" w:type="dxa"/>
            </w:tcMar>
          </w:tcPr>
          <w:p w14:paraId="6B90F0E9"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327708F1" w14:textId="77777777" w:rsidR="00D561E8" w:rsidRDefault="00000000">
            <w:pPr>
              <w:widowControl w:val="0"/>
              <w:spacing w:line="480" w:lineRule="auto"/>
              <w:rPr>
                <w:sz w:val="20"/>
                <w:szCs w:val="20"/>
              </w:rPr>
            </w:pPr>
            <w:r>
              <w:rPr>
                <w:sz w:val="20"/>
                <w:szCs w:val="20"/>
              </w:rPr>
              <w:t>Yes</w:t>
            </w:r>
          </w:p>
        </w:tc>
      </w:tr>
      <w:tr w:rsidR="00D561E8" w14:paraId="0884905E" w14:textId="77777777">
        <w:tc>
          <w:tcPr>
            <w:tcW w:w="1170" w:type="dxa"/>
            <w:shd w:val="clear" w:color="auto" w:fill="auto"/>
            <w:tcMar>
              <w:top w:w="100" w:type="dxa"/>
              <w:left w:w="100" w:type="dxa"/>
              <w:bottom w:w="100" w:type="dxa"/>
              <w:right w:w="100" w:type="dxa"/>
            </w:tcMar>
          </w:tcPr>
          <w:p w14:paraId="3554FA63" w14:textId="77777777" w:rsidR="00D561E8" w:rsidRDefault="00000000">
            <w:pPr>
              <w:widowControl w:val="0"/>
              <w:spacing w:line="480" w:lineRule="auto"/>
              <w:rPr>
                <w:sz w:val="20"/>
                <w:szCs w:val="20"/>
              </w:rPr>
            </w:pPr>
            <w:r>
              <w:rPr>
                <w:sz w:val="20"/>
                <w:szCs w:val="20"/>
              </w:rPr>
              <w:t>Chr20:58909654 A&gt;G</w:t>
            </w:r>
          </w:p>
        </w:tc>
        <w:tc>
          <w:tcPr>
            <w:tcW w:w="1305" w:type="dxa"/>
            <w:shd w:val="clear" w:color="auto" w:fill="auto"/>
            <w:tcMar>
              <w:top w:w="100" w:type="dxa"/>
              <w:left w:w="100" w:type="dxa"/>
              <w:bottom w:w="100" w:type="dxa"/>
              <w:right w:w="100" w:type="dxa"/>
            </w:tcMar>
          </w:tcPr>
          <w:p w14:paraId="18166961" w14:textId="77777777" w:rsidR="00D561E8" w:rsidRDefault="00000000">
            <w:pPr>
              <w:widowControl w:val="0"/>
              <w:spacing w:line="480" w:lineRule="auto"/>
              <w:rPr>
                <w:sz w:val="20"/>
                <w:szCs w:val="20"/>
              </w:rPr>
            </w:pPr>
            <w:r>
              <w:rPr>
                <w:i/>
                <w:sz w:val="20"/>
                <w:szCs w:val="20"/>
              </w:rPr>
              <w:t xml:space="preserve">GNAS </w:t>
            </w:r>
            <w:r>
              <w:rPr>
                <w:sz w:val="20"/>
                <w:szCs w:val="20"/>
              </w:rPr>
              <w:t>(ENST00000371075)</w:t>
            </w:r>
          </w:p>
        </w:tc>
        <w:tc>
          <w:tcPr>
            <w:tcW w:w="1620" w:type="dxa"/>
            <w:shd w:val="clear" w:color="auto" w:fill="auto"/>
            <w:tcMar>
              <w:top w:w="100" w:type="dxa"/>
              <w:left w:w="100" w:type="dxa"/>
              <w:bottom w:w="100" w:type="dxa"/>
              <w:right w:w="100" w:type="dxa"/>
            </w:tcMar>
          </w:tcPr>
          <w:p w14:paraId="2ED577AB" w14:textId="77777777" w:rsidR="00D561E8" w:rsidRDefault="00000000">
            <w:pPr>
              <w:widowControl w:val="0"/>
              <w:spacing w:line="480" w:lineRule="auto"/>
              <w:rPr>
                <w:sz w:val="20"/>
                <w:szCs w:val="20"/>
              </w:rPr>
            </w:pPr>
            <w:r>
              <w:rPr>
                <w:sz w:val="20"/>
                <w:szCs w:val="20"/>
              </w:rPr>
              <w:t xml:space="preserve">Pseudohypoparathyroidism, Type IA,  (AD;  OMIM:103580) and 1B (AD; OMIM:603233), </w:t>
            </w:r>
          </w:p>
          <w:p w14:paraId="4E5CB542" w14:textId="77777777" w:rsidR="00D561E8" w:rsidRDefault="00000000">
            <w:pPr>
              <w:widowControl w:val="0"/>
              <w:spacing w:line="480" w:lineRule="auto"/>
              <w:rPr>
                <w:sz w:val="20"/>
                <w:szCs w:val="20"/>
              </w:rPr>
            </w:pPr>
            <w:r>
              <w:rPr>
                <w:sz w:val="20"/>
                <w:szCs w:val="20"/>
              </w:rPr>
              <w:lastRenderedPageBreak/>
              <w:t>Pituitary adenoma 3, multiple types, (NS; OMIM:617686),</w:t>
            </w:r>
          </w:p>
          <w:p w14:paraId="55A29285" w14:textId="77777777" w:rsidR="00D561E8" w:rsidRDefault="00000000">
            <w:pPr>
              <w:widowControl w:val="0"/>
              <w:spacing w:line="480" w:lineRule="auto"/>
              <w:rPr>
                <w:sz w:val="20"/>
                <w:szCs w:val="20"/>
              </w:rPr>
            </w:pPr>
            <w:r>
              <w:rPr>
                <w:sz w:val="20"/>
                <w:szCs w:val="20"/>
              </w:rPr>
              <w:t xml:space="preserve">Pseudopseudohypoparathyroidism,  (AD; OMIM:612463), </w:t>
            </w:r>
          </w:p>
          <w:p w14:paraId="58DBE795" w14:textId="77777777" w:rsidR="00D561E8" w:rsidRDefault="00000000">
            <w:pPr>
              <w:widowControl w:val="0"/>
              <w:spacing w:line="480" w:lineRule="auto"/>
              <w:rPr>
                <w:sz w:val="20"/>
                <w:szCs w:val="20"/>
              </w:rPr>
            </w:pPr>
            <w:r>
              <w:rPr>
                <w:sz w:val="20"/>
                <w:szCs w:val="20"/>
              </w:rPr>
              <w:t xml:space="preserve">Osseous heteroplasia, progressive,  (AD; OMIM:166350), </w:t>
            </w:r>
          </w:p>
          <w:p w14:paraId="07503538" w14:textId="77777777" w:rsidR="00D561E8" w:rsidRDefault="00000000">
            <w:pPr>
              <w:widowControl w:val="0"/>
              <w:spacing w:line="480" w:lineRule="auto"/>
              <w:rPr>
                <w:sz w:val="20"/>
                <w:szCs w:val="20"/>
              </w:rPr>
            </w:pPr>
            <w:r>
              <w:rPr>
                <w:sz w:val="20"/>
                <w:szCs w:val="20"/>
              </w:rPr>
              <w:t xml:space="preserve">Pseudohypoparathyroidism, Type IC,  (AD; OMIM:612462), </w:t>
            </w:r>
          </w:p>
          <w:p w14:paraId="2B166303" w14:textId="77777777" w:rsidR="00D561E8" w:rsidRDefault="00000000">
            <w:pPr>
              <w:widowControl w:val="0"/>
              <w:spacing w:line="480" w:lineRule="auto"/>
              <w:rPr>
                <w:sz w:val="20"/>
                <w:szCs w:val="20"/>
              </w:rPr>
            </w:pPr>
            <w:r>
              <w:rPr>
                <w:sz w:val="20"/>
                <w:szCs w:val="20"/>
              </w:rPr>
              <w:t>Mccune-</w:t>
            </w:r>
            <w:r>
              <w:rPr>
                <w:sz w:val="20"/>
                <w:szCs w:val="20"/>
              </w:rPr>
              <w:lastRenderedPageBreak/>
              <w:t>Albright syndrome, (AD; OMIM:174800)</w:t>
            </w:r>
          </w:p>
        </w:tc>
        <w:tc>
          <w:tcPr>
            <w:tcW w:w="1245" w:type="dxa"/>
            <w:shd w:val="clear" w:color="auto" w:fill="auto"/>
            <w:tcMar>
              <w:top w:w="100" w:type="dxa"/>
              <w:left w:w="100" w:type="dxa"/>
              <w:bottom w:w="100" w:type="dxa"/>
              <w:right w:w="100" w:type="dxa"/>
            </w:tcMar>
          </w:tcPr>
          <w:p w14:paraId="14E13060" w14:textId="77777777" w:rsidR="00D561E8" w:rsidRDefault="00000000">
            <w:pPr>
              <w:widowControl w:val="0"/>
              <w:spacing w:line="480" w:lineRule="auto"/>
              <w:rPr>
                <w:sz w:val="20"/>
                <w:szCs w:val="20"/>
              </w:rPr>
            </w:pPr>
            <w:r>
              <w:rPr>
                <w:sz w:val="20"/>
                <w:szCs w:val="20"/>
              </w:rPr>
              <w:lastRenderedPageBreak/>
              <w:t>CDS/3’ Intron</w:t>
            </w:r>
          </w:p>
        </w:tc>
        <w:tc>
          <w:tcPr>
            <w:tcW w:w="1320" w:type="dxa"/>
            <w:shd w:val="clear" w:color="auto" w:fill="auto"/>
            <w:tcMar>
              <w:top w:w="100" w:type="dxa"/>
              <w:left w:w="100" w:type="dxa"/>
              <w:bottom w:w="100" w:type="dxa"/>
              <w:right w:w="100" w:type="dxa"/>
            </w:tcMar>
          </w:tcPr>
          <w:p w14:paraId="1E0994E4" w14:textId="77777777" w:rsidR="00D561E8" w:rsidRDefault="00000000">
            <w:pPr>
              <w:widowControl w:val="0"/>
              <w:spacing w:line="480" w:lineRule="auto"/>
              <w:rPr>
                <w:sz w:val="20"/>
                <w:szCs w:val="20"/>
              </w:rPr>
            </w:pPr>
            <w:r>
              <w:rPr>
                <w:sz w:val="20"/>
                <w:szCs w:val="20"/>
              </w:rPr>
              <w:t>SpliceAI = 0.67</w:t>
            </w:r>
          </w:p>
          <w:p w14:paraId="70A1A346" w14:textId="77777777" w:rsidR="00D561E8" w:rsidRDefault="00000000">
            <w:pPr>
              <w:widowControl w:val="0"/>
              <w:spacing w:line="480" w:lineRule="auto"/>
              <w:rPr>
                <w:sz w:val="20"/>
                <w:szCs w:val="20"/>
              </w:rPr>
            </w:pPr>
            <w:r>
              <w:rPr>
                <w:sz w:val="20"/>
                <w:szCs w:val="20"/>
              </w:rPr>
              <w:t>Acceptor gain (c.*625-30A&gt;G)</w:t>
            </w:r>
          </w:p>
        </w:tc>
        <w:tc>
          <w:tcPr>
            <w:tcW w:w="3600" w:type="dxa"/>
            <w:shd w:val="clear" w:color="auto" w:fill="auto"/>
            <w:tcMar>
              <w:top w:w="100" w:type="dxa"/>
              <w:left w:w="100" w:type="dxa"/>
              <w:bottom w:w="100" w:type="dxa"/>
              <w:right w:w="100" w:type="dxa"/>
            </w:tcMar>
          </w:tcPr>
          <w:p w14:paraId="0401BA55" w14:textId="77777777" w:rsidR="00D561E8" w:rsidRDefault="00000000">
            <w:pPr>
              <w:widowControl w:val="0"/>
              <w:spacing w:line="480" w:lineRule="auto"/>
              <w:rPr>
                <w:sz w:val="20"/>
                <w:szCs w:val="20"/>
              </w:rPr>
            </w:pPr>
            <w:r>
              <w:rPr>
                <w:sz w:val="20"/>
                <w:szCs w:val="20"/>
              </w:rPr>
              <w:t>Abnormality of the curvature of the cornea HP:0100691</w:t>
            </w:r>
          </w:p>
          <w:p w14:paraId="5155F2C5" w14:textId="77777777" w:rsidR="00D561E8" w:rsidRDefault="00000000">
            <w:pPr>
              <w:widowControl w:val="0"/>
              <w:spacing w:line="480" w:lineRule="auto"/>
              <w:rPr>
                <w:sz w:val="20"/>
                <w:szCs w:val="20"/>
              </w:rPr>
            </w:pPr>
            <w:r>
              <w:rPr>
                <w:sz w:val="20"/>
                <w:szCs w:val="20"/>
              </w:rPr>
              <w:t>Neurodevelopmental delay HP:0012758</w:t>
            </w:r>
          </w:p>
          <w:p w14:paraId="694F49A1" w14:textId="77777777" w:rsidR="00D561E8" w:rsidRDefault="00000000">
            <w:pPr>
              <w:widowControl w:val="0"/>
              <w:spacing w:line="480" w:lineRule="auto"/>
              <w:rPr>
                <w:sz w:val="20"/>
                <w:szCs w:val="20"/>
              </w:rPr>
            </w:pPr>
            <w:r>
              <w:rPr>
                <w:sz w:val="20"/>
                <w:szCs w:val="20"/>
              </w:rPr>
              <w:t>Hypothyroidism HP:0000821</w:t>
            </w:r>
          </w:p>
          <w:p w14:paraId="21C88C11" w14:textId="77777777" w:rsidR="00D561E8" w:rsidRDefault="00000000">
            <w:pPr>
              <w:widowControl w:val="0"/>
              <w:spacing w:line="480" w:lineRule="auto"/>
              <w:rPr>
                <w:sz w:val="20"/>
                <w:szCs w:val="20"/>
              </w:rPr>
            </w:pPr>
            <w:r>
              <w:rPr>
                <w:sz w:val="20"/>
                <w:szCs w:val="20"/>
              </w:rPr>
              <w:t xml:space="preserve">Abnormality of body height </w:t>
            </w:r>
            <w:r>
              <w:rPr>
                <w:sz w:val="20"/>
                <w:szCs w:val="20"/>
              </w:rPr>
              <w:lastRenderedPageBreak/>
              <w:t>HP:0000002</w:t>
            </w:r>
          </w:p>
          <w:p w14:paraId="25B23534" w14:textId="77777777" w:rsidR="00D561E8" w:rsidRDefault="00000000">
            <w:pPr>
              <w:widowControl w:val="0"/>
              <w:spacing w:line="480" w:lineRule="auto"/>
              <w:rPr>
                <w:sz w:val="20"/>
                <w:szCs w:val="20"/>
              </w:rPr>
            </w:pPr>
            <w:r>
              <w:rPr>
                <w:sz w:val="20"/>
                <w:szCs w:val="20"/>
              </w:rPr>
              <w:t>Phenotypic abnormality HP:0000118</w:t>
            </w:r>
          </w:p>
          <w:p w14:paraId="40AFDB3D" w14:textId="77777777" w:rsidR="00D561E8" w:rsidRDefault="00000000">
            <w:pPr>
              <w:widowControl w:val="0"/>
              <w:spacing w:line="480" w:lineRule="auto"/>
              <w:rPr>
                <w:sz w:val="20"/>
                <w:szCs w:val="20"/>
              </w:rPr>
            </w:pPr>
            <w:r>
              <w:rPr>
                <w:sz w:val="20"/>
                <w:szCs w:val="20"/>
              </w:rPr>
              <w:t>Abnormality of refraction HP:0000539</w:t>
            </w:r>
          </w:p>
          <w:p w14:paraId="357A9AB6" w14:textId="77777777" w:rsidR="00D561E8" w:rsidRDefault="00000000">
            <w:pPr>
              <w:widowControl w:val="0"/>
              <w:spacing w:line="480" w:lineRule="auto"/>
              <w:rPr>
                <w:sz w:val="20"/>
                <w:szCs w:val="20"/>
              </w:rPr>
            </w:pPr>
            <w:r>
              <w:rPr>
                <w:sz w:val="20"/>
                <w:szCs w:val="20"/>
              </w:rPr>
              <w:t>Increased body weight HP:0004324</w:t>
            </w:r>
          </w:p>
        </w:tc>
        <w:tc>
          <w:tcPr>
            <w:tcW w:w="3375" w:type="dxa"/>
            <w:shd w:val="clear" w:color="auto" w:fill="auto"/>
            <w:tcMar>
              <w:top w:w="100" w:type="dxa"/>
              <w:left w:w="100" w:type="dxa"/>
              <w:bottom w:w="100" w:type="dxa"/>
              <w:right w:w="100" w:type="dxa"/>
            </w:tcMar>
          </w:tcPr>
          <w:p w14:paraId="3B8E1301" w14:textId="77777777" w:rsidR="00D561E8" w:rsidRDefault="00000000">
            <w:pPr>
              <w:widowControl w:val="0"/>
              <w:spacing w:line="288" w:lineRule="auto"/>
              <w:rPr>
                <w:sz w:val="20"/>
                <w:szCs w:val="20"/>
              </w:rPr>
            </w:pPr>
            <w:r>
              <w:rPr>
                <w:sz w:val="20"/>
                <w:szCs w:val="20"/>
              </w:rPr>
              <w:lastRenderedPageBreak/>
              <w:t>Evidence of Hormone resistance</w:t>
            </w:r>
          </w:p>
          <w:p w14:paraId="547BF3DD" w14:textId="77777777" w:rsidR="00D561E8" w:rsidRDefault="00000000">
            <w:pPr>
              <w:widowControl w:val="0"/>
              <w:spacing w:line="288" w:lineRule="auto"/>
              <w:rPr>
                <w:sz w:val="20"/>
                <w:szCs w:val="20"/>
              </w:rPr>
            </w:pPr>
            <w:r>
              <w:rPr>
                <w:sz w:val="20"/>
                <w:szCs w:val="20"/>
              </w:rPr>
              <w:t>Growth hormone deficiency diagnosed on Glucagon stimulation test - Not on GH due to improvements in height velocity</w:t>
            </w:r>
          </w:p>
          <w:p w14:paraId="324751B5" w14:textId="77777777" w:rsidR="00D561E8" w:rsidRDefault="00D561E8">
            <w:pPr>
              <w:widowControl w:val="0"/>
              <w:spacing w:line="288" w:lineRule="auto"/>
              <w:rPr>
                <w:sz w:val="20"/>
                <w:szCs w:val="20"/>
              </w:rPr>
            </w:pPr>
          </w:p>
          <w:p w14:paraId="75166039" w14:textId="77777777" w:rsidR="00D561E8" w:rsidRDefault="00000000">
            <w:pPr>
              <w:widowControl w:val="0"/>
              <w:spacing w:line="288" w:lineRule="auto"/>
              <w:rPr>
                <w:sz w:val="20"/>
                <w:szCs w:val="20"/>
              </w:rPr>
            </w:pPr>
            <w:r>
              <w:rPr>
                <w:sz w:val="20"/>
                <w:szCs w:val="20"/>
              </w:rPr>
              <w:t>Early onset obesity (1 year &gt;)</w:t>
            </w:r>
          </w:p>
          <w:p w14:paraId="767651E1" w14:textId="77777777" w:rsidR="00D561E8" w:rsidRDefault="00D561E8">
            <w:pPr>
              <w:widowControl w:val="0"/>
              <w:spacing w:line="288" w:lineRule="auto"/>
              <w:rPr>
                <w:sz w:val="20"/>
                <w:szCs w:val="20"/>
              </w:rPr>
            </w:pPr>
          </w:p>
          <w:p w14:paraId="34302996" w14:textId="77777777" w:rsidR="00D561E8" w:rsidRDefault="00000000">
            <w:pPr>
              <w:widowControl w:val="0"/>
              <w:spacing w:line="288" w:lineRule="auto"/>
              <w:rPr>
                <w:sz w:val="20"/>
                <w:szCs w:val="20"/>
              </w:rPr>
            </w:pPr>
            <w:r>
              <w:rPr>
                <w:sz w:val="20"/>
                <w:szCs w:val="20"/>
              </w:rPr>
              <w:t>Pseudohypoparathyroidism - on alfacalcidol</w:t>
            </w:r>
          </w:p>
          <w:p w14:paraId="36B83B48" w14:textId="77777777" w:rsidR="00D561E8" w:rsidRDefault="00D561E8">
            <w:pPr>
              <w:widowControl w:val="0"/>
              <w:spacing w:line="288" w:lineRule="auto"/>
              <w:rPr>
                <w:sz w:val="20"/>
                <w:szCs w:val="20"/>
              </w:rPr>
            </w:pPr>
          </w:p>
          <w:p w14:paraId="54C70030" w14:textId="77777777" w:rsidR="00D561E8" w:rsidRDefault="00000000">
            <w:pPr>
              <w:widowControl w:val="0"/>
              <w:spacing w:line="288" w:lineRule="auto"/>
              <w:rPr>
                <w:sz w:val="20"/>
                <w:szCs w:val="20"/>
              </w:rPr>
            </w:pPr>
            <w:r>
              <w:rPr>
                <w:sz w:val="20"/>
                <w:szCs w:val="20"/>
              </w:rPr>
              <w:lastRenderedPageBreak/>
              <w:t>Hypothyroidism - on T4</w:t>
            </w:r>
          </w:p>
          <w:p w14:paraId="715F12C4" w14:textId="77777777" w:rsidR="00D561E8" w:rsidRDefault="00D561E8">
            <w:pPr>
              <w:widowControl w:val="0"/>
              <w:spacing w:line="288" w:lineRule="auto"/>
              <w:rPr>
                <w:sz w:val="20"/>
                <w:szCs w:val="20"/>
              </w:rPr>
            </w:pPr>
          </w:p>
          <w:p w14:paraId="675FE788" w14:textId="77777777" w:rsidR="00D561E8" w:rsidRDefault="00000000">
            <w:pPr>
              <w:widowControl w:val="0"/>
              <w:spacing w:line="480" w:lineRule="auto"/>
              <w:rPr>
                <w:sz w:val="20"/>
                <w:szCs w:val="20"/>
              </w:rPr>
            </w:pPr>
            <w:r>
              <w:rPr>
                <w:sz w:val="20"/>
                <w:szCs w:val="20"/>
              </w:rPr>
              <w:t xml:space="preserve">Adrenal insufficiency - on hydrocortisone </w:t>
            </w:r>
          </w:p>
          <w:p w14:paraId="65422FD6" w14:textId="77777777" w:rsidR="00D561E8" w:rsidRDefault="00000000">
            <w:pPr>
              <w:widowControl w:val="0"/>
              <w:spacing w:line="288" w:lineRule="auto"/>
              <w:rPr>
                <w:sz w:val="20"/>
                <w:szCs w:val="20"/>
              </w:rPr>
            </w:pPr>
            <w:r>
              <w:rPr>
                <w:sz w:val="20"/>
                <w:szCs w:val="20"/>
              </w:rPr>
              <w:t>Learning difficulties and issues with attention</w:t>
            </w:r>
          </w:p>
          <w:p w14:paraId="37320001" w14:textId="77777777" w:rsidR="00D561E8" w:rsidRDefault="00000000">
            <w:pPr>
              <w:widowControl w:val="0"/>
              <w:spacing w:line="288" w:lineRule="auto"/>
              <w:rPr>
                <w:sz w:val="20"/>
                <w:szCs w:val="20"/>
              </w:rPr>
            </w:pPr>
            <w:r>
              <w:rPr>
                <w:sz w:val="20"/>
                <w:szCs w:val="20"/>
              </w:rPr>
              <w:t>Hypermetropia and astigmatism</w:t>
            </w:r>
          </w:p>
          <w:p w14:paraId="14370959" w14:textId="77777777" w:rsidR="00D561E8" w:rsidRDefault="00D561E8">
            <w:pPr>
              <w:widowControl w:val="0"/>
              <w:spacing w:line="480" w:lineRule="auto"/>
              <w:rPr>
                <w:sz w:val="20"/>
                <w:szCs w:val="20"/>
              </w:rPr>
            </w:pPr>
          </w:p>
        </w:tc>
        <w:tc>
          <w:tcPr>
            <w:tcW w:w="1200" w:type="dxa"/>
            <w:shd w:val="clear" w:color="auto" w:fill="auto"/>
            <w:tcMar>
              <w:top w:w="100" w:type="dxa"/>
              <w:left w:w="100" w:type="dxa"/>
              <w:bottom w:w="100" w:type="dxa"/>
              <w:right w:w="100" w:type="dxa"/>
            </w:tcMar>
          </w:tcPr>
          <w:p w14:paraId="1E6E4CC9" w14:textId="77777777" w:rsidR="00D561E8" w:rsidRDefault="00000000">
            <w:pPr>
              <w:widowControl w:val="0"/>
              <w:spacing w:line="480" w:lineRule="auto"/>
              <w:rPr>
                <w:sz w:val="20"/>
                <w:szCs w:val="20"/>
              </w:rPr>
            </w:pPr>
            <w:r>
              <w:rPr>
                <w:sz w:val="20"/>
                <w:szCs w:val="20"/>
              </w:rPr>
              <w:lastRenderedPageBreak/>
              <w:t>Yes</w:t>
            </w:r>
          </w:p>
        </w:tc>
      </w:tr>
      <w:tr w:rsidR="00D561E8" w14:paraId="1CD6A2D0" w14:textId="77777777">
        <w:tc>
          <w:tcPr>
            <w:tcW w:w="1170" w:type="dxa"/>
            <w:shd w:val="clear" w:color="auto" w:fill="auto"/>
            <w:tcMar>
              <w:top w:w="100" w:type="dxa"/>
              <w:left w:w="100" w:type="dxa"/>
              <w:bottom w:w="100" w:type="dxa"/>
              <w:right w:w="100" w:type="dxa"/>
            </w:tcMar>
          </w:tcPr>
          <w:p w14:paraId="60A3155A" w14:textId="77777777" w:rsidR="00D561E8" w:rsidRDefault="00000000">
            <w:pPr>
              <w:widowControl w:val="0"/>
              <w:spacing w:line="480" w:lineRule="auto"/>
              <w:rPr>
                <w:sz w:val="20"/>
                <w:szCs w:val="20"/>
              </w:rPr>
            </w:pPr>
            <w:r>
              <w:rPr>
                <w:sz w:val="20"/>
                <w:szCs w:val="20"/>
              </w:rPr>
              <w:lastRenderedPageBreak/>
              <w:t>Chr2:189580685 A&gt;C</w:t>
            </w:r>
          </w:p>
        </w:tc>
        <w:tc>
          <w:tcPr>
            <w:tcW w:w="1305" w:type="dxa"/>
            <w:shd w:val="clear" w:color="auto" w:fill="auto"/>
            <w:tcMar>
              <w:top w:w="100" w:type="dxa"/>
              <w:left w:w="100" w:type="dxa"/>
              <w:bottom w:w="100" w:type="dxa"/>
              <w:right w:w="100" w:type="dxa"/>
            </w:tcMar>
          </w:tcPr>
          <w:p w14:paraId="6B77082B" w14:textId="77777777" w:rsidR="00D561E8" w:rsidRDefault="00000000">
            <w:pPr>
              <w:widowControl w:val="0"/>
              <w:spacing w:line="480" w:lineRule="auto"/>
              <w:rPr>
                <w:sz w:val="20"/>
                <w:szCs w:val="20"/>
              </w:rPr>
            </w:pPr>
            <w:r>
              <w:rPr>
                <w:i/>
                <w:sz w:val="20"/>
                <w:szCs w:val="20"/>
              </w:rPr>
              <w:t xml:space="preserve">SLC40A1 </w:t>
            </w:r>
            <w:r>
              <w:rPr>
                <w:sz w:val="20"/>
                <w:szCs w:val="20"/>
              </w:rPr>
              <w:t>(ENST00000261024)</w:t>
            </w:r>
          </w:p>
        </w:tc>
        <w:tc>
          <w:tcPr>
            <w:tcW w:w="1620" w:type="dxa"/>
            <w:shd w:val="clear" w:color="auto" w:fill="auto"/>
            <w:tcMar>
              <w:top w:w="100" w:type="dxa"/>
              <w:left w:w="100" w:type="dxa"/>
              <w:bottom w:w="100" w:type="dxa"/>
              <w:right w:w="100" w:type="dxa"/>
            </w:tcMar>
          </w:tcPr>
          <w:p w14:paraId="508137BB" w14:textId="77777777" w:rsidR="00D561E8" w:rsidRDefault="00000000">
            <w:pPr>
              <w:widowControl w:val="0"/>
              <w:spacing w:line="480" w:lineRule="auto"/>
              <w:rPr>
                <w:sz w:val="20"/>
                <w:szCs w:val="20"/>
              </w:rPr>
            </w:pPr>
            <w:r>
              <w:rPr>
                <w:sz w:val="20"/>
                <w:szCs w:val="20"/>
              </w:rPr>
              <w:t>Hemochromatosis, Type 4, (AD; OMIM:606069)</w:t>
            </w:r>
          </w:p>
        </w:tc>
        <w:tc>
          <w:tcPr>
            <w:tcW w:w="1245" w:type="dxa"/>
            <w:shd w:val="clear" w:color="auto" w:fill="auto"/>
            <w:tcMar>
              <w:top w:w="100" w:type="dxa"/>
              <w:left w:w="100" w:type="dxa"/>
              <w:bottom w:w="100" w:type="dxa"/>
              <w:right w:w="100" w:type="dxa"/>
            </w:tcMar>
          </w:tcPr>
          <w:p w14:paraId="0843E02C" w14:textId="77777777" w:rsidR="00D561E8" w:rsidRDefault="00000000">
            <w:pPr>
              <w:widowControl w:val="0"/>
              <w:spacing w:line="480" w:lineRule="auto"/>
              <w:rPr>
                <w:sz w:val="20"/>
                <w:szCs w:val="20"/>
              </w:rPr>
            </w:pPr>
            <w:r>
              <w:rPr>
                <w:sz w:val="20"/>
                <w:szCs w:val="20"/>
              </w:rPr>
              <w:t>5’UTR</w:t>
            </w:r>
          </w:p>
        </w:tc>
        <w:tc>
          <w:tcPr>
            <w:tcW w:w="1320" w:type="dxa"/>
            <w:shd w:val="clear" w:color="auto" w:fill="auto"/>
            <w:tcMar>
              <w:top w:w="100" w:type="dxa"/>
              <w:left w:w="100" w:type="dxa"/>
              <w:bottom w:w="100" w:type="dxa"/>
              <w:right w:w="100" w:type="dxa"/>
            </w:tcMar>
          </w:tcPr>
          <w:p w14:paraId="2EFBA64B" w14:textId="77777777" w:rsidR="00D561E8" w:rsidRDefault="00000000">
            <w:pPr>
              <w:widowControl w:val="0"/>
              <w:spacing w:line="480" w:lineRule="auto"/>
              <w:rPr>
                <w:sz w:val="20"/>
                <w:szCs w:val="20"/>
              </w:rPr>
            </w:pPr>
            <w:r>
              <w:rPr>
                <w:sz w:val="20"/>
                <w:szCs w:val="20"/>
              </w:rPr>
              <w:t>PhyloP = 8.189 (c.-225T&gt;G)</w:t>
            </w:r>
          </w:p>
        </w:tc>
        <w:tc>
          <w:tcPr>
            <w:tcW w:w="3600" w:type="dxa"/>
            <w:shd w:val="clear" w:color="auto" w:fill="auto"/>
            <w:tcMar>
              <w:top w:w="100" w:type="dxa"/>
              <w:left w:w="100" w:type="dxa"/>
              <w:bottom w:w="100" w:type="dxa"/>
              <w:right w:w="100" w:type="dxa"/>
            </w:tcMar>
          </w:tcPr>
          <w:p w14:paraId="07274877" w14:textId="77777777" w:rsidR="00D561E8" w:rsidRDefault="00000000">
            <w:pPr>
              <w:widowControl w:val="0"/>
              <w:spacing w:line="480" w:lineRule="auto"/>
              <w:rPr>
                <w:sz w:val="20"/>
                <w:szCs w:val="20"/>
              </w:rPr>
            </w:pPr>
            <w:r>
              <w:rPr>
                <w:sz w:val="20"/>
                <w:szCs w:val="20"/>
              </w:rPr>
              <w:t>Azotemia HP:0002157</w:t>
            </w:r>
          </w:p>
          <w:p w14:paraId="0913C012" w14:textId="77777777" w:rsidR="00D561E8" w:rsidRDefault="00000000">
            <w:pPr>
              <w:widowControl w:val="0"/>
              <w:spacing w:line="480" w:lineRule="auto"/>
              <w:rPr>
                <w:sz w:val="20"/>
                <w:szCs w:val="20"/>
              </w:rPr>
            </w:pPr>
            <w:r>
              <w:rPr>
                <w:sz w:val="20"/>
                <w:szCs w:val="20"/>
              </w:rPr>
              <w:t>Abnormal hepatic glycogen storage HP:0500030</w:t>
            </w:r>
          </w:p>
          <w:p w14:paraId="55BC26EA" w14:textId="77777777" w:rsidR="00D561E8" w:rsidRDefault="00000000">
            <w:pPr>
              <w:widowControl w:val="0"/>
              <w:spacing w:line="480" w:lineRule="auto"/>
              <w:rPr>
                <w:sz w:val="20"/>
                <w:szCs w:val="20"/>
              </w:rPr>
            </w:pPr>
            <w:r>
              <w:rPr>
                <w:sz w:val="20"/>
                <w:szCs w:val="20"/>
              </w:rPr>
              <w:t>Reduced consciousness/confusion HP:0004372</w:t>
            </w:r>
          </w:p>
          <w:p w14:paraId="2E2DB793" w14:textId="77777777" w:rsidR="00D561E8" w:rsidRDefault="00000000">
            <w:pPr>
              <w:widowControl w:val="0"/>
              <w:spacing w:line="480" w:lineRule="auto"/>
              <w:rPr>
                <w:sz w:val="20"/>
                <w:szCs w:val="20"/>
              </w:rPr>
            </w:pPr>
            <w:r>
              <w:rPr>
                <w:sz w:val="20"/>
                <w:szCs w:val="20"/>
              </w:rPr>
              <w:t>Stroke HP:0001297</w:t>
            </w:r>
          </w:p>
          <w:p w14:paraId="2AE850B4" w14:textId="77777777" w:rsidR="00D561E8" w:rsidRDefault="00000000">
            <w:pPr>
              <w:widowControl w:val="0"/>
              <w:spacing w:line="480" w:lineRule="auto"/>
              <w:rPr>
                <w:sz w:val="20"/>
                <w:szCs w:val="20"/>
              </w:rPr>
            </w:pPr>
            <w:r>
              <w:rPr>
                <w:sz w:val="20"/>
                <w:szCs w:val="20"/>
              </w:rPr>
              <w:t>Language impairment HP:0002463</w:t>
            </w:r>
          </w:p>
          <w:p w14:paraId="2D6CDC1D" w14:textId="77777777" w:rsidR="00D561E8" w:rsidRDefault="00000000">
            <w:pPr>
              <w:widowControl w:val="0"/>
              <w:spacing w:line="480" w:lineRule="auto"/>
              <w:rPr>
                <w:sz w:val="20"/>
                <w:szCs w:val="20"/>
              </w:rPr>
            </w:pPr>
            <w:r>
              <w:rPr>
                <w:sz w:val="20"/>
                <w:szCs w:val="20"/>
              </w:rPr>
              <w:t>Hypertonia HP:0001276</w:t>
            </w:r>
          </w:p>
          <w:p w14:paraId="44450C64" w14:textId="77777777" w:rsidR="00D561E8" w:rsidRDefault="00000000">
            <w:pPr>
              <w:widowControl w:val="0"/>
              <w:spacing w:line="480" w:lineRule="auto"/>
              <w:rPr>
                <w:sz w:val="20"/>
                <w:szCs w:val="20"/>
              </w:rPr>
            </w:pPr>
            <w:r>
              <w:rPr>
                <w:sz w:val="20"/>
                <w:szCs w:val="20"/>
              </w:rPr>
              <w:t>Phenotypic abnormality HP:0000118</w:t>
            </w:r>
          </w:p>
        </w:tc>
        <w:tc>
          <w:tcPr>
            <w:tcW w:w="3375" w:type="dxa"/>
            <w:shd w:val="clear" w:color="auto" w:fill="auto"/>
            <w:tcMar>
              <w:top w:w="100" w:type="dxa"/>
              <w:left w:w="100" w:type="dxa"/>
              <w:bottom w:w="100" w:type="dxa"/>
              <w:right w:w="100" w:type="dxa"/>
            </w:tcMar>
          </w:tcPr>
          <w:p w14:paraId="27F93996" w14:textId="77777777" w:rsidR="00D561E8" w:rsidRDefault="00D561E8">
            <w:pPr>
              <w:widowControl w:val="0"/>
              <w:spacing w:line="288" w:lineRule="auto"/>
              <w:rPr>
                <w:sz w:val="20"/>
                <w:szCs w:val="20"/>
              </w:rPr>
            </w:pPr>
          </w:p>
        </w:tc>
        <w:tc>
          <w:tcPr>
            <w:tcW w:w="1200" w:type="dxa"/>
            <w:shd w:val="clear" w:color="auto" w:fill="auto"/>
            <w:tcMar>
              <w:top w:w="100" w:type="dxa"/>
              <w:left w:w="100" w:type="dxa"/>
              <w:bottom w:w="100" w:type="dxa"/>
              <w:right w:w="100" w:type="dxa"/>
            </w:tcMar>
          </w:tcPr>
          <w:p w14:paraId="1F23007E" w14:textId="77777777" w:rsidR="00D561E8" w:rsidRDefault="00000000">
            <w:pPr>
              <w:widowControl w:val="0"/>
              <w:spacing w:line="480" w:lineRule="auto"/>
              <w:rPr>
                <w:sz w:val="20"/>
                <w:szCs w:val="20"/>
              </w:rPr>
            </w:pPr>
            <w:r>
              <w:rPr>
                <w:sz w:val="20"/>
                <w:szCs w:val="20"/>
              </w:rPr>
              <w:t>No</w:t>
            </w:r>
          </w:p>
        </w:tc>
      </w:tr>
      <w:tr w:rsidR="00D561E8" w14:paraId="046A78F8" w14:textId="77777777">
        <w:tc>
          <w:tcPr>
            <w:tcW w:w="1170" w:type="dxa"/>
            <w:shd w:val="clear" w:color="auto" w:fill="auto"/>
            <w:tcMar>
              <w:top w:w="100" w:type="dxa"/>
              <w:left w:w="100" w:type="dxa"/>
              <w:bottom w:w="100" w:type="dxa"/>
              <w:right w:w="100" w:type="dxa"/>
            </w:tcMar>
          </w:tcPr>
          <w:p w14:paraId="7130D283" w14:textId="77777777" w:rsidR="00D561E8" w:rsidRDefault="00000000">
            <w:pPr>
              <w:widowControl w:val="0"/>
              <w:spacing w:line="480" w:lineRule="auto"/>
              <w:rPr>
                <w:sz w:val="20"/>
                <w:szCs w:val="20"/>
              </w:rPr>
            </w:pPr>
            <w:r>
              <w:rPr>
                <w:sz w:val="20"/>
                <w:szCs w:val="20"/>
              </w:rPr>
              <w:t>Chr11:119341418 C&gt;A</w:t>
            </w:r>
          </w:p>
        </w:tc>
        <w:tc>
          <w:tcPr>
            <w:tcW w:w="1305" w:type="dxa"/>
            <w:shd w:val="clear" w:color="auto" w:fill="auto"/>
            <w:tcMar>
              <w:top w:w="100" w:type="dxa"/>
              <w:left w:w="100" w:type="dxa"/>
              <w:bottom w:w="100" w:type="dxa"/>
              <w:right w:w="100" w:type="dxa"/>
            </w:tcMar>
          </w:tcPr>
          <w:p w14:paraId="7908DA55" w14:textId="77777777" w:rsidR="00D561E8" w:rsidRDefault="00000000">
            <w:pPr>
              <w:widowControl w:val="0"/>
              <w:spacing w:line="480" w:lineRule="auto"/>
              <w:rPr>
                <w:sz w:val="20"/>
                <w:szCs w:val="20"/>
              </w:rPr>
            </w:pPr>
            <w:r>
              <w:rPr>
                <w:i/>
                <w:sz w:val="20"/>
                <w:szCs w:val="20"/>
              </w:rPr>
              <w:t xml:space="preserve">MFRP </w:t>
            </w:r>
            <w:r>
              <w:rPr>
                <w:sz w:val="20"/>
                <w:szCs w:val="20"/>
              </w:rPr>
              <w:t>(ENST00000619721)</w:t>
            </w:r>
          </w:p>
        </w:tc>
        <w:tc>
          <w:tcPr>
            <w:tcW w:w="1620" w:type="dxa"/>
            <w:shd w:val="clear" w:color="auto" w:fill="auto"/>
            <w:tcMar>
              <w:top w:w="100" w:type="dxa"/>
              <w:left w:w="100" w:type="dxa"/>
              <w:bottom w:w="100" w:type="dxa"/>
              <w:right w:w="100" w:type="dxa"/>
            </w:tcMar>
          </w:tcPr>
          <w:p w14:paraId="63ACDAB3" w14:textId="77777777" w:rsidR="00D561E8" w:rsidRDefault="00000000">
            <w:pPr>
              <w:widowControl w:val="0"/>
              <w:spacing w:line="480" w:lineRule="auto"/>
              <w:rPr>
                <w:sz w:val="20"/>
                <w:szCs w:val="20"/>
              </w:rPr>
            </w:pPr>
            <w:r>
              <w:rPr>
                <w:sz w:val="20"/>
                <w:szCs w:val="20"/>
              </w:rPr>
              <w:t>Micropthalmia, isolated 5, (AR;  OMIM:611040)</w:t>
            </w:r>
          </w:p>
          <w:p w14:paraId="794EED8D" w14:textId="77777777" w:rsidR="00D561E8" w:rsidRDefault="00000000">
            <w:pPr>
              <w:widowControl w:val="0"/>
              <w:spacing w:line="480" w:lineRule="auto"/>
              <w:rPr>
                <w:sz w:val="20"/>
                <w:szCs w:val="20"/>
              </w:rPr>
            </w:pPr>
            <w:r>
              <w:rPr>
                <w:sz w:val="20"/>
                <w:szCs w:val="20"/>
              </w:rPr>
              <w:t>Nanopthalmos 2, (NS; OMIM: 609549)</w:t>
            </w:r>
          </w:p>
        </w:tc>
        <w:tc>
          <w:tcPr>
            <w:tcW w:w="1245" w:type="dxa"/>
            <w:shd w:val="clear" w:color="auto" w:fill="auto"/>
            <w:tcMar>
              <w:top w:w="100" w:type="dxa"/>
              <w:left w:w="100" w:type="dxa"/>
              <w:bottom w:w="100" w:type="dxa"/>
              <w:right w:w="100" w:type="dxa"/>
            </w:tcMar>
          </w:tcPr>
          <w:p w14:paraId="63FC22F8" w14:textId="77777777" w:rsidR="00D561E8" w:rsidRDefault="00000000">
            <w:pPr>
              <w:widowControl w:val="0"/>
              <w:spacing w:line="480" w:lineRule="auto"/>
              <w:rPr>
                <w:sz w:val="20"/>
                <w:szCs w:val="20"/>
              </w:rPr>
            </w:pPr>
            <w:r>
              <w:rPr>
                <w:sz w:val="20"/>
                <w:szCs w:val="20"/>
              </w:rPr>
              <w:t>3’UTR</w:t>
            </w:r>
          </w:p>
        </w:tc>
        <w:tc>
          <w:tcPr>
            <w:tcW w:w="1320" w:type="dxa"/>
            <w:shd w:val="clear" w:color="auto" w:fill="auto"/>
            <w:tcMar>
              <w:top w:w="100" w:type="dxa"/>
              <w:left w:w="100" w:type="dxa"/>
              <w:bottom w:w="100" w:type="dxa"/>
              <w:right w:w="100" w:type="dxa"/>
            </w:tcMar>
          </w:tcPr>
          <w:p w14:paraId="5AD681E6" w14:textId="77777777" w:rsidR="00D561E8" w:rsidRDefault="00000000">
            <w:pPr>
              <w:widowControl w:val="0"/>
              <w:spacing w:line="480" w:lineRule="auto"/>
              <w:rPr>
                <w:sz w:val="20"/>
                <w:szCs w:val="20"/>
              </w:rPr>
            </w:pPr>
            <w:r>
              <w:rPr>
                <w:sz w:val="20"/>
                <w:szCs w:val="20"/>
              </w:rPr>
              <w:t>SpliceAI = 0.56 Donor gain (c.*130G&gt;T)</w:t>
            </w:r>
          </w:p>
        </w:tc>
        <w:tc>
          <w:tcPr>
            <w:tcW w:w="3600" w:type="dxa"/>
            <w:shd w:val="clear" w:color="auto" w:fill="auto"/>
            <w:tcMar>
              <w:top w:w="100" w:type="dxa"/>
              <w:left w:w="100" w:type="dxa"/>
              <w:bottom w:w="100" w:type="dxa"/>
              <w:right w:w="100" w:type="dxa"/>
            </w:tcMar>
          </w:tcPr>
          <w:p w14:paraId="72422D6B" w14:textId="77777777" w:rsidR="00D561E8" w:rsidRDefault="00000000">
            <w:pPr>
              <w:widowControl w:val="0"/>
              <w:spacing w:line="480" w:lineRule="auto"/>
              <w:rPr>
                <w:sz w:val="20"/>
                <w:szCs w:val="20"/>
              </w:rPr>
            </w:pPr>
            <w:r>
              <w:rPr>
                <w:sz w:val="20"/>
                <w:szCs w:val="20"/>
              </w:rPr>
              <w:t>Noncompaction cardiomyopathy</w:t>
            </w:r>
          </w:p>
          <w:p w14:paraId="6FD54C0B" w14:textId="77777777" w:rsidR="00D561E8" w:rsidRDefault="00000000">
            <w:pPr>
              <w:widowControl w:val="0"/>
              <w:spacing w:line="480" w:lineRule="auto"/>
              <w:rPr>
                <w:sz w:val="20"/>
                <w:szCs w:val="20"/>
              </w:rPr>
            </w:pPr>
            <w:r>
              <w:rPr>
                <w:sz w:val="20"/>
                <w:szCs w:val="20"/>
              </w:rPr>
              <w:t>Muscular ventricular septal defect HP:0011623</w:t>
            </w:r>
          </w:p>
          <w:p w14:paraId="64D32AAB" w14:textId="77777777" w:rsidR="00D561E8" w:rsidRDefault="00000000">
            <w:pPr>
              <w:widowControl w:val="0"/>
              <w:spacing w:line="480" w:lineRule="auto"/>
              <w:rPr>
                <w:sz w:val="20"/>
                <w:szCs w:val="20"/>
              </w:rPr>
            </w:pPr>
            <w:r>
              <w:rPr>
                <w:sz w:val="20"/>
                <w:szCs w:val="20"/>
              </w:rPr>
              <w:t>Abnormal cardiac septum morphology HP:0001671</w:t>
            </w:r>
          </w:p>
          <w:p w14:paraId="1418D8E3" w14:textId="77777777" w:rsidR="00D561E8" w:rsidRDefault="00000000">
            <w:pPr>
              <w:widowControl w:val="0"/>
              <w:spacing w:line="480" w:lineRule="auto"/>
              <w:rPr>
                <w:sz w:val="20"/>
                <w:szCs w:val="20"/>
              </w:rPr>
            </w:pPr>
            <w:r>
              <w:rPr>
                <w:sz w:val="20"/>
                <w:szCs w:val="20"/>
              </w:rPr>
              <w:t xml:space="preserve">Neurodevelopmental abnormality </w:t>
            </w:r>
            <w:r>
              <w:rPr>
                <w:sz w:val="20"/>
                <w:szCs w:val="20"/>
              </w:rPr>
              <w:lastRenderedPageBreak/>
              <w:t>HP:0012759</w:t>
            </w:r>
          </w:p>
          <w:p w14:paraId="18452C1F" w14:textId="77777777" w:rsidR="00D561E8" w:rsidRDefault="00000000">
            <w:pPr>
              <w:widowControl w:val="0"/>
              <w:spacing w:line="480" w:lineRule="auto"/>
              <w:rPr>
                <w:sz w:val="20"/>
                <w:szCs w:val="20"/>
              </w:rPr>
            </w:pPr>
            <w:r>
              <w:rPr>
                <w:sz w:val="20"/>
                <w:szCs w:val="20"/>
              </w:rPr>
              <w:t>Abnormal myocardium morphology HP:0001637</w:t>
            </w:r>
          </w:p>
        </w:tc>
        <w:tc>
          <w:tcPr>
            <w:tcW w:w="3375" w:type="dxa"/>
            <w:shd w:val="clear" w:color="auto" w:fill="auto"/>
            <w:tcMar>
              <w:top w:w="100" w:type="dxa"/>
              <w:left w:w="100" w:type="dxa"/>
              <w:bottom w:w="100" w:type="dxa"/>
              <w:right w:w="100" w:type="dxa"/>
            </w:tcMar>
          </w:tcPr>
          <w:p w14:paraId="30BA68D2" w14:textId="77777777" w:rsidR="00D561E8" w:rsidRDefault="00D561E8">
            <w:pPr>
              <w:widowControl w:val="0"/>
              <w:spacing w:line="288" w:lineRule="auto"/>
              <w:rPr>
                <w:sz w:val="20"/>
                <w:szCs w:val="20"/>
              </w:rPr>
            </w:pPr>
          </w:p>
        </w:tc>
        <w:tc>
          <w:tcPr>
            <w:tcW w:w="1200" w:type="dxa"/>
            <w:shd w:val="clear" w:color="auto" w:fill="auto"/>
            <w:tcMar>
              <w:top w:w="100" w:type="dxa"/>
              <w:left w:w="100" w:type="dxa"/>
              <w:bottom w:w="100" w:type="dxa"/>
              <w:right w:w="100" w:type="dxa"/>
            </w:tcMar>
          </w:tcPr>
          <w:p w14:paraId="7A5405AB" w14:textId="77777777" w:rsidR="00D561E8" w:rsidRDefault="00000000">
            <w:pPr>
              <w:widowControl w:val="0"/>
              <w:spacing w:line="480" w:lineRule="auto"/>
              <w:rPr>
                <w:sz w:val="20"/>
                <w:szCs w:val="20"/>
              </w:rPr>
            </w:pPr>
            <w:r>
              <w:rPr>
                <w:sz w:val="20"/>
                <w:szCs w:val="20"/>
              </w:rPr>
              <w:t>No</w:t>
            </w:r>
          </w:p>
        </w:tc>
      </w:tr>
    </w:tbl>
    <w:p w14:paraId="03AF81B6" w14:textId="77777777" w:rsidR="00D561E8" w:rsidRDefault="00D561E8">
      <w:pPr>
        <w:spacing w:line="480" w:lineRule="auto"/>
      </w:pPr>
    </w:p>
    <w:p w14:paraId="7F0FDEC2" w14:textId="77777777" w:rsidR="00D561E8" w:rsidRDefault="00000000">
      <w:pPr>
        <w:spacing w:line="480" w:lineRule="auto"/>
        <w:rPr>
          <w:b/>
          <w:sz w:val="28"/>
          <w:szCs w:val="28"/>
        </w:rPr>
      </w:pPr>
      <w:r>
        <w:rPr>
          <w:b/>
          <w:sz w:val="28"/>
          <w:szCs w:val="28"/>
        </w:rPr>
        <w:t>Additional files</w:t>
      </w:r>
    </w:p>
    <w:p w14:paraId="1EE1A8CC" w14:textId="77777777" w:rsidR="00D561E8" w:rsidRDefault="00000000">
      <w:pPr>
        <w:rPr>
          <w:color w:val="333333"/>
        </w:rPr>
      </w:pPr>
      <w:r>
        <w:rPr>
          <w:b/>
          <w:sz w:val="20"/>
          <w:szCs w:val="20"/>
        </w:rPr>
        <w:t>Additional file 2:</w:t>
      </w:r>
      <w:r>
        <w:rPr>
          <w:color w:val="333333"/>
        </w:rPr>
        <w:t>Supplementary_file1.docx</w:t>
      </w:r>
    </w:p>
    <w:p w14:paraId="52155860" w14:textId="77777777" w:rsidR="00D561E8" w:rsidRDefault="00000000">
      <w:pPr>
        <w:rPr>
          <w:color w:val="333333"/>
        </w:rPr>
      </w:pPr>
      <w:r>
        <w:rPr>
          <w:color w:val="333333"/>
        </w:rPr>
        <w:t>Additional figures and tables</w:t>
      </w:r>
    </w:p>
    <w:p w14:paraId="17EC328B" w14:textId="77777777" w:rsidR="00D561E8" w:rsidRDefault="00000000">
      <w:pPr>
        <w:rPr>
          <w:color w:val="333333"/>
        </w:rPr>
      </w:pPr>
      <w:r>
        <w:rPr>
          <w:color w:val="333333"/>
        </w:rPr>
        <w:t>This .docx file contains supplementary figures (S1:S6) and Tables (S1:S9) referenced in the main text.</w:t>
      </w:r>
    </w:p>
    <w:p w14:paraId="5B5BC5E7" w14:textId="77777777" w:rsidR="00D561E8" w:rsidRDefault="00D561E8"/>
    <w:sectPr w:rsidR="00D561E8">
      <w:pgSz w:w="16834" w:h="11909"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C12C8" w14:textId="77777777" w:rsidR="0077615D" w:rsidRDefault="0077615D">
      <w:pPr>
        <w:spacing w:line="240" w:lineRule="auto"/>
      </w:pPr>
      <w:r>
        <w:separator/>
      </w:r>
    </w:p>
  </w:endnote>
  <w:endnote w:type="continuationSeparator" w:id="0">
    <w:p w14:paraId="78258516" w14:textId="77777777" w:rsidR="0077615D" w:rsidRDefault="00776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446D629-9179-8C48-8069-4FAF808A18BE}"/>
    <w:embedBoldItalic r:id="rId2" w:fontKey="{BC20F202-0839-244B-BDE9-FD0D3D32887F}"/>
  </w:font>
  <w:font w:name="Arial">
    <w:panose1 w:val="020B0604020202020204"/>
    <w:charset w:val="00"/>
    <w:family w:val="swiss"/>
    <w:pitch w:val="variable"/>
    <w:sig w:usb0="E0002EFF" w:usb1="C000785B" w:usb2="00000009" w:usb3="00000000" w:csb0="000001FF" w:csb1="00000000"/>
    <w:embedRegular r:id="rId3" w:fontKey="{D6B3E406-2A91-A34A-B9AC-A868C0FCD4B3}"/>
    <w:embedBold r:id="rId4" w:fontKey="{525C8871-1151-4947-A93F-02907786124F}"/>
    <w:embedItalic r:id="rId5" w:fontKey="{F3B31CE0-E229-B242-AE69-6A9FEE283C64}"/>
    <w:embedBoldItalic r:id="rId6" w:fontKey="{30A9963C-3C5A-B146-8D01-7BE7F66357E8}"/>
  </w:font>
  <w:font w:name="Arial Unicode MS">
    <w:panose1 w:val="020B0604020202020204"/>
    <w:charset w:val="80"/>
    <w:family w:val="swiss"/>
    <w:pitch w:val="variable"/>
    <w:sig w:usb0="F7FFAFFF" w:usb1="E9DFFFFF" w:usb2="0000003F" w:usb3="00000000" w:csb0="003F01FF" w:csb1="00000000"/>
    <w:embedRegular r:id="rId7" w:subsetted="1" w:fontKey="{4ABADE4A-6E19-D745-9F2C-1627DF970BB9}"/>
  </w:font>
  <w:font w:name="Roboto">
    <w:panose1 w:val="02000000000000000000"/>
    <w:charset w:val="00"/>
    <w:family w:val="auto"/>
    <w:pitch w:val="variable"/>
    <w:sig w:usb0="E0000AFF" w:usb1="5000217F" w:usb2="00000021" w:usb3="00000000" w:csb0="0000019F" w:csb1="00000000"/>
    <w:embedRegular r:id="rId8" w:fontKey="{CE6AF4D2-2BB7-614C-B9AB-6D0F9A42BA22}"/>
    <w:embedBold r:id="rId9" w:fontKey="{14171DD7-EFDC-F843-9A3C-CC67435E8252}"/>
  </w:font>
  <w:font w:name="Calibri">
    <w:panose1 w:val="020F0502020204030204"/>
    <w:charset w:val="00"/>
    <w:family w:val="swiss"/>
    <w:pitch w:val="variable"/>
    <w:sig w:usb0="E4002EFF" w:usb1="C000247B" w:usb2="00000009" w:usb3="00000000" w:csb0="000001FF" w:csb1="00000000"/>
    <w:embedRegular r:id="rId10" w:fontKey="{6730C790-72A6-8C47-86E8-AC54C6D00320}"/>
  </w:font>
  <w:font w:name="Cambria">
    <w:panose1 w:val="02040503050406030204"/>
    <w:charset w:val="00"/>
    <w:family w:val="roman"/>
    <w:pitch w:val="variable"/>
    <w:sig w:usb0="E00002FF" w:usb1="400004FF" w:usb2="00000000" w:usb3="00000000" w:csb0="0000019F" w:csb1="00000000"/>
    <w:embedRegular r:id="rId11" w:fontKey="{57841C41-1BD7-594E-8169-D4C462EDE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A0E7" w14:textId="37063EFD" w:rsidR="00D561E8" w:rsidRDefault="00000000">
    <w:pPr>
      <w:jc w:val="right"/>
    </w:pPr>
    <w:r>
      <w:fldChar w:fldCharType="begin"/>
    </w:r>
    <w:r>
      <w:instrText>PAGE</w:instrText>
    </w:r>
    <w:r>
      <w:fldChar w:fldCharType="separate"/>
    </w:r>
    <w:r w:rsidR="00282BF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99E8" w14:textId="77777777" w:rsidR="00D561E8" w:rsidRDefault="00000000">
    <w:pPr>
      <w:jc w:val="right"/>
    </w:pPr>
    <w:r>
      <w:fldChar w:fldCharType="begin"/>
    </w:r>
    <w:r>
      <w:instrText>PAGE</w:instrText>
    </w:r>
    <w:r>
      <w:fldChar w:fldCharType="separate"/>
    </w:r>
    <w:r w:rsidR="00282B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40379" w14:textId="77777777" w:rsidR="0077615D" w:rsidRDefault="0077615D">
      <w:pPr>
        <w:spacing w:line="240" w:lineRule="auto"/>
      </w:pPr>
      <w:r>
        <w:separator/>
      </w:r>
    </w:p>
  </w:footnote>
  <w:footnote w:type="continuationSeparator" w:id="0">
    <w:p w14:paraId="54999F18" w14:textId="77777777" w:rsidR="0077615D" w:rsidRDefault="007761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60B"/>
    <w:multiLevelType w:val="multilevel"/>
    <w:tmpl w:val="146E1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E8649F"/>
    <w:multiLevelType w:val="multilevel"/>
    <w:tmpl w:val="FC32C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A20F11"/>
    <w:multiLevelType w:val="multilevel"/>
    <w:tmpl w:val="833286B8"/>
    <w:lvl w:ilvl="0">
      <w:start w:val="1"/>
      <w:numFmt w:val="decimal"/>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3E77343"/>
    <w:multiLevelType w:val="multilevel"/>
    <w:tmpl w:val="5E78B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C8B6140"/>
    <w:multiLevelType w:val="multilevel"/>
    <w:tmpl w:val="237A4EC0"/>
    <w:lvl w:ilvl="0">
      <w:start w:val="1"/>
      <w:numFmt w:val="decimal"/>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2CF436A"/>
    <w:multiLevelType w:val="multilevel"/>
    <w:tmpl w:val="059226E2"/>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4316162">
    <w:abstractNumId w:val="3"/>
  </w:num>
  <w:num w:numId="2" w16cid:durableId="350759391">
    <w:abstractNumId w:val="5"/>
  </w:num>
  <w:num w:numId="3" w16cid:durableId="1284117169">
    <w:abstractNumId w:val="1"/>
  </w:num>
  <w:num w:numId="4" w16cid:durableId="1614364063">
    <w:abstractNumId w:val="0"/>
  </w:num>
  <w:num w:numId="5" w16cid:durableId="459110055">
    <w:abstractNumId w:val="4"/>
  </w:num>
  <w:num w:numId="6" w16cid:durableId="13645941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E8"/>
    <w:rsid w:val="00282BFA"/>
    <w:rsid w:val="00327600"/>
    <w:rsid w:val="0077615D"/>
    <w:rsid w:val="00D56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4530A9"/>
  <w15:docId w15:val="{25FE8EED-BD7B-404B-A3EA-668E06D77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genome.ucsc.edu/cgi-bin/hgPublicSessions" TargetMode="External"/><Relationship Id="rId21" Type="http://schemas.openxmlformats.org/officeDocument/2006/relationships/hyperlink" Target="https://paperpile.com/c/RSTHg7/M4vi1" TargetMode="External"/><Relationship Id="rId324" Type="http://schemas.openxmlformats.org/officeDocument/2006/relationships/hyperlink" Target="http://paperpile.com/b/RSTHg7/zuLSi" TargetMode="External"/><Relationship Id="rId531" Type="http://schemas.openxmlformats.org/officeDocument/2006/relationships/hyperlink" Target="http://paperpile.com/b/RSTHg7/E1hYk" TargetMode="External"/><Relationship Id="rId170" Type="http://schemas.openxmlformats.org/officeDocument/2006/relationships/hyperlink" Target="http://paperpile.com/b/RSTHg7/dodze" TargetMode="External"/><Relationship Id="rId268" Type="http://schemas.openxmlformats.org/officeDocument/2006/relationships/hyperlink" Target="http://paperpile.com/b/RSTHg7/tdEy8" TargetMode="External"/><Relationship Id="rId475" Type="http://schemas.openxmlformats.org/officeDocument/2006/relationships/hyperlink" Target="http://paperpile.com/b/RSTHg7/tTWFI" TargetMode="External"/><Relationship Id="rId32" Type="http://schemas.openxmlformats.org/officeDocument/2006/relationships/hyperlink" Target="https://paperpile.com/c/RSTHg7/ZrGS" TargetMode="External"/><Relationship Id="rId128" Type="http://schemas.openxmlformats.org/officeDocument/2006/relationships/hyperlink" Target="http://paperpile.com/b/RSTHg7/92Luy" TargetMode="External"/><Relationship Id="rId335" Type="http://schemas.openxmlformats.org/officeDocument/2006/relationships/hyperlink" Target="http://paperpile.com/b/RSTHg7/PgTmK" TargetMode="External"/><Relationship Id="rId542" Type="http://schemas.openxmlformats.org/officeDocument/2006/relationships/hyperlink" Target="http://paperpile.com/b/RSTHg7/nZaD3" TargetMode="External"/><Relationship Id="rId181" Type="http://schemas.openxmlformats.org/officeDocument/2006/relationships/hyperlink" Target="http://paperpile.com/b/RSTHg7/4GY4L" TargetMode="External"/><Relationship Id="rId402" Type="http://schemas.openxmlformats.org/officeDocument/2006/relationships/hyperlink" Target="http://paperpile.com/b/RSTHg7/vrEmY" TargetMode="External"/><Relationship Id="rId279" Type="http://schemas.openxmlformats.org/officeDocument/2006/relationships/hyperlink" Target="http://paperpile.com/b/RSTHg7/qMUu" TargetMode="External"/><Relationship Id="rId486" Type="http://schemas.openxmlformats.org/officeDocument/2006/relationships/hyperlink" Target="http://paperpile.com/b/RSTHg7/9nIEt" TargetMode="External"/><Relationship Id="rId43" Type="http://schemas.openxmlformats.org/officeDocument/2006/relationships/hyperlink" Target="https://paperpile.com/c/RSTHg7/qMUu" TargetMode="External"/><Relationship Id="rId139" Type="http://schemas.openxmlformats.org/officeDocument/2006/relationships/hyperlink" Target="http://paperpile.com/b/RSTHg7/P8Mgq" TargetMode="External"/><Relationship Id="rId346" Type="http://schemas.openxmlformats.org/officeDocument/2006/relationships/hyperlink" Target="http://paperpile.com/b/RSTHg7/PINIV" TargetMode="External"/><Relationship Id="rId553" Type="http://schemas.openxmlformats.org/officeDocument/2006/relationships/hyperlink" Target="http://paperpile.com/b/RSTHg7/JomV" TargetMode="External"/><Relationship Id="rId192" Type="http://schemas.openxmlformats.org/officeDocument/2006/relationships/hyperlink" Target="http://paperpile.com/b/RSTHg7/QPVRA" TargetMode="External"/><Relationship Id="rId206" Type="http://schemas.openxmlformats.org/officeDocument/2006/relationships/hyperlink" Target="http://paperpile.com/b/RSTHg7/JugMZ" TargetMode="External"/><Relationship Id="rId413" Type="http://schemas.openxmlformats.org/officeDocument/2006/relationships/hyperlink" Target="http://paperpile.com/b/RSTHg7/4B1nm" TargetMode="External"/><Relationship Id="rId497" Type="http://schemas.openxmlformats.org/officeDocument/2006/relationships/hyperlink" Target="http://paperpile.com/b/RSTHg7/A9rWR" TargetMode="External"/><Relationship Id="rId357" Type="http://schemas.openxmlformats.org/officeDocument/2006/relationships/hyperlink" Target="http://paperpile.com/b/RSTHg7/Cau1t" TargetMode="External"/><Relationship Id="rId54" Type="http://schemas.openxmlformats.org/officeDocument/2006/relationships/hyperlink" Target="https://paperpile.com/c/RSTHg7/haqS" TargetMode="External"/><Relationship Id="rId217" Type="http://schemas.openxmlformats.org/officeDocument/2006/relationships/hyperlink" Target="http://paperpile.com/b/RSTHg7/IeLqM" TargetMode="External"/><Relationship Id="rId564" Type="http://schemas.openxmlformats.org/officeDocument/2006/relationships/hyperlink" Target="http://paperpile.com/b/RSTHg7/XBFE" TargetMode="External"/><Relationship Id="rId424" Type="http://schemas.openxmlformats.org/officeDocument/2006/relationships/hyperlink" Target="http://paperpile.com/b/RSTHg7/25CrM" TargetMode="External"/><Relationship Id="rId270" Type="http://schemas.openxmlformats.org/officeDocument/2006/relationships/hyperlink" Target="http://paperpile.com/b/RSTHg7/tdEy8" TargetMode="External"/><Relationship Id="rId65" Type="http://schemas.openxmlformats.org/officeDocument/2006/relationships/hyperlink" Target="https://paperpile.com/c/RSTHg7/4KiE6" TargetMode="External"/><Relationship Id="rId130" Type="http://schemas.openxmlformats.org/officeDocument/2006/relationships/hyperlink" Target="http://paperpile.com/b/RSTHg7/92Luy" TargetMode="External"/><Relationship Id="rId368" Type="http://schemas.openxmlformats.org/officeDocument/2006/relationships/hyperlink" Target="http://paperpile.com/b/RSTHg7/4QrO" TargetMode="External"/><Relationship Id="rId575" Type="http://schemas.openxmlformats.org/officeDocument/2006/relationships/hyperlink" Target="http://paperpile.com/b/RSTHg7/kkJqZ" TargetMode="External"/><Relationship Id="rId228" Type="http://schemas.openxmlformats.org/officeDocument/2006/relationships/hyperlink" Target="http://paperpile.com/b/RSTHg7/iOZ29" TargetMode="External"/><Relationship Id="rId435" Type="http://schemas.openxmlformats.org/officeDocument/2006/relationships/hyperlink" Target="http://paperpile.com/b/RSTHg7/w7Dx" TargetMode="External"/><Relationship Id="rId281" Type="http://schemas.openxmlformats.org/officeDocument/2006/relationships/hyperlink" Target="http://paperpile.com/b/RSTHg7/qMUu" TargetMode="External"/><Relationship Id="rId502" Type="http://schemas.openxmlformats.org/officeDocument/2006/relationships/hyperlink" Target="http://paperpile.com/b/RSTHg7/ZXXBq" TargetMode="External"/><Relationship Id="rId76" Type="http://schemas.openxmlformats.org/officeDocument/2006/relationships/hyperlink" Target="https://paperpile.com/c/RSTHg7/OxEKU" TargetMode="External"/><Relationship Id="rId141" Type="http://schemas.openxmlformats.org/officeDocument/2006/relationships/hyperlink" Target="http://paperpile.com/b/RSTHg7/i7KE7" TargetMode="External"/><Relationship Id="rId379" Type="http://schemas.openxmlformats.org/officeDocument/2006/relationships/hyperlink" Target="http://paperpile.com/b/RSTHg7/Dd8rR" TargetMode="External"/><Relationship Id="rId586" Type="http://schemas.openxmlformats.org/officeDocument/2006/relationships/hyperlink" Target="http://paperpile.com/b/RSTHg7/E5jL" TargetMode="External"/><Relationship Id="rId7" Type="http://schemas.openxmlformats.org/officeDocument/2006/relationships/hyperlink" Target="https://paperpile.com/c/RSTHg7/CBnAf+92Luy+P8Mgq" TargetMode="External"/><Relationship Id="rId239" Type="http://schemas.openxmlformats.org/officeDocument/2006/relationships/hyperlink" Target="https://re-docs.genomicsengland.co.uk/release15/" TargetMode="External"/><Relationship Id="rId446" Type="http://schemas.openxmlformats.org/officeDocument/2006/relationships/hyperlink" Target="http://paperpile.com/b/RSTHg7/6M32" TargetMode="External"/><Relationship Id="rId292" Type="http://schemas.openxmlformats.org/officeDocument/2006/relationships/hyperlink" Target="http://paperpile.com/b/RSTHg7/OQqYB" TargetMode="External"/><Relationship Id="rId306" Type="http://schemas.openxmlformats.org/officeDocument/2006/relationships/hyperlink" Target="http://paperpile.com/b/RSTHg7/FNCi4" TargetMode="External"/><Relationship Id="rId87" Type="http://schemas.openxmlformats.org/officeDocument/2006/relationships/hyperlink" Target="https://paperpile.com/c/RSTHg7/FNCi4" TargetMode="External"/><Relationship Id="rId513" Type="http://schemas.openxmlformats.org/officeDocument/2006/relationships/hyperlink" Target="http://paperpile.com/b/RSTHg7/Xe4OQ" TargetMode="External"/><Relationship Id="rId597" Type="http://schemas.openxmlformats.org/officeDocument/2006/relationships/hyperlink" Target="http://paperpile.com/b/RSTHg7/L1JX" TargetMode="External"/><Relationship Id="rId152" Type="http://schemas.openxmlformats.org/officeDocument/2006/relationships/hyperlink" Target="http://paperpile.com/b/RSTHg7/nx2G8" TargetMode="External"/><Relationship Id="rId457" Type="http://schemas.openxmlformats.org/officeDocument/2006/relationships/hyperlink" Target="http://paperpile.com/b/RSTHg7/G06Sk" TargetMode="External"/><Relationship Id="rId14" Type="http://schemas.openxmlformats.org/officeDocument/2006/relationships/hyperlink" Target="https://paperpile.com/c/RSTHg7/6J4Pz" TargetMode="External"/><Relationship Id="rId317" Type="http://schemas.openxmlformats.org/officeDocument/2006/relationships/hyperlink" Target="http://paperpile.com/b/RSTHg7/hJup8" TargetMode="External"/><Relationship Id="rId524" Type="http://schemas.openxmlformats.org/officeDocument/2006/relationships/hyperlink" Target="http://paperpile.com/b/RSTHg7/LVYoq" TargetMode="External"/><Relationship Id="rId98" Type="http://schemas.openxmlformats.org/officeDocument/2006/relationships/hyperlink" Target="https://paperpile.com/c/RSTHg7/fKX24" TargetMode="External"/><Relationship Id="rId163" Type="http://schemas.openxmlformats.org/officeDocument/2006/relationships/hyperlink" Target="http://paperpile.com/b/RSTHg7/yIiJq" TargetMode="External"/><Relationship Id="rId370" Type="http://schemas.openxmlformats.org/officeDocument/2006/relationships/hyperlink" Target="http://paperpile.com/b/RSTHg7/4QrO" TargetMode="External"/><Relationship Id="rId230" Type="http://schemas.openxmlformats.org/officeDocument/2006/relationships/hyperlink" Target="http://paperpile.com/b/RSTHg7/iOZ29" TargetMode="External"/><Relationship Id="rId468" Type="http://schemas.openxmlformats.org/officeDocument/2006/relationships/hyperlink" Target="http://paperpile.com/b/RSTHg7/thjbC" TargetMode="External"/><Relationship Id="rId25" Type="http://schemas.openxmlformats.org/officeDocument/2006/relationships/hyperlink" Target="https://paperpile.com/c/RSTHg7/zP7YC" TargetMode="External"/><Relationship Id="rId67" Type="http://schemas.openxmlformats.org/officeDocument/2006/relationships/hyperlink" Target="https://paperpile.com/c/RSTHg7/4B1nm" TargetMode="External"/><Relationship Id="rId272" Type="http://schemas.openxmlformats.org/officeDocument/2006/relationships/hyperlink" Target="http://paperpile.com/b/RSTHg7/tdEy8" TargetMode="External"/><Relationship Id="rId328" Type="http://schemas.openxmlformats.org/officeDocument/2006/relationships/hyperlink" Target="http://paperpile.com/b/RSTHg7/MpbIi" TargetMode="External"/><Relationship Id="rId535" Type="http://schemas.openxmlformats.org/officeDocument/2006/relationships/hyperlink" Target="http://paperpile.com/b/RSTHg7/E1hYk" TargetMode="External"/><Relationship Id="rId577" Type="http://schemas.openxmlformats.org/officeDocument/2006/relationships/hyperlink" Target="http://paperpile.com/b/RSTHg7/kkJqZ" TargetMode="External"/><Relationship Id="rId132" Type="http://schemas.openxmlformats.org/officeDocument/2006/relationships/hyperlink" Target="http://paperpile.com/b/RSTHg7/92Luy" TargetMode="External"/><Relationship Id="rId174" Type="http://schemas.openxmlformats.org/officeDocument/2006/relationships/hyperlink" Target="http://paperpile.com/b/RSTHg7/KCjVb" TargetMode="External"/><Relationship Id="rId381" Type="http://schemas.openxmlformats.org/officeDocument/2006/relationships/hyperlink" Target="http://paperpile.com/b/RSTHg7/Dd8rR" TargetMode="External"/><Relationship Id="rId602" Type="http://schemas.openxmlformats.org/officeDocument/2006/relationships/hyperlink" Target="http://paperpile.com/b/RSTHg7/70y5" TargetMode="External"/><Relationship Id="rId241" Type="http://schemas.openxmlformats.org/officeDocument/2006/relationships/hyperlink" Target="http://paperpile.com/b/RSTHg7/zP7YC" TargetMode="External"/><Relationship Id="rId437" Type="http://schemas.openxmlformats.org/officeDocument/2006/relationships/hyperlink" Target="http://paperpile.com/b/RSTHg7/sH5y" TargetMode="External"/><Relationship Id="rId479" Type="http://schemas.openxmlformats.org/officeDocument/2006/relationships/hyperlink" Target="http://paperpile.com/b/RSTHg7/dR3s5" TargetMode="External"/><Relationship Id="rId36" Type="http://schemas.openxmlformats.org/officeDocument/2006/relationships/hyperlink" Target="https://paperpile.com/c/RSTHg7/AOQI8" TargetMode="External"/><Relationship Id="rId283" Type="http://schemas.openxmlformats.org/officeDocument/2006/relationships/hyperlink" Target="http://paperpile.com/b/RSTHg7/qMUu" TargetMode="External"/><Relationship Id="rId339" Type="http://schemas.openxmlformats.org/officeDocument/2006/relationships/hyperlink" Target="http://paperpile.com/b/RSTHg7/PgTmK" TargetMode="External"/><Relationship Id="rId490" Type="http://schemas.openxmlformats.org/officeDocument/2006/relationships/hyperlink" Target="http://paperpile.com/b/RSTHg7/XK0IH" TargetMode="External"/><Relationship Id="rId504" Type="http://schemas.openxmlformats.org/officeDocument/2006/relationships/hyperlink" Target="http://paperpile.com/b/RSTHg7/ZXXBq" TargetMode="External"/><Relationship Id="rId546" Type="http://schemas.openxmlformats.org/officeDocument/2006/relationships/hyperlink" Target="http://paperpile.com/b/RSTHg7/oI3Ue" TargetMode="External"/><Relationship Id="rId78" Type="http://schemas.openxmlformats.org/officeDocument/2006/relationships/hyperlink" Target="https://paperpile.com/c/RSTHg7/Yok3W" TargetMode="External"/><Relationship Id="rId101" Type="http://schemas.openxmlformats.org/officeDocument/2006/relationships/hyperlink" Target="https://paperpile.com/c/RSTHg7/E1hYk" TargetMode="External"/><Relationship Id="rId143" Type="http://schemas.openxmlformats.org/officeDocument/2006/relationships/hyperlink" Target="http://paperpile.com/b/RSTHg7/i7KE7" TargetMode="External"/><Relationship Id="rId185" Type="http://schemas.openxmlformats.org/officeDocument/2006/relationships/hyperlink" Target="http://paperpile.com/b/RSTHg7/6J4Pz" TargetMode="External"/><Relationship Id="rId350" Type="http://schemas.openxmlformats.org/officeDocument/2006/relationships/hyperlink" Target="http://paperpile.com/b/RSTHg7/K56jC" TargetMode="External"/><Relationship Id="rId406" Type="http://schemas.openxmlformats.org/officeDocument/2006/relationships/hyperlink" Target="https://omim.org/" TargetMode="External"/><Relationship Id="rId588" Type="http://schemas.openxmlformats.org/officeDocument/2006/relationships/hyperlink" Target="http://dx.doi.org/10.5281/ZENODO.15100666" TargetMode="External"/><Relationship Id="rId9" Type="http://schemas.openxmlformats.org/officeDocument/2006/relationships/hyperlink" Target="https://paperpile.com/c/RSTHg7/dQAXh+yIiJq" TargetMode="External"/><Relationship Id="rId210" Type="http://schemas.openxmlformats.org/officeDocument/2006/relationships/hyperlink" Target="http://paperpile.com/b/RSTHg7/JugMZ" TargetMode="External"/><Relationship Id="rId392" Type="http://schemas.openxmlformats.org/officeDocument/2006/relationships/hyperlink" Target="http://paperpile.com/b/RSTHg7/gdnQd" TargetMode="External"/><Relationship Id="rId448" Type="http://schemas.openxmlformats.org/officeDocument/2006/relationships/hyperlink" Target="http://paperpile.com/b/RSTHg7/7J4Tp" TargetMode="External"/><Relationship Id="rId252" Type="http://schemas.openxmlformats.org/officeDocument/2006/relationships/hyperlink" Target="http://paperpile.com/b/RSTHg7/vO1Vm" TargetMode="External"/><Relationship Id="rId294" Type="http://schemas.openxmlformats.org/officeDocument/2006/relationships/hyperlink" Target="http://paperpile.com/b/RSTHg7/OQqYB" TargetMode="External"/><Relationship Id="rId308" Type="http://schemas.openxmlformats.org/officeDocument/2006/relationships/hyperlink" Target="http://paperpile.com/b/RSTHg7/FNCi4" TargetMode="External"/><Relationship Id="rId515" Type="http://schemas.openxmlformats.org/officeDocument/2006/relationships/hyperlink" Target="http://dx.doi.org/10.1101/094003" TargetMode="External"/><Relationship Id="rId47" Type="http://schemas.openxmlformats.org/officeDocument/2006/relationships/hyperlink" Target="https://paperpile.com/c/RSTHg7/PINIV" TargetMode="External"/><Relationship Id="rId89" Type="http://schemas.openxmlformats.org/officeDocument/2006/relationships/hyperlink" Target="https://paperpile.com/c/RSTHg7/FNCi4" TargetMode="External"/><Relationship Id="rId112" Type="http://schemas.openxmlformats.org/officeDocument/2006/relationships/hyperlink" Target="https://github.com/Computational-Rare-Disease-Genomics-WHG/Near_coding_annotation" TargetMode="External"/><Relationship Id="rId154" Type="http://schemas.openxmlformats.org/officeDocument/2006/relationships/hyperlink" Target="http://paperpile.com/b/RSTHg7/dQAXh" TargetMode="External"/><Relationship Id="rId361" Type="http://schemas.openxmlformats.org/officeDocument/2006/relationships/hyperlink" Target="http://paperpile.com/b/RSTHg7/ScnWD" TargetMode="External"/><Relationship Id="rId557" Type="http://schemas.openxmlformats.org/officeDocument/2006/relationships/hyperlink" Target="http://paperpile.com/b/RSTHg7/vVgz" TargetMode="External"/><Relationship Id="rId599" Type="http://schemas.openxmlformats.org/officeDocument/2006/relationships/hyperlink" Target="http://paperpile.com/b/RSTHg7/L1JX" TargetMode="External"/><Relationship Id="rId196" Type="http://schemas.openxmlformats.org/officeDocument/2006/relationships/hyperlink" Target="http://paperpile.com/b/RSTHg7/QPVRA" TargetMode="External"/><Relationship Id="rId417" Type="http://schemas.openxmlformats.org/officeDocument/2006/relationships/hyperlink" Target="http://paperpile.com/b/RSTHg7/4KiE6" TargetMode="External"/><Relationship Id="rId459" Type="http://schemas.openxmlformats.org/officeDocument/2006/relationships/hyperlink" Target="http://paperpile.com/b/RSTHg7/G06Sk" TargetMode="External"/><Relationship Id="rId16" Type="http://schemas.openxmlformats.org/officeDocument/2006/relationships/hyperlink" Target="https://paperpile.com/c/RSTHg7/k5hen" TargetMode="External"/><Relationship Id="rId221" Type="http://schemas.openxmlformats.org/officeDocument/2006/relationships/hyperlink" Target="http://paperpile.com/b/RSTHg7/M4vi1" TargetMode="External"/><Relationship Id="rId263" Type="http://schemas.openxmlformats.org/officeDocument/2006/relationships/hyperlink" Target="http://paperpile.com/b/RSTHg7/ZrGS" TargetMode="External"/><Relationship Id="rId319" Type="http://schemas.openxmlformats.org/officeDocument/2006/relationships/hyperlink" Target="http://paperpile.com/b/RSTHg7/hJup8" TargetMode="External"/><Relationship Id="rId470" Type="http://schemas.openxmlformats.org/officeDocument/2006/relationships/hyperlink" Target="http://paperpile.com/b/RSTHg7/thjbC" TargetMode="External"/><Relationship Id="rId526" Type="http://schemas.openxmlformats.org/officeDocument/2006/relationships/hyperlink" Target="http://paperpile.com/b/RSTHg7/LVYoq" TargetMode="External"/><Relationship Id="rId58" Type="http://schemas.openxmlformats.org/officeDocument/2006/relationships/hyperlink" Target="https://paperpile.com/c/RSTHg7/6lS3S" TargetMode="External"/><Relationship Id="rId123" Type="http://schemas.openxmlformats.org/officeDocument/2006/relationships/hyperlink" Target="http://paperpile.com/b/RSTHg7/CBnAf" TargetMode="External"/><Relationship Id="rId330" Type="http://schemas.openxmlformats.org/officeDocument/2006/relationships/hyperlink" Target="http://paperpile.com/b/RSTHg7/MpbIi" TargetMode="External"/><Relationship Id="rId568" Type="http://schemas.openxmlformats.org/officeDocument/2006/relationships/hyperlink" Target="http://paperpile.com/b/RSTHg7/XBFE" TargetMode="External"/><Relationship Id="rId165" Type="http://schemas.openxmlformats.org/officeDocument/2006/relationships/hyperlink" Target="http://paperpile.com/b/RSTHg7/dodze" TargetMode="External"/><Relationship Id="rId372" Type="http://schemas.openxmlformats.org/officeDocument/2006/relationships/hyperlink" Target="http://paperpile.com/b/RSTHg7/haqS" TargetMode="External"/><Relationship Id="rId428" Type="http://schemas.openxmlformats.org/officeDocument/2006/relationships/hyperlink" Target="http://paperpile.com/b/RSTHg7/25CrM" TargetMode="External"/><Relationship Id="rId232" Type="http://schemas.openxmlformats.org/officeDocument/2006/relationships/hyperlink" Target="http://paperpile.com/b/RSTHg7/iOZ29" TargetMode="External"/><Relationship Id="rId274" Type="http://schemas.openxmlformats.org/officeDocument/2006/relationships/hyperlink" Target="http://paperpile.com/b/RSTHg7/xbsle" TargetMode="External"/><Relationship Id="rId481" Type="http://schemas.openxmlformats.org/officeDocument/2006/relationships/hyperlink" Target="http://paperpile.com/b/RSTHg7/dR3s5" TargetMode="External"/><Relationship Id="rId27" Type="http://schemas.openxmlformats.org/officeDocument/2006/relationships/hyperlink" Target="https://paperpile.com/c/RSTHg7/ZZOa" TargetMode="External"/><Relationship Id="rId69" Type="http://schemas.openxmlformats.org/officeDocument/2006/relationships/hyperlink" Target="https://paperpile.com/c/RSTHg7/sH5y" TargetMode="External"/><Relationship Id="rId134" Type="http://schemas.openxmlformats.org/officeDocument/2006/relationships/hyperlink" Target="http://paperpile.com/b/RSTHg7/P8Mgq" TargetMode="External"/><Relationship Id="rId537" Type="http://schemas.openxmlformats.org/officeDocument/2006/relationships/hyperlink" Target="http://paperpile.com/b/RSTHg7/nZaD3" TargetMode="External"/><Relationship Id="rId579" Type="http://schemas.openxmlformats.org/officeDocument/2006/relationships/hyperlink" Target="http://paperpile.com/b/RSTHg7/vSNi1" TargetMode="External"/><Relationship Id="rId80" Type="http://schemas.openxmlformats.org/officeDocument/2006/relationships/hyperlink" Target="https://paperpile.com/c/RSTHg7/9nIEt" TargetMode="External"/><Relationship Id="rId176" Type="http://schemas.openxmlformats.org/officeDocument/2006/relationships/hyperlink" Target="http://paperpile.com/b/RSTHg7/KCjVb" TargetMode="External"/><Relationship Id="rId341" Type="http://schemas.openxmlformats.org/officeDocument/2006/relationships/hyperlink" Target="http://paperpile.com/b/RSTHg7/PgTmK" TargetMode="External"/><Relationship Id="rId383" Type="http://schemas.openxmlformats.org/officeDocument/2006/relationships/hyperlink" Target="http://paperpile.com/b/RSTHg7/pMJQr" TargetMode="External"/><Relationship Id="rId439" Type="http://schemas.openxmlformats.org/officeDocument/2006/relationships/hyperlink" Target="https://www.sfari.org/resource/simons-simplex-collection/" TargetMode="External"/><Relationship Id="rId590" Type="http://schemas.openxmlformats.org/officeDocument/2006/relationships/hyperlink" Target="http://paperpile.com/b/RSTHg7/6OBi" TargetMode="External"/><Relationship Id="rId604" Type="http://schemas.openxmlformats.org/officeDocument/2006/relationships/hyperlink" Target="http://paperpile.com/b/RSTHg7/70y5" TargetMode="External"/><Relationship Id="rId201" Type="http://schemas.openxmlformats.org/officeDocument/2006/relationships/hyperlink" Target="http://paperpile.com/b/RSTHg7/k5hen" TargetMode="External"/><Relationship Id="rId243" Type="http://schemas.openxmlformats.org/officeDocument/2006/relationships/hyperlink" Target="http://paperpile.com/b/RSTHg7/zP7YC" TargetMode="External"/><Relationship Id="rId285" Type="http://schemas.openxmlformats.org/officeDocument/2006/relationships/hyperlink" Target="http://paperpile.com/b/RSTHg7/AOQI8" TargetMode="External"/><Relationship Id="rId450" Type="http://schemas.openxmlformats.org/officeDocument/2006/relationships/hyperlink" Target="http://paperpile.com/b/RSTHg7/7J4Tp" TargetMode="External"/><Relationship Id="rId506" Type="http://schemas.openxmlformats.org/officeDocument/2006/relationships/hyperlink" Target="http://paperpile.com/b/RSTHg7/v2z0w" TargetMode="External"/><Relationship Id="rId38" Type="http://schemas.openxmlformats.org/officeDocument/2006/relationships/hyperlink" Target="https://paperpile.com/c/RSTHg7/dZFvV" TargetMode="External"/><Relationship Id="rId103" Type="http://schemas.openxmlformats.org/officeDocument/2006/relationships/hyperlink" Target="https://paperpile.com/c/RSTHg7/JomV" TargetMode="External"/><Relationship Id="rId310" Type="http://schemas.openxmlformats.org/officeDocument/2006/relationships/hyperlink" Target="http://paperpile.com/b/RSTHg7/T6UqN" TargetMode="External"/><Relationship Id="rId492" Type="http://schemas.openxmlformats.org/officeDocument/2006/relationships/hyperlink" Target="http://paperpile.com/b/RSTHg7/A9rWR" TargetMode="External"/><Relationship Id="rId548" Type="http://schemas.openxmlformats.org/officeDocument/2006/relationships/hyperlink" Target="http://paperpile.com/b/RSTHg7/oI3Ue" TargetMode="External"/><Relationship Id="rId91" Type="http://schemas.openxmlformats.org/officeDocument/2006/relationships/hyperlink" Target="https://paperpile.com/c/RSTHg7/92Luy" TargetMode="External"/><Relationship Id="rId145" Type="http://schemas.openxmlformats.org/officeDocument/2006/relationships/hyperlink" Target="http://paperpile.com/b/RSTHg7/i7KE7" TargetMode="External"/><Relationship Id="rId187" Type="http://schemas.openxmlformats.org/officeDocument/2006/relationships/hyperlink" Target="http://paperpile.com/b/RSTHg7/6J4Pz" TargetMode="External"/><Relationship Id="rId352" Type="http://schemas.openxmlformats.org/officeDocument/2006/relationships/hyperlink" Target="http://paperpile.com/b/RSTHg7/K56jC" TargetMode="External"/><Relationship Id="rId394" Type="http://schemas.openxmlformats.org/officeDocument/2006/relationships/hyperlink" Target="http://paperpile.com/b/RSTHg7/gdnQd" TargetMode="External"/><Relationship Id="rId408" Type="http://schemas.openxmlformats.org/officeDocument/2006/relationships/hyperlink" Target="http://paperpile.com/b/RSTHg7/xEUc" TargetMode="External"/><Relationship Id="rId212" Type="http://schemas.openxmlformats.org/officeDocument/2006/relationships/hyperlink" Target="http://paperpile.com/b/RSTHg7/uNdeI" TargetMode="External"/><Relationship Id="rId254" Type="http://schemas.openxmlformats.org/officeDocument/2006/relationships/hyperlink" Target="https://re-docs.genomicsengland.co.uk/de_novo_data/" TargetMode="External"/><Relationship Id="rId49" Type="http://schemas.openxmlformats.org/officeDocument/2006/relationships/hyperlink" Target="https://paperpile.com/c/RSTHg7/K56jC" TargetMode="External"/><Relationship Id="rId114" Type="http://schemas.openxmlformats.org/officeDocument/2006/relationships/hyperlink" Target="https://github.com/Computational-Rare-Disease-Genomics-WHG/Near_coding_annotation" TargetMode="External"/><Relationship Id="rId296" Type="http://schemas.openxmlformats.org/officeDocument/2006/relationships/hyperlink" Target="http://paperpile.com/b/RSTHg7/dZFvV" TargetMode="External"/><Relationship Id="rId461" Type="http://schemas.openxmlformats.org/officeDocument/2006/relationships/hyperlink" Target="http://paperpile.com/b/RSTHg7/J2gAG" TargetMode="External"/><Relationship Id="rId517" Type="http://schemas.openxmlformats.org/officeDocument/2006/relationships/hyperlink" Target="http://paperpile.com/b/RSTHg7/fKX24" TargetMode="External"/><Relationship Id="rId559" Type="http://schemas.openxmlformats.org/officeDocument/2006/relationships/hyperlink" Target="http://paperpile.com/b/RSTHg7/vVgz" TargetMode="External"/><Relationship Id="rId60" Type="http://schemas.openxmlformats.org/officeDocument/2006/relationships/hyperlink" Target="https://paperpile.com/c/RSTHg7/qEzX" TargetMode="External"/><Relationship Id="rId156" Type="http://schemas.openxmlformats.org/officeDocument/2006/relationships/hyperlink" Target="http://paperpile.com/b/RSTHg7/dQAXh" TargetMode="External"/><Relationship Id="rId198" Type="http://schemas.openxmlformats.org/officeDocument/2006/relationships/hyperlink" Target="http://paperpile.com/b/RSTHg7/k5hen" TargetMode="External"/><Relationship Id="rId321" Type="http://schemas.openxmlformats.org/officeDocument/2006/relationships/hyperlink" Target="http://paperpile.com/b/RSTHg7/zuLSi" TargetMode="External"/><Relationship Id="rId363" Type="http://schemas.openxmlformats.org/officeDocument/2006/relationships/hyperlink" Target="http://paperpile.com/b/RSTHg7/ScnWD" TargetMode="External"/><Relationship Id="rId419" Type="http://schemas.openxmlformats.org/officeDocument/2006/relationships/hyperlink" Target="http://paperpile.com/b/RSTHg7/4KiE6" TargetMode="External"/><Relationship Id="rId570" Type="http://schemas.openxmlformats.org/officeDocument/2006/relationships/hyperlink" Target="http://paperpile.com/b/RSTHg7/XBFE" TargetMode="External"/><Relationship Id="rId223" Type="http://schemas.openxmlformats.org/officeDocument/2006/relationships/hyperlink" Target="http://paperpile.com/b/RSTHg7/M4vi1" TargetMode="External"/><Relationship Id="rId430" Type="http://schemas.openxmlformats.org/officeDocument/2006/relationships/hyperlink" Target="http://paperpile.com/b/RSTHg7/25CrM" TargetMode="External"/><Relationship Id="rId18" Type="http://schemas.openxmlformats.org/officeDocument/2006/relationships/hyperlink" Target="https://paperpile.com/c/RSTHg7/uNdeI" TargetMode="External"/><Relationship Id="rId265" Type="http://schemas.openxmlformats.org/officeDocument/2006/relationships/hyperlink" Target="http://paperpile.com/b/RSTHg7/ZrGS" TargetMode="External"/><Relationship Id="rId472" Type="http://schemas.openxmlformats.org/officeDocument/2006/relationships/hyperlink" Target="http://paperpile.com/b/RSTHg7/tTWFI" TargetMode="External"/><Relationship Id="rId528" Type="http://schemas.openxmlformats.org/officeDocument/2006/relationships/hyperlink" Target="http://paperpile.com/b/RSTHg7/LVYoq" TargetMode="External"/><Relationship Id="rId125" Type="http://schemas.openxmlformats.org/officeDocument/2006/relationships/hyperlink" Target="http://paperpile.com/b/RSTHg7/CBnAf" TargetMode="External"/><Relationship Id="rId167" Type="http://schemas.openxmlformats.org/officeDocument/2006/relationships/hyperlink" Target="http://paperpile.com/b/RSTHg7/dodze" TargetMode="External"/><Relationship Id="rId332" Type="http://schemas.openxmlformats.org/officeDocument/2006/relationships/hyperlink" Target="http://paperpile.com/b/RSTHg7/MpbIi" TargetMode="External"/><Relationship Id="rId374" Type="http://schemas.openxmlformats.org/officeDocument/2006/relationships/hyperlink" Target="http://paperpile.com/b/RSTHg7/haqS" TargetMode="External"/><Relationship Id="rId581" Type="http://schemas.openxmlformats.org/officeDocument/2006/relationships/hyperlink" Target="http://paperpile.com/b/RSTHg7/vSNi1" TargetMode="External"/><Relationship Id="rId71" Type="http://schemas.openxmlformats.org/officeDocument/2006/relationships/hyperlink" Target="https://paperpile.com/c/RSTHg7/7J4Tp" TargetMode="External"/><Relationship Id="rId234" Type="http://schemas.openxmlformats.org/officeDocument/2006/relationships/hyperlink" Target="http://paperpile.com/b/RSTHg7/Dnea4" TargetMode="External"/><Relationship Id="rId2" Type="http://schemas.openxmlformats.org/officeDocument/2006/relationships/styles" Target="styles.xml"/><Relationship Id="rId29" Type="http://schemas.openxmlformats.org/officeDocument/2006/relationships/hyperlink" Target="https://paperpile.com/c/RSTHg7/vO1Vm" TargetMode="External"/><Relationship Id="rId276" Type="http://schemas.openxmlformats.org/officeDocument/2006/relationships/hyperlink" Target="http://paperpile.com/b/RSTHg7/xbsle" TargetMode="External"/><Relationship Id="rId441" Type="http://schemas.openxmlformats.org/officeDocument/2006/relationships/hyperlink" Target="http://paperpile.com/b/RSTHg7/6M32" TargetMode="External"/><Relationship Id="rId483" Type="http://schemas.openxmlformats.org/officeDocument/2006/relationships/hyperlink" Target="http://paperpile.com/b/RSTHg7/jHquY" TargetMode="External"/><Relationship Id="rId539" Type="http://schemas.openxmlformats.org/officeDocument/2006/relationships/hyperlink" Target="http://paperpile.com/b/RSTHg7/nZaD3" TargetMode="External"/><Relationship Id="rId40" Type="http://schemas.openxmlformats.org/officeDocument/2006/relationships/hyperlink" Target="https://paperpile.com/c/RSTHg7/OQqYB" TargetMode="External"/><Relationship Id="rId136" Type="http://schemas.openxmlformats.org/officeDocument/2006/relationships/hyperlink" Target="http://paperpile.com/b/RSTHg7/P8Mgq" TargetMode="External"/><Relationship Id="rId178" Type="http://schemas.openxmlformats.org/officeDocument/2006/relationships/hyperlink" Target="http://paperpile.com/b/RSTHg7/4GY4L" TargetMode="External"/><Relationship Id="rId301" Type="http://schemas.openxmlformats.org/officeDocument/2006/relationships/hyperlink" Target="http://paperpile.com/b/RSTHg7/dZFvV" TargetMode="External"/><Relationship Id="rId343" Type="http://schemas.openxmlformats.org/officeDocument/2006/relationships/hyperlink" Target="http://paperpile.com/b/RSTHg7/PINIV" TargetMode="External"/><Relationship Id="rId550" Type="http://schemas.openxmlformats.org/officeDocument/2006/relationships/hyperlink" Target="http://paperpile.com/b/RSTHg7/JomV" TargetMode="External"/><Relationship Id="rId82" Type="http://schemas.openxmlformats.org/officeDocument/2006/relationships/hyperlink" Target="https://paperpile.com/c/RSTHg7/A9rWR" TargetMode="External"/><Relationship Id="rId203" Type="http://schemas.openxmlformats.org/officeDocument/2006/relationships/hyperlink" Target="http://paperpile.com/b/RSTHg7/k5hen" TargetMode="External"/><Relationship Id="rId385" Type="http://schemas.openxmlformats.org/officeDocument/2006/relationships/hyperlink" Target="http://paperpile.com/b/RSTHg7/pMJQr" TargetMode="External"/><Relationship Id="rId592" Type="http://schemas.openxmlformats.org/officeDocument/2006/relationships/hyperlink" Target="http://paperpile.com/b/RSTHg7/6OBi" TargetMode="External"/><Relationship Id="rId606" Type="http://schemas.openxmlformats.org/officeDocument/2006/relationships/footer" Target="footer2.xml"/><Relationship Id="rId245" Type="http://schemas.openxmlformats.org/officeDocument/2006/relationships/hyperlink" Target="https://re-docs.genomicsengland.co.uk/aggv2/" TargetMode="External"/><Relationship Id="rId287" Type="http://schemas.openxmlformats.org/officeDocument/2006/relationships/hyperlink" Target="http://paperpile.com/b/RSTHg7/AOQI8" TargetMode="External"/><Relationship Id="rId410" Type="http://schemas.openxmlformats.org/officeDocument/2006/relationships/hyperlink" Target="http://paperpile.com/b/RSTHg7/xEUc" TargetMode="External"/><Relationship Id="rId452" Type="http://schemas.openxmlformats.org/officeDocument/2006/relationships/hyperlink" Target="http://paperpile.com/b/RSTHg7/7J4Tp" TargetMode="External"/><Relationship Id="rId494" Type="http://schemas.openxmlformats.org/officeDocument/2006/relationships/hyperlink" Target="http://paperpile.com/b/RSTHg7/A9rWR" TargetMode="External"/><Relationship Id="rId508" Type="http://schemas.openxmlformats.org/officeDocument/2006/relationships/hyperlink" Target="http://paperpile.com/b/RSTHg7/v2z0w" TargetMode="External"/><Relationship Id="rId105" Type="http://schemas.openxmlformats.org/officeDocument/2006/relationships/hyperlink" Target="https://paperpile.com/c/RSTHg7/XBFE" TargetMode="External"/><Relationship Id="rId147" Type="http://schemas.openxmlformats.org/officeDocument/2006/relationships/hyperlink" Target="http://paperpile.com/b/RSTHg7/nx2G8" TargetMode="External"/><Relationship Id="rId312" Type="http://schemas.openxmlformats.org/officeDocument/2006/relationships/hyperlink" Target="http://paperpile.com/b/RSTHg7/T6UqN" TargetMode="External"/><Relationship Id="rId354" Type="http://schemas.openxmlformats.org/officeDocument/2006/relationships/hyperlink" Target="http://paperpile.com/b/RSTHg7/K56jC" TargetMode="External"/><Relationship Id="rId51" Type="http://schemas.openxmlformats.org/officeDocument/2006/relationships/hyperlink" Target="https://paperpile.com/c/RSTHg7/ScnWD" TargetMode="External"/><Relationship Id="rId93" Type="http://schemas.openxmlformats.org/officeDocument/2006/relationships/hyperlink" Target="https://paperpile.com/c/RSTHg7/P8Mgq" TargetMode="External"/><Relationship Id="rId189" Type="http://schemas.openxmlformats.org/officeDocument/2006/relationships/hyperlink" Target="http://paperpile.com/b/RSTHg7/6J4Pz" TargetMode="External"/><Relationship Id="rId396" Type="http://schemas.openxmlformats.org/officeDocument/2006/relationships/hyperlink" Target="http://paperpile.com/b/RSTHg7/6lS3S" TargetMode="External"/><Relationship Id="rId561" Type="http://schemas.openxmlformats.org/officeDocument/2006/relationships/hyperlink" Target="http://paperpile.com/b/RSTHg7/vVgz" TargetMode="External"/><Relationship Id="rId214" Type="http://schemas.openxmlformats.org/officeDocument/2006/relationships/hyperlink" Target="http://paperpile.com/b/RSTHg7/uNdeI" TargetMode="External"/><Relationship Id="rId256" Type="http://schemas.openxmlformats.org/officeDocument/2006/relationships/hyperlink" Target="http://paperpile.com/b/RSTHg7/Yzr3e" TargetMode="External"/><Relationship Id="rId298" Type="http://schemas.openxmlformats.org/officeDocument/2006/relationships/hyperlink" Target="http://paperpile.com/b/RSTHg7/dZFvV" TargetMode="External"/><Relationship Id="rId421" Type="http://schemas.openxmlformats.org/officeDocument/2006/relationships/hyperlink" Target="http://paperpile.com/b/RSTHg7/4KiE6" TargetMode="External"/><Relationship Id="rId463" Type="http://schemas.openxmlformats.org/officeDocument/2006/relationships/hyperlink" Target="http://paperpile.com/b/RSTHg7/J2gAG" TargetMode="External"/><Relationship Id="rId519" Type="http://schemas.openxmlformats.org/officeDocument/2006/relationships/hyperlink" Target="http://paperpile.com/b/RSTHg7/fKX24" TargetMode="External"/><Relationship Id="rId116" Type="http://schemas.openxmlformats.org/officeDocument/2006/relationships/hyperlink" Target="https://paperpile.com/c/RSTHg7/L1JX" TargetMode="External"/><Relationship Id="rId158" Type="http://schemas.openxmlformats.org/officeDocument/2006/relationships/hyperlink" Target="http://paperpile.com/b/RSTHg7/dQAXh" TargetMode="External"/><Relationship Id="rId323" Type="http://schemas.openxmlformats.org/officeDocument/2006/relationships/hyperlink" Target="http://paperpile.com/b/RSTHg7/zuLSi" TargetMode="External"/><Relationship Id="rId530" Type="http://schemas.openxmlformats.org/officeDocument/2006/relationships/hyperlink" Target="http://paperpile.com/b/RSTHg7/E1hYk" TargetMode="External"/><Relationship Id="rId20" Type="http://schemas.openxmlformats.org/officeDocument/2006/relationships/hyperlink" Target="https://paperpile.com/c/RSTHg7/M4vi1" TargetMode="External"/><Relationship Id="rId62" Type="http://schemas.openxmlformats.org/officeDocument/2006/relationships/hyperlink" Target="https://paperpile.com/c/RSTHg7/FnPP" TargetMode="External"/><Relationship Id="rId365" Type="http://schemas.openxmlformats.org/officeDocument/2006/relationships/hyperlink" Target="http://paperpile.com/b/RSTHg7/ScnWD" TargetMode="External"/><Relationship Id="rId572" Type="http://schemas.openxmlformats.org/officeDocument/2006/relationships/hyperlink" Target="http://paperpile.com/b/RSTHg7/kkJqZ" TargetMode="External"/><Relationship Id="rId225" Type="http://schemas.openxmlformats.org/officeDocument/2006/relationships/hyperlink" Target="http://paperpile.com/b/RSTHg7/M4vi1" TargetMode="External"/><Relationship Id="rId267" Type="http://schemas.openxmlformats.org/officeDocument/2006/relationships/hyperlink" Target="http://paperpile.com/b/RSTHg7/tdEy8" TargetMode="External"/><Relationship Id="rId432" Type="http://schemas.openxmlformats.org/officeDocument/2006/relationships/hyperlink" Target="http://paperpile.com/b/RSTHg7/w7Dx" TargetMode="External"/><Relationship Id="rId474" Type="http://schemas.openxmlformats.org/officeDocument/2006/relationships/hyperlink" Target="http://paperpile.com/b/RSTHg7/tTWFI" TargetMode="External"/><Relationship Id="rId127" Type="http://schemas.openxmlformats.org/officeDocument/2006/relationships/hyperlink" Target="http://paperpile.com/b/RSTHg7/92Luy" TargetMode="External"/><Relationship Id="rId31" Type="http://schemas.openxmlformats.org/officeDocument/2006/relationships/hyperlink" Target="https://paperpile.com/c/RSTHg7/Yzr3e" TargetMode="External"/><Relationship Id="rId73" Type="http://schemas.openxmlformats.org/officeDocument/2006/relationships/hyperlink" Target="https://paperpile.com/c/RSTHg7/J2gAG" TargetMode="External"/><Relationship Id="rId169" Type="http://schemas.openxmlformats.org/officeDocument/2006/relationships/hyperlink" Target="http://paperpile.com/b/RSTHg7/dodze" TargetMode="External"/><Relationship Id="rId334" Type="http://schemas.openxmlformats.org/officeDocument/2006/relationships/hyperlink" Target="http://paperpile.com/b/RSTHg7/MpbIi" TargetMode="External"/><Relationship Id="rId376" Type="http://schemas.openxmlformats.org/officeDocument/2006/relationships/hyperlink" Target="http://paperpile.com/b/RSTHg7/haqS" TargetMode="External"/><Relationship Id="rId541" Type="http://schemas.openxmlformats.org/officeDocument/2006/relationships/hyperlink" Target="http://paperpile.com/b/RSTHg7/nZaD3" TargetMode="External"/><Relationship Id="rId583" Type="http://schemas.openxmlformats.org/officeDocument/2006/relationships/hyperlink" Target="http://paperpile.com/b/RSTHg7/vSNi1" TargetMode="External"/><Relationship Id="rId4" Type="http://schemas.openxmlformats.org/officeDocument/2006/relationships/webSettings" Target="webSettings.xml"/><Relationship Id="rId180" Type="http://schemas.openxmlformats.org/officeDocument/2006/relationships/hyperlink" Target="http://paperpile.com/b/RSTHg7/4GY4L" TargetMode="External"/><Relationship Id="rId236" Type="http://schemas.openxmlformats.org/officeDocument/2006/relationships/hyperlink" Target="http://paperpile.com/b/RSTHg7/Dnea4" TargetMode="External"/><Relationship Id="rId278" Type="http://schemas.openxmlformats.org/officeDocument/2006/relationships/hyperlink" Target="http://paperpile.com/b/RSTHg7/qMUu" TargetMode="External"/><Relationship Id="rId401" Type="http://schemas.openxmlformats.org/officeDocument/2006/relationships/hyperlink" Target="http://paperpile.com/b/RSTHg7/vrEmY" TargetMode="External"/><Relationship Id="rId443" Type="http://schemas.openxmlformats.org/officeDocument/2006/relationships/hyperlink" Target="http://paperpile.com/b/RSTHg7/6M32" TargetMode="External"/><Relationship Id="rId303" Type="http://schemas.openxmlformats.org/officeDocument/2006/relationships/hyperlink" Target="http://paperpile.com/b/RSTHg7/FNCi4" TargetMode="External"/><Relationship Id="rId485" Type="http://schemas.openxmlformats.org/officeDocument/2006/relationships/hyperlink" Target="http://paperpile.com/b/RSTHg7/9nIEt" TargetMode="External"/><Relationship Id="rId42" Type="http://schemas.openxmlformats.org/officeDocument/2006/relationships/hyperlink" Target="https://paperpile.com/c/RSTHg7/FNCi4" TargetMode="External"/><Relationship Id="rId84" Type="http://schemas.openxmlformats.org/officeDocument/2006/relationships/hyperlink" Target="https://paperpile.com/c/RSTHg7/T6UqN" TargetMode="External"/><Relationship Id="rId138" Type="http://schemas.openxmlformats.org/officeDocument/2006/relationships/hyperlink" Target="http://paperpile.com/b/RSTHg7/P8Mgq" TargetMode="External"/><Relationship Id="rId345" Type="http://schemas.openxmlformats.org/officeDocument/2006/relationships/hyperlink" Target="http://paperpile.com/b/RSTHg7/PINIV" TargetMode="External"/><Relationship Id="rId387" Type="http://schemas.openxmlformats.org/officeDocument/2006/relationships/hyperlink" Target="http://paperpile.com/b/RSTHg7/pMJQr" TargetMode="External"/><Relationship Id="rId510" Type="http://schemas.openxmlformats.org/officeDocument/2006/relationships/hyperlink" Target="http://paperpile.com/b/RSTHg7/v2z0w" TargetMode="External"/><Relationship Id="rId552" Type="http://schemas.openxmlformats.org/officeDocument/2006/relationships/hyperlink" Target="http://paperpile.com/b/RSTHg7/JomV" TargetMode="External"/><Relationship Id="rId594" Type="http://schemas.openxmlformats.org/officeDocument/2006/relationships/hyperlink" Target="http://paperpile.com/b/RSTHg7/6OBi" TargetMode="External"/><Relationship Id="rId608" Type="http://schemas.openxmlformats.org/officeDocument/2006/relationships/theme" Target="theme/theme1.xml"/><Relationship Id="rId191" Type="http://schemas.openxmlformats.org/officeDocument/2006/relationships/hyperlink" Target="http://paperpile.com/b/RSTHg7/6J4Pz" TargetMode="External"/><Relationship Id="rId205" Type="http://schemas.openxmlformats.org/officeDocument/2006/relationships/hyperlink" Target="http://paperpile.com/b/RSTHg7/JugMZ" TargetMode="External"/><Relationship Id="rId247" Type="http://schemas.openxmlformats.org/officeDocument/2006/relationships/hyperlink" Target="http://paperpile.com/b/RSTHg7/ZZOa" TargetMode="External"/><Relationship Id="rId412" Type="http://schemas.openxmlformats.org/officeDocument/2006/relationships/hyperlink" Target="https://re-docs.genomicsengland.co.uk/ancestry_inference/" TargetMode="External"/><Relationship Id="rId107" Type="http://schemas.openxmlformats.org/officeDocument/2006/relationships/hyperlink" Target="https://paperpile.com/c/RSTHg7/kkJqZ" TargetMode="External"/><Relationship Id="rId289" Type="http://schemas.openxmlformats.org/officeDocument/2006/relationships/hyperlink" Target="http://paperpile.com/b/RSTHg7/AOQI8" TargetMode="External"/><Relationship Id="rId454" Type="http://schemas.openxmlformats.org/officeDocument/2006/relationships/hyperlink" Target="http://paperpile.com/b/RSTHg7/7J4Tp" TargetMode="External"/><Relationship Id="rId496" Type="http://schemas.openxmlformats.org/officeDocument/2006/relationships/hyperlink" Target="http://paperpile.com/b/RSTHg7/A9rWR" TargetMode="External"/><Relationship Id="rId11" Type="http://schemas.openxmlformats.org/officeDocument/2006/relationships/hyperlink" Target="https://paperpile.com/c/RSTHg7/KCjVb" TargetMode="External"/><Relationship Id="rId53" Type="http://schemas.openxmlformats.org/officeDocument/2006/relationships/hyperlink" Target="https://paperpile.com/c/RSTHg7/4QrO" TargetMode="External"/><Relationship Id="rId149" Type="http://schemas.openxmlformats.org/officeDocument/2006/relationships/hyperlink" Target="http://paperpile.com/b/RSTHg7/nx2G8" TargetMode="External"/><Relationship Id="rId314" Type="http://schemas.openxmlformats.org/officeDocument/2006/relationships/hyperlink" Target="http://paperpile.com/b/RSTHg7/T6UqN" TargetMode="External"/><Relationship Id="rId356" Type="http://schemas.openxmlformats.org/officeDocument/2006/relationships/hyperlink" Target="http://paperpile.com/b/RSTHg7/Cau1t" TargetMode="External"/><Relationship Id="rId398" Type="http://schemas.openxmlformats.org/officeDocument/2006/relationships/hyperlink" Target="http://paperpile.com/b/RSTHg7/6lS3S" TargetMode="External"/><Relationship Id="rId521" Type="http://schemas.openxmlformats.org/officeDocument/2006/relationships/hyperlink" Target="http://paperpile.com/b/RSTHg7/fKX24" TargetMode="External"/><Relationship Id="rId563" Type="http://schemas.openxmlformats.org/officeDocument/2006/relationships/hyperlink" Target="http://paperpile.com/b/RSTHg7/vVgz" TargetMode="External"/><Relationship Id="rId95" Type="http://schemas.openxmlformats.org/officeDocument/2006/relationships/hyperlink" Target="https://paperpile.com/c/RSTHg7/dodze+v2z0w" TargetMode="External"/><Relationship Id="rId160" Type="http://schemas.openxmlformats.org/officeDocument/2006/relationships/hyperlink" Target="http://paperpile.com/b/RSTHg7/yIiJq" TargetMode="External"/><Relationship Id="rId216" Type="http://schemas.openxmlformats.org/officeDocument/2006/relationships/hyperlink" Target="http://paperpile.com/b/RSTHg7/IeLqM" TargetMode="External"/><Relationship Id="rId423" Type="http://schemas.openxmlformats.org/officeDocument/2006/relationships/hyperlink" Target="http://paperpile.com/b/RSTHg7/4KiE6" TargetMode="External"/><Relationship Id="rId258" Type="http://schemas.openxmlformats.org/officeDocument/2006/relationships/hyperlink" Target="http://paperpile.com/b/RSTHg7/Yzr3e" TargetMode="External"/><Relationship Id="rId465" Type="http://schemas.openxmlformats.org/officeDocument/2006/relationships/hyperlink" Target="http://paperpile.com/b/RSTHg7/thjbC" TargetMode="External"/><Relationship Id="rId22" Type="http://schemas.openxmlformats.org/officeDocument/2006/relationships/hyperlink" Target="https://paperpile.com/c/RSTHg7/iOZ29" TargetMode="External"/><Relationship Id="rId64" Type="http://schemas.openxmlformats.org/officeDocument/2006/relationships/hyperlink" Target="https://paperpile.com/c/RSTHg7/mzlc0" TargetMode="External"/><Relationship Id="rId118" Type="http://schemas.openxmlformats.org/officeDocument/2006/relationships/hyperlink" Target="https://paperpile.com/c/RSTHg7/70y5" TargetMode="External"/><Relationship Id="rId325" Type="http://schemas.openxmlformats.org/officeDocument/2006/relationships/hyperlink" Target="http://paperpile.com/b/RSTHg7/zuLSi" TargetMode="External"/><Relationship Id="rId367" Type="http://schemas.openxmlformats.org/officeDocument/2006/relationships/hyperlink" Target="http://paperpile.com/b/RSTHg7/4QrO" TargetMode="External"/><Relationship Id="rId532" Type="http://schemas.openxmlformats.org/officeDocument/2006/relationships/hyperlink" Target="http://paperpile.com/b/RSTHg7/E1hYk" TargetMode="External"/><Relationship Id="rId574" Type="http://schemas.openxmlformats.org/officeDocument/2006/relationships/hyperlink" Target="http://paperpile.com/b/RSTHg7/kkJqZ" TargetMode="External"/><Relationship Id="rId171" Type="http://schemas.openxmlformats.org/officeDocument/2006/relationships/hyperlink" Target="http://paperpile.com/b/RSTHg7/KCjVb" TargetMode="External"/><Relationship Id="rId227" Type="http://schemas.openxmlformats.org/officeDocument/2006/relationships/hyperlink" Target="http://paperpile.com/b/RSTHg7/iOZ29" TargetMode="External"/><Relationship Id="rId269" Type="http://schemas.openxmlformats.org/officeDocument/2006/relationships/hyperlink" Target="http://paperpile.com/b/RSTHg7/tdEy8" TargetMode="External"/><Relationship Id="rId434" Type="http://schemas.openxmlformats.org/officeDocument/2006/relationships/hyperlink" Target="http://dx.doi.org/10.48550/ARXIV.1603.06687" TargetMode="External"/><Relationship Id="rId476" Type="http://schemas.openxmlformats.org/officeDocument/2006/relationships/hyperlink" Target="http://paperpile.com/b/RSTHg7/tTWFI" TargetMode="External"/><Relationship Id="rId33" Type="http://schemas.openxmlformats.org/officeDocument/2006/relationships/hyperlink" Target="https://paperpile.com/c/RSTHg7/tdEy8" TargetMode="External"/><Relationship Id="rId129" Type="http://schemas.openxmlformats.org/officeDocument/2006/relationships/hyperlink" Target="http://paperpile.com/b/RSTHg7/92Luy" TargetMode="External"/><Relationship Id="rId280" Type="http://schemas.openxmlformats.org/officeDocument/2006/relationships/hyperlink" Target="http://paperpile.com/b/RSTHg7/qMUu" TargetMode="External"/><Relationship Id="rId336" Type="http://schemas.openxmlformats.org/officeDocument/2006/relationships/hyperlink" Target="http://paperpile.com/b/RSTHg7/PgTmK" TargetMode="External"/><Relationship Id="rId501" Type="http://schemas.openxmlformats.org/officeDocument/2006/relationships/hyperlink" Target="http://paperpile.com/b/RSTHg7/ZXXBq" TargetMode="External"/><Relationship Id="rId543" Type="http://schemas.openxmlformats.org/officeDocument/2006/relationships/hyperlink" Target="http://paperpile.com/b/RSTHg7/oI3Ue" TargetMode="External"/><Relationship Id="rId75" Type="http://schemas.openxmlformats.org/officeDocument/2006/relationships/hyperlink" Target="https://paperpile.com/c/RSTHg7/dR3s5" TargetMode="External"/><Relationship Id="rId140" Type="http://schemas.openxmlformats.org/officeDocument/2006/relationships/hyperlink" Target="http://paperpile.com/b/RSTHg7/i7KE7" TargetMode="External"/><Relationship Id="rId182" Type="http://schemas.openxmlformats.org/officeDocument/2006/relationships/hyperlink" Target="http://paperpile.com/b/RSTHg7/4GY4L" TargetMode="External"/><Relationship Id="rId378" Type="http://schemas.openxmlformats.org/officeDocument/2006/relationships/hyperlink" Target="http://paperpile.com/b/RSTHg7/Dd8rR" TargetMode="External"/><Relationship Id="rId403" Type="http://schemas.openxmlformats.org/officeDocument/2006/relationships/hyperlink" Target="http://paperpile.com/b/RSTHg7/vrEmY" TargetMode="External"/><Relationship Id="rId585" Type="http://schemas.openxmlformats.org/officeDocument/2006/relationships/hyperlink" Target="http://paperpile.com/b/RSTHg7/E5jL" TargetMode="External"/><Relationship Id="rId6" Type="http://schemas.openxmlformats.org/officeDocument/2006/relationships/endnotes" Target="endnotes.xml"/><Relationship Id="rId238" Type="http://schemas.openxmlformats.org/officeDocument/2006/relationships/hyperlink" Target="http://paperpile.com/b/RSTHg7/FnPP" TargetMode="External"/><Relationship Id="rId445" Type="http://schemas.openxmlformats.org/officeDocument/2006/relationships/hyperlink" Target="http://paperpile.com/b/RSTHg7/6M32" TargetMode="External"/><Relationship Id="rId487" Type="http://schemas.openxmlformats.org/officeDocument/2006/relationships/hyperlink" Target="http://paperpile.com/b/RSTHg7/9nIEt" TargetMode="External"/><Relationship Id="rId610" Type="http://schemas.openxmlformats.org/officeDocument/2006/relationships/customXml" Target="../customXml/item2.xml"/><Relationship Id="rId291" Type="http://schemas.openxmlformats.org/officeDocument/2006/relationships/hyperlink" Target="http://paperpile.com/b/RSTHg7/OQqYB" TargetMode="External"/><Relationship Id="rId305" Type="http://schemas.openxmlformats.org/officeDocument/2006/relationships/hyperlink" Target="http://paperpile.com/b/RSTHg7/FNCi4" TargetMode="External"/><Relationship Id="rId347" Type="http://schemas.openxmlformats.org/officeDocument/2006/relationships/hyperlink" Target="http://paperpile.com/b/RSTHg7/PINIV" TargetMode="External"/><Relationship Id="rId512" Type="http://schemas.openxmlformats.org/officeDocument/2006/relationships/hyperlink" Target="http://paperpile.com/b/RSTHg7/Xe4OQ" TargetMode="External"/><Relationship Id="rId44" Type="http://schemas.openxmlformats.org/officeDocument/2006/relationships/hyperlink" Target="https://paperpile.com/c/RSTHg7/xbsle" TargetMode="External"/><Relationship Id="rId86" Type="http://schemas.openxmlformats.org/officeDocument/2006/relationships/hyperlink" Target="https://paperpile.com/c/RSTHg7/PINIV" TargetMode="External"/><Relationship Id="rId151" Type="http://schemas.openxmlformats.org/officeDocument/2006/relationships/hyperlink" Target="http://paperpile.com/b/RSTHg7/nx2G8" TargetMode="External"/><Relationship Id="rId389" Type="http://schemas.openxmlformats.org/officeDocument/2006/relationships/hyperlink" Target="http://paperpile.com/b/RSTHg7/pMJQr" TargetMode="External"/><Relationship Id="rId554" Type="http://schemas.openxmlformats.org/officeDocument/2006/relationships/hyperlink" Target="http://paperpile.com/b/RSTHg7/JomV" TargetMode="External"/><Relationship Id="rId596" Type="http://schemas.openxmlformats.org/officeDocument/2006/relationships/hyperlink" Target="http://paperpile.com/b/RSTHg7/6OBi" TargetMode="External"/><Relationship Id="rId193" Type="http://schemas.openxmlformats.org/officeDocument/2006/relationships/hyperlink" Target="http://paperpile.com/b/RSTHg7/QPVRA" TargetMode="External"/><Relationship Id="rId207" Type="http://schemas.openxmlformats.org/officeDocument/2006/relationships/hyperlink" Target="http://paperpile.com/b/RSTHg7/JugMZ" TargetMode="External"/><Relationship Id="rId249" Type="http://schemas.openxmlformats.org/officeDocument/2006/relationships/hyperlink" Target="http://paperpile.com/b/RSTHg7/ZZOa" TargetMode="External"/><Relationship Id="rId414" Type="http://schemas.openxmlformats.org/officeDocument/2006/relationships/hyperlink" Target="http://paperpile.com/b/RSTHg7/mzlc0" TargetMode="External"/><Relationship Id="rId456" Type="http://schemas.openxmlformats.org/officeDocument/2006/relationships/hyperlink" Target="http://paperpile.com/b/RSTHg7/G06Sk" TargetMode="External"/><Relationship Id="rId498" Type="http://schemas.openxmlformats.org/officeDocument/2006/relationships/hyperlink" Target="http://paperpile.com/b/RSTHg7/ZXXBq" TargetMode="External"/><Relationship Id="rId13" Type="http://schemas.openxmlformats.org/officeDocument/2006/relationships/hyperlink" Target="https://paperpile.com/c/RSTHg7/4GY4L" TargetMode="External"/><Relationship Id="rId109" Type="http://schemas.openxmlformats.org/officeDocument/2006/relationships/hyperlink" Target="https://paperpile.com/c/RSTHg7/vSNi1" TargetMode="External"/><Relationship Id="rId260" Type="http://schemas.openxmlformats.org/officeDocument/2006/relationships/hyperlink" Target="http://paperpile.com/b/RSTHg7/ZrGS" TargetMode="External"/><Relationship Id="rId316" Type="http://schemas.openxmlformats.org/officeDocument/2006/relationships/hyperlink" Target="http://paperpile.com/b/RSTHg7/hJup8" TargetMode="External"/><Relationship Id="rId523" Type="http://schemas.openxmlformats.org/officeDocument/2006/relationships/hyperlink" Target="http://paperpile.com/b/RSTHg7/fKX24" TargetMode="External"/><Relationship Id="rId55" Type="http://schemas.openxmlformats.org/officeDocument/2006/relationships/hyperlink" Target="https://paperpile.com/c/RSTHg7/Dd8rR" TargetMode="External"/><Relationship Id="rId97" Type="http://schemas.openxmlformats.org/officeDocument/2006/relationships/hyperlink" Target="https://paperpile.com/c/RSTHg7/Xe4OQ" TargetMode="External"/><Relationship Id="rId120" Type="http://schemas.openxmlformats.org/officeDocument/2006/relationships/hyperlink" Target="http://paperpile.com/b/RSTHg7/CBnAf" TargetMode="External"/><Relationship Id="rId358" Type="http://schemas.openxmlformats.org/officeDocument/2006/relationships/hyperlink" Target="http://paperpile.com/b/RSTHg7/Cau1t" TargetMode="External"/><Relationship Id="rId565" Type="http://schemas.openxmlformats.org/officeDocument/2006/relationships/hyperlink" Target="http://paperpile.com/b/RSTHg7/XBFE" TargetMode="External"/><Relationship Id="rId162" Type="http://schemas.openxmlformats.org/officeDocument/2006/relationships/hyperlink" Target="http://paperpile.com/b/RSTHg7/yIiJq" TargetMode="External"/><Relationship Id="rId218" Type="http://schemas.openxmlformats.org/officeDocument/2006/relationships/hyperlink" Target="http://paperpile.com/b/RSTHg7/IeLqM" TargetMode="External"/><Relationship Id="rId425" Type="http://schemas.openxmlformats.org/officeDocument/2006/relationships/hyperlink" Target="http://paperpile.com/b/RSTHg7/25CrM" TargetMode="External"/><Relationship Id="rId467" Type="http://schemas.openxmlformats.org/officeDocument/2006/relationships/hyperlink" Target="http://paperpile.com/b/RSTHg7/thjbC" TargetMode="External"/><Relationship Id="rId271" Type="http://schemas.openxmlformats.org/officeDocument/2006/relationships/hyperlink" Target="http://paperpile.com/b/RSTHg7/tdEy8" TargetMode="External"/><Relationship Id="rId24" Type="http://schemas.openxmlformats.org/officeDocument/2006/relationships/hyperlink" Target="https://paperpile.com/c/RSTHg7/FnPP" TargetMode="External"/><Relationship Id="rId66" Type="http://schemas.openxmlformats.org/officeDocument/2006/relationships/hyperlink" Target="https://paperpile.com/c/RSTHg7/25CrM" TargetMode="External"/><Relationship Id="rId131" Type="http://schemas.openxmlformats.org/officeDocument/2006/relationships/hyperlink" Target="http://paperpile.com/b/RSTHg7/92Luy" TargetMode="External"/><Relationship Id="rId327" Type="http://schemas.openxmlformats.org/officeDocument/2006/relationships/hyperlink" Target="http://paperpile.com/b/RSTHg7/zuLSi" TargetMode="External"/><Relationship Id="rId369" Type="http://schemas.openxmlformats.org/officeDocument/2006/relationships/hyperlink" Target="http://paperpile.com/b/RSTHg7/4QrO" TargetMode="External"/><Relationship Id="rId534" Type="http://schemas.openxmlformats.org/officeDocument/2006/relationships/hyperlink" Target="http://paperpile.com/b/RSTHg7/E1hYk" TargetMode="External"/><Relationship Id="rId576" Type="http://schemas.openxmlformats.org/officeDocument/2006/relationships/hyperlink" Target="http://dx.doi.org/10.1101/2023.06.23.23291805" TargetMode="External"/><Relationship Id="rId173" Type="http://schemas.openxmlformats.org/officeDocument/2006/relationships/hyperlink" Target="http://paperpile.com/b/RSTHg7/KCjVb" TargetMode="External"/><Relationship Id="rId229" Type="http://schemas.openxmlformats.org/officeDocument/2006/relationships/hyperlink" Target="http://paperpile.com/b/RSTHg7/iOZ29" TargetMode="External"/><Relationship Id="rId380" Type="http://schemas.openxmlformats.org/officeDocument/2006/relationships/hyperlink" Target="http://paperpile.com/b/RSTHg7/Dd8rR" TargetMode="External"/><Relationship Id="rId436" Type="http://schemas.openxmlformats.org/officeDocument/2006/relationships/hyperlink" Target="http://paperpile.com/b/RSTHg7/sH5y" TargetMode="External"/><Relationship Id="rId601" Type="http://schemas.openxmlformats.org/officeDocument/2006/relationships/hyperlink" Target="http://paperpile.com/b/RSTHg7/L1JX" TargetMode="External"/><Relationship Id="rId240" Type="http://schemas.openxmlformats.org/officeDocument/2006/relationships/hyperlink" Target="http://paperpile.com/b/RSTHg7/FnPP" TargetMode="External"/><Relationship Id="rId478" Type="http://schemas.openxmlformats.org/officeDocument/2006/relationships/hyperlink" Target="http://paperpile.com/b/RSTHg7/tTWFI" TargetMode="External"/><Relationship Id="rId35" Type="http://schemas.openxmlformats.org/officeDocument/2006/relationships/hyperlink" Target="https://paperpile.com/c/RSTHg7/qMUu" TargetMode="External"/><Relationship Id="rId77" Type="http://schemas.openxmlformats.org/officeDocument/2006/relationships/hyperlink" Target="https://paperpile.com/c/RSTHg7/jHquY" TargetMode="External"/><Relationship Id="rId100" Type="http://schemas.openxmlformats.org/officeDocument/2006/relationships/hyperlink" Target="https://paperpile.com/c/RSTHg7/LVYoq" TargetMode="External"/><Relationship Id="rId282" Type="http://schemas.openxmlformats.org/officeDocument/2006/relationships/hyperlink" Target="http://paperpile.com/b/RSTHg7/qMUu" TargetMode="External"/><Relationship Id="rId338" Type="http://schemas.openxmlformats.org/officeDocument/2006/relationships/hyperlink" Target="http://paperpile.com/b/RSTHg7/PgTmK" TargetMode="External"/><Relationship Id="rId503" Type="http://schemas.openxmlformats.org/officeDocument/2006/relationships/hyperlink" Target="http://paperpile.com/b/RSTHg7/ZXXBq" TargetMode="External"/><Relationship Id="rId545" Type="http://schemas.openxmlformats.org/officeDocument/2006/relationships/hyperlink" Target="http://paperpile.com/b/RSTHg7/oI3Ue" TargetMode="External"/><Relationship Id="rId587" Type="http://schemas.openxmlformats.org/officeDocument/2006/relationships/hyperlink" Target="http://paperpile.com/b/RSTHg7/E5jL" TargetMode="External"/><Relationship Id="rId8" Type="http://schemas.openxmlformats.org/officeDocument/2006/relationships/hyperlink" Target="https://paperpile.com/c/RSTHg7/i7KE7+nx2G8" TargetMode="External"/><Relationship Id="rId142" Type="http://schemas.openxmlformats.org/officeDocument/2006/relationships/hyperlink" Target="http://paperpile.com/b/RSTHg7/i7KE7" TargetMode="External"/><Relationship Id="rId184" Type="http://schemas.openxmlformats.org/officeDocument/2006/relationships/hyperlink" Target="http://paperpile.com/b/RSTHg7/4GY4L" TargetMode="External"/><Relationship Id="rId391" Type="http://schemas.openxmlformats.org/officeDocument/2006/relationships/hyperlink" Target="http://paperpile.com/b/RSTHg7/gdnQd" TargetMode="External"/><Relationship Id="rId405" Type="http://schemas.openxmlformats.org/officeDocument/2006/relationships/hyperlink" Target="http://paperpile.com/b/RSTHg7/qEzX" TargetMode="External"/><Relationship Id="rId447" Type="http://schemas.openxmlformats.org/officeDocument/2006/relationships/hyperlink" Target="http://paperpile.com/b/RSTHg7/6M32" TargetMode="External"/><Relationship Id="rId251" Type="http://schemas.openxmlformats.org/officeDocument/2006/relationships/hyperlink" Target="https://re-docs.genomicsengland.co.uk/labkey_api/" TargetMode="External"/><Relationship Id="rId489" Type="http://schemas.openxmlformats.org/officeDocument/2006/relationships/hyperlink" Target="http://paperpile.com/b/RSTHg7/9nIEt" TargetMode="External"/><Relationship Id="rId46" Type="http://schemas.openxmlformats.org/officeDocument/2006/relationships/hyperlink" Target="https://paperpile.com/c/RSTHg7/hJup8+zuLSi+MpbIi+PgTmK" TargetMode="External"/><Relationship Id="rId293" Type="http://schemas.openxmlformats.org/officeDocument/2006/relationships/hyperlink" Target="http://paperpile.com/b/RSTHg7/OQqYB" TargetMode="External"/><Relationship Id="rId307" Type="http://schemas.openxmlformats.org/officeDocument/2006/relationships/hyperlink" Target="http://paperpile.com/b/RSTHg7/FNCi4" TargetMode="External"/><Relationship Id="rId349" Type="http://schemas.openxmlformats.org/officeDocument/2006/relationships/hyperlink" Target="http://paperpile.com/b/RSTHg7/K56jC" TargetMode="External"/><Relationship Id="rId514" Type="http://schemas.openxmlformats.org/officeDocument/2006/relationships/hyperlink" Target="http://paperpile.com/b/RSTHg7/Xe4OQ" TargetMode="External"/><Relationship Id="rId556" Type="http://schemas.openxmlformats.org/officeDocument/2006/relationships/hyperlink" Target="http://paperpile.com/b/RSTHg7/JomV" TargetMode="External"/><Relationship Id="rId88" Type="http://schemas.openxmlformats.org/officeDocument/2006/relationships/hyperlink" Target="https://paperpile.com/c/RSTHg7/6lS3S" TargetMode="External"/><Relationship Id="rId111" Type="http://schemas.openxmlformats.org/officeDocument/2006/relationships/hyperlink" Target="https://paperpile.com/c/RSTHg7/E5jL" TargetMode="External"/><Relationship Id="rId153" Type="http://schemas.openxmlformats.org/officeDocument/2006/relationships/hyperlink" Target="http://paperpile.com/b/RSTHg7/nx2G8" TargetMode="External"/><Relationship Id="rId195" Type="http://schemas.openxmlformats.org/officeDocument/2006/relationships/hyperlink" Target="http://dx.doi.org/10.4161/nucl.36360" TargetMode="External"/><Relationship Id="rId209" Type="http://schemas.openxmlformats.org/officeDocument/2006/relationships/hyperlink" Target="http://paperpile.com/b/RSTHg7/JugMZ" TargetMode="External"/><Relationship Id="rId360" Type="http://schemas.openxmlformats.org/officeDocument/2006/relationships/hyperlink" Target="http://paperpile.com/b/RSTHg7/Cau1t" TargetMode="External"/><Relationship Id="rId416" Type="http://schemas.openxmlformats.org/officeDocument/2006/relationships/hyperlink" Target="http://paperpile.com/b/RSTHg7/mzlc0" TargetMode="External"/><Relationship Id="rId598" Type="http://schemas.openxmlformats.org/officeDocument/2006/relationships/hyperlink" Target="http://paperpile.com/b/RSTHg7/L1JX" TargetMode="External"/><Relationship Id="rId220" Type="http://schemas.openxmlformats.org/officeDocument/2006/relationships/hyperlink" Target="http://paperpile.com/b/RSTHg7/M4vi1" TargetMode="External"/><Relationship Id="rId458" Type="http://schemas.openxmlformats.org/officeDocument/2006/relationships/hyperlink" Target="http://dx.doi.org/10.1101/2023.03.31.23287997" TargetMode="External"/><Relationship Id="rId15" Type="http://schemas.openxmlformats.org/officeDocument/2006/relationships/hyperlink" Target="https://paperpile.com/c/RSTHg7/QPVRA" TargetMode="External"/><Relationship Id="rId57" Type="http://schemas.openxmlformats.org/officeDocument/2006/relationships/hyperlink" Target="https://paperpile.com/c/RSTHg7/gdnQd" TargetMode="External"/><Relationship Id="rId262" Type="http://schemas.openxmlformats.org/officeDocument/2006/relationships/hyperlink" Target="http://paperpile.com/b/RSTHg7/ZrGS" TargetMode="External"/><Relationship Id="rId318" Type="http://schemas.openxmlformats.org/officeDocument/2006/relationships/hyperlink" Target="http://paperpile.com/b/RSTHg7/hJup8" TargetMode="External"/><Relationship Id="rId525" Type="http://schemas.openxmlformats.org/officeDocument/2006/relationships/hyperlink" Target="http://paperpile.com/b/RSTHg7/LVYoq" TargetMode="External"/><Relationship Id="rId567" Type="http://schemas.openxmlformats.org/officeDocument/2006/relationships/hyperlink" Target="http://paperpile.com/b/RSTHg7/XBFE" TargetMode="External"/><Relationship Id="rId99" Type="http://schemas.openxmlformats.org/officeDocument/2006/relationships/image" Target="media/image3.png"/><Relationship Id="rId122" Type="http://schemas.openxmlformats.org/officeDocument/2006/relationships/hyperlink" Target="http://paperpile.com/b/RSTHg7/CBnAf" TargetMode="External"/><Relationship Id="rId164" Type="http://schemas.openxmlformats.org/officeDocument/2006/relationships/hyperlink" Target="http://paperpile.com/b/RSTHg7/dodze" TargetMode="External"/><Relationship Id="rId371" Type="http://schemas.openxmlformats.org/officeDocument/2006/relationships/hyperlink" Target="http://paperpile.com/b/RSTHg7/haqS" TargetMode="External"/><Relationship Id="rId427" Type="http://schemas.openxmlformats.org/officeDocument/2006/relationships/hyperlink" Target="http://paperpile.com/b/RSTHg7/25CrM" TargetMode="External"/><Relationship Id="rId469" Type="http://schemas.openxmlformats.org/officeDocument/2006/relationships/hyperlink" Target="http://paperpile.com/b/RSTHg7/thjbC" TargetMode="External"/><Relationship Id="rId26" Type="http://schemas.openxmlformats.org/officeDocument/2006/relationships/hyperlink" Target="https://paperpile.com/c/RSTHg7/5K5J" TargetMode="External"/><Relationship Id="rId231" Type="http://schemas.openxmlformats.org/officeDocument/2006/relationships/hyperlink" Target="http://paperpile.com/b/RSTHg7/iOZ29" TargetMode="External"/><Relationship Id="rId273" Type="http://schemas.openxmlformats.org/officeDocument/2006/relationships/hyperlink" Target="http://paperpile.com/b/RSTHg7/xbsle" TargetMode="External"/><Relationship Id="rId329" Type="http://schemas.openxmlformats.org/officeDocument/2006/relationships/hyperlink" Target="http://paperpile.com/b/RSTHg7/MpbIi" TargetMode="External"/><Relationship Id="rId480" Type="http://schemas.openxmlformats.org/officeDocument/2006/relationships/hyperlink" Target="https://www.r-project.org/" TargetMode="External"/><Relationship Id="rId536" Type="http://schemas.openxmlformats.org/officeDocument/2006/relationships/hyperlink" Target="http://paperpile.com/b/RSTHg7/nZaD3" TargetMode="External"/><Relationship Id="rId68" Type="http://schemas.openxmlformats.org/officeDocument/2006/relationships/hyperlink" Target="https://paperpile.com/c/RSTHg7/w7Dx" TargetMode="External"/><Relationship Id="rId133" Type="http://schemas.openxmlformats.org/officeDocument/2006/relationships/hyperlink" Target="http://paperpile.com/b/RSTHg7/P8Mgq" TargetMode="External"/><Relationship Id="rId175" Type="http://schemas.openxmlformats.org/officeDocument/2006/relationships/hyperlink" Target="http://paperpile.com/b/RSTHg7/KCjVb" TargetMode="External"/><Relationship Id="rId340" Type="http://schemas.openxmlformats.org/officeDocument/2006/relationships/hyperlink" Target="http://paperpile.com/b/RSTHg7/PgTmK" TargetMode="External"/><Relationship Id="rId578" Type="http://schemas.openxmlformats.org/officeDocument/2006/relationships/hyperlink" Target="http://paperpile.com/b/RSTHg7/vSNi1" TargetMode="External"/><Relationship Id="rId200" Type="http://schemas.openxmlformats.org/officeDocument/2006/relationships/hyperlink" Target="http://paperpile.com/b/RSTHg7/k5hen" TargetMode="External"/><Relationship Id="rId382" Type="http://schemas.openxmlformats.org/officeDocument/2006/relationships/hyperlink" Target="http://paperpile.com/b/RSTHg7/Dd8rR" TargetMode="External"/><Relationship Id="rId438" Type="http://schemas.openxmlformats.org/officeDocument/2006/relationships/hyperlink" Target="http://paperpile.com/b/RSTHg7/sH5y" TargetMode="External"/><Relationship Id="rId603" Type="http://schemas.openxmlformats.org/officeDocument/2006/relationships/hyperlink" Target="http://paperpile.com/b/RSTHg7/70y5" TargetMode="External"/><Relationship Id="rId242" Type="http://schemas.openxmlformats.org/officeDocument/2006/relationships/hyperlink" Target="https://re-docs.genomicsengland.co.uk/de_novo_data/" TargetMode="External"/><Relationship Id="rId284" Type="http://schemas.openxmlformats.org/officeDocument/2006/relationships/hyperlink" Target="http://paperpile.com/b/RSTHg7/qMUu" TargetMode="External"/><Relationship Id="rId491" Type="http://schemas.openxmlformats.org/officeDocument/2006/relationships/hyperlink" Target="http://paperpile.com/b/RSTHg7/A9rWR" TargetMode="External"/><Relationship Id="rId505" Type="http://schemas.openxmlformats.org/officeDocument/2006/relationships/hyperlink" Target="http://paperpile.com/b/RSTHg7/v2z0w" TargetMode="External"/><Relationship Id="rId37" Type="http://schemas.openxmlformats.org/officeDocument/2006/relationships/hyperlink" Target="https://paperpile.com/c/RSTHg7/OQqYB" TargetMode="External"/><Relationship Id="rId79" Type="http://schemas.openxmlformats.org/officeDocument/2006/relationships/hyperlink" Target="https://paperpile.com/c/RSTHg7/vO1Vm" TargetMode="External"/><Relationship Id="rId102" Type="http://schemas.openxmlformats.org/officeDocument/2006/relationships/hyperlink" Target="https://paperpile.com/c/RSTHg7/nZaD3+oI3Ue" TargetMode="External"/><Relationship Id="rId144" Type="http://schemas.openxmlformats.org/officeDocument/2006/relationships/hyperlink" Target="http://paperpile.com/b/RSTHg7/i7KE7" TargetMode="External"/><Relationship Id="rId547" Type="http://schemas.openxmlformats.org/officeDocument/2006/relationships/hyperlink" Target="http://paperpile.com/b/RSTHg7/oI3Ue" TargetMode="External"/><Relationship Id="rId589" Type="http://schemas.openxmlformats.org/officeDocument/2006/relationships/hyperlink" Target="http://paperpile.com/b/RSTHg7/E5jL" TargetMode="External"/><Relationship Id="rId90" Type="http://schemas.openxmlformats.org/officeDocument/2006/relationships/image" Target="media/image1.jpg"/><Relationship Id="rId186" Type="http://schemas.openxmlformats.org/officeDocument/2006/relationships/hyperlink" Target="http://paperpile.com/b/RSTHg7/6J4Pz" TargetMode="External"/><Relationship Id="rId351" Type="http://schemas.openxmlformats.org/officeDocument/2006/relationships/hyperlink" Target="http://paperpile.com/b/RSTHg7/K56jC" TargetMode="External"/><Relationship Id="rId393" Type="http://schemas.openxmlformats.org/officeDocument/2006/relationships/hyperlink" Target="http://paperpile.com/b/RSTHg7/gdnQd" TargetMode="External"/><Relationship Id="rId407" Type="http://schemas.openxmlformats.org/officeDocument/2006/relationships/hyperlink" Target="http://paperpile.com/b/RSTHg7/qEzX" TargetMode="External"/><Relationship Id="rId449" Type="http://schemas.openxmlformats.org/officeDocument/2006/relationships/hyperlink" Target="http://paperpile.com/b/RSTHg7/7J4Tp" TargetMode="External"/><Relationship Id="rId211" Type="http://schemas.openxmlformats.org/officeDocument/2006/relationships/hyperlink" Target="http://paperpile.com/b/RSTHg7/uNdeI" TargetMode="External"/><Relationship Id="rId253" Type="http://schemas.openxmlformats.org/officeDocument/2006/relationships/hyperlink" Target="http://paperpile.com/b/RSTHg7/BcS5t" TargetMode="External"/><Relationship Id="rId295" Type="http://schemas.openxmlformats.org/officeDocument/2006/relationships/hyperlink" Target="http://paperpile.com/b/RSTHg7/dZFvV" TargetMode="External"/><Relationship Id="rId309" Type="http://schemas.openxmlformats.org/officeDocument/2006/relationships/hyperlink" Target="http://paperpile.com/b/RSTHg7/T6UqN" TargetMode="External"/><Relationship Id="rId460" Type="http://schemas.openxmlformats.org/officeDocument/2006/relationships/hyperlink" Target="http://paperpile.com/b/RSTHg7/J2gAG" TargetMode="External"/><Relationship Id="rId516" Type="http://schemas.openxmlformats.org/officeDocument/2006/relationships/hyperlink" Target="http://paperpile.com/b/RSTHg7/Xe4OQ" TargetMode="External"/><Relationship Id="rId48" Type="http://schemas.openxmlformats.org/officeDocument/2006/relationships/hyperlink" Target="https://paperpile.com/c/RSTHg7/FNCi4" TargetMode="External"/><Relationship Id="rId113" Type="http://schemas.openxmlformats.org/officeDocument/2006/relationships/hyperlink" Target="https://github.com/Computational-Rare-Disease-Genomics-WHG/Near_coding_annotation" TargetMode="External"/><Relationship Id="rId320" Type="http://schemas.openxmlformats.org/officeDocument/2006/relationships/hyperlink" Target="http://paperpile.com/b/RSTHg7/hJup8" TargetMode="External"/><Relationship Id="rId558" Type="http://schemas.openxmlformats.org/officeDocument/2006/relationships/hyperlink" Target="http://paperpile.com/b/RSTHg7/vVgz" TargetMode="External"/><Relationship Id="rId155" Type="http://schemas.openxmlformats.org/officeDocument/2006/relationships/hyperlink" Target="http://paperpile.com/b/RSTHg7/dQAXh" TargetMode="External"/><Relationship Id="rId197" Type="http://schemas.openxmlformats.org/officeDocument/2006/relationships/hyperlink" Target="http://paperpile.com/b/RSTHg7/k5hen" TargetMode="External"/><Relationship Id="rId362" Type="http://schemas.openxmlformats.org/officeDocument/2006/relationships/hyperlink" Target="http://paperpile.com/b/RSTHg7/ScnWD" TargetMode="External"/><Relationship Id="rId418" Type="http://schemas.openxmlformats.org/officeDocument/2006/relationships/hyperlink" Target="http://paperpile.com/b/RSTHg7/4KiE6" TargetMode="External"/><Relationship Id="rId222" Type="http://schemas.openxmlformats.org/officeDocument/2006/relationships/hyperlink" Target="http://paperpile.com/b/RSTHg7/M4vi1" TargetMode="External"/><Relationship Id="rId264" Type="http://schemas.openxmlformats.org/officeDocument/2006/relationships/hyperlink" Target="http://paperpile.com/b/RSTHg7/ZrGS" TargetMode="External"/><Relationship Id="rId471" Type="http://schemas.openxmlformats.org/officeDocument/2006/relationships/hyperlink" Target="http://paperpile.com/b/RSTHg7/thjbC" TargetMode="External"/><Relationship Id="rId17" Type="http://schemas.openxmlformats.org/officeDocument/2006/relationships/hyperlink" Target="https://paperpile.com/c/RSTHg7/JugMZ" TargetMode="External"/><Relationship Id="rId59" Type="http://schemas.openxmlformats.org/officeDocument/2006/relationships/hyperlink" Target="https://paperpile.com/c/RSTHg7/vrEmY" TargetMode="External"/><Relationship Id="rId124" Type="http://schemas.openxmlformats.org/officeDocument/2006/relationships/hyperlink" Target="http://paperpile.com/b/RSTHg7/CBnAf" TargetMode="External"/><Relationship Id="rId527" Type="http://schemas.openxmlformats.org/officeDocument/2006/relationships/hyperlink" Target="http://paperpile.com/b/RSTHg7/LVYoq" TargetMode="External"/><Relationship Id="rId569" Type="http://schemas.openxmlformats.org/officeDocument/2006/relationships/hyperlink" Target="http://paperpile.com/b/RSTHg7/XBFE" TargetMode="External"/><Relationship Id="rId70" Type="http://schemas.openxmlformats.org/officeDocument/2006/relationships/hyperlink" Target="https://paperpile.com/c/RSTHg7/6M32" TargetMode="External"/><Relationship Id="rId166" Type="http://schemas.openxmlformats.org/officeDocument/2006/relationships/hyperlink" Target="http://paperpile.com/b/RSTHg7/dodze" TargetMode="External"/><Relationship Id="rId331" Type="http://schemas.openxmlformats.org/officeDocument/2006/relationships/hyperlink" Target="http://paperpile.com/b/RSTHg7/MpbIi" TargetMode="External"/><Relationship Id="rId373" Type="http://schemas.openxmlformats.org/officeDocument/2006/relationships/hyperlink" Target="http://paperpile.com/b/RSTHg7/haqS" TargetMode="External"/><Relationship Id="rId429" Type="http://schemas.openxmlformats.org/officeDocument/2006/relationships/hyperlink" Target="http://paperpile.com/b/RSTHg7/25CrM" TargetMode="External"/><Relationship Id="rId580" Type="http://schemas.openxmlformats.org/officeDocument/2006/relationships/hyperlink" Target="http://paperpile.com/b/RSTHg7/vSNi1" TargetMode="External"/><Relationship Id="rId1" Type="http://schemas.openxmlformats.org/officeDocument/2006/relationships/numbering" Target="numbering.xml"/><Relationship Id="rId233" Type="http://schemas.openxmlformats.org/officeDocument/2006/relationships/hyperlink" Target="http://paperpile.com/b/RSTHg7/Dnea4" TargetMode="External"/><Relationship Id="rId440" Type="http://schemas.openxmlformats.org/officeDocument/2006/relationships/hyperlink" Target="http://paperpile.com/b/RSTHg7/sH5y" TargetMode="External"/><Relationship Id="rId28" Type="http://schemas.openxmlformats.org/officeDocument/2006/relationships/hyperlink" Target="https://paperpile.com/c/RSTHg7/zP7YC" TargetMode="External"/><Relationship Id="rId275" Type="http://schemas.openxmlformats.org/officeDocument/2006/relationships/hyperlink" Target="http://paperpile.com/b/RSTHg7/xbsle" TargetMode="External"/><Relationship Id="rId300" Type="http://schemas.openxmlformats.org/officeDocument/2006/relationships/hyperlink" Target="http://paperpile.com/b/RSTHg7/dZFvV" TargetMode="External"/><Relationship Id="rId482" Type="http://schemas.openxmlformats.org/officeDocument/2006/relationships/hyperlink" Target="http://paperpile.com/b/RSTHg7/OxEKU" TargetMode="External"/><Relationship Id="rId538" Type="http://schemas.openxmlformats.org/officeDocument/2006/relationships/hyperlink" Target="http://paperpile.com/b/RSTHg7/nZaD3" TargetMode="External"/><Relationship Id="rId81" Type="http://schemas.openxmlformats.org/officeDocument/2006/relationships/hyperlink" Target="https://paperpile.com/c/RSTHg7/XK0IH" TargetMode="External"/><Relationship Id="rId135" Type="http://schemas.openxmlformats.org/officeDocument/2006/relationships/hyperlink" Target="http://paperpile.com/b/RSTHg7/P8Mgq" TargetMode="External"/><Relationship Id="rId177" Type="http://schemas.openxmlformats.org/officeDocument/2006/relationships/hyperlink" Target="http://paperpile.com/b/RSTHg7/KCjVb" TargetMode="External"/><Relationship Id="rId342" Type="http://schemas.openxmlformats.org/officeDocument/2006/relationships/hyperlink" Target="http://paperpile.com/b/RSTHg7/PINIV" TargetMode="External"/><Relationship Id="rId384" Type="http://schemas.openxmlformats.org/officeDocument/2006/relationships/hyperlink" Target="http://paperpile.com/b/RSTHg7/pMJQr" TargetMode="External"/><Relationship Id="rId591" Type="http://schemas.openxmlformats.org/officeDocument/2006/relationships/hyperlink" Target="http://paperpile.com/b/RSTHg7/6OBi" TargetMode="External"/><Relationship Id="rId605" Type="http://schemas.openxmlformats.org/officeDocument/2006/relationships/footer" Target="footer1.xml"/><Relationship Id="rId202" Type="http://schemas.openxmlformats.org/officeDocument/2006/relationships/hyperlink" Target="http://dx.doi.org/10.1101/2023.06.19.23291376" TargetMode="External"/><Relationship Id="rId244" Type="http://schemas.openxmlformats.org/officeDocument/2006/relationships/hyperlink" Target="http://paperpile.com/b/RSTHg7/5K5J" TargetMode="External"/><Relationship Id="rId39" Type="http://schemas.openxmlformats.org/officeDocument/2006/relationships/hyperlink" Target="https://paperpile.com/c/RSTHg7/AOQI8" TargetMode="External"/><Relationship Id="rId286" Type="http://schemas.openxmlformats.org/officeDocument/2006/relationships/hyperlink" Target="http://paperpile.com/b/RSTHg7/AOQI8" TargetMode="External"/><Relationship Id="rId451" Type="http://schemas.openxmlformats.org/officeDocument/2006/relationships/hyperlink" Target="http://paperpile.com/b/RSTHg7/7J4Tp" TargetMode="External"/><Relationship Id="rId493" Type="http://schemas.openxmlformats.org/officeDocument/2006/relationships/hyperlink" Target="http://paperpile.com/b/RSTHg7/A9rWR" TargetMode="External"/><Relationship Id="rId507" Type="http://schemas.openxmlformats.org/officeDocument/2006/relationships/hyperlink" Target="http://paperpile.com/b/RSTHg7/v2z0w" TargetMode="External"/><Relationship Id="rId549" Type="http://schemas.openxmlformats.org/officeDocument/2006/relationships/hyperlink" Target="http://paperpile.com/b/RSTHg7/oI3Ue" TargetMode="External"/><Relationship Id="rId50" Type="http://schemas.openxmlformats.org/officeDocument/2006/relationships/hyperlink" Target="https://paperpile.com/c/RSTHg7/Cau1t" TargetMode="External"/><Relationship Id="rId104" Type="http://schemas.openxmlformats.org/officeDocument/2006/relationships/hyperlink" Target="https://paperpile.com/c/RSTHg7/vVgz" TargetMode="External"/><Relationship Id="rId146" Type="http://schemas.openxmlformats.org/officeDocument/2006/relationships/hyperlink" Target="http://paperpile.com/b/RSTHg7/i7KE7" TargetMode="External"/><Relationship Id="rId188" Type="http://schemas.openxmlformats.org/officeDocument/2006/relationships/hyperlink" Target="http://paperpile.com/b/RSTHg7/6J4Pz" TargetMode="External"/><Relationship Id="rId311" Type="http://schemas.openxmlformats.org/officeDocument/2006/relationships/hyperlink" Target="http://paperpile.com/b/RSTHg7/T6UqN" TargetMode="External"/><Relationship Id="rId353" Type="http://schemas.openxmlformats.org/officeDocument/2006/relationships/hyperlink" Target="http://paperpile.com/b/RSTHg7/K56jC" TargetMode="External"/><Relationship Id="rId395" Type="http://schemas.openxmlformats.org/officeDocument/2006/relationships/hyperlink" Target="http://paperpile.com/b/RSTHg7/6lS3S" TargetMode="External"/><Relationship Id="rId409" Type="http://schemas.openxmlformats.org/officeDocument/2006/relationships/hyperlink" Target="https://re-docs.genomicsengland.co.uk/cri/" TargetMode="External"/><Relationship Id="rId560" Type="http://schemas.openxmlformats.org/officeDocument/2006/relationships/hyperlink" Target="http://paperpile.com/b/RSTHg7/vVgz" TargetMode="External"/><Relationship Id="rId92" Type="http://schemas.openxmlformats.org/officeDocument/2006/relationships/hyperlink" Target="https://paperpile.com/c/RSTHg7/P8Mgq" TargetMode="External"/><Relationship Id="rId213" Type="http://schemas.openxmlformats.org/officeDocument/2006/relationships/hyperlink" Target="http://paperpile.com/b/RSTHg7/uNdeI" TargetMode="External"/><Relationship Id="rId420" Type="http://schemas.openxmlformats.org/officeDocument/2006/relationships/hyperlink" Target="http://paperpile.com/b/RSTHg7/4KiE6" TargetMode="External"/><Relationship Id="rId255" Type="http://schemas.openxmlformats.org/officeDocument/2006/relationships/hyperlink" Target="http://paperpile.com/b/RSTHg7/BcS5t" TargetMode="External"/><Relationship Id="rId297" Type="http://schemas.openxmlformats.org/officeDocument/2006/relationships/hyperlink" Target="http://paperpile.com/b/RSTHg7/dZFvV" TargetMode="External"/><Relationship Id="rId462" Type="http://schemas.openxmlformats.org/officeDocument/2006/relationships/hyperlink" Target="http://paperpile.com/b/RSTHg7/J2gAG" TargetMode="External"/><Relationship Id="rId518" Type="http://schemas.openxmlformats.org/officeDocument/2006/relationships/hyperlink" Target="http://paperpile.com/b/RSTHg7/fKX24" TargetMode="External"/><Relationship Id="rId115" Type="http://schemas.openxmlformats.org/officeDocument/2006/relationships/hyperlink" Target="https://paperpile.com/c/RSTHg7/6OBi" TargetMode="External"/><Relationship Id="rId157" Type="http://schemas.openxmlformats.org/officeDocument/2006/relationships/hyperlink" Target="http://paperpile.com/b/RSTHg7/dQAXh" TargetMode="External"/><Relationship Id="rId322" Type="http://schemas.openxmlformats.org/officeDocument/2006/relationships/hyperlink" Target="http://paperpile.com/b/RSTHg7/zuLSi" TargetMode="External"/><Relationship Id="rId364" Type="http://schemas.openxmlformats.org/officeDocument/2006/relationships/hyperlink" Target="http://dx.doi.org/10.1101/2022.11.08.515616" TargetMode="External"/><Relationship Id="rId61" Type="http://schemas.openxmlformats.org/officeDocument/2006/relationships/hyperlink" Target="https://paperpile.com/c/RSTHg7/xEUc" TargetMode="External"/><Relationship Id="rId199" Type="http://schemas.openxmlformats.org/officeDocument/2006/relationships/hyperlink" Target="http://paperpile.com/b/RSTHg7/k5hen" TargetMode="External"/><Relationship Id="rId571" Type="http://schemas.openxmlformats.org/officeDocument/2006/relationships/hyperlink" Target="http://paperpile.com/b/RSTHg7/kkJqZ" TargetMode="External"/><Relationship Id="rId19" Type="http://schemas.openxmlformats.org/officeDocument/2006/relationships/hyperlink" Target="https://paperpile.com/c/RSTHg7/IeLqM" TargetMode="External"/><Relationship Id="rId224" Type="http://schemas.openxmlformats.org/officeDocument/2006/relationships/hyperlink" Target="http://paperpile.com/b/RSTHg7/M4vi1" TargetMode="External"/><Relationship Id="rId266" Type="http://schemas.openxmlformats.org/officeDocument/2006/relationships/hyperlink" Target="http://paperpile.com/b/RSTHg7/tdEy8" TargetMode="External"/><Relationship Id="rId431" Type="http://schemas.openxmlformats.org/officeDocument/2006/relationships/hyperlink" Target="http://paperpile.com/b/RSTHg7/w7Dx" TargetMode="External"/><Relationship Id="rId473" Type="http://schemas.openxmlformats.org/officeDocument/2006/relationships/hyperlink" Target="http://paperpile.com/b/RSTHg7/tTWFI" TargetMode="External"/><Relationship Id="rId529" Type="http://schemas.openxmlformats.org/officeDocument/2006/relationships/hyperlink" Target="http://paperpile.com/b/RSTHg7/E1hYk" TargetMode="External"/><Relationship Id="rId30" Type="http://schemas.openxmlformats.org/officeDocument/2006/relationships/hyperlink" Target="https://paperpile.com/c/RSTHg7/BcS5t" TargetMode="External"/><Relationship Id="rId126" Type="http://schemas.openxmlformats.org/officeDocument/2006/relationships/hyperlink" Target="http://paperpile.com/b/RSTHg7/92Luy" TargetMode="External"/><Relationship Id="rId168" Type="http://schemas.openxmlformats.org/officeDocument/2006/relationships/hyperlink" Target="http://paperpile.com/b/RSTHg7/dodze" TargetMode="External"/><Relationship Id="rId333" Type="http://schemas.openxmlformats.org/officeDocument/2006/relationships/hyperlink" Target="http://paperpile.com/b/RSTHg7/MpbIi" TargetMode="External"/><Relationship Id="rId540" Type="http://schemas.openxmlformats.org/officeDocument/2006/relationships/hyperlink" Target="http://paperpile.com/b/RSTHg7/nZaD3" TargetMode="External"/><Relationship Id="rId72" Type="http://schemas.openxmlformats.org/officeDocument/2006/relationships/hyperlink" Target="https://paperpile.com/c/RSTHg7/G06Sk" TargetMode="External"/><Relationship Id="rId375" Type="http://schemas.openxmlformats.org/officeDocument/2006/relationships/hyperlink" Target="http://paperpile.com/b/RSTHg7/haqS" TargetMode="External"/><Relationship Id="rId582" Type="http://schemas.openxmlformats.org/officeDocument/2006/relationships/hyperlink" Target="http://paperpile.com/b/RSTHg7/vSNi1" TargetMode="External"/><Relationship Id="rId3" Type="http://schemas.openxmlformats.org/officeDocument/2006/relationships/settings" Target="settings.xml"/><Relationship Id="rId235" Type="http://schemas.openxmlformats.org/officeDocument/2006/relationships/hyperlink" Target="http://paperpile.com/b/RSTHg7/Dnea4" TargetMode="External"/><Relationship Id="rId277" Type="http://schemas.openxmlformats.org/officeDocument/2006/relationships/hyperlink" Target="http://paperpile.com/b/RSTHg7/xbsle" TargetMode="External"/><Relationship Id="rId400" Type="http://schemas.openxmlformats.org/officeDocument/2006/relationships/hyperlink" Target="http://paperpile.com/b/RSTHg7/vrEmY" TargetMode="External"/><Relationship Id="rId442" Type="http://schemas.openxmlformats.org/officeDocument/2006/relationships/hyperlink" Target="http://paperpile.com/b/RSTHg7/6M32" TargetMode="External"/><Relationship Id="rId484" Type="http://schemas.openxmlformats.org/officeDocument/2006/relationships/hyperlink" Target="http://paperpile.com/b/RSTHg7/Yok3W" TargetMode="External"/><Relationship Id="rId137" Type="http://schemas.openxmlformats.org/officeDocument/2006/relationships/hyperlink" Target="http://paperpile.com/b/RSTHg7/P8Mgq" TargetMode="External"/><Relationship Id="rId302" Type="http://schemas.openxmlformats.org/officeDocument/2006/relationships/hyperlink" Target="http://paperpile.com/b/RSTHg7/FNCi4" TargetMode="External"/><Relationship Id="rId344" Type="http://schemas.openxmlformats.org/officeDocument/2006/relationships/hyperlink" Target="http://paperpile.com/b/RSTHg7/PINIV" TargetMode="External"/><Relationship Id="rId41" Type="http://schemas.openxmlformats.org/officeDocument/2006/relationships/hyperlink" Target="https://paperpile.com/c/RSTHg7/FNCi4" TargetMode="External"/><Relationship Id="rId83" Type="http://schemas.openxmlformats.org/officeDocument/2006/relationships/hyperlink" Target="https://paperpile.com/c/RSTHg7/xbsle" TargetMode="External"/><Relationship Id="rId179" Type="http://schemas.openxmlformats.org/officeDocument/2006/relationships/hyperlink" Target="http://paperpile.com/b/RSTHg7/4GY4L" TargetMode="External"/><Relationship Id="rId386" Type="http://schemas.openxmlformats.org/officeDocument/2006/relationships/hyperlink" Target="http://paperpile.com/b/RSTHg7/pMJQr" TargetMode="External"/><Relationship Id="rId551" Type="http://schemas.openxmlformats.org/officeDocument/2006/relationships/hyperlink" Target="http://paperpile.com/b/RSTHg7/JomV" TargetMode="External"/><Relationship Id="rId593" Type="http://schemas.openxmlformats.org/officeDocument/2006/relationships/hyperlink" Target="http://paperpile.com/b/RSTHg7/6OBi" TargetMode="External"/><Relationship Id="rId607" Type="http://schemas.openxmlformats.org/officeDocument/2006/relationships/fontTable" Target="fontTable.xml"/><Relationship Id="rId190" Type="http://schemas.openxmlformats.org/officeDocument/2006/relationships/hyperlink" Target="http://paperpile.com/b/RSTHg7/6J4Pz" TargetMode="External"/><Relationship Id="rId204" Type="http://schemas.openxmlformats.org/officeDocument/2006/relationships/hyperlink" Target="http://paperpile.com/b/RSTHg7/JugMZ" TargetMode="External"/><Relationship Id="rId246" Type="http://schemas.openxmlformats.org/officeDocument/2006/relationships/hyperlink" Target="http://paperpile.com/b/RSTHg7/5K5J" TargetMode="External"/><Relationship Id="rId288" Type="http://schemas.openxmlformats.org/officeDocument/2006/relationships/hyperlink" Target="http://paperpile.com/b/RSTHg7/AOQI8" TargetMode="External"/><Relationship Id="rId411" Type="http://schemas.openxmlformats.org/officeDocument/2006/relationships/hyperlink" Target="http://paperpile.com/b/RSTHg7/4B1nm" TargetMode="External"/><Relationship Id="rId453" Type="http://schemas.openxmlformats.org/officeDocument/2006/relationships/hyperlink" Target="http://paperpile.com/b/RSTHg7/7J4Tp" TargetMode="External"/><Relationship Id="rId509" Type="http://schemas.openxmlformats.org/officeDocument/2006/relationships/hyperlink" Target="http://paperpile.com/b/RSTHg7/v2z0w" TargetMode="External"/><Relationship Id="rId106" Type="http://schemas.openxmlformats.org/officeDocument/2006/relationships/hyperlink" Target="https://paperpile.com/c/RSTHg7/kkJqZ" TargetMode="External"/><Relationship Id="rId313" Type="http://schemas.openxmlformats.org/officeDocument/2006/relationships/hyperlink" Target="http://paperpile.com/b/RSTHg7/T6UqN" TargetMode="External"/><Relationship Id="rId495" Type="http://schemas.openxmlformats.org/officeDocument/2006/relationships/hyperlink" Target="http://paperpile.com/b/RSTHg7/A9rWR" TargetMode="External"/><Relationship Id="rId10" Type="http://schemas.openxmlformats.org/officeDocument/2006/relationships/hyperlink" Target="https://paperpile.com/c/RSTHg7/dodze" TargetMode="External"/><Relationship Id="rId52" Type="http://schemas.openxmlformats.org/officeDocument/2006/relationships/hyperlink" Target="https://paperpile.com/c/RSTHg7/M4vi1" TargetMode="External"/><Relationship Id="rId94" Type="http://schemas.openxmlformats.org/officeDocument/2006/relationships/hyperlink" Target="https://paperpile.com/c/RSTHg7/ZXXBq" TargetMode="External"/><Relationship Id="rId148" Type="http://schemas.openxmlformats.org/officeDocument/2006/relationships/hyperlink" Target="http://paperpile.com/b/RSTHg7/nx2G8" TargetMode="External"/><Relationship Id="rId355" Type="http://schemas.openxmlformats.org/officeDocument/2006/relationships/hyperlink" Target="http://paperpile.com/b/RSTHg7/K56jC" TargetMode="External"/><Relationship Id="rId397" Type="http://schemas.openxmlformats.org/officeDocument/2006/relationships/hyperlink" Target="http://paperpile.com/b/RSTHg7/6lS3S" TargetMode="External"/><Relationship Id="rId520" Type="http://schemas.openxmlformats.org/officeDocument/2006/relationships/hyperlink" Target="http://paperpile.com/b/RSTHg7/fKX24" TargetMode="External"/><Relationship Id="rId562" Type="http://schemas.openxmlformats.org/officeDocument/2006/relationships/hyperlink" Target="http://paperpile.com/b/RSTHg7/vVgz" TargetMode="External"/><Relationship Id="rId215" Type="http://schemas.openxmlformats.org/officeDocument/2006/relationships/hyperlink" Target="http://paperpile.com/b/RSTHg7/uNdeI" TargetMode="External"/><Relationship Id="rId257" Type="http://schemas.openxmlformats.org/officeDocument/2006/relationships/hyperlink" Target="https://re-docs.genomicsengland.co.uk/principal_components/" TargetMode="External"/><Relationship Id="rId422" Type="http://schemas.openxmlformats.org/officeDocument/2006/relationships/hyperlink" Target="http://paperpile.com/b/RSTHg7/4KiE6" TargetMode="External"/><Relationship Id="rId464" Type="http://schemas.openxmlformats.org/officeDocument/2006/relationships/hyperlink" Target="http://paperpile.com/b/RSTHg7/J2gAG" TargetMode="External"/><Relationship Id="rId299" Type="http://schemas.openxmlformats.org/officeDocument/2006/relationships/hyperlink" Target="http://paperpile.com/b/RSTHg7/dZFvV" TargetMode="External"/><Relationship Id="rId63" Type="http://schemas.openxmlformats.org/officeDocument/2006/relationships/hyperlink" Target="https://paperpile.com/c/RSTHg7/4B1nm" TargetMode="External"/><Relationship Id="rId159" Type="http://schemas.openxmlformats.org/officeDocument/2006/relationships/hyperlink" Target="http://paperpile.com/b/RSTHg7/yIiJq" TargetMode="External"/><Relationship Id="rId366" Type="http://schemas.openxmlformats.org/officeDocument/2006/relationships/hyperlink" Target="http://paperpile.com/b/RSTHg7/4QrO" TargetMode="External"/><Relationship Id="rId573" Type="http://schemas.openxmlformats.org/officeDocument/2006/relationships/hyperlink" Target="http://paperpile.com/b/RSTHg7/kkJqZ" TargetMode="External"/><Relationship Id="rId226" Type="http://schemas.openxmlformats.org/officeDocument/2006/relationships/hyperlink" Target="http://paperpile.com/b/RSTHg7/iOZ29" TargetMode="External"/><Relationship Id="rId433" Type="http://schemas.openxmlformats.org/officeDocument/2006/relationships/hyperlink" Target="http://paperpile.com/b/RSTHg7/w7Dx" TargetMode="External"/><Relationship Id="rId74" Type="http://schemas.openxmlformats.org/officeDocument/2006/relationships/hyperlink" Target="https://paperpile.com/c/RSTHg7/thjbC+tTWFI" TargetMode="External"/><Relationship Id="rId377" Type="http://schemas.openxmlformats.org/officeDocument/2006/relationships/hyperlink" Target="http://paperpile.com/b/RSTHg7/haqS" TargetMode="External"/><Relationship Id="rId500" Type="http://schemas.openxmlformats.org/officeDocument/2006/relationships/hyperlink" Target="http://paperpile.com/b/RSTHg7/ZXXBq" TargetMode="External"/><Relationship Id="rId584" Type="http://schemas.openxmlformats.org/officeDocument/2006/relationships/hyperlink" Target="http://paperpile.com/b/RSTHg7/vSNi1" TargetMode="External"/><Relationship Id="rId5" Type="http://schemas.openxmlformats.org/officeDocument/2006/relationships/footnotes" Target="footnotes.xml"/><Relationship Id="rId237" Type="http://schemas.openxmlformats.org/officeDocument/2006/relationships/hyperlink" Target="http://paperpile.com/b/RSTHg7/Dnea4" TargetMode="External"/><Relationship Id="rId444" Type="http://schemas.openxmlformats.org/officeDocument/2006/relationships/hyperlink" Target="http://paperpile.com/b/RSTHg7/6M32" TargetMode="External"/><Relationship Id="rId290" Type="http://schemas.openxmlformats.org/officeDocument/2006/relationships/hyperlink" Target="http://paperpile.com/b/RSTHg7/OQqYB" TargetMode="External"/><Relationship Id="rId304" Type="http://schemas.openxmlformats.org/officeDocument/2006/relationships/hyperlink" Target="http://paperpile.com/b/RSTHg7/FNCi4" TargetMode="External"/><Relationship Id="rId388" Type="http://schemas.openxmlformats.org/officeDocument/2006/relationships/hyperlink" Target="http://paperpile.com/b/RSTHg7/pMJQr" TargetMode="External"/><Relationship Id="rId511" Type="http://schemas.openxmlformats.org/officeDocument/2006/relationships/hyperlink" Target="http://paperpile.com/b/RSTHg7/v2z0w" TargetMode="External"/><Relationship Id="rId609" Type="http://schemas.openxmlformats.org/officeDocument/2006/relationships/customXml" Target="../customXml/item1.xml"/><Relationship Id="rId85" Type="http://schemas.openxmlformats.org/officeDocument/2006/relationships/hyperlink" Target="https://paperpile.com/c/RSTHg7/K56jC" TargetMode="External"/><Relationship Id="rId150" Type="http://schemas.openxmlformats.org/officeDocument/2006/relationships/hyperlink" Target="http://paperpile.com/b/RSTHg7/nx2G8" TargetMode="External"/><Relationship Id="rId595" Type="http://schemas.openxmlformats.org/officeDocument/2006/relationships/hyperlink" Target="http://paperpile.com/b/RSTHg7/6OBi" TargetMode="External"/><Relationship Id="rId248" Type="http://schemas.openxmlformats.org/officeDocument/2006/relationships/hyperlink" Target="https://re-docs.genomicsengland.co.uk/release9/" TargetMode="External"/><Relationship Id="rId455" Type="http://schemas.openxmlformats.org/officeDocument/2006/relationships/hyperlink" Target="http://paperpile.com/b/RSTHg7/G06Sk" TargetMode="External"/><Relationship Id="rId12" Type="http://schemas.openxmlformats.org/officeDocument/2006/relationships/hyperlink" Target="https://paperpile.com/c/RSTHg7/92Luy" TargetMode="External"/><Relationship Id="rId108" Type="http://schemas.openxmlformats.org/officeDocument/2006/relationships/hyperlink" Target="https://paperpile.com/c/RSTHg7/P8Mgq" TargetMode="External"/><Relationship Id="rId315" Type="http://schemas.openxmlformats.org/officeDocument/2006/relationships/hyperlink" Target="http://paperpile.com/b/RSTHg7/T6UqN" TargetMode="External"/><Relationship Id="rId522" Type="http://schemas.openxmlformats.org/officeDocument/2006/relationships/hyperlink" Target="http://dx.doi.org/10.1101/2022.03.20.485034" TargetMode="External"/><Relationship Id="rId96" Type="http://schemas.openxmlformats.org/officeDocument/2006/relationships/image" Target="media/image2.png"/><Relationship Id="rId161" Type="http://schemas.openxmlformats.org/officeDocument/2006/relationships/hyperlink" Target="http://paperpile.com/b/RSTHg7/yIiJq" TargetMode="External"/><Relationship Id="rId399" Type="http://schemas.openxmlformats.org/officeDocument/2006/relationships/hyperlink" Target="http://paperpile.com/b/RSTHg7/6lS3S" TargetMode="External"/><Relationship Id="rId259" Type="http://schemas.openxmlformats.org/officeDocument/2006/relationships/hyperlink" Target="http://paperpile.com/b/RSTHg7/ZrGS" TargetMode="External"/><Relationship Id="rId466" Type="http://schemas.openxmlformats.org/officeDocument/2006/relationships/hyperlink" Target="http://paperpile.com/b/RSTHg7/thjbC" TargetMode="External"/><Relationship Id="rId23" Type="http://schemas.openxmlformats.org/officeDocument/2006/relationships/hyperlink" Target="https://paperpile.com/c/RSTHg7/Dnea4" TargetMode="External"/><Relationship Id="rId119" Type="http://schemas.openxmlformats.org/officeDocument/2006/relationships/hyperlink" Target="http://paperpile.com/b/RSTHg7/CBnAf" TargetMode="External"/><Relationship Id="rId326" Type="http://schemas.openxmlformats.org/officeDocument/2006/relationships/hyperlink" Target="http://paperpile.com/b/RSTHg7/zuLSi" TargetMode="External"/><Relationship Id="rId533" Type="http://schemas.openxmlformats.org/officeDocument/2006/relationships/hyperlink" Target="http://paperpile.com/b/RSTHg7/E1hYk" TargetMode="External"/><Relationship Id="rId172" Type="http://schemas.openxmlformats.org/officeDocument/2006/relationships/hyperlink" Target="http://paperpile.com/b/RSTHg7/KCjVb" TargetMode="External"/><Relationship Id="rId477" Type="http://schemas.openxmlformats.org/officeDocument/2006/relationships/hyperlink" Target="http://paperpile.com/b/RSTHg7/tTWFI" TargetMode="External"/><Relationship Id="rId600" Type="http://schemas.openxmlformats.org/officeDocument/2006/relationships/hyperlink" Target="https://genome.ucsc.edu/cgi-bin/hgPublicSessions" TargetMode="External"/><Relationship Id="rId337" Type="http://schemas.openxmlformats.org/officeDocument/2006/relationships/hyperlink" Target="http://paperpile.com/b/RSTHg7/PgTmK" TargetMode="External"/><Relationship Id="rId34" Type="http://schemas.openxmlformats.org/officeDocument/2006/relationships/hyperlink" Target="https://paperpile.com/c/RSTHg7/xbsle" TargetMode="External"/><Relationship Id="rId544" Type="http://schemas.openxmlformats.org/officeDocument/2006/relationships/hyperlink" Target="http://paperpile.com/b/RSTHg7/oI3Ue" TargetMode="External"/><Relationship Id="rId183" Type="http://schemas.openxmlformats.org/officeDocument/2006/relationships/hyperlink" Target="http://paperpile.com/b/RSTHg7/4GY4L" TargetMode="External"/><Relationship Id="rId390" Type="http://schemas.openxmlformats.org/officeDocument/2006/relationships/hyperlink" Target="http://paperpile.com/b/RSTHg7/gdnQd" TargetMode="External"/><Relationship Id="rId404" Type="http://schemas.openxmlformats.org/officeDocument/2006/relationships/hyperlink" Target="http://paperpile.com/b/RSTHg7/vrEmY" TargetMode="External"/><Relationship Id="rId611" Type="http://schemas.openxmlformats.org/officeDocument/2006/relationships/customXml" Target="../customXml/item3.xml"/><Relationship Id="rId250" Type="http://schemas.openxmlformats.org/officeDocument/2006/relationships/hyperlink" Target="http://paperpile.com/b/RSTHg7/vO1Vm" TargetMode="External"/><Relationship Id="rId488" Type="http://schemas.openxmlformats.org/officeDocument/2006/relationships/hyperlink" Target="http://paperpile.com/b/RSTHg7/9nIEt" TargetMode="External"/><Relationship Id="rId45" Type="http://schemas.openxmlformats.org/officeDocument/2006/relationships/hyperlink" Target="https://paperpile.com/c/RSTHg7/T6UqN" TargetMode="External"/><Relationship Id="rId110" Type="http://schemas.openxmlformats.org/officeDocument/2006/relationships/hyperlink" Target="https://paperpile.com/c/RSTHg7/fKX24" TargetMode="External"/><Relationship Id="rId348" Type="http://schemas.openxmlformats.org/officeDocument/2006/relationships/hyperlink" Target="http://paperpile.com/b/RSTHg7/PINIV" TargetMode="External"/><Relationship Id="rId555" Type="http://schemas.openxmlformats.org/officeDocument/2006/relationships/hyperlink" Target="http://paperpile.com/b/RSTHg7/JomV" TargetMode="External"/><Relationship Id="rId194" Type="http://schemas.openxmlformats.org/officeDocument/2006/relationships/hyperlink" Target="http://paperpile.com/b/RSTHg7/QPVRA" TargetMode="External"/><Relationship Id="rId208" Type="http://schemas.openxmlformats.org/officeDocument/2006/relationships/hyperlink" Target="http://paperpile.com/b/RSTHg7/JugMZ" TargetMode="External"/><Relationship Id="rId415" Type="http://schemas.openxmlformats.org/officeDocument/2006/relationships/hyperlink" Target="https://re-docs.genomicsengland.co.uk/aggv2/" TargetMode="External"/><Relationship Id="rId261" Type="http://schemas.openxmlformats.org/officeDocument/2006/relationships/hyperlink" Target="http://paperpile.com/b/RSTHg7/ZrGS" TargetMode="External"/><Relationship Id="rId499" Type="http://schemas.openxmlformats.org/officeDocument/2006/relationships/hyperlink" Target="http://paperpile.com/b/RSTHg7/ZXXBq" TargetMode="External"/><Relationship Id="rId56" Type="http://schemas.openxmlformats.org/officeDocument/2006/relationships/hyperlink" Target="https://paperpile.com/c/RSTHg7/pMJQr" TargetMode="External"/><Relationship Id="rId359" Type="http://schemas.openxmlformats.org/officeDocument/2006/relationships/hyperlink" Target="http://dx.doi.org/10.1101/2022.11.30.518628" TargetMode="External"/><Relationship Id="rId566" Type="http://schemas.openxmlformats.org/officeDocument/2006/relationships/hyperlink" Target="http://paperpile.com/b/RSTHg7/XBFE" TargetMode="External"/><Relationship Id="rId121" Type="http://schemas.openxmlformats.org/officeDocument/2006/relationships/hyperlink" Target="http://paperpile.com/b/RSTHg7/CBnAf" TargetMode="External"/><Relationship Id="rId219" Type="http://schemas.openxmlformats.org/officeDocument/2006/relationships/hyperlink" Target="http://paperpile.com/b/RSTHg7/M4vi1" TargetMode="External"/><Relationship Id="rId426" Type="http://schemas.openxmlformats.org/officeDocument/2006/relationships/hyperlink" Target="http://paperpile.com/b/RSTHg7/25Cr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8402B0DB6D4459362069AD1AF6467" ma:contentTypeVersion="13" ma:contentTypeDescription="Create a new document." ma:contentTypeScope="" ma:versionID="09faa0f45a6863708b8b621d82b18a7b">
  <xsd:schema xmlns:xsd="http://www.w3.org/2001/XMLSchema" xmlns:xs="http://www.w3.org/2001/XMLSchema" xmlns:p="http://schemas.microsoft.com/office/2006/metadata/properties" xmlns:ns2="a3a7de38-5cd4-4c48-8218-7c8a972f0b7c" xmlns:ns3="e6b75a31-164a-45d6-a4bb-a0f0e2994c8c" targetNamespace="http://schemas.microsoft.com/office/2006/metadata/properties" ma:root="true" ma:fieldsID="3b2382a9c51f4bfb523e60fd3dca234e" ns2:_="" ns3:_="">
    <xsd:import namespace="a3a7de38-5cd4-4c48-8218-7c8a972f0b7c"/>
    <xsd:import namespace="e6b75a31-164a-45d6-a4bb-a0f0e2994c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7de38-5cd4-4c48-8218-7c8a972f0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75a31-164a-45d6-a4bb-a0f0e2994c8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d5f95b-ca13-476c-9f22-4a69a71bd8ac}" ma:internalName="TaxCatchAll" ma:showField="CatchAllData" ma:web="e6b75a31-164a-45d6-a4bb-a0f0e2994c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b75a31-164a-45d6-a4bb-a0f0e2994c8c" xsi:nil="true"/>
    <lcf76f155ced4ddcb4097134ff3c332f xmlns="a3a7de38-5cd4-4c48-8218-7c8a972f0b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B93C3F-51FD-4FB2-8F86-9C29B1EE22DB}"/>
</file>

<file path=customXml/itemProps2.xml><?xml version="1.0" encoding="utf-8"?>
<ds:datastoreItem xmlns:ds="http://schemas.openxmlformats.org/officeDocument/2006/customXml" ds:itemID="{1B21E531-FEB5-456F-952F-4E9D33E29E41}"/>
</file>

<file path=customXml/itemProps3.xml><?xml version="1.0" encoding="utf-8"?>
<ds:datastoreItem xmlns:ds="http://schemas.openxmlformats.org/officeDocument/2006/customXml" ds:itemID="{F5C0E8F6-5B94-49B7-A7C9-FA8558B62489}"/>
</file>

<file path=docProps/app.xml><?xml version="1.0" encoding="utf-8"?>
<Properties xmlns="http://schemas.openxmlformats.org/officeDocument/2006/extended-properties" xmlns:vt="http://schemas.openxmlformats.org/officeDocument/2006/docPropsVTypes">
  <Template>Normal.dotm</Template>
  <TotalTime>1</TotalTime>
  <Pages>54</Pages>
  <Words>16949</Words>
  <Characters>96614</Characters>
  <Application>Microsoft Office Word</Application>
  <DocSecurity>0</DocSecurity>
  <Lines>805</Lines>
  <Paragraphs>226</Paragraphs>
  <ScaleCrop>false</ScaleCrop>
  <Company/>
  <LinksUpToDate>false</LinksUpToDate>
  <CharactersWithSpaces>113337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Martin-Geary</cp:lastModifiedBy>
  <cp:revision>2</cp:revision>
  <dcterms:created xsi:type="dcterms:W3CDTF">2025-03-28T10:52:00Z</dcterms:created>
  <dcterms:modified xsi:type="dcterms:W3CDTF">2025-03-28T10:52:00Z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0x010100ED48402B0DB6D4459362069AD1AF6467</vt:lpwstr>
  </property>
</Properties>
</file>