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2F780" w14:textId="77777777" w:rsidR="00796029" w:rsidRDefault="00796029">
      <w:r>
        <w:t>BOOK REVIEW</w:t>
      </w:r>
    </w:p>
    <w:p w14:paraId="29D3BA09" w14:textId="77777777" w:rsidR="00796029" w:rsidRDefault="00796029"/>
    <w:p w14:paraId="768F48F9" w14:textId="77777777" w:rsidR="00796029" w:rsidRPr="008B2CC9" w:rsidRDefault="00E04784">
      <w:pPr>
        <w:rPr>
          <w:b/>
          <w:bCs/>
          <w:i/>
          <w:iCs/>
          <w:sz w:val="28"/>
          <w:szCs w:val="28"/>
        </w:rPr>
      </w:pPr>
      <w:r w:rsidRPr="008B2CC9">
        <w:rPr>
          <w:b/>
          <w:bCs/>
          <w:i/>
          <w:iCs/>
          <w:sz w:val="28"/>
          <w:szCs w:val="28"/>
        </w:rPr>
        <w:t>Property</w:t>
      </w:r>
      <w:r w:rsidR="00796029" w:rsidRPr="008B2CC9">
        <w:rPr>
          <w:b/>
          <w:bCs/>
          <w:i/>
          <w:iCs/>
          <w:sz w:val="28"/>
          <w:szCs w:val="28"/>
        </w:rPr>
        <w:t xml:space="preserve"> In Contemporary Capitalism </w:t>
      </w:r>
    </w:p>
    <w:p w14:paraId="0C99682C" w14:textId="5EA727C3" w:rsidR="00796029" w:rsidRPr="008B2CC9" w:rsidRDefault="00796029">
      <w:pPr>
        <w:rPr>
          <w:b/>
          <w:bCs/>
        </w:rPr>
      </w:pPr>
      <w:r w:rsidRPr="008B2CC9">
        <w:rPr>
          <w:b/>
          <w:bCs/>
        </w:rPr>
        <w:t>By Paddy Ireland, Bristol, Bristol University Press, 2024, 301pp., £</w:t>
      </w:r>
    </w:p>
    <w:p w14:paraId="3D59BE1E" w14:textId="1973621D" w:rsidR="00E04784" w:rsidRDefault="00E04784">
      <w:r>
        <w:t>ROWAN ALCOCK</w:t>
      </w:r>
      <w:r w:rsidR="00CE36C9">
        <w:rPr>
          <w:rStyle w:val="FootnoteReference"/>
        </w:rPr>
        <w:footnoteReference w:id="1"/>
      </w:r>
      <w:r>
        <w:t xml:space="preserve">  AND HELEN CARR</w:t>
      </w:r>
      <w:r w:rsidR="00CE36C9">
        <w:rPr>
          <w:rStyle w:val="FootnoteReference"/>
        </w:rPr>
        <w:footnoteReference w:id="2"/>
      </w:r>
    </w:p>
    <w:p w14:paraId="13F76D68" w14:textId="7EABE98B" w:rsidR="007C1412" w:rsidRDefault="00C47822" w:rsidP="00C47822">
      <w:pPr>
        <w:jc w:val="center"/>
      </w:pPr>
      <w:r>
        <w:t>INTRODUCTION</w:t>
      </w:r>
    </w:p>
    <w:p w14:paraId="0FD592B5" w14:textId="2D8DE469" w:rsidR="00B04C7E" w:rsidRDefault="007C1412">
      <w:r>
        <w:t xml:space="preserve">Paddy </w:t>
      </w:r>
      <w:r w:rsidR="00301415">
        <w:t>Ireland’s</w:t>
      </w:r>
      <w:r w:rsidR="00CB2DA7">
        <w:t xml:space="preserve"> </w:t>
      </w:r>
      <w:r w:rsidR="00FA6CCC">
        <w:t>masterly exploration</w:t>
      </w:r>
      <w:r>
        <w:t xml:space="preserve"> of the nature of property in contemporary </w:t>
      </w:r>
      <w:r w:rsidR="008B2CC9">
        <w:t>capitalism argues</w:t>
      </w:r>
      <w:r w:rsidR="000F5DEC">
        <w:t xml:space="preserve"> that</w:t>
      </w:r>
      <w:r>
        <w:t xml:space="preserve"> </w:t>
      </w:r>
      <w:r w:rsidR="00301415">
        <w:t xml:space="preserve"> property is a major</w:t>
      </w:r>
      <w:r w:rsidR="00AF3D44">
        <w:t xml:space="preserve"> – and </w:t>
      </w:r>
      <w:proofErr w:type="spellStart"/>
      <w:r w:rsidR="00AF3D44">
        <w:t>undertheorised</w:t>
      </w:r>
      <w:proofErr w:type="spellEnd"/>
      <w:r w:rsidR="00AF3D44">
        <w:t xml:space="preserve"> – </w:t>
      </w:r>
      <w:r w:rsidR="00301415">
        <w:t xml:space="preserve"> constituent of  </w:t>
      </w:r>
      <w:r w:rsidR="0042173D">
        <w:t>capitalism’s current crisis.</w:t>
      </w:r>
      <w:r w:rsidR="00301415">
        <w:t xml:space="preserve"> </w:t>
      </w:r>
      <w:r w:rsidR="00AD1917">
        <w:t>For Ireland, p</w:t>
      </w:r>
      <w:r w:rsidR="00301415">
        <w:t>roperty is</w:t>
      </w:r>
      <w:r w:rsidR="00C37295">
        <w:t xml:space="preserve"> </w:t>
      </w:r>
      <w:r w:rsidR="00301415">
        <w:t>inextricabl</w:t>
      </w:r>
      <w:r w:rsidR="005C780E">
        <w:t xml:space="preserve">y </w:t>
      </w:r>
      <w:r w:rsidR="003A402D">
        <w:t xml:space="preserve">linked </w:t>
      </w:r>
      <w:r w:rsidR="00F63F35">
        <w:t xml:space="preserve">to </w:t>
      </w:r>
      <w:r w:rsidR="00301415">
        <w:t>rising</w:t>
      </w:r>
      <w:r>
        <w:t xml:space="preserve"> indebtedness, recurring economic crises, increasing inequality</w:t>
      </w:r>
      <w:r w:rsidR="00FC7DF0">
        <w:t>,</w:t>
      </w:r>
      <w:r>
        <w:t xml:space="preserve"> env</w:t>
      </w:r>
      <w:r w:rsidR="00566D4F">
        <w:t>i</w:t>
      </w:r>
      <w:r>
        <w:t xml:space="preserve">ronmental degradation and </w:t>
      </w:r>
      <w:r w:rsidR="0042173D">
        <w:t xml:space="preserve">the accelerating </w:t>
      </w:r>
      <w:r>
        <w:t xml:space="preserve">climate crisis. </w:t>
      </w:r>
      <w:r w:rsidR="0006082F">
        <w:t xml:space="preserve">Urgent and fundamental </w:t>
      </w:r>
      <w:r w:rsidR="00C47822">
        <w:t>reform of</w:t>
      </w:r>
      <w:r w:rsidR="003F0BAC">
        <w:t xml:space="preserve"> </w:t>
      </w:r>
      <w:r w:rsidR="00AF23C1">
        <w:t>the property</w:t>
      </w:r>
      <w:r>
        <w:t xml:space="preserve"> /capitalism </w:t>
      </w:r>
      <w:r w:rsidR="003F0BAC">
        <w:t xml:space="preserve">nexus </w:t>
      </w:r>
      <w:r w:rsidR="002D54EB">
        <w:t>is vital</w:t>
      </w:r>
      <w:r w:rsidR="00301415">
        <w:t xml:space="preserve"> </w:t>
      </w:r>
      <w:r w:rsidR="00CB576A">
        <w:t>but property</w:t>
      </w:r>
      <w:r>
        <w:t xml:space="preserve"> </w:t>
      </w:r>
      <w:r w:rsidR="00FC7DF0">
        <w:t>theory, stuck</w:t>
      </w:r>
      <w:r>
        <w:t xml:space="preserve"> in </w:t>
      </w:r>
      <w:r w:rsidR="00A059FC">
        <w:t>a ‘</w:t>
      </w:r>
      <w:r>
        <w:t>new essentialism’</w:t>
      </w:r>
      <w:r w:rsidR="00F63F35">
        <w:t>,</w:t>
      </w:r>
      <w:r>
        <w:t xml:space="preserve">  misunderstands contemporary property</w:t>
      </w:r>
      <w:r w:rsidR="00A059FC">
        <w:t xml:space="preserve">. </w:t>
      </w:r>
      <w:r w:rsidR="008D51C7">
        <w:t>Ireland observes that most property</w:t>
      </w:r>
      <w:r w:rsidR="00301415">
        <w:t xml:space="preserve"> </w:t>
      </w:r>
      <w:r w:rsidR="0030198A">
        <w:t xml:space="preserve">scholarship works from within an analytical jurisprudential tradition seeking universal </w:t>
      </w:r>
      <w:r w:rsidR="00301415">
        <w:t>truths</w:t>
      </w:r>
      <w:r w:rsidR="0030198A">
        <w:t xml:space="preserve"> about transhistorical and transcultural essence</w:t>
      </w:r>
      <w:r w:rsidR="00BE46B3">
        <w:t xml:space="preserve"> of property. </w:t>
      </w:r>
      <w:r w:rsidR="00BE08CA">
        <w:t>This</w:t>
      </w:r>
      <w:r w:rsidR="00471184">
        <w:t xml:space="preserve"> </w:t>
      </w:r>
      <w:r w:rsidR="00C47822">
        <w:t>approach, so remote</w:t>
      </w:r>
      <w:r w:rsidR="00BE46B3">
        <w:t xml:space="preserve"> from </w:t>
      </w:r>
      <w:r w:rsidR="004B1911">
        <w:t>empirical</w:t>
      </w:r>
      <w:r w:rsidR="0006082F">
        <w:t xml:space="preserve"> </w:t>
      </w:r>
      <w:r w:rsidR="00CB576A">
        <w:t>realities,</w:t>
      </w:r>
      <w:r w:rsidR="00301415">
        <w:t xml:space="preserve"> </w:t>
      </w:r>
      <w:r w:rsidR="00AF23C1">
        <w:t>is woefully</w:t>
      </w:r>
      <w:r w:rsidR="0030198A">
        <w:t xml:space="preserve"> </w:t>
      </w:r>
      <w:r w:rsidR="00152728">
        <w:t>inadequate to</w:t>
      </w:r>
      <w:r w:rsidR="0030198A">
        <w:t xml:space="preserve"> </w:t>
      </w:r>
      <w:r w:rsidR="00301415">
        <w:t xml:space="preserve">tell a different story </w:t>
      </w:r>
      <w:r w:rsidR="00FC7DF0">
        <w:t>of property</w:t>
      </w:r>
      <w:r w:rsidR="00C47822">
        <w:t>.</w:t>
      </w:r>
      <w:r w:rsidR="001B4F8C">
        <w:t xml:space="preserve"> </w:t>
      </w:r>
      <w:r w:rsidR="00C47822">
        <w:t>If a new story is to emerge, and for Ireland it must,</w:t>
      </w:r>
      <w:r w:rsidR="00FA6CCC" w:rsidRPr="00FA6CCC">
        <w:t xml:space="preserve"> </w:t>
      </w:r>
      <w:r w:rsidR="00FA6CCC">
        <w:t xml:space="preserve">because </w:t>
      </w:r>
      <w:r w:rsidR="00FA6CCC" w:rsidRPr="00FA6CCC">
        <w:t>property ownership – and consequentially power – i</w:t>
      </w:r>
      <w:r w:rsidR="00FA6CCC">
        <w:t>s destructively concentrated in</w:t>
      </w:r>
      <w:r w:rsidR="00FA6CCC" w:rsidRPr="00FA6CCC">
        <w:t xml:space="preserve"> the hands of extremely wealthy individuals and corporat</w:t>
      </w:r>
      <w:r w:rsidR="00FA6CCC">
        <w:t xml:space="preserve">ions, </w:t>
      </w:r>
      <w:r w:rsidR="00C47822">
        <w:t xml:space="preserve"> then that story must be </w:t>
      </w:r>
      <w:r w:rsidR="00B91E36">
        <w:t>interdisciplinary, historically</w:t>
      </w:r>
      <w:r w:rsidR="00A56BD3">
        <w:t xml:space="preserve"> informed and </w:t>
      </w:r>
      <w:r w:rsidR="00C47822">
        <w:t xml:space="preserve">sufficiently </w:t>
      </w:r>
      <w:r w:rsidR="00A56BD3">
        <w:t xml:space="preserve">eclectic </w:t>
      </w:r>
      <w:r w:rsidR="00C47822">
        <w:t>to facilitate</w:t>
      </w:r>
      <w:r w:rsidR="00A56BD3">
        <w:t xml:space="preserve"> </w:t>
      </w:r>
      <w:r w:rsidR="00AE1729">
        <w:t>conceptualisations of property</w:t>
      </w:r>
      <w:r w:rsidR="009C3429">
        <w:t xml:space="preserve"> </w:t>
      </w:r>
      <w:r w:rsidR="001B4F8C">
        <w:t>which highlight</w:t>
      </w:r>
      <w:r w:rsidR="00193BE2" w:rsidRPr="00193BE2">
        <w:t xml:space="preserve"> </w:t>
      </w:r>
      <w:r w:rsidR="00C47822">
        <w:t>its</w:t>
      </w:r>
      <w:r w:rsidR="00193BE2" w:rsidRPr="00193BE2">
        <w:t xml:space="preserve"> contingency and malleability.</w:t>
      </w:r>
    </w:p>
    <w:p w14:paraId="081EEBE2" w14:textId="394838EC" w:rsidR="00377CA9" w:rsidRDefault="00B04C7E">
      <w:r>
        <w:t xml:space="preserve">This review is structured as follows: </w:t>
      </w:r>
      <w:r w:rsidR="00054D09">
        <w:t>it begins by</w:t>
      </w:r>
      <w:r w:rsidR="000F7E95">
        <w:t xml:space="preserve"> </w:t>
      </w:r>
      <w:r w:rsidR="00054D09">
        <w:t xml:space="preserve">sketching </w:t>
      </w:r>
      <w:r w:rsidR="006E04B6">
        <w:t>out the</w:t>
      </w:r>
      <w:r w:rsidR="001B4F8C">
        <w:t xml:space="preserve"> </w:t>
      </w:r>
      <w:r w:rsidR="00D94A19">
        <w:t xml:space="preserve">contents of </w:t>
      </w:r>
      <w:r w:rsidR="006E04B6">
        <w:t xml:space="preserve">the book, highlighting </w:t>
      </w:r>
      <w:r w:rsidR="00302538">
        <w:t>the breadth</w:t>
      </w:r>
      <w:r w:rsidR="00752F5B">
        <w:t xml:space="preserve"> of </w:t>
      </w:r>
      <w:r w:rsidR="00302538">
        <w:t>Ireland’s</w:t>
      </w:r>
      <w:r w:rsidR="00752F5B">
        <w:t xml:space="preserve"> </w:t>
      </w:r>
      <w:r w:rsidR="006E04B6">
        <w:t>scholarship</w:t>
      </w:r>
      <w:r w:rsidR="001A1492">
        <w:t xml:space="preserve">.  It then </w:t>
      </w:r>
      <w:r w:rsidR="000A7D60">
        <w:t>responds to</w:t>
      </w:r>
      <w:r w:rsidR="00302538">
        <w:t xml:space="preserve"> the book’s</w:t>
      </w:r>
      <w:r w:rsidR="00190226">
        <w:t xml:space="preserve"> </w:t>
      </w:r>
      <w:r w:rsidR="001333CC">
        <w:t xml:space="preserve">stated goal, </w:t>
      </w:r>
      <w:r w:rsidR="00302538">
        <w:t xml:space="preserve">to </w:t>
      </w:r>
      <w:r w:rsidR="00F76B46">
        <w:t>widen the conversation about property</w:t>
      </w:r>
      <w:r w:rsidR="00534292">
        <w:t>,</w:t>
      </w:r>
      <w:r w:rsidR="00F76B46">
        <w:t xml:space="preserve"> </w:t>
      </w:r>
      <w:r w:rsidR="00156B00">
        <w:t xml:space="preserve">by </w:t>
      </w:r>
      <w:r w:rsidR="00FB253F">
        <w:t>considering</w:t>
      </w:r>
      <w:r w:rsidR="0055724E">
        <w:t xml:space="preserve"> how</w:t>
      </w:r>
      <w:r w:rsidR="00DF2506">
        <w:t xml:space="preserve"> property’s contemporary significance</w:t>
      </w:r>
      <w:r w:rsidR="0055724E">
        <w:t xml:space="preserve"> might be further explored. </w:t>
      </w:r>
      <w:r w:rsidR="00C47822">
        <w:t>Theoretically</w:t>
      </w:r>
      <w:r w:rsidR="00DF2506">
        <w:t xml:space="preserve"> </w:t>
      </w:r>
      <w:r w:rsidR="0055724E">
        <w:t xml:space="preserve">we ask </w:t>
      </w:r>
      <w:r w:rsidR="00FC7DF0">
        <w:t xml:space="preserve">what </w:t>
      </w:r>
      <w:r w:rsidR="00FA6CCC">
        <w:t xml:space="preserve">a </w:t>
      </w:r>
      <w:r w:rsidR="00FC7DF0">
        <w:t>more</w:t>
      </w:r>
      <w:r w:rsidR="008B2CC9">
        <w:t xml:space="preserve"> developed </w:t>
      </w:r>
      <w:r w:rsidR="004169EF">
        <w:t xml:space="preserve"> Polanyian </w:t>
      </w:r>
      <w:r w:rsidR="00FA6CCC">
        <w:t>perspective</w:t>
      </w:r>
      <w:r w:rsidR="00DF2506">
        <w:t xml:space="preserve"> </w:t>
      </w:r>
      <w:r w:rsidR="008B2CC9">
        <w:t xml:space="preserve">might </w:t>
      </w:r>
      <w:r w:rsidR="0055724E">
        <w:t>add to Ireland’s analysis</w:t>
      </w:r>
      <w:r w:rsidR="00C47822">
        <w:t>. Methodologically</w:t>
      </w:r>
      <w:r w:rsidR="00645B82">
        <w:t>,</w:t>
      </w:r>
      <w:r w:rsidR="000255D3">
        <w:t xml:space="preserve"> </w:t>
      </w:r>
      <w:r w:rsidR="0055724E">
        <w:t>we</w:t>
      </w:r>
      <w:r w:rsidR="000255D3">
        <w:t xml:space="preserve"> consider what </w:t>
      </w:r>
      <w:r w:rsidR="00C11BAA">
        <w:t xml:space="preserve">might be required of </w:t>
      </w:r>
      <w:r w:rsidR="00BD4861">
        <w:t xml:space="preserve"> an</w:t>
      </w:r>
      <w:r w:rsidR="000255D3">
        <w:t xml:space="preserve"> empirical approach to </w:t>
      </w:r>
      <w:r w:rsidR="00752F5B">
        <w:t>contemporary property</w:t>
      </w:r>
      <w:r w:rsidR="00E503BD">
        <w:t xml:space="preserve"> problems</w:t>
      </w:r>
      <w:r w:rsidR="00C47822">
        <w:t xml:space="preserve">. Finally we </w:t>
      </w:r>
      <w:r w:rsidR="00BD4861">
        <w:t xml:space="preserve">consider </w:t>
      </w:r>
      <w:r w:rsidR="00C619E4">
        <w:t xml:space="preserve">the </w:t>
      </w:r>
      <w:r w:rsidR="00E532E2">
        <w:t>implications</w:t>
      </w:r>
      <w:r w:rsidR="00C619E4">
        <w:t xml:space="preserve"> for the teaching of property law</w:t>
      </w:r>
      <w:r w:rsidR="00F455A4">
        <w:t>?</w:t>
      </w:r>
    </w:p>
    <w:p w14:paraId="6F3EF994" w14:textId="2BBC3AAA" w:rsidR="00377CA9" w:rsidRPr="00E04784" w:rsidRDefault="00E04784" w:rsidP="00E04784">
      <w:pPr>
        <w:jc w:val="center"/>
      </w:pPr>
      <w:r w:rsidRPr="00E04784">
        <w:t>THE CONTENT OF THE BOOK</w:t>
      </w:r>
    </w:p>
    <w:p w14:paraId="121823C2" w14:textId="6D245031" w:rsidR="009E44C5" w:rsidRDefault="00CD6DF6">
      <w:r>
        <w:t xml:space="preserve">The first </w:t>
      </w:r>
      <w:r w:rsidR="00820871">
        <w:t xml:space="preserve">part </w:t>
      </w:r>
      <w:r>
        <w:t>of the book</w:t>
      </w:r>
      <w:r w:rsidR="00820871">
        <w:t xml:space="preserve"> </w:t>
      </w:r>
      <w:r w:rsidR="00273A99">
        <w:t>explores</w:t>
      </w:r>
      <w:r w:rsidR="00B83F76">
        <w:t xml:space="preserve"> and </w:t>
      </w:r>
      <w:r w:rsidR="00BA6A37">
        <w:t>explains the</w:t>
      </w:r>
      <w:r w:rsidR="000F073D">
        <w:t xml:space="preserve"> entanglement of </w:t>
      </w:r>
      <w:r w:rsidR="002B2EA4" w:rsidRPr="002B2EA4">
        <w:t>property and capitalism</w:t>
      </w:r>
      <w:r w:rsidR="0040232E">
        <w:t>. Beginning</w:t>
      </w:r>
      <w:r w:rsidR="005C0D2D">
        <w:t xml:space="preserve"> </w:t>
      </w:r>
      <w:r w:rsidR="0040232E">
        <w:t xml:space="preserve"> with</w:t>
      </w:r>
      <w:r w:rsidR="002B2EA4" w:rsidRPr="002B2EA4">
        <w:t xml:space="preserve"> </w:t>
      </w:r>
      <w:r w:rsidR="00B83F76">
        <w:t>the problematic</w:t>
      </w:r>
      <w:r w:rsidR="00CB3AD9">
        <w:t xml:space="preserve"> dominance of </w:t>
      </w:r>
      <w:r w:rsidR="00FC45F1">
        <w:t xml:space="preserve">the </w:t>
      </w:r>
      <w:r w:rsidR="00746646">
        <w:t xml:space="preserve">Blackstonian </w:t>
      </w:r>
      <w:r w:rsidR="00A66C2F">
        <w:t xml:space="preserve">model </w:t>
      </w:r>
      <w:r w:rsidR="00DF2506">
        <w:t>Ireland provides</w:t>
      </w:r>
      <w:r w:rsidR="00562D35">
        <w:t xml:space="preserve"> a </w:t>
      </w:r>
      <w:r w:rsidR="00090AC8">
        <w:t>historical</w:t>
      </w:r>
      <w:r w:rsidR="00290558">
        <w:t xml:space="preserve"> account </w:t>
      </w:r>
      <w:r w:rsidR="00DF2506">
        <w:t>of the</w:t>
      </w:r>
      <w:r w:rsidR="005A1CD1">
        <w:t xml:space="preserve"> contested</w:t>
      </w:r>
      <w:r w:rsidR="00090AC8">
        <w:t xml:space="preserve"> process by </w:t>
      </w:r>
      <w:r w:rsidR="00AF26AC">
        <w:t>which intangible</w:t>
      </w:r>
      <w:r w:rsidR="00B66347">
        <w:t xml:space="preserve"> property</w:t>
      </w:r>
      <w:r w:rsidR="009F7466">
        <w:t>, such as copyright</w:t>
      </w:r>
      <w:r w:rsidR="00BD7399">
        <w:t xml:space="preserve"> and</w:t>
      </w:r>
      <w:r w:rsidR="0035519B">
        <w:t xml:space="preserve"> the increasingly abstract tool of</w:t>
      </w:r>
      <w:r w:rsidR="00BD7399">
        <w:t xml:space="preserve"> </w:t>
      </w:r>
      <w:r w:rsidR="007206D8">
        <w:t xml:space="preserve">credit, </w:t>
      </w:r>
      <w:r w:rsidR="00BD7399">
        <w:t xml:space="preserve"> </w:t>
      </w:r>
      <w:r w:rsidR="00EB1C84">
        <w:t xml:space="preserve">was given a </w:t>
      </w:r>
      <w:r w:rsidR="005A1CD1">
        <w:t xml:space="preserve">place in </w:t>
      </w:r>
      <w:r w:rsidR="00EA3C64">
        <w:t xml:space="preserve"> </w:t>
      </w:r>
      <w:r w:rsidR="00E5659C">
        <w:t>Blackstone’s ‘rather</w:t>
      </w:r>
      <w:r w:rsidR="008B43C9">
        <w:t xml:space="preserve"> old fashioned framework</w:t>
      </w:r>
      <w:r w:rsidR="00E5659C">
        <w:t>’</w:t>
      </w:r>
      <w:r w:rsidR="00964D16">
        <w:t xml:space="preserve"> of property</w:t>
      </w:r>
      <w:r w:rsidR="00C906F8">
        <w:t>.</w:t>
      </w:r>
      <w:r w:rsidR="00DF2506">
        <w:rPr>
          <w:rStyle w:val="FootnoteReference"/>
        </w:rPr>
        <w:footnoteReference w:id="3"/>
      </w:r>
      <w:r w:rsidR="002719F8">
        <w:t xml:space="preserve"> </w:t>
      </w:r>
      <w:r w:rsidR="00026A56">
        <w:t>H</w:t>
      </w:r>
      <w:r w:rsidR="00F64ECB">
        <w:t xml:space="preserve">is </w:t>
      </w:r>
      <w:r w:rsidR="00DF2506">
        <w:t>point is</w:t>
      </w:r>
      <w:r w:rsidR="00CF41B2">
        <w:t xml:space="preserve"> </w:t>
      </w:r>
      <w:r w:rsidR="00380D88">
        <w:t>that there was</w:t>
      </w:r>
      <w:r w:rsidR="00AD50DE">
        <w:t>, and continues to be,</w:t>
      </w:r>
      <w:r w:rsidR="00380D88">
        <w:t xml:space="preserve"> an iterative and productive </w:t>
      </w:r>
      <w:r w:rsidR="00C234FB">
        <w:t>relationship between the needs of capitalism and the</w:t>
      </w:r>
      <w:r w:rsidR="004D6F40">
        <w:t xml:space="preserve"> development of property as a legal form</w:t>
      </w:r>
      <w:r w:rsidR="00905DBC">
        <w:t xml:space="preserve">, and that there was nothing </w:t>
      </w:r>
      <w:r w:rsidR="00806B35">
        <w:t>inevitable</w:t>
      </w:r>
      <w:r w:rsidR="00D70641">
        <w:t xml:space="preserve"> </w:t>
      </w:r>
      <w:r w:rsidR="00AF26AC">
        <w:t>about the</w:t>
      </w:r>
      <w:r w:rsidR="00543345">
        <w:t xml:space="preserve"> reification and transformation</w:t>
      </w:r>
      <w:r w:rsidR="00D3429C">
        <w:t xml:space="preserve"> of intangibl</w:t>
      </w:r>
      <w:r w:rsidR="00B57D63">
        <w:t>es</w:t>
      </w:r>
      <w:r w:rsidR="00543345">
        <w:t xml:space="preserve"> into objects of property. </w:t>
      </w:r>
      <w:r w:rsidR="004803F6">
        <w:t>I</w:t>
      </w:r>
      <w:r w:rsidR="00DF2506">
        <w:t>reland explains</w:t>
      </w:r>
      <w:r w:rsidR="00CB2DA7">
        <w:t xml:space="preserve"> </w:t>
      </w:r>
      <w:r w:rsidR="00BD4861">
        <w:t>how the</w:t>
      </w:r>
      <w:r w:rsidR="00E96BBC">
        <w:t xml:space="preserve"> bundle of rights theory of property</w:t>
      </w:r>
      <w:r w:rsidR="00E96705">
        <w:t xml:space="preserve"> </w:t>
      </w:r>
      <w:r w:rsidR="00A66C2F">
        <w:t>became</w:t>
      </w:r>
      <w:r w:rsidR="00DF2506">
        <w:t xml:space="preserve"> </w:t>
      </w:r>
      <w:r w:rsidR="00506246">
        <w:t>a conceptual necessity</w:t>
      </w:r>
      <w:r w:rsidR="00CB2DA7" w:rsidRPr="00CB2DA7">
        <w:t xml:space="preserve"> during the nineteenth century</w:t>
      </w:r>
      <w:r w:rsidR="00506246">
        <w:t xml:space="preserve"> </w:t>
      </w:r>
      <w:r w:rsidR="005C0D2D">
        <w:t>because physicalist</w:t>
      </w:r>
      <w:r w:rsidR="00EA509F">
        <w:t xml:space="preserve"> and </w:t>
      </w:r>
      <w:r w:rsidR="00EA509F">
        <w:lastRenderedPageBreak/>
        <w:t xml:space="preserve">absolutist concepts of property </w:t>
      </w:r>
      <w:r w:rsidR="00732AEA">
        <w:t xml:space="preserve">were not </w:t>
      </w:r>
      <w:r w:rsidR="00C74561">
        <w:t xml:space="preserve">adequate to </w:t>
      </w:r>
      <w:r w:rsidR="00026A56">
        <w:t>express property’s</w:t>
      </w:r>
      <w:r w:rsidR="00C74561">
        <w:t xml:space="preserve"> </w:t>
      </w:r>
      <w:r w:rsidR="004318E3">
        <w:t>key role</w:t>
      </w:r>
      <w:r w:rsidR="0042680E">
        <w:t xml:space="preserve"> in capitalism</w:t>
      </w:r>
      <w:r w:rsidR="00A64E0E">
        <w:t xml:space="preserve">. </w:t>
      </w:r>
      <w:r w:rsidR="004318E3">
        <w:t>Ireland charts</w:t>
      </w:r>
      <w:r w:rsidR="00681FEA">
        <w:t xml:space="preserve"> </w:t>
      </w:r>
      <w:r w:rsidR="00296ECF">
        <w:t xml:space="preserve">the radical twist given to the bundle of rights approach by </w:t>
      </w:r>
      <w:proofErr w:type="spellStart"/>
      <w:r w:rsidR="00296ECF">
        <w:t>Hohfe</w:t>
      </w:r>
      <w:r w:rsidR="000267E5">
        <w:t>ld</w:t>
      </w:r>
      <w:proofErr w:type="spellEnd"/>
      <w:r w:rsidR="00026A56">
        <w:t>;</w:t>
      </w:r>
      <w:r w:rsidR="004B1BE5">
        <w:t xml:space="preserve"> property is not only a bundle of rights</w:t>
      </w:r>
      <w:r w:rsidR="005A54C7">
        <w:t xml:space="preserve"> but a social relation</w:t>
      </w:r>
      <w:r w:rsidR="002856DB">
        <w:t xml:space="preserve">, which ‘highlighted the fact that property rights grant people </w:t>
      </w:r>
      <w:r w:rsidR="002856DB" w:rsidRPr="00424DE8">
        <w:rPr>
          <w:i/>
          <w:iCs/>
        </w:rPr>
        <w:t>power</w:t>
      </w:r>
      <w:r w:rsidR="002856DB">
        <w:t xml:space="preserve"> not only over things but over ‘other individuals in reference to things</w:t>
      </w:r>
      <w:r w:rsidR="00D51184">
        <w:t>’</w:t>
      </w:r>
      <w:r w:rsidR="0055724E">
        <w:rPr>
          <w:rStyle w:val="FootnoteReference"/>
        </w:rPr>
        <w:footnoteReference w:id="4"/>
      </w:r>
      <w:r w:rsidR="006A25D5">
        <w:t xml:space="preserve"> </w:t>
      </w:r>
      <w:r w:rsidR="008B2CC9">
        <w:t>(emphasis</w:t>
      </w:r>
      <w:r w:rsidR="007A1EC7">
        <w:t xml:space="preserve"> in the original</w:t>
      </w:r>
      <w:r w:rsidR="00DF2506">
        <w:t xml:space="preserve">). </w:t>
      </w:r>
      <w:r w:rsidR="005F1647">
        <w:t>Chapter 2</w:t>
      </w:r>
      <w:r w:rsidR="001B782C">
        <w:t xml:space="preserve"> closes with </w:t>
      </w:r>
      <w:r w:rsidR="00CD2A44">
        <w:t xml:space="preserve">the </w:t>
      </w:r>
      <w:r w:rsidR="003D07C9">
        <w:t>tantalising argument, tha</w:t>
      </w:r>
      <w:r w:rsidR="004775EC">
        <w:t>t</w:t>
      </w:r>
      <w:r w:rsidR="00A009FF">
        <w:t xml:space="preserve">, </w:t>
      </w:r>
      <w:r w:rsidR="00393E97">
        <w:t>‘the</w:t>
      </w:r>
      <w:r w:rsidR="00E12441">
        <w:t xml:space="preserve"> disaggregation</w:t>
      </w:r>
      <w:r w:rsidR="00393E97">
        <w:t xml:space="preserve"> of property inherent in the bundle of rights conception has, arguably, </w:t>
      </w:r>
      <w:r w:rsidR="004775EC">
        <w:t>in</w:t>
      </w:r>
      <w:r w:rsidR="00393E97">
        <w:t xml:space="preserve"> some ways </w:t>
      </w:r>
      <w:r w:rsidR="004775EC">
        <w:t>strengthened</w:t>
      </w:r>
      <w:r w:rsidR="00393E97">
        <w:t xml:space="preserve"> the idea of property as thing</w:t>
      </w:r>
      <w:r w:rsidR="0079771A">
        <w:t xml:space="preserve"> ownership</w:t>
      </w:r>
      <w:r w:rsidR="0055724E">
        <w:t>’,</w:t>
      </w:r>
      <w:r w:rsidR="0055724E">
        <w:rPr>
          <w:rStyle w:val="FootnoteReference"/>
        </w:rPr>
        <w:footnoteReference w:id="5"/>
      </w:r>
      <w:r w:rsidR="0079771A">
        <w:t xml:space="preserve"> </w:t>
      </w:r>
      <w:r w:rsidR="00043419">
        <w:t>to meet the needs of a resurgent free market capitalism</w:t>
      </w:r>
      <w:r w:rsidR="0079771A">
        <w:t>.</w:t>
      </w:r>
    </w:p>
    <w:p w14:paraId="63CFD61C" w14:textId="15EDE3B6" w:rsidR="00C343D0" w:rsidRDefault="00026A56" w:rsidP="002A75A1">
      <w:r>
        <w:t>In chapter</w:t>
      </w:r>
      <w:r w:rsidR="00117E38">
        <w:t xml:space="preserve"> </w:t>
      </w:r>
      <w:r w:rsidR="008830B5">
        <w:t xml:space="preserve"> 3 </w:t>
      </w:r>
      <w:r w:rsidR="00C31F46">
        <w:t xml:space="preserve">a parallel </w:t>
      </w:r>
      <w:r w:rsidR="00152728">
        <w:t>hi</w:t>
      </w:r>
      <w:r w:rsidR="006C4B43">
        <w:t>story</w:t>
      </w:r>
      <w:r w:rsidR="00C31F46">
        <w:t xml:space="preserve"> o</w:t>
      </w:r>
      <w:r w:rsidR="008830B5">
        <w:t xml:space="preserve">f property </w:t>
      </w:r>
      <w:r w:rsidR="006C4B43">
        <w:t>is told</w:t>
      </w:r>
      <w:r w:rsidR="00370C56">
        <w:t xml:space="preserve">. </w:t>
      </w:r>
      <w:r w:rsidR="00C167F6">
        <w:t xml:space="preserve"> From a</w:t>
      </w:r>
      <w:r w:rsidR="00F67075">
        <w:t xml:space="preserve"> world where </w:t>
      </w:r>
      <w:r w:rsidR="00EB278C">
        <w:t>‘property rights in land</w:t>
      </w:r>
      <w:r w:rsidR="00C167F6">
        <w:t>.</w:t>
      </w:r>
      <w:r w:rsidR="00EB278C">
        <w:t xml:space="preserve">..were not only fragmented and divided, but still to a considerable extent bound up in intricate and visible social relations between people occupying different places in a </w:t>
      </w:r>
      <w:r w:rsidR="00846B4A">
        <w:t>hierarchically</w:t>
      </w:r>
      <w:r w:rsidR="00EB278C">
        <w:t xml:space="preserve"> </w:t>
      </w:r>
      <w:r w:rsidR="00846B4A">
        <w:t>organised</w:t>
      </w:r>
      <w:r w:rsidR="00EB278C">
        <w:t xml:space="preserve"> and inter-connected social whole</w:t>
      </w:r>
      <w:r w:rsidR="00D6316E">
        <w:t xml:space="preserve">’ </w:t>
      </w:r>
      <w:r w:rsidR="0055724E">
        <w:rPr>
          <w:rStyle w:val="FootnoteReference"/>
        </w:rPr>
        <w:footnoteReference w:id="6"/>
      </w:r>
      <w:r w:rsidR="0055724E">
        <w:t xml:space="preserve"> </w:t>
      </w:r>
      <w:r w:rsidR="00FE2004">
        <w:t>via enclosure</w:t>
      </w:r>
      <w:r w:rsidR="00514936">
        <w:t xml:space="preserve">s </w:t>
      </w:r>
      <w:r w:rsidR="00FE2004">
        <w:t xml:space="preserve">and the criminalisation of </w:t>
      </w:r>
      <w:r w:rsidR="00537B4B">
        <w:t>practices such as gleaning and lopping</w:t>
      </w:r>
      <w:r w:rsidR="003E5861">
        <w:t xml:space="preserve">, a new world order emerged </w:t>
      </w:r>
      <w:r w:rsidR="00B61D92">
        <w:t xml:space="preserve">with a distinctive set of social property relations and a new economic dynamic. </w:t>
      </w:r>
      <w:r w:rsidR="00C31E69">
        <w:t>Property</w:t>
      </w:r>
      <w:r w:rsidR="00F31AFE">
        <w:t xml:space="preserve"> rights were </w:t>
      </w:r>
      <w:r w:rsidR="00C31E69">
        <w:t>quintessential</w:t>
      </w:r>
      <w:r w:rsidR="00330C26">
        <w:t xml:space="preserve"> private rights</w:t>
      </w:r>
      <w:r w:rsidR="008B4344">
        <w:t xml:space="preserve">, </w:t>
      </w:r>
      <w:r w:rsidR="00AF26AC">
        <w:t>but at the same time, ‘P</w:t>
      </w:r>
      <w:r w:rsidR="00F720F7">
        <w:t xml:space="preserve">roperty is </w:t>
      </w:r>
      <w:r w:rsidR="00AF26AC">
        <w:t>…</w:t>
      </w:r>
      <w:r w:rsidR="00E80EC2">
        <w:t xml:space="preserve">a publicly constituted and </w:t>
      </w:r>
      <w:r w:rsidR="00017883">
        <w:t>publicly</w:t>
      </w:r>
      <w:r w:rsidR="00E80EC2">
        <w:t xml:space="preserve"> enforced power relationship: all property rights, including private </w:t>
      </w:r>
      <w:r w:rsidR="000F5E13">
        <w:t>property</w:t>
      </w:r>
      <w:r w:rsidR="00E80EC2">
        <w:t xml:space="preserve"> rights, have a public law character; they are never </w:t>
      </w:r>
      <w:r w:rsidR="000F5E13">
        <w:t>truly</w:t>
      </w:r>
      <w:r w:rsidR="00E80EC2">
        <w:t xml:space="preserve"> private</w:t>
      </w:r>
      <w:r w:rsidR="00017883">
        <w:t>’</w:t>
      </w:r>
      <w:r w:rsidR="00BA6A37">
        <w:t>.</w:t>
      </w:r>
      <w:r w:rsidR="00017883">
        <w:t xml:space="preserve"> </w:t>
      </w:r>
      <w:r w:rsidR="00AF26AC">
        <w:rPr>
          <w:rStyle w:val="FootnoteReference"/>
        </w:rPr>
        <w:footnoteReference w:id="7"/>
      </w:r>
      <w:r w:rsidR="00017883">
        <w:t xml:space="preserve"> </w:t>
      </w:r>
      <w:r w:rsidR="00A2728B">
        <w:t xml:space="preserve">Ireland </w:t>
      </w:r>
      <w:r w:rsidR="00AF26AC">
        <w:t>highlights how</w:t>
      </w:r>
      <w:r w:rsidR="000A25B1">
        <w:t xml:space="preserve"> private property rights in productive resources </w:t>
      </w:r>
      <w:r w:rsidR="002A75A1">
        <w:t xml:space="preserve">- a critical element of contemporary capitalism – </w:t>
      </w:r>
      <w:r w:rsidR="00AF26AC">
        <w:t>are defen</w:t>
      </w:r>
      <w:r w:rsidR="002A75A1">
        <w:t>d</w:t>
      </w:r>
      <w:r w:rsidR="00AF26AC">
        <w:t xml:space="preserve">ed because </w:t>
      </w:r>
      <w:r w:rsidR="000A25B1">
        <w:t>the</w:t>
      </w:r>
      <w:r w:rsidR="002A75A1">
        <w:t xml:space="preserve">y are essential to </w:t>
      </w:r>
      <w:r w:rsidR="000A25B1">
        <w:t>economi</w:t>
      </w:r>
      <w:r w:rsidR="00977818">
        <w:t xml:space="preserve">c </w:t>
      </w:r>
      <w:r w:rsidR="002A75A1">
        <w:t>prosperity</w:t>
      </w:r>
      <w:r w:rsidR="00AF26AC">
        <w:t>. Yet</w:t>
      </w:r>
      <w:r w:rsidR="002A75A1">
        <w:t xml:space="preserve"> such</w:t>
      </w:r>
      <w:r w:rsidR="00AF26AC">
        <w:t xml:space="preserve"> c</w:t>
      </w:r>
      <w:r w:rsidR="004632F2">
        <w:t xml:space="preserve">onsequentialism is problematic; </w:t>
      </w:r>
      <w:r w:rsidR="006A4CAE">
        <w:t xml:space="preserve">political repression, forced dispossessions and </w:t>
      </w:r>
      <w:r w:rsidR="0025260F">
        <w:t>rights</w:t>
      </w:r>
      <w:r w:rsidR="006A4CAE">
        <w:t xml:space="preserve"> reallocations </w:t>
      </w:r>
      <w:r w:rsidR="007B2608">
        <w:t>can be</w:t>
      </w:r>
      <w:r w:rsidR="006A4CAE">
        <w:t xml:space="preserve"> justified ‘on the grounds that, even if they seem directly and immediately to benefit a few to the </w:t>
      </w:r>
      <w:r w:rsidR="0022356F">
        <w:t>detriment</w:t>
      </w:r>
      <w:r w:rsidR="006A4CAE">
        <w:t xml:space="preserve"> of the many, they do so in the </w:t>
      </w:r>
      <w:r w:rsidR="007B2608">
        <w:t>servic</w:t>
      </w:r>
      <w:r w:rsidR="006A4CAE">
        <w:t>e of the longer-term social good</w:t>
      </w:r>
      <w:r w:rsidR="0025260F">
        <w:t>’</w:t>
      </w:r>
      <w:r w:rsidR="002A75A1">
        <w:t>.</w:t>
      </w:r>
      <w:r w:rsidR="00D83236">
        <w:t xml:space="preserve"> </w:t>
      </w:r>
      <w:r w:rsidR="00AF26AC">
        <w:rPr>
          <w:rStyle w:val="FootnoteReference"/>
        </w:rPr>
        <w:footnoteReference w:id="8"/>
      </w:r>
      <w:r w:rsidR="00EB332F">
        <w:t xml:space="preserve"> </w:t>
      </w:r>
    </w:p>
    <w:p w14:paraId="79A8681E" w14:textId="34DFE6C3" w:rsidR="00CE36C9" w:rsidRDefault="00CE36C9" w:rsidP="002A75A1">
      <w:r>
        <w:t xml:space="preserve">Ireland explains what is unique about capital and investment </w:t>
      </w:r>
      <w:r w:rsidR="00CB2DA7">
        <w:t>in chapter</w:t>
      </w:r>
      <w:r w:rsidR="005C0D2D">
        <w:t xml:space="preserve"> 4</w:t>
      </w:r>
      <w:r>
        <w:t>, that profits arise from the efforts of others and</w:t>
      </w:r>
      <w:r w:rsidR="007B2608">
        <w:t xml:space="preserve"> he</w:t>
      </w:r>
      <w:r>
        <w:t xml:space="preserve"> explores the ways in which </w:t>
      </w:r>
      <w:r w:rsidR="00B91E36">
        <w:t>this characteristic</w:t>
      </w:r>
      <w:r w:rsidR="00CA6C8E">
        <w:t xml:space="preserve">, most marked in financial property, </w:t>
      </w:r>
      <w:r w:rsidR="00B91E36">
        <w:t xml:space="preserve"> is a source of appropriative power</w:t>
      </w:r>
      <w:r w:rsidR="007B2608">
        <w:t xml:space="preserve"> and significant financial gain. </w:t>
      </w:r>
      <w:r w:rsidR="00E23F51">
        <w:t xml:space="preserve">Problematically </w:t>
      </w:r>
      <w:r w:rsidR="007B2608">
        <w:t xml:space="preserve">wealth generated is increasingly concentrated in the hands of the </w:t>
      </w:r>
      <w:r w:rsidR="00CB2DA7">
        <w:t>few and</w:t>
      </w:r>
      <w:r w:rsidR="007B2608">
        <w:t xml:space="preserve"> is increasingly insulated fro</w:t>
      </w:r>
      <w:r w:rsidR="00CA6C8E">
        <w:t xml:space="preserve">m the normal vicissitudes of economic life. </w:t>
      </w:r>
      <w:r w:rsidR="00C014AC">
        <w:t>Not only are wealth</w:t>
      </w:r>
      <w:r w:rsidR="00CA6C8E">
        <w:t xml:space="preserve"> inequalities</w:t>
      </w:r>
      <w:r w:rsidR="00C014AC">
        <w:t xml:space="preserve"> </w:t>
      </w:r>
      <w:r w:rsidR="00CA6C8E">
        <w:t>gendered, racialised and intergenerational</w:t>
      </w:r>
      <w:r w:rsidR="00C014AC">
        <w:t xml:space="preserve">, </w:t>
      </w:r>
      <w:r w:rsidR="00E23F51">
        <w:t>deregulation</w:t>
      </w:r>
      <w:r w:rsidR="00C014AC">
        <w:t xml:space="preserve">, privatisation and increasing government debt has led to rising private wealth </w:t>
      </w:r>
      <w:r w:rsidR="00E23F51">
        <w:t>and</w:t>
      </w:r>
      <w:r w:rsidR="00C014AC">
        <w:t xml:space="preserve"> declining public wealt</w:t>
      </w:r>
      <w:r w:rsidR="00E23F51">
        <w:t>h</w:t>
      </w:r>
    </w:p>
    <w:p w14:paraId="075C0D19" w14:textId="252552BA" w:rsidR="00FF410D" w:rsidRDefault="00FF410D" w:rsidP="00DE7B0D">
      <w:r>
        <w:t xml:space="preserve">Chapters 5 and 6 are </w:t>
      </w:r>
      <w:r w:rsidR="006A2CBC">
        <w:t>probably</w:t>
      </w:r>
      <w:r>
        <w:t xml:space="preserve"> the </w:t>
      </w:r>
      <w:r w:rsidR="006A2CBC">
        <w:t>most contentious</w:t>
      </w:r>
      <w:r>
        <w:t xml:space="preserve"> of the book, for it is here that Ireland expands upon his argument </w:t>
      </w:r>
      <w:r w:rsidR="00780DD5">
        <w:t>that</w:t>
      </w:r>
      <w:r w:rsidR="006A5B14">
        <w:t xml:space="preserve"> analytical </w:t>
      </w:r>
      <w:r w:rsidR="001E502B">
        <w:t xml:space="preserve">jurisprudence and the law and economics </w:t>
      </w:r>
      <w:r w:rsidR="002C32B9">
        <w:t xml:space="preserve">movement </w:t>
      </w:r>
      <w:r w:rsidR="004C46E8">
        <w:t xml:space="preserve">have become dangerously abstract in their efforts to </w:t>
      </w:r>
      <w:r w:rsidR="007925E6">
        <w:t>capture</w:t>
      </w:r>
      <w:r w:rsidR="00C81BF6">
        <w:t xml:space="preserve"> what they believe to be</w:t>
      </w:r>
      <w:r w:rsidR="004B5EC4">
        <w:t xml:space="preserve"> the</w:t>
      </w:r>
      <w:r w:rsidR="004C46E8">
        <w:t xml:space="preserve"> universa</w:t>
      </w:r>
      <w:r w:rsidR="007F1F1F">
        <w:t>l essentials</w:t>
      </w:r>
      <w:r w:rsidR="004C46E8">
        <w:t xml:space="preserve"> of property. </w:t>
      </w:r>
      <w:r w:rsidR="0009055A">
        <w:t xml:space="preserve"> </w:t>
      </w:r>
      <w:r w:rsidR="006E519B">
        <w:t xml:space="preserve">Such scholarship </w:t>
      </w:r>
      <w:r w:rsidR="00CB2DA7">
        <w:t>universalises</w:t>
      </w:r>
      <w:r w:rsidR="00A023AB">
        <w:t xml:space="preserve"> Western market capitalist </w:t>
      </w:r>
      <w:r w:rsidR="002C071D">
        <w:t>assumptions about ownership and exclusion</w:t>
      </w:r>
      <w:r w:rsidR="00DE7B0D">
        <w:t>.</w:t>
      </w:r>
      <w:r w:rsidR="00D60FD1">
        <w:rPr>
          <w:rStyle w:val="FootnoteReference"/>
        </w:rPr>
        <w:footnoteReference w:id="9"/>
      </w:r>
      <w:r w:rsidR="00033411">
        <w:t xml:space="preserve"> The danger lies </w:t>
      </w:r>
      <w:r w:rsidR="00DF1109">
        <w:t>in the erosion of differenc</w:t>
      </w:r>
      <w:r w:rsidR="00936DAE">
        <w:t>e</w:t>
      </w:r>
      <w:r w:rsidR="00421DAA">
        <w:t xml:space="preserve"> and/or the creation of false similarities</w:t>
      </w:r>
      <w:r w:rsidR="00936DAE">
        <w:t xml:space="preserve">. As Ireland puts it, </w:t>
      </w:r>
    </w:p>
    <w:p w14:paraId="285AD027" w14:textId="576107E2" w:rsidR="00936DAE" w:rsidRPr="009535F2" w:rsidRDefault="00936DAE" w:rsidP="00DE7B0D">
      <w:r>
        <w:t xml:space="preserve">‘When all property </w:t>
      </w:r>
      <w:r w:rsidR="001B72E3">
        <w:t xml:space="preserve">institutions are viewed through an </w:t>
      </w:r>
      <w:r w:rsidR="00421DAA">
        <w:t>ownership prism</w:t>
      </w:r>
      <w:r w:rsidR="001B72E3">
        <w:t xml:space="preserve"> in terms of individual person-thing relationships and </w:t>
      </w:r>
      <w:r w:rsidR="00421DAA">
        <w:t>authorised</w:t>
      </w:r>
      <w:r w:rsidR="001B72E3">
        <w:t xml:space="preserve"> self-</w:t>
      </w:r>
      <w:proofErr w:type="spellStart"/>
      <w:r w:rsidR="001B72E3">
        <w:t>seekingness</w:t>
      </w:r>
      <w:proofErr w:type="spellEnd"/>
      <w:r w:rsidR="00A525BF">
        <w:t xml:space="preserve">… we risk downplaying the </w:t>
      </w:r>
      <w:r w:rsidR="00A525BF">
        <w:lastRenderedPageBreak/>
        <w:t xml:space="preserve">differences between different sets of property institutions and between the </w:t>
      </w:r>
      <w:r w:rsidR="00421DAA">
        <w:t>societies</w:t>
      </w:r>
      <w:r w:rsidR="00A525BF">
        <w:t xml:space="preserve"> of which they were/are part</w:t>
      </w:r>
      <w:r w:rsidR="00722546">
        <w:t>’.</w:t>
      </w:r>
      <w:r w:rsidR="00722546">
        <w:rPr>
          <w:rStyle w:val="FootnoteReference"/>
        </w:rPr>
        <w:footnoteReference w:id="10"/>
      </w:r>
    </w:p>
    <w:p w14:paraId="7059EBA3" w14:textId="0973C3F3" w:rsidR="00C22774" w:rsidRDefault="00186C8A">
      <w:r>
        <w:t>Ireland pays</w:t>
      </w:r>
      <w:r w:rsidR="00CA6445">
        <w:t xml:space="preserve"> </w:t>
      </w:r>
      <w:r w:rsidR="002A6E20">
        <w:t xml:space="preserve">attention to the work of </w:t>
      </w:r>
      <w:r w:rsidR="008A2EE7">
        <w:t xml:space="preserve">James </w:t>
      </w:r>
      <w:r w:rsidR="002A6E20">
        <w:t>Penner</w:t>
      </w:r>
      <w:r w:rsidR="008A2EE7">
        <w:t xml:space="preserve"> in his analysis</w:t>
      </w:r>
      <w:r w:rsidR="00152728">
        <w:t xml:space="preserve"> </w:t>
      </w:r>
      <w:r w:rsidR="00CB2DA7">
        <w:t>of the</w:t>
      </w:r>
      <w:r w:rsidR="008B2CC9">
        <w:t xml:space="preserve"> limitations of </w:t>
      </w:r>
      <w:r w:rsidR="00152728">
        <w:t>analytical jurisprudence</w:t>
      </w:r>
      <w:r w:rsidR="00CA6445">
        <w:t xml:space="preserve">, particularly </w:t>
      </w:r>
      <w:r w:rsidR="00082F7B">
        <w:t xml:space="preserve">Penner’s rejection of </w:t>
      </w:r>
      <w:r w:rsidR="00BE0B48">
        <w:t xml:space="preserve">the bundle of rights and his reassertion of </w:t>
      </w:r>
      <w:r w:rsidR="00AE4D19">
        <w:t>thing</w:t>
      </w:r>
      <w:r w:rsidR="00BD4861">
        <w:t>-</w:t>
      </w:r>
      <w:r w:rsidR="00AE4D19">
        <w:t xml:space="preserve">ownership as </w:t>
      </w:r>
      <w:r w:rsidR="00B00BDE">
        <w:t xml:space="preserve">lying at the core of property. </w:t>
      </w:r>
      <w:r w:rsidR="00E42EAA">
        <w:t xml:space="preserve">Ireland acknowledges that Penner </w:t>
      </w:r>
      <w:r w:rsidR="008554C7">
        <w:t xml:space="preserve">seeks to locate property in its practical setting, </w:t>
      </w:r>
      <w:r w:rsidR="00E56EB4">
        <w:t>but points out that for Penner</w:t>
      </w:r>
      <w:r w:rsidR="005B4CD3">
        <w:t xml:space="preserve">, </w:t>
      </w:r>
      <w:r w:rsidR="00E56EB4">
        <w:t xml:space="preserve">property’s natural </w:t>
      </w:r>
      <w:r w:rsidR="00152728">
        <w:t>environment is</w:t>
      </w:r>
      <w:r w:rsidR="00553232">
        <w:t xml:space="preserve"> the legal system. </w:t>
      </w:r>
      <w:r w:rsidR="0098607F">
        <w:t xml:space="preserve"> </w:t>
      </w:r>
      <w:r w:rsidR="00663225">
        <w:t xml:space="preserve">As Ireland observes </w:t>
      </w:r>
      <w:r w:rsidR="005B4CD3">
        <w:t>‘</w:t>
      </w:r>
      <w:r w:rsidR="00663225">
        <w:t xml:space="preserve">(Penner’s) </w:t>
      </w:r>
      <w:r w:rsidR="00E56EB4">
        <w:t xml:space="preserve">  ideas </w:t>
      </w:r>
      <w:r w:rsidR="00663225">
        <w:t>about</w:t>
      </w:r>
      <w:r w:rsidR="00E56EB4">
        <w:t xml:space="preserve"> the ‘</w:t>
      </w:r>
      <w:r w:rsidR="00663225">
        <w:t>environment</w:t>
      </w:r>
      <w:r w:rsidR="005B4CD3">
        <w:t>’</w:t>
      </w:r>
      <w:r w:rsidR="00E56EB4">
        <w:t xml:space="preserve">, </w:t>
      </w:r>
      <w:r w:rsidR="005B4CD3">
        <w:t>‘</w:t>
      </w:r>
      <w:r w:rsidR="00E56EB4">
        <w:t>context</w:t>
      </w:r>
      <w:r w:rsidR="007A6EE6">
        <w:t>’</w:t>
      </w:r>
      <w:r w:rsidR="00E56EB4">
        <w:t xml:space="preserve"> and </w:t>
      </w:r>
      <w:r w:rsidR="007A6EE6">
        <w:t>‘</w:t>
      </w:r>
      <w:r w:rsidR="00E56EB4">
        <w:t>practice</w:t>
      </w:r>
      <w:r w:rsidR="007A6EE6">
        <w:t>’</w:t>
      </w:r>
      <w:r w:rsidR="00E56EB4">
        <w:t xml:space="preserve"> of property are therefore highly attenuated. He </w:t>
      </w:r>
      <w:r w:rsidR="00663225">
        <w:t>operates</w:t>
      </w:r>
      <w:r w:rsidR="00E56EB4">
        <w:t xml:space="preserve"> with what we might </w:t>
      </w:r>
      <w:r w:rsidR="00663225">
        <w:t>call</w:t>
      </w:r>
      <w:r w:rsidR="00E56EB4">
        <w:t xml:space="preserve"> a second </w:t>
      </w:r>
      <w:r w:rsidR="00553232">
        <w:t>separability</w:t>
      </w:r>
      <w:r w:rsidR="00E56EB4">
        <w:t xml:space="preserve"> thesis in which law and legal systems are separated </w:t>
      </w:r>
      <w:r w:rsidR="00553232">
        <w:t>from</w:t>
      </w:r>
      <w:r w:rsidR="00E56EB4">
        <w:t xml:space="preserve"> the wider economic, political </w:t>
      </w:r>
      <w:r w:rsidR="00553232">
        <w:t>and</w:t>
      </w:r>
      <w:r w:rsidR="00E56EB4">
        <w:t xml:space="preserve"> social systems of which they are part’</w:t>
      </w:r>
      <w:r w:rsidR="00553232">
        <w:t xml:space="preserve">. </w:t>
      </w:r>
      <w:r w:rsidR="00553232">
        <w:rPr>
          <w:rStyle w:val="FootnoteReference"/>
        </w:rPr>
        <w:footnoteReference w:id="11"/>
      </w:r>
      <w:r w:rsidR="00EC7A19">
        <w:t xml:space="preserve">  </w:t>
      </w:r>
      <w:r w:rsidR="00E35E2B">
        <w:t>For Ireland</w:t>
      </w:r>
      <w:r w:rsidR="008B2CC9">
        <w:t>,</w:t>
      </w:r>
      <w:r w:rsidR="00E35E2B">
        <w:t xml:space="preserve"> Penner’s theory of property is contextually blinkered</w:t>
      </w:r>
      <w:r w:rsidR="0091102F">
        <w:t xml:space="preserve">, </w:t>
      </w:r>
      <w:r w:rsidR="005463C0">
        <w:t xml:space="preserve">providing ‘not only an </w:t>
      </w:r>
      <w:r w:rsidR="00727E2D">
        <w:t>incomplete</w:t>
      </w:r>
      <w:r w:rsidR="005463C0">
        <w:t xml:space="preserve"> but a </w:t>
      </w:r>
      <w:r w:rsidR="00727E2D">
        <w:t>misleading</w:t>
      </w:r>
      <w:r w:rsidR="005463C0">
        <w:t xml:space="preserve"> picture both of property in contemporary capitalism and of the social order from which his concept of property i</w:t>
      </w:r>
      <w:r w:rsidR="00727E2D">
        <w:t>s</w:t>
      </w:r>
      <w:r w:rsidR="005463C0">
        <w:t xml:space="preserve"> drawn. It conceals as much as it reveals</w:t>
      </w:r>
      <w:r w:rsidR="00334E46">
        <w:t>’</w:t>
      </w:r>
      <w:r w:rsidR="005463C0">
        <w:t>.</w:t>
      </w:r>
      <w:r w:rsidR="00334E46">
        <w:rPr>
          <w:rStyle w:val="FootnoteReference"/>
        </w:rPr>
        <w:footnoteReference w:id="12"/>
      </w:r>
    </w:p>
    <w:p w14:paraId="4A7AAB62" w14:textId="4C589040" w:rsidR="00026A56" w:rsidRDefault="002929A7">
      <w:pPr>
        <w:rPr>
          <w:iCs/>
        </w:rPr>
      </w:pPr>
      <w:r w:rsidRPr="0011226E">
        <w:rPr>
          <w:iCs/>
        </w:rPr>
        <w:t xml:space="preserve">In chapter </w:t>
      </w:r>
      <w:r w:rsidR="0011226E" w:rsidRPr="0011226E">
        <w:rPr>
          <w:iCs/>
        </w:rPr>
        <w:t xml:space="preserve">6 </w:t>
      </w:r>
      <w:r w:rsidR="004169EF" w:rsidRPr="0011226E">
        <w:rPr>
          <w:iCs/>
        </w:rPr>
        <w:t>Ireland</w:t>
      </w:r>
      <w:r w:rsidR="0011226E" w:rsidRPr="0011226E">
        <w:rPr>
          <w:iCs/>
        </w:rPr>
        <w:t xml:space="preserve"> contextualises the law and economics school of thought, placing it within </w:t>
      </w:r>
      <w:r w:rsidR="00DA56A8">
        <w:rPr>
          <w:iCs/>
        </w:rPr>
        <w:t xml:space="preserve">a broader intellectual movement seeking ‘to counter suggestions that corporations should be regarded as social or quasi-social institutions, shareholders rights </w:t>
      </w:r>
      <w:r w:rsidR="008B2CC9">
        <w:rPr>
          <w:iCs/>
        </w:rPr>
        <w:t>curtailed,</w:t>
      </w:r>
      <w:r w:rsidR="00DA56A8">
        <w:rPr>
          <w:iCs/>
        </w:rPr>
        <w:t xml:space="preserve"> and directors tasked with balancing a range of different interests’.</w:t>
      </w:r>
      <w:r w:rsidR="00DA56A8">
        <w:rPr>
          <w:rStyle w:val="FootnoteReference"/>
          <w:iCs/>
        </w:rPr>
        <w:footnoteReference w:id="13"/>
      </w:r>
      <w:r w:rsidR="00BD4861">
        <w:rPr>
          <w:iCs/>
        </w:rPr>
        <w:t xml:space="preserve"> </w:t>
      </w:r>
      <w:r w:rsidR="00026A56">
        <w:rPr>
          <w:iCs/>
        </w:rPr>
        <w:t xml:space="preserve">Although conservatism is a  consequence of </w:t>
      </w:r>
      <w:r w:rsidR="008B2CC9">
        <w:rPr>
          <w:iCs/>
        </w:rPr>
        <w:t xml:space="preserve">both </w:t>
      </w:r>
      <w:r w:rsidR="00DA56A8">
        <w:rPr>
          <w:iCs/>
        </w:rPr>
        <w:t>analytical</w:t>
      </w:r>
      <w:r w:rsidR="00026A56">
        <w:rPr>
          <w:iCs/>
        </w:rPr>
        <w:t xml:space="preserve"> jurisprudence and the law and economics movement, </w:t>
      </w:r>
      <w:r w:rsidR="00DA56A8">
        <w:rPr>
          <w:iCs/>
        </w:rPr>
        <w:t xml:space="preserve">this </w:t>
      </w:r>
      <w:r w:rsidR="00026A56">
        <w:rPr>
          <w:iCs/>
        </w:rPr>
        <w:t xml:space="preserve">suggests a difference in motivation;  where analytical jurisprudence has an overriding concern with enabling judges to make correct decisions, law and economics </w:t>
      </w:r>
      <w:r w:rsidR="00BD4861">
        <w:rPr>
          <w:iCs/>
        </w:rPr>
        <w:t>justifies</w:t>
      </w:r>
      <w:r w:rsidR="00B0658E">
        <w:rPr>
          <w:iCs/>
        </w:rPr>
        <w:t xml:space="preserve"> and legitimise</w:t>
      </w:r>
      <w:r w:rsidR="00BD4861">
        <w:rPr>
          <w:iCs/>
        </w:rPr>
        <w:t>s</w:t>
      </w:r>
      <w:r w:rsidR="00B0658E">
        <w:rPr>
          <w:iCs/>
        </w:rPr>
        <w:t xml:space="preserve"> ‘</w:t>
      </w:r>
      <w:r w:rsidR="00DA56A8">
        <w:rPr>
          <w:iCs/>
        </w:rPr>
        <w:t>the property status quo, particularly in relation to corporations and shareholder rights – and therefore, in relation to key productive resources and the fruits of productive activity’.</w:t>
      </w:r>
      <w:r w:rsidR="00DA56A8">
        <w:rPr>
          <w:rStyle w:val="FootnoteReference"/>
          <w:iCs/>
        </w:rPr>
        <w:footnoteReference w:id="14"/>
      </w:r>
    </w:p>
    <w:p w14:paraId="0E89E8E1" w14:textId="60C7D9C0" w:rsidR="00B0658E" w:rsidRDefault="00B0658E">
      <w:pPr>
        <w:rPr>
          <w:iCs/>
        </w:rPr>
      </w:pPr>
      <w:r>
        <w:rPr>
          <w:iCs/>
        </w:rPr>
        <w:t xml:space="preserve">Ireland provides a </w:t>
      </w:r>
      <w:r w:rsidR="008B2CC9">
        <w:rPr>
          <w:iCs/>
        </w:rPr>
        <w:t>powerful and</w:t>
      </w:r>
      <w:r w:rsidR="00716842">
        <w:rPr>
          <w:iCs/>
        </w:rPr>
        <w:t xml:space="preserve"> scholarly </w:t>
      </w:r>
      <w:r>
        <w:rPr>
          <w:iCs/>
        </w:rPr>
        <w:t xml:space="preserve">critique of the key tenets </w:t>
      </w:r>
      <w:r w:rsidR="00716842">
        <w:rPr>
          <w:iCs/>
        </w:rPr>
        <w:t>of law</w:t>
      </w:r>
      <w:r>
        <w:rPr>
          <w:iCs/>
        </w:rPr>
        <w:t xml:space="preserve"> and economics thinking. So for instance he remarks on the implausibility of </w:t>
      </w:r>
      <w:r w:rsidR="001E05DF">
        <w:rPr>
          <w:iCs/>
        </w:rPr>
        <w:t xml:space="preserve">contractual theories of the corporation which in </w:t>
      </w:r>
      <w:r w:rsidR="00716842">
        <w:rPr>
          <w:iCs/>
        </w:rPr>
        <w:t>reverting</w:t>
      </w:r>
      <w:r w:rsidR="001E05DF">
        <w:rPr>
          <w:iCs/>
        </w:rPr>
        <w:t xml:space="preserve"> to the  nineteenth century, ‘turns a blind eye to the many qualitative changes that have taken place in the nature of productive activity and in the nature of public corporations and corporate shareholding’.</w:t>
      </w:r>
      <w:r w:rsidR="001E05DF">
        <w:rPr>
          <w:rStyle w:val="FootnoteReference"/>
          <w:iCs/>
        </w:rPr>
        <w:footnoteReference w:id="15"/>
      </w:r>
      <w:r w:rsidR="008B2CC9">
        <w:rPr>
          <w:iCs/>
        </w:rPr>
        <w:t xml:space="preserve"> </w:t>
      </w:r>
      <w:r w:rsidR="00716842">
        <w:rPr>
          <w:iCs/>
        </w:rPr>
        <w:t>He highlights how ‘</w:t>
      </w:r>
      <w:r w:rsidR="008B2CC9">
        <w:rPr>
          <w:iCs/>
        </w:rPr>
        <w:t>(</w:t>
      </w:r>
      <w:proofErr w:type="spellStart"/>
      <w:r w:rsidR="008B2CC9">
        <w:rPr>
          <w:iCs/>
        </w:rPr>
        <w:t>i</w:t>
      </w:r>
      <w:proofErr w:type="spellEnd"/>
      <w:r w:rsidR="008B2CC9">
        <w:rPr>
          <w:iCs/>
        </w:rPr>
        <w:t>)</w:t>
      </w:r>
      <w:r w:rsidR="00716842">
        <w:rPr>
          <w:iCs/>
        </w:rPr>
        <w:t>t is the residual proprietary rights still attached to shares – that contractual theories of the corporation have sought to protect – that have made possible the resurgence of private appropriative power and the ruthless pursuit of financial gain whatever the negative impacts on other stakeholders an society as a whole’.</w:t>
      </w:r>
      <w:r w:rsidR="00716842">
        <w:rPr>
          <w:rStyle w:val="FootnoteReference"/>
          <w:iCs/>
        </w:rPr>
        <w:footnoteReference w:id="16"/>
      </w:r>
      <w:r w:rsidR="00716842">
        <w:rPr>
          <w:iCs/>
        </w:rPr>
        <w:t xml:space="preserve"> </w:t>
      </w:r>
    </w:p>
    <w:p w14:paraId="4F01306D" w14:textId="0FDF3834" w:rsidR="00616298" w:rsidRDefault="009419A4">
      <w:pPr>
        <w:rPr>
          <w:iCs/>
        </w:rPr>
      </w:pPr>
      <w:r>
        <w:rPr>
          <w:iCs/>
        </w:rPr>
        <w:t xml:space="preserve">Chapter 7 considers the ways in which legal mechanisms have developed to </w:t>
      </w:r>
      <w:r w:rsidR="00207C68">
        <w:rPr>
          <w:iCs/>
        </w:rPr>
        <w:t xml:space="preserve">protect </w:t>
      </w:r>
      <w:r w:rsidR="005E1307">
        <w:rPr>
          <w:iCs/>
        </w:rPr>
        <w:t>property- as-</w:t>
      </w:r>
      <w:r w:rsidR="00207C68">
        <w:rPr>
          <w:iCs/>
        </w:rPr>
        <w:t>capital</w:t>
      </w:r>
      <w:r w:rsidR="004C43A4">
        <w:rPr>
          <w:iCs/>
        </w:rPr>
        <w:t>. This chapter is important</w:t>
      </w:r>
      <w:r w:rsidR="008B2CC9">
        <w:rPr>
          <w:iCs/>
        </w:rPr>
        <w:t>,</w:t>
      </w:r>
      <w:r w:rsidR="004C43A4">
        <w:rPr>
          <w:iCs/>
        </w:rPr>
        <w:t xml:space="preserve"> as </w:t>
      </w:r>
      <w:r w:rsidR="008D0E9A">
        <w:rPr>
          <w:iCs/>
        </w:rPr>
        <w:t>Ireland</w:t>
      </w:r>
      <w:r w:rsidR="004C43A4">
        <w:rPr>
          <w:iCs/>
        </w:rPr>
        <w:t xml:space="preserve"> argues, because property protection provides a </w:t>
      </w:r>
      <w:r w:rsidR="005E1307">
        <w:rPr>
          <w:iCs/>
        </w:rPr>
        <w:t>useful prism</w:t>
      </w:r>
      <w:r w:rsidR="004C43A4">
        <w:rPr>
          <w:iCs/>
        </w:rPr>
        <w:t xml:space="preserve"> through which to view neoliberalism. </w:t>
      </w:r>
      <w:r w:rsidR="005E1307">
        <w:rPr>
          <w:iCs/>
        </w:rPr>
        <w:t xml:space="preserve">It </w:t>
      </w:r>
      <w:r w:rsidR="004318E3">
        <w:rPr>
          <w:iCs/>
        </w:rPr>
        <w:t>serves to undermine</w:t>
      </w:r>
      <w:r w:rsidR="005E1307">
        <w:rPr>
          <w:iCs/>
        </w:rPr>
        <w:t xml:space="preserve"> </w:t>
      </w:r>
      <w:r w:rsidR="003C6607">
        <w:rPr>
          <w:iCs/>
        </w:rPr>
        <w:t>claims that the contemporary property system is natural</w:t>
      </w:r>
      <w:r w:rsidR="004318E3">
        <w:rPr>
          <w:iCs/>
        </w:rPr>
        <w:t>,</w:t>
      </w:r>
      <w:r w:rsidR="003C6607">
        <w:rPr>
          <w:iCs/>
        </w:rPr>
        <w:t xml:space="preserve"> inevitable</w:t>
      </w:r>
      <w:r w:rsidR="004318E3">
        <w:rPr>
          <w:iCs/>
        </w:rPr>
        <w:t xml:space="preserve">  and working well. </w:t>
      </w:r>
      <w:r w:rsidR="003C6607">
        <w:rPr>
          <w:iCs/>
        </w:rPr>
        <w:t xml:space="preserve"> </w:t>
      </w:r>
      <w:r w:rsidR="00CB2DA7">
        <w:rPr>
          <w:iCs/>
        </w:rPr>
        <w:t>On the contrary,</w:t>
      </w:r>
      <w:r w:rsidR="004318E3">
        <w:rPr>
          <w:iCs/>
        </w:rPr>
        <w:t xml:space="preserve"> f</w:t>
      </w:r>
      <w:r w:rsidR="003C6607">
        <w:rPr>
          <w:iCs/>
        </w:rPr>
        <w:t xml:space="preserve">inancial property in particular is vulnerable, ‘To everything from changes in the general economic outlook and business climate to changes in policy that raise labour and/or environmental standards or otherwise alter the relative bargaining strength of capital and </w:t>
      </w:r>
      <w:r w:rsidR="003C6607">
        <w:rPr>
          <w:iCs/>
        </w:rPr>
        <w:lastRenderedPageBreak/>
        <w:t>labour’.</w:t>
      </w:r>
      <w:r w:rsidR="003C6607">
        <w:rPr>
          <w:rStyle w:val="FootnoteReference"/>
          <w:iCs/>
        </w:rPr>
        <w:footnoteReference w:id="17"/>
      </w:r>
      <w:r w:rsidR="00BA6A37">
        <w:rPr>
          <w:iCs/>
        </w:rPr>
        <w:t xml:space="preserve">  Vulnerabilities </w:t>
      </w:r>
      <w:r w:rsidR="00CB2DA7">
        <w:rPr>
          <w:iCs/>
        </w:rPr>
        <w:t>require</w:t>
      </w:r>
      <w:r w:rsidR="00BA6A37">
        <w:rPr>
          <w:iCs/>
        </w:rPr>
        <w:t xml:space="preserve"> bailouts and austerity </w:t>
      </w:r>
      <w:r w:rsidR="00CB2DA7">
        <w:rPr>
          <w:iCs/>
        </w:rPr>
        <w:t xml:space="preserve">measures </w:t>
      </w:r>
      <w:r w:rsidR="00BA6A37">
        <w:rPr>
          <w:iCs/>
        </w:rPr>
        <w:t>such that the financial crash of 2008 and the Covid-19 pandemic resulted</w:t>
      </w:r>
      <w:r w:rsidR="00E23F51">
        <w:rPr>
          <w:iCs/>
        </w:rPr>
        <w:t xml:space="preserve"> not in a disruption of capitalism but</w:t>
      </w:r>
      <w:r w:rsidR="00BA6A37">
        <w:rPr>
          <w:iCs/>
        </w:rPr>
        <w:t xml:space="preserve"> a ‘dramatic upward redistribution of wealth’. </w:t>
      </w:r>
      <w:r w:rsidR="00BA6A37">
        <w:rPr>
          <w:rStyle w:val="FootnoteReference"/>
          <w:iCs/>
        </w:rPr>
        <w:footnoteReference w:id="18"/>
      </w:r>
      <w:r w:rsidR="00BA6A37">
        <w:rPr>
          <w:iCs/>
        </w:rPr>
        <w:t xml:space="preserve"> </w:t>
      </w:r>
      <w:r w:rsidR="00E23F51">
        <w:rPr>
          <w:iCs/>
        </w:rPr>
        <w:t xml:space="preserve">Vulnerabilities </w:t>
      </w:r>
      <w:r w:rsidR="00BA6A37">
        <w:rPr>
          <w:iCs/>
        </w:rPr>
        <w:t>justify international investment law</w:t>
      </w:r>
      <w:r w:rsidR="004318E3">
        <w:rPr>
          <w:iCs/>
        </w:rPr>
        <w:t xml:space="preserve">, a new form of constitutionalism, </w:t>
      </w:r>
      <w:r w:rsidR="00BA6A37">
        <w:rPr>
          <w:iCs/>
        </w:rPr>
        <w:t xml:space="preserve">  to ‘discourage a wide range of state activity by enabling investors to claim damages for policies that, even if supported by the local population adversely impact on the value of their investments’.</w:t>
      </w:r>
      <w:r w:rsidR="00BA6A37">
        <w:rPr>
          <w:rStyle w:val="FootnoteReference"/>
          <w:iCs/>
        </w:rPr>
        <w:footnoteReference w:id="19"/>
      </w:r>
      <w:r w:rsidR="004318E3">
        <w:rPr>
          <w:iCs/>
        </w:rPr>
        <w:t xml:space="preserve"> What </w:t>
      </w:r>
      <w:r w:rsidR="008B2CC9">
        <w:rPr>
          <w:iCs/>
        </w:rPr>
        <w:t>property</w:t>
      </w:r>
      <w:r w:rsidR="004318E3">
        <w:rPr>
          <w:iCs/>
        </w:rPr>
        <w:t xml:space="preserve"> protection in contemporary capitalism </w:t>
      </w:r>
      <w:r w:rsidR="00173518">
        <w:rPr>
          <w:iCs/>
        </w:rPr>
        <w:t xml:space="preserve">requires in short </w:t>
      </w:r>
      <w:r w:rsidR="004318E3">
        <w:rPr>
          <w:iCs/>
        </w:rPr>
        <w:t>is ‘derisking</w:t>
      </w:r>
      <w:r w:rsidR="008B2CC9">
        <w:rPr>
          <w:iCs/>
        </w:rPr>
        <w:t>’</w:t>
      </w:r>
      <w:r w:rsidR="004318E3">
        <w:rPr>
          <w:iCs/>
        </w:rPr>
        <w:t xml:space="preserve">, ‘states </w:t>
      </w:r>
      <w:r w:rsidR="00173518">
        <w:rPr>
          <w:iCs/>
        </w:rPr>
        <w:t>acting</w:t>
      </w:r>
      <w:r w:rsidR="004318E3">
        <w:rPr>
          <w:iCs/>
        </w:rPr>
        <w:t xml:space="preserve"> to smooth the way for private investment and to guarantee acceptable revenue streams</w:t>
      </w:r>
      <w:r w:rsidR="00173518">
        <w:rPr>
          <w:iCs/>
        </w:rPr>
        <w:t>’</w:t>
      </w:r>
      <w:r w:rsidR="008B2CC9">
        <w:rPr>
          <w:iCs/>
        </w:rPr>
        <w:t>.</w:t>
      </w:r>
      <w:r w:rsidR="00173518">
        <w:rPr>
          <w:rStyle w:val="FootnoteReference"/>
          <w:iCs/>
        </w:rPr>
        <w:footnoteReference w:id="20"/>
      </w:r>
    </w:p>
    <w:p w14:paraId="103D2FDB" w14:textId="0F5C9137" w:rsidR="00E23F51" w:rsidRPr="00E23F51" w:rsidRDefault="00E23F51" w:rsidP="00E23F51">
      <w:pPr>
        <w:rPr>
          <w:iCs/>
        </w:rPr>
      </w:pPr>
      <w:r w:rsidRPr="00E23F51">
        <w:rPr>
          <w:iCs/>
        </w:rPr>
        <w:t>The final chapter of the book is open-ended. Ireland does not seek to</w:t>
      </w:r>
      <w:r>
        <w:rPr>
          <w:iCs/>
        </w:rPr>
        <w:t xml:space="preserve"> complete his </w:t>
      </w:r>
      <w:r w:rsidR="00A059FC">
        <w:rPr>
          <w:iCs/>
        </w:rPr>
        <w:t xml:space="preserve">project </w:t>
      </w:r>
      <w:r w:rsidR="00A059FC" w:rsidRPr="00E23F51">
        <w:rPr>
          <w:iCs/>
        </w:rPr>
        <w:t>but</w:t>
      </w:r>
      <w:r w:rsidRPr="00E23F51">
        <w:rPr>
          <w:iCs/>
        </w:rPr>
        <w:t xml:space="preserve"> to </w:t>
      </w:r>
      <w:r>
        <w:rPr>
          <w:iCs/>
        </w:rPr>
        <w:t xml:space="preserve">provide the foundations </w:t>
      </w:r>
      <w:r w:rsidR="00CB2DA7">
        <w:rPr>
          <w:iCs/>
        </w:rPr>
        <w:t xml:space="preserve">for </w:t>
      </w:r>
      <w:r w:rsidR="00CB2DA7" w:rsidRPr="00E23F51">
        <w:rPr>
          <w:iCs/>
        </w:rPr>
        <w:t>empirically</w:t>
      </w:r>
      <w:r w:rsidR="00B22BEC">
        <w:rPr>
          <w:iCs/>
        </w:rPr>
        <w:t xml:space="preserve"> grounded and theoretically rich accounts of property that bring capitalism back in. </w:t>
      </w:r>
      <w:r w:rsidR="00A059FC">
        <w:rPr>
          <w:iCs/>
        </w:rPr>
        <w:t xml:space="preserve">He tells us the why, and the leaves it to us, the readers, to decide exactly how we might take his project forward. In the final section of the review we engage with this challenge.  </w:t>
      </w:r>
    </w:p>
    <w:p w14:paraId="7F5D0941" w14:textId="77777777" w:rsidR="002A75A1" w:rsidRDefault="002A75A1"/>
    <w:p w14:paraId="6BD781CF" w14:textId="2857753F" w:rsidR="00E23F51" w:rsidRPr="00E23F51" w:rsidRDefault="00E04784" w:rsidP="00E23F51">
      <w:pPr>
        <w:jc w:val="center"/>
      </w:pPr>
      <w:r>
        <w:t xml:space="preserve">EXPANDING THE CONVERSATION </w:t>
      </w:r>
      <w:r w:rsidR="00E23F51">
        <w:t xml:space="preserve"> - </w:t>
      </w:r>
      <w:r w:rsidR="00E23F51" w:rsidRPr="00E23F51">
        <w:t>THEORETICAL</w:t>
      </w:r>
      <w:r w:rsidR="00E23F51">
        <w:t xml:space="preserve">, METHODOLOGICAL AND PEDAGOGICAL </w:t>
      </w:r>
      <w:r w:rsidR="00E23F51" w:rsidRPr="00E23F51">
        <w:t xml:space="preserve"> INSIGHTS</w:t>
      </w:r>
    </w:p>
    <w:p w14:paraId="3A10F388" w14:textId="459BCEC5" w:rsidR="002A75A1" w:rsidRDefault="002A75A1" w:rsidP="00E04784">
      <w:pPr>
        <w:jc w:val="center"/>
      </w:pPr>
    </w:p>
    <w:p w14:paraId="2A076E17" w14:textId="7765E84B" w:rsidR="00152728" w:rsidRPr="00527BAF" w:rsidRDefault="00A059FC" w:rsidP="00AE3050">
      <w:pPr>
        <w:rPr>
          <w:i/>
          <w:iCs/>
        </w:rPr>
      </w:pPr>
      <w:r w:rsidRPr="00527BAF">
        <w:rPr>
          <w:i/>
          <w:iCs/>
        </w:rPr>
        <w:t xml:space="preserve">Theory </w:t>
      </w:r>
      <w:r w:rsidR="000C076D" w:rsidRPr="00527BAF">
        <w:rPr>
          <w:i/>
          <w:iCs/>
        </w:rPr>
        <w:tab/>
      </w:r>
    </w:p>
    <w:p w14:paraId="1F57EA86" w14:textId="4AD70651" w:rsidR="000E74E9" w:rsidRDefault="00BD4861" w:rsidP="00AE3050">
      <w:r>
        <w:t>We</w:t>
      </w:r>
      <w:r w:rsidR="00E04784">
        <w:t xml:space="preserve"> agree that </w:t>
      </w:r>
      <w:r w:rsidR="006E65C5">
        <w:t>theory is</w:t>
      </w:r>
      <w:r w:rsidR="00E04784">
        <w:t xml:space="preserve"> vital to instigate </w:t>
      </w:r>
      <w:r w:rsidR="00FF0CAA">
        <w:t>pertinent accounts of property</w:t>
      </w:r>
      <w:r w:rsidR="00B22BEC">
        <w:t xml:space="preserve"> which reveal its social relational dimensions. </w:t>
      </w:r>
      <w:r w:rsidR="00CB576A">
        <w:t>One strand of</w:t>
      </w:r>
      <w:r w:rsidR="00FF0CAA">
        <w:t xml:space="preserve"> theory that </w:t>
      </w:r>
      <w:r w:rsidR="00CB2DA7">
        <w:t>is a</w:t>
      </w:r>
      <w:r w:rsidR="00152728">
        <w:t xml:space="preserve"> key influence for </w:t>
      </w:r>
      <w:r w:rsidR="004169EF">
        <w:t>Ireland</w:t>
      </w:r>
      <w:r w:rsidR="00FF0CAA">
        <w:t xml:space="preserve"> is Polanyi</w:t>
      </w:r>
      <w:r w:rsidR="004169EF">
        <w:t>’s understanding of the fictitious commodification of land</w:t>
      </w:r>
      <w:r w:rsidR="003D5626">
        <w:t xml:space="preserve"> and the </w:t>
      </w:r>
      <w:proofErr w:type="spellStart"/>
      <w:r w:rsidR="003D5626">
        <w:t>disembedding</w:t>
      </w:r>
      <w:proofErr w:type="spellEnd"/>
      <w:r w:rsidR="003D5626">
        <w:t xml:space="preserve"> process of land privatisation</w:t>
      </w:r>
      <w:r w:rsidR="008B6C2D">
        <w:t>. Ireland describes this as the process of more and more land being ‘turned into pure private property’,  increasingly ‘</w:t>
      </w:r>
      <w:proofErr w:type="spellStart"/>
      <w:r w:rsidR="008B6C2D">
        <w:t>disembedded</w:t>
      </w:r>
      <w:proofErr w:type="spellEnd"/>
      <w:r w:rsidR="008B6C2D">
        <w:t xml:space="preserve"> from social relationships’ and being ‘less subject to regulation by custom and </w:t>
      </w:r>
      <w:r w:rsidR="00192944">
        <w:t>the community’.</w:t>
      </w:r>
      <w:r w:rsidR="00192944">
        <w:rPr>
          <w:rStyle w:val="FootnoteReference"/>
        </w:rPr>
        <w:footnoteReference w:id="21"/>
      </w:r>
      <w:r w:rsidR="00BE4357">
        <w:t xml:space="preserve"> </w:t>
      </w:r>
      <w:r w:rsidR="00565A25">
        <w:t xml:space="preserve">Further engagement with Polanyi, a social theorist and economic anthropologist </w:t>
      </w:r>
      <w:r w:rsidR="00E23F51">
        <w:t xml:space="preserve">whose work dating from the </w:t>
      </w:r>
      <w:proofErr w:type="spellStart"/>
      <w:r w:rsidR="00E23F51">
        <w:t>mid 20</w:t>
      </w:r>
      <w:r w:rsidR="00E23F51" w:rsidRPr="00235190">
        <w:rPr>
          <w:vertAlign w:val="superscript"/>
        </w:rPr>
        <w:t>th</w:t>
      </w:r>
      <w:proofErr w:type="spellEnd"/>
      <w:r w:rsidR="00E23F51">
        <w:t xml:space="preserve"> century is of </w:t>
      </w:r>
      <w:r w:rsidR="00E23F51" w:rsidRPr="00527BAF">
        <w:t>continued relevance</w:t>
      </w:r>
      <w:r w:rsidR="006E65C5">
        <w:t>,</w:t>
      </w:r>
      <w:r w:rsidR="00E23F51">
        <w:t xml:space="preserve"> </w:t>
      </w:r>
      <w:r w:rsidR="00565A25">
        <w:t xml:space="preserve">provides insight into the emergence of </w:t>
      </w:r>
      <w:r w:rsidR="0073042C">
        <w:t xml:space="preserve">economic liberalism and its potential to descend into more </w:t>
      </w:r>
      <w:r w:rsidR="00A92C1C">
        <w:t>anti-democratic</w:t>
      </w:r>
      <w:r w:rsidR="0073042C">
        <w:t xml:space="preserve"> forms</w:t>
      </w:r>
      <w:r w:rsidR="00565A25">
        <w:t>.</w:t>
      </w:r>
      <w:r w:rsidR="00565A25">
        <w:rPr>
          <w:rStyle w:val="FootnoteReference"/>
        </w:rPr>
        <w:footnoteReference w:id="22"/>
      </w:r>
      <w:r w:rsidR="00A92C1C">
        <w:t xml:space="preserve"> </w:t>
      </w:r>
      <w:r w:rsidR="006E65C5">
        <w:t>There</w:t>
      </w:r>
      <w:r w:rsidR="0064789F">
        <w:t xml:space="preserve"> is more to be said on Polanyi’s understanding of why </w:t>
      </w:r>
      <w:proofErr w:type="spellStart"/>
      <w:r w:rsidR="0064789F">
        <w:t>disembeddedness</w:t>
      </w:r>
      <w:proofErr w:type="spellEnd"/>
      <w:r w:rsidR="0064789F">
        <w:t xml:space="preserve"> began in the mid-19</w:t>
      </w:r>
      <w:r w:rsidR="0064789F" w:rsidRPr="00527BAF">
        <w:rPr>
          <w:vertAlign w:val="superscript"/>
        </w:rPr>
        <w:t>th</w:t>
      </w:r>
      <w:r w:rsidR="0064789F">
        <w:t xml:space="preserve"> century.  </w:t>
      </w:r>
      <w:r w:rsidR="001B0EB8">
        <w:t>For Polanyi</w:t>
      </w:r>
      <w:r w:rsidR="003B6998">
        <w:t>,</w:t>
      </w:r>
      <w:r w:rsidR="00EE72A5">
        <w:t xml:space="preserve"> the ‘nature’ of </w:t>
      </w:r>
      <w:r w:rsidR="00565A25">
        <w:t xml:space="preserve">the </w:t>
      </w:r>
      <w:r w:rsidR="00EE72A5">
        <w:t xml:space="preserve">market economy ‘cannot be fully grasped unless the impact of the machine on a commercial society is </w:t>
      </w:r>
      <w:r w:rsidR="00565A25">
        <w:t>realized</w:t>
      </w:r>
      <w:r w:rsidR="00EE72A5">
        <w:t>’.</w:t>
      </w:r>
      <w:r w:rsidR="00EE72A5">
        <w:rPr>
          <w:rStyle w:val="FootnoteReference"/>
        </w:rPr>
        <w:footnoteReference w:id="23"/>
      </w:r>
      <w:r w:rsidR="00EE72A5">
        <w:t xml:space="preserve"> Machines</w:t>
      </w:r>
      <w:r w:rsidR="0064789F">
        <w:t>, he argues,</w:t>
      </w:r>
      <w:r w:rsidR="00EE72A5">
        <w:t xml:space="preserve"> ‘do not pay unless large amounts of goods are produced’ and </w:t>
      </w:r>
      <w:r w:rsidR="0064789F">
        <w:t xml:space="preserve">thus </w:t>
      </w:r>
      <w:r w:rsidR="00EE72A5">
        <w:t>can only be ‘worked without a loss</w:t>
      </w:r>
      <w:r w:rsidR="003B492C">
        <w:t xml:space="preserve">’ if ‘the primary goods necessary to feed the machines’ are readily available – land and </w:t>
      </w:r>
      <w:r w:rsidR="00AE3050">
        <w:t>labour</w:t>
      </w:r>
      <w:r w:rsidR="003B492C">
        <w:t>.</w:t>
      </w:r>
      <w:r w:rsidR="003B492C">
        <w:rPr>
          <w:rStyle w:val="FootnoteReference"/>
        </w:rPr>
        <w:footnoteReference w:id="24"/>
      </w:r>
      <w:r w:rsidR="003B492C">
        <w:t xml:space="preserve"> T</w:t>
      </w:r>
      <w:r w:rsidR="0064789F">
        <w:t>herefore</w:t>
      </w:r>
      <w:r w:rsidR="003B492C">
        <w:t>, ‘[m]</w:t>
      </w:r>
      <w:proofErr w:type="spellStart"/>
      <w:r w:rsidR="003B492C">
        <w:t>achine</w:t>
      </w:r>
      <w:proofErr w:type="spellEnd"/>
      <w:r w:rsidR="003B492C">
        <w:t xml:space="preserve"> </w:t>
      </w:r>
      <w:r w:rsidR="003B492C">
        <w:lastRenderedPageBreak/>
        <w:t>production in a commercial society involves, in effect, no less a transformation than that of the natural and human substance of society into commodities</w:t>
      </w:r>
      <w:r w:rsidR="00AE3050">
        <w:t>…the dislocation caused by such devices must disjoint man’s relationships and threaten his natural habitat with annihilation</w:t>
      </w:r>
      <w:r w:rsidR="003B492C">
        <w:t>’</w:t>
      </w:r>
      <w:r w:rsidR="00AE3050">
        <w:t>.</w:t>
      </w:r>
      <w:r w:rsidR="003B492C">
        <w:rPr>
          <w:rStyle w:val="FootnoteReference"/>
        </w:rPr>
        <w:footnoteReference w:id="25"/>
      </w:r>
      <w:r w:rsidR="00AE3050">
        <w:t xml:space="preserve"> </w:t>
      </w:r>
      <w:r w:rsidR="003B6998">
        <w:t xml:space="preserve">Technology was a crucial factor </w:t>
      </w:r>
      <w:r w:rsidR="00F92592">
        <w:t xml:space="preserve">in Polanyi’s theory </w:t>
      </w:r>
      <w:r w:rsidR="003A09BD">
        <w:t xml:space="preserve">of </w:t>
      </w:r>
      <w:r w:rsidR="00885469">
        <w:t>the privatisation of land (and labour)</w:t>
      </w:r>
      <w:r w:rsidR="003A09BD">
        <w:t>. C</w:t>
      </w:r>
      <w:r w:rsidR="00AE3050">
        <w:t>ommercial society</w:t>
      </w:r>
      <w:r w:rsidR="00885469">
        <w:t xml:space="preserve"> prior to industrial society was</w:t>
      </w:r>
      <w:r w:rsidR="003A09BD" w:rsidRPr="003A09BD">
        <w:t xml:space="preserve"> consistent with </w:t>
      </w:r>
      <w:r w:rsidR="00885469">
        <w:t>Polanyi’s</w:t>
      </w:r>
      <w:r w:rsidR="003A09BD">
        <w:t xml:space="preserve"> idea of </w:t>
      </w:r>
      <w:r w:rsidR="003A09BD" w:rsidRPr="003A09BD">
        <w:t>embeddedness</w:t>
      </w:r>
      <w:r w:rsidR="000E74E9">
        <w:t>.</w:t>
      </w:r>
      <w:r w:rsidR="00885469">
        <w:rPr>
          <w:rStyle w:val="FootnoteReference"/>
        </w:rPr>
        <w:footnoteReference w:id="26"/>
      </w:r>
      <w:r w:rsidR="000E74E9">
        <w:t xml:space="preserve"> </w:t>
      </w:r>
      <w:r w:rsidR="003A09BD">
        <w:t>Only in industrial civilization did a commercial society threaten the fabric of society</w:t>
      </w:r>
      <w:r w:rsidR="000E74E9">
        <w:t xml:space="preserve">: </w:t>
      </w:r>
    </w:p>
    <w:p w14:paraId="69F0CB10" w14:textId="0350E4E7" w:rsidR="00AE3050" w:rsidRDefault="000E74E9" w:rsidP="00FC7DF0">
      <w:pPr>
        <w:ind w:left="720"/>
      </w:pPr>
      <w:r>
        <w:t>‘</w:t>
      </w:r>
      <w:r w:rsidRPr="000E74E9">
        <w:t>What appears to our generation as the problem of capitalism is, in reality, the far greater problem of an industrial civilization</w:t>
      </w:r>
      <w:r>
        <w:t>’</w:t>
      </w:r>
      <w:r>
        <w:rPr>
          <w:rStyle w:val="FootnoteReference"/>
        </w:rPr>
        <w:footnoteReference w:id="27"/>
      </w:r>
    </w:p>
    <w:p w14:paraId="1E22888F" w14:textId="575A4F34" w:rsidR="00707D33" w:rsidRDefault="00AE3050" w:rsidP="00AE3050">
      <w:r>
        <w:t>This understanding of the process of commodification</w:t>
      </w:r>
      <w:r w:rsidR="0064789F">
        <w:t xml:space="preserve"> </w:t>
      </w:r>
      <w:r w:rsidR="00E23F51">
        <w:t>is a</w:t>
      </w:r>
      <w:r>
        <w:t xml:space="preserve"> </w:t>
      </w:r>
      <w:r w:rsidR="00885469" w:rsidRPr="00885469">
        <w:t>prescient</w:t>
      </w:r>
      <w:r>
        <w:t xml:space="preserve"> warning</w:t>
      </w:r>
      <w:r w:rsidR="00E23F51">
        <w:t>.</w:t>
      </w:r>
      <w:r>
        <w:t xml:space="preserve"> It is not just the concentration of </w:t>
      </w:r>
      <w:r w:rsidR="003B6998">
        <w:t>property owned by the few which creates crises in inequality of wealth and power</w:t>
      </w:r>
      <w:r w:rsidR="00E23F51">
        <w:t>;</w:t>
      </w:r>
      <w:r w:rsidR="003B6998">
        <w:t xml:space="preserve"> the productive capacity of technology </w:t>
      </w:r>
      <w:r w:rsidR="00235190">
        <w:t xml:space="preserve">poses a </w:t>
      </w:r>
      <w:r w:rsidR="0064789F">
        <w:t>similar</w:t>
      </w:r>
      <w:r w:rsidR="00235190">
        <w:t xml:space="preserve"> danger</w:t>
      </w:r>
      <w:r w:rsidR="003B6998">
        <w:t>. Nationalisation or co-operative control of key industries, which no</w:t>
      </w:r>
      <w:r w:rsidR="00F92592">
        <w:t>w</w:t>
      </w:r>
      <w:r w:rsidR="003B6998">
        <w:t xml:space="preserve"> include such things as AI, may change the balance of power and enhance equality, but if society is </w:t>
      </w:r>
      <w:r w:rsidR="000C076D">
        <w:t>permeated with</w:t>
      </w:r>
      <w:r w:rsidR="003B6998">
        <w:t xml:space="preserve"> the logic of </w:t>
      </w:r>
      <w:r w:rsidR="00885469">
        <w:t>‘</w:t>
      </w:r>
      <w:r w:rsidR="003B6998">
        <w:t>the machine</w:t>
      </w:r>
      <w:r w:rsidR="00885469">
        <w:t>’</w:t>
      </w:r>
      <w:r w:rsidR="003B6998">
        <w:t xml:space="preserve">, </w:t>
      </w:r>
      <w:r w:rsidR="00235190">
        <w:t xml:space="preserve">making </w:t>
      </w:r>
      <w:r w:rsidR="003B6998">
        <w:t>efficiency and productiv</w:t>
      </w:r>
      <w:r w:rsidR="006D76F6">
        <w:t>ity paramount,</w:t>
      </w:r>
      <w:r w:rsidR="003B6998">
        <w:t xml:space="preserve"> </w:t>
      </w:r>
      <w:r w:rsidR="006D76F6">
        <w:t>technology can still</w:t>
      </w:r>
      <w:r w:rsidR="003B6998">
        <w:t xml:space="preserve"> </w:t>
      </w:r>
      <w:r w:rsidR="006D76F6" w:rsidRPr="006D76F6">
        <w:t xml:space="preserve">threaten </w:t>
      </w:r>
      <w:r w:rsidR="000C076D">
        <w:t>human</w:t>
      </w:r>
      <w:r w:rsidR="006D76F6" w:rsidRPr="006D76F6">
        <w:t xml:space="preserve"> annihilation</w:t>
      </w:r>
      <w:r w:rsidR="006D76F6">
        <w:t xml:space="preserve">. </w:t>
      </w:r>
      <w:r w:rsidR="00091764">
        <w:t xml:space="preserve">Climate break-down </w:t>
      </w:r>
      <w:r w:rsidR="000C076D">
        <w:t xml:space="preserve">is </w:t>
      </w:r>
      <w:r w:rsidR="0064789F">
        <w:t>an</w:t>
      </w:r>
      <w:r w:rsidR="000C076D">
        <w:t xml:space="preserve"> obvious example of</w:t>
      </w:r>
      <w:r w:rsidR="00091764">
        <w:t xml:space="preserve"> this </w:t>
      </w:r>
      <w:r w:rsidR="00707D33">
        <w:t>threat.</w:t>
      </w:r>
      <w:r w:rsidR="000C076D" w:rsidRPr="000C076D">
        <w:t xml:space="preserve"> The difficult, and necessary, task of reconstituting property rights might not be enough.</w:t>
      </w:r>
      <w:r w:rsidR="00235190">
        <w:t xml:space="preserve"> </w:t>
      </w:r>
      <w:r w:rsidR="00707D33">
        <w:t>T</w:t>
      </w:r>
      <w:r w:rsidR="000E74E9">
        <w:t xml:space="preserve">here is a </w:t>
      </w:r>
      <w:r w:rsidR="00235190">
        <w:t>dual</w:t>
      </w:r>
      <w:r w:rsidR="000E74E9">
        <w:t xml:space="preserve"> task for contemporary society</w:t>
      </w:r>
      <w:r w:rsidR="00091764">
        <w:t xml:space="preserve"> – </w:t>
      </w:r>
      <w:r w:rsidR="00707D33">
        <w:t xml:space="preserve">one that Polanyi articulated in 1947 </w:t>
      </w:r>
      <w:r w:rsidR="000C076D">
        <w:t>– challeng</w:t>
      </w:r>
      <w:r w:rsidR="00235190">
        <w:t>ing</w:t>
      </w:r>
      <w:r w:rsidR="00091764">
        <w:t xml:space="preserve"> the entrench</w:t>
      </w:r>
      <w:r w:rsidR="00235190">
        <w:t xml:space="preserve">ment </w:t>
      </w:r>
      <w:r w:rsidR="00091764">
        <w:t xml:space="preserve">of property inequality and </w:t>
      </w:r>
      <w:r w:rsidR="00707D33">
        <w:t xml:space="preserve">the logic of market society </w:t>
      </w:r>
      <w:r w:rsidR="00203FE8">
        <w:t>at the same time as challenging</w:t>
      </w:r>
      <w:r w:rsidR="00707D33">
        <w:t xml:space="preserve"> the totalitarian nature of technology</w:t>
      </w:r>
      <w:r w:rsidR="00F92592">
        <w:t xml:space="preserve"> and efficiency</w:t>
      </w:r>
      <w:r w:rsidR="00235190">
        <w:t xml:space="preserve">. </w:t>
      </w:r>
      <w:r w:rsidR="00BD4861">
        <w:t xml:space="preserve">We suggest that </w:t>
      </w:r>
      <w:r w:rsidR="00235190">
        <w:t xml:space="preserve">Polanyi’s words </w:t>
      </w:r>
      <w:r w:rsidR="00BD4861">
        <w:t>provide an excellent starting point for further enquiry</w:t>
      </w:r>
      <w:r w:rsidR="0064789F">
        <w:t>;</w:t>
      </w:r>
    </w:p>
    <w:p w14:paraId="0359F51B" w14:textId="67902B2B" w:rsidR="00AE3050" w:rsidRDefault="00707D33" w:rsidP="00707D33">
      <w:pPr>
        <w:ind w:left="720"/>
      </w:pPr>
      <w:r>
        <w:t>‘</w:t>
      </w:r>
      <w:r w:rsidRPr="00707D33">
        <w:t>Today, we are faced with the vital task of restoring the fullness of life to the person, even though this may mean a technologically less efficient society</w:t>
      </w:r>
      <w:r>
        <w:t>’</w:t>
      </w:r>
      <w:r>
        <w:rPr>
          <w:rStyle w:val="FootnoteReference"/>
        </w:rPr>
        <w:footnoteReference w:id="28"/>
      </w:r>
    </w:p>
    <w:p w14:paraId="704B2F77" w14:textId="72D17E8F" w:rsidR="00E96CCA" w:rsidRPr="00527BAF" w:rsidRDefault="00B22BEC">
      <w:pPr>
        <w:rPr>
          <w:i/>
          <w:iCs/>
        </w:rPr>
      </w:pPr>
      <w:r w:rsidRPr="00527BAF">
        <w:rPr>
          <w:i/>
          <w:iCs/>
        </w:rPr>
        <w:t>Empirical research</w:t>
      </w:r>
    </w:p>
    <w:p w14:paraId="18B310E4" w14:textId="1A35E07D" w:rsidR="00E04784" w:rsidRDefault="00E04784">
      <w:r>
        <w:t xml:space="preserve">Conventional approaches to property law </w:t>
      </w:r>
      <w:r w:rsidR="00CE36C9">
        <w:t xml:space="preserve">ignore, as Ireland </w:t>
      </w:r>
      <w:r w:rsidR="00693355">
        <w:t>argues</w:t>
      </w:r>
      <w:r w:rsidR="00CE36C9">
        <w:t xml:space="preserve">, the contestations at the heart of property conflicts. </w:t>
      </w:r>
      <w:r w:rsidR="007D59D9">
        <w:t xml:space="preserve">Empirical research has the potential </w:t>
      </w:r>
      <w:r w:rsidR="00EB5731">
        <w:t xml:space="preserve">to challenge </w:t>
      </w:r>
      <w:r w:rsidR="009F6D91">
        <w:t>accounts that suggest current property settlements are natural and inevitable</w:t>
      </w:r>
      <w:r w:rsidR="00E96CCA">
        <w:t xml:space="preserve"> and reveal the </w:t>
      </w:r>
      <w:r w:rsidR="005D3E50">
        <w:t xml:space="preserve">hidden politics. </w:t>
      </w:r>
    </w:p>
    <w:p w14:paraId="2447485C" w14:textId="7A15B38E" w:rsidR="007B2A40" w:rsidRDefault="00B2079E" w:rsidP="00B2079E">
      <w:r w:rsidRPr="00B2079E">
        <w:t>One of the examples Ireland mentions, as an alternative to the sole dominion of property conception, is the Chinese ‘household responsibility system (HRS)’</w:t>
      </w:r>
      <w:r w:rsidR="00D04587">
        <w:t>.</w:t>
      </w:r>
      <w:r w:rsidR="00D04587">
        <w:rPr>
          <w:rStyle w:val="FootnoteReference"/>
        </w:rPr>
        <w:footnoteReference w:id="29"/>
      </w:r>
      <w:r w:rsidRPr="00B2079E">
        <w:t xml:space="preserve"> This</w:t>
      </w:r>
      <w:r w:rsidR="003F73A4">
        <w:t>,</w:t>
      </w:r>
      <w:r w:rsidRPr="00B2079E">
        <w:t xml:space="preserve"> he </w:t>
      </w:r>
      <w:r w:rsidR="006C64D6">
        <w:t>suggests</w:t>
      </w:r>
      <w:r w:rsidR="003F73A4">
        <w:t>,</w:t>
      </w:r>
      <w:r w:rsidRPr="00B2079E">
        <w:t xml:space="preserve"> is an institution that </w:t>
      </w:r>
      <w:r w:rsidR="00832BDB">
        <w:t>disperses</w:t>
      </w:r>
      <w:r w:rsidRPr="00B2079E">
        <w:t xml:space="preserve"> the bundle of rights that make up ‘ownership’  between individuals and collective entities. It is a topic Ireland has co-written on previously as ‘post-capitalist property’ </w:t>
      </w:r>
      <w:r w:rsidR="006359FD">
        <w:rPr>
          <w:rStyle w:val="FootnoteReference"/>
        </w:rPr>
        <w:footnoteReference w:id="30"/>
      </w:r>
      <w:r w:rsidR="00235190">
        <w:t xml:space="preserve"> </w:t>
      </w:r>
      <w:r w:rsidRPr="00B2079E">
        <w:t>and something that has been argued</w:t>
      </w:r>
      <w:r w:rsidR="00E20E98">
        <w:t xml:space="preserve"> by Alcock</w:t>
      </w:r>
      <w:r w:rsidRPr="00B2079E">
        <w:t xml:space="preserve"> </w:t>
      </w:r>
      <w:r w:rsidR="00BD4225">
        <w:t xml:space="preserve">as providing </w:t>
      </w:r>
      <w:r w:rsidR="00F758D2">
        <w:t xml:space="preserve"> </w:t>
      </w:r>
      <w:r w:rsidR="00757D6A">
        <w:t xml:space="preserve">a </w:t>
      </w:r>
      <w:r w:rsidRPr="00B2079E">
        <w:t xml:space="preserve">potential </w:t>
      </w:r>
      <w:r w:rsidR="00757D6A">
        <w:t xml:space="preserve">foundation </w:t>
      </w:r>
      <w:r w:rsidRPr="00B2079E">
        <w:t>for a Polanyian future that would take the ‘fictious commodity’ of land outside of the market mechanism.</w:t>
      </w:r>
      <w:r w:rsidR="006C64D6">
        <w:rPr>
          <w:rStyle w:val="FootnoteReference"/>
        </w:rPr>
        <w:footnoteReference w:id="31"/>
      </w:r>
      <w:r w:rsidR="007B2A40" w:rsidRPr="007B2A40">
        <w:t xml:space="preserve"> </w:t>
      </w:r>
      <w:r w:rsidR="007E6FFA">
        <w:t>W</w:t>
      </w:r>
      <w:r w:rsidR="00BE5AE6">
        <w:t>e</w:t>
      </w:r>
      <w:r w:rsidR="007E6FFA">
        <w:t xml:space="preserve"> agree that the HRS </w:t>
      </w:r>
      <w:r w:rsidR="00D60248" w:rsidRPr="00B2079E">
        <w:t xml:space="preserve"> </w:t>
      </w:r>
      <w:r w:rsidR="00442DFA">
        <w:t>should be</w:t>
      </w:r>
      <w:r w:rsidR="00D60248" w:rsidRPr="00B2079E">
        <w:t xml:space="preserve"> brought to the attention of a wider audience</w:t>
      </w:r>
      <w:r w:rsidR="007362C4">
        <w:t xml:space="preserve"> and </w:t>
      </w:r>
      <w:r w:rsidR="00BE5AE6">
        <w:t xml:space="preserve">we would point to </w:t>
      </w:r>
      <w:r w:rsidR="007362C4">
        <w:t>other</w:t>
      </w:r>
      <w:r w:rsidR="00803642">
        <w:t xml:space="preserve"> </w:t>
      </w:r>
      <w:r w:rsidR="00EB6CC6">
        <w:t>interesting</w:t>
      </w:r>
      <w:r w:rsidR="00803642">
        <w:t xml:space="preserve"> </w:t>
      </w:r>
      <w:r w:rsidR="007362C4">
        <w:t xml:space="preserve"> </w:t>
      </w:r>
      <w:r w:rsidR="00803642">
        <w:t>legal form</w:t>
      </w:r>
      <w:r w:rsidR="00EB6CC6">
        <w:t>s</w:t>
      </w:r>
      <w:r w:rsidR="00803642">
        <w:t xml:space="preserve"> in China </w:t>
      </w:r>
      <w:r w:rsidR="00757D6A">
        <w:t xml:space="preserve">that </w:t>
      </w:r>
      <w:r w:rsidR="00235190">
        <w:t>include</w:t>
      </w:r>
      <w:r w:rsidR="00C73C75">
        <w:t>d</w:t>
      </w:r>
      <w:r w:rsidR="00235190">
        <w:t xml:space="preserve"> </w:t>
      </w:r>
      <w:r w:rsidR="00803642">
        <w:t xml:space="preserve">strong collective elements </w:t>
      </w:r>
      <w:r w:rsidR="00BE5AE6" w:rsidRPr="00BE5AE6">
        <w:t xml:space="preserve"> </w:t>
      </w:r>
      <w:r w:rsidR="00EC7420">
        <w:t xml:space="preserve">such as </w:t>
      </w:r>
      <w:r w:rsidR="00BE5AE6" w:rsidRPr="00BE5AE6">
        <w:t>Township and Village Enterprises (TVEs).</w:t>
      </w:r>
      <w:r w:rsidR="001F2FBA">
        <w:rPr>
          <w:rStyle w:val="FootnoteReference"/>
        </w:rPr>
        <w:footnoteReference w:id="32"/>
      </w:r>
      <w:r w:rsidR="00BE5AE6" w:rsidRPr="00BE5AE6">
        <w:t xml:space="preserve"> </w:t>
      </w:r>
      <w:r w:rsidR="00D60248">
        <w:t>However, while</w:t>
      </w:r>
      <w:r w:rsidR="007B2A40" w:rsidRPr="00B2079E">
        <w:t xml:space="preserve"> the HRS still exists </w:t>
      </w:r>
      <w:r w:rsidR="007B2A40" w:rsidRPr="00B2079E">
        <w:lastRenderedPageBreak/>
        <w:t>in China</w:t>
      </w:r>
      <w:r w:rsidR="00AC0EFF">
        <w:t>,</w:t>
      </w:r>
      <w:r w:rsidR="007B2A40" w:rsidRPr="00B2079E">
        <w:t xml:space="preserve"> significant reforms, as well as land grabs, have undermined its potential to secure livelihood</w:t>
      </w:r>
      <w:r w:rsidR="00832CD0">
        <w:t>s</w:t>
      </w:r>
      <w:r w:rsidR="007B2A40" w:rsidRPr="00B2079E">
        <w:t xml:space="preserve"> outside of the market.</w:t>
      </w:r>
      <w:r w:rsidR="00F91EE8">
        <w:rPr>
          <w:rStyle w:val="FootnoteReference"/>
        </w:rPr>
        <w:footnoteReference w:id="33"/>
      </w:r>
      <w:r w:rsidR="007B2A40" w:rsidRPr="00B2079E">
        <w:t xml:space="preserve"> </w:t>
      </w:r>
      <w:r w:rsidR="00AD3DE7">
        <w:t xml:space="preserve">Rather than </w:t>
      </w:r>
      <w:r w:rsidR="00AD3DE7" w:rsidRPr="00AD3DE7">
        <w:t xml:space="preserve">‘post-capitalist’ </w:t>
      </w:r>
      <w:r w:rsidR="00AD3DE7">
        <w:t>the HRS, in many cases, has become a transitional institution helping to bridge the gap between s</w:t>
      </w:r>
      <w:r w:rsidR="00AD3DE7" w:rsidRPr="00AD3DE7">
        <w:t xml:space="preserve">tate-socialism </w:t>
      </w:r>
      <w:r w:rsidR="00AD3DE7">
        <w:t>and</w:t>
      </w:r>
      <w:r w:rsidR="00AD3DE7" w:rsidRPr="00AD3DE7">
        <w:t xml:space="preserve"> state-capitalis</w:t>
      </w:r>
      <w:r w:rsidR="00AD3DE7">
        <w:t>m.</w:t>
      </w:r>
      <w:r w:rsidR="00AD3DE7" w:rsidRPr="00AD3DE7">
        <w:t xml:space="preserve"> </w:t>
      </w:r>
      <w:r w:rsidR="007B2A40" w:rsidRPr="00B2079E">
        <w:t xml:space="preserve">Empirical and especially anthropological research is important </w:t>
      </w:r>
      <w:r w:rsidR="00AC0EFF">
        <w:t xml:space="preserve">not solely </w:t>
      </w:r>
      <w:r w:rsidR="00C15490">
        <w:t xml:space="preserve">therefore </w:t>
      </w:r>
      <w:r w:rsidR="00AC0EFF">
        <w:t xml:space="preserve">to identify alternative property institutions but also </w:t>
      </w:r>
      <w:r w:rsidR="007B2A40" w:rsidRPr="00B2079E">
        <w:t xml:space="preserve">to understand how to protect these institutional formations with post-capitalist </w:t>
      </w:r>
      <w:r w:rsidR="00B22BEC" w:rsidRPr="00B2079E">
        <w:t>potential,</w:t>
      </w:r>
      <w:r w:rsidR="007B2A40" w:rsidRPr="00B2079E">
        <w:t xml:space="preserve"> so they don’t succumb to capitalist countermoves. In China academic and social organisations </w:t>
      </w:r>
      <w:r w:rsidR="00757D6A">
        <w:t xml:space="preserve">have </w:t>
      </w:r>
      <w:r w:rsidR="007B2A40" w:rsidRPr="00B2079E">
        <w:t xml:space="preserve">mobilised to protect the complex institutional framework in rural China including the HRS. </w:t>
      </w:r>
      <w:r w:rsidR="003020FC">
        <w:rPr>
          <w:rStyle w:val="FootnoteReference"/>
        </w:rPr>
        <w:footnoteReference w:id="34"/>
      </w:r>
      <w:r w:rsidR="00757D6A">
        <w:t xml:space="preserve"> </w:t>
      </w:r>
      <w:r w:rsidR="00D13043" w:rsidRPr="00B2079E">
        <w:t xml:space="preserve">However </w:t>
      </w:r>
      <w:r w:rsidR="00D13043">
        <w:t>these</w:t>
      </w:r>
      <w:r w:rsidR="007B2A40" w:rsidRPr="00B2079E">
        <w:t xml:space="preserve"> movements have been argued to have lost </w:t>
      </w:r>
      <w:r w:rsidR="00757D6A">
        <w:t xml:space="preserve">their </w:t>
      </w:r>
      <w:r w:rsidR="007B2A40" w:rsidRPr="00B2079E">
        <w:t>radical potential in the face of political constraints.</w:t>
      </w:r>
      <w:r w:rsidR="003020FC">
        <w:rPr>
          <w:rStyle w:val="FootnoteReference"/>
        </w:rPr>
        <w:footnoteReference w:id="35"/>
      </w:r>
    </w:p>
    <w:p w14:paraId="3E8E219E" w14:textId="4C422104" w:rsidR="00B2079E" w:rsidRDefault="00B2079E">
      <w:r w:rsidRPr="00B2079E">
        <w:t xml:space="preserve">Political constraints for genuine alternatives </w:t>
      </w:r>
      <w:r w:rsidR="00C66E44" w:rsidRPr="00B2079E">
        <w:t>are not</w:t>
      </w:r>
      <w:r w:rsidRPr="00B2079E">
        <w:t xml:space="preserve"> reserved </w:t>
      </w:r>
      <w:r w:rsidR="006E65C5">
        <w:t>to</w:t>
      </w:r>
      <w:r w:rsidR="006E65C5" w:rsidRPr="00B2079E">
        <w:t xml:space="preserve"> </w:t>
      </w:r>
      <w:r w:rsidRPr="00B2079E">
        <w:t>China</w:t>
      </w:r>
      <w:r w:rsidR="00235190">
        <w:t xml:space="preserve">, and Ireland makes clear the necessity  </w:t>
      </w:r>
      <w:r w:rsidR="00B22BEC">
        <w:t>for work which reveals what lies behind the property status quo</w:t>
      </w:r>
      <w:r w:rsidR="00BB335C">
        <w:t xml:space="preserve"> that is taken for granted in the West</w:t>
      </w:r>
      <w:r w:rsidR="00B22BEC">
        <w:t xml:space="preserve">. Socio-legal scholarship, such as Cowan et </w:t>
      </w:r>
      <w:proofErr w:type="spellStart"/>
      <w:r w:rsidR="00B22BEC">
        <w:t>al’s</w:t>
      </w:r>
      <w:proofErr w:type="spellEnd"/>
      <w:r w:rsidR="00B22BEC">
        <w:t xml:space="preserve"> work on shared ownership, </w:t>
      </w:r>
      <w:r w:rsidR="00BB335C">
        <w:rPr>
          <w:rStyle w:val="FootnoteReference"/>
        </w:rPr>
        <w:footnoteReference w:id="36"/>
      </w:r>
      <w:r w:rsidR="00B22BEC">
        <w:t xml:space="preserve">Bright’s work on </w:t>
      </w:r>
      <w:r w:rsidR="00BB335C">
        <w:t>leasehold</w:t>
      </w:r>
      <w:r w:rsidR="00901F65">
        <w:rPr>
          <w:rStyle w:val="FootnoteReference"/>
        </w:rPr>
        <w:footnoteReference w:id="37"/>
      </w:r>
      <w:r w:rsidR="00B22BEC">
        <w:t xml:space="preserve"> and Whitehouse’s work on </w:t>
      </w:r>
      <w:r w:rsidR="00BB335C">
        <w:t>housing debt during Covid-19</w:t>
      </w:r>
      <w:r w:rsidR="00BB335C">
        <w:rPr>
          <w:rStyle w:val="FootnoteReference"/>
        </w:rPr>
        <w:footnoteReference w:id="38"/>
      </w:r>
      <w:r w:rsidR="00B22BEC">
        <w:t xml:space="preserve"> </w:t>
      </w:r>
      <w:r w:rsidR="00BB335C">
        <w:t xml:space="preserve">are all useful </w:t>
      </w:r>
      <w:r w:rsidR="00C66E44">
        <w:t xml:space="preserve">in </w:t>
      </w:r>
      <w:r w:rsidR="00BB335C">
        <w:t>uncover</w:t>
      </w:r>
      <w:r w:rsidR="00C66E44">
        <w:t>ing</w:t>
      </w:r>
      <w:r w:rsidR="00901F65">
        <w:t xml:space="preserve"> the ways in which property rights have been constructed and maintained. </w:t>
      </w:r>
      <w:r w:rsidR="00BB335C">
        <w:t xml:space="preserve"> </w:t>
      </w:r>
      <w:r w:rsidR="00D13043">
        <w:t>What</w:t>
      </w:r>
      <w:r w:rsidR="00BB335C">
        <w:t xml:space="preserve"> Ireland’s monograph clarifies for us </w:t>
      </w:r>
      <w:r w:rsidR="00A059FC">
        <w:t>is</w:t>
      </w:r>
      <w:r w:rsidR="00D13043">
        <w:t xml:space="preserve"> that empirical work should become standard and not exceptional in the study of property. </w:t>
      </w:r>
      <w:r w:rsidR="00901F65">
        <w:t xml:space="preserve"> </w:t>
      </w:r>
    </w:p>
    <w:p w14:paraId="5398E81D" w14:textId="385EC86E" w:rsidR="0085171E" w:rsidRPr="00527BAF" w:rsidRDefault="00527BAF">
      <w:pPr>
        <w:rPr>
          <w:i/>
          <w:iCs/>
        </w:rPr>
      </w:pPr>
      <w:r w:rsidRPr="00527BAF">
        <w:rPr>
          <w:i/>
          <w:iCs/>
        </w:rPr>
        <w:t>Pedagogy</w:t>
      </w:r>
    </w:p>
    <w:p w14:paraId="5B66EA79" w14:textId="5D65D173" w:rsidR="007362C4" w:rsidRPr="007362C4" w:rsidRDefault="00A059FC" w:rsidP="007362C4">
      <w:r>
        <w:t xml:space="preserve">It would be wrong to conclude our review of Ireland’s </w:t>
      </w:r>
      <w:r w:rsidR="006E65C5">
        <w:t>monograph</w:t>
      </w:r>
      <w:r>
        <w:t xml:space="preserve"> without some reflection on pedagogy, bearing in mind the importan</w:t>
      </w:r>
      <w:r w:rsidR="006E65C5">
        <w:t>ce</w:t>
      </w:r>
      <w:r>
        <w:t xml:space="preserve"> that Ireland has attached throughout his career to critical legal education. </w:t>
      </w:r>
      <w:r w:rsidR="006E65C5">
        <w:t xml:space="preserve">Teaching students basic black letter rules at the same time as a critical awareness of the social construction of those rules has proved problematic in the core legal </w:t>
      </w:r>
      <w:r w:rsidR="00527BAF">
        <w:t>subjects such as land law</w:t>
      </w:r>
      <w:r w:rsidR="009652F6">
        <w:t xml:space="preserve"> which are dominated by professional requirements. </w:t>
      </w:r>
      <w:r w:rsidR="006E65C5">
        <w:t xml:space="preserve">  </w:t>
      </w:r>
      <w:r w:rsidR="00527BAF">
        <w:t>In addition, the</w:t>
      </w:r>
      <w:r w:rsidR="006E65C5">
        <w:t xml:space="preserve"> almost universal separation of land law from property law assists in </w:t>
      </w:r>
      <w:r w:rsidR="009652F6">
        <w:t xml:space="preserve">the </w:t>
      </w:r>
      <w:r w:rsidR="006E65C5">
        <w:t>masking</w:t>
      </w:r>
      <w:r w:rsidR="009652F6">
        <w:t xml:space="preserve"> of the </w:t>
      </w:r>
      <w:r w:rsidR="006E65C5">
        <w:t xml:space="preserve"> </w:t>
      </w:r>
      <w:r w:rsidR="006E65C5" w:rsidRPr="006E65C5">
        <w:t xml:space="preserve"> differences between tangible and intangible assets and between </w:t>
      </w:r>
      <w:r w:rsidR="009652F6">
        <w:t>personal</w:t>
      </w:r>
      <w:r w:rsidR="006E65C5" w:rsidRPr="006E65C5">
        <w:t xml:space="preserve"> property and property in productive resources</w:t>
      </w:r>
      <w:r w:rsidR="00527BAF">
        <w:t xml:space="preserve"> which ha</w:t>
      </w:r>
      <w:r w:rsidR="009652F6">
        <w:t>s</w:t>
      </w:r>
      <w:r w:rsidR="00527BAF">
        <w:t xml:space="preserve"> allowed property’s excesses to go unchecked. </w:t>
      </w:r>
      <w:r w:rsidR="006E65C5">
        <w:t xml:space="preserve"> And even within land law itself </w:t>
      </w:r>
      <w:r w:rsidR="00527BAF">
        <w:t xml:space="preserve">the coverage of non-contractual property rights tends to be limited to the common intention constructive trust and promissory estoppel, </w:t>
      </w:r>
      <w:r w:rsidR="00D13043">
        <w:t>omitting</w:t>
      </w:r>
      <w:r w:rsidR="00527BAF">
        <w:t xml:space="preserve"> community based rights. The result is that the Blackstonian model makes sense to students who are given no </w:t>
      </w:r>
      <w:r w:rsidR="00D13043">
        <w:t>alternative so</w:t>
      </w:r>
      <w:r w:rsidR="00C66E44">
        <w:t xml:space="preserve"> that they are not outraged by the outcomes of cases like</w:t>
      </w:r>
      <w:r w:rsidR="00D13043">
        <w:t xml:space="preserve"> </w:t>
      </w:r>
      <w:r w:rsidR="00D13043" w:rsidRPr="00D13043">
        <w:rPr>
          <w:i/>
          <w:iCs/>
        </w:rPr>
        <w:t>Scott v Southern Pacific Mortgages Ltd</w:t>
      </w:r>
      <w:r w:rsidR="00D13043" w:rsidRPr="00D13043">
        <w:rPr>
          <w:rFonts w:ascii="__Open_Sans_Fallback_9c011f" w:hAnsi="__Open_Sans_Fallback_9c011f"/>
          <w:color w:val="403D42"/>
          <w:sz w:val="29"/>
          <w:szCs w:val="29"/>
          <w:shd w:val="clear" w:color="auto" w:fill="FFFFFF"/>
        </w:rPr>
        <w:t xml:space="preserve"> </w:t>
      </w:r>
      <w:r w:rsidR="00D13043" w:rsidRPr="00D13043">
        <w:t>[2014] UKSC 52</w:t>
      </w:r>
      <w:r w:rsidR="00D13043">
        <w:t xml:space="preserve">. </w:t>
      </w:r>
      <w:r w:rsidR="00C66E44">
        <w:t xml:space="preserve"> </w:t>
      </w:r>
      <w:r w:rsidR="00527BAF">
        <w:t>However the increasing unlikelihood of young people acquiring property, together with the calls for the decolonising of the curriculum may make the conventional approach to teaching property law unstable</w:t>
      </w:r>
      <w:r w:rsidR="009652F6">
        <w:t>. Perhaps a place to start is to include the</w:t>
      </w:r>
      <w:r w:rsidR="007362C4" w:rsidRPr="007362C4">
        <w:t xml:space="preserve"> </w:t>
      </w:r>
      <w:r w:rsidR="007362C4" w:rsidRPr="009652F6">
        <w:rPr>
          <w:i/>
          <w:iCs/>
        </w:rPr>
        <w:t>Land for the Many</w:t>
      </w:r>
      <w:r w:rsidR="007362C4" w:rsidRPr="007362C4">
        <w:t xml:space="preserve"> report</w:t>
      </w:r>
      <w:r w:rsidR="009652F6">
        <w:t xml:space="preserve"> published by the Labour Party in 2019 </w:t>
      </w:r>
      <w:r w:rsidR="009652F6">
        <w:rPr>
          <w:rStyle w:val="FootnoteReference"/>
        </w:rPr>
        <w:footnoteReference w:id="39"/>
      </w:r>
      <w:r w:rsidR="007362C4" w:rsidRPr="007362C4">
        <w:t xml:space="preserve"> </w:t>
      </w:r>
      <w:r w:rsidR="009652F6">
        <w:t xml:space="preserve">together with a discussion about why its proposals were so unpopular with the press. </w:t>
      </w:r>
      <w:r w:rsidR="00C66E44">
        <w:t xml:space="preserve">Unless property lawyers </w:t>
      </w:r>
      <w:r w:rsidR="00D13043">
        <w:t>are prepared</w:t>
      </w:r>
      <w:r w:rsidR="00C66E44">
        <w:t xml:space="preserve"> to </w:t>
      </w:r>
      <w:r w:rsidR="00D13043">
        <w:t xml:space="preserve">expose the problems of property law and </w:t>
      </w:r>
      <w:r w:rsidR="00C66E44">
        <w:t xml:space="preserve">explore </w:t>
      </w:r>
      <w:r w:rsidR="00D13043">
        <w:t xml:space="preserve">possible </w:t>
      </w:r>
      <w:r w:rsidR="00C66E44">
        <w:t>alternatives</w:t>
      </w:r>
      <w:r w:rsidR="001B4FB7">
        <w:t xml:space="preserve"> </w:t>
      </w:r>
      <w:r w:rsidR="00D13043">
        <w:t xml:space="preserve">they risk </w:t>
      </w:r>
      <w:r w:rsidR="00D13043">
        <w:lastRenderedPageBreak/>
        <w:t xml:space="preserve">being irrelevant in the future of property, or worse, being recognised as complicit in the destructive societal consequences of the current property status quo. </w:t>
      </w:r>
    </w:p>
    <w:p w14:paraId="68EA1C3D" w14:textId="77777777" w:rsidR="00500811" w:rsidRDefault="00500811"/>
    <w:sectPr w:rsidR="005008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3E1E2" w14:textId="77777777" w:rsidR="00E25CD7" w:rsidRDefault="00E25CD7" w:rsidP="00B83F76">
      <w:pPr>
        <w:spacing w:after="0" w:line="240" w:lineRule="auto"/>
      </w:pPr>
      <w:r>
        <w:separator/>
      </w:r>
    </w:p>
  </w:endnote>
  <w:endnote w:type="continuationSeparator" w:id="0">
    <w:p w14:paraId="7B090DFD" w14:textId="77777777" w:rsidR="00E25CD7" w:rsidRDefault="00E25CD7" w:rsidP="00B8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Noto Sans">
    <w:charset w:val="00"/>
    <w:family w:val="swiss"/>
    <w:pitch w:val="variable"/>
    <w:sig w:usb0="E00082FF" w:usb1="400078FF" w:usb2="00000021" w:usb3="00000000" w:csb0="0000019F" w:csb1="00000000"/>
  </w:font>
  <w:font w:name="__Open_Sans_Fallback_9c011f">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EE681" w14:textId="77777777" w:rsidR="00E25CD7" w:rsidRDefault="00E25CD7" w:rsidP="00B83F76">
      <w:pPr>
        <w:spacing w:after="0" w:line="240" w:lineRule="auto"/>
      </w:pPr>
      <w:r>
        <w:separator/>
      </w:r>
    </w:p>
  </w:footnote>
  <w:footnote w:type="continuationSeparator" w:id="0">
    <w:p w14:paraId="3C9849EE" w14:textId="77777777" w:rsidR="00E25CD7" w:rsidRDefault="00E25CD7" w:rsidP="00B83F76">
      <w:pPr>
        <w:spacing w:after="0" w:line="240" w:lineRule="auto"/>
      </w:pPr>
      <w:r>
        <w:continuationSeparator/>
      </w:r>
    </w:p>
  </w:footnote>
  <w:footnote w:id="1">
    <w:p w14:paraId="16FB3D3B" w14:textId="78352546" w:rsidR="006B19A4" w:rsidRDefault="00CE36C9">
      <w:pPr>
        <w:pStyle w:val="FootnoteText"/>
      </w:pPr>
      <w:r>
        <w:rPr>
          <w:rStyle w:val="FootnoteReference"/>
        </w:rPr>
        <w:footnoteRef/>
      </w:r>
      <w:r>
        <w:t xml:space="preserve"> </w:t>
      </w:r>
      <w:r w:rsidR="006B19A4">
        <w:t>Tsinghua University</w:t>
      </w:r>
      <w:r>
        <w:t>,</w:t>
      </w:r>
      <w:r w:rsidR="006B19A4">
        <w:t xml:space="preserve"> </w:t>
      </w:r>
      <w:proofErr w:type="spellStart"/>
      <w:r w:rsidR="006B19A4">
        <w:t>Haidian</w:t>
      </w:r>
      <w:proofErr w:type="spellEnd"/>
      <w:r w:rsidR="006B19A4">
        <w:t xml:space="preserve"> District, Beijing, </w:t>
      </w:r>
      <w:r w:rsidR="006B19A4" w:rsidRPr="006B19A4">
        <w:t>100084</w:t>
      </w:r>
      <w:r w:rsidR="006B19A4">
        <w:t xml:space="preserve"> </w:t>
      </w:r>
    </w:p>
    <w:p w14:paraId="5BCB1863" w14:textId="3F23905D" w:rsidR="00CE36C9" w:rsidRDefault="001E05DF">
      <w:pPr>
        <w:pStyle w:val="FootnoteText"/>
      </w:pPr>
      <w:r>
        <w:t xml:space="preserve">   </w:t>
      </w:r>
      <w:r w:rsidR="006B19A4">
        <w:t>rowanalcock@gmail.com</w:t>
      </w:r>
    </w:p>
  </w:footnote>
  <w:footnote w:id="2">
    <w:p w14:paraId="7A87A555" w14:textId="29E3D71B" w:rsidR="00CE36C9" w:rsidRDefault="00CE36C9">
      <w:pPr>
        <w:pStyle w:val="FootnoteText"/>
      </w:pPr>
      <w:r>
        <w:rPr>
          <w:rStyle w:val="FootnoteReference"/>
        </w:rPr>
        <w:footnoteRef/>
      </w:r>
      <w:r>
        <w:t xml:space="preserve"> University of Southampton </w:t>
      </w:r>
      <w:r w:rsidR="00B91E36">
        <w:t xml:space="preserve">University Road </w:t>
      </w:r>
      <w:r>
        <w:t xml:space="preserve"> Highfield Southampton  </w:t>
      </w:r>
      <w:r w:rsidR="00B91E36" w:rsidRPr="00B91E36">
        <w:t>SO17 1BJ</w:t>
      </w:r>
    </w:p>
    <w:p w14:paraId="4BEEB272" w14:textId="24BFF735" w:rsidR="00CE36C9" w:rsidRDefault="00B91E36">
      <w:pPr>
        <w:pStyle w:val="FootnoteText"/>
      </w:pPr>
      <w:r>
        <w:t xml:space="preserve">   </w:t>
      </w:r>
      <w:r w:rsidR="00CE36C9">
        <w:t>h.p.carr@soton.ac.uk</w:t>
      </w:r>
    </w:p>
  </w:footnote>
  <w:footnote w:id="3">
    <w:p w14:paraId="3C88B29C" w14:textId="737B8245" w:rsidR="00DF2506" w:rsidRDefault="00DF2506">
      <w:pPr>
        <w:pStyle w:val="FootnoteText"/>
      </w:pPr>
      <w:r>
        <w:rPr>
          <w:rStyle w:val="FootnoteReference"/>
        </w:rPr>
        <w:footnoteRef/>
      </w:r>
      <w:r w:rsidR="002A75A1">
        <w:t xml:space="preserve"> </w:t>
      </w:r>
      <w:bookmarkStart w:id="0" w:name="_Hlk186533908"/>
      <w:r w:rsidR="001E05DF" w:rsidRPr="008011D3">
        <w:t xml:space="preserve">Ireland, </w:t>
      </w:r>
      <w:proofErr w:type="spellStart"/>
      <w:r w:rsidR="001E05DF" w:rsidRPr="008011D3">
        <w:t>op.cit</w:t>
      </w:r>
      <w:proofErr w:type="spellEnd"/>
      <w:r w:rsidR="008011D3" w:rsidRPr="008011D3">
        <w:t>., n.3 p.</w:t>
      </w:r>
      <w:r>
        <w:t xml:space="preserve">16. </w:t>
      </w:r>
      <w:bookmarkEnd w:id="0"/>
    </w:p>
  </w:footnote>
  <w:footnote w:id="4">
    <w:p w14:paraId="6CA977C2" w14:textId="5BDAF7AE" w:rsidR="0055724E" w:rsidRDefault="0055724E">
      <w:pPr>
        <w:pStyle w:val="FootnoteText"/>
      </w:pPr>
      <w:r>
        <w:rPr>
          <w:rStyle w:val="FootnoteReference"/>
        </w:rPr>
        <w:footnoteRef/>
      </w:r>
      <w:r>
        <w:t xml:space="preserve"> </w:t>
      </w:r>
      <w:bookmarkStart w:id="1" w:name="_Hlk186125431"/>
      <w:bookmarkStart w:id="2" w:name="_Hlk186533942"/>
      <w:bookmarkStart w:id="3" w:name="_Hlk186535716"/>
      <w:r w:rsidR="001E05DF">
        <w:t xml:space="preserve">Ireland, </w:t>
      </w:r>
      <w:proofErr w:type="spellStart"/>
      <w:r w:rsidR="001E05DF">
        <w:t>op.cit</w:t>
      </w:r>
      <w:proofErr w:type="spellEnd"/>
      <w:r w:rsidR="002A75A1">
        <w:t>.</w:t>
      </w:r>
      <w:r w:rsidR="00C47822">
        <w:t>, n.</w:t>
      </w:r>
      <w:r w:rsidR="00CE36C9">
        <w:t>3</w:t>
      </w:r>
      <w:r>
        <w:t xml:space="preserve"> </w:t>
      </w:r>
      <w:r w:rsidR="00C47822">
        <w:t>p.</w:t>
      </w:r>
      <w:r>
        <w:t xml:space="preserve"> </w:t>
      </w:r>
      <w:bookmarkEnd w:id="1"/>
      <w:r>
        <w:t>33</w:t>
      </w:r>
      <w:bookmarkEnd w:id="2"/>
    </w:p>
    <w:bookmarkEnd w:id="3"/>
  </w:footnote>
  <w:footnote w:id="5">
    <w:p w14:paraId="7F1D25DF" w14:textId="7A5CB708" w:rsidR="0055724E" w:rsidRDefault="0055724E">
      <w:pPr>
        <w:pStyle w:val="FootnoteText"/>
      </w:pPr>
      <w:r>
        <w:rPr>
          <w:rStyle w:val="FootnoteReference"/>
        </w:rPr>
        <w:footnoteRef/>
      </w:r>
      <w:r>
        <w:t xml:space="preserve"> </w:t>
      </w:r>
      <w:r w:rsidR="001E05DF" w:rsidRPr="00C47822">
        <w:t xml:space="preserve">Ireland, </w:t>
      </w:r>
      <w:proofErr w:type="spellStart"/>
      <w:r w:rsidR="001E05DF" w:rsidRPr="00C47822">
        <w:t>op.cit</w:t>
      </w:r>
      <w:proofErr w:type="spellEnd"/>
      <w:r w:rsidR="00C47822" w:rsidRPr="00C47822">
        <w:t>., n.</w:t>
      </w:r>
      <w:r w:rsidR="00CE36C9">
        <w:t>3</w:t>
      </w:r>
      <w:r w:rsidR="00C47822" w:rsidRPr="00C47822">
        <w:t xml:space="preserve"> p. </w:t>
      </w:r>
      <w:r>
        <w:t>38</w:t>
      </w:r>
    </w:p>
  </w:footnote>
  <w:footnote w:id="6">
    <w:p w14:paraId="590046F9" w14:textId="51E6B287" w:rsidR="0055724E" w:rsidRDefault="0055724E">
      <w:pPr>
        <w:pStyle w:val="FootnoteText"/>
      </w:pPr>
      <w:r>
        <w:rPr>
          <w:rStyle w:val="FootnoteReference"/>
        </w:rPr>
        <w:footnoteRef/>
      </w:r>
      <w:r>
        <w:t xml:space="preserve"> </w:t>
      </w:r>
      <w:r w:rsidR="001E05DF" w:rsidRPr="00C47822">
        <w:t xml:space="preserve">Ireland, </w:t>
      </w:r>
      <w:proofErr w:type="spellStart"/>
      <w:r w:rsidR="001E05DF" w:rsidRPr="00C47822">
        <w:t>op.cit</w:t>
      </w:r>
      <w:proofErr w:type="spellEnd"/>
      <w:r w:rsidR="00C47822" w:rsidRPr="00C47822">
        <w:t>., n.</w:t>
      </w:r>
      <w:r w:rsidR="00CE36C9">
        <w:t>3</w:t>
      </w:r>
      <w:r w:rsidR="00C47822" w:rsidRPr="00C47822">
        <w:t xml:space="preserve"> p. </w:t>
      </w:r>
      <w:r>
        <w:t>39</w:t>
      </w:r>
    </w:p>
  </w:footnote>
  <w:footnote w:id="7">
    <w:p w14:paraId="30329D38" w14:textId="1A5BD25E" w:rsidR="00AF26AC" w:rsidRDefault="00AF26AC">
      <w:pPr>
        <w:pStyle w:val="FootnoteText"/>
      </w:pPr>
      <w:r>
        <w:rPr>
          <w:rStyle w:val="FootnoteReference"/>
        </w:rPr>
        <w:footnoteRef/>
      </w:r>
      <w:r>
        <w:t xml:space="preserve"> </w:t>
      </w:r>
      <w:r w:rsidR="00C47822" w:rsidRPr="00C47822">
        <w:t xml:space="preserve">Ireland, </w:t>
      </w:r>
      <w:proofErr w:type="spellStart"/>
      <w:r w:rsidR="00C47822" w:rsidRPr="00C47822">
        <w:t>op.cit</w:t>
      </w:r>
      <w:proofErr w:type="spellEnd"/>
      <w:r w:rsidR="00C47822" w:rsidRPr="00C47822">
        <w:t>., n.</w:t>
      </w:r>
      <w:r w:rsidR="00CE36C9">
        <w:t>3</w:t>
      </w:r>
      <w:r w:rsidR="00C47822" w:rsidRPr="00C47822">
        <w:t xml:space="preserve"> p. </w:t>
      </w:r>
      <w:r>
        <w:t>48</w:t>
      </w:r>
    </w:p>
  </w:footnote>
  <w:footnote w:id="8">
    <w:p w14:paraId="2AA7CB72" w14:textId="4FA21426" w:rsidR="00AF26AC" w:rsidRDefault="00AF26AC">
      <w:pPr>
        <w:pStyle w:val="FootnoteText"/>
      </w:pPr>
      <w:r>
        <w:rPr>
          <w:rStyle w:val="FootnoteReference"/>
        </w:rPr>
        <w:footnoteRef/>
      </w:r>
      <w:r>
        <w:t xml:space="preserve"> </w:t>
      </w:r>
      <w:bookmarkStart w:id="4" w:name="_Hlk186550672"/>
      <w:r w:rsidR="00C47822" w:rsidRPr="00C47822">
        <w:t xml:space="preserve">Ireland, </w:t>
      </w:r>
      <w:proofErr w:type="spellStart"/>
      <w:r w:rsidR="00C47822" w:rsidRPr="00C47822">
        <w:t>op.cit</w:t>
      </w:r>
      <w:proofErr w:type="spellEnd"/>
      <w:r w:rsidR="00C47822" w:rsidRPr="00C47822">
        <w:t>., n.</w:t>
      </w:r>
      <w:r w:rsidR="00CE36C9">
        <w:t>3</w:t>
      </w:r>
      <w:r w:rsidR="00C47822" w:rsidRPr="00C47822">
        <w:t xml:space="preserve"> p. </w:t>
      </w:r>
      <w:r w:rsidR="002A75A1">
        <w:t>55</w:t>
      </w:r>
      <w:bookmarkEnd w:id="4"/>
    </w:p>
  </w:footnote>
  <w:footnote w:id="9">
    <w:p w14:paraId="5E16CDA6" w14:textId="17EBD1E5" w:rsidR="00D60FD1" w:rsidRDefault="00D60FD1">
      <w:pPr>
        <w:pStyle w:val="FootnoteText"/>
      </w:pPr>
      <w:r>
        <w:rPr>
          <w:rStyle w:val="FootnoteReference"/>
        </w:rPr>
        <w:footnoteRef/>
      </w:r>
      <w:r>
        <w:t xml:space="preserve"> </w:t>
      </w:r>
      <w:r w:rsidRPr="00D60FD1">
        <w:t xml:space="preserve">Ireland, </w:t>
      </w:r>
      <w:proofErr w:type="spellStart"/>
      <w:r w:rsidRPr="00D60FD1">
        <w:t>op.cit</w:t>
      </w:r>
      <w:proofErr w:type="spellEnd"/>
      <w:r w:rsidRPr="00D60FD1">
        <w:t xml:space="preserve">., n.3 p. </w:t>
      </w:r>
      <w:r>
        <w:t>111</w:t>
      </w:r>
    </w:p>
  </w:footnote>
  <w:footnote w:id="10">
    <w:p w14:paraId="40784F3B" w14:textId="4CDFFABC" w:rsidR="00722546" w:rsidRDefault="00722546">
      <w:pPr>
        <w:pStyle w:val="FootnoteText"/>
      </w:pPr>
      <w:r>
        <w:rPr>
          <w:rStyle w:val="FootnoteReference"/>
        </w:rPr>
        <w:footnoteRef/>
      </w:r>
      <w:r>
        <w:t xml:space="preserve"> </w:t>
      </w:r>
      <w:r w:rsidRPr="00722546">
        <w:t xml:space="preserve">Ireland, </w:t>
      </w:r>
      <w:proofErr w:type="spellStart"/>
      <w:r w:rsidRPr="00722546">
        <w:t>op.cit</w:t>
      </w:r>
      <w:proofErr w:type="spellEnd"/>
      <w:r w:rsidRPr="00722546">
        <w:t xml:space="preserve">., n.3 p. </w:t>
      </w:r>
      <w:r>
        <w:t>115</w:t>
      </w:r>
    </w:p>
  </w:footnote>
  <w:footnote w:id="11">
    <w:p w14:paraId="11DF42E9" w14:textId="27D35932" w:rsidR="00553232" w:rsidRDefault="00553232">
      <w:pPr>
        <w:pStyle w:val="FootnoteText"/>
      </w:pPr>
      <w:r>
        <w:rPr>
          <w:rStyle w:val="FootnoteReference"/>
        </w:rPr>
        <w:footnoteRef/>
      </w:r>
      <w:r>
        <w:t xml:space="preserve"> </w:t>
      </w:r>
      <w:bookmarkStart w:id="5" w:name="_Hlk186554870"/>
      <w:r w:rsidRPr="00553232">
        <w:t>Ireland</w:t>
      </w:r>
      <w:r w:rsidR="006413E7">
        <w:t>,</w:t>
      </w:r>
      <w:r w:rsidRPr="00553232">
        <w:t xml:space="preserve"> </w:t>
      </w:r>
      <w:r>
        <w:t xml:space="preserve">op </w:t>
      </w:r>
      <w:proofErr w:type="spellStart"/>
      <w:r>
        <w:t>cit</w:t>
      </w:r>
      <w:proofErr w:type="spellEnd"/>
      <w:r>
        <w:t xml:space="preserve"> n.3 p 127</w:t>
      </w:r>
      <w:bookmarkEnd w:id="5"/>
    </w:p>
  </w:footnote>
  <w:footnote w:id="12">
    <w:p w14:paraId="27C875CB" w14:textId="63423500" w:rsidR="00334E46" w:rsidRDefault="00334E46">
      <w:pPr>
        <w:pStyle w:val="FootnoteText"/>
      </w:pPr>
      <w:r>
        <w:rPr>
          <w:rStyle w:val="FootnoteReference"/>
        </w:rPr>
        <w:footnoteRef/>
      </w:r>
      <w:r>
        <w:t xml:space="preserve"> </w:t>
      </w:r>
      <w:bookmarkStart w:id="6" w:name="_Hlk186707489"/>
      <w:r w:rsidRPr="00334E46">
        <w:t>Ireland</w:t>
      </w:r>
      <w:r w:rsidR="006413E7">
        <w:t>,</w:t>
      </w:r>
      <w:r w:rsidRPr="00334E46">
        <w:t xml:space="preserve"> op </w:t>
      </w:r>
      <w:proofErr w:type="spellStart"/>
      <w:r w:rsidRPr="00334E46">
        <w:t>cit</w:t>
      </w:r>
      <w:proofErr w:type="spellEnd"/>
      <w:r w:rsidRPr="00334E46">
        <w:t xml:space="preserve"> n.3 p 1</w:t>
      </w:r>
      <w:r>
        <w:t>30</w:t>
      </w:r>
    </w:p>
    <w:bookmarkEnd w:id="6"/>
  </w:footnote>
  <w:footnote w:id="13">
    <w:p w14:paraId="45D1C66A" w14:textId="6B24DB91" w:rsidR="00DA56A8" w:rsidRDefault="00DA56A8">
      <w:pPr>
        <w:pStyle w:val="FootnoteText"/>
      </w:pPr>
      <w:r>
        <w:rPr>
          <w:rStyle w:val="FootnoteReference"/>
        </w:rPr>
        <w:footnoteRef/>
      </w:r>
      <w:r>
        <w:t xml:space="preserve"> </w:t>
      </w:r>
      <w:r w:rsidRPr="00DA56A8">
        <w:t xml:space="preserve">Ireland, op </w:t>
      </w:r>
      <w:proofErr w:type="spellStart"/>
      <w:r w:rsidRPr="00DA56A8">
        <w:t>cit</w:t>
      </w:r>
      <w:proofErr w:type="spellEnd"/>
      <w:r w:rsidRPr="00DA56A8">
        <w:t xml:space="preserve"> n.3 p 1</w:t>
      </w:r>
      <w:r>
        <w:t>42</w:t>
      </w:r>
    </w:p>
  </w:footnote>
  <w:footnote w:id="14">
    <w:p w14:paraId="6AFA9741" w14:textId="1203FE2E" w:rsidR="00DA56A8" w:rsidRDefault="00DA56A8">
      <w:pPr>
        <w:pStyle w:val="FootnoteText"/>
      </w:pPr>
      <w:r>
        <w:rPr>
          <w:rStyle w:val="FootnoteReference"/>
        </w:rPr>
        <w:footnoteRef/>
      </w:r>
      <w:r>
        <w:t xml:space="preserve"> </w:t>
      </w:r>
      <w:r w:rsidRPr="00DA56A8">
        <w:t xml:space="preserve">Ireland, op </w:t>
      </w:r>
      <w:proofErr w:type="spellStart"/>
      <w:r w:rsidRPr="00DA56A8">
        <w:t>cit</w:t>
      </w:r>
      <w:proofErr w:type="spellEnd"/>
      <w:r w:rsidRPr="00DA56A8">
        <w:t xml:space="preserve"> n.3 p 13</w:t>
      </w:r>
      <w:r>
        <w:t>3</w:t>
      </w:r>
    </w:p>
  </w:footnote>
  <w:footnote w:id="15">
    <w:p w14:paraId="6AC73CE6" w14:textId="241E1DFE" w:rsidR="001E05DF" w:rsidRDefault="001E05DF">
      <w:pPr>
        <w:pStyle w:val="FootnoteText"/>
      </w:pPr>
      <w:r>
        <w:rPr>
          <w:rStyle w:val="FootnoteReference"/>
        </w:rPr>
        <w:footnoteRef/>
      </w:r>
      <w:r>
        <w:t xml:space="preserve"> </w:t>
      </w:r>
      <w:r w:rsidRPr="00334E46">
        <w:t>Ireland</w:t>
      </w:r>
      <w:r>
        <w:t>,</w:t>
      </w:r>
      <w:r w:rsidRPr="00334E46">
        <w:t xml:space="preserve"> op </w:t>
      </w:r>
      <w:proofErr w:type="spellStart"/>
      <w:r w:rsidRPr="00334E46">
        <w:t>cit</w:t>
      </w:r>
      <w:proofErr w:type="spellEnd"/>
      <w:r w:rsidRPr="00334E46">
        <w:t xml:space="preserve"> n.3 p 1</w:t>
      </w:r>
      <w:r>
        <w:t>51</w:t>
      </w:r>
    </w:p>
  </w:footnote>
  <w:footnote w:id="16">
    <w:p w14:paraId="35F3E2BD" w14:textId="15DA40DB" w:rsidR="00716842" w:rsidRPr="00716842" w:rsidRDefault="00716842" w:rsidP="00716842">
      <w:pPr>
        <w:pStyle w:val="FootnoteText"/>
      </w:pPr>
      <w:r>
        <w:rPr>
          <w:rStyle w:val="FootnoteReference"/>
        </w:rPr>
        <w:footnoteRef/>
      </w:r>
      <w:r>
        <w:t xml:space="preserve"> </w:t>
      </w:r>
      <w:r w:rsidRPr="00716842">
        <w:t xml:space="preserve">Ireland, op </w:t>
      </w:r>
      <w:proofErr w:type="spellStart"/>
      <w:r w:rsidRPr="00716842">
        <w:t>cit</w:t>
      </w:r>
      <w:proofErr w:type="spellEnd"/>
      <w:r w:rsidRPr="00716842">
        <w:t xml:space="preserve"> n.3 p 1</w:t>
      </w:r>
      <w:r>
        <w:t>65-6</w:t>
      </w:r>
    </w:p>
    <w:p w14:paraId="7A0609F0" w14:textId="684E2A8C" w:rsidR="00716842" w:rsidRDefault="00716842">
      <w:pPr>
        <w:pStyle w:val="FootnoteText"/>
      </w:pPr>
    </w:p>
  </w:footnote>
  <w:footnote w:id="17">
    <w:p w14:paraId="5DF1FFEE" w14:textId="6D2FAC08" w:rsidR="003C6607" w:rsidRDefault="003C6607">
      <w:pPr>
        <w:pStyle w:val="FootnoteText"/>
      </w:pPr>
      <w:r>
        <w:rPr>
          <w:rStyle w:val="FootnoteReference"/>
        </w:rPr>
        <w:footnoteRef/>
      </w:r>
      <w:r>
        <w:t xml:space="preserve"> </w:t>
      </w:r>
      <w:r w:rsidRPr="003C6607">
        <w:t xml:space="preserve">Ireland, op </w:t>
      </w:r>
      <w:proofErr w:type="spellStart"/>
      <w:r w:rsidRPr="003C6607">
        <w:t>cit</w:t>
      </w:r>
      <w:proofErr w:type="spellEnd"/>
      <w:r w:rsidRPr="003C6607">
        <w:t xml:space="preserve"> n.3 p </w:t>
      </w:r>
      <w:r>
        <w:t>202</w:t>
      </w:r>
    </w:p>
  </w:footnote>
  <w:footnote w:id="18">
    <w:p w14:paraId="470122D5" w14:textId="63957815" w:rsidR="00BA6A37" w:rsidRDefault="00BA6A37">
      <w:pPr>
        <w:pStyle w:val="FootnoteText"/>
      </w:pPr>
      <w:r>
        <w:rPr>
          <w:rStyle w:val="FootnoteReference"/>
        </w:rPr>
        <w:footnoteRef/>
      </w:r>
      <w:r>
        <w:t xml:space="preserve"> </w:t>
      </w:r>
      <w:r w:rsidRPr="00BA6A37">
        <w:t xml:space="preserve">Ireland, op </w:t>
      </w:r>
      <w:proofErr w:type="spellStart"/>
      <w:r w:rsidRPr="00BA6A37">
        <w:t>cit</w:t>
      </w:r>
      <w:proofErr w:type="spellEnd"/>
      <w:r w:rsidRPr="00BA6A37">
        <w:t xml:space="preserve"> n.3 p </w:t>
      </w:r>
      <w:r>
        <w:t>202</w:t>
      </w:r>
    </w:p>
  </w:footnote>
  <w:footnote w:id="19">
    <w:p w14:paraId="002C5637" w14:textId="136666A0" w:rsidR="00BA6A37" w:rsidRDefault="00BA6A37">
      <w:pPr>
        <w:pStyle w:val="FootnoteText"/>
      </w:pPr>
      <w:r>
        <w:rPr>
          <w:rStyle w:val="FootnoteReference"/>
        </w:rPr>
        <w:footnoteRef/>
      </w:r>
      <w:r>
        <w:t xml:space="preserve"> </w:t>
      </w:r>
      <w:r w:rsidRPr="00BA6A37">
        <w:t xml:space="preserve">Ireland, op </w:t>
      </w:r>
      <w:proofErr w:type="spellStart"/>
      <w:r w:rsidRPr="00BA6A37">
        <w:t>cit</w:t>
      </w:r>
      <w:proofErr w:type="spellEnd"/>
      <w:r w:rsidRPr="00BA6A37">
        <w:t xml:space="preserve"> n.3 p </w:t>
      </w:r>
      <w:r>
        <w:t>207</w:t>
      </w:r>
    </w:p>
  </w:footnote>
  <w:footnote w:id="20">
    <w:p w14:paraId="2E51923E" w14:textId="1B8D702C" w:rsidR="00173518" w:rsidRDefault="00173518">
      <w:pPr>
        <w:pStyle w:val="FootnoteText"/>
      </w:pPr>
      <w:r>
        <w:rPr>
          <w:rStyle w:val="FootnoteReference"/>
        </w:rPr>
        <w:footnoteRef/>
      </w:r>
      <w:r>
        <w:t xml:space="preserve"> </w:t>
      </w:r>
      <w:r w:rsidRPr="00173518">
        <w:t xml:space="preserve">Ireland, op </w:t>
      </w:r>
      <w:proofErr w:type="spellStart"/>
      <w:r w:rsidRPr="00173518">
        <w:t>cit</w:t>
      </w:r>
      <w:proofErr w:type="spellEnd"/>
      <w:r w:rsidRPr="00173518">
        <w:t xml:space="preserve"> n.3 p </w:t>
      </w:r>
      <w:r>
        <w:t>211</w:t>
      </w:r>
    </w:p>
  </w:footnote>
  <w:footnote w:id="21">
    <w:p w14:paraId="5EEDB82B" w14:textId="77777777" w:rsidR="00192944" w:rsidRDefault="00192944" w:rsidP="00192944">
      <w:pPr>
        <w:pStyle w:val="FootnoteText"/>
      </w:pPr>
      <w:r>
        <w:rPr>
          <w:rStyle w:val="FootnoteReference"/>
        </w:rPr>
        <w:footnoteRef/>
      </w:r>
      <w:r>
        <w:t xml:space="preserve"> Ireland, op </w:t>
      </w:r>
      <w:proofErr w:type="spellStart"/>
      <w:r>
        <w:t>cit</w:t>
      </w:r>
      <w:proofErr w:type="spellEnd"/>
      <w:r>
        <w:t xml:space="preserve"> n.3 p 42</w:t>
      </w:r>
    </w:p>
  </w:footnote>
  <w:footnote w:id="22">
    <w:p w14:paraId="02E67178" w14:textId="2CF07A32" w:rsidR="00565A25" w:rsidRDefault="00565A25">
      <w:pPr>
        <w:pStyle w:val="FootnoteText"/>
      </w:pPr>
      <w:r>
        <w:rPr>
          <w:rStyle w:val="FootnoteReference"/>
        </w:rPr>
        <w:footnoteRef/>
      </w:r>
      <w:r>
        <w:t xml:space="preserve">  A brief introduction to the continued relevance of Polanyi can be found at</w:t>
      </w:r>
      <w:r w:rsidR="00A92C1C">
        <w:t xml:space="preserve">: </w:t>
      </w:r>
      <w:r w:rsidR="00A92C1C" w:rsidRPr="00A92C1C">
        <w:t>J</w:t>
      </w:r>
      <w:r w:rsidR="00A92C1C">
        <w:t xml:space="preserve"> </w:t>
      </w:r>
      <w:r w:rsidR="00A92C1C" w:rsidRPr="00A92C1C">
        <w:t>Smith</w:t>
      </w:r>
      <w:r w:rsidR="00A92C1C">
        <w:t xml:space="preserve">, </w:t>
      </w:r>
      <w:r w:rsidR="00A92C1C" w:rsidRPr="00A92C1C">
        <w:t xml:space="preserve">How Polanyi </w:t>
      </w:r>
      <w:r w:rsidR="00A92C1C">
        <w:t>B</w:t>
      </w:r>
      <w:r w:rsidR="00A92C1C" w:rsidRPr="00A92C1C">
        <w:t xml:space="preserve">est </w:t>
      </w:r>
      <w:r w:rsidR="00A92C1C">
        <w:t>E</w:t>
      </w:r>
      <w:r w:rsidR="00A92C1C" w:rsidRPr="00A92C1C">
        <w:t xml:space="preserve">xplains Trump, Brexit and the </w:t>
      </w:r>
      <w:r w:rsidR="00A92C1C">
        <w:t>O</w:t>
      </w:r>
      <w:r w:rsidR="00A92C1C" w:rsidRPr="00A92C1C">
        <w:t>ver-</w:t>
      </w:r>
      <w:r w:rsidR="00A92C1C">
        <w:t>R</w:t>
      </w:r>
      <w:r w:rsidR="00A92C1C" w:rsidRPr="00A92C1C">
        <w:t xml:space="preserve">each of </w:t>
      </w:r>
      <w:r w:rsidR="00A92C1C">
        <w:t>E</w:t>
      </w:r>
      <w:r w:rsidR="00A92C1C" w:rsidRPr="00A92C1C">
        <w:t xml:space="preserve">conomic </w:t>
      </w:r>
      <w:r w:rsidR="00A92C1C">
        <w:t>L</w:t>
      </w:r>
      <w:r w:rsidR="00A92C1C" w:rsidRPr="00A92C1C">
        <w:t>iberalism</w:t>
      </w:r>
      <w:r w:rsidR="00A92C1C">
        <w:t xml:space="preserve">, </w:t>
      </w:r>
      <w:r w:rsidR="00A92C1C" w:rsidRPr="00A92C1C">
        <w:rPr>
          <w:i/>
          <w:iCs/>
        </w:rPr>
        <w:t>Prime Economics</w:t>
      </w:r>
      <w:r w:rsidR="00A92C1C">
        <w:t xml:space="preserve"> (2017)</w:t>
      </w:r>
      <w:r>
        <w:t>.    The authors have</w:t>
      </w:r>
      <w:r w:rsidR="00E23F51">
        <w:t xml:space="preserve"> themselves</w:t>
      </w:r>
      <w:r>
        <w:t xml:space="preserve"> used Polanyi as a tool to </w:t>
      </w:r>
      <w:r w:rsidR="001E05DF">
        <w:t xml:space="preserve">theorise the reregulation of private renting in </w:t>
      </w:r>
      <w:r w:rsidR="00A059FC" w:rsidRPr="00A059FC">
        <w:t>Carr, H. and Alcock, R., 2020. Understanding the (re-) regulation of private renting in England: Karl Polanyi, the rogue landlord, the responsible tenant and the decent home.</w:t>
      </w:r>
      <w:r w:rsidR="00C62ADE" w:rsidRPr="00C62ADE">
        <w:rPr>
          <w:rFonts w:ascii="Noto Sans" w:hAnsi="Noto Sans" w:cs="Noto Sans"/>
          <w:color w:val="333333"/>
          <w:sz w:val="27"/>
          <w:szCs w:val="27"/>
          <w:shd w:val="clear" w:color="auto" w:fill="FFFFFF"/>
        </w:rPr>
        <w:t xml:space="preserve"> </w:t>
      </w:r>
      <w:r w:rsidR="00C62ADE" w:rsidRPr="00C62ADE">
        <w:t>n TT Arvind and J Steele (eds), </w:t>
      </w:r>
      <w:r w:rsidR="00C62ADE" w:rsidRPr="00C62ADE">
        <w:rPr>
          <w:i/>
          <w:iCs/>
        </w:rPr>
        <w:t>Contract Law and the Legislature</w:t>
      </w:r>
      <w:r w:rsidR="00C62ADE" w:rsidRPr="00C62ADE">
        <w:t> (Hart 2020) 297–328</w:t>
      </w:r>
    </w:p>
  </w:footnote>
  <w:footnote w:id="23">
    <w:p w14:paraId="6563AC6F" w14:textId="5A7BD3E0" w:rsidR="00EE72A5" w:rsidRDefault="00EE72A5">
      <w:pPr>
        <w:pStyle w:val="FootnoteText"/>
      </w:pPr>
      <w:r>
        <w:rPr>
          <w:rStyle w:val="FootnoteReference"/>
        </w:rPr>
        <w:footnoteRef/>
      </w:r>
      <w:r>
        <w:t xml:space="preserve"> K Polanyi, </w:t>
      </w:r>
      <w:r w:rsidRPr="00EE72A5">
        <w:rPr>
          <w:i/>
          <w:iCs/>
        </w:rPr>
        <w:t>The Great Transformation:The Political and Economic Origins of Our Time</w:t>
      </w:r>
      <w:r>
        <w:t xml:space="preserve"> (200</w:t>
      </w:r>
      <w:r w:rsidR="00AE3050">
        <w:t>1</w:t>
      </w:r>
      <w:r>
        <w:t>) p 42-43</w:t>
      </w:r>
    </w:p>
  </w:footnote>
  <w:footnote w:id="24">
    <w:p w14:paraId="56B6C340" w14:textId="3329D6C2" w:rsidR="003B492C" w:rsidRDefault="003B492C">
      <w:pPr>
        <w:pStyle w:val="FootnoteText"/>
      </w:pPr>
      <w:r>
        <w:rPr>
          <w:rStyle w:val="FootnoteReference"/>
        </w:rPr>
        <w:footnoteRef/>
      </w:r>
      <w:r>
        <w:t xml:space="preserve"> Polanyi, op </w:t>
      </w:r>
      <w:proofErr w:type="spellStart"/>
      <w:r>
        <w:t>cit</w:t>
      </w:r>
      <w:proofErr w:type="spellEnd"/>
      <w:r>
        <w:t xml:space="preserve"> n.15 p 43</w:t>
      </w:r>
    </w:p>
  </w:footnote>
  <w:footnote w:id="25">
    <w:p w14:paraId="694F45E9" w14:textId="6E56C350" w:rsidR="003B492C" w:rsidRDefault="003B492C">
      <w:pPr>
        <w:pStyle w:val="FootnoteText"/>
      </w:pPr>
      <w:r>
        <w:rPr>
          <w:rStyle w:val="FootnoteReference"/>
        </w:rPr>
        <w:footnoteRef/>
      </w:r>
      <w:r>
        <w:t xml:space="preserve"> Polanyi, op </w:t>
      </w:r>
      <w:proofErr w:type="spellStart"/>
      <w:r>
        <w:t>cit</w:t>
      </w:r>
      <w:proofErr w:type="spellEnd"/>
      <w:r>
        <w:t xml:space="preserve"> n.15 p 44</w:t>
      </w:r>
    </w:p>
  </w:footnote>
  <w:footnote w:id="26">
    <w:p w14:paraId="11796641" w14:textId="77777777" w:rsidR="00885469" w:rsidRDefault="00885469" w:rsidP="00885469">
      <w:pPr>
        <w:pStyle w:val="FootnoteText"/>
      </w:pPr>
      <w:r>
        <w:rPr>
          <w:rStyle w:val="FootnoteReference"/>
        </w:rPr>
        <w:footnoteRef/>
      </w:r>
      <w:r>
        <w:t xml:space="preserve"> Polanyi, op </w:t>
      </w:r>
      <w:proofErr w:type="spellStart"/>
      <w:r>
        <w:t>cit</w:t>
      </w:r>
      <w:proofErr w:type="spellEnd"/>
      <w:r>
        <w:t xml:space="preserve"> n.15 p 73</w:t>
      </w:r>
    </w:p>
  </w:footnote>
  <w:footnote w:id="27">
    <w:p w14:paraId="516A3415" w14:textId="441F2BF5" w:rsidR="000E74E9" w:rsidRDefault="000E74E9">
      <w:pPr>
        <w:pStyle w:val="FootnoteText"/>
      </w:pPr>
      <w:r>
        <w:rPr>
          <w:rStyle w:val="FootnoteReference"/>
        </w:rPr>
        <w:footnoteRef/>
      </w:r>
      <w:r>
        <w:t xml:space="preserve"> K Polanyi, </w:t>
      </w:r>
      <w:r w:rsidR="00A235BE">
        <w:t xml:space="preserve">Our Obsolete Market Mentality, </w:t>
      </w:r>
      <w:r w:rsidR="00A235BE" w:rsidRPr="00FC7DF0">
        <w:rPr>
          <w:i/>
          <w:iCs/>
        </w:rPr>
        <w:t>Commentary</w:t>
      </w:r>
      <w:r w:rsidR="00A235BE" w:rsidRPr="00A235BE">
        <w:t xml:space="preserve"> </w:t>
      </w:r>
      <w:r w:rsidR="00A235BE">
        <w:t>(</w:t>
      </w:r>
      <w:r w:rsidR="00A235BE" w:rsidRPr="00A235BE">
        <w:t>1947</w:t>
      </w:r>
      <w:r w:rsidR="00A235BE">
        <w:t>) p 117</w:t>
      </w:r>
    </w:p>
  </w:footnote>
  <w:footnote w:id="28">
    <w:p w14:paraId="20D4F733" w14:textId="6D1EE33E" w:rsidR="00707D33" w:rsidRDefault="00707D33">
      <w:pPr>
        <w:pStyle w:val="FootnoteText"/>
      </w:pPr>
      <w:r>
        <w:rPr>
          <w:rStyle w:val="FootnoteReference"/>
        </w:rPr>
        <w:footnoteRef/>
      </w:r>
      <w:r>
        <w:t xml:space="preserve"> </w:t>
      </w:r>
      <w:r w:rsidR="00A235BE">
        <w:t xml:space="preserve">Polanyi, op </w:t>
      </w:r>
      <w:proofErr w:type="spellStart"/>
      <w:r w:rsidR="00A235BE">
        <w:t>cit</w:t>
      </w:r>
      <w:proofErr w:type="spellEnd"/>
      <w:r w:rsidR="00A235BE">
        <w:t xml:space="preserve"> n.19 p 116</w:t>
      </w:r>
    </w:p>
  </w:footnote>
  <w:footnote w:id="29">
    <w:p w14:paraId="4481BC48" w14:textId="62B645B2" w:rsidR="00D04587" w:rsidRDefault="00D04587">
      <w:pPr>
        <w:pStyle w:val="FootnoteText"/>
      </w:pPr>
      <w:r>
        <w:rPr>
          <w:rStyle w:val="FootnoteReference"/>
        </w:rPr>
        <w:footnoteRef/>
      </w:r>
      <w:r>
        <w:t xml:space="preserve"> </w:t>
      </w:r>
      <w:r w:rsidRPr="00D04587">
        <w:t xml:space="preserve">Ireland,  </w:t>
      </w:r>
      <w:proofErr w:type="spellStart"/>
      <w:r w:rsidRPr="00D04587">
        <w:t>op.cit</w:t>
      </w:r>
      <w:proofErr w:type="spellEnd"/>
      <w:r w:rsidRPr="00D04587">
        <w:t>., n.3 p.</w:t>
      </w:r>
      <w:r w:rsidR="003F73A4">
        <w:t>260</w:t>
      </w:r>
    </w:p>
  </w:footnote>
  <w:footnote w:id="30">
    <w:p w14:paraId="37C26B02" w14:textId="78FC4EDF" w:rsidR="006359FD" w:rsidRDefault="006359FD">
      <w:pPr>
        <w:pStyle w:val="FootnoteText"/>
      </w:pPr>
      <w:r>
        <w:rPr>
          <w:rStyle w:val="FootnoteReference"/>
        </w:rPr>
        <w:footnoteRef/>
      </w:r>
      <w:r>
        <w:t xml:space="preserve"> </w:t>
      </w:r>
      <w:r w:rsidR="00757D6A">
        <w:t xml:space="preserve">P. </w:t>
      </w:r>
      <w:r w:rsidRPr="00B2079E">
        <w:t xml:space="preserve">Ireland &amp; </w:t>
      </w:r>
      <w:r w:rsidR="00757D6A">
        <w:t xml:space="preserve">G. </w:t>
      </w:r>
      <w:r w:rsidRPr="00B2079E">
        <w:t xml:space="preserve">Meng, </w:t>
      </w:r>
      <w:r w:rsidR="00757D6A" w:rsidRPr="00757D6A">
        <w:t>Post-capitalist property</w:t>
      </w:r>
      <w:r w:rsidR="00757D6A">
        <w:t xml:space="preserve">, </w:t>
      </w:r>
      <w:r w:rsidR="00757D6A" w:rsidRPr="00757D6A">
        <w:rPr>
          <w:i/>
          <w:iCs/>
        </w:rPr>
        <w:t>Economy and Society</w:t>
      </w:r>
      <w:r w:rsidR="00757D6A" w:rsidRPr="00757D6A">
        <w:t xml:space="preserve"> </w:t>
      </w:r>
      <w:r w:rsidR="00757D6A">
        <w:t>(</w:t>
      </w:r>
      <w:r w:rsidRPr="00B2079E">
        <w:t>2017)</w:t>
      </w:r>
    </w:p>
  </w:footnote>
  <w:footnote w:id="31">
    <w:p w14:paraId="00D88D35" w14:textId="441F4A55" w:rsidR="006C64D6" w:rsidRDefault="006C64D6">
      <w:pPr>
        <w:pStyle w:val="FootnoteText"/>
      </w:pPr>
      <w:r>
        <w:rPr>
          <w:rStyle w:val="FootnoteReference"/>
        </w:rPr>
        <w:footnoteRef/>
      </w:r>
      <w:r>
        <w:t xml:space="preserve"> </w:t>
      </w:r>
      <w:r w:rsidR="00757D6A">
        <w:t xml:space="preserve">R. </w:t>
      </w:r>
      <w:r>
        <w:t>Alcock</w:t>
      </w:r>
      <w:r w:rsidR="00757D6A">
        <w:t>,</w:t>
      </w:r>
      <w:r w:rsidR="00757D6A" w:rsidRPr="00757D6A">
        <w:t xml:space="preserve"> Polanyi in rural China: beyond the double movement, </w:t>
      </w:r>
      <w:r w:rsidR="00757D6A" w:rsidRPr="00757D6A">
        <w:rPr>
          <w:i/>
          <w:iCs/>
        </w:rPr>
        <w:t>New Political Economy</w:t>
      </w:r>
      <w:r>
        <w:t xml:space="preserve"> </w:t>
      </w:r>
      <w:r w:rsidR="00757D6A">
        <w:t>(</w:t>
      </w:r>
      <w:r>
        <w:t>2023</w:t>
      </w:r>
      <w:r w:rsidR="00757D6A">
        <w:t>)</w:t>
      </w:r>
    </w:p>
  </w:footnote>
  <w:footnote w:id="32">
    <w:p w14:paraId="24FCEB80" w14:textId="42175E86" w:rsidR="001F2FBA" w:rsidRDefault="001F2FBA">
      <w:pPr>
        <w:pStyle w:val="FootnoteText"/>
      </w:pPr>
      <w:r>
        <w:rPr>
          <w:rStyle w:val="FootnoteReference"/>
        </w:rPr>
        <w:footnoteRef/>
      </w:r>
      <w:r>
        <w:t xml:space="preserve"> </w:t>
      </w:r>
      <w:proofErr w:type="spellStart"/>
      <w:r w:rsidR="00757D6A">
        <w:t>R.</w:t>
      </w:r>
      <w:r w:rsidRPr="001F2FBA">
        <w:t>Teemu</w:t>
      </w:r>
      <w:proofErr w:type="spellEnd"/>
      <w:r w:rsidRPr="001F2FBA">
        <w:t>,</w:t>
      </w:r>
      <w:r w:rsidR="00757D6A" w:rsidRPr="00757D6A">
        <w:t xml:space="preserve"> People, Inc.? Law, Economic Enterprise, and the Development of Inequality in China, </w:t>
      </w:r>
      <w:r w:rsidR="00757D6A" w:rsidRPr="00757D6A">
        <w:rPr>
          <w:i/>
          <w:iCs/>
        </w:rPr>
        <w:t>Emory Legal Studies Research Paper</w:t>
      </w:r>
      <w:r w:rsidRPr="001F2FBA">
        <w:t xml:space="preserve"> </w:t>
      </w:r>
      <w:r w:rsidR="00757D6A">
        <w:t>(</w:t>
      </w:r>
      <w:r w:rsidRPr="001F2FBA">
        <w:t>2019</w:t>
      </w:r>
      <w:r w:rsidR="00757D6A">
        <w:t>)</w:t>
      </w:r>
    </w:p>
  </w:footnote>
  <w:footnote w:id="33">
    <w:p w14:paraId="0FDAA3CF" w14:textId="6C593510" w:rsidR="00F91EE8" w:rsidRDefault="00F91EE8">
      <w:pPr>
        <w:pStyle w:val="FootnoteText"/>
      </w:pPr>
      <w:r>
        <w:rPr>
          <w:rStyle w:val="FootnoteReference"/>
        </w:rPr>
        <w:footnoteRef/>
      </w:r>
      <w:r>
        <w:t xml:space="preserve"> </w:t>
      </w:r>
      <w:r w:rsidR="00AD3DE7">
        <w:t xml:space="preserve">J </w:t>
      </w:r>
      <w:r w:rsidR="00AD3DE7" w:rsidRPr="00AD3DE7">
        <w:t>Andreas</w:t>
      </w:r>
      <w:r w:rsidR="00AD3DE7">
        <w:t xml:space="preserve"> &amp;</w:t>
      </w:r>
      <w:r w:rsidR="00AD3DE7" w:rsidRPr="00AD3DE7">
        <w:t xml:space="preserve"> </w:t>
      </w:r>
      <w:r w:rsidR="00AD3DE7">
        <w:t xml:space="preserve">S </w:t>
      </w:r>
      <w:r w:rsidR="00AD3DE7" w:rsidRPr="00AD3DE7">
        <w:t>Zhan, Hukou and land: market reform and rural displacement in China</w:t>
      </w:r>
      <w:r w:rsidR="00AD3DE7">
        <w:t>,</w:t>
      </w:r>
      <w:r w:rsidR="00AD3DE7" w:rsidRPr="00AD3DE7">
        <w:t xml:space="preserve"> </w:t>
      </w:r>
      <w:r w:rsidR="00AD3DE7" w:rsidRPr="00AD3DE7">
        <w:rPr>
          <w:i/>
          <w:iCs/>
        </w:rPr>
        <w:t xml:space="preserve">Journal of </w:t>
      </w:r>
      <w:r w:rsidR="00016B46">
        <w:rPr>
          <w:i/>
          <w:iCs/>
        </w:rPr>
        <w:t>P</w:t>
      </w:r>
      <w:r w:rsidR="00AD3DE7" w:rsidRPr="00AD3DE7">
        <w:rPr>
          <w:i/>
          <w:iCs/>
        </w:rPr>
        <w:t xml:space="preserve">easant </w:t>
      </w:r>
      <w:r w:rsidR="00016B46">
        <w:rPr>
          <w:i/>
          <w:iCs/>
        </w:rPr>
        <w:t>S</w:t>
      </w:r>
      <w:r w:rsidR="00AD3DE7" w:rsidRPr="00AD3DE7">
        <w:rPr>
          <w:i/>
          <w:iCs/>
        </w:rPr>
        <w:t>tudies</w:t>
      </w:r>
      <w:r w:rsidR="00AD3DE7">
        <w:t xml:space="preserve"> (2016)</w:t>
      </w:r>
    </w:p>
  </w:footnote>
  <w:footnote w:id="34">
    <w:p w14:paraId="53495490" w14:textId="69AFB4E7" w:rsidR="003020FC" w:rsidRDefault="003020FC">
      <w:pPr>
        <w:pStyle w:val="FootnoteText"/>
      </w:pPr>
      <w:r>
        <w:rPr>
          <w:rStyle w:val="FootnoteReference"/>
        </w:rPr>
        <w:footnoteRef/>
      </w:r>
      <w:r>
        <w:t xml:space="preserve"> </w:t>
      </w:r>
      <w:r w:rsidR="00AD3DE7">
        <w:t xml:space="preserve">A </w:t>
      </w:r>
      <w:r w:rsidR="00AD3DE7" w:rsidRPr="00AD3DE7">
        <w:t xml:space="preserve">Day, </w:t>
      </w:r>
      <w:r w:rsidR="00AD3DE7" w:rsidRPr="00AD3DE7">
        <w:rPr>
          <w:i/>
          <w:iCs/>
        </w:rPr>
        <w:t xml:space="preserve">The Peasant in </w:t>
      </w:r>
      <w:proofErr w:type="spellStart"/>
      <w:r w:rsidR="00AD3DE7" w:rsidRPr="00AD3DE7">
        <w:rPr>
          <w:i/>
          <w:iCs/>
        </w:rPr>
        <w:t>Postsocialist</w:t>
      </w:r>
      <w:proofErr w:type="spellEnd"/>
      <w:r w:rsidR="00AD3DE7" w:rsidRPr="00AD3DE7">
        <w:rPr>
          <w:i/>
          <w:iCs/>
        </w:rPr>
        <w:t xml:space="preserve"> China: History, Politics, and Capitalism</w:t>
      </w:r>
      <w:r w:rsidR="00AD3DE7">
        <w:t xml:space="preserve"> (2013)</w:t>
      </w:r>
    </w:p>
  </w:footnote>
  <w:footnote w:id="35">
    <w:p w14:paraId="0E3D7093" w14:textId="01651435" w:rsidR="003020FC" w:rsidRDefault="003020FC">
      <w:pPr>
        <w:pStyle w:val="FootnoteText"/>
      </w:pPr>
      <w:r>
        <w:rPr>
          <w:rStyle w:val="FootnoteReference"/>
        </w:rPr>
        <w:footnoteRef/>
      </w:r>
      <w:r>
        <w:t xml:space="preserve"> </w:t>
      </w:r>
      <w:r w:rsidR="00016B46">
        <w:t xml:space="preserve">A </w:t>
      </w:r>
      <w:r w:rsidR="00016B46" w:rsidRPr="00016B46">
        <w:t>Day</w:t>
      </w:r>
      <w:r w:rsidR="00016B46">
        <w:t xml:space="preserve"> &amp; M </w:t>
      </w:r>
      <w:r w:rsidR="00016B46" w:rsidRPr="00016B46">
        <w:t xml:space="preserve">Schneider, The end of alternatives? Capitalist transformation, rural activism and the politics of possibility in China, </w:t>
      </w:r>
      <w:r w:rsidR="00016B46" w:rsidRPr="00016B46">
        <w:rPr>
          <w:i/>
          <w:iCs/>
        </w:rPr>
        <w:t>Journal of Peasant Studies</w:t>
      </w:r>
      <w:r w:rsidR="00016B46">
        <w:t xml:space="preserve"> (2017)</w:t>
      </w:r>
    </w:p>
  </w:footnote>
  <w:footnote w:id="36">
    <w:p w14:paraId="70524953" w14:textId="730438C1" w:rsidR="00BB335C" w:rsidRDefault="00BB335C">
      <w:pPr>
        <w:pStyle w:val="FootnoteText"/>
      </w:pPr>
      <w:r>
        <w:rPr>
          <w:rStyle w:val="FootnoteReference"/>
        </w:rPr>
        <w:footnoteRef/>
      </w:r>
      <w:r>
        <w:t xml:space="preserve"> </w:t>
      </w:r>
      <w:r w:rsidR="00901F65">
        <w:t>D Cowan</w:t>
      </w:r>
      <w:r w:rsidR="00901F65" w:rsidRPr="00901F65">
        <w:t xml:space="preserve">, </w:t>
      </w:r>
      <w:r w:rsidR="00901F65">
        <w:t>H Carr</w:t>
      </w:r>
      <w:r w:rsidR="00901F65" w:rsidRPr="00901F65">
        <w:t xml:space="preserve">, &amp; </w:t>
      </w:r>
      <w:r w:rsidR="00901F65">
        <w:t xml:space="preserve"> A  </w:t>
      </w:r>
      <w:r w:rsidR="00901F65" w:rsidRPr="00901F65">
        <w:t>Wallace, A </w:t>
      </w:r>
      <w:r w:rsidR="00901F65" w:rsidRPr="00901F65">
        <w:rPr>
          <w:i/>
          <w:iCs/>
        </w:rPr>
        <w:t>Ownership, narrative, things</w:t>
      </w:r>
      <w:r w:rsidR="00901F65" w:rsidRPr="00901F65">
        <w:t>  Palgrave Macmillan UK.</w:t>
      </w:r>
    </w:p>
  </w:footnote>
  <w:footnote w:id="37">
    <w:p w14:paraId="28B1575B" w14:textId="62DB167F" w:rsidR="00901F65" w:rsidRDefault="00901F65">
      <w:pPr>
        <w:pStyle w:val="FootnoteText"/>
      </w:pPr>
      <w:r>
        <w:rPr>
          <w:rStyle w:val="FootnoteReference"/>
        </w:rPr>
        <w:footnoteRef/>
      </w:r>
      <w:r>
        <w:t xml:space="preserve"> S </w:t>
      </w:r>
      <w:r w:rsidRPr="00901F65">
        <w:t>Bright, "Tower block refurbishment, flats, and understandings of ownership." </w:t>
      </w:r>
      <w:r w:rsidRPr="00901F65">
        <w:rPr>
          <w:i/>
          <w:iCs/>
        </w:rPr>
        <w:t>Journal of Law and Society</w:t>
      </w:r>
      <w:r w:rsidRPr="00901F65">
        <w:t> 48, no. 4 (2021): 524-548.</w:t>
      </w:r>
    </w:p>
  </w:footnote>
  <w:footnote w:id="38">
    <w:p w14:paraId="0546E938" w14:textId="322D5CD3" w:rsidR="00BB335C" w:rsidRDefault="00BB335C">
      <w:pPr>
        <w:pStyle w:val="FootnoteText"/>
      </w:pPr>
      <w:r>
        <w:rPr>
          <w:rStyle w:val="FootnoteReference"/>
        </w:rPr>
        <w:footnoteRef/>
      </w:r>
      <w:r>
        <w:t xml:space="preserve"> </w:t>
      </w:r>
      <w:r w:rsidR="00901F65">
        <w:t xml:space="preserve"> L </w:t>
      </w:r>
      <w:r w:rsidRPr="00BB335C">
        <w:t>Whitehouse, and</w:t>
      </w:r>
      <w:r w:rsidR="00901F65">
        <w:t xml:space="preserve"> S </w:t>
      </w:r>
      <w:r w:rsidRPr="00BB335C">
        <w:t> </w:t>
      </w:r>
      <w:proofErr w:type="spellStart"/>
      <w:r w:rsidRPr="00BB335C">
        <w:t>Liosi</w:t>
      </w:r>
      <w:proofErr w:type="spellEnd"/>
      <w:r w:rsidRPr="00BB335C">
        <w:t xml:space="preserve">, </w:t>
      </w:r>
      <w:r w:rsidR="00901F65" w:rsidRPr="00A059FC">
        <w:rPr>
          <w:i/>
          <w:iCs/>
        </w:rPr>
        <w:t>Assessing</w:t>
      </w:r>
      <w:r w:rsidRPr="00BB335C">
        <w:rPr>
          <w:i/>
          <w:iCs/>
        </w:rPr>
        <w:t xml:space="preserve"> the court system’s response to the COVID-19 pandemic in housing possession cases in England and Wales</w:t>
      </w:r>
      <w:r w:rsidR="00901F65">
        <w:rPr>
          <w:i/>
          <w:iCs/>
        </w:rPr>
        <w:t xml:space="preserve"> </w:t>
      </w:r>
      <w:r w:rsidR="00901F65" w:rsidRPr="00A059FC">
        <w:t xml:space="preserve">(2022) </w:t>
      </w:r>
      <w:r w:rsidRPr="00901F65">
        <w:t> </w:t>
      </w:r>
      <w:r w:rsidRPr="00BB335C">
        <w:t>University of Hull </w:t>
      </w:r>
    </w:p>
  </w:footnote>
  <w:footnote w:id="39">
    <w:p w14:paraId="0F2970AE" w14:textId="3CC6B713" w:rsidR="009652F6" w:rsidRDefault="009652F6">
      <w:pPr>
        <w:pStyle w:val="FootnoteText"/>
      </w:pPr>
      <w:r>
        <w:rPr>
          <w:rStyle w:val="FootnoteReference"/>
        </w:rPr>
        <w:footnoteRef/>
      </w:r>
      <w:r>
        <w:t xml:space="preserve"> Available at </w:t>
      </w:r>
      <w:r w:rsidRPr="007362C4">
        <w:t xml:space="preserve">https://landforthemany.uk/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12"/>
    <w:rsid w:val="00016B46"/>
    <w:rsid w:val="00017883"/>
    <w:rsid w:val="00021CC9"/>
    <w:rsid w:val="000255D3"/>
    <w:rsid w:val="000267E5"/>
    <w:rsid w:val="00026A56"/>
    <w:rsid w:val="00033288"/>
    <w:rsid w:val="00033411"/>
    <w:rsid w:val="00043206"/>
    <w:rsid w:val="00043419"/>
    <w:rsid w:val="00054D09"/>
    <w:rsid w:val="0006082F"/>
    <w:rsid w:val="00060902"/>
    <w:rsid w:val="00071F86"/>
    <w:rsid w:val="00077F98"/>
    <w:rsid w:val="00082F7B"/>
    <w:rsid w:val="0009055A"/>
    <w:rsid w:val="00090627"/>
    <w:rsid w:val="00090AC8"/>
    <w:rsid w:val="00091764"/>
    <w:rsid w:val="00096061"/>
    <w:rsid w:val="0009711C"/>
    <w:rsid w:val="000A25B1"/>
    <w:rsid w:val="000A7D60"/>
    <w:rsid w:val="000B23FD"/>
    <w:rsid w:val="000C076D"/>
    <w:rsid w:val="000C76AB"/>
    <w:rsid w:val="000D0F6C"/>
    <w:rsid w:val="000D778A"/>
    <w:rsid w:val="000E74E9"/>
    <w:rsid w:val="000F073D"/>
    <w:rsid w:val="000F27D9"/>
    <w:rsid w:val="000F2975"/>
    <w:rsid w:val="000F5DEC"/>
    <w:rsid w:val="000F5E13"/>
    <w:rsid w:val="000F7914"/>
    <w:rsid w:val="000F7CE2"/>
    <w:rsid w:val="000F7E95"/>
    <w:rsid w:val="00101409"/>
    <w:rsid w:val="00102FAF"/>
    <w:rsid w:val="0011074E"/>
    <w:rsid w:val="0011226E"/>
    <w:rsid w:val="00113818"/>
    <w:rsid w:val="00117E38"/>
    <w:rsid w:val="001272C0"/>
    <w:rsid w:val="00131B8A"/>
    <w:rsid w:val="00133241"/>
    <w:rsid w:val="001333CC"/>
    <w:rsid w:val="00146CEA"/>
    <w:rsid w:val="00152728"/>
    <w:rsid w:val="00152F37"/>
    <w:rsid w:val="00156B00"/>
    <w:rsid w:val="001678A5"/>
    <w:rsid w:val="00173518"/>
    <w:rsid w:val="0017410E"/>
    <w:rsid w:val="001837C6"/>
    <w:rsid w:val="00186C8A"/>
    <w:rsid w:val="00186FAE"/>
    <w:rsid w:val="00190226"/>
    <w:rsid w:val="00190D90"/>
    <w:rsid w:val="001916DD"/>
    <w:rsid w:val="00192944"/>
    <w:rsid w:val="00193BE2"/>
    <w:rsid w:val="001A1492"/>
    <w:rsid w:val="001A1B77"/>
    <w:rsid w:val="001B0EB8"/>
    <w:rsid w:val="001B21D9"/>
    <w:rsid w:val="001B4F8C"/>
    <w:rsid w:val="001B4FB7"/>
    <w:rsid w:val="001B51B9"/>
    <w:rsid w:val="001B72E3"/>
    <w:rsid w:val="001B782C"/>
    <w:rsid w:val="001D5094"/>
    <w:rsid w:val="001E05DF"/>
    <w:rsid w:val="001E4C1A"/>
    <w:rsid w:val="001E502B"/>
    <w:rsid w:val="001F110A"/>
    <w:rsid w:val="001F2FBA"/>
    <w:rsid w:val="00203FE8"/>
    <w:rsid w:val="00207C68"/>
    <w:rsid w:val="0022356F"/>
    <w:rsid w:val="002261FD"/>
    <w:rsid w:val="0023025B"/>
    <w:rsid w:val="00235190"/>
    <w:rsid w:val="0025260F"/>
    <w:rsid w:val="002719F8"/>
    <w:rsid w:val="00273A99"/>
    <w:rsid w:val="00275F32"/>
    <w:rsid w:val="00280BE7"/>
    <w:rsid w:val="002856DB"/>
    <w:rsid w:val="00285F7D"/>
    <w:rsid w:val="00290558"/>
    <w:rsid w:val="002929A7"/>
    <w:rsid w:val="00296ECF"/>
    <w:rsid w:val="002A6E20"/>
    <w:rsid w:val="002A75A1"/>
    <w:rsid w:val="002B2EA4"/>
    <w:rsid w:val="002C071D"/>
    <w:rsid w:val="002C1CFE"/>
    <w:rsid w:val="002C32B9"/>
    <w:rsid w:val="002C4B4C"/>
    <w:rsid w:val="002C6DE0"/>
    <w:rsid w:val="002D4E75"/>
    <w:rsid w:val="002D54EB"/>
    <w:rsid w:val="002E1628"/>
    <w:rsid w:val="002F5E1A"/>
    <w:rsid w:val="002F64BD"/>
    <w:rsid w:val="00301415"/>
    <w:rsid w:val="0030198A"/>
    <w:rsid w:val="003020FC"/>
    <w:rsid w:val="00302538"/>
    <w:rsid w:val="00313645"/>
    <w:rsid w:val="00320AAA"/>
    <w:rsid w:val="00323206"/>
    <w:rsid w:val="003274DC"/>
    <w:rsid w:val="00330C26"/>
    <w:rsid w:val="0033349D"/>
    <w:rsid w:val="00334E46"/>
    <w:rsid w:val="00337CFF"/>
    <w:rsid w:val="00341B17"/>
    <w:rsid w:val="003443DA"/>
    <w:rsid w:val="00352577"/>
    <w:rsid w:val="00353847"/>
    <w:rsid w:val="00353EBF"/>
    <w:rsid w:val="0035519B"/>
    <w:rsid w:val="00356914"/>
    <w:rsid w:val="00363569"/>
    <w:rsid w:val="00370C56"/>
    <w:rsid w:val="00372F48"/>
    <w:rsid w:val="00375D02"/>
    <w:rsid w:val="00377CA9"/>
    <w:rsid w:val="00380D88"/>
    <w:rsid w:val="00393E97"/>
    <w:rsid w:val="003A09BD"/>
    <w:rsid w:val="003A402D"/>
    <w:rsid w:val="003B1069"/>
    <w:rsid w:val="003B14CE"/>
    <w:rsid w:val="003B492C"/>
    <w:rsid w:val="003B540A"/>
    <w:rsid w:val="003B6998"/>
    <w:rsid w:val="003C6607"/>
    <w:rsid w:val="003C6968"/>
    <w:rsid w:val="003D07C9"/>
    <w:rsid w:val="003D5626"/>
    <w:rsid w:val="003E2703"/>
    <w:rsid w:val="003E3014"/>
    <w:rsid w:val="003E5861"/>
    <w:rsid w:val="003F0BAC"/>
    <w:rsid w:val="003F45D7"/>
    <w:rsid w:val="003F57A3"/>
    <w:rsid w:val="003F73A4"/>
    <w:rsid w:val="0040232E"/>
    <w:rsid w:val="00406288"/>
    <w:rsid w:val="00410B75"/>
    <w:rsid w:val="004169EF"/>
    <w:rsid w:val="0042173D"/>
    <w:rsid w:val="00421DAA"/>
    <w:rsid w:val="00423D66"/>
    <w:rsid w:val="00424DE8"/>
    <w:rsid w:val="0042680E"/>
    <w:rsid w:val="004318E3"/>
    <w:rsid w:val="00431903"/>
    <w:rsid w:val="00436CFA"/>
    <w:rsid w:val="00442DFA"/>
    <w:rsid w:val="004632F2"/>
    <w:rsid w:val="00467A81"/>
    <w:rsid w:val="00471184"/>
    <w:rsid w:val="004775EC"/>
    <w:rsid w:val="004803F6"/>
    <w:rsid w:val="00482B9B"/>
    <w:rsid w:val="00486629"/>
    <w:rsid w:val="004914A8"/>
    <w:rsid w:val="0049395E"/>
    <w:rsid w:val="004B1911"/>
    <w:rsid w:val="004B1BE5"/>
    <w:rsid w:val="004B4DC3"/>
    <w:rsid w:val="004B5EC4"/>
    <w:rsid w:val="004C43A4"/>
    <w:rsid w:val="004C46E8"/>
    <w:rsid w:val="004D0D88"/>
    <w:rsid w:val="004D6F40"/>
    <w:rsid w:val="004F6415"/>
    <w:rsid w:val="004F6A8F"/>
    <w:rsid w:val="00500811"/>
    <w:rsid w:val="00505FC0"/>
    <w:rsid w:val="00506246"/>
    <w:rsid w:val="00510337"/>
    <w:rsid w:val="0051126E"/>
    <w:rsid w:val="005127FE"/>
    <w:rsid w:val="00514936"/>
    <w:rsid w:val="00527BAF"/>
    <w:rsid w:val="00534292"/>
    <w:rsid w:val="00537B4B"/>
    <w:rsid w:val="00543345"/>
    <w:rsid w:val="00544D51"/>
    <w:rsid w:val="005463C0"/>
    <w:rsid w:val="00553232"/>
    <w:rsid w:val="0055724E"/>
    <w:rsid w:val="00557C9F"/>
    <w:rsid w:val="00562D35"/>
    <w:rsid w:val="00565A25"/>
    <w:rsid w:val="00566D4F"/>
    <w:rsid w:val="00572823"/>
    <w:rsid w:val="00572C62"/>
    <w:rsid w:val="0058147E"/>
    <w:rsid w:val="0058318F"/>
    <w:rsid w:val="0059228C"/>
    <w:rsid w:val="005A1CD1"/>
    <w:rsid w:val="005A54C7"/>
    <w:rsid w:val="005A5E23"/>
    <w:rsid w:val="005B4CD3"/>
    <w:rsid w:val="005C0D2D"/>
    <w:rsid w:val="005C27B0"/>
    <w:rsid w:val="005C780E"/>
    <w:rsid w:val="005D3E50"/>
    <w:rsid w:val="005D4A4C"/>
    <w:rsid w:val="005D7993"/>
    <w:rsid w:val="005E1307"/>
    <w:rsid w:val="005E7F3F"/>
    <w:rsid w:val="005F1647"/>
    <w:rsid w:val="00600DF7"/>
    <w:rsid w:val="006107B4"/>
    <w:rsid w:val="00616298"/>
    <w:rsid w:val="00624F0B"/>
    <w:rsid w:val="00627948"/>
    <w:rsid w:val="006359FD"/>
    <w:rsid w:val="006413E7"/>
    <w:rsid w:val="0064527F"/>
    <w:rsid w:val="00645B82"/>
    <w:rsid w:val="0064789F"/>
    <w:rsid w:val="00663225"/>
    <w:rsid w:val="00664D22"/>
    <w:rsid w:val="00681FEA"/>
    <w:rsid w:val="00683649"/>
    <w:rsid w:val="00692C2A"/>
    <w:rsid w:val="00693355"/>
    <w:rsid w:val="00696A21"/>
    <w:rsid w:val="006A074F"/>
    <w:rsid w:val="006A25D5"/>
    <w:rsid w:val="006A2CBC"/>
    <w:rsid w:val="006A4CAE"/>
    <w:rsid w:val="006A5B14"/>
    <w:rsid w:val="006B1698"/>
    <w:rsid w:val="006B19A4"/>
    <w:rsid w:val="006C4B43"/>
    <w:rsid w:val="006C64D6"/>
    <w:rsid w:val="006D76F6"/>
    <w:rsid w:val="006D7E38"/>
    <w:rsid w:val="006E04B6"/>
    <w:rsid w:val="006E04F6"/>
    <w:rsid w:val="006E519B"/>
    <w:rsid w:val="006E5D15"/>
    <w:rsid w:val="006E65C5"/>
    <w:rsid w:val="006F0283"/>
    <w:rsid w:val="006F434E"/>
    <w:rsid w:val="007058D8"/>
    <w:rsid w:val="00707D33"/>
    <w:rsid w:val="00716842"/>
    <w:rsid w:val="007206D8"/>
    <w:rsid w:val="00722546"/>
    <w:rsid w:val="00727E2D"/>
    <w:rsid w:val="0073042C"/>
    <w:rsid w:val="00732AEA"/>
    <w:rsid w:val="007362C4"/>
    <w:rsid w:val="00742DD3"/>
    <w:rsid w:val="00745087"/>
    <w:rsid w:val="00746646"/>
    <w:rsid w:val="00752F5B"/>
    <w:rsid w:val="00753EA4"/>
    <w:rsid w:val="00757D6A"/>
    <w:rsid w:val="00773782"/>
    <w:rsid w:val="007762D1"/>
    <w:rsid w:val="00776660"/>
    <w:rsid w:val="00780AFB"/>
    <w:rsid w:val="00780DD5"/>
    <w:rsid w:val="007925E6"/>
    <w:rsid w:val="00796029"/>
    <w:rsid w:val="0079771A"/>
    <w:rsid w:val="007A1EC7"/>
    <w:rsid w:val="007A5F4D"/>
    <w:rsid w:val="007A6EE6"/>
    <w:rsid w:val="007B02D3"/>
    <w:rsid w:val="007B0584"/>
    <w:rsid w:val="007B2579"/>
    <w:rsid w:val="007B2608"/>
    <w:rsid w:val="007B2A40"/>
    <w:rsid w:val="007B5E54"/>
    <w:rsid w:val="007B6DFC"/>
    <w:rsid w:val="007C0575"/>
    <w:rsid w:val="007C1412"/>
    <w:rsid w:val="007C2525"/>
    <w:rsid w:val="007D59D9"/>
    <w:rsid w:val="007D7986"/>
    <w:rsid w:val="007E28FF"/>
    <w:rsid w:val="007E6FFA"/>
    <w:rsid w:val="007F1F1F"/>
    <w:rsid w:val="008011D3"/>
    <w:rsid w:val="00803642"/>
    <w:rsid w:val="00806B35"/>
    <w:rsid w:val="00807AF8"/>
    <w:rsid w:val="00811549"/>
    <w:rsid w:val="00820871"/>
    <w:rsid w:val="00826594"/>
    <w:rsid w:val="008306B7"/>
    <w:rsid w:val="00832BDB"/>
    <w:rsid w:val="00832CD0"/>
    <w:rsid w:val="008354E6"/>
    <w:rsid w:val="0084025F"/>
    <w:rsid w:val="00842121"/>
    <w:rsid w:val="00846B4A"/>
    <w:rsid w:val="0085033B"/>
    <w:rsid w:val="00850F6E"/>
    <w:rsid w:val="0085171E"/>
    <w:rsid w:val="00853D4E"/>
    <w:rsid w:val="008554C7"/>
    <w:rsid w:val="008830B5"/>
    <w:rsid w:val="00885469"/>
    <w:rsid w:val="00890724"/>
    <w:rsid w:val="008A2EE7"/>
    <w:rsid w:val="008A6FC4"/>
    <w:rsid w:val="008B2CC9"/>
    <w:rsid w:val="008B4344"/>
    <w:rsid w:val="008B43C9"/>
    <w:rsid w:val="008B6C2D"/>
    <w:rsid w:val="008B7484"/>
    <w:rsid w:val="008C44D4"/>
    <w:rsid w:val="008C6C57"/>
    <w:rsid w:val="008D0E9A"/>
    <w:rsid w:val="008D18BF"/>
    <w:rsid w:val="008D32F2"/>
    <w:rsid w:val="008D51C7"/>
    <w:rsid w:val="008E038E"/>
    <w:rsid w:val="008E0A02"/>
    <w:rsid w:val="00901F65"/>
    <w:rsid w:val="009038D7"/>
    <w:rsid w:val="00905DBC"/>
    <w:rsid w:val="00907E6C"/>
    <w:rsid w:val="0091102F"/>
    <w:rsid w:val="009220E1"/>
    <w:rsid w:val="009333A5"/>
    <w:rsid w:val="00936DAE"/>
    <w:rsid w:val="009411EA"/>
    <w:rsid w:val="009419A4"/>
    <w:rsid w:val="00942BC9"/>
    <w:rsid w:val="0094366B"/>
    <w:rsid w:val="009535F2"/>
    <w:rsid w:val="0095639D"/>
    <w:rsid w:val="00964D16"/>
    <w:rsid w:val="009652F6"/>
    <w:rsid w:val="00977818"/>
    <w:rsid w:val="0098607F"/>
    <w:rsid w:val="009A4B18"/>
    <w:rsid w:val="009B00A8"/>
    <w:rsid w:val="009C3429"/>
    <w:rsid w:val="009E44C5"/>
    <w:rsid w:val="009E67C2"/>
    <w:rsid w:val="009F09B7"/>
    <w:rsid w:val="009F3291"/>
    <w:rsid w:val="009F5341"/>
    <w:rsid w:val="009F6D91"/>
    <w:rsid w:val="009F7466"/>
    <w:rsid w:val="00A009FF"/>
    <w:rsid w:val="00A0149E"/>
    <w:rsid w:val="00A023AB"/>
    <w:rsid w:val="00A059FC"/>
    <w:rsid w:val="00A06EE9"/>
    <w:rsid w:val="00A11498"/>
    <w:rsid w:val="00A20AFA"/>
    <w:rsid w:val="00A235BE"/>
    <w:rsid w:val="00A2728B"/>
    <w:rsid w:val="00A30642"/>
    <w:rsid w:val="00A500CE"/>
    <w:rsid w:val="00A5146B"/>
    <w:rsid w:val="00A525BF"/>
    <w:rsid w:val="00A55A10"/>
    <w:rsid w:val="00A56BD3"/>
    <w:rsid w:val="00A63AB1"/>
    <w:rsid w:val="00A64E0E"/>
    <w:rsid w:val="00A66C2F"/>
    <w:rsid w:val="00A821EF"/>
    <w:rsid w:val="00A92C1C"/>
    <w:rsid w:val="00AA0325"/>
    <w:rsid w:val="00AC0EFF"/>
    <w:rsid w:val="00AD1917"/>
    <w:rsid w:val="00AD2728"/>
    <w:rsid w:val="00AD3DE7"/>
    <w:rsid w:val="00AD50DE"/>
    <w:rsid w:val="00AE1729"/>
    <w:rsid w:val="00AE1EEB"/>
    <w:rsid w:val="00AE3050"/>
    <w:rsid w:val="00AE3B47"/>
    <w:rsid w:val="00AE4D19"/>
    <w:rsid w:val="00AF23C1"/>
    <w:rsid w:val="00AF26AC"/>
    <w:rsid w:val="00AF3D44"/>
    <w:rsid w:val="00B00BDE"/>
    <w:rsid w:val="00B04C7E"/>
    <w:rsid w:val="00B0658E"/>
    <w:rsid w:val="00B16868"/>
    <w:rsid w:val="00B17589"/>
    <w:rsid w:val="00B2079E"/>
    <w:rsid w:val="00B21D95"/>
    <w:rsid w:val="00B22BEC"/>
    <w:rsid w:val="00B354FA"/>
    <w:rsid w:val="00B40A7B"/>
    <w:rsid w:val="00B424E5"/>
    <w:rsid w:val="00B57D63"/>
    <w:rsid w:val="00B61D92"/>
    <w:rsid w:val="00B66347"/>
    <w:rsid w:val="00B679BC"/>
    <w:rsid w:val="00B73055"/>
    <w:rsid w:val="00B778D7"/>
    <w:rsid w:val="00B83F76"/>
    <w:rsid w:val="00B91E36"/>
    <w:rsid w:val="00B96421"/>
    <w:rsid w:val="00BA0A7C"/>
    <w:rsid w:val="00BA1227"/>
    <w:rsid w:val="00BA6A37"/>
    <w:rsid w:val="00BB335C"/>
    <w:rsid w:val="00BD4225"/>
    <w:rsid w:val="00BD4861"/>
    <w:rsid w:val="00BD5EA4"/>
    <w:rsid w:val="00BD7399"/>
    <w:rsid w:val="00BE08CA"/>
    <w:rsid w:val="00BE0B48"/>
    <w:rsid w:val="00BE4357"/>
    <w:rsid w:val="00BE46B3"/>
    <w:rsid w:val="00BE5AE6"/>
    <w:rsid w:val="00BE61D2"/>
    <w:rsid w:val="00BF1CB8"/>
    <w:rsid w:val="00C014AC"/>
    <w:rsid w:val="00C036B8"/>
    <w:rsid w:val="00C11BAA"/>
    <w:rsid w:val="00C139C2"/>
    <w:rsid w:val="00C15490"/>
    <w:rsid w:val="00C167F6"/>
    <w:rsid w:val="00C16A7A"/>
    <w:rsid w:val="00C22774"/>
    <w:rsid w:val="00C22FB3"/>
    <w:rsid w:val="00C234FB"/>
    <w:rsid w:val="00C31E69"/>
    <w:rsid w:val="00C31F46"/>
    <w:rsid w:val="00C343D0"/>
    <w:rsid w:val="00C37295"/>
    <w:rsid w:val="00C47822"/>
    <w:rsid w:val="00C619E4"/>
    <w:rsid w:val="00C62ADE"/>
    <w:rsid w:val="00C66E44"/>
    <w:rsid w:val="00C72820"/>
    <w:rsid w:val="00C73C75"/>
    <w:rsid w:val="00C7427C"/>
    <w:rsid w:val="00C74561"/>
    <w:rsid w:val="00C81BF6"/>
    <w:rsid w:val="00C906F8"/>
    <w:rsid w:val="00CA371C"/>
    <w:rsid w:val="00CA6445"/>
    <w:rsid w:val="00CA6810"/>
    <w:rsid w:val="00CA6C8E"/>
    <w:rsid w:val="00CB2DA7"/>
    <w:rsid w:val="00CB3AD9"/>
    <w:rsid w:val="00CB576A"/>
    <w:rsid w:val="00CC1E06"/>
    <w:rsid w:val="00CC288E"/>
    <w:rsid w:val="00CD2A44"/>
    <w:rsid w:val="00CD6DF6"/>
    <w:rsid w:val="00CE36C9"/>
    <w:rsid w:val="00CF41B2"/>
    <w:rsid w:val="00D01A75"/>
    <w:rsid w:val="00D04587"/>
    <w:rsid w:val="00D0474B"/>
    <w:rsid w:val="00D13043"/>
    <w:rsid w:val="00D300C8"/>
    <w:rsid w:val="00D3235F"/>
    <w:rsid w:val="00D3429C"/>
    <w:rsid w:val="00D349E4"/>
    <w:rsid w:val="00D362CC"/>
    <w:rsid w:val="00D41413"/>
    <w:rsid w:val="00D45047"/>
    <w:rsid w:val="00D4763B"/>
    <w:rsid w:val="00D51184"/>
    <w:rsid w:val="00D54C22"/>
    <w:rsid w:val="00D55936"/>
    <w:rsid w:val="00D60248"/>
    <w:rsid w:val="00D60690"/>
    <w:rsid w:val="00D60FD1"/>
    <w:rsid w:val="00D62FE5"/>
    <w:rsid w:val="00D6316E"/>
    <w:rsid w:val="00D703A6"/>
    <w:rsid w:val="00D70641"/>
    <w:rsid w:val="00D75161"/>
    <w:rsid w:val="00D77043"/>
    <w:rsid w:val="00D8153E"/>
    <w:rsid w:val="00D83236"/>
    <w:rsid w:val="00D92962"/>
    <w:rsid w:val="00D94A19"/>
    <w:rsid w:val="00DA4081"/>
    <w:rsid w:val="00DA56A8"/>
    <w:rsid w:val="00DB2718"/>
    <w:rsid w:val="00DB2C9E"/>
    <w:rsid w:val="00DB7D72"/>
    <w:rsid w:val="00DC577F"/>
    <w:rsid w:val="00DD2890"/>
    <w:rsid w:val="00DD2F8D"/>
    <w:rsid w:val="00DE7B0D"/>
    <w:rsid w:val="00DF1109"/>
    <w:rsid w:val="00DF2506"/>
    <w:rsid w:val="00DF32B8"/>
    <w:rsid w:val="00E04784"/>
    <w:rsid w:val="00E0553B"/>
    <w:rsid w:val="00E12441"/>
    <w:rsid w:val="00E13A3D"/>
    <w:rsid w:val="00E20E98"/>
    <w:rsid w:val="00E23F51"/>
    <w:rsid w:val="00E2484E"/>
    <w:rsid w:val="00E25CD7"/>
    <w:rsid w:val="00E35660"/>
    <w:rsid w:val="00E35E2B"/>
    <w:rsid w:val="00E42EAA"/>
    <w:rsid w:val="00E4788C"/>
    <w:rsid w:val="00E503BD"/>
    <w:rsid w:val="00E50C8F"/>
    <w:rsid w:val="00E532E2"/>
    <w:rsid w:val="00E5659C"/>
    <w:rsid w:val="00E56EB4"/>
    <w:rsid w:val="00E61A3F"/>
    <w:rsid w:val="00E6435A"/>
    <w:rsid w:val="00E6764D"/>
    <w:rsid w:val="00E720F7"/>
    <w:rsid w:val="00E80EC2"/>
    <w:rsid w:val="00E85733"/>
    <w:rsid w:val="00E96705"/>
    <w:rsid w:val="00E96BBC"/>
    <w:rsid w:val="00E96CCA"/>
    <w:rsid w:val="00EA3C64"/>
    <w:rsid w:val="00EA509F"/>
    <w:rsid w:val="00EA573E"/>
    <w:rsid w:val="00EA66C9"/>
    <w:rsid w:val="00EB1C84"/>
    <w:rsid w:val="00EB278C"/>
    <w:rsid w:val="00EB332F"/>
    <w:rsid w:val="00EB5731"/>
    <w:rsid w:val="00EB6CC6"/>
    <w:rsid w:val="00EC06FD"/>
    <w:rsid w:val="00EC1A47"/>
    <w:rsid w:val="00EC32D5"/>
    <w:rsid w:val="00EC5C1C"/>
    <w:rsid w:val="00EC7420"/>
    <w:rsid w:val="00EC7A19"/>
    <w:rsid w:val="00EE1983"/>
    <w:rsid w:val="00EE1E16"/>
    <w:rsid w:val="00EE72A5"/>
    <w:rsid w:val="00F1392A"/>
    <w:rsid w:val="00F14191"/>
    <w:rsid w:val="00F31AFE"/>
    <w:rsid w:val="00F329E0"/>
    <w:rsid w:val="00F333D3"/>
    <w:rsid w:val="00F455A4"/>
    <w:rsid w:val="00F552DF"/>
    <w:rsid w:val="00F63F35"/>
    <w:rsid w:val="00F64ECB"/>
    <w:rsid w:val="00F67075"/>
    <w:rsid w:val="00F720F7"/>
    <w:rsid w:val="00F726C8"/>
    <w:rsid w:val="00F758D2"/>
    <w:rsid w:val="00F76B46"/>
    <w:rsid w:val="00F91EE8"/>
    <w:rsid w:val="00F92592"/>
    <w:rsid w:val="00F941B8"/>
    <w:rsid w:val="00FA2534"/>
    <w:rsid w:val="00FA2D87"/>
    <w:rsid w:val="00FA6CCC"/>
    <w:rsid w:val="00FB1DC7"/>
    <w:rsid w:val="00FB253F"/>
    <w:rsid w:val="00FC37E4"/>
    <w:rsid w:val="00FC45F1"/>
    <w:rsid w:val="00FC7DF0"/>
    <w:rsid w:val="00FD4C39"/>
    <w:rsid w:val="00FE2004"/>
    <w:rsid w:val="00FF0CAA"/>
    <w:rsid w:val="00FF41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DCAA"/>
  <w15:chartTrackingRefBased/>
  <w15:docId w15:val="{9E7671B1-1F41-4CA9-8587-47DFC4E3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412"/>
    <w:rPr>
      <w:rFonts w:eastAsiaTheme="majorEastAsia" w:cstheme="majorBidi"/>
      <w:color w:val="272727" w:themeColor="text1" w:themeTint="D8"/>
    </w:rPr>
  </w:style>
  <w:style w:type="paragraph" w:styleId="Title">
    <w:name w:val="Title"/>
    <w:basedOn w:val="Normal"/>
    <w:next w:val="Normal"/>
    <w:link w:val="TitleChar"/>
    <w:uiPriority w:val="10"/>
    <w:qFormat/>
    <w:rsid w:val="007C1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412"/>
    <w:pPr>
      <w:spacing w:before="160"/>
      <w:jc w:val="center"/>
    </w:pPr>
    <w:rPr>
      <w:i/>
      <w:iCs/>
      <w:color w:val="404040" w:themeColor="text1" w:themeTint="BF"/>
    </w:rPr>
  </w:style>
  <w:style w:type="character" w:customStyle="1" w:styleId="QuoteChar">
    <w:name w:val="Quote Char"/>
    <w:basedOn w:val="DefaultParagraphFont"/>
    <w:link w:val="Quote"/>
    <w:uiPriority w:val="29"/>
    <w:rsid w:val="007C1412"/>
    <w:rPr>
      <w:i/>
      <w:iCs/>
      <w:color w:val="404040" w:themeColor="text1" w:themeTint="BF"/>
    </w:rPr>
  </w:style>
  <w:style w:type="paragraph" w:styleId="ListParagraph">
    <w:name w:val="List Paragraph"/>
    <w:basedOn w:val="Normal"/>
    <w:uiPriority w:val="34"/>
    <w:qFormat/>
    <w:rsid w:val="007C1412"/>
    <w:pPr>
      <w:ind w:left="720"/>
      <w:contextualSpacing/>
    </w:pPr>
  </w:style>
  <w:style w:type="character" w:styleId="IntenseEmphasis">
    <w:name w:val="Intense Emphasis"/>
    <w:basedOn w:val="DefaultParagraphFont"/>
    <w:uiPriority w:val="21"/>
    <w:qFormat/>
    <w:rsid w:val="007C1412"/>
    <w:rPr>
      <w:i/>
      <w:iCs/>
      <w:color w:val="0F4761" w:themeColor="accent1" w:themeShade="BF"/>
    </w:rPr>
  </w:style>
  <w:style w:type="paragraph" w:styleId="IntenseQuote">
    <w:name w:val="Intense Quote"/>
    <w:basedOn w:val="Normal"/>
    <w:next w:val="Normal"/>
    <w:link w:val="IntenseQuoteChar"/>
    <w:uiPriority w:val="30"/>
    <w:qFormat/>
    <w:rsid w:val="007C1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412"/>
    <w:rPr>
      <w:i/>
      <w:iCs/>
      <w:color w:val="0F4761" w:themeColor="accent1" w:themeShade="BF"/>
    </w:rPr>
  </w:style>
  <w:style w:type="character" w:styleId="IntenseReference">
    <w:name w:val="Intense Reference"/>
    <w:basedOn w:val="DefaultParagraphFont"/>
    <w:uiPriority w:val="32"/>
    <w:qFormat/>
    <w:rsid w:val="007C1412"/>
    <w:rPr>
      <w:b/>
      <w:bCs/>
      <w:smallCaps/>
      <w:color w:val="0F4761" w:themeColor="accent1" w:themeShade="BF"/>
      <w:spacing w:val="5"/>
    </w:rPr>
  </w:style>
  <w:style w:type="paragraph" w:styleId="FootnoteText">
    <w:name w:val="footnote text"/>
    <w:basedOn w:val="Normal"/>
    <w:link w:val="FootnoteTextChar"/>
    <w:uiPriority w:val="99"/>
    <w:semiHidden/>
    <w:unhideWhenUsed/>
    <w:rsid w:val="00B83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F76"/>
    <w:rPr>
      <w:sz w:val="20"/>
      <w:szCs w:val="20"/>
    </w:rPr>
  </w:style>
  <w:style w:type="character" w:styleId="FootnoteReference">
    <w:name w:val="footnote reference"/>
    <w:basedOn w:val="DefaultParagraphFont"/>
    <w:uiPriority w:val="99"/>
    <w:semiHidden/>
    <w:unhideWhenUsed/>
    <w:rsid w:val="00B83F76"/>
    <w:rPr>
      <w:vertAlign w:val="superscript"/>
    </w:rPr>
  </w:style>
  <w:style w:type="character" w:styleId="Hyperlink">
    <w:name w:val="Hyperlink"/>
    <w:basedOn w:val="DefaultParagraphFont"/>
    <w:uiPriority w:val="99"/>
    <w:unhideWhenUsed/>
    <w:rsid w:val="00B2079E"/>
    <w:rPr>
      <w:color w:val="467886" w:themeColor="hyperlink"/>
      <w:u w:val="single"/>
    </w:rPr>
  </w:style>
  <w:style w:type="character" w:styleId="UnresolvedMention">
    <w:name w:val="Unresolved Mention"/>
    <w:basedOn w:val="DefaultParagraphFont"/>
    <w:uiPriority w:val="99"/>
    <w:semiHidden/>
    <w:unhideWhenUsed/>
    <w:rsid w:val="00B2079E"/>
    <w:rPr>
      <w:color w:val="605E5C"/>
      <w:shd w:val="clear" w:color="auto" w:fill="E1DFDD"/>
    </w:rPr>
  </w:style>
  <w:style w:type="paragraph" w:styleId="Revision">
    <w:name w:val="Revision"/>
    <w:hidden/>
    <w:uiPriority w:val="99"/>
    <w:semiHidden/>
    <w:rsid w:val="004169EF"/>
    <w:pPr>
      <w:spacing w:after="0" w:line="240" w:lineRule="auto"/>
    </w:pPr>
  </w:style>
  <w:style w:type="character" w:styleId="CommentReference">
    <w:name w:val="annotation reference"/>
    <w:basedOn w:val="DefaultParagraphFont"/>
    <w:uiPriority w:val="99"/>
    <w:semiHidden/>
    <w:unhideWhenUsed/>
    <w:rsid w:val="004169EF"/>
    <w:rPr>
      <w:sz w:val="16"/>
      <w:szCs w:val="16"/>
    </w:rPr>
  </w:style>
  <w:style w:type="paragraph" w:styleId="CommentText">
    <w:name w:val="annotation text"/>
    <w:basedOn w:val="Normal"/>
    <w:link w:val="CommentTextChar"/>
    <w:uiPriority w:val="99"/>
    <w:unhideWhenUsed/>
    <w:rsid w:val="004169EF"/>
    <w:pPr>
      <w:spacing w:line="240" w:lineRule="auto"/>
    </w:pPr>
    <w:rPr>
      <w:sz w:val="20"/>
      <w:szCs w:val="20"/>
    </w:rPr>
  </w:style>
  <w:style w:type="character" w:customStyle="1" w:styleId="CommentTextChar">
    <w:name w:val="Comment Text Char"/>
    <w:basedOn w:val="DefaultParagraphFont"/>
    <w:link w:val="CommentText"/>
    <w:uiPriority w:val="99"/>
    <w:rsid w:val="004169EF"/>
    <w:rPr>
      <w:sz w:val="20"/>
      <w:szCs w:val="20"/>
    </w:rPr>
  </w:style>
  <w:style w:type="paragraph" w:styleId="CommentSubject">
    <w:name w:val="annotation subject"/>
    <w:basedOn w:val="CommentText"/>
    <w:next w:val="CommentText"/>
    <w:link w:val="CommentSubjectChar"/>
    <w:uiPriority w:val="99"/>
    <w:semiHidden/>
    <w:unhideWhenUsed/>
    <w:rsid w:val="004169EF"/>
    <w:rPr>
      <w:b/>
      <w:bCs/>
    </w:rPr>
  </w:style>
  <w:style w:type="character" w:customStyle="1" w:styleId="CommentSubjectChar">
    <w:name w:val="Comment Subject Char"/>
    <w:basedOn w:val="CommentTextChar"/>
    <w:link w:val="CommentSubject"/>
    <w:uiPriority w:val="99"/>
    <w:semiHidden/>
    <w:rsid w:val="004169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64926BCEE9D479578E7BFC13729DD" ma:contentTypeVersion="18" ma:contentTypeDescription="Create a new document." ma:contentTypeScope="" ma:versionID="d3e5ac5838665ceac199d8c13a16f6f9">
  <xsd:schema xmlns:xsd="http://www.w3.org/2001/XMLSchema" xmlns:xs="http://www.w3.org/2001/XMLSchema" xmlns:p="http://schemas.microsoft.com/office/2006/metadata/properties" xmlns:ns3="5fda5b60-7a38-4c00-a17a-7387733e2669" xmlns:ns4="64c58acc-d47f-433d-b925-6b7c54777e55" targetNamespace="http://schemas.microsoft.com/office/2006/metadata/properties" ma:root="true" ma:fieldsID="e1faed9d8fe8075ac1fb8e17aec6b33f" ns3:_="" ns4:_="">
    <xsd:import namespace="5fda5b60-7a38-4c00-a17a-7387733e2669"/>
    <xsd:import namespace="64c58acc-d47f-433d-b925-6b7c54777e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Location"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a5b60-7a38-4c00-a17a-7387733e2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58acc-d47f-433d-b925-6b7c54777e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fda5b60-7a38-4c00-a17a-7387733e2669" xsi:nil="true"/>
  </documentManagement>
</p:properties>
</file>

<file path=customXml/itemProps1.xml><?xml version="1.0" encoding="utf-8"?>
<ds:datastoreItem xmlns:ds="http://schemas.openxmlformats.org/officeDocument/2006/customXml" ds:itemID="{BB360358-C41D-4F2F-94F2-B30F354A1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a5b60-7a38-4c00-a17a-7387733e2669"/>
    <ds:schemaRef ds:uri="64c58acc-d47f-433d-b925-6b7c54777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CD511-EFB8-4D65-A24F-8A44F1FA2952}">
  <ds:schemaRefs>
    <ds:schemaRef ds:uri="http://schemas.openxmlformats.org/officeDocument/2006/bibliography"/>
  </ds:schemaRefs>
</ds:datastoreItem>
</file>

<file path=customXml/itemProps3.xml><?xml version="1.0" encoding="utf-8"?>
<ds:datastoreItem xmlns:ds="http://schemas.openxmlformats.org/officeDocument/2006/customXml" ds:itemID="{62883A61-19DE-43C6-8A26-B58D00E7F191}">
  <ds:schemaRefs>
    <ds:schemaRef ds:uri="http://schemas.microsoft.com/sharepoint/v3/contenttype/forms"/>
  </ds:schemaRefs>
</ds:datastoreItem>
</file>

<file path=customXml/itemProps4.xml><?xml version="1.0" encoding="utf-8"?>
<ds:datastoreItem xmlns:ds="http://schemas.openxmlformats.org/officeDocument/2006/customXml" ds:itemID="{3596B7A3-B1CC-470C-A4D8-3CE07C003275}">
  <ds:schemaRefs>
    <ds:schemaRef ds:uri="http://schemas.microsoft.com/office/2006/metadata/properties"/>
    <ds:schemaRef ds:uri="http://schemas.microsoft.com/office/infopath/2007/PartnerControls"/>
    <ds:schemaRef ds:uri="5fda5b60-7a38-4c00-a17a-7387733e2669"/>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Carr</dc:creator>
  <cp:keywords/>
  <dc:description/>
  <cp:lastModifiedBy>Carr, Tribunal Judge Helen</cp:lastModifiedBy>
  <cp:revision>6</cp:revision>
  <dcterms:created xsi:type="dcterms:W3CDTF">2025-01-05T15:25:00Z</dcterms:created>
  <dcterms:modified xsi:type="dcterms:W3CDTF">2025-01-12T12:15:00Z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0x0101007FF64926BCEE9D479578E7BFC13729DD</vt:lpwstr>
  </property>
</Properties>
</file>