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C8A9" w14:textId="7534F3AA" w:rsidR="003D302E" w:rsidRPr="001C7821" w:rsidRDefault="00D14D6E" w:rsidP="001C7821">
      <w:pPr>
        <w:spacing w:line="480" w:lineRule="auto"/>
        <w:jc w:val="both"/>
      </w:pPr>
      <w:r w:rsidRPr="001C7821">
        <w:t xml:space="preserve">Temporal prescribing trends in </w:t>
      </w:r>
      <w:r w:rsidR="003572B8">
        <w:t>AIH</w:t>
      </w:r>
      <w:r w:rsidR="003E0A1E">
        <w:t xml:space="preserve">: </w:t>
      </w:r>
      <w:r w:rsidRPr="001C7821">
        <w:t>Exploring the influence of early thiopurine use on corticosteroid dependency and biochemical response</w:t>
      </w:r>
    </w:p>
    <w:p w14:paraId="5FBA7CC4" w14:textId="77777777" w:rsidR="00165C25" w:rsidRPr="001C7821" w:rsidRDefault="00165C25" w:rsidP="001C7821">
      <w:pPr>
        <w:spacing w:line="480" w:lineRule="auto"/>
        <w:jc w:val="both"/>
      </w:pPr>
    </w:p>
    <w:p w14:paraId="281F574D" w14:textId="3CC5FE8D" w:rsidR="003D302E" w:rsidRPr="001C7821" w:rsidRDefault="003D302E" w:rsidP="001C7821">
      <w:pPr>
        <w:spacing w:line="480" w:lineRule="auto"/>
        <w:jc w:val="both"/>
        <w:rPr>
          <w:b/>
          <w:bCs/>
        </w:rPr>
      </w:pPr>
      <w:r w:rsidRPr="001C7821">
        <w:rPr>
          <w:b/>
          <w:bCs/>
        </w:rPr>
        <w:t>Authors</w:t>
      </w:r>
      <w:r w:rsidR="0042307B" w:rsidRPr="001C7821">
        <w:rPr>
          <w:b/>
          <w:bCs/>
        </w:rPr>
        <w:t>:</w:t>
      </w:r>
    </w:p>
    <w:p w14:paraId="459A045A" w14:textId="5B99F419" w:rsidR="00994AAE" w:rsidRPr="00C6265C" w:rsidRDefault="00EA1DC9" w:rsidP="001C7821">
      <w:pPr>
        <w:spacing w:line="480" w:lineRule="auto"/>
        <w:jc w:val="both"/>
      </w:pPr>
      <w:r w:rsidRPr="001C7821">
        <w:t>Sital Shah</w:t>
      </w:r>
      <w:r w:rsidR="00BB53E4" w:rsidRPr="001C7821">
        <w:rPr>
          <w:vertAlign w:val="superscript"/>
        </w:rPr>
        <w:t>1</w:t>
      </w:r>
      <w:r w:rsidR="00186C60">
        <w:rPr>
          <w:vertAlign w:val="superscript"/>
        </w:rPr>
        <w:t>,2</w:t>
      </w:r>
      <w:r w:rsidR="00C6265C">
        <w:rPr>
          <w:vertAlign w:val="superscript"/>
        </w:rPr>
        <w:t xml:space="preserve"> </w:t>
      </w:r>
      <w:proofErr w:type="spellStart"/>
      <w:r w:rsidR="00C6265C">
        <w:t>MPharm</w:t>
      </w:r>
      <w:proofErr w:type="spellEnd"/>
      <w:r w:rsidRPr="001C7821">
        <w:t>,</w:t>
      </w:r>
      <w:r w:rsidR="004C07FD" w:rsidRPr="001C7821">
        <w:t xml:space="preserve"> Yooyun Chung</w:t>
      </w:r>
      <w:r w:rsidR="00BB53E4" w:rsidRPr="001C7821">
        <w:rPr>
          <w:vertAlign w:val="superscript"/>
        </w:rPr>
        <w:t>1</w:t>
      </w:r>
      <w:r w:rsidR="00C6265C">
        <w:rPr>
          <w:vertAlign w:val="superscript"/>
        </w:rPr>
        <w:t xml:space="preserve"> </w:t>
      </w:r>
      <w:r w:rsidR="00C6265C">
        <w:t>MD</w:t>
      </w:r>
      <w:r w:rsidRPr="001C7821">
        <w:t xml:space="preserve">, </w:t>
      </w:r>
      <w:r w:rsidR="00BB53E4" w:rsidRPr="001C7821">
        <w:t>Cathrine McKenzie</w:t>
      </w:r>
      <w:r w:rsidR="00BB53E4" w:rsidRPr="001C7821">
        <w:rPr>
          <w:vertAlign w:val="superscript"/>
        </w:rPr>
        <w:t>2</w:t>
      </w:r>
      <w:r w:rsidR="004243AF">
        <w:rPr>
          <w:vertAlign w:val="superscript"/>
        </w:rPr>
        <w:t>,3</w:t>
      </w:r>
      <w:r w:rsidR="00C6265C">
        <w:rPr>
          <w:vertAlign w:val="superscript"/>
        </w:rPr>
        <w:t xml:space="preserve"> </w:t>
      </w:r>
      <w:proofErr w:type="spellStart"/>
      <w:r w:rsidR="00C6265C">
        <w:t>MPharm</w:t>
      </w:r>
      <w:proofErr w:type="spellEnd"/>
      <w:r w:rsidR="00C6265C">
        <w:t>, PhD</w:t>
      </w:r>
      <w:r w:rsidR="00BB53E4" w:rsidRPr="001C7821">
        <w:t xml:space="preserve">, </w:t>
      </w:r>
      <w:r w:rsidRPr="001C7821">
        <w:t>Maura Morrison</w:t>
      </w:r>
      <w:r w:rsidR="00BB53E4" w:rsidRPr="001C7821">
        <w:rPr>
          <w:vertAlign w:val="superscript"/>
        </w:rPr>
        <w:t>1</w:t>
      </w:r>
      <w:r w:rsidR="00C6265C">
        <w:rPr>
          <w:vertAlign w:val="superscript"/>
        </w:rPr>
        <w:t xml:space="preserve"> </w:t>
      </w:r>
      <w:r w:rsidR="00C6265C">
        <w:t>MD</w:t>
      </w:r>
      <w:r w:rsidR="00BB53E4" w:rsidRPr="001C7821">
        <w:t xml:space="preserve">, </w:t>
      </w:r>
      <w:r w:rsidR="00CD584A" w:rsidRPr="001C7821">
        <w:t>Michael</w:t>
      </w:r>
      <w:r w:rsidR="00212F4D">
        <w:t xml:space="preserve"> </w:t>
      </w:r>
      <w:r w:rsidR="009233EA">
        <w:t>A</w:t>
      </w:r>
      <w:r w:rsidR="00CD584A" w:rsidRPr="001C7821">
        <w:t xml:space="preserve"> </w:t>
      </w:r>
      <w:r w:rsidR="003D302E" w:rsidRPr="001C7821">
        <w:t>Heneghan</w:t>
      </w:r>
      <w:r w:rsidR="00BB53E4" w:rsidRPr="001C7821">
        <w:rPr>
          <w:vertAlign w:val="superscript"/>
        </w:rPr>
        <w:t>1</w:t>
      </w:r>
      <w:r w:rsidR="00C6265C">
        <w:rPr>
          <w:vertAlign w:val="superscript"/>
        </w:rPr>
        <w:t xml:space="preserve"> </w:t>
      </w:r>
      <w:r w:rsidR="00C6265C">
        <w:t xml:space="preserve">MD </w:t>
      </w:r>
      <w:proofErr w:type="spellStart"/>
      <w:r w:rsidR="00C6265C" w:rsidRPr="00C6265C">
        <w:t>MMedSc</w:t>
      </w:r>
      <w:proofErr w:type="spellEnd"/>
      <w:r w:rsidR="00C6265C" w:rsidRPr="00C6265C">
        <w:t>, FRCPI</w:t>
      </w:r>
    </w:p>
    <w:p w14:paraId="40A5CC1C" w14:textId="77777777" w:rsidR="00994AAE" w:rsidRPr="001C7821" w:rsidRDefault="00994AAE" w:rsidP="001C7821">
      <w:pPr>
        <w:spacing w:line="480" w:lineRule="auto"/>
        <w:jc w:val="both"/>
      </w:pPr>
    </w:p>
    <w:p w14:paraId="5F9D786E" w14:textId="44C2D33C" w:rsidR="00D7680B" w:rsidRPr="001C7821" w:rsidRDefault="00D14D6E" w:rsidP="001C7821">
      <w:pPr>
        <w:spacing w:line="480" w:lineRule="auto"/>
        <w:jc w:val="both"/>
        <w:rPr>
          <w:b/>
          <w:bCs/>
        </w:rPr>
      </w:pPr>
      <w:r w:rsidRPr="001C7821">
        <w:rPr>
          <w:b/>
          <w:bCs/>
        </w:rPr>
        <w:t>Affiliations:</w:t>
      </w:r>
    </w:p>
    <w:p w14:paraId="2F7B174E" w14:textId="7F9A5B62" w:rsidR="00D7680B" w:rsidRPr="001C7821" w:rsidRDefault="00D7680B" w:rsidP="001C7821">
      <w:pPr>
        <w:pStyle w:val="ListParagraph"/>
        <w:numPr>
          <w:ilvl w:val="0"/>
          <w:numId w:val="3"/>
        </w:numPr>
        <w:spacing w:line="480" w:lineRule="auto"/>
      </w:pPr>
      <w:r w:rsidRPr="001C7821">
        <w:t>King's College Hospital NHS Foundation Trust</w:t>
      </w:r>
      <w:r w:rsidR="00BB53E4" w:rsidRPr="001C7821">
        <w:t>, Institute of Liver Studies</w:t>
      </w:r>
      <w:r w:rsidR="0067103A">
        <w:t>, London, UK</w:t>
      </w:r>
    </w:p>
    <w:p w14:paraId="76FF377E" w14:textId="6BE79800" w:rsidR="00E71872" w:rsidRDefault="00E71872" w:rsidP="001C7821">
      <w:pPr>
        <w:pStyle w:val="ListParagraph"/>
        <w:numPr>
          <w:ilvl w:val="0"/>
          <w:numId w:val="3"/>
        </w:numPr>
        <w:spacing w:line="480" w:lineRule="auto"/>
      </w:pPr>
      <w:r w:rsidRPr="00E71872">
        <w:t>King's College London, Institute of Pharmaceutical Sciences, School of Cancer and Pharmacy, Faculty of Life Sciences and Medicine</w:t>
      </w:r>
      <w:r>
        <w:t xml:space="preserve">, </w:t>
      </w:r>
      <w:r w:rsidRPr="00E71872">
        <w:t>London, UK</w:t>
      </w:r>
    </w:p>
    <w:p w14:paraId="6EC04DE8" w14:textId="2EBF1F2D" w:rsidR="00F01C6D" w:rsidRPr="001C7821" w:rsidRDefault="00F01C6D" w:rsidP="001C7821">
      <w:pPr>
        <w:pStyle w:val="ListParagraph"/>
        <w:numPr>
          <w:ilvl w:val="0"/>
          <w:numId w:val="3"/>
        </w:numPr>
        <w:spacing w:line="480" w:lineRule="auto"/>
      </w:pPr>
      <w:r w:rsidRPr="001C7821">
        <w:t>University of Southampton School of Medicine, NIHR Biomedical Researc</w:t>
      </w:r>
      <w:r w:rsidR="00DB39C5">
        <w:t>h Centre, Perioperative</w:t>
      </w:r>
      <w:r w:rsidRPr="001C7821">
        <w:t>, and Critical Care theme and NIHR Wessex Applied Research Collaborative (ARC), Southampton</w:t>
      </w:r>
      <w:r w:rsidR="00E71872">
        <w:t>, UK</w:t>
      </w:r>
    </w:p>
    <w:p w14:paraId="2C0B2BAA" w14:textId="77777777" w:rsidR="00717C0A" w:rsidRPr="001C7821" w:rsidRDefault="00717C0A" w:rsidP="001C7821">
      <w:pPr>
        <w:spacing w:line="480" w:lineRule="auto"/>
      </w:pPr>
    </w:p>
    <w:p w14:paraId="4F67C31C" w14:textId="77777777" w:rsidR="00717C0A" w:rsidRPr="001C7821" w:rsidRDefault="00717C0A" w:rsidP="001C7821">
      <w:pPr>
        <w:spacing w:line="480" w:lineRule="auto"/>
        <w:jc w:val="both"/>
        <w:rPr>
          <w:b/>
          <w:bCs/>
        </w:rPr>
      </w:pPr>
      <w:r w:rsidRPr="001C7821">
        <w:rPr>
          <w:b/>
          <w:bCs/>
        </w:rPr>
        <w:t xml:space="preserve">Correspondence: </w:t>
      </w:r>
    </w:p>
    <w:p w14:paraId="5AB4F78A" w14:textId="4E5A7A16" w:rsidR="00717C0A" w:rsidRPr="001C7821" w:rsidRDefault="00C13A53" w:rsidP="001C7821">
      <w:pPr>
        <w:spacing w:line="480" w:lineRule="auto"/>
        <w:jc w:val="both"/>
      </w:pPr>
      <w:r>
        <w:t>Sital Shah</w:t>
      </w:r>
    </w:p>
    <w:p w14:paraId="6B895853" w14:textId="5D046061" w:rsidR="00717C0A" w:rsidRPr="001C7821" w:rsidRDefault="00717C0A" w:rsidP="001C7821">
      <w:pPr>
        <w:spacing w:line="480" w:lineRule="auto"/>
        <w:jc w:val="both"/>
      </w:pPr>
      <w:r w:rsidRPr="001C7821">
        <w:t xml:space="preserve">Consultant </w:t>
      </w:r>
      <w:r w:rsidR="00375D27">
        <w:t xml:space="preserve">Pharmacist, </w:t>
      </w:r>
      <w:r w:rsidRPr="001C7821">
        <w:t>Hepatology</w:t>
      </w:r>
    </w:p>
    <w:p w14:paraId="0F0E5746" w14:textId="77777777" w:rsidR="00717C0A" w:rsidRPr="001C7821" w:rsidRDefault="00717C0A" w:rsidP="001C7821">
      <w:pPr>
        <w:spacing w:line="480" w:lineRule="auto"/>
        <w:jc w:val="both"/>
      </w:pPr>
      <w:r w:rsidRPr="001C7821">
        <w:t>Institute of Liver Studies, King’s College Hospital NHS Foundation Trust</w:t>
      </w:r>
    </w:p>
    <w:p w14:paraId="3436DA4B" w14:textId="77777777" w:rsidR="00717C0A" w:rsidRPr="001C7821" w:rsidRDefault="00717C0A" w:rsidP="001C7821">
      <w:pPr>
        <w:spacing w:line="480" w:lineRule="auto"/>
        <w:jc w:val="both"/>
      </w:pPr>
      <w:r w:rsidRPr="001C7821">
        <w:t>Denmark Hill, London, SE5 9RS, United Kingdom</w:t>
      </w:r>
    </w:p>
    <w:p w14:paraId="37613C20" w14:textId="1CE22EFB" w:rsidR="00717C0A" w:rsidRPr="001C7821" w:rsidRDefault="00717C0A" w:rsidP="001C7821">
      <w:pPr>
        <w:spacing w:line="480" w:lineRule="auto"/>
        <w:jc w:val="both"/>
      </w:pPr>
      <w:r w:rsidRPr="001C7821">
        <w:t xml:space="preserve">Email: </w:t>
      </w:r>
      <w:r w:rsidR="00375D27">
        <w:t>sitalshah@nhs.net</w:t>
      </w:r>
      <w:r w:rsidRPr="001C7821">
        <w:t xml:space="preserve"> </w:t>
      </w:r>
    </w:p>
    <w:p w14:paraId="739C54A2" w14:textId="3959F226" w:rsidR="00717C0A" w:rsidRPr="001C7821" w:rsidRDefault="00717C0A" w:rsidP="001C7821">
      <w:pPr>
        <w:spacing w:line="480" w:lineRule="auto"/>
        <w:jc w:val="both"/>
      </w:pPr>
      <w:r w:rsidRPr="001C7821">
        <w:t>Phone: +44203299</w:t>
      </w:r>
      <w:r w:rsidR="00375D27">
        <w:t>5714</w:t>
      </w:r>
    </w:p>
    <w:p w14:paraId="1B3C8CDE" w14:textId="7CF4D000" w:rsidR="00165C25" w:rsidRPr="001C7821" w:rsidRDefault="00165C25" w:rsidP="001C7821">
      <w:pPr>
        <w:spacing w:line="480" w:lineRule="auto"/>
        <w:jc w:val="both"/>
      </w:pPr>
    </w:p>
    <w:p w14:paraId="76BF50AB" w14:textId="5657F57F" w:rsidR="0042307B" w:rsidRPr="001C7821" w:rsidRDefault="0042307B" w:rsidP="001C7821">
      <w:pPr>
        <w:spacing w:line="480" w:lineRule="auto"/>
        <w:jc w:val="both"/>
        <w:rPr>
          <w:b/>
          <w:bCs/>
        </w:rPr>
      </w:pPr>
      <w:r w:rsidRPr="001C7821">
        <w:rPr>
          <w:b/>
          <w:bCs/>
        </w:rPr>
        <w:t xml:space="preserve">Keywords: </w:t>
      </w:r>
      <w:r w:rsidRPr="001C7821">
        <w:t xml:space="preserve"> azathioprine, corticosteroid, </w:t>
      </w:r>
      <w:r w:rsidR="009E2DE2">
        <w:t>cumulative dose, prescribing</w:t>
      </w:r>
      <w:r w:rsidR="003572B8">
        <w:t>, autoimmune hepatitis</w:t>
      </w:r>
    </w:p>
    <w:p w14:paraId="4A5AB402" w14:textId="77777777" w:rsidR="0042307B" w:rsidRPr="001C7821" w:rsidRDefault="0042307B" w:rsidP="001C7821">
      <w:pPr>
        <w:spacing w:line="480" w:lineRule="auto"/>
        <w:jc w:val="both"/>
        <w:rPr>
          <w:b/>
          <w:bCs/>
        </w:rPr>
      </w:pPr>
    </w:p>
    <w:p w14:paraId="4E6BBB67" w14:textId="0B178259" w:rsidR="00F205FF" w:rsidRPr="001C7821" w:rsidRDefault="00E74453" w:rsidP="001C7821">
      <w:pPr>
        <w:spacing w:line="480" w:lineRule="auto"/>
        <w:jc w:val="both"/>
        <w:rPr>
          <w:b/>
          <w:bCs/>
        </w:rPr>
      </w:pPr>
      <w:r>
        <w:rPr>
          <w:b/>
          <w:bCs/>
        </w:rPr>
        <w:t>Electronic word count:</w:t>
      </w:r>
      <w:r w:rsidR="00717C0A" w:rsidRPr="001C7821">
        <w:t xml:space="preserve"> 3</w:t>
      </w:r>
      <w:r w:rsidR="004F39D0">
        <w:t>4</w:t>
      </w:r>
      <w:r w:rsidR="00EB41F4">
        <w:t>56</w:t>
      </w:r>
    </w:p>
    <w:p w14:paraId="6841ED5F" w14:textId="77777777" w:rsidR="0042307B" w:rsidRPr="001C7821" w:rsidRDefault="0042307B" w:rsidP="001C7821">
      <w:pPr>
        <w:spacing w:line="480" w:lineRule="auto"/>
        <w:jc w:val="both"/>
        <w:rPr>
          <w:b/>
          <w:u w:val="single"/>
        </w:rPr>
      </w:pPr>
    </w:p>
    <w:p w14:paraId="4E7D5C14" w14:textId="06553F7C" w:rsidR="00717C0A" w:rsidRPr="001C7821" w:rsidRDefault="00717C0A" w:rsidP="001C7821">
      <w:pPr>
        <w:spacing w:line="480" w:lineRule="auto"/>
        <w:contextualSpacing/>
        <w:jc w:val="both"/>
        <w:outlineLvl w:val="0"/>
        <w:rPr>
          <w:lang w:val="en-US"/>
        </w:rPr>
      </w:pPr>
      <w:r w:rsidRPr="001C7821">
        <w:rPr>
          <w:b/>
          <w:lang w:val="en-US"/>
        </w:rPr>
        <w:t xml:space="preserve">Conflict of Interest: </w:t>
      </w:r>
      <w:r w:rsidR="007E48B9" w:rsidRPr="007E48B9">
        <w:rPr>
          <w:bCs/>
          <w:lang w:val="en-US"/>
        </w:rPr>
        <w:t>N</w:t>
      </w:r>
      <w:r w:rsidRPr="007E48B9">
        <w:rPr>
          <w:bCs/>
          <w:lang w:val="en-US"/>
        </w:rPr>
        <w:t>one</w:t>
      </w:r>
    </w:p>
    <w:p w14:paraId="7D7FD34F" w14:textId="77777777" w:rsidR="00150B5D" w:rsidRDefault="00150B5D" w:rsidP="001C7821">
      <w:pPr>
        <w:spacing w:line="480" w:lineRule="auto"/>
        <w:contextualSpacing/>
        <w:jc w:val="both"/>
        <w:outlineLvl w:val="0"/>
        <w:rPr>
          <w:b/>
          <w:bCs/>
          <w:lang w:val="en-US"/>
        </w:rPr>
      </w:pPr>
    </w:p>
    <w:p w14:paraId="4B526E4C" w14:textId="7CBA0D8E" w:rsidR="00717C0A" w:rsidRDefault="00717C0A" w:rsidP="001C7821">
      <w:pPr>
        <w:spacing w:line="480" w:lineRule="auto"/>
        <w:contextualSpacing/>
        <w:jc w:val="both"/>
        <w:outlineLvl w:val="0"/>
        <w:rPr>
          <w:bCs/>
          <w:lang w:val="en-US"/>
        </w:rPr>
      </w:pPr>
      <w:r w:rsidRPr="005804E6">
        <w:rPr>
          <w:b/>
          <w:bCs/>
          <w:lang w:val="en-US"/>
        </w:rPr>
        <w:t>Financial Support:</w:t>
      </w:r>
      <w:r w:rsidRPr="005804E6">
        <w:rPr>
          <w:bCs/>
          <w:lang w:val="en-US"/>
        </w:rPr>
        <w:t xml:space="preserve"> </w:t>
      </w:r>
      <w:r w:rsidR="007E48B9">
        <w:rPr>
          <w:bCs/>
          <w:lang w:val="en-US"/>
        </w:rPr>
        <w:t>T</w:t>
      </w:r>
      <w:r w:rsidR="007E48B9" w:rsidRPr="007E48B9">
        <w:rPr>
          <w:bCs/>
          <w:lang w:val="en-US"/>
        </w:rPr>
        <w:t>his paper did not receive any funds or grants</w:t>
      </w:r>
    </w:p>
    <w:p w14:paraId="1057B6D9" w14:textId="77777777" w:rsidR="00717C0A" w:rsidRPr="001C7821" w:rsidRDefault="00717C0A" w:rsidP="001C7821">
      <w:pPr>
        <w:tabs>
          <w:tab w:val="left" w:pos="5981"/>
        </w:tabs>
        <w:spacing w:line="480" w:lineRule="auto"/>
        <w:jc w:val="both"/>
        <w:rPr>
          <w:b/>
          <w:bCs/>
        </w:rPr>
      </w:pPr>
    </w:p>
    <w:p w14:paraId="24507431" w14:textId="08BB311C" w:rsidR="00717C0A" w:rsidRPr="001C7821" w:rsidRDefault="00717C0A" w:rsidP="001C7821">
      <w:pPr>
        <w:tabs>
          <w:tab w:val="left" w:pos="5981"/>
        </w:tabs>
        <w:spacing w:line="480" w:lineRule="auto"/>
        <w:jc w:val="both"/>
        <w:rPr>
          <w:b/>
          <w:bCs/>
        </w:rPr>
      </w:pPr>
      <w:r w:rsidRPr="001C7821">
        <w:rPr>
          <w:b/>
          <w:bCs/>
        </w:rPr>
        <w:t>Author contribution:</w:t>
      </w:r>
    </w:p>
    <w:p w14:paraId="3D864D9F" w14:textId="19431B21" w:rsidR="00717C0A" w:rsidRPr="001C7821" w:rsidRDefault="00717C0A" w:rsidP="001C7821">
      <w:pPr>
        <w:tabs>
          <w:tab w:val="left" w:pos="5981"/>
        </w:tabs>
        <w:spacing w:line="480" w:lineRule="auto"/>
        <w:jc w:val="both"/>
      </w:pPr>
      <w:r w:rsidRPr="001C7821">
        <w:t xml:space="preserve">SS: study concept and design, acquisition of data, analysis and interpretation of data, </w:t>
      </w:r>
      <w:r w:rsidR="00D7140E" w:rsidRPr="001C7821">
        <w:t>statistical analysis</w:t>
      </w:r>
      <w:r w:rsidR="00D7140E">
        <w:t xml:space="preserve">, </w:t>
      </w:r>
      <w:r w:rsidRPr="001C7821">
        <w:t xml:space="preserve">drafting of the manuscript, critical revision of the manuscript </w:t>
      </w:r>
      <w:r w:rsidR="00D7140E">
        <w:t>and final approval of version to be published</w:t>
      </w:r>
      <w:r w:rsidR="00D7140E" w:rsidRPr="001C7821" w:rsidDel="00D7140E">
        <w:t xml:space="preserve"> </w:t>
      </w:r>
    </w:p>
    <w:p w14:paraId="645CB416" w14:textId="3E7476B6" w:rsidR="00717C0A" w:rsidRPr="001C7821" w:rsidRDefault="00717C0A" w:rsidP="001C7821">
      <w:pPr>
        <w:tabs>
          <w:tab w:val="left" w:pos="5981"/>
        </w:tabs>
        <w:spacing w:line="480" w:lineRule="auto"/>
        <w:jc w:val="both"/>
      </w:pPr>
      <w:r w:rsidRPr="001C7821">
        <w:t>YC: acquisition of data, statistical analysis,</w:t>
      </w:r>
      <w:r w:rsidR="00D7140E">
        <w:t xml:space="preserve"> critical</w:t>
      </w:r>
      <w:r w:rsidRPr="001C7821">
        <w:t xml:space="preserve"> review of manuscript</w:t>
      </w:r>
      <w:r w:rsidR="00860775">
        <w:t xml:space="preserve"> and</w:t>
      </w:r>
      <w:r w:rsidR="00D7140E">
        <w:t xml:space="preserve"> final approval of version to be published</w:t>
      </w:r>
    </w:p>
    <w:p w14:paraId="2A42A8DB" w14:textId="14FB0707" w:rsidR="00717C0A" w:rsidRPr="001C7821" w:rsidRDefault="00717C0A" w:rsidP="001C7821">
      <w:pPr>
        <w:tabs>
          <w:tab w:val="left" w:pos="5981"/>
        </w:tabs>
        <w:spacing w:line="480" w:lineRule="auto"/>
        <w:jc w:val="both"/>
      </w:pPr>
      <w:r w:rsidRPr="001C7821">
        <w:t xml:space="preserve">CM: </w:t>
      </w:r>
      <w:r w:rsidR="00D7140E">
        <w:t>Contribution to design of the work,</w:t>
      </w:r>
      <w:r w:rsidR="00D7140E" w:rsidRPr="001C7821">
        <w:t xml:space="preserve"> statistical analysis,</w:t>
      </w:r>
      <w:r w:rsidR="00D7140E">
        <w:t xml:space="preserve"> critical</w:t>
      </w:r>
      <w:r w:rsidR="00D7140E" w:rsidRPr="001C7821">
        <w:t xml:space="preserve"> review of manuscript</w:t>
      </w:r>
      <w:r w:rsidR="00860775">
        <w:t xml:space="preserve"> and</w:t>
      </w:r>
      <w:r w:rsidR="00D7140E">
        <w:t xml:space="preserve"> final approval of version to be published</w:t>
      </w:r>
    </w:p>
    <w:p w14:paraId="53759C56" w14:textId="7D494206" w:rsidR="00717C0A" w:rsidRPr="001C7821" w:rsidRDefault="00717C0A" w:rsidP="001C7821">
      <w:pPr>
        <w:tabs>
          <w:tab w:val="left" w:pos="5981"/>
        </w:tabs>
        <w:spacing w:line="480" w:lineRule="auto"/>
        <w:jc w:val="both"/>
      </w:pPr>
      <w:r w:rsidRPr="001C7821">
        <w:t xml:space="preserve">MM: </w:t>
      </w:r>
      <w:r w:rsidR="00D7140E" w:rsidRPr="001C7821">
        <w:t>acquisition of data, statistical analysis,</w:t>
      </w:r>
      <w:r w:rsidR="00D7140E">
        <w:t xml:space="preserve"> critical</w:t>
      </w:r>
      <w:r w:rsidR="00D7140E" w:rsidRPr="001C7821">
        <w:t xml:space="preserve"> review of manuscript</w:t>
      </w:r>
      <w:r w:rsidR="00D7140E">
        <w:t>, final approval of version to be published</w:t>
      </w:r>
    </w:p>
    <w:p w14:paraId="23101C80" w14:textId="1096C22F" w:rsidR="00717C0A" w:rsidRPr="001C7821" w:rsidRDefault="00717C0A" w:rsidP="001C7821">
      <w:pPr>
        <w:tabs>
          <w:tab w:val="left" w:pos="5981"/>
        </w:tabs>
        <w:spacing w:line="480" w:lineRule="auto"/>
        <w:jc w:val="both"/>
      </w:pPr>
      <w:r w:rsidRPr="001C7821">
        <w:t xml:space="preserve">MAH: </w:t>
      </w:r>
      <w:r w:rsidR="00D7140E">
        <w:t>Substantial contribution to conception and design</w:t>
      </w:r>
      <w:r w:rsidRPr="001C7821">
        <w:t>, study supervision</w:t>
      </w:r>
      <w:r w:rsidR="00D7140E">
        <w:t>, critical</w:t>
      </w:r>
      <w:r w:rsidR="00D7140E" w:rsidRPr="001C7821">
        <w:t xml:space="preserve"> review of manuscript</w:t>
      </w:r>
      <w:r w:rsidR="00D7140E">
        <w:t xml:space="preserve"> and final approval of version to be published</w:t>
      </w:r>
      <w:r w:rsidR="00860775">
        <w:t xml:space="preserve">. Overall guarantor of this study. </w:t>
      </w:r>
    </w:p>
    <w:p w14:paraId="54673C10" w14:textId="77777777" w:rsidR="0042307B" w:rsidRPr="001C7821" w:rsidRDefault="0042307B" w:rsidP="001C7821">
      <w:pPr>
        <w:spacing w:line="480" w:lineRule="auto"/>
        <w:jc w:val="both"/>
        <w:rPr>
          <w:b/>
          <w:u w:val="single"/>
        </w:rPr>
      </w:pPr>
    </w:p>
    <w:p w14:paraId="18329DD8" w14:textId="2EDB6B5E" w:rsidR="001D635C" w:rsidRDefault="001D635C" w:rsidP="001C7821">
      <w:pPr>
        <w:spacing w:line="480" w:lineRule="auto"/>
        <w:jc w:val="both"/>
        <w:rPr>
          <w:b/>
          <w:u w:val="single"/>
        </w:rPr>
      </w:pPr>
    </w:p>
    <w:p w14:paraId="32B2B3CA" w14:textId="1ED70E40" w:rsidR="004B69F5" w:rsidRDefault="004B69F5" w:rsidP="001C7821">
      <w:pPr>
        <w:spacing w:line="480" w:lineRule="auto"/>
        <w:jc w:val="both"/>
        <w:rPr>
          <w:b/>
          <w:u w:val="single"/>
        </w:rPr>
      </w:pPr>
    </w:p>
    <w:p w14:paraId="3B4A81C6" w14:textId="03B7A14D" w:rsidR="004B69F5" w:rsidRDefault="004B69F5" w:rsidP="001C7821">
      <w:pPr>
        <w:spacing w:line="480" w:lineRule="auto"/>
        <w:jc w:val="both"/>
        <w:rPr>
          <w:b/>
          <w:u w:val="single"/>
        </w:rPr>
      </w:pPr>
    </w:p>
    <w:p w14:paraId="36B3BAAD" w14:textId="7224F869" w:rsidR="004B69F5" w:rsidRDefault="004B69F5" w:rsidP="001C7821">
      <w:pPr>
        <w:spacing w:line="480" w:lineRule="auto"/>
        <w:jc w:val="both"/>
        <w:rPr>
          <w:b/>
          <w:u w:val="single"/>
        </w:rPr>
      </w:pPr>
    </w:p>
    <w:p w14:paraId="1885DB02" w14:textId="77777777" w:rsidR="00EB41F4" w:rsidRDefault="00EB41F4" w:rsidP="001C7821">
      <w:pPr>
        <w:spacing w:line="480" w:lineRule="auto"/>
        <w:jc w:val="both"/>
        <w:rPr>
          <w:b/>
          <w:u w:val="single"/>
        </w:rPr>
      </w:pPr>
    </w:p>
    <w:p w14:paraId="61147ED6" w14:textId="72288BBE" w:rsidR="00994AAE" w:rsidRPr="00DC375D" w:rsidRDefault="00994AAE" w:rsidP="001C7821">
      <w:pPr>
        <w:spacing w:line="480" w:lineRule="auto"/>
        <w:jc w:val="both"/>
        <w:rPr>
          <w:bCs/>
        </w:rPr>
      </w:pPr>
      <w:r w:rsidRPr="001C7821">
        <w:rPr>
          <w:b/>
          <w:u w:val="single"/>
        </w:rPr>
        <w:lastRenderedPageBreak/>
        <w:t>Abstract</w:t>
      </w:r>
    </w:p>
    <w:p w14:paraId="6A52B374" w14:textId="77777777" w:rsidR="00994AAE" w:rsidRPr="001C7821" w:rsidRDefault="00994AAE" w:rsidP="001C7821">
      <w:pPr>
        <w:spacing w:line="480" w:lineRule="auto"/>
        <w:jc w:val="both"/>
      </w:pPr>
    </w:p>
    <w:p w14:paraId="3E08BE6D" w14:textId="7CC19F57" w:rsidR="00534233" w:rsidRPr="001C7821" w:rsidRDefault="007357F7" w:rsidP="001C7821">
      <w:pPr>
        <w:spacing w:line="480" w:lineRule="auto"/>
        <w:jc w:val="both"/>
        <w:rPr>
          <w:b/>
        </w:rPr>
      </w:pPr>
      <w:r>
        <w:rPr>
          <w:b/>
        </w:rPr>
        <w:t>Objective</w:t>
      </w:r>
      <w:r w:rsidR="00D73912" w:rsidRPr="001C7821">
        <w:rPr>
          <w:b/>
        </w:rPr>
        <w:t xml:space="preserve">: </w:t>
      </w:r>
      <w:r w:rsidR="00534233" w:rsidRPr="001C7821">
        <w:t xml:space="preserve">Patients with </w:t>
      </w:r>
      <w:r w:rsidR="00CA0353" w:rsidRPr="001C7821">
        <w:t>autoimmune hepatitis (AIH)</w:t>
      </w:r>
      <w:r w:rsidR="00534233" w:rsidRPr="001C7821">
        <w:t xml:space="preserve"> receive variable </w:t>
      </w:r>
      <w:r w:rsidR="003F7A61" w:rsidRPr="001C7821">
        <w:t>corticosteroid</w:t>
      </w:r>
      <w:r w:rsidR="00615CB3" w:rsidRPr="001C7821">
        <w:t xml:space="preserve"> and </w:t>
      </w:r>
      <w:r w:rsidR="007571D9" w:rsidRPr="001C7821">
        <w:t>thiopurine</w:t>
      </w:r>
      <w:r w:rsidR="00615CB3" w:rsidRPr="001C7821">
        <w:t xml:space="preserve"> regimens</w:t>
      </w:r>
      <w:r w:rsidR="00534233" w:rsidRPr="001C7821">
        <w:t xml:space="preserve">. </w:t>
      </w:r>
      <w:r w:rsidR="00CA0353" w:rsidRPr="001C7821">
        <w:t>Our aim</w:t>
      </w:r>
      <w:r w:rsidR="00534233" w:rsidRPr="001C7821">
        <w:t xml:space="preserve"> was to </w:t>
      </w:r>
      <w:r w:rsidR="00B75530">
        <w:t xml:space="preserve">undertake a cohort study to </w:t>
      </w:r>
      <w:r w:rsidR="00ED5487" w:rsidRPr="001C7821">
        <w:t xml:space="preserve">determine </w:t>
      </w:r>
      <w:r w:rsidR="00534233" w:rsidRPr="001C7821">
        <w:t xml:space="preserve">whether earlier introduction of </w:t>
      </w:r>
      <w:r w:rsidR="00AF269D">
        <w:t xml:space="preserve">azathioprine </w:t>
      </w:r>
      <w:r w:rsidR="001A74EB" w:rsidRPr="001C7821">
        <w:t xml:space="preserve">allowed </w:t>
      </w:r>
      <w:r w:rsidR="00534233" w:rsidRPr="001C7821">
        <w:t>reduc</w:t>
      </w:r>
      <w:r w:rsidR="001A74EB" w:rsidRPr="001C7821">
        <w:t>tion in</w:t>
      </w:r>
      <w:r w:rsidR="00534233" w:rsidRPr="001C7821">
        <w:t xml:space="preserve"> cumulative </w:t>
      </w:r>
      <w:r w:rsidR="003F7A61" w:rsidRPr="001C7821">
        <w:t>corticosteroid</w:t>
      </w:r>
      <w:r w:rsidR="00CA0353" w:rsidRPr="001C7821">
        <w:t xml:space="preserve"> burden</w:t>
      </w:r>
      <w:r w:rsidR="007571D9" w:rsidRPr="001C7821">
        <w:t>.</w:t>
      </w:r>
      <w:r w:rsidR="00CA0353" w:rsidRPr="001C7821">
        <w:t xml:space="preserve"> </w:t>
      </w:r>
      <w:r w:rsidR="007571D9" w:rsidRPr="001C7821">
        <w:t>We also</w:t>
      </w:r>
      <w:r w:rsidR="00CA0353" w:rsidRPr="001C7821">
        <w:t xml:space="preserve"> determine</w:t>
      </w:r>
      <w:r w:rsidR="007571D9" w:rsidRPr="001C7821">
        <w:t>d, temporal trend</w:t>
      </w:r>
      <w:r w:rsidR="00B75530">
        <w:t>s</w:t>
      </w:r>
      <w:r w:rsidR="00A8097A" w:rsidRPr="001C7821">
        <w:t xml:space="preserve"> </w:t>
      </w:r>
      <w:r w:rsidR="00CA0353" w:rsidRPr="001C7821">
        <w:t xml:space="preserve">on treatment choices and outcomes. </w:t>
      </w:r>
    </w:p>
    <w:p w14:paraId="35CEF01C" w14:textId="77777777" w:rsidR="00534233" w:rsidRPr="001C7821" w:rsidRDefault="00534233" w:rsidP="001C7821">
      <w:pPr>
        <w:spacing w:line="480" w:lineRule="auto"/>
        <w:jc w:val="both"/>
      </w:pPr>
    </w:p>
    <w:p w14:paraId="79D0412B" w14:textId="3CB18DB0" w:rsidR="00EC45ED" w:rsidRPr="001C7821" w:rsidRDefault="00DC254C" w:rsidP="001C7821">
      <w:pPr>
        <w:spacing w:line="480" w:lineRule="auto"/>
        <w:jc w:val="both"/>
        <w:rPr>
          <w:b/>
        </w:rPr>
      </w:pPr>
      <w:r w:rsidRPr="001C7821">
        <w:rPr>
          <w:b/>
        </w:rPr>
        <w:t>Method</w:t>
      </w:r>
      <w:r w:rsidR="006D65C9" w:rsidRPr="001C7821">
        <w:rPr>
          <w:b/>
        </w:rPr>
        <w:t>:</w:t>
      </w:r>
      <w:r w:rsidR="00D73912" w:rsidRPr="001C7821">
        <w:rPr>
          <w:b/>
        </w:rPr>
        <w:t xml:space="preserve"> </w:t>
      </w:r>
      <w:r w:rsidR="00616632" w:rsidRPr="001C7821">
        <w:t>226</w:t>
      </w:r>
      <w:r w:rsidR="00EC45ED" w:rsidRPr="001C7821">
        <w:t xml:space="preserve"> adults with AIH treated </w:t>
      </w:r>
      <w:r w:rsidR="00CA0353" w:rsidRPr="001C7821">
        <w:t xml:space="preserve">from </w:t>
      </w:r>
      <w:r w:rsidR="00EC45ED" w:rsidRPr="001C7821">
        <w:t xml:space="preserve">1970 </w:t>
      </w:r>
      <w:r w:rsidR="00CA0353" w:rsidRPr="001C7821">
        <w:t>-</w:t>
      </w:r>
      <w:r w:rsidR="00EC45ED" w:rsidRPr="001C7821">
        <w:t xml:space="preserve"> 2020 at Kings Colle</w:t>
      </w:r>
      <w:r w:rsidR="00615CB3" w:rsidRPr="001C7821">
        <w:t xml:space="preserve">ge Hospital (KCH), </w:t>
      </w:r>
      <w:r w:rsidR="00CA0353" w:rsidRPr="001C7821">
        <w:t>were divided into 2</w:t>
      </w:r>
      <w:r w:rsidR="00DB39C5">
        <w:t xml:space="preserve"> groups: patients who</w:t>
      </w:r>
      <w:r w:rsidR="00EC45ED" w:rsidRPr="001C7821">
        <w:t xml:space="preserve"> received azathioprine therapy within 8 weeks of initiation of </w:t>
      </w:r>
      <w:r w:rsidR="003F7A61" w:rsidRPr="001C7821">
        <w:t>corticosteroid</w:t>
      </w:r>
      <w:r w:rsidR="00EC45ED" w:rsidRPr="001C7821">
        <w:t xml:space="preserve"> therapy (early group, n = 106) and patients who had received azathioprine more than 8 weeks after </w:t>
      </w:r>
      <w:r w:rsidR="003F7A61" w:rsidRPr="001C7821">
        <w:t>corticosteroid</w:t>
      </w:r>
      <w:r w:rsidR="00D73912" w:rsidRPr="001C7821">
        <w:t xml:space="preserve"> initiation</w:t>
      </w:r>
      <w:r w:rsidR="00EC45ED" w:rsidRPr="001C7821">
        <w:t xml:space="preserve"> (late group, n = 120). </w:t>
      </w:r>
    </w:p>
    <w:p w14:paraId="346197E2" w14:textId="77777777" w:rsidR="00DC254C" w:rsidRPr="001C7821" w:rsidRDefault="00DC254C" w:rsidP="001C7821">
      <w:pPr>
        <w:spacing w:line="480" w:lineRule="auto"/>
        <w:jc w:val="both"/>
      </w:pPr>
    </w:p>
    <w:p w14:paraId="231323A8" w14:textId="02A45028" w:rsidR="00CB1FFA" w:rsidRPr="001C7821" w:rsidRDefault="00DC254C" w:rsidP="001C7821">
      <w:pPr>
        <w:spacing w:line="480" w:lineRule="auto"/>
        <w:jc w:val="both"/>
        <w:rPr>
          <w:b/>
        </w:rPr>
      </w:pPr>
      <w:r w:rsidRPr="001C7821">
        <w:rPr>
          <w:b/>
          <w:bCs/>
        </w:rPr>
        <w:t>Results:</w:t>
      </w:r>
      <w:r w:rsidRPr="001C7821">
        <w:t xml:space="preserve"> </w:t>
      </w:r>
      <w:r w:rsidR="00615CB3" w:rsidRPr="001C7821">
        <w:t>C</w:t>
      </w:r>
      <w:r w:rsidR="00A72C74" w:rsidRPr="001C7821">
        <w:t>umulative exposure to</w:t>
      </w:r>
      <w:r w:rsidR="00EC45ED" w:rsidRPr="001C7821">
        <w:t xml:space="preserve"> </w:t>
      </w:r>
      <w:r w:rsidR="003F7A61" w:rsidRPr="001C7821">
        <w:t>corticosteroid</w:t>
      </w:r>
      <w:r w:rsidR="00EC45ED" w:rsidRPr="001C7821">
        <w:t xml:space="preserve"> </w:t>
      </w:r>
      <w:r w:rsidR="00615CB3" w:rsidRPr="001C7821">
        <w:t xml:space="preserve">was not significantly different between </w:t>
      </w:r>
      <w:r w:rsidR="00675276" w:rsidRPr="001C7821">
        <w:t xml:space="preserve">each </w:t>
      </w:r>
      <w:r w:rsidR="00675276" w:rsidRPr="007357F7">
        <w:t>group</w:t>
      </w:r>
      <w:r w:rsidR="00BB40D8" w:rsidRPr="007357F7">
        <w:t xml:space="preserve"> </w:t>
      </w:r>
      <w:r w:rsidR="00D7727B">
        <w:t>Eighty percent</w:t>
      </w:r>
      <w:r w:rsidR="00D7727B" w:rsidRPr="007357F7">
        <w:t xml:space="preserve"> of patients achieved normalisation of AST within 6 months of corticosteroid induction compared to 64.5% in the late group (p= 0.013). </w:t>
      </w:r>
      <w:r w:rsidR="00CB1FFA" w:rsidRPr="007357F7">
        <w:t xml:space="preserve">When </w:t>
      </w:r>
      <w:r w:rsidR="00D70DC4" w:rsidRPr="007357F7">
        <w:t>evaluated by decade</w:t>
      </w:r>
      <w:r w:rsidR="00CB1FFA" w:rsidRPr="007357F7">
        <w:t xml:space="preserve">, </w:t>
      </w:r>
      <w:r w:rsidR="007E794E" w:rsidRPr="007357F7">
        <w:t xml:space="preserve">the </w:t>
      </w:r>
      <w:r w:rsidR="00FA48C4" w:rsidRPr="007357F7">
        <w:t xml:space="preserve">cumulative </w:t>
      </w:r>
      <w:r w:rsidR="003F7A61" w:rsidRPr="007357F7">
        <w:t>corticosteroid</w:t>
      </w:r>
      <w:r w:rsidR="00FA48C4" w:rsidRPr="007357F7">
        <w:t xml:space="preserve"> </w:t>
      </w:r>
      <w:r w:rsidR="00481725" w:rsidRPr="007357F7">
        <w:t xml:space="preserve">exposure and dose </w:t>
      </w:r>
      <w:r w:rsidR="00CB1FFA" w:rsidRPr="007357F7">
        <w:t>declined</w:t>
      </w:r>
      <w:r w:rsidR="00481725" w:rsidRPr="007357F7">
        <w:t xml:space="preserve"> over time</w:t>
      </w:r>
      <w:r w:rsidR="00312BF4" w:rsidRPr="007357F7">
        <w:t xml:space="preserve"> </w:t>
      </w:r>
      <w:r w:rsidR="00B80507" w:rsidRPr="007357F7">
        <w:t>(p &lt;0.00</w:t>
      </w:r>
      <w:r w:rsidR="00CB1FFA" w:rsidRPr="007357F7">
        <w:t xml:space="preserve">1). Azathioprine </w:t>
      </w:r>
      <w:r w:rsidR="00615CB3" w:rsidRPr="007357F7">
        <w:t xml:space="preserve">initiation </w:t>
      </w:r>
      <w:r w:rsidR="00312BF4" w:rsidRPr="007357F7">
        <w:t>fell from a me</w:t>
      </w:r>
      <w:r w:rsidR="00BC13DD" w:rsidRPr="007357F7">
        <w:t>an</w:t>
      </w:r>
      <w:r w:rsidR="00312BF4" w:rsidRPr="007357F7">
        <w:t xml:space="preserve"> of</w:t>
      </w:r>
      <w:r w:rsidR="00CB1FFA" w:rsidRPr="007357F7">
        <w:t xml:space="preserve"> 80 weeks</w:t>
      </w:r>
      <w:r w:rsidR="00B84A06" w:rsidRPr="007357F7">
        <w:t xml:space="preserve"> from </w:t>
      </w:r>
      <w:r w:rsidR="0041036B" w:rsidRPr="007357F7">
        <w:t>cortico</w:t>
      </w:r>
      <w:r w:rsidR="00B84A06" w:rsidRPr="007357F7">
        <w:t>steroid induction</w:t>
      </w:r>
      <w:r w:rsidR="00CB1FFA" w:rsidRPr="007357F7">
        <w:t xml:space="preserve"> </w:t>
      </w:r>
      <w:r w:rsidR="007E794E" w:rsidRPr="007357F7">
        <w:t>in the 1970</w:t>
      </w:r>
      <w:r w:rsidR="00312BF4" w:rsidRPr="007357F7">
        <w:t>’</w:t>
      </w:r>
      <w:r w:rsidR="007E794E" w:rsidRPr="007357F7">
        <w:t xml:space="preserve">s </w:t>
      </w:r>
      <w:r w:rsidR="00CB1FFA" w:rsidRPr="007357F7">
        <w:t xml:space="preserve">to 10 weeks </w:t>
      </w:r>
      <w:r w:rsidR="007E794E" w:rsidRPr="007357F7">
        <w:t>in the 2010s</w:t>
      </w:r>
      <w:r w:rsidR="00CB1FFA" w:rsidRPr="007357F7">
        <w:t xml:space="preserve"> (p = 0.026). Biochemical remission occurred at a faster rate </w:t>
      </w:r>
      <w:r w:rsidR="009F7FA9" w:rsidRPr="007357F7">
        <w:t xml:space="preserve">in </w:t>
      </w:r>
      <w:r w:rsidR="00312BF4" w:rsidRPr="007357F7">
        <w:t>more</w:t>
      </w:r>
      <w:r w:rsidR="00F1171A" w:rsidRPr="007357F7">
        <w:t xml:space="preserve"> </w:t>
      </w:r>
      <w:r w:rsidR="009F7FA9" w:rsidRPr="007357F7">
        <w:t>recent cohorts</w:t>
      </w:r>
      <w:r w:rsidR="00D230E4" w:rsidRPr="007357F7">
        <w:t xml:space="preserve"> (p = 0.001). </w:t>
      </w:r>
    </w:p>
    <w:p w14:paraId="6857001E" w14:textId="77777777" w:rsidR="00EC45ED" w:rsidRPr="001C7821" w:rsidRDefault="00EC45ED" w:rsidP="001C7821">
      <w:pPr>
        <w:spacing w:line="480" w:lineRule="auto"/>
        <w:jc w:val="both"/>
        <w:rPr>
          <w:b/>
        </w:rPr>
      </w:pPr>
    </w:p>
    <w:p w14:paraId="545C867B" w14:textId="495C5824" w:rsidR="00994AAE" w:rsidRPr="001C7821" w:rsidRDefault="00994AAE" w:rsidP="001C7821">
      <w:pPr>
        <w:spacing w:line="480" w:lineRule="auto"/>
        <w:jc w:val="both"/>
      </w:pPr>
      <w:r w:rsidRPr="001C7821">
        <w:rPr>
          <w:b/>
        </w:rPr>
        <w:t>Conclusion</w:t>
      </w:r>
      <w:r w:rsidR="00D73912" w:rsidRPr="001C7821">
        <w:rPr>
          <w:b/>
        </w:rPr>
        <w:t xml:space="preserve">: </w:t>
      </w:r>
      <w:r w:rsidR="001B6414" w:rsidRPr="001C7821">
        <w:t>E</w:t>
      </w:r>
      <w:r w:rsidR="00EC45ED" w:rsidRPr="001C7821">
        <w:t>arlier i</w:t>
      </w:r>
      <w:r w:rsidR="00F205FF" w:rsidRPr="001C7821">
        <w:t>ntroduction of azathioprine</w:t>
      </w:r>
      <w:r w:rsidR="00E14740">
        <w:t xml:space="preserve"> after corticosteroid therapy</w:t>
      </w:r>
      <w:r w:rsidR="00312BF4" w:rsidRPr="001C7821">
        <w:t xml:space="preserve"> </w:t>
      </w:r>
      <w:r w:rsidR="00F205FF" w:rsidRPr="001C7821">
        <w:t xml:space="preserve"> </w:t>
      </w:r>
      <w:r w:rsidR="001B6414" w:rsidRPr="001C7821">
        <w:t xml:space="preserve">resulted in a </w:t>
      </w:r>
      <w:r w:rsidR="00311AA5" w:rsidRPr="001C7821">
        <w:t xml:space="preserve">higher </w:t>
      </w:r>
      <w:r w:rsidR="001B6414" w:rsidRPr="001C7821">
        <w:t xml:space="preserve">rate of </w:t>
      </w:r>
      <w:r w:rsidR="00DF53E3" w:rsidRPr="001C7821">
        <w:t xml:space="preserve">transaminase </w:t>
      </w:r>
      <w:r w:rsidR="001B6414" w:rsidRPr="001C7821">
        <w:t>normalisation at 6</w:t>
      </w:r>
      <w:r w:rsidR="00312BF4" w:rsidRPr="001C7821">
        <w:t>-</w:t>
      </w:r>
      <w:r w:rsidR="001B6414" w:rsidRPr="001C7821">
        <w:t>months</w:t>
      </w:r>
      <w:r w:rsidR="00312BF4" w:rsidRPr="001C7821">
        <w:t xml:space="preserve"> </w:t>
      </w:r>
      <w:r w:rsidR="001B6414" w:rsidRPr="001C7821">
        <w:t xml:space="preserve">but </w:t>
      </w:r>
      <w:r w:rsidR="00F205FF" w:rsidRPr="001C7821">
        <w:t>did</w:t>
      </w:r>
      <w:r w:rsidR="00EC45ED" w:rsidRPr="001C7821">
        <w:t xml:space="preserve"> not </w:t>
      </w:r>
      <w:r w:rsidR="00AC5A60" w:rsidRPr="001C7821">
        <w:t>significantly</w:t>
      </w:r>
      <w:r w:rsidR="00EC45ED" w:rsidRPr="001C7821">
        <w:t xml:space="preserve"> redu</w:t>
      </w:r>
      <w:r w:rsidR="00155F5B" w:rsidRPr="001C7821">
        <w:t>ce</w:t>
      </w:r>
      <w:r w:rsidR="001B6414" w:rsidRPr="001C7821">
        <w:t xml:space="preserve"> the </w:t>
      </w:r>
      <w:r w:rsidR="00155F5B" w:rsidRPr="001C7821">
        <w:t>cumulative prednisolo</w:t>
      </w:r>
      <w:r w:rsidR="00EC45ED" w:rsidRPr="001C7821">
        <w:t>ne</w:t>
      </w:r>
      <w:r w:rsidR="00154748" w:rsidRPr="001C7821">
        <w:t xml:space="preserve"> </w:t>
      </w:r>
      <w:r w:rsidR="00DB39C5">
        <w:t>exposure over</w:t>
      </w:r>
      <w:r w:rsidR="00BB40D8" w:rsidRPr="001C7821">
        <w:t xml:space="preserve"> </w:t>
      </w:r>
      <w:r w:rsidR="00154748" w:rsidRPr="001C7821">
        <w:t>five year</w:t>
      </w:r>
      <w:r w:rsidR="00F1171A" w:rsidRPr="001C7821">
        <w:t>s.</w:t>
      </w:r>
      <w:r w:rsidR="00EC45ED" w:rsidRPr="001C7821">
        <w:t xml:space="preserve"> </w:t>
      </w:r>
      <w:r w:rsidR="00AF269D">
        <w:t>T</w:t>
      </w:r>
      <w:r w:rsidR="00312BF4" w:rsidRPr="001C7821">
        <w:t>emporal effects</w:t>
      </w:r>
      <w:r w:rsidR="003C5B36" w:rsidRPr="001C7821">
        <w:t xml:space="preserve"> in</w:t>
      </w:r>
      <w:r w:rsidR="00B84A06" w:rsidRPr="001C7821">
        <w:t xml:space="preserve"> the</w:t>
      </w:r>
      <w:r w:rsidR="003C5B36" w:rsidRPr="001C7821">
        <w:t xml:space="preserve"> management </w:t>
      </w:r>
      <w:r w:rsidR="00615CB3" w:rsidRPr="001C7821">
        <w:t xml:space="preserve">of AIH </w:t>
      </w:r>
      <w:r w:rsidR="003C5B36" w:rsidRPr="001C7821">
        <w:t xml:space="preserve">is evident whereby earlier introduction of </w:t>
      </w:r>
      <w:r w:rsidR="00481725" w:rsidRPr="001C7821">
        <w:t>thiopurines</w:t>
      </w:r>
      <w:r w:rsidR="0022142E" w:rsidRPr="001C7821">
        <w:t xml:space="preserve"> </w:t>
      </w:r>
      <w:r w:rsidR="00DF53E3" w:rsidRPr="001C7821">
        <w:t xml:space="preserve">in recent decades </w:t>
      </w:r>
      <w:r w:rsidR="0022142E" w:rsidRPr="001C7821">
        <w:t>facilitated</w:t>
      </w:r>
      <w:r w:rsidR="003C5B36" w:rsidRPr="001C7821">
        <w:t xml:space="preserve"> </w:t>
      </w:r>
      <w:r w:rsidR="00633B43">
        <w:t xml:space="preserve"> more</w:t>
      </w:r>
      <w:r w:rsidR="003C5B36" w:rsidRPr="001C7821">
        <w:t xml:space="preserve"> rapid reduction in </w:t>
      </w:r>
      <w:r w:rsidR="0041036B" w:rsidRPr="001C7821">
        <w:t>cortico</w:t>
      </w:r>
      <w:r w:rsidR="003C5B36" w:rsidRPr="001C7821">
        <w:t xml:space="preserve">steroid dose </w:t>
      </w:r>
      <w:r w:rsidR="0009417D" w:rsidRPr="001C7821">
        <w:t xml:space="preserve">whilst achieving </w:t>
      </w:r>
      <w:r w:rsidR="0022142E" w:rsidRPr="001C7821">
        <w:t>a</w:t>
      </w:r>
      <w:r w:rsidR="003C5B36" w:rsidRPr="001C7821">
        <w:t xml:space="preserve"> high</w:t>
      </w:r>
      <w:r w:rsidR="00440C6B">
        <w:t xml:space="preserve">er rate of biochemical response. </w:t>
      </w:r>
    </w:p>
    <w:p w14:paraId="78BE5F6B" w14:textId="77777777" w:rsidR="00DC254C" w:rsidRPr="001C7821" w:rsidRDefault="00DC254C" w:rsidP="001C7821">
      <w:pPr>
        <w:spacing w:line="480" w:lineRule="auto"/>
        <w:jc w:val="both"/>
        <w:rPr>
          <w:b/>
        </w:rPr>
      </w:pPr>
    </w:p>
    <w:p w14:paraId="35E78D11" w14:textId="77777777" w:rsidR="004B69F5" w:rsidRPr="004B69F5" w:rsidRDefault="004B69F5" w:rsidP="004B69F5">
      <w:pPr>
        <w:spacing w:line="480" w:lineRule="auto"/>
        <w:jc w:val="both"/>
        <w:rPr>
          <w:b/>
        </w:rPr>
      </w:pPr>
      <w:r w:rsidRPr="004B69F5">
        <w:rPr>
          <w:b/>
        </w:rPr>
        <w:t>Lay Summary:</w:t>
      </w:r>
    </w:p>
    <w:p w14:paraId="0F1B9B6C" w14:textId="2DCD3548" w:rsidR="004B69F5" w:rsidRPr="007357F7" w:rsidRDefault="004B69F5" w:rsidP="004B69F5">
      <w:pPr>
        <w:spacing w:line="480" w:lineRule="auto"/>
        <w:jc w:val="both"/>
        <w:rPr>
          <w:b/>
          <w:bCs/>
        </w:rPr>
      </w:pPr>
      <w:r w:rsidRPr="007357F7">
        <w:rPr>
          <w:b/>
          <w:bCs/>
        </w:rPr>
        <w:t xml:space="preserve">What is </w:t>
      </w:r>
      <w:r w:rsidR="007357F7" w:rsidRPr="007357F7">
        <w:rPr>
          <w:b/>
          <w:bCs/>
        </w:rPr>
        <w:t>already known on this topic</w:t>
      </w:r>
      <w:r w:rsidRPr="007357F7">
        <w:rPr>
          <w:b/>
          <w:bCs/>
        </w:rPr>
        <w:t xml:space="preserve">: </w:t>
      </w:r>
    </w:p>
    <w:p w14:paraId="31263455" w14:textId="77777777" w:rsidR="004B69F5" w:rsidRPr="004B69F5" w:rsidRDefault="004B69F5" w:rsidP="00712434">
      <w:pPr>
        <w:spacing w:line="480" w:lineRule="auto"/>
        <w:ind w:left="720" w:hanging="720"/>
        <w:jc w:val="both"/>
      </w:pPr>
      <w:r w:rsidRPr="004B69F5">
        <w:t>•</w:t>
      </w:r>
      <w:r w:rsidRPr="004B69F5">
        <w:tab/>
        <w:t>Patients with autoimmune hepatitis receive variable corticosteroid and thiopurine regimens</w:t>
      </w:r>
    </w:p>
    <w:p w14:paraId="21B28044" w14:textId="1FC15942" w:rsidR="004B69F5" w:rsidRPr="007357F7" w:rsidRDefault="004B69F5" w:rsidP="004B69F5">
      <w:pPr>
        <w:spacing w:line="480" w:lineRule="auto"/>
        <w:jc w:val="both"/>
        <w:rPr>
          <w:b/>
          <w:bCs/>
        </w:rPr>
      </w:pPr>
      <w:r w:rsidRPr="007357F7">
        <w:rPr>
          <w:b/>
          <w:bCs/>
        </w:rPr>
        <w:t xml:space="preserve">What </w:t>
      </w:r>
      <w:r w:rsidR="007357F7" w:rsidRPr="007357F7">
        <w:rPr>
          <w:b/>
          <w:bCs/>
        </w:rPr>
        <w:t>this study adds:</w:t>
      </w:r>
    </w:p>
    <w:p w14:paraId="57EF6CF2" w14:textId="77777777" w:rsidR="004B69F5" w:rsidRPr="004B69F5" w:rsidRDefault="004B69F5" w:rsidP="004B69F5">
      <w:pPr>
        <w:spacing w:line="480" w:lineRule="auto"/>
        <w:jc w:val="both"/>
      </w:pPr>
      <w:r w:rsidRPr="004B69F5">
        <w:t>•</w:t>
      </w:r>
      <w:r w:rsidRPr="004B69F5">
        <w:tab/>
        <w:t>There are temporal trends in thiopurine prescribing for AIH management</w:t>
      </w:r>
    </w:p>
    <w:p w14:paraId="17335B41" w14:textId="77777777" w:rsidR="004B69F5" w:rsidRPr="004B69F5" w:rsidRDefault="004B69F5" w:rsidP="004B69F5">
      <w:pPr>
        <w:spacing w:line="480" w:lineRule="auto"/>
        <w:jc w:val="both"/>
      </w:pPr>
      <w:r w:rsidRPr="004B69F5">
        <w:t>•</w:t>
      </w:r>
      <w:r w:rsidRPr="004B69F5">
        <w:tab/>
        <w:t>Azathioprine was introduced earlier in more recent decades</w:t>
      </w:r>
    </w:p>
    <w:p w14:paraId="28409033" w14:textId="77777777" w:rsidR="004B69F5" w:rsidRPr="004B69F5" w:rsidRDefault="004B69F5" w:rsidP="004B69F5">
      <w:pPr>
        <w:spacing w:line="480" w:lineRule="auto"/>
        <w:jc w:val="both"/>
      </w:pPr>
      <w:r w:rsidRPr="004B69F5">
        <w:t>•</w:t>
      </w:r>
      <w:r w:rsidRPr="004B69F5">
        <w:tab/>
        <w:t>There was lower cumulative exposure to prednisolone in recent decades</w:t>
      </w:r>
    </w:p>
    <w:p w14:paraId="0B99BA69" w14:textId="4FE8C839" w:rsidR="00DC254C" w:rsidRPr="004B69F5" w:rsidRDefault="004B69F5" w:rsidP="004B69F5">
      <w:pPr>
        <w:spacing w:line="480" w:lineRule="auto"/>
        <w:jc w:val="both"/>
      </w:pPr>
      <w:r w:rsidRPr="004B69F5">
        <w:t>•</w:t>
      </w:r>
      <w:r w:rsidRPr="004B69F5">
        <w:tab/>
        <w:t>Higher rates of biochemical remission occurred in recent decades</w:t>
      </w:r>
    </w:p>
    <w:p w14:paraId="2AD1D989" w14:textId="0ADA4820" w:rsidR="00B70617" w:rsidRDefault="007357F7" w:rsidP="001C7821">
      <w:pPr>
        <w:spacing w:line="480" w:lineRule="auto"/>
        <w:jc w:val="both"/>
        <w:rPr>
          <w:b/>
        </w:rPr>
      </w:pPr>
      <w:r>
        <w:rPr>
          <w:b/>
        </w:rPr>
        <w:t>How this study might affect research, practice or policy:</w:t>
      </w:r>
    </w:p>
    <w:p w14:paraId="238D85A6" w14:textId="66C8AC05" w:rsidR="007357F7" w:rsidRPr="004B69F5" w:rsidRDefault="007357F7" w:rsidP="007357F7">
      <w:pPr>
        <w:spacing w:line="480" w:lineRule="auto"/>
        <w:jc w:val="both"/>
      </w:pPr>
      <w:r w:rsidRPr="004B69F5">
        <w:t>•</w:t>
      </w:r>
      <w:r w:rsidRPr="004B69F5">
        <w:tab/>
      </w:r>
      <w:r>
        <w:t>To encourage optimal use of limited treatment options for AIH</w:t>
      </w:r>
    </w:p>
    <w:p w14:paraId="6BB9BA2B" w14:textId="77777777" w:rsidR="007357F7" w:rsidRDefault="007357F7" w:rsidP="001C7821">
      <w:pPr>
        <w:spacing w:line="480" w:lineRule="auto"/>
        <w:jc w:val="both"/>
        <w:rPr>
          <w:b/>
        </w:rPr>
      </w:pPr>
    </w:p>
    <w:p w14:paraId="613713F4" w14:textId="21A19361" w:rsidR="00B70617" w:rsidRDefault="00B70617" w:rsidP="001C7821">
      <w:pPr>
        <w:spacing w:line="480" w:lineRule="auto"/>
        <w:jc w:val="both"/>
        <w:rPr>
          <w:b/>
        </w:rPr>
      </w:pPr>
    </w:p>
    <w:p w14:paraId="4E9FC4AF" w14:textId="28206BEA" w:rsidR="00B70617" w:rsidRDefault="00B70617" w:rsidP="001C7821">
      <w:pPr>
        <w:spacing w:line="480" w:lineRule="auto"/>
        <w:jc w:val="both"/>
        <w:rPr>
          <w:b/>
        </w:rPr>
      </w:pPr>
    </w:p>
    <w:p w14:paraId="7ED8A67A" w14:textId="22FFE4AF" w:rsidR="00B70617" w:rsidRDefault="00B70617" w:rsidP="001C7821">
      <w:pPr>
        <w:spacing w:line="480" w:lineRule="auto"/>
        <w:jc w:val="both"/>
        <w:rPr>
          <w:b/>
        </w:rPr>
      </w:pPr>
    </w:p>
    <w:p w14:paraId="4DF4D4E8" w14:textId="74E99136" w:rsidR="00B70617" w:rsidRDefault="00B70617" w:rsidP="001C7821">
      <w:pPr>
        <w:spacing w:line="480" w:lineRule="auto"/>
        <w:jc w:val="both"/>
        <w:rPr>
          <w:b/>
        </w:rPr>
      </w:pPr>
    </w:p>
    <w:p w14:paraId="3F74AA4C" w14:textId="6E4AA0F3" w:rsidR="00B70617" w:rsidRDefault="00B70617" w:rsidP="001C7821">
      <w:pPr>
        <w:spacing w:line="480" w:lineRule="auto"/>
        <w:jc w:val="both"/>
        <w:rPr>
          <w:b/>
        </w:rPr>
      </w:pPr>
    </w:p>
    <w:p w14:paraId="400D79B2" w14:textId="2974FDE5" w:rsidR="00B70617" w:rsidRDefault="00B70617" w:rsidP="001C7821">
      <w:pPr>
        <w:spacing w:line="480" w:lineRule="auto"/>
        <w:jc w:val="both"/>
        <w:rPr>
          <w:b/>
        </w:rPr>
      </w:pPr>
    </w:p>
    <w:p w14:paraId="083D0280" w14:textId="666E2C73" w:rsidR="00B70617" w:rsidRDefault="00B70617" w:rsidP="001C7821">
      <w:pPr>
        <w:spacing w:line="480" w:lineRule="auto"/>
        <w:jc w:val="both"/>
        <w:rPr>
          <w:b/>
        </w:rPr>
      </w:pPr>
    </w:p>
    <w:p w14:paraId="2BAC2EB1" w14:textId="77777777" w:rsidR="00B70617" w:rsidRPr="001C7821" w:rsidRDefault="00B70617" w:rsidP="001C7821">
      <w:pPr>
        <w:spacing w:line="480" w:lineRule="auto"/>
        <w:jc w:val="both"/>
        <w:rPr>
          <w:b/>
        </w:rPr>
      </w:pPr>
    </w:p>
    <w:p w14:paraId="0FACC345" w14:textId="77777777" w:rsidR="00DC254C" w:rsidRPr="001C7821" w:rsidRDefault="00DC254C" w:rsidP="001C7821">
      <w:pPr>
        <w:spacing w:line="480" w:lineRule="auto"/>
        <w:jc w:val="both"/>
        <w:rPr>
          <w:b/>
        </w:rPr>
      </w:pPr>
    </w:p>
    <w:p w14:paraId="3F37BD7E" w14:textId="77777777" w:rsidR="002878A1" w:rsidRDefault="002878A1" w:rsidP="001C7821">
      <w:pPr>
        <w:spacing w:line="480" w:lineRule="auto"/>
        <w:jc w:val="both"/>
        <w:rPr>
          <w:b/>
        </w:rPr>
      </w:pPr>
    </w:p>
    <w:p w14:paraId="0D00A5AA" w14:textId="77777777" w:rsidR="00212F4D" w:rsidRDefault="00212F4D" w:rsidP="001C7821">
      <w:pPr>
        <w:spacing w:line="480" w:lineRule="auto"/>
        <w:jc w:val="both"/>
        <w:rPr>
          <w:b/>
        </w:rPr>
      </w:pPr>
    </w:p>
    <w:p w14:paraId="706FCD60" w14:textId="77777777" w:rsidR="00212F4D" w:rsidRDefault="00212F4D" w:rsidP="001C7821">
      <w:pPr>
        <w:spacing w:line="480" w:lineRule="auto"/>
        <w:jc w:val="both"/>
        <w:rPr>
          <w:b/>
        </w:rPr>
      </w:pPr>
    </w:p>
    <w:p w14:paraId="7CA0111E" w14:textId="6CE03575" w:rsidR="00994AAE" w:rsidRPr="001C7821" w:rsidRDefault="00994AAE" w:rsidP="001C7821">
      <w:pPr>
        <w:spacing w:line="480" w:lineRule="auto"/>
        <w:jc w:val="both"/>
        <w:rPr>
          <w:b/>
        </w:rPr>
      </w:pPr>
      <w:r w:rsidRPr="001C7821">
        <w:rPr>
          <w:b/>
        </w:rPr>
        <w:lastRenderedPageBreak/>
        <w:t xml:space="preserve">Introduction  </w:t>
      </w:r>
    </w:p>
    <w:p w14:paraId="23BDB671" w14:textId="77777777" w:rsidR="00994AAE" w:rsidRPr="001C7821" w:rsidRDefault="00994AAE" w:rsidP="001C7821">
      <w:pPr>
        <w:spacing w:line="480" w:lineRule="auto"/>
        <w:jc w:val="both"/>
      </w:pPr>
    </w:p>
    <w:p w14:paraId="04A72682" w14:textId="1807E235" w:rsidR="00111A95" w:rsidRPr="00E130AC" w:rsidRDefault="00994AAE" w:rsidP="001C7821">
      <w:pPr>
        <w:spacing w:line="480" w:lineRule="auto"/>
        <w:jc w:val="both"/>
        <w:rPr>
          <w:vertAlign w:val="superscript"/>
        </w:rPr>
      </w:pPr>
      <w:r w:rsidRPr="001C7821">
        <w:t xml:space="preserve">Autoimmune hepatitis (AIH) </w:t>
      </w:r>
      <w:r w:rsidR="0082595F" w:rsidRPr="001C7821">
        <w:t>is</w:t>
      </w:r>
      <w:r w:rsidRPr="001C7821">
        <w:t xml:space="preserve"> an inflammatory liver disease which, left untreated, </w:t>
      </w:r>
      <w:r w:rsidR="0082595F" w:rsidRPr="001C7821">
        <w:t xml:space="preserve">can </w:t>
      </w:r>
      <w:r w:rsidRPr="001C7821">
        <w:t>result in cirrhosis, liver failure and death</w:t>
      </w:r>
      <w:r w:rsidR="00E130AC">
        <w:t>.</w:t>
      </w:r>
      <w:r w:rsidR="00E130AC">
        <w:rPr>
          <w:vertAlign w:val="superscript"/>
        </w:rPr>
        <w:t>1</w:t>
      </w:r>
      <w:r w:rsidRPr="001C7821">
        <w:t xml:space="preserve"> </w:t>
      </w:r>
      <w:r w:rsidR="00594C48" w:rsidRPr="001C7821">
        <w:t>AIH is</w:t>
      </w:r>
      <w:r w:rsidRPr="001C7821">
        <w:t xml:space="preserve"> characterised b</w:t>
      </w:r>
      <w:r w:rsidR="005A576F" w:rsidRPr="001C7821">
        <w:t>y</w:t>
      </w:r>
      <w:r w:rsidRPr="001C7821">
        <w:t xml:space="preserve"> circulating autoantibodies</w:t>
      </w:r>
      <w:r w:rsidR="00DA36FA" w:rsidRPr="001C7821">
        <w:t xml:space="preserve">, </w:t>
      </w:r>
      <w:r w:rsidRPr="001C7821">
        <w:t>elevated serum immunoglobulin levels</w:t>
      </w:r>
      <w:r w:rsidR="00DA36FA" w:rsidRPr="001C7821">
        <w:t xml:space="preserve"> an</w:t>
      </w:r>
      <w:r w:rsidR="00E130AC">
        <w:t>d typical histological features.</w:t>
      </w:r>
      <w:r w:rsidR="00E130AC">
        <w:rPr>
          <w:vertAlign w:val="superscript"/>
        </w:rPr>
        <w:t>1</w:t>
      </w:r>
      <w:r w:rsidR="00DA36FA" w:rsidRPr="001C7821">
        <w:t xml:space="preserve"> </w:t>
      </w:r>
      <w:r w:rsidR="00594C48" w:rsidRPr="001C7821">
        <w:t xml:space="preserve"> AIH</w:t>
      </w:r>
      <w:r w:rsidR="0082595F" w:rsidRPr="001C7821">
        <w:t xml:space="preserve"> </w:t>
      </w:r>
      <w:r w:rsidR="005A576F" w:rsidRPr="001C7821">
        <w:t>is rare</w:t>
      </w:r>
      <w:r w:rsidRPr="001C7821">
        <w:t xml:space="preserve"> </w:t>
      </w:r>
      <w:r w:rsidR="004C07FD" w:rsidRPr="001C7821">
        <w:t xml:space="preserve">with </w:t>
      </w:r>
      <w:r w:rsidRPr="001C7821">
        <w:t>a prevalence of 16-18 cases per 100,000 individuals in Europe</w:t>
      </w:r>
      <w:r w:rsidR="00E130AC">
        <w:rPr>
          <w:color w:val="000000"/>
        </w:rPr>
        <w:t>.</w:t>
      </w:r>
      <w:r w:rsidR="00E130AC">
        <w:rPr>
          <w:color w:val="000000"/>
          <w:vertAlign w:val="superscript"/>
        </w:rPr>
        <w:t>1</w:t>
      </w:r>
      <w:r w:rsidRPr="001C7821">
        <w:t xml:space="preserve"> </w:t>
      </w:r>
      <w:r w:rsidR="004C07FD" w:rsidRPr="001C7821">
        <w:t>The overall goal of AIH treatment is to induce and maintain suppression of inflammatory activity</w:t>
      </w:r>
      <w:r w:rsidR="00C8734C" w:rsidRPr="001C7821">
        <w:t>; thereby</w:t>
      </w:r>
      <w:r w:rsidR="004C07FD" w:rsidRPr="001C7821">
        <w:t xml:space="preserve"> prevent</w:t>
      </w:r>
      <w:r w:rsidR="00ED5487" w:rsidRPr="001C7821">
        <w:t>ing</w:t>
      </w:r>
      <w:r w:rsidR="004C07FD" w:rsidRPr="001C7821">
        <w:t xml:space="preserve"> disease progression to cirr</w:t>
      </w:r>
      <w:r w:rsidR="000874B2" w:rsidRPr="001C7821">
        <w:t xml:space="preserve">hosis and liver decompensation. </w:t>
      </w:r>
      <w:r w:rsidR="00F01C6D" w:rsidRPr="001C7821">
        <w:t>Cortico</w:t>
      </w:r>
      <w:r w:rsidR="003F7A61" w:rsidRPr="001C7821">
        <w:t>steroid</w:t>
      </w:r>
      <w:r w:rsidR="004C07FD" w:rsidRPr="001C7821">
        <w:t>s</w:t>
      </w:r>
      <w:r w:rsidRPr="001C7821">
        <w:t xml:space="preserve"> ha</w:t>
      </w:r>
      <w:r w:rsidR="004C07FD" w:rsidRPr="001C7821">
        <w:t xml:space="preserve">ve </w:t>
      </w:r>
      <w:r w:rsidRPr="001C7821">
        <w:t xml:space="preserve">been the mainstay of treatment for </w:t>
      </w:r>
      <w:r w:rsidR="00094014" w:rsidRPr="001C7821">
        <w:t xml:space="preserve">AIH over </w:t>
      </w:r>
      <w:r w:rsidRPr="001C7821">
        <w:t>the last 50 years</w:t>
      </w:r>
      <w:r w:rsidR="005A576F" w:rsidRPr="001C7821">
        <w:t>.</w:t>
      </w:r>
      <w:r w:rsidR="00F95372" w:rsidRPr="001C7821">
        <w:t xml:space="preserve"> </w:t>
      </w:r>
      <w:r w:rsidR="0082595F" w:rsidRPr="001C7821">
        <w:t>H</w:t>
      </w:r>
      <w:r w:rsidR="00DF55E8" w:rsidRPr="001C7821">
        <w:t>igh doses of oral prednisol</w:t>
      </w:r>
      <w:r w:rsidR="00ED5487" w:rsidRPr="001C7821">
        <w:t>one are</w:t>
      </w:r>
      <w:r w:rsidR="004C07FD" w:rsidRPr="001C7821">
        <w:t xml:space="preserve"> </w:t>
      </w:r>
      <w:r w:rsidR="00094014" w:rsidRPr="001C7821">
        <w:t xml:space="preserve">typically </w:t>
      </w:r>
      <w:r w:rsidR="005A576F" w:rsidRPr="001C7821">
        <w:t>prescribed with initial doses</w:t>
      </w:r>
      <w:r w:rsidR="000874B2" w:rsidRPr="001C7821">
        <w:t xml:space="preserve"> between</w:t>
      </w:r>
      <w:r w:rsidRPr="001C7821">
        <w:t xml:space="preserve"> 0.5 - 1 mg/</w:t>
      </w:r>
      <w:r w:rsidR="00505E42" w:rsidRPr="001C7821">
        <w:t>kg to</w:t>
      </w:r>
      <w:r w:rsidRPr="001C7821">
        <w:t xml:space="preserve"> induce remission</w:t>
      </w:r>
      <w:r w:rsidR="00E130AC">
        <w:t>.</w:t>
      </w:r>
      <w:r w:rsidR="00E130AC">
        <w:rPr>
          <w:vertAlign w:val="superscript"/>
        </w:rPr>
        <w:t>1</w:t>
      </w:r>
      <w:r w:rsidR="00594C48" w:rsidRPr="001C7821">
        <w:t xml:space="preserve"> </w:t>
      </w:r>
      <w:r w:rsidR="004C07FD" w:rsidRPr="001C7821">
        <w:t xml:space="preserve">Early </w:t>
      </w:r>
      <w:r w:rsidR="003F7A61" w:rsidRPr="001C7821">
        <w:t>corticosteroid</w:t>
      </w:r>
      <w:r w:rsidR="005A576F" w:rsidRPr="001C7821">
        <w:t xml:space="preserve"> therapy is</w:t>
      </w:r>
      <w:r w:rsidR="0082595F" w:rsidRPr="001C7821">
        <w:t xml:space="preserve"> </w:t>
      </w:r>
      <w:r w:rsidRPr="001C7821">
        <w:t>followed by introduction of thiopurine</w:t>
      </w:r>
      <w:r w:rsidR="0082595F" w:rsidRPr="001C7821">
        <w:t xml:space="preserve"> with</w:t>
      </w:r>
      <w:r w:rsidRPr="001C7821">
        <w:t xml:space="preserve"> tapering of the </w:t>
      </w:r>
      <w:r w:rsidR="003F7A61" w:rsidRPr="001C7821">
        <w:t>corticosteroid</w:t>
      </w:r>
      <w:r w:rsidRPr="001C7821">
        <w:t xml:space="preserve"> dose</w:t>
      </w:r>
      <w:r w:rsidR="00E130AC">
        <w:t>.</w:t>
      </w:r>
      <w:r w:rsidR="00E130AC">
        <w:rPr>
          <w:vertAlign w:val="superscript"/>
        </w:rPr>
        <w:t>2</w:t>
      </w:r>
    </w:p>
    <w:p w14:paraId="400CE158" w14:textId="1B7D0971" w:rsidR="00994AAE" w:rsidRPr="001C7821" w:rsidRDefault="00994AAE" w:rsidP="001C7821">
      <w:pPr>
        <w:spacing w:line="480" w:lineRule="auto"/>
        <w:jc w:val="both"/>
      </w:pPr>
    </w:p>
    <w:p w14:paraId="4020B94E" w14:textId="596BDEF4" w:rsidR="00111A95" w:rsidRPr="00E130AC" w:rsidRDefault="00994AAE" w:rsidP="001C7821">
      <w:pPr>
        <w:spacing w:line="480" w:lineRule="auto"/>
        <w:jc w:val="both"/>
        <w:rPr>
          <w:vertAlign w:val="superscript"/>
        </w:rPr>
      </w:pPr>
      <w:r w:rsidRPr="001C7821">
        <w:t>Azathioprine</w:t>
      </w:r>
      <w:r w:rsidR="0082595F" w:rsidRPr="001C7821">
        <w:t>,</w:t>
      </w:r>
      <w:r w:rsidRPr="001C7821">
        <w:t xml:space="preserve"> 1 - 2mg/kg/day</w:t>
      </w:r>
      <w:r w:rsidR="00594C48" w:rsidRPr="001C7821">
        <w:t>, is the thiopurine of</w:t>
      </w:r>
      <w:r w:rsidRPr="001C7821">
        <w:t xml:space="preserve"> choice for maintenance </w:t>
      </w:r>
      <w:r w:rsidR="005A576F" w:rsidRPr="001C7821">
        <w:t>t</w:t>
      </w:r>
      <w:r w:rsidR="005504B4" w:rsidRPr="001C7821">
        <w:t xml:space="preserve">herapy </w:t>
      </w:r>
      <w:r w:rsidR="00594C48" w:rsidRPr="001C7821">
        <w:t xml:space="preserve">and </w:t>
      </w:r>
      <w:r w:rsidR="0082595F" w:rsidRPr="001C7821">
        <w:t>facilitate</w:t>
      </w:r>
      <w:r w:rsidR="00280C27" w:rsidRPr="001C7821">
        <w:t>s</w:t>
      </w:r>
      <w:r w:rsidRPr="001C7821">
        <w:t xml:space="preserve"> withdrawal of </w:t>
      </w:r>
      <w:r w:rsidR="00F01C6D" w:rsidRPr="001C7821">
        <w:t>corticosteroid</w:t>
      </w:r>
      <w:r w:rsidRPr="001C7821">
        <w:t xml:space="preserve">, thereby reducing </w:t>
      </w:r>
      <w:r w:rsidR="00F01C6D" w:rsidRPr="001C7821">
        <w:t>corticosteroid</w:t>
      </w:r>
      <w:r w:rsidRPr="001C7821">
        <w:t xml:space="preserve"> </w:t>
      </w:r>
      <w:r w:rsidR="00F01C6D" w:rsidRPr="001C7821">
        <w:t>burden and associated s</w:t>
      </w:r>
      <w:r w:rsidR="00E130AC">
        <w:t>ide effects</w:t>
      </w:r>
      <w:r w:rsidRPr="001C7821">
        <w:rPr>
          <w:color w:val="000000"/>
        </w:rPr>
        <w:t>.</w:t>
      </w:r>
      <w:r w:rsidR="00E130AC">
        <w:rPr>
          <w:color w:val="000000"/>
          <w:vertAlign w:val="superscript"/>
        </w:rPr>
        <w:t>2</w:t>
      </w:r>
      <w:r w:rsidRPr="001C7821">
        <w:rPr>
          <w:color w:val="000000"/>
        </w:rPr>
        <w:t xml:space="preserve"> </w:t>
      </w:r>
      <w:r w:rsidRPr="001C7821">
        <w:t>However, there remains uncertainty around optimal timing of azathioprine</w:t>
      </w:r>
      <w:r w:rsidR="00724D6F" w:rsidRPr="001C7821">
        <w:t xml:space="preserve"> initiation</w:t>
      </w:r>
      <w:r w:rsidRPr="001C7821">
        <w:t>. European and British</w:t>
      </w:r>
      <w:r w:rsidR="004C07FD" w:rsidRPr="001C7821">
        <w:t xml:space="preserve"> AIH</w:t>
      </w:r>
      <w:r w:rsidRPr="001C7821">
        <w:t xml:space="preserve"> guidelines recommend delaying i</w:t>
      </w:r>
      <w:r w:rsidR="00BB53E4" w:rsidRPr="001C7821">
        <w:t>ntroduction of azathioprine by two</w:t>
      </w:r>
      <w:r w:rsidRPr="001C7821">
        <w:t xml:space="preserve"> or more weeks to resolve diagnostic uncertainties an</w:t>
      </w:r>
      <w:r w:rsidR="00111A95" w:rsidRPr="001C7821">
        <w:t>d</w:t>
      </w:r>
      <w:r w:rsidRPr="001C7821">
        <w:t xml:space="preserve"> discriminate between</w:t>
      </w:r>
      <w:r w:rsidR="004C07FD" w:rsidRPr="001C7821">
        <w:t xml:space="preserve"> a</w:t>
      </w:r>
      <w:r w:rsidRPr="001C7821">
        <w:t xml:space="preserve"> primary non</w:t>
      </w:r>
      <w:r w:rsidR="00E027D4">
        <w:t>-</w:t>
      </w:r>
      <w:r w:rsidRPr="001C7821">
        <w:t>response versus azathioprine induced hepatotoxicity</w:t>
      </w:r>
      <w:r w:rsidR="00E130AC">
        <w:t>.</w:t>
      </w:r>
      <w:sdt>
        <w:sdtPr>
          <w:rPr>
            <w:color w:val="000000"/>
          </w:rPr>
          <w:tag w:val="MENDELEY_CITATION_b6f55620-7297-494c-a853-d16cdd43a5be"/>
          <w:id w:val="-881243280"/>
          <w:placeholder>
            <w:docPart w:val="7AB94479B10D42B19E3345482A2D6C2F"/>
          </w:placeholder>
        </w:sdtPr>
        <w:sdtEndPr/>
        <w:sdtContent>
          <w:r w:rsidR="00E130AC">
            <w:rPr>
              <w:color w:val="000000"/>
              <w:vertAlign w:val="superscript"/>
            </w:rPr>
            <w:t>1,3</w:t>
          </w:r>
          <w:r w:rsidRPr="001C7821">
            <w:rPr>
              <w:color w:val="000000"/>
            </w:rPr>
            <w:t xml:space="preserve"> </w:t>
          </w:r>
        </w:sdtContent>
      </w:sdt>
      <w:r w:rsidR="000E6170" w:rsidRPr="001C7821">
        <w:t xml:space="preserve"> American guidelines recommend an alternative strategy whereby azathioprine is simultaneously introduced with </w:t>
      </w:r>
      <w:r w:rsidR="00B84A06" w:rsidRPr="001C7821">
        <w:t xml:space="preserve">a </w:t>
      </w:r>
      <w:r w:rsidR="000E6170" w:rsidRPr="001C7821">
        <w:t>lower induction dose</w:t>
      </w:r>
      <w:r w:rsidR="00B84A06" w:rsidRPr="001C7821">
        <w:t xml:space="preserve"> of prednisolo</w:t>
      </w:r>
      <w:r w:rsidR="00E130AC">
        <w:t>ne.</w:t>
      </w:r>
      <w:r w:rsidR="00E130AC">
        <w:rPr>
          <w:vertAlign w:val="superscript"/>
        </w:rPr>
        <w:t>4</w:t>
      </w:r>
    </w:p>
    <w:p w14:paraId="0E6EAE13" w14:textId="77777777" w:rsidR="00111A95" w:rsidRPr="001C7821" w:rsidRDefault="00111A95" w:rsidP="001C7821">
      <w:pPr>
        <w:spacing w:line="480" w:lineRule="auto"/>
        <w:jc w:val="both"/>
      </w:pPr>
    </w:p>
    <w:p w14:paraId="7E2D8DFA" w14:textId="08024F20" w:rsidR="00994AAE" w:rsidRPr="00E130AC" w:rsidRDefault="00111A95" w:rsidP="001C7821">
      <w:pPr>
        <w:spacing w:line="480" w:lineRule="auto"/>
        <w:jc w:val="both"/>
        <w:rPr>
          <w:color w:val="000000"/>
          <w:vertAlign w:val="superscript"/>
        </w:rPr>
      </w:pPr>
      <w:r w:rsidRPr="001C7821">
        <w:t xml:space="preserve">In </w:t>
      </w:r>
      <w:r w:rsidR="006E6044" w:rsidRPr="001C7821">
        <w:t>2018</w:t>
      </w:r>
      <w:r w:rsidR="00994AAE" w:rsidRPr="001C7821">
        <w:t xml:space="preserve">, the United Kingdom Autoimmune Hepatitis (UK-AIH) study </w:t>
      </w:r>
      <w:r w:rsidRPr="001C7821">
        <w:t>(n</w:t>
      </w:r>
      <w:r w:rsidR="00FD7038" w:rsidRPr="001C7821">
        <w:t xml:space="preserve"> </w:t>
      </w:r>
      <w:r w:rsidRPr="001C7821">
        <w:t>=</w:t>
      </w:r>
      <w:r w:rsidR="00994AAE" w:rsidRPr="001C7821">
        <w:t xml:space="preserve"> 1249</w:t>
      </w:r>
      <w:r w:rsidRPr="001C7821">
        <w:t>)</w:t>
      </w:r>
      <w:r w:rsidR="00994AAE" w:rsidRPr="001C7821">
        <w:t xml:space="preserve"> re</w:t>
      </w:r>
      <w:r w:rsidRPr="001C7821">
        <w:t>ported</w:t>
      </w:r>
      <w:r w:rsidR="00994AAE" w:rsidRPr="001C7821">
        <w:t xml:space="preserve"> signif</w:t>
      </w:r>
      <w:r w:rsidR="00D2697A" w:rsidRPr="001C7821">
        <w:t>icant discrepancies in the care</w:t>
      </w:r>
      <w:r w:rsidRPr="001C7821">
        <w:t xml:space="preserve"> of AIH</w:t>
      </w:r>
      <w:r w:rsidR="00994AAE" w:rsidRPr="001C7821">
        <w:t xml:space="preserve"> pa</w:t>
      </w:r>
      <w:r w:rsidR="00D2697A" w:rsidRPr="001C7821">
        <w:t>tients</w:t>
      </w:r>
      <w:r w:rsidR="00994AAE" w:rsidRPr="001C7821">
        <w:t xml:space="preserve"> </w:t>
      </w:r>
      <w:r w:rsidR="00E56B07" w:rsidRPr="001C7821">
        <w:t>with</w:t>
      </w:r>
      <w:r w:rsidR="00994AAE" w:rsidRPr="001C7821">
        <w:t>in the National Health Service (NHS)</w:t>
      </w:r>
      <w:r w:rsidR="00E130AC">
        <w:t>.</w:t>
      </w:r>
      <w:r w:rsidR="00E130AC">
        <w:rPr>
          <w:vertAlign w:val="superscript"/>
        </w:rPr>
        <w:t>5</w:t>
      </w:r>
      <w:r w:rsidR="006E6044" w:rsidRPr="001C7821">
        <w:t xml:space="preserve"> The</w:t>
      </w:r>
      <w:r w:rsidRPr="001C7821">
        <w:t xml:space="preserve"> study reported </w:t>
      </w:r>
      <w:r w:rsidR="00FA54A7" w:rsidRPr="001C7821">
        <w:t xml:space="preserve">that 55% </w:t>
      </w:r>
      <w:r w:rsidR="00994AAE" w:rsidRPr="001C7821">
        <w:t>of patients remain</w:t>
      </w:r>
      <w:r w:rsidR="00F205FF" w:rsidRPr="001C7821">
        <w:t>ed</w:t>
      </w:r>
      <w:r w:rsidR="00994AAE" w:rsidRPr="001C7821">
        <w:t xml:space="preserve"> on long-term </w:t>
      </w:r>
      <w:r w:rsidR="00F01C6D" w:rsidRPr="001C7821">
        <w:t>corticosteroid</w:t>
      </w:r>
      <w:r w:rsidR="00994AAE" w:rsidRPr="001C7821">
        <w:t xml:space="preserve"> therapy</w:t>
      </w:r>
      <w:r w:rsidR="006E6044" w:rsidRPr="001C7821">
        <w:t xml:space="preserve"> </w:t>
      </w:r>
      <w:r w:rsidR="006E6044" w:rsidRPr="001C7821">
        <w:lastRenderedPageBreak/>
        <w:t>(treatment lasting longer than 6 month</w:t>
      </w:r>
      <w:r w:rsidR="00242A50" w:rsidRPr="001C7821">
        <w:t>s</w:t>
      </w:r>
      <w:r w:rsidR="006E6044" w:rsidRPr="001C7821">
        <w:t>)</w:t>
      </w:r>
      <w:r w:rsidR="00994AAE" w:rsidRPr="001C7821">
        <w:t>. Moreover, s</w:t>
      </w:r>
      <w:r w:rsidR="00E41C0B" w:rsidRPr="001C7821">
        <w:t>ignificant treatment variability</w:t>
      </w:r>
      <w:r w:rsidR="00994AAE" w:rsidRPr="001C7821">
        <w:t xml:space="preserve"> </w:t>
      </w:r>
      <w:r w:rsidR="00051493" w:rsidRPr="001C7821">
        <w:t xml:space="preserve">existed </w:t>
      </w:r>
      <w:r w:rsidR="00994AAE" w:rsidRPr="001C7821">
        <w:t xml:space="preserve">with 29 different </w:t>
      </w:r>
      <w:r w:rsidR="00F01C6D" w:rsidRPr="001C7821">
        <w:t>corticosteroid</w:t>
      </w:r>
      <w:r w:rsidR="00994AAE" w:rsidRPr="001C7821">
        <w:t xml:space="preserve"> and immunosuppress</w:t>
      </w:r>
      <w:r w:rsidR="00E56B07" w:rsidRPr="001C7821">
        <w:t>ion</w:t>
      </w:r>
      <w:r w:rsidR="000E6170" w:rsidRPr="001C7821">
        <w:t xml:space="preserve"> regimens</w:t>
      </w:r>
      <w:r w:rsidR="00994AAE" w:rsidRPr="001C7821">
        <w:t xml:space="preserve"> reported</w:t>
      </w:r>
      <w:r w:rsidR="00E130AC">
        <w:t>.</w:t>
      </w:r>
      <w:r w:rsidR="00E130AC">
        <w:rPr>
          <w:vertAlign w:val="superscript"/>
        </w:rPr>
        <w:t>5</w:t>
      </w:r>
      <w:r w:rsidR="00994AAE" w:rsidRPr="001C7821">
        <w:t xml:space="preserve"> Systemic </w:t>
      </w:r>
      <w:r w:rsidR="00F01C6D" w:rsidRPr="001C7821">
        <w:t>corticosteroid</w:t>
      </w:r>
      <w:r w:rsidR="00E41C0B" w:rsidRPr="001C7821">
        <w:t>s</w:t>
      </w:r>
      <w:r w:rsidRPr="001C7821">
        <w:t xml:space="preserve"> in</w:t>
      </w:r>
      <w:r w:rsidR="00994AAE" w:rsidRPr="001C7821">
        <w:t xml:space="preserve"> </w:t>
      </w:r>
      <w:r w:rsidR="00E41C0B" w:rsidRPr="001C7821">
        <w:t xml:space="preserve">the treatment of </w:t>
      </w:r>
      <w:r w:rsidR="00994AAE" w:rsidRPr="001C7821">
        <w:t>AIH is associated with detrimental effects on quality of life independent of remission status, including negative effects on mobility and ability to perform usual activities</w:t>
      </w:r>
      <w:r w:rsidR="00E130AC">
        <w:t>.</w:t>
      </w:r>
      <w:r w:rsidR="00E130AC">
        <w:rPr>
          <w:vertAlign w:val="superscript"/>
        </w:rPr>
        <w:t>5</w:t>
      </w:r>
      <w:r w:rsidR="00E41C0B" w:rsidRPr="001C7821">
        <w:t xml:space="preserve"> In 2019, Van den Brand et al</w:t>
      </w:r>
      <w:r w:rsidR="00914B8C" w:rsidRPr="001C7821">
        <w:t>.,</w:t>
      </w:r>
      <w:r w:rsidR="00E41C0B" w:rsidRPr="001C7821">
        <w:t xml:space="preserve"> </w:t>
      </w:r>
      <w:r w:rsidR="009A0794">
        <w:t>reported</w:t>
      </w:r>
      <w:r w:rsidR="00051493" w:rsidRPr="001C7821">
        <w:t xml:space="preserve"> many</w:t>
      </w:r>
      <w:r w:rsidR="00242A50" w:rsidRPr="001C7821">
        <w:t xml:space="preserve"> AIH</w:t>
      </w:r>
      <w:r w:rsidR="00994AAE" w:rsidRPr="001C7821">
        <w:t xml:space="preserve"> patients </w:t>
      </w:r>
      <w:r w:rsidR="007515AB" w:rsidRPr="001C7821">
        <w:t>taking long term</w:t>
      </w:r>
      <w:r w:rsidR="007A5965" w:rsidRPr="001C7821">
        <w:t xml:space="preserve"> </w:t>
      </w:r>
      <w:r w:rsidR="00F01C6D" w:rsidRPr="001C7821">
        <w:t>corticosteroid</w:t>
      </w:r>
      <w:r w:rsidR="007A5965" w:rsidRPr="001C7821">
        <w:t>s</w:t>
      </w:r>
      <w:r w:rsidR="000E6170" w:rsidRPr="001C7821">
        <w:t xml:space="preserve"> </w:t>
      </w:r>
      <w:r w:rsidR="00994AAE" w:rsidRPr="001C7821">
        <w:t>reported</w:t>
      </w:r>
      <w:r w:rsidR="00242A50" w:rsidRPr="001C7821">
        <w:t xml:space="preserve"> </w:t>
      </w:r>
      <w:r w:rsidR="0095613F" w:rsidRPr="001C7821">
        <w:t>negative</w:t>
      </w:r>
      <w:r w:rsidR="00242A50" w:rsidRPr="001C7821">
        <w:t xml:space="preserve"> effects</w:t>
      </w:r>
      <w:r w:rsidR="00994AAE" w:rsidRPr="001C7821">
        <w:t xml:space="preserve"> </w:t>
      </w:r>
      <w:r w:rsidR="00ED5487" w:rsidRPr="001C7821">
        <w:t>o</w:t>
      </w:r>
      <w:r w:rsidRPr="001C7821">
        <w:t>n the</w:t>
      </w:r>
      <w:r w:rsidR="0095613F" w:rsidRPr="001C7821">
        <w:t>ir</w:t>
      </w:r>
      <w:r w:rsidR="007515AB" w:rsidRPr="001C7821">
        <w:t xml:space="preserve"> mental health</w:t>
      </w:r>
      <w:r w:rsidR="00994AAE" w:rsidRPr="001C7821">
        <w:t>, inc</w:t>
      </w:r>
      <w:r w:rsidR="00051493" w:rsidRPr="001C7821">
        <w:t>lu</w:t>
      </w:r>
      <w:r w:rsidR="000E6170" w:rsidRPr="001C7821">
        <w:t xml:space="preserve">ding </w:t>
      </w:r>
      <w:r w:rsidR="00994AAE" w:rsidRPr="001C7821">
        <w:t>depression and chronic fatigue, independent of</w:t>
      </w:r>
      <w:r w:rsidRPr="001C7821">
        <w:t xml:space="preserve"> </w:t>
      </w:r>
      <w:r w:rsidR="00994AAE" w:rsidRPr="001C7821">
        <w:t>disease</w:t>
      </w:r>
      <w:r w:rsidR="007515AB" w:rsidRPr="001C7821">
        <w:t xml:space="preserve"> stage</w:t>
      </w:r>
      <w:r w:rsidR="00E130AC">
        <w:rPr>
          <w:color w:val="000000"/>
        </w:rPr>
        <w:t>.</w:t>
      </w:r>
      <w:r w:rsidR="00E130AC">
        <w:rPr>
          <w:color w:val="000000"/>
          <w:vertAlign w:val="superscript"/>
        </w:rPr>
        <w:t>6</w:t>
      </w:r>
    </w:p>
    <w:p w14:paraId="3B845447" w14:textId="77777777" w:rsidR="00E41C0B" w:rsidRPr="001C7821" w:rsidRDefault="00E41C0B" w:rsidP="001C7821">
      <w:pPr>
        <w:spacing w:line="480" w:lineRule="auto"/>
        <w:jc w:val="both"/>
      </w:pPr>
    </w:p>
    <w:p w14:paraId="639BE3BA" w14:textId="0536017F" w:rsidR="00D37704" w:rsidRPr="001C7821" w:rsidRDefault="00994AAE" w:rsidP="001C7821">
      <w:pPr>
        <w:spacing w:line="480" w:lineRule="auto"/>
        <w:jc w:val="both"/>
      </w:pPr>
      <w:r w:rsidRPr="001C7821">
        <w:t xml:space="preserve">With variable </w:t>
      </w:r>
      <w:r w:rsidR="00F01C6D" w:rsidRPr="001C7821">
        <w:t>corticosteroid</w:t>
      </w:r>
      <w:r w:rsidRPr="001C7821">
        <w:t xml:space="preserve"> and azathioprine regimens resulting </w:t>
      </w:r>
      <w:r w:rsidR="00E41C0B" w:rsidRPr="001C7821">
        <w:t>in inconsistent</w:t>
      </w:r>
      <w:r w:rsidR="00111A95" w:rsidRPr="001C7821">
        <w:t xml:space="preserve"> </w:t>
      </w:r>
      <w:r w:rsidR="006F5297" w:rsidRPr="001C7821">
        <w:t>management of</w:t>
      </w:r>
      <w:r w:rsidR="00111A95" w:rsidRPr="001C7821">
        <w:t xml:space="preserve"> patients</w:t>
      </w:r>
      <w:r w:rsidR="00FF1B94" w:rsidRPr="001C7821">
        <w:t xml:space="preserve">, coupled with the desire to reduce cumulative </w:t>
      </w:r>
      <w:r w:rsidR="00F01C6D" w:rsidRPr="001C7821">
        <w:t>corticosteroid</w:t>
      </w:r>
      <w:r w:rsidR="00FF1B94" w:rsidRPr="001C7821">
        <w:t xml:space="preserve"> exposure; the aim of this</w:t>
      </w:r>
      <w:r w:rsidRPr="001C7821">
        <w:t xml:space="preserve"> study</w:t>
      </w:r>
      <w:r w:rsidR="00FF1B94" w:rsidRPr="001C7821">
        <w:t xml:space="preserve"> was to </w:t>
      </w:r>
      <w:r w:rsidR="00FA54A7" w:rsidRPr="001C7821">
        <w:t>establish</w:t>
      </w:r>
      <w:r w:rsidRPr="001C7821">
        <w:t xml:space="preserve"> whether earlier introduction of azathioprine </w:t>
      </w:r>
      <w:r w:rsidR="00FF1B94" w:rsidRPr="001C7821">
        <w:t>facilitated</w:t>
      </w:r>
      <w:r w:rsidRPr="001C7821">
        <w:t xml:space="preserve"> </w:t>
      </w:r>
      <w:r w:rsidR="00FF1B94" w:rsidRPr="001C7821">
        <w:t>a reduce</w:t>
      </w:r>
      <w:r w:rsidR="00E41C0B" w:rsidRPr="001C7821">
        <w:t>d</w:t>
      </w:r>
      <w:r w:rsidRPr="001C7821">
        <w:t xml:space="preserve"> cumulative </w:t>
      </w:r>
      <w:r w:rsidR="00F01C6D" w:rsidRPr="001C7821">
        <w:t>corticosteroid</w:t>
      </w:r>
      <w:r w:rsidRPr="001C7821">
        <w:t xml:space="preserve"> burden </w:t>
      </w:r>
      <w:r w:rsidR="00F205FF" w:rsidRPr="001C7821">
        <w:t xml:space="preserve">in </w:t>
      </w:r>
      <w:r w:rsidRPr="001C7821">
        <w:t>AIH</w:t>
      </w:r>
      <w:r w:rsidR="00FF1B94" w:rsidRPr="001C7821">
        <w:t xml:space="preserve"> patients</w:t>
      </w:r>
      <w:r w:rsidRPr="001C7821">
        <w:t xml:space="preserve">. </w:t>
      </w:r>
      <w:r w:rsidR="00FF1B94" w:rsidRPr="001C7821">
        <w:t>K</w:t>
      </w:r>
      <w:r w:rsidRPr="001C7821">
        <w:t xml:space="preserve">ey objectives were to determine the </w:t>
      </w:r>
      <w:r w:rsidR="00DF55E8" w:rsidRPr="001C7821">
        <w:t>cumulative exposure</w:t>
      </w:r>
      <w:r w:rsidR="00154748" w:rsidRPr="001C7821">
        <w:t xml:space="preserve"> of </w:t>
      </w:r>
      <w:r w:rsidR="00F01C6D" w:rsidRPr="001C7821">
        <w:t>corticosteroid</w:t>
      </w:r>
      <w:r w:rsidR="00154748" w:rsidRPr="001C7821">
        <w:t xml:space="preserve"> in the first 12 months and</w:t>
      </w:r>
      <w:r w:rsidR="009A0794">
        <w:t xml:space="preserve"> the</w:t>
      </w:r>
      <w:r w:rsidR="00154748" w:rsidRPr="001C7821">
        <w:t xml:space="preserve"> </w:t>
      </w:r>
      <w:r w:rsidR="00BB53E4" w:rsidRPr="001C7821">
        <w:t>maintenance dose over the next five</w:t>
      </w:r>
      <w:r w:rsidR="00154748" w:rsidRPr="001C7821">
        <w:t xml:space="preserve"> years; </w:t>
      </w:r>
      <w:r w:rsidRPr="001C7821">
        <w:t xml:space="preserve">timing of azathioprine introduction following commencement of </w:t>
      </w:r>
      <w:r w:rsidR="00F01C6D" w:rsidRPr="001C7821">
        <w:t>corticosteroid</w:t>
      </w:r>
      <w:r w:rsidRPr="001C7821">
        <w:t>s</w:t>
      </w:r>
      <w:r w:rsidR="00443523" w:rsidRPr="001C7821">
        <w:t>;</w:t>
      </w:r>
      <w:r w:rsidRPr="001C7821">
        <w:t xml:space="preserve"> the dose</w:t>
      </w:r>
      <w:r w:rsidR="00FA54A7" w:rsidRPr="001C7821">
        <w:t xml:space="preserve"> </w:t>
      </w:r>
      <w:r w:rsidR="00E41C0B" w:rsidRPr="001C7821">
        <w:t>of azathioprine</w:t>
      </w:r>
      <w:r w:rsidRPr="001C7821">
        <w:t xml:space="preserve"> </w:t>
      </w:r>
      <w:r w:rsidR="00FF1B94" w:rsidRPr="001C7821">
        <w:t>at</w:t>
      </w:r>
      <w:r w:rsidRPr="001C7821">
        <w:t xml:space="preserve"> introdu</w:t>
      </w:r>
      <w:r w:rsidR="00FF1B94" w:rsidRPr="001C7821">
        <w:t>ction</w:t>
      </w:r>
      <w:r w:rsidR="00FA54A7" w:rsidRPr="001C7821">
        <w:t xml:space="preserve"> and maint</w:t>
      </w:r>
      <w:r w:rsidRPr="001C7821">
        <w:t>e</w:t>
      </w:r>
      <w:r w:rsidR="00FF1B94" w:rsidRPr="001C7821">
        <w:t>nance</w:t>
      </w:r>
      <w:r w:rsidRPr="001C7821">
        <w:t xml:space="preserve"> </w:t>
      </w:r>
      <w:r w:rsidR="00BB53E4" w:rsidRPr="001C7821">
        <w:t>over a five</w:t>
      </w:r>
      <w:r w:rsidR="00B61DA4" w:rsidRPr="001C7821">
        <w:t>-</w:t>
      </w:r>
      <w:r w:rsidR="00F75D7B" w:rsidRPr="001C7821">
        <w:t xml:space="preserve">year </w:t>
      </w:r>
      <w:r w:rsidR="007515AB" w:rsidRPr="001C7821">
        <w:t xml:space="preserve">period; </w:t>
      </w:r>
      <w:r w:rsidR="000A5D11" w:rsidRPr="001C7821">
        <w:t xml:space="preserve">number of </w:t>
      </w:r>
      <w:r w:rsidR="00FF1B94" w:rsidRPr="001C7821">
        <w:t>patient</w:t>
      </w:r>
      <w:r w:rsidR="000A5D11" w:rsidRPr="001C7821">
        <w:t>s</w:t>
      </w:r>
      <w:r w:rsidR="00FF1B94" w:rsidRPr="001C7821">
        <w:t xml:space="preserve"> in</w:t>
      </w:r>
      <w:r w:rsidRPr="001C7821">
        <w:t xml:space="preserve"> biochemical remission at 1</w:t>
      </w:r>
      <w:r w:rsidR="00F205FF" w:rsidRPr="001C7821">
        <w:t>-</w:t>
      </w:r>
      <w:r w:rsidR="00F75D7B" w:rsidRPr="001C7821">
        <w:t>, 3</w:t>
      </w:r>
      <w:r w:rsidR="00F205FF" w:rsidRPr="001C7821">
        <w:t>-</w:t>
      </w:r>
      <w:r w:rsidR="00F75D7B" w:rsidRPr="001C7821">
        <w:t xml:space="preserve"> and 5</w:t>
      </w:r>
      <w:r w:rsidR="00F205FF" w:rsidRPr="001C7821">
        <w:t>-</w:t>
      </w:r>
      <w:r w:rsidR="00F75D7B" w:rsidRPr="001C7821">
        <w:t xml:space="preserve"> years </w:t>
      </w:r>
      <w:r w:rsidR="007C04AF">
        <w:t>from diagnosis</w:t>
      </w:r>
      <w:r w:rsidR="00443523" w:rsidRPr="001C7821">
        <w:t>;</w:t>
      </w:r>
      <w:r w:rsidRPr="001C7821">
        <w:t xml:space="preserve"> and finally </w:t>
      </w:r>
      <w:r w:rsidR="00FF1B94" w:rsidRPr="001C7821">
        <w:t xml:space="preserve">reported </w:t>
      </w:r>
      <w:r w:rsidRPr="001C7821">
        <w:t xml:space="preserve">rates of </w:t>
      </w:r>
      <w:r w:rsidR="00F01C6D" w:rsidRPr="001C7821">
        <w:t>corticosteroid</w:t>
      </w:r>
      <w:r w:rsidRPr="001C7821">
        <w:t xml:space="preserve"> </w:t>
      </w:r>
      <w:r w:rsidR="00BB53E4" w:rsidRPr="001C7821">
        <w:t xml:space="preserve">associated </w:t>
      </w:r>
      <w:r w:rsidRPr="001C7821">
        <w:t>side effects.</w:t>
      </w:r>
      <w:r w:rsidR="00D37704" w:rsidRPr="001C7821">
        <w:t xml:space="preserve"> Additionally, we wanted to establish if there is an era </w:t>
      </w:r>
      <w:r w:rsidR="007F2A37" w:rsidRPr="001C7821">
        <w:t>effect that</w:t>
      </w:r>
      <w:r w:rsidR="00D37704" w:rsidRPr="001C7821">
        <w:t xml:space="preserve"> influenced prednisolone and azathioprine prescribing regimens</w:t>
      </w:r>
      <w:r w:rsidR="0065221C" w:rsidRPr="001C7821">
        <w:t xml:space="preserve">. </w:t>
      </w:r>
    </w:p>
    <w:p w14:paraId="5FC449AE" w14:textId="77777777" w:rsidR="00994AAE" w:rsidRPr="001C7821" w:rsidRDefault="00994AAE" w:rsidP="001C7821">
      <w:pPr>
        <w:spacing w:line="480" w:lineRule="auto"/>
        <w:jc w:val="both"/>
      </w:pPr>
    </w:p>
    <w:p w14:paraId="55B01CDD" w14:textId="75C3A5D6" w:rsidR="00994AAE" w:rsidRPr="001C7821" w:rsidRDefault="00994AAE" w:rsidP="001C7821">
      <w:pPr>
        <w:spacing w:after="160" w:line="480" w:lineRule="auto"/>
        <w:jc w:val="both"/>
        <w:rPr>
          <w:b/>
        </w:rPr>
      </w:pPr>
      <w:r w:rsidRPr="001C7821">
        <w:rPr>
          <w:u w:val="single"/>
        </w:rPr>
        <w:br w:type="page"/>
      </w:r>
      <w:r w:rsidRPr="001C7821">
        <w:rPr>
          <w:b/>
        </w:rPr>
        <w:lastRenderedPageBreak/>
        <w:t xml:space="preserve">Methods  </w:t>
      </w:r>
    </w:p>
    <w:p w14:paraId="60501E34" w14:textId="77777777" w:rsidR="00994AAE" w:rsidRPr="001C7821" w:rsidRDefault="00994AAE" w:rsidP="001C7821">
      <w:pPr>
        <w:spacing w:line="480" w:lineRule="auto"/>
        <w:jc w:val="both"/>
        <w:rPr>
          <w:u w:val="single"/>
        </w:rPr>
      </w:pPr>
    </w:p>
    <w:p w14:paraId="7CA39B83" w14:textId="77777777" w:rsidR="00994AAE" w:rsidRPr="007357F7" w:rsidRDefault="00994AAE" w:rsidP="001C7821">
      <w:pPr>
        <w:spacing w:line="480" w:lineRule="auto"/>
        <w:jc w:val="both"/>
        <w:rPr>
          <w:i/>
        </w:rPr>
      </w:pPr>
      <w:r w:rsidRPr="007357F7">
        <w:rPr>
          <w:i/>
        </w:rPr>
        <w:t>Study design:</w:t>
      </w:r>
    </w:p>
    <w:p w14:paraId="01371819" w14:textId="4E5C5F52" w:rsidR="007F3895" w:rsidRPr="007357F7" w:rsidRDefault="00994AAE" w:rsidP="001C7821">
      <w:pPr>
        <w:spacing w:line="480" w:lineRule="auto"/>
        <w:jc w:val="both"/>
      </w:pPr>
      <w:r w:rsidRPr="007357F7">
        <w:t>We performed a retrospective single centre cohort study.</w:t>
      </w:r>
      <w:r w:rsidR="00443523" w:rsidRPr="007357F7">
        <w:t xml:space="preserve"> </w:t>
      </w:r>
      <w:r w:rsidR="00246AEA" w:rsidRPr="007357F7">
        <w:t>Inclusion criteria</w:t>
      </w:r>
      <w:r w:rsidR="00B61DA4" w:rsidRPr="007357F7">
        <w:t xml:space="preserve"> included</w:t>
      </w:r>
      <w:r w:rsidR="00246AEA" w:rsidRPr="007357F7">
        <w:t xml:space="preserve"> patients over 18 years</w:t>
      </w:r>
      <w:r w:rsidR="000E6170" w:rsidRPr="007357F7">
        <w:t>-old</w:t>
      </w:r>
      <w:r w:rsidR="00CA6BE8" w:rsidRPr="007357F7">
        <w:t xml:space="preserve"> diagnosed with AIH between 1970 to </w:t>
      </w:r>
      <w:r w:rsidR="007570A1" w:rsidRPr="007357F7">
        <w:t>2020</w:t>
      </w:r>
      <w:r w:rsidR="00524A89" w:rsidRPr="007357F7">
        <w:t xml:space="preserve"> fulfilling the</w:t>
      </w:r>
      <w:r w:rsidR="004275A7" w:rsidRPr="007357F7">
        <w:t xml:space="preserve"> International AIH Group </w:t>
      </w:r>
      <w:r w:rsidR="00CA6BE8" w:rsidRPr="007357F7">
        <w:t xml:space="preserve">diagnostic </w:t>
      </w:r>
      <w:r w:rsidR="00CB4E59" w:rsidRPr="007357F7">
        <w:t>criteria (</w:t>
      </w:r>
      <w:r w:rsidR="004275A7" w:rsidRPr="007357F7">
        <w:t>1999 revised criteria and simplified criteria)</w:t>
      </w:r>
      <w:r w:rsidR="00524A89" w:rsidRPr="007357F7">
        <w:t>, received induction therapy with prednisone and maintenance therapy with azathioprine</w:t>
      </w:r>
      <w:r w:rsidR="00E130AC" w:rsidRPr="007357F7">
        <w:t>.</w:t>
      </w:r>
      <w:r w:rsidR="00E130AC" w:rsidRPr="007357F7">
        <w:rPr>
          <w:vertAlign w:val="superscript"/>
        </w:rPr>
        <w:t>7,8</w:t>
      </w:r>
      <w:r w:rsidRPr="007357F7">
        <w:t xml:space="preserve"> </w:t>
      </w:r>
      <w:r w:rsidR="003A4DE6" w:rsidRPr="007357F7">
        <w:t>Exclusion criteria</w:t>
      </w:r>
      <w:r w:rsidR="00B61DA4" w:rsidRPr="007357F7">
        <w:t xml:space="preserve"> were the inability to determine the</w:t>
      </w:r>
      <w:r w:rsidR="00BC13DD" w:rsidRPr="007357F7">
        <w:t xml:space="preserve"> exact</w:t>
      </w:r>
      <w:r w:rsidR="00B61DA4" w:rsidRPr="007357F7">
        <w:t xml:space="preserve"> </w:t>
      </w:r>
      <w:r w:rsidR="007515AB" w:rsidRPr="007357F7">
        <w:t>timing</w:t>
      </w:r>
      <w:r w:rsidR="00E26029" w:rsidRPr="007357F7">
        <w:t xml:space="preserve"> of azathioprine introduction </w:t>
      </w:r>
      <w:r w:rsidR="007515AB" w:rsidRPr="007357F7">
        <w:t xml:space="preserve">and </w:t>
      </w:r>
      <w:r w:rsidR="00524A89" w:rsidRPr="007357F7">
        <w:t>t</w:t>
      </w:r>
      <w:r w:rsidR="00B61DA4" w:rsidRPr="007357F7">
        <w:t xml:space="preserve">he </w:t>
      </w:r>
      <w:r w:rsidR="00F01C6D" w:rsidRPr="007357F7">
        <w:t>corticosteroid</w:t>
      </w:r>
      <w:r w:rsidR="00524A89" w:rsidRPr="007357F7">
        <w:t xml:space="preserve"> withdrawal</w:t>
      </w:r>
      <w:r w:rsidR="003A4DE6" w:rsidRPr="007357F7">
        <w:t>,</w:t>
      </w:r>
      <w:r w:rsidR="00B61DA4" w:rsidRPr="007357F7">
        <w:t xml:space="preserve"> presence of</w:t>
      </w:r>
      <w:r w:rsidR="003A4DE6" w:rsidRPr="007357F7">
        <w:t xml:space="preserve"> ov</w:t>
      </w:r>
      <w:r w:rsidRPr="007357F7">
        <w:t>erlap</w:t>
      </w:r>
      <w:r w:rsidR="003A4DE6" w:rsidRPr="007357F7">
        <w:t xml:space="preserve"> syndrome with</w:t>
      </w:r>
      <w:r w:rsidRPr="007357F7">
        <w:t xml:space="preserve"> primary biliary cholangitis or primary sclerosing cholangitis, </w:t>
      </w:r>
      <w:r w:rsidR="0050796B" w:rsidRPr="007357F7">
        <w:t>presence</w:t>
      </w:r>
      <w:r w:rsidR="003A4DE6" w:rsidRPr="007357F7">
        <w:t xml:space="preserve"> of </w:t>
      </w:r>
      <w:r w:rsidR="00394687" w:rsidRPr="007357F7">
        <w:t>other</w:t>
      </w:r>
      <w:r w:rsidR="00B61DA4" w:rsidRPr="007357F7">
        <w:t xml:space="preserve"> liver disease</w:t>
      </w:r>
      <w:r w:rsidRPr="007357F7">
        <w:t xml:space="preserve"> (</w:t>
      </w:r>
      <w:r w:rsidR="003A4DE6" w:rsidRPr="007357F7">
        <w:t>e.g.</w:t>
      </w:r>
      <w:r w:rsidRPr="007357F7">
        <w:t xml:space="preserve"> viral hepatitis,</w:t>
      </w:r>
      <w:r w:rsidR="00316405" w:rsidRPr="007357F7">
        <w:t xml:space="preserve"> metabolic dysfunction associated </w:t>
      </w:r>
      <w:proofErr w:type="spellStart"/>
      <w:r w:rsidR="00316405" w:rsidRPr="007357F7">
        <w:t>steatotic</w:t>
      </w:r>
      <w:proofErr w:type="spellEnd"/>
      <w:r w:rsidRPr="007357F7">
        <w:t xml:space="preserve"> liver disease, drug induced liver injury)</w:t>
      </w:r>
      <w:r w:rsidR="00675366" w:rsidRPr="007357F7">
        <w:t>, acute severe or fulminant AIH</w:t>
      </w:r>
      <w:r w:rsidR="00542104" w:rsidRPr="007357F7">
        <w:t>, intolerance to azathioprine or</w:t>
      </w:r>
      <w:r w:rsidRPr="007357F7">
        <w:t xml:space="preserve"> </w:t>
      </w:r>
      <w:r w:rsidR="00394687" w:rsidRPr="007357F7">
        <w:t>incomplete</w:t>
      </w:r>
      <w:r w:rsidRPr="007357F7">
        <w:t xml:space="preserve"> dat</w:t>
      </w:r>
      <w:r w:rsidR="00542104" w:rsidRPr="007357F7">
        <w:t xml:space="preserve">a. </w:t>
      </w:r>
    </w:p>
    <w:p w14:paraId="72B23097" w14:textId="77777777" w:rsidR="00D6331D" w:rsidRDefault="00D6331D" w:rsidP="001C7821">
      <w:pPr>
        <w:spacing w:line="480" w:lineRule="auto"/>
        <w:jc w:val="both"/>
      </w:pPr>
    </w:p>
    <w:p w14:paraId="308A04DF" w14:textId="1E80C0C9" w:rsidR="000623CB" w:rsidRPr="00970E33" w:rsidRDefault="000623CB" w:rsidP="001C7821">
      <w:pPr>
        <w:spacing w:line="480" w:lineRule="auto"/>
        <w:jc w:val="both"/>
        <w:rPr>
          <w:i/>
          <w:iCs/>
        </w:rPr>
      </w:pPr>
      <w:r w:rsidRPr="00970E33">
        <w:rPr>
          <w:i/>
          <w:iCs/>
        </w:rPr>
        <w:t>Ethics statement</w:t>
      </w:r>
    </w:p>
    <w:p w14:paraId="40FDD1A7" w14:textId="77777777" w:rsidR="003D01F4" w:rsidRPr="007357F7" w:rsidRDefault="003D01F4" w:rsidP="003D01F4">
      <w:pPr>
        <w:spacing w:line="480" w:lineRule="auto"/>
        <w:jc w:val="both"/>
      </w:pPr>
      <w:bookmarkStart w:id="0" w:name="_Hlk192492242"/>
      <w:r w:rsidRPr="007357F7">
        <w:t xml:space="preserve">Ethical approval was deemed not essential according to the National Institute for Health and Care Research (NIHR) assessment tool. The research study was </w:t>
      </w:r>
      <w:r>
        <w:t>exempted from ethics approval as was deemed a</w:t>
      </w:r>
      <w:r w:rsidRPr="007357F7">
        <w:t xml:space="preserve"> service evaluation </w:t>
      </w:r>
      <w:r>
        <w:t>by the</w:t>
      </w:r>
      <w:r w:rsidRPr="007357F7">
        <w:t xml:space="preserve"> Hepatology and Pharmacy research and audit group (RAG) at Kings College Hospital (KCH).</w:t>
      </w:r>
    </w:p>
    <w:bookmarkEnd w:id="0"/>
    <w:p w14:paraId="36B64C86" w14:textId="77777777" w:rsidR="007515AB" w:rsidRPr="007357F7" w:rsidRDefault="007515AB" w:rsidP="001C7821">
      <w:pPr>
        <w:spacing w:line="480" w:lineRule="auto"/>
        <w:jc w:val="both"/>
        <w:rPr>
          <w:i/>
        </w:rPr>
      </w:pPr>
    </w:p>
    <w:p w14:paraId="0F1455D9" w14:textId="15BAB4C9" w:rsidR="00994AAE" w:rsidRPr="007357F7" w:rsidRDefault="00994AAE" w:rsidP="001C7821">
      <w:pPr>
        <w:spacing w:line="480" w:lineRule="auto"/>
        <w:jc w:val="both"/>
        <w:rPr>
          <w:i/>
        </w:rPr>
      </w:pPr>
      <w:r w:rsidRPr="007357F7">
        <w:rPr>
          <w:i/>
        </w:rPr>
        <w:t>Data collection:</w:t>
      </w:r>
    </w:p>
    <w:p w14:paraId="299E5875" w14:textId="45484861" w:rsidR="00994AAE" w:rsidRPr="007357F7" w:rsidRDefault="00B12A93" w:rsidP="001C7821">
      <w:pPr>
        <w:spacing w:line="480" w:lineRule="auto"/>
        <w:jc w:val="both"/>
      </w:pPr>
      <w:r w:rsidRPr="007357F7">
        <w:t>P</w:t>
      </w:r>
      <w:r w:rsidR="00CF5971" w:rsidRPr="007357F7">
        <w:t>atien</w:t>
      </w:r>
      <w:r w:rsidR="00624402" w:rsidRPr="007357F7">
        <w:t>ts were identified</w:t>
      </w:r>
      <w:r w:rsidR="0050796B" w:rsidRPr="007357F7">
        <w:t xml:space="preserve"> from </w:t>
      </w:r>
      <w:r w:rsidR="000D5F7D" w:rsidRPr="007357F7">
        <w:t>our local database of AIH patients. Patient information was gathered from</w:t>
      </w:r>
      <w:r w:rsidR="00B61DA4" w:rsidRPr="007357F7">
        <w:t xml:space="preserve"> </w:t>
      </w:r>
      <w:r w:rsidR="00766D3D" w:rsidRPr="007357F7">
        <w:t xml:space="preserve">patient </w:t>
      </w:r>
      <w:r w:rsidRPr="007357F7">
        <w:t>medical</w:t>
      </w:r>
      <w:r w:rsidR="000D5F7D" w:rsidRPr="007357F7">
        <w:t xml:space="preserve"> </w:t>
      </w:r>
      <w:r w:rsidRPr="007357F7">
        <w:t>records</w:t>
      </w:r>
      <w:r w:rsidR="00624402" w:rsidRPr="007357F7">
        <w:t xml:space="preserve">. </w:t>
      </w:r>
      <w:r w:rsidR="00CF5971" w:rsidRPr="007357F7">
        <w:t xml:space="preserve">A </w:t>
      </w:r>
      <w:r w:rsidR="00B03B07" w:rsidRPr="007357F7">
        <w:t>case report fo</w:t>
      </w:r>
      <w:r w:rsidR="000D5F7D" w:rsidRPr="007357F7">
        <w:t>r</w:t>
      </w:r>
      <w:r w:rsidR="00B03B07" w:rsidRPr="007357F7">
        <w:t>m (CRF) was designed</w:t>
      </w:r>
      <w:r w:rsidR="00962322" w:rsidRPr="007357F7">
        <w:t xml:space="preserve">, </w:t>
      </w:r>
      <w:r w:rsidR="00B03B07" w:rsidRPr="007357F7">
        <w:t>piloted and revised after extensive comments</w:t>
      </w:r>
      <w:r w:rsidR="007570A1" w:rsidRPr="007357F7">
        <w:t xml:space="preserve">. </w:t>
      </w:r>
      <w:r w:rsidR="00CF5971" w:rsidRPr="007357F7">
        <w:t>The following data w</w:t>
      </w:r>
      <w:r w:rsidR="00962322" w:rsidRPr="007357F7">
        <w:t>ere</w:t>
      </w:r>
      <w:r w:rsidR="00CF5971" w:rsidRPr="007357F7">
        <w:t xml:space="preserve"> collected</w:t>
      </w:r>
      <w:r w:rsidR="00A92A5D" w:rsidRPr="007357F7">
        <w:t xml:space="preserve">: </w:t>
      </w:r>
      <w:r w:rsidR="00CF5971" w:rsidRPr="007357F7">
        <w:t>demographics</w:t>
      </w:r>
      <w:r w:rsidR="00994AAE" w:rsidRPr="007357F7">
        <w:t>, serolog</w:t>
      </w:r>
      <w:r w:rsidR="00A92A5D" w:rsidRPr="007357F7">
        <w:t>y</w:t>
      </w:r>
      <w:r w:rsidR="00994AAE" w:rsidRPr="007357F7">
        <w:t>, histolog</w:t>
      </w:r>
      <w:r w:rsidR="00A92A5D" w:rsidRPr="007357F7">
        <w:t>y</w:t>
      </w:r>
      <w:r w:rsidR="00994AAE" w:rsidRPr="007357F7">
        <w:t xml:space="preserve">, </w:t>
      </w:r>
      <w:r w:rsidR="00BE4A1A" w:rsidRPr="007357F7">
        <w:t xml:space="preserve">blood </w:t>
      </w:r>
      <w:r w:rsidR="00994AAE" w:rsidRPr="007357F7">
        <w:t>laboratory</w:t>
      </w:r>
      <w:r w:rsidR="00BE4A1A" w:rsidRPr="007357F7">
        <w:t xml:space="preserve"> results</w:t>
      </w:r>
      <w:r w:rsidR="00994AAE" w:rsidRPr="007357F7">
        <w:t xml:space="preserve"> and </w:t>
      </w:r>
      <w:r w:rsidR="00CF5971" w:rsidRPr="007357F7">
        <w:t xml:space="preserve">drug </w:t>
      </w:r>
      <w:r w:rsidR="00994AAE" w:rsidRPr="007357F7">
        <w:t>treatment regimens.</w:t>
      </w:r>
      <w:r w:rsidR="00CF5971" w:rsidRPr="007357F7">
        <w:t xml:space="preserve"> </w:t>
      </w:r>
      <w:r w:rsidR="008E586B" w:rsidRPr="007357F7">
        <w:t>The study specific information</w:t>
      </w:r>
      <w:r w:rsidR="00847A70" w:rsidRPr="007357F7">
        <w:t xml:space="preserve"> regarding </w:t>
      </w:r>
      <w:r w:rsidR="00364249" w:rsidRPr="007357F7">
        <w:t xml:space="preserve">patient </w:t>
      </w:r>
      <w:r w:rsidR="008E586B" w:rsidRPr="007357F7">
        <w:t xml:space="preserve">weight, </w:t>
      </w:r>
      <w:r w:rsidR="00F01C6D" w:rsidRPr="007357F7">
        <w:t>corticosteroid</w:t>
      </w:r>
      <w:r w:rsidR="008E586B" w:rsidRPr="007357F7">
        <w:t xml:space="preserve"> dose, azathioprine dose and </w:t>
      </w:r>
      <w:r w:rsidR="00364249" w:rsidRPr="007357F7">
        <w:t xml:space="preserve">liver </w:t>
      </w:r>
      <w:r w:rsidR="008E586B" w:rsidRPr="007357F7">
        <w:t xml:space="preserve">biochemistry </w:t>
      </w:r>
      <w:r w:rsidR="00364249" w:rsidRPr="007357F7">
        <w:t xml:space="preserve">were </w:t>
      </w:r>
      <w:r w:rsidR="00662039" w:rsidRPr="007357F7">
        <w:lastRenderedPageBreak/>
        <w:t xml:space="preserve">collected at </w:t>
      </w:r>
      <w:r w:rsidR="00847A70" w:rsidRPr="007357F7">
        <w:t xml:space="preserve">time </w:t>
      </w:r>
      <w:r w:rsidR="00662039" w:rsidRPr="007357F7">
        <w:t>point</w:t>
      </w:r>
      <w:r w:rsidR="00847A70" w:rsidRPr="007357F7">
        <w:t>s</w:t>
      </w:r>
      <w:r w:rsidR="008A5616" w:rsidRPr="007357F7">
        <w:t>:</w:t>
      </w:r>
      <w:r w:rsidRPr="007357F7">
        <w:t xml:space="preserve"> 3, 6, 12, 24, 36 and 60</w:t>
      </w:r>
      <w:r w:rsidR="00165C25" w:rsidRPr="007357F7">
        <w:t xml:space="preserve"> </w:t>
      </w:r>
      <w:r w:rsidRPr="007357F7">
        <w:t>months</w:t>
      </w:r>
      <w:r w:rsidR="00662039" w:rsidRPr="007357F7">
        <w:t xml:space="preserve">. </w:t>
      </w:r>
      <w:r w:rsidR="00E0592E" w:rsidRPr="007357F7">
        <w:t>As there is no defined time point to starting azathioprine, b</w:t>
      </w:r>
      <w:r w:rsidR="00DC2DE3" w:rsidRPr="007357F7">
        <w:t xml:space="preserve">ased on the </w:t>
      </w:r>
      <w:r w:rsidR="00E0592E" w:rsidRPr="007357F7">
        <w:t xml:space="preserve">overall </w:t>
      </w:r>
      <w:r w:rsidR="00DC2DE3" w:rsidRPr="007357F7">
        <w:t>median time to azathioprine</w:t>
      </w:r>
      <w:r w:rsidR="00031218" w:rsidRPr="007357F7">
        <w:t xml:space="preserve"> </w:t>
      </w:r>
      <w:r w:rsidR="00FB5DBE" w:rsidRPr="007357F7">
        <w:t>commencement</w:t>
      </w:r>
      <w:r w:rsidR="00E0592E" w:rsidRPr="007357F7">
        <w:t xml:space="preserve"> in our group</w:t>
      </w:r>
      <w:r w:rsidR="00DC2DE3" w:rsidRPr="007357F7">
        <w:t>, patients were divided</w:t>
      </w:r>
      <w:r w:rsidR="00BC13DD" w:rsidRPr="007357F7">
        <w:t xml:space="preserve"> arbitrar</w:t>
      </w:r>
      <w:r w:rsidR="00F52D2D" w:rsidRPr="007357F7">
        <w:t>il</w:t>
      </w:r>
      <w:r w:rsidR="00BC13DD" w:rsidRPr="007357F7">
        <w:t>y</w:t>
      </w:r>
      <w:r w:rsidR="00DC2DE3" w:rsidRPr="007357F7">
        <w:t xml:space="preserve"> into two groups: </w:t>
      </w:r>
      <w:r w:rsidR="00031218" w:rsidRPr="007357F7">
        <w:t xml:space="preserve">‘early’ azathioprine therapy </w:t>
      </w:r>
      <w:r w:rsidR="009D2CF3" w:rsidRPr="007357F7">
        <w:t xml:space="preserve">group </w:t>
      </w:r>
      <w:r w:rsidR="00031218" w:rsidRPr="007357F7">
        <w:t>defined as those who</w:t>
      </w:r>
      <w:r w:rsidR="002F547F" w:rsidRPr="007357F7">
        <w:t xml:space="preserve"> received azathioprine within 8-</w:t>
      </w:r>
      <w:r w:rsidR="00DC2DE3" w:rsidRPr="007357F7">
        <w:t xml:space="preserve">weeks of </w:t>
      </w:r>
      <w:r w:rsidR="003F7A61" w:rsidRPr="007357F7">
        <w:t>corticosteroid</w:t>
      </w:r>
      <w:r w:rsidR="006B2779" w:rsidRPr="007357F7">
        <w:t xml:space="preserve"> </w:t>
      </w:r>
      <w:r w:rsidR="00DC2DE3" w:rsidRPr="007357F7">
        <w:t>initiation and</w:t>
      </w:r>
      <w:r w:rsidR="00EC01BD" w:rsidRPr="007357F7">
        <w:t xml:space="preserve"> ‘late’ azathioprine </w:t>
      </w:r>
      <w:r w:rsidR="006B2779" w:rsidRPr="007357F7">
        <w:t xml:space="preserve">group for those who </w:t>
      </w:r>
      <w:r w:rsidR="00DC2DE3" w:rsidRPr="007357F7">
        <w:t>re</w:t>
      </w:r>
      <w:r w:rsidR="002F547F" w:rsidRPr="007357F7">
        <w:t>ceived azathioprine more than 8-</w:t>
      </w:r>
      <w:r w:rsidR="00DC2DE3" w:rsidRPr="007357F7">
        <w:t xml:space="preserve">weeks after </w:t>
      </w:r>
      <w:r w:rsidR="003F7A61" w:rsidRPr="007357F7">
        <w:t>corticosteroid</w:t>
      </w:r>
      <w:r w:rsidR="00DC2DE3" w:rsidRPr="007357F7">
        <w:t xml:space="preserve"> </w:t>
      </w:r>
      <w:r w:rsidR="008A5616" w:rsidRPr="007357F7">
        <w:t>initiation</w:t>
      </w:r>
      <w:r w:rsidR="00DC2DE3" w:rsidRPr="007357F7">
        <w:t xml:space="preserve">. </w:t>
      </w:r>
      <w:r w:rsidR="00662039" w:rsidRPr="007357F7">
        <w:t xml:space="preserve">Biochemical remission was defined as </w:t>
      </w:r>
      <w:r w:rsidR="00853CAF" w:rsidRPr="007357F7">
        <w:t xml:space="preserve">normalisation </w:t>
      </w:r>
      <w:r w:rsidR="00942AFA" w:rsidRPr="007357F7">
        <w:t xml:space="preserve">of </w:t>
      </w:r>
      <w:r w:rsidR="00662039" w:rsidRPr="007357F7">
        <w:t>serum aspartate aminotransferase (AST), alanine aminotransferase (ALT) and IgG/globulin levels</w:t>
      </w:r>
      <w:r w:rsidR="00E130AC" w:rsidRPr="007357F7">
        <w:t xml:space="preserve">. </w:t>
      </w:r>
      <w:r w:rsidR="00E130AC" w:rsidRPr="007357F7">
        <w:rPr>
          <w:vertAlign w:val="superscript"/>
        </w:rPr>
        <w:t xml:space="preserve">9 </w:t>
      </w:r>
      <w:r w:rsidR="00662039" w:rsidRPr="007357F7">
        <w:t>Prior to routine IgG monitoring, globulin levels were used as a surrogate m</w:t>
      </w:r>
      <w:r w:rsidR="0065221C" w:rsidRPr="007357F7">
        <w:t>arker of biochemical remission.</w:t>
      </w:r>
      <w:r w:rsidR="00F205FF" w:rsidRPr="007357F7">
        <w:t xml:space="preserve"> </w:t>
      </w:r>
      <w:r w:rsidR="007C04AF" w:rsidRPr="007357F7">
        <w:t>Though suboptimal, c</w:t>
      </w:r>
      <w:r w:rsidR="00ED5487" w:rsidRPr="007357F7">
        <w:t>linician-</w:t>
      </w:r>
      <w:r w:rsidRPr="007357F7">
        <w:t xml:space="preserve">documented patient reported side </w:t>
      </w:r>
      <w:r w:rsidR="008F6445" w:rsidRPr="007357F7">
        <w:t xml:space="preserve">effects </w:t>
      </w:r>
      <w:r w:rsidRPr="007357F7">
        <w:t>and adverse</w:t>
      </w:r>
      <w:r w:rsidR="008F6445" w:rsidRPr="007357F7">
        <w:t xml:space="preserve"> events</w:t>
      </w:r>
      <w:r w:rsidRPr="007357F7">
        <w:t xml:space="preserve"> </w:t>
      </w:r>
      <w:r w:rsidR="00994AAE" w:rsidRPr="007357F7">
        <w:t>were identified</w:t>
      </w:r>
      <w:r w:rsidR="00CF5971" w:rsidRPr="007357F7">
        <w:t xml:space="preserve"> retrospectively </w:t>
      </w:r>
      <w:r w:rsidR="00994AAE" w:rsidRPr="007357F7">
        <w:t>from patient</w:t>
      </w:r>
      <w:r w:rsidR="00CF5971" w:rsidRPr="007357F7">
        <w:t xml:space="preserve"> medical</w:t>
      </w:r>
      <w:r w:rsidRPr="007357F7">
        <w:t xml:space="preserve"> records. </w:t>
      </w:r>
      <w:r w:rsidR="00E0592E" w:rsidRPr="007357F7">
        <w:t xml:space="preserve">Of note, all surviving patients were re-checked for hepatitis C after 1990. </w:t>
      </w:r>
    </w:p>
    <w:p w14:paraId="22BF8429" w14:textId="1F90C068" w:rsidR="0065221C" w:rsidRPr="007357F7" w:rsidRDefault="0065221C" w:rsidP="001C7821">
      <w:pPr>
        <w:spacing w:line="480" w:lineRule="auto"/>
        <w:jc w:val="both"/>
      </w:pPr>
    </w:p>
    <w:p w14:paraId="0F322522" w14:textId="6F3F71B3" w:rsidR="0065221C" w:rsidRPr="007357F7" w:rsidRDefault="0065221C" w:rsidP="001C7821">
      <w:pPr>
        <w:spacing w:line="480" w:lineRule="auto"/>
        <w:jc w:val="both"/>
      </w:pPr>
      <w:r w:rsidRPr="007357F7">
        <w:t>The total coho</w:t>
      </w:r>
      <w:r w:rsidR="00A07D04" w:rsidRPr="007357F7">
        <w:t>rt was also divided into groups depending on which decade they commenced treatment t</w:t>
      </w:r>
      <w:r w:rsidR="006F5297" w:rsidRPr="007357F7">
        <w:t>o establish an era effect. The</w:t>
      </w:r>
      <w:r w:rsidR="00A07D04" w:rsidRPr="007357F7">
        <w:t xml:space="preserve"> groups were 1970-1979, 1980-1989, 1990-1999, 2000-2009 and 2010-2020. </w:t>
      </w:r>
      <w:r w:rsidR="006F5297" w:rsidRPr="007357F7">
        <w:t>The</w:t>
      </w:r>
      <w:r w:rsidR="00813DB3" w:rsidRPr="007357F7">
        <w:t xml:space="preserve"> predniso</w:t>
      </w:r>
      <w:r w:rsidR="002F547F" w:rsidRPr="007357F7">
        <w:t>lo</w:t>
      </w:r>
      <w:r w:rsidR="00813DB3" w:rsidRPr="007357F7">
        <w:t>ne</w:t>
      </w:r>
      <w:r w:rsidR="006F5297" w:rsidRPr="007357F7">
        <w:t xml:space="preserve"> dose</w:t>
      </w:r>
      <w:r w:rsidR="00813DB3" w:rsidRPr="007357F7">
        <w:t>, azathioprine dose and time of introduction and biochemical respon</w:t>
      </w:r>
      <w:r w:rsidR="006F5297" w:rsidRPr="007357F7">
        <w:t>se were</w:t>
      </w:r>
      <w:r w:rsidR="008A5616" w:rsidRPr="007357F7">
        <w:t xml:space="preserve"> evaluated in each </w:t>
      </w:r>
      <w:r w:rsidR="006B464C" w:rsidRPr="007357F7">
        <w:t>decade</w:t>
      </w:r>
      <w:r w:rsidR="00813DB3" w:rsidRPr="007357F7">
        <w:t xml:space="preserve">. </w:t>
      </w:r>
    </w:p>
    <w:p w14:paraId="3AB45972" w14:textId="77777777" w:rsidR="00994AAE" w:rsidRPr="007357F7" w:rsidRDefault="00994AAE" w:rsidP="001C7821">
      <w:pPr>
        <w:spacing w:line="480" w:lineRule="auto"/>
        <w:jc w:val="both"/>
      </w:pPr>
    </w:p>
    <w:p w14:paraId="33D83532" w14:textId="77777777" w:rsidR="00994AAE" w:rsidRPr="007357F7" w:rsidRDefault="00994AAE" w:rsidP="001C7821">
      <w:pPr>
        <w:spacing w:line="480" w:lineRule="auto"/>
        <w:jc w:val="both"/>
        <w:rPr>
          <w:i/>
        </w:rPr>
      </w:pPr>
      <w:r w:rsidRPr="007357F7">
        <w:rPr>
          <w:i/>
        </w:rPr>
        <w:t>Outcomes:</w:t>
      </w:r>
    </w:p>
    <w:p w14:paraId="087D7D49" w14:textId="3D5E6EF7" w:rsidR="00994AAE" w:rsidRPr="007357F7" w:rsidRDefault="00ED5487" w:rsidP="001C7821">
      <w:pPr>
        <w:spacing w:line="480" w:lineRule="auto"/>
        <w:jc w:val="both"/>
      </w:pPr>
      <w:r w:rsidRPr="007357F7">
        <w:t>The p</w:t>
      </w:r>
      <w:r w:rsidR="00994AAE" w:rsidRPr="007357F7">
        <w:t>rimary outcome was the tota</w:t>
      </w:r>
      <w:r w:rsidR="002F547F" w:rsidRPr="007357F7">
        <w:t>l cumulative exposure</w:t>
      </w:r>
      <w:r w:rsidR="00A84DC2" w:rsidRPr="007357F7">
        <w:t xml:space="preserve"> of </w:t>
      </w:r>
      <w:r w:rsidR="002F547F" w:rsidRPr="007357F7">
        <w:t>prednisolone</w:t>
      </w:r>
      <w:r w:rsidR="00994AAE" w:rsidRPr="007357F7">
        <w:t xml:space="preserve"> at </w:t>
      </w:r>
      <w:r w:rsidR="00942AFA" w:rsidRPr="007357F7">
        <w:t xml:space="preserve">specified </w:t>
      </w:r>
      <w:r w:rsidR="00F205FF" w:rsidRPr="007357F7">
        <w:t>intervals over a 5-</w:t>
      </w:r>
      <w:r w:rsidR="007E2FC8" w:rsidRPr="007357F7">
        <w:t>year follow up period</w:t>
      </w:r>
      <w:r w:rsidRPr="007357F7">
        <w:t>.</w:t>
      </w:r>
      <w:r w:rsidR="00994AAE" w:rsidRPr="007357F7">
        <w:t xml:space="preserve"> Secondary outcomes were the number of patients achieving </w:t>
      </w:r>
      <w:r w:rsidR="006F5297" w:rsidRPr="007357F7">
        <w:t>and maintain</w:t>
      </w:r>
      <w:r w:rsidR="00F52D2D" w:rsidRPr="007357F7">
        <w:t>ing</w:t>
      </w:r>
      <w:r w:rsidR="006F5297" w:rsidRPr="007357F7">
        <w:t xml:space="preserve"> </w:t>
      </w:r>
      <w:r w:rsidR="00994AAE" w:rsidRPr="007357F7">
        <w:t>biochemical remission</w:t>
      </w:r>
      <w:r w:rsidR="006F5297" w:rsidRPr="007357F7">
        <w:t xml:space="preserve"> over 5-years</w:t>
      </w:r>
      <w:r w:rsidR="00FA2511" w:rsidRPr="007357F7">
        <w:t xml:space="preserve"> and </w:t>
      </w:r>
      <w:r w:rsidR="00F01C6D" w:rsidRPr="007357F7">
        <w:t>corticosteroid</w:t>
      </w:r>
      <w:r w:rsidR="00994AAE" w:rsidRPr="007357F7">
        <w:t xml:space="preserve"> related </w:t>
      </w:r>
      <w:r w:rsidR="00885FE1" w:rsidRPr="007357F7">
        <w:t>adverse events</w:t>
      </w:r>
      <w:r w:rsidR="00BB53E4" w:rsidRPr="007357F7">
        <w:t xml:space="preserve"> over a twelve</w:t>
      </w:r>
      <w:r w:rsidR="00994AAE" w:rsidRPr="007357F7">
        <w:t xml:space="preserve"> month period</w:t>
      </w:r>
      <w:r w:rsidR="00154748" w:rsidRPr="007357F7">
        <w:t xml:space="preserve">. </w:t>
      </w:r>
      <w:r w:rsidR="00F205FF" w:rsidRPr="007357F7">
        <w:t xml:space="preserve">We also evaluated the effect of era on management and outcome of AIH. </w:t>
      </w:r>
    </w:p>
    <w:p w14:paraId="513BFCE3" w14:textId="77777777" w:rsidR="00994AAE" w:rsidRPr="007357F7" w:rsidRDefault="00994AAE" w:rsidP="001C7821">
      <w:pPr>
        <w:spacing w:line="480" w:lineRule="auto"/>
        <w:jc w:val="both"/>
      </w:pPr>
    </w:p>
    <w:p w14:paraId="7008055D" w14:textId="77777777" w:rsidR="00B429E8" w:rsidRDefault="00B429E8" w:rsidP="001C7821">
      <w:pPr>
        <w:spacing w:line="480" w:lineRule="auto"/>
        <w:jc w:val="both"/>
        <w:rPr>
          <w:i/>
        </w:rPr>
      </w:pPr>
    </w:p>
    <w:p w14:paraId="0561601E" w14:textId="2CB67DE2" w:rsidR="00994AAE" w:rsidRPr="007357F7" w:rsidRDefault="00994AAE" w:rsidP="001C7821">
      <w:pPr>
        <w:spacing w:line="480" w:lineRule="auto"/>
        <w:jc w:val="both"/>
        <w:rPr>
          <w:i/>
        </w:rPr>
      </w:pPr>
      <w:r w:rsidRPr="007357F7">
        <w:rPr>
          <w:i/>
        </w:rPr>
        <w:lastRenderedPageBreak/>
        <w:t>Statistical Analysis</w:t>
      </w:r>
      <w:r w:rsidR="006C0BCB" w:rsidRPr="007357F7">
        <w:rPr>
          <w:i/>
        </w:rPr>
        <w:t>:</w:t>
      </w:r>
    </w:p>
    <w:p w14:paraId="637068AB" w14:textId="77777777" w:rsidR="00EB41F4" w:rsidRDefault="00994AAE" w:rsidP="001C7821">
      <w:pPr>
        <w:spacing w:line="480" w:lineRule="auto"/>
        <w:jc w:val="both"/>
      </w:pPr>
      <w:r w:rsidRPr="007357F7">
        <w:t xml:space="preserve">Descriptive analysis was conducted across the whole cohort. </w:t>
      </w:r>
      <w:r w:rsidR="00911C6C" w:rsidRPr="007357F7">
        <w:t xml:space="preserve">Statistical </w:t>
      </w:r>
      <w:r w:rsidR="00E21C9D" w:rsidRPr="007357F7">
        <w:t>analyses</w:t>
      </w:r>
      <w:r w:rsidR="00911C6C" w:rsidRPr="007357F7">
        <w:t xml:space="preserve"> were conducted using </w:t>
      </w:r>
      <w:proofErr w:type="spellStart"/>
      <w:r w:rsidR="00911C6C" w:rsidRPr="007357F7">
        <w:t>Graphpad</w:t>
      </w:r>
      <w:proofErr w:type="spellEnd"/>
      <w:r w:rsidR="00911C6C" w:rsidRPr="007357F7">
        <w:t xml:space="preserve"> Prism 9 (</w:t>
      </w:r>
      <w:proofErr w:type="spellStart"/>
      <w:r w:rsidR="00911C6C" w:rsidRPr="007357F7">
        <w:t>Graphpad</w:t>
      </w:r>
      <w:proofErr w:type="spellEnd"/>
      <w:r w:rsidR="00911C6C" w:rsidRPr="007357F7">
        <w:t xml:space="preserve"> software) and SPSS v</w:t>
      </w:r>
      <w:r w:rsidR="005E2FA3" w:rsidRPr="007357F7">
        <w:t xml:space="preserve">ersion </w:t>
      </w:r>
      <w:r w:rsidR="00911C6C" w:rsidRPr="007357F7">
        <w:t>2</w:t>
      </w:r>
      <w:r w:rsidR="005E2FA3" w:rsidRPr="007357F7">
        <w:t>7</w:t>
      </w:r>
      <w:r w:rsidR="00911C6C" w:rsidRPr="007357F7">
        <w:t xml:space="preserve"> (</w:t>
      </w:r>
      <w:r w:rsidR="005E2FA3" w:rsidRPr="007357F7">
        <w:t>IBM Corporation, Armonk, NY, USA</w:t>
      </w:r>
      <w:r w:rsidR="00911C6C" w:rsidRPr="007357F7">
        <w:t xml:space="preserve">). </w:t>
      </w:r>
      <w:r w:rsidR="003A1594" w:rsidRPr="007357F7">
        <w:t>T</w:t>
      </w:r>
      <w:r w:rsidR="00911C6C" w:rsidRPr="007357F7">
        <w:t>he Mann-Whitney U test w</w:t>
      </w:r>
      <w:r w:rsidR="005E2FA3" w:rsidRPr="007357F7">
        <w:t xml:space="preserve">as </w:t>
      </w:r>
      <w:r w:rsidR="00911C6C" w:rsidRPr="007357F7">
        <w:t>used</w:t>
      </w:r>
      <w:r w:rsidR="003A1594" w:rsidRPr="007357F7">
        <w:t xml:space="preserve"> for non-parametric continuous variables</w:t>
      </w:r>
      <w:r w:rsidR="00FF2CE4" w:rsidRPr="007357F7">
        <w:t>, one way ANOVA for comparison of more than two groups</w:t>
      </w:r>
      <w:r w:rsidR="003A1594" w:rsidRPr="007357F7">
        <w:t xml:space="preserve"> and </w:t>
      </w:r>
      <w:r w:rsidR="00E21C9D" w:rsidRPr="007357F7">
        <w:t>Chi‐square</w:t>
      </w:r>
      <w:r w:rsidR="00D91581" w:rsidRPr="007357F7">
        <w:t xml:space="preserve"> test</w:t>
      </w:r>
      <w:r w:rsidR="005F0A16" w:rsidRPr="007357F7">
        <w:t xml:space="preserve"> was used to compare categorical data</w:t>
      </w:r>
      <w:r w:rsidR="00911C6C" w:rsidRPr="007357F7">
        <w:t xml:space="preserve">. A p-value &lt;0.05 </w:t>
      </w:r>
      <w:r w:rsidR="005E2FA3" w:rsidRPr="007357F7">
        <w:t>wa</w:t>
      </w:r>
      <w:r w:rsidR="00911C6C" w:rsidRPr="007357F7">
        <w:t>s considered statistically significant</w:t>
      </w:r>
      <w:r w:rsidR="00D91581" w:rsidRPr="007357F7">
        <w:t xml:space="preserve">. </w:t>
      </w:r>
    </w:p>
    <w:p w14:paraId="5A475CB4" w14:textId="77777777" w:rsidR="00EB41F4" w:rsidRDefault="00EB41F4" w:rsidP="001C7821">
      <w:pPr>
        <w:spacing w:line="480" w:lineRule="auto"/>
        <w:jc w:val="both"/>
      </w:pPr>
    </w:p>
    <w:p w14:paraId="51CD1E38" w14:textId="6A6C5D62" w:rsidR="00FB3191" w:rsidRPr="00EB41F4" w:rsidRDefault="00FB3191" w:rsidP="001C7821">
      <w:pPr>
        <w:spacing w:line="480" w:lineRule="auto"/>
        <w:jc w:val="both"/>
      </w:pPr>
      <w:r w:rsidRPr="007357F7">
        <w:rPr>
          <w:b/>
        </w:rPr>
        <w:t xml:space="preserve">Results </w:t>
      </w:r>
    </w:p>
    <w:p w14:paraId="47D3B00A" w14:textId="77777777" w:rsidR="00FB3191" w:rsidRPr="007357F7" w:rsidRDefault="00FB3191" w:rsidP="001C7821">
      <w:pPr>
        <w:spacing w:line="480" w:lineRule="auto"/>
        <w:jc w:val="both"/>
      </w:pPr>
    </w:p>
    <w:p w14:paraId="19C58186" w14:textId="3CB0E1BD" w:rsidR="00FB3191" w:rsidRPr="007357F7" w:rsidRDefault="00FB3191" w:rsidP="001C7821">
      <w:pPr>
        <w:spacing w:line="480" w:lineRule="auto"/>
        <w:jc w:val="both"/>
        <w:rPr>
          <w:i/>
        </w:rPr>
      </w:pPr>
      <w:r w:rsidRPr="007357F7">
        <w:rPr>
          <w:i/>
        </w:rPr>
        <w:t>Population</w:t>
      </w:r>
    </w:p>
    <w:p w14:paraId="57FF3F48" w14:textId="78D27A61" w:rsidR="00BB53E4" w:rsidRPr="007357F7" w:rsidRDefault="009960A8" w:rsidP="001C7821">
      <w:pPr>
        <w:spacing w:line="480" w:lineRule="auto"/>
        <w:jc w:val="both"/>
      </w:pPr>
      <w:r w:rsidRPr="007357F7">
        <w:t xml:space="preserve">A total of </w:t>
      </w:r>
      <w:r w:rsidR="002301D7" w:rsidRPr="007357F7">
        <w:t>408</w:t>
      </w:r>
      <w:r w:rsidR="00FB3191" w:rsidRPr="007357F7">
        <w:t xml:space="preserve"> </w:t>
      </w:r>
      <w:r w:rsidR="00BC13DD" w:rsidRPr="007357F7">
        <w:t xml:space="preserve">eligible </w:t>
      </w:r>
      <w:r w:rsidR="00FB3191" w:rsidRPr="007357F7">
        <w:t>patients</w:t>
      </w:r>
      <w:r w:rsidRPr="007357F7">
        <w:t xml:space="preserve"> with AIH were id</w:t>
      </w:r>
      <w:r w:rsidR="00FA2511" w:rsidRPr="007357F7">
        <w:t xml:space="preserve">entified during the entire period </w:t>
      </w:r>
      <w:r w:rsidR="00913092" w:rsidRPr="007357F7">
        <w:t xml:space="preserve">of </w:t>
      </w:r>
      <w:r w:rsidR="00FA2511" w:rsidRPr="007357F7">
        <w:t>1970-2020</w:t>
      </w:r>
      <w:r w:rsidR="00FB3191" w:rsidRPr="007357F7">
        <w:t>.</w:t>
      </w:r>
      <w:r w:rsidR="007C1D65" w:rsidRPr="007357F7">
        <w:t xml:space="preserve"> </w:t>
      </w:r>
      <w:r w:rsidR="00FB3191" w:rsidRPr="007357F7">
        <w:t xml:space="preserve">Of these, </w:t>
      </w:r>
      <w:r w:rsidR="002301D7" w:rsidRPr="007357F7">
        <w:t>182</w:t>
      </w:r>
      <w:r w:rsidR="00FB3191" w:rsidRPr="007357F7">
        <w:t xml:space="preserve"> patients were excluded because they did not </w:t>
      </w:r>
      <w:r w:rsidR="00ED5487" w:rsidRPr="007357F7">
        <w:t>receive</w:t>
      </w:r>
      <w:r w:rsidR="00FB3191" w:rsidRPr="007357F7">
        <w:t xml:space="preserve"> </w:t>
      </w:r>
      <w:r w:rsidR="00BB3EDB" w:rsidRPr="007357F7">
        <w:t>classical induction regimens (</w:t>
      </w:r>
      <w:r w:rsidR="00155F5B" w:rsidRPr="007357F7">
        <w:t>predniso</w:t>
      </w:r>
      <w:r w:rsidR="00FB3191" w:rsidRPr="007357F7">
        <w:t xml:space="preserve">lone </w:t>
      </w:r>
      <w:r w:rsidR="00BB3EDB" w:rsidRPr="007357F7">
        <w:t>+/-</w:t>
      </w:r>
      <w:r w:rsidR="00FB3191" w:rsidRPr="007357F7">
        <w:t>azathioprine</w:t>
      </w:r>
      <w:r w:rsidR="00BB3EDB" w:rsidRPr="007357F7">
        <w:t>) within the first 6 months</w:t>
      </w:r>
      <w:r w:rsidR="00583251" w:rsidRPr="007357F7">
        <w:t xml:space="preserve"> or </w:t>
      </w:r>
      <w:r w:rsidR="00BB3EDB" w:rsidRPr="007357F7">
        <w:t>due to missing data</w:t>
      </w:r>
      <w:r w:rsidR="00FB3191" w:rsidRPr="007357F7">
        <w:t>. The final cohort</w:t>
      </w:r>
      <w:r w:rsidR="00BB3EDB" w:rsidRPr="007357F7">
        <w:t xml:space="preserve"> we present</w:t>
      </w:r>
      <w:r w:rsidR="00FB3191" w:rsidRPr="007357F7">
        <w:t xml:space="preserve"> consisted of 226 patients</w:t>
      </w:r>
      <w:r w:rsidR="00A84DC2" w:rsidRPr="007357F7">
        <w:t xml:space="preserve"> with complete data at all time points</w:t>
      </w:r>
      <w:r w:rsidR="004C745B" w:rsidRPr="007357F7">
        <w:t xml:space="preserve"> (Table 1)</w:t>
      </w:r>
      <w:r w:rsidR="00FB3191" w:rsidRPr="007357F7">
        <w:t xml:space="preserve">. </w:t>
      </w:r>
      <w:r w:rsidR="00F205FF" w:rsidRPr="007357F7">
        <w:t>O</w:t>
      </w:r>
      <w:r w:rsidR="00381ADB" w:rsidRPr="007357F7">
        <w:t>ne</w:t>
      </w:r>
      <w:r w:rsidR="00F205FF" w:rsidRPr="007357F7">
        <w:t xml:space="preserve"> hundred and seventy seven patients</w:t>
      </w:r>
      <w:r w:rsidR="00FB3191" w:rsidRPr="007357F7">
        <w:t xml:space="preserve"> (78%) were </w:t>
      </w:r>
      <w:r w:rsidR="00FA2511" w:rsidRPr="007357F7">
        <w:t>female, with a median age at diagnosis of</w:t>
      </w:r>
      <w:r w:rsidR="00FB3191" w:rsidRPr="007357F7">
        <w:t xml:space="preserve"> 50 years (range 18-82). At diagnosis, </w:t>
      </w:r>
      <w:r w:rsidR="00160A99" w:rsidRPr="007357F7">
        <w:t>86 (</w:t>
      </w:r>
      <w:r w:rsidR="00FB3191" w:rsidRPr="007357F7">
        <w:t>38%</w:t>
      </w:r>
      <w:r w:rsidR="00160A99" w:rsidRPr="007357F7">
        <w:t>)</w:t>
      </w:r>
      <w:r w:rsidR="00FB3191" w:rsidRPr="007357F7">
        <w:t xml:space="preserve"> patients presented with cirrhosis.</w:t>
      </w:r>
      <w:r w:rsidR="00E65D6A" w:rsidRPr="007357F7">
        <w:t xml:space="preserve"> </w:t>
      </w:r>
      <w:r w:rsidR="00171A41" w:rsidRPr="007357F7">
        <w:t xml:space="preserve">All had biopsy proven AIH. </w:t>
      </w:r>
    </w:p>
    <w:p w14:paraId="7F6DFAE2" w14:textId="77777777" w:rsidR="00BB53E4" w:rsidRPr="007357F7" w:rsidRDefault="00BB53E4" w:rsidP="001C7821">
      <w:pPr>
        <w:spacing w:line="480" w:lineRule="auto"/>
        <w:jc w:val="both"/>
      </w:pPr>
    </w:p>
    <w:p w14:paraId="4C5BD83B" w14:textId="09034750" w:rsidR="0043716D" w:rsidRPr="007357F7" w:rsidRDefault="004C745B" w:rsidP="001C7821">
      <w:pPr>
        <w:spacing w:line="480" w:lineRule="auto"/>
        <w:jc w:val="both"/>
      </w:pPr>
      <w:r w:rsidRPr="007357F7">
        <w:t>T</w:t>
      </w:r>
      <w:r w:rsidR="0013444D" w:rsidRPr="007357F7">
        <w:t>he m</w:t>
      </w:r>
      <w:r w:rsidR="00BB3EDB" w:rsidRPr="007357F7">
        <w:t>edian induction</w:t>
      </w:r>
      <w:r w:rsidR="00ED5487" w:rsidRPr="007357F7">
        <w:t xml:space="preserve"> dose of prednisolone</w:t>
      </w:r>
      <w:r w:rsidR="003A117E" w:rsidRPr="007357F7">
        <w:t xml:space="preserve"> in all patients were</w:t>
      </w:r>
      <w:r w:rsidR="00ED5487" w:rsidRPr="007357F7">
        <w:t xml:space="preserve"> 0.4mg/kg</w:t>
      </w:r>
      <w:r w:rsidR="00BB3EDB" w:rsidRPr="007357F7">
        <w:t>/day</w:t>
      </w:r>
      <w:r w:rsidR="00ED5487" w:rsidRPr="007357F7">
        <w:t xml:space="preserve"> </w:t>
      </w:r>
      <w:r w:rsidR="00DB39C5" w:rsidRPr="007357F7">
        <w:t>(IQR 0.17)</w:t>
      </w:r>
      <w:r w:rsidR="00712434" w:rsidRPr="007357F7">
        <w:t xml:space="preserve"> </w:t>
      </w:r>
      <w:r w:rsidR="008A3F91" w:rsidRPr="007357F7">
        <w:t>(</w:t>
      </w:r>
      <w:r w:rsidRPr="007357F7">
        <w:t>Table 1</w:t>
      </w:r>
      <w:r w:rsidR="008A3F91" w:rsidRPr="007357F7">
        <w:t>)</w:t>
      </w:r>
      <w:r w:rsidR="00ED5487" w:rsidRPr="007357F7">
        <w:t>.</w:t>
      </w:r>
      <w:r w:rsidR="00542104" w:rsidRPr="007357F7">
        <w:t xml:space="preserve"> </w:t>
      </w:r>
      <w:r w:rsidR="0013444D" w:rsidRPr="007357F7">
        <w:t>T</w:t>
      </w:r>
      <w:r w:rsidR="0043716D" w:rsidRPr="007357F7">
        <w:t xml:space="preserve">he median time to introduction </w:t>
      </w:r>
      <w:r w:rsidR="00BB3EDB" w:rsidRPr="007357F7">
        <w:t xml:space="preserve">of azathioprine was 8 weeks following commencement of </w:t>
      </w:r>
      <w:r w:rsidR="003F7A61" w:rsidRPr="007357F7">
        <w:t>corticosteroid</w:t>
      </w:r>
      <w:r w:rsidR="00BB3EDB" w:rsidRPr="007357F7">
        <w:t xml:space="preserve"> </w:t>
      </w:r>
      <w:r w:rsidR="0013444D" w:rsidRPr="007357F7">
        <w:t>therapy.</w:t>
      </w:r>
      <w:r w:rsidR="0043716D" w:rsidRPr="007357F7">
        <w:t xml:space="preserve"> Median azathioprine dose </w:t>
      </w:r>
      <w:r w:rsidR="00906E34" w:rsidRPr="007357F7">
        <w:t xml:space="preserve">at initiation </w:t>
      </w:r>
      <w:r w:rsidR="0043716D" w:rsidRPr="007357F7">
        <w:t>was 75mg/day (IQR 25), 0.94mg/kg/day (IQR 0.4)</w:t>
      </w:r>
      <w:r w:rsidR="005D2C6A" w:rsidRPr="007357F7">
        <w:t xml:space="preserve"> and this </w:t>
      </w:r>
      <w:r w:rsidR="0043716D" w:rsidRPr="007357F7">
        <w:t xml:space="preserve">dose remained </w:t>
      </w:r>
      <w:r w:rsidR="00BB3EDB" w:rsidRPr="007357F7">
        <w:t xml:space="preserve">consistent </w:t>
      </w:r>
      <w:r w:rsidR="0043716D" w:rsidRPr="007357F7">
        <w:t xml:space="preserve">across the five-year </w:t>
      </w:r>
      <w:r w:rsidR="00BB3EDB" w:rsidRPr="007357F7">
        <w:t xml:space="preserve">follow-up. </w:t>
      </w:r>
    </w:p>
    <w:p w14:paraId="75D6D75C" w14:textId="583F1873" w:rsidR="00557D61" w:rsidRPr="007357F7" w:rsidRDefault="00557D61" w:rsidP="001C7821">
      <w:pPr>
        <w:spacing w:line="480" w:lineRule="auto"/>
        <w:jc w:val="both"/>
      </w:pPr>
    </w:p>
    <w:p w14:paraId="13600FD9" w14:textId="09902918" w:rsidR="00443364" w:rsidRPr="007357F7" w:rsidRDefault="00443364" w:rsidP="001C7821">
      <w:pPr>
        <w:spacing w:line="480" w:lineRule="auto"/>
        <w:jc w:val="both"/>
      </w:pPr>
      <w:r w:rsidRPr="007357F7">
        <w:lastRenderedPageBreak/>
        <w:t xml:space="preserve"> </w:t>
      </w:r>
    </w:p>
    <w:p w14:paraId="6FF13057" w14:textId="682FCB3E" w:rsidR="00264773" w:rsidRPr="007357F7" w:rsidRDefault="00264773" w:rsidP="001C7821">
      <w:pPr>
        <w:spacing w:line="480" w:lineRule="auto"/>
        <w:jc w:val="both"/>
        <w:rPr>
          <w:i/>
        </w:rPr>
      </w:pPr>
    </w:p>
    <w:p w14:paraId="512E8A4F" w14:textId="7A8541C0" w:rsidR="0006625A" w:rsidRPr="007357F7" w:rsidRDefault="00BB03CD" w:rsidP="001C7821">
      <w:pPr>
        <w:spacing w:line="480" w:lineRule="auto"/>
        <w:jc w:val="both"/>
        <w:rPr>
          <w:i/>
        </w:rPr>
      </w:pPr>
      <w:r>
        <w:rPr>
          <w:i/>
        </w:rPr>
        <w:t>Corticosteroids</w:t>
      </w:r>
    </w:p>
    <w:p w14:paraId="27D6A0DE" w14:textId="3EB0283A" w:rsidR="00154748" w:rsidRPr="007357F7" w:rsidRDefault="001173AF" w:rsidP="001C7821">
      <w:pPr>
        <w:spacing w:line="480" w:lineRule="auto"/>
        <w:jc w:val="both"/>
      </w:pPr>
      <w:r w:rsidRPr="007357F7">
        <w:t>Predniso</w:t>
      </w:r>
      <w:r w:rsidR="00A84DC2" w:rsidRPr="007357F7">
        <w:t>lo</w:t>
      </w:r>
      <w:r w:rsidRPr="007357F7">
        <w:t>ne</w:t>
      </w:r>
      <w:r w:rsidR="00A94A1A" w:rsidRPr="007357F7">
        <w:t xml:space="preserve"> dose and cumulative</w:t>
      </w:r>
      <w:r w:rsidRPr="007357F7">
        <w:t xml:space="preserve"> exposure in the early and late azathioprine grou</w:t>
      </w:r>
      <w:r w:rsidR="00C909B4" w:rsidRPr="007357F7">
        <w:t>p</w:t>
      </w:r>
      <w:r w:rsidR="001751E7" w:rsidRPr="007357F7">
        <w:t>s are</w:t>
      </w:r>
      <w:r w:rsidR="00C909B4" w:rsidRPr="007357F7">
        <w:t xml:space="preserve"> </w:t>
      </w:r>
      <w:r w:rsidR="008725A7" w:rsidRPr="007357F7">
        <w:t>described</w:t>
      </w:r>
      <w:r w:rsidR="00C909B4" w:rsidRPr="007357F7">
        <w:t xml:space="preserve"> in </w:t>
      </w:r>
      <w:r w:rsidR="00A94A1A" w:rsidRPr="007357F7">
        <w:t>T</w:t>
      </w:r>
      <w:r w:rsidRPr="007357F7">
        <w:t xml:space="preserve">able 2. </w:t>
      </w:r>
      <w:r w:rsidR="001751E7" w:rsidRPr="007357F7">
        <w:t>As expected</w:t>
      </w:r>
      <w:r w:rsidR="006F5297" w:rsidRPr="007357F7">
        <w:t>,</w:t>
      </w:r>
      <w:r w:rsidR="001751E7" w:rsidRPr="007357F7">
        <w:t xml:space="preserve"> the p</w:t>
      </w:r>
      <w:r w:rsidR="00C909B4" w:rsidRPr="007357F7">
        <w:t>r</w:t>
      </w:r>
      <w:r w:rsidR="001751E7" w:rsidRPr="007357F7">
        <w:t>edniso</w:t>
      </w:r>
      <w:r w:rsidR="00A84DC2" w:rsidRPr="007357F7">
        <w:t>lo</w:t>
      </w:r>
      <w:r w:rsidR="001751E7" w:rsidRPr="007357F7">
        <w:t>ne dose</w:t>
      </w:r>
      <w:r w:rsidR="00C909B4" w:rsidRPr="007357F7">
        <w:t xml:space="preserve"> in both </w:t>
      </w:r>
      <w:r w:rsidR="001751E7" w:rsidRPr="007357F7">
        <w:t xml:space="preserve">groups reduced </w:t>
      </w:r>
      <w:r w:rsidR="008B463C" w:rsidRPr="007357F7">
        <w:t>during</w:t>
      </w:r>
      <w:r w:rsidR="001751E7" w:rsidRPr="007357F7">
        <w:t xml:space="preserve"> the 5-</w:t>
      </w:r>
      <w:r w:rsidR="00C909B4" w:rsidRPr="007357F7">
        <w:t xml:space="preserve">year </w:t>
      </w:r>
      <w:r w:rsidR="001751E7" w:rsidRPr="007357F7">
        <w:t>follow-up</w:t>
      </w:r>
      <w:r w:rsidR="00C909B4" w:rsidRPr="007357F7">
        <w:t xml:space="preserve">. The </w:t>
      </w:r>
      <w:r w:rsidR="003C4A2C" w:rsidRPr="007357F7">
        <w:t>median prednis</w:t>
      </w:r>
      <w:r w:rsidR="00A84DC2" w:rsidRPr="007357F7">
        <w:t>ol</w:t>
      </w:r>
      <w:r w:rsidR="003C4A2C" w:rsidRPr="007357F7">
        <w:t>one dose</w:t>
      </w:r>
      <w:r w:rsidR="009560AB" w:rsidRPr="007357F7">
        <w:t xml:space="preserve"> and therefore cumulative prednisolone dose</w:t>
      </w:r>
      <w:r w:rsidR="003C4A2C" w:rsidRPr="007357F7">
        <w:t xml:space="preserve"> in the </w:t>
      </w:r>
      <w:r w:rsidR="00C909B4" w:rsidRPr="007357F7">
        <w:t>early azathioprine group</w:t>
      </w:r>
      <w:r w:rsidR="003C4A2C" w:rsidRPr="007357F7">
        <w:t xml:space="preserve"> was consistently low</w:t>
      </w:r>
      <w:r w:rsidR="001751E7" w:rsidRPr="007357F7">
        <w:t xml:space="preserve">er at each time point </w:t>
      </w:r>
      <w:r w:rsidR="008B463C" w:rsidRPr="007357F7">
        <w:t>compared to the late azathioprine group a</w:t>
      </w:r>
      <w:r w:rsidR="008725A7" w:rsidRPr="007357F7">
        <w:t xml:space="preserve">lthough </w:t>
      </w:r>
      <w:r w:rsidR="001751E7" w:rsidRPr="007357F7">
        <w:t xml:space="preserve">this </w:t>
      </w:r>
      <w:r w:rsidR="003C4A2C" w:rsidRPr="007357F7">
        <w:t xml:space="preserve">did not reach statistical significance. </w:t>
      </w:r>
    </w:p>
    <w:p w14:paraId="6A5AA83C" w14:textId="77777777" w:rsidR="00154748" w:rsidRPr="007357F7" w:rsidRDefault="00154748" w:rsidP="001C7821">
      <w:pPr>
        <w:spacing w:line="480" w:lineRule="auto"/>
      </w:pPr>
    </w:p>
    <w:p w14:paraId="0F963079" w14:textId="249216E4" w:rsidR="0006625A" w:rsidRDefault="0006625A" w:rsidP="001C7821">
      <w:pPr>
        <w:spacing w:line="480" w:lineRule="auto"/>
        <w:jc w:val="both"/>
      </w:pPr>
      <w:r w:rsidRPr="007357F7">
        <w:t xml:space="preserve">Of the total cohort, 185 (82%) patients remained on </w:t>
      </w:r>
      <w:r w:rsidR="003F7A61" w:rsidRPr="007357F7">
        <w:t>corticosteroid</w:t>
      </w:r>
      <w:r w:rsidR="0053606F" w:rsidRPr="007357F7">
        <w:t xml:space="preserve"> therapy at 12-</w:t>
      </w:r>
      <w:r w:rsidRPr="007357F7">
        <w:t>months, 167 (74%) at 2</w:t>
      </w:r>
      <w:r w:rsidR="0053606F" w:rsidRPr="007357F7">
        <w:t>-</w:t>
      </w:r>
      <w:r w:rsidRPr="007357F7">
        <w:t xml:space="preserve">years, 147 </w:t>
      </w:r>
      <w:r w:rsidR="0053606F" w:rsidRPr="007357F7">
        <w:t>(65%) at 3-years and 129 (57%) at 5-</w:t>
      </w:r>
      <w:r w:rsidRPr="007357F7">
        <w:t>years. The difference</w:t>
      </w:r>
      <w:r w:rsidR="00ED5487" w:rsidRPr="007357F7">
        <w:t>s</w:t>
      </w:r>
      <w:r w:rsidRPr="007357F7">
        <w:t xml:space="preserve"> between the</w:t>
      </w:r>
      <w:r w:rsidR="00A94A1A" w:rsidRPr="007357F7">
        <w:t xml:space="preserve"> two groups are highlighted in T</w:t>
      </w:r>
      <w:r w:rsidRPr="007357F7">
        <w:t xml:space="preserve">able </w:t>
      </w:r>
      <w:r w:rsidR="00063992" w:rsidRPr="007357F7">
        <w:t>1</w:t>
      </w:r>
      <w:r w:rsidRPr="007357F7">
        <w:t>. The number of p</w:t>
      </w:r>
      <w:r w:rsidR="00154748" w:rsidRPr="007357F7">
        <w:t xml:space="preserve">atients remaining on </w:t>
      </w:r>
      <w:r w:rsidR="003F7A61" w:rsidRPr="007357F7">
        <w:t>corticosteroid</w:t>
      </w:r>
      <w:r w:rsidR="00154748" w:rsidRPr="007357F7">
        <w:t xml:space="preserve">s </w:t>
      </w:r>
      <w:r w:rsidR="008B463C" w:rsidRPr="007357F7">
        <w:t xml:space="preserve">at the end of 5-year follow-up </w:t>
      </w:r>
      <w:r w:rsidR="00154748" w:rsidRPr="007357F7">
        <w:t>was</w:t>
      </w:r>
      <w:r w:rsidRPr="007357F7">
        <w:t xml:space="preserve"> higher in the late </w:t>
      </w:r>
      <w:r w:rsidR="00A84DC2" w:rsidRPr="007357F7">
        <w:t xml:space="preserve">azathioprine addition </w:t>
      </w:r>
      <w:r w:rsidRPr="007357F7">
        <w:t>gr</w:t>
      </w:r>
      <w:r w:rsidR="00154748" w:rsidRPr="007357F7">
        <w:t>oup (62%) compared to the early</w:t>
      </w:r>
      <w:r w:rsidR="00A84DC2" w:rsidRPr="007357F7">
        <w:t xml:space="preserve"> </w:t>
      </w:r>
      <w:r w:rsidR="00154748" w:rsidRPr="007357F7">
        <w:t xml:space="preserve">group (52%) </w:t>
      </w:r>
      <w:r w:rsidRPr="007357F7">
        <w:t>but did not reach statistical significance</w:t>
      </w:r>
      <w:r w:rsidR="00154748" w:rsidRPr="007357F7">
        <w:t xml:space="preserve"> (p=0.33)</w:t>
      </w:r>
      <w:r w:rsidRPr="007357F7">
        <w:t xml:space="preserve">. </w:t>
      </w:r>
    </w:p>
    <w:p w14:paraId="6598F6E1" w14:textId="77777777" w:rsidR="00BB03CD" w:rsidRDefault="00BB03CD" w:rsidP="001C7821">
      <w:pPr>
        <w:spacing w:line="480" w:lineRule="auto"/>
        <w:jc w:val="both"/>
      </w:pPr>
    </w:p>
    <w:p w14:paraId="0AB7F293" w14:textId="77777777" w:rsidR="00BB03CD" w:rsidRPr="007357F7" w:rsidRDefault="00BB03CD" w:rsidP="00BB03CD">
      <w:pPr>
        <w:spacing w:line="480" w:lineRule="auto"/>
        <w:jc w:val="both"/>
        <w:rPr>
          <w:i/>
        </w:rPr>
      </w:pPr>
      <w:r w:rsidRPr="007357F7">
        <w:rPr>
          <w:i/>
        </w:rPr>
        <w:t>Early azathioprine group</w:t>
      </w:r>
    </w:p>
    <w:p w14:paraId="4DE1A567" w14:textId="77777777" w:rsidR="00BB03CD" w:rsidRPr="007357F7" w:rsidRDefault="00BB03CD" w:rsidP="00BB03CD">
      <w:pPr>
        <w:spacing w:line="480" w:lineRule="auto"/>
        <w:jc w:val="both"/>
      </w:pPr>
      <w:r w:rsidRPr="007357F7">
        <w:t>One hundred and six of 226 (46%) patients started azathioprine within 8 weeks of corticosteroid induction. Of these, 38 (36%) patients started azathioprine concurrently with prednisolone induction therapy; 17 (16%) within 2 weeks of prednisolone induction; 23 (22%) within 4 weeks and the remaining 28 (26%) within 8 weeks of prednisolone induction.</w:t>
      </w:r>
    </w:p>
    <w:p w14:paraId="64933C81" w14:textId="77777777" w:rsidR="00BB03CD" w:rsidRPr="007357F7" w:rsidRDefault="00BB03CD" w:rsidP="00BB03CD">
      <w:pPr>
        <w:spacing w:line="480" w:lineRule="auto"/>
        <w:jc w:val="both"/>
        <w:rPr>
          <w:i/>
        </w:rPr>
      </w:pPr>
    </w:p>
    <w:p w14:paraId="7F8503C4" w14:textId="77777777" w:rsidR="00BB03CD" w:rsidRPr="007357F7" w:rsidRDefault="00BB03CD" w:rsidP="00BB03CD">
      <w:pPr>
        <w:spacing w:line="480" w:lineRule="auto"/>
        <w:jc w:val="both"/>
        <w:rPr>
          <w:i/>
        </w:rPr>
      </w:pPr>
      <w:r w:rsidRPr="007357F7">
        <w:rPr>
          <w:i/>
        </w:rPr>
        <w:t>Late azathioprine group</w:t>
      </w:r>
    </w:p>
    <w:p w14:paraId="3E85AC2E" w14:textId="2CEE6D6A" w:rsidR="00BB03CD" w:rsidRDefault="00BB03CD" w:rsidP="00BB03CD">
      <w:pPr>
        <w:spacing w:line="480" w:lineRule="auto"/>
        <w:jc w:val="both"/>
      </w:pPr>
      <w:r w:rsidRPr="007357F7">
        <w:t xml:space="preserve">One hundred and twenty of 226 (53%) patients comprised the late group who started azathioprine 8-weeks after corticosteroid induction. Of these, 34 (28%) started between 8-12 weeks, 28 (23%) between 13-24 weeks, 24 (20%) between 25-48 weeks and the remaining 34 </w:t>
      </w:r>
      <w:r w:rsidRPr="007357F7">
        <w:lastRenderedPageBreak/>
        <w:t xml:space="preserve">(28%) started 48 weeks after corticosteroid induction. In the groups who started after 48 weeks of steroid induction, 82% of these were diagnosed between 1970-1990.  </w:t>
      </w:r>
    </w:p>
    <w:p w14:paraId="061779B1" w14:textId="77777777" w:rsidR="00BB03CD" w:rsidRDefault="00BB03CD" w:rsidP="00BB03CD">
      <w:pPr>
        <w:spacing w:line="480" w:lineRule="auto"/>
        <w:jc w:val="both"/>
      </w:pPr>
    </w:p>
    <w:p w14:paraId="2586DA64" w14:textId="77777777" w:rsidR="00BB03CD" w:rsidRPr="007357F7" w:rsidRDefault="00BB03CD" w:rsidP="00BB03CD">
      <w:pPr>
        <w:spacing w:line="480" w:lineRule="auto"/>
        <w:jc w:val="both"/>
        <w:rPr>
          <w:i/>
        </w:rPr>
      </w:pPr>
      <w:r w:rsidRPr="007357F7">
        <w:rPr>
          <w:i/>
        </w:rPr>
        <w:t>Biochemical remission</w:t>
      </w:r>
    </w:p>
    <w:p w14:paraId="4174E733" w14:textId="66A5A063" w:rsidR="00BB03CD" w:rsidRPr="007357F7" w:rsidRDefault="00BB03CD" w:rsidP="00BB03CD">
      <w:pPr>
        <w:spacing w:line="480" w:lineRule="auto"/>
        <w:jc w:val="both"/>
      </w:pPr>
      <w:r w:rsidRPr="007357F7">
        <w:t xml:space="preserve">For all patients, the proportion achieving biochemical remission (normal AST/ALT and IgG) from induction therapy was 59.1% at 3-months, 71.7% at 6-months and 82% at 12-months (Table </w:t>
      </w:r>
      <w:r w:rsidR="00DC50FE">
        <w:t>3</w:t>
      </w:r>
      <w:r w:rsidRPr="007357F7">
        <w:t>). During long term follow-up, 74.2%, 77.8% and 73.6% maintained biochemical remission after 2-, 3- and 5-years respectively.</w:t>
      </w:r>
    </w:p>
    <w:p w14:paraId="3CD66432" w14:textId="77777777" w:rsidR="00BB03CD" w:rsidRPr="007357F7" w:rsidRDefault="00BB03CD" w:rsidP="00BB03CD">
      <w:pPr>
        <w:spacing w:line="480" w:lineRule="auto"/>
        <w:jc w:val="both"/>
      </w:pPr>
    </w:p>
    <w:p w14:paraId="07CEB5BF" w14:textId="51B485D9" w:rsidR="00BB03CD" w:rsidRPr="007357F7" w:rsidRDefault="00BB03CD" w:rsidP="00BB03CD">
      <w:pPr>
        <w:spacing w:line="480" w:lineRule="auto"/>
        <w:jc w:val="both"/>
      </w:pPr>
      <w:r w:rsidRPr="007357F7">
        <w:t xml:space="preserve">After 5-years of follow-up, more patients in the early group (76.5%) achieved complete biochemical remission compared to the late group (70.5%) although this did not reach statistical significance (p = 0.44) (Table </w:t>
      </w:r>
      <w:r w:rsidR="00DC50FE">
        <w:t>3</w:t>
      </w:r>
      <w:r w:rsidRPr="007357F7">
        <w:t>). However, at 6-months, serum ALT level normalised in 80% of patients in the early group compared to 64.5% in the late group (p = 0.01). IgG levels normalised in 68% of the early group compared to 54% in the late group (p = 0.05) at 1-year (</w:t>
      </w:r>
      <w:r>
        <w:t xml:space="preserve">Table </w:t>
      </w:r>
      <w:r w:rsidR="00DC50FE">
        <w:t>A</w:t>
      </w:r>
      <w:r>
        <w:t xml:space="preserve"> in supplementary material)</w:t>
      </w:r>
      <w:r w:rsidRPr="007357F7">
        <w:t xml:space="preserve">). When stratified per decade, complete biochemical remission was achieved in a greater proportion of patients within the first 6 months of corticosteroid therapy (p = 0.012) in more recent decades (Figure </w:t>
      </w:r>
      <w:r w:rsidR="00860775">
        <w:t>1</w:t>
      </w:r>
      <w:r w:rsidRPr="007357F7">
        <w:t xml:space="preserve">). However, this difference was not present from the second year onwards (p = 0.107).  </w:t>
      </w:r>
    </w:p>
    <w:p w14:paraId="7C18688C" w14:textId="77777777" w:rsidR="00BB03CD" w:rsidRDefault="00BB03CD" w:rsidP="00BB03CD">
      <w:pPr>
        <w:spacing w:line="480" w:lineRule="auto"/>
        <w:jc w:val="both"/>
      </w:pPr>
    </w:p>
    <w:p w14:paraId="160D9E0C" w14:textId="77777777" w:rsidR="00BB03CD" w:rsidRPr="007357F7" w:rsidRDefault="00BB03CD" w:rsidP="00BB03CD">
      <w:pPr>
        <w:spacing w:line="480" w:lineRule="auto"/>
      </w:pPr>
      <w:r w:rsidRPr="007357F7">
        <w:rPr>
          <w:i/>
        </w:rPr>
        <w:t>Corticosteroid related side effects</w:t>
      </w:r>
    </w:p>
    <w:p w14:paraId="2374E623" w14:textId="30FA2F6C" w:rsidR="00BB03CD" w:rsidRPr="007357F7" w:rsidRDefault="00BB03CD" w:rsidP="00BB03CD">
      <w:pPr>
        <w:spacing w:line="480" w:lineRule="auto"/>
        <w:jc w:val="both"/>
        <w:rPr>
          <w:b/>
        </w:rPr>
      </w:pPr>
      <w:r w:rsidRPr="007357F7">
        <w:t>Within the first 12 months of commencing corticosteroid therapy, 70% of patients reported experiencing corticosteroid related side effects. The most common reported side effects were hyperglycaemia (19%), Cushing’s syndrome (18%), weight gain (16%) and deterioration of bone health (15%). There was no statistical difference between the early and late group</w:t>
      </w:r>
      <w:r w:rsidR="0026501E">
        <w:t xml:space="preserve">. </w:t>
      </w:r>
      <w:r w:rsidRPr="007357F7">
        <w:t xml:space="preserve">However, there was a trend towards patients in the late azathioprine group more likely to </w:t>
      </w:r>
      <w:r w:rsidRPr="007357F7">
        <w:lastRenderedPageBreak/>
        <w:t xml:space="preserve">experience side effects including hyperglycaemia (OR=0.85), weight gain (OR= 0.85), deterioration of bone health (OR=0.83), infection (OR=0.43), visual disturbances (OR=0.47) and fatigue (OR=0.67) compared to the early group (Figure </w:t>
      </w:r>
      <w:r w:rsidR="00860775">
        <w:t>2</w:t>
      </w:r>
      <w:r w:rsidRPr="007357F7">
        <w:t xml:space="preserve">). </w:t>
      </w:r>
    </w:p>
    <w:p w14:paraId="56AD93E5" w14:textId="77777777" w:rsidR="00BB03CD" w:rsidRPr="007357F7" w:rsidRDefault="00BB03CD" w:rsidP="00BB03CD">
      <w:pPr>
        <w:spacing w:after="160" w:line="480" w:lineRule="auto"/>
        <w:jc w:val="both"/>
        <w:rPr>
          <w:b/>
        </w:rPr>
      </w:pPr>
    </w:p>
    <w:p w14:paraId="6F230F9F" w14:textId="06280A3F" w:rsidR="00C868D7" w:rsidRPr="007357F7" w:rsidRDefault="00C868D7" w:rsidP="001C7821">
      <w:pPr>
        <w:spacing w:line="480" w:lineRule="auto"/>
        <w:jc w:val="both"/>
        <w:rPr>
          <w:i/>
        </w:rPr>
      </w:pPr>
      <w:r w:rsidRPr="007357F7">
        <w:rPr>
          <w:i/>
        </w:rPr>
        <w:t>Era effect</w:t>
      </w:r>
    </w:p>
    <w:p w14:paraId="7B1B2C1C" w14:textId="08FA0659" w:rsidR="00FB3547" w:rsidRPr="007357F7" w:rsidRDefault="006E3C71" w:rsidP="001C7821">
      <w:pPr>
        <w:spacing w:line="480" w:lineRule="auto"/>
        <w:jc w:val="both"/>
      </w:pPr>
      <w:r w:rsidRPr="007357F7">
        <w:t xml:space="preserve">We examined the </w:t>
      </w:r>
      <w:r w:rsidR="00FB3547" w:rsidRPr="007357F7">
        <w:t>changes in the</w:t>
      </w:r>
      <w:r w:rsidRPr="007357F7">
        <w:t xml:space="preserve"> </w:t>
      </w:r>
      <w:r w:rsidR="00525FE5" w:rsidRPr="007357F7">
        <w:t xml:space="preserve">prednisolone </w:t>
      </w:r>
      <w:r w:rsidRPr="007357F7">
        <w:t>starting dose</w:t>
      </w:r>
      <w:r w:rsidR="00525FE5" w:rsidRPr="007357F7">
        <w:t xml:space="preserve">, </w:t>
      </w:r>
      <w:r w:rsidR="00A84DC2" w:rsidRPr="007357F7">
        <w:t>duration of</w:t>
      </w:r>
      <w:r w:rsidR="00525FE5" w:rsidRPr="007357F7">
        <w:t xml:space="preserve"> exposure and the </w:t>
      </w:r>
      <w:r w:rsidR="00A84DC2" w:rsidRPr="007357F7">
        <w:t xml:space="preserve">cumulative dose </w:t>
      </w:r>
      <w:r w:rsidR="00FB3547" w:rsidRPr="007357F7">
        <w:t>over five distinct decades</w:t>
      </w:r>
      <w:r w:rsidRPr="007357F7">
        <w:t xml:space="preserve">; 1970-1979, 1980-1989, 1990-1999, 2000-2009 and 2010-2020. </w:t>
      </w:r>
      <w:r w:rsidR="00C868D7" w:rsidRPr="007357F7">
        <w:t xml:space="preserve">The dose and duration of </w:t>
      </w:r>
      <w:r w:rsidR="003F7A61" w:rsidRPr="007357F7">
        <w:t>corticosteroid</w:t>
      </w:r>
      <w:r w:rsidR="00C868D7" w:rsidRPr="007357F7">
        <w:t xml:space="preserve"> treatment </w:t>
      </w:r>
      <w:r w:rsidR="001F72BA" w:rsidRPr="007357F7">
        <w:t>reduced</w:t>
      </w:r>
      <w:r w:rsidR="00C868D7" w:rsidRPr="007357F7">
        <w:t xml:space="preserve"> during</w:t>
      </w:r>
      <w:r w:rsidR="00C40690" w:rsidRPr="007357F7">
        <w:t xml:space="preserve"> each decade (Table </w:t>
      </w:r>
      <w:r w:rsidR="00DC50FE">
        <w:t>4</w:t>
      </w:r>
      <w:r w:rsidR="001619B6" w:rsidRPr="007357F7">
        <w:t>a</w:t>
      </w:r>
      <w:r w:rsidR="00C40690" w:rsidRPr="007357F7">
        <w:t>)</w:t>
      </w:r>
      <w:r w:rsidR="00297B63" w:rsidRPr="007357F7">
        <w:t xml:space="preserve">. </w:t>
      </w:r>
      <w:r w:rsidR="00B84A06" w:rsidRPr="007357F7">
        <w:t xml:space="preserve">From 6 months of starting corticosteroid treatment, there was a significant difference in the cumulative dose of corticosteroid. At 5-years, the median cumulative dose of corticosteroid in the 1970s was 215.2mg/kg whereas, by 2010 it was 52mg/kg (p &lt;0.001). </w:t>
      </w:r>
    </w:p>
    <w:p w14:paraId="7F4696E8" w14:textId="77777777" w:rsidR="00FB3547" w:rsidRPr="007357F7" w:rsidRDefault="00FB3547" w:rsidP="001C7821">
      <w:pPr>
        <w:spacing w:line="480" w:lineRule="auto"/>
        <w:jc w:val="both"/>
      </w:pPr>
    </w:p>
    <w:p w14:paraId="0118EDDA" w14:textId="6E57AA7F" w:rsidR="003F661E" w:rsidRPr="007357F7" w:rsidRDefault="00FB3547" w:rsidP="001C7821">
      <w:pPr>
        <w:spacing w:line="480" w:lineRule="auto"/>
        <w:jc w:val="both"/>
      </w:pPr>
      <w:r w:rsidRPr="007357F7">
        <w:t>The i</w:t>
      </w:r>
      <w:r w:rsidR="009F328B" w:rsidRPr="007357F7">
        <w:t>nitia</w:t>
      </w:r>
      <w:r w:rsidR="00305186" w:rsidRPr="007357F7">
        <w:t>l starting doses of prednisolo</w:t>
      </w:r>
      <w:r w:rsidR="009F328B" w:rsidRPr="007357F7">
        <w:t xml:space="preserve">ne in </w:t>
      </w:r>
      <w:r w:rsidR="00810685" w:rsidRPr="007357F7">
        <w:t xml:space="preserve">the </w:t>
      </w:r>
      <w:r w:rsidR="00305186" w:rsidRPr="007357F7">
        <w:t>1970</w:t>
      </w:r>
      <w:r w:rsidR="00BC13DD" w:rsidRPr="007357F7">
        <w:t>’</w:t>
      </w:r>
      <w:r w:rsidR="00810685" w:rsidRPr="007357F7">
        <w:t>s</w:t>
      </w:r>
      <w:r w:rsidR="009F328B" w:rsidRPr="007357F7">
        <w:t xml:space="preserve"> was 0.33mg/kg/day</w:t>
      </w:r>
      <w:r w:rsidR="00B22F8A" w:rsidRPr="007357F7">
        <w:t xml:space="preserve"> compared to</w:t>
      </w:r>
      <w:r w:rsidR="00847481" w:rsidRPr="007357F7">
        <w:t xml:space="preserve"> the 1980s </w:t>
      </w:r>
      <w:r w:rsidR="00B22F8A" w:rsidRPr="007357F7">
        <w:t>whe</w:t>
      </w:r>
      <w:r w:rsidR="00810685" w:rsidRPr="007357F7">
        <w:t xml:space="preserve">n </w:t>
      </w:r>
      <w:r w:rsidR="00B22F8A" w:rsidRPr="007357F7">
        <w:t xml:space="preserve">the dose </w:t>
      </w:r>
      <w:r w:rsidR="00847481" w:rsidRPr="007357F7">
        <w:t>increased to 0.42mg/kg/day (</w:t>
      </w:r>
      <w:r w:rsidR="00C40690" w:rsidRPr="007357F7">
        <w:t>T</w:t>
      </w:r>
      <w:r w:rsidR="00847481" w:rsidRPr="007357F7">
        <w:t xml:space="preserve">able </w:t>
      </w:r>
      <w:r w:rsidR="00DC50FE">
        <w:t>4</w:t>
      </w:r>
      <w:r w:rsidR="00297B63" w:rsidRPr="007357F7">
        <w:t xml:space="preserve">b). </w:t>
      </w:r>
      <w:r w:rsidRPr="007357F7">
        <w:t>However,</w:t>
      </w:r>
      <w:r w:rsidR="00F94906" w:rsidRPr="007357F7">
        <w:t xml:space="preserve"> in more recent decades, there wa</w:t>
      </w:r>
      <w:r w:rsidRPr="007357F7">
        <w:t>s a faster rate of reduction in the corticosteroid dose from the first 6 m</w:t>
      </w:r>
      <w:r w:rsidR="007B1CF3" w:rsidRPr="007357F7">
        <w:t>onths of treatment initiation</w:t>
      </w:r>
      <w:r w:rsidR="00B84A06" w:rsidRPr="007357F7">
        <w:t>.</w:t>
      </w:r>
      <w:r w:rsidR="009A0794" w:rsidRPr="007357F7">
        <w:t xml:space="preserve"> Most commonly the dose of prednisolone was reduced by 5mg every two weeks.</w:t>
      </w:r>
      <w:r w:rsidRPr="007357F7">
        <w:t xml:space="preserve"> </w:t>
      </w:r>
      <w:r w:rsidR="00FF2CE4" w:rsidRPr="007357F7">
        <w:t>L</w:t>
      </w:r>
      <w:r w:rsidR="00314F3A" w:rsidRPr="007357F7">
        <w:t>ess patient</w:t>
      </w:r>
      <w:r w:rsidR="00056E4C" w:rsidRPr="007357F7">
        <w:t xml:space="preserve">s </w:t>
      </w:r>
      <w:r w:rsidR="00AF2B6E" w:rsidRPr="007357F7">
        <w:t xml:space="preserve">remained </w:t>
      </w:r>
      <w:r w:rsidR="00886A94" w:rsidRPr="007357F7">
        <w:t>on prednisolone at 1-</w:t>
      </w:r>
      <w:r w:rsidR="00314F3A" w:rsidRPr="007357F7">
        <w:t xml:space="preserve">year, </w:t>
      </w:r>
      <w:r w:rsidR="00886A94" w:rsidRPr="007357F7">
        <w:t>2-</w:t>
      </w:r>
      <w:r w:rsidR="003F661E" w:rsidRPr="007357F7">
        <w:t>years,</w:t>
      </w:r>
      <w:r w:rsidR="00886A94" w:rsidRPr="007357F7">
        <w:t xml:space="preserve"> 3-</w:t>
      </w:r>
      <w:r w:rsidR="00FF2CE4" w:rsidRPr="007357F7">
        <w:t>years and 5</w:t>
      </w:r>
      <w:r w:rsidR="00886A94" w:rsidRPr="007357F7">
        <w:t>-</w:t>
      </w:r>
      <w:r w:rsidR="00FF2CE4" w:rsidRPr="007357F7">
        <w:t xml:space="preserve">years </w:t>
      </w:r>
      <w:r w:rsidR="00AF2B6E" w:rsidRPr="007357F7">
        <w:t xml:space="preserve">in </w:t>
      </w:r>
      <w:r w:rsidR="00FF2CE4" w:rsidRPr="007357F7">
        <w:t>more recent decades</w:t>
      </w:r>
      <w:r w:rsidR="00886A94" w:rsidRPr="007357F7">
        <w:t xml:space="preserve">, with 88% remaining on </w:t>
      </w:r>
      <w:r w:rsidR="003F7A61" w:rsidRPr="007357F7">
        <w:t>corticosteroid</w:t>
      </w:r>
      <w:r w:rsidR="00886A94" w:rsidRPr="007357F7">
        <w:t xml:space="preserve">s at 5-years in </w:t>
      </w:r>
      <w:r w:rsidR="00056E4C" w:rsidRPr="007357F7">
        <w:t xml:space="preserve">the </w:t>
      </w:r>
      <w:r w:rsidR="00886A94" w:rsidRPr="007357F7">
        <w:t>1970</w:t>
      </w:r>
      <w:r w:rsidR="00BC13DD" w:rsidRPr="007357F7">
        <w:t>’</w:t>
      </w:r>
      <w:r w:rsidR="00886A94" w:rsidRPr="007357F7">
        <w:t xml:space="preserve">s </w:t>
      </w:r>
      <w:r w:rsidR="00056E4C" w:rsidRPr="007357F7">
        <w:t xml:space="preserve">reducing </w:t>
      </w:r>
      <w:r w:rsidR="00886A94" w:rsidRPr="007357F7">
        <w:t>to 54% in</w:t>
      </w:r>
      <w:r w:rsidR="00056E4C" w:rsidRPr="007357F7">
        <w:t xml:space="preserve"> the </w:t>
      </w:r>
      <w:r w:rsidR="00447AF5" w:rsidRPr="007357F7">
        <w:t xml:space="preserve">most recent </w:t>
      </w:r>
      <w:r w:rsidR="00056E4C" w:rsidRPr="007357F7">
        <w:t>decade</w:t>
      </w:r>
      <w:r w:rsidR="00886A94" w:rsidRPr="007357F7">
        <w:t xml:space="preserve"> (p = 0.001)</w:t>
      </w:r>
      <w:r w:rsidR="00FF2CE4" w:rsidRPr="007357F7">
        <w:t xml:space="preserve"> (</w:t>
      </w:r>
      <w:r w:rsidR="00332763" w:rsidRPr="007357F7">
        <w:t xml:space="preserve">Figure </w:t>
      </w:r>
      <w:r w:rsidR="00860775">
        <w:t>3</w:t>
      </w:r>
      <w:r w:rsidR="00FF2CE4" w:rsidRPr="007357F7">
        <w:t xml:space="preserve">). </w:t>
      </w:r>
    </w:p>
    <w:p w14:paraId="61F5F383" w14:textId="64CE92DF" w:rsidR="003F661E" w:rsidRPr="007357F7" w:rsidRDefault="003F661E" w:rsidP="001C7821">
      <w:pPr>
        <w:spacing w:line="480" w:lineRule="auto"/>
        <w:jc w:val="both"/>
      </w:pPr>
    </w:p>
    <w:p w14:paraId="1BB65058" w14:textId="677FC625" w:rsidR="00FB3547" w:rsidRPr="007357F7" w:rsidRDefault="00056E4C" w:rsidP="001C7821">
      <w:pPr>
        <w:spacing w:line="480" w:lineRule="auto"/>
        <w:jc w:val="both"/>
      </w:pPr>
      <w:r w:rsidRPr="007357F7">
        <w:t>Sim</w:t>
      </w:r>
      <w:r w:rsidR="005E3490" w:rsidRPr="007357F7">
        <w:t>ilarly</w:t>
      </w:r>
      <w:r w:rsidRPr="007357F7">
        <w:t>, t</w:t>
      </w:r>
      <w:r w:rsidR="007B1CF3" w:rsidRPr="007357F7">
        <w:t>here wa</w:t>
      </w:r>
      <w:r w:rsidR="00FB3547" w:rsidRPr="007357F7">
        <w:t xml:space="preserve">s earlier introduction of azathioprine in more recent </w:t>
      </w:r>
      <w:r w:rsidR="00BC13DD" w:rsidRPr="007357F7">
        <w:t>decades</w:t>
      </w:r>
      <w:r w:rsidR="007B1CF3" w:rsidRPr="007357F7">
        <w:t xml:space="preserve"> (</w:t>
      </w:r>
      <w:r w:rsidR="00D56501" w:rsidRPr="007357F7">
        <w:t>F</w:t>
      </w:r>
      <w:r w:rsidR="00C23E37" w:rsidRPr="007357F7">
        <w:t xml:space="preserve">igure </w:t>
      </w:r>
      <w:r w:rsidR="00860775">
        <w:t>3</w:t>
      </w:r>
      <w:r w:rsidR="007B1CF3" w:rsidRPr="007357F7">
        <w:t xml:space="preserve">). </w:t>
      </w:r>
      <w:r w:rsidR="00F52D2D" w:rsidRPr="007357F7">
        <w:t>A</w:t>
      </w:r>
      <w:r w:rsidR="00FB3547" w:rsidRPr="007357F7">
        <w:t>zathiopr</w:t>
      </w:r>
      <w:r w:rsidRPr="007357F7">
        <w:t>ine initiation</w:t>
      </w:r>
      <w:r w:rsidR="00F52D2D" w:rsidRPr="007357F7">
        <w:t xml:space="preserve"> after corticosteroid induction</w:t>
      </w:r>
      <w:r w:rsidRPr="007357F7">
        <w:t xml:space="preserve"> </w:t>
      </w:r>
      <w:r w:rsidR="007B1CF3" w:rsidRPr="007357F7">
        <w:t>was</w:t>
      </w:r>
      <w:r w:rsidRPr="007357F7">
        <w:t xml:space="preserve"> 80 weeks</w:t>
      </w:r>
      <w:r w:rsidR="00AF2B6E" w:rsidRPr="007357F7">
        <w:t xml:space="preserve"> </w:t>
      </w:r>
      <w:r w:rsidR="007B1CF3" w:rsidRPr="007357F7">
        <w:t>during the</w:t>
      </w:r>
      <w:r w:rsidR="00AF2B6E" w:rsidRPr="007357F7">
        <w:t xml:space="preserve"> 1970s, 37 weeks </w:t>
      </w:r>
      <w:r w:rsidR="007B1CF3" w:rsidRPr="007357F7">
        <w:t>in the 1980s, 33 week</w:t>
      </w:r>
      <w:r w:rsidR="00AF2B6E" w:rsidRPr="007357F7">
        <w:t>s</w:t>
      </w:r>
      <w:r w:rsidR="00FB3547" w:rsidRPr="007357F7">
        <w:t xml:space="preserve"> in 1990s, 13 weeks during the 2000s and 10 weeks </w:t>
      </w:r>
      <w:r w:rsidR="000D13AD" w:rsidRPr="007357F7">
        <w:t>from 2010 onwards (</w:t>
      </w:r>
      <w:r w:rsidR="00FB3547" w:rsidRPr="007357F7">
        <w:t xml:space="preserve">p = 0.026). </w:t>
      </w:r>
      <w:r w:rsidR="00F94906" w:rsidRPr="007357F7">
        <w:t>A</w:t>
      </w:r>
      <w:r w:rsidR="00FB3547" w:rsidRPr="007357F7">
        <w:t>zathioprine doses did not differ between decades, except for between 2000-2010, where doses were higher at 1.45 mg/kg/day on average from 3 months onwards</w:t>
      </w:r>
      <w:r w:rsidR="00C23E37" w:rsidRPr="007357F7">
        <w:t xml:space="preserve"> (T</w:t>
      </w:r>
      <w:r w:rsidR="003F382F" w:rsidRPr="007357F7">
        <w:t xml:space="preserve">able </w:t>
      </w:r>
      <w:r w:rsidR="00DC50FE">
        <w:t>4</w:t>
      </w:r>
      <w:r w:rsidR="00332763" w:rsidRPr="007357F7">
        <w:t>c</w:t>
      </w:r>
      <w:r w:rsidR="00FB3547" w:rsidRPr="007357F7">
        <w:t xml:space="preserve">). </w:t>
      </w:r>
    </w:p>
    <w:p w14:paraId="2E586DAC" w14:textId="0DD56AC1" w:rsidR="00BB679A" w:rsidRPr="007357F7" w:rsidRDefault="00E0592E" w:rsidP="001C7821">
      <w:pPr>
        <w:spacing w:after="160" w:line="480" w:lineRule="auto"/>
        <w:jc w:val="both"/>
        <w:rPr>
          <w:b/>
        </w:rPr>
      </w:pPr>
      <w:r w:rsidRPr="007357F7">
        <w:rPr>
          <w:b/>
        </w:rPr>
        <w:lastRenderedPageBreak/>
        <w:t>Discussion</w:t>
      </w:r>
    </w:p>
    <w:p w14:paraId="5F339787" w14:textId="7615B808" w:rsidR="0009656C" w:rsidRPr="007357F7" w:rsidRDefault="008C51ED" w:rsidP="001C7821">
      <w:pPr>
        <w:spacing w:after="160" w:line="480" w:lineRule="auto"/>
        <w:jc w:val="both"/>
      </w:pPr>
      <w:r w:rsidRPr="007357F7">
        <w:t xml:space="preserve">In this study, we evaluated the timing of </w:t>
      </w:r>
      <w:r w:rsidR="00BC13DD" w:rsidRPr="007357F7">
        <w:t>thiopurine</w:t>
      </w:r>
      <w:r w:rsidRPr="007357F7">
        <w:t xml:space="preserve"> introduction and its effect on prednisolone exposure in AIH patients. To our knowledge, this study represents the first efforts to examine prescribing practice</w:t>
      </w:r>
      <w:r w:rsidR="00F94906" w:rsidRPr="007357F7">
        <w:t>s</w:t>
      </w:r>
      <w:r w:rsidRPr="007357F7">
        <w:t xml:space="preserve"> in AIH over time</w:t>
      </w:r>
      <w:r w:rsidR="00747E1C" w:rsidRPr="007357F7">
        <w:t xml:space="preserve"> and we have identified four key findings. </w:t>
      </w:r>
      <w:bookmarkStart w:id="1" w:name="_Hlk160788560"/>
      <w:r w:rsidR="00747E1C" w:rsidRPr="007357F7">
        <w:t>F</w:t>
      </w:r>
      <w:r w:rsidR="00F94906" w:rsidRPr="007357F7">
        <w:t>irst</w:t>
      </w:r>
      <w:r w:rsidR="00DB70AE" w:rsidRPr="007357F7">
        <w:t>ly</w:t>
      </w:r>
      <w:r w:rsidR="00527821" w:rsidRPr="007357F7">
        <w:t>,</w:t>
      </w:r>
      <w:r w:rsidRPr="007357F7">
        <w:t xml:space="preserve"> earlier introduction of azathioprine for the treatment of AIH did not result in a statistically significant reduction in the cumulative dose of predniso</w:t>
      </w:r>
      <w:r w:rsidR="00F94906" w:rsidRPr="007357F7">
        <w:t>lone. Second</w:t>
      </w:r>
      <w:r w:rsidR="00DB70AE" w:rsidRPr="007357F7">
        <w:t>ly</w:t>
      </w:r>
      <w:r w:rsidR="00527821" w:rsidRPr="007357F7">
        <w:t>,</w:t>
      </w:r>
      <w:r w:rsidRPr="007357F7">
        <w:t xml:space="preserve"> </w:t>
      </w:r>
      <w:r w:rsidR="00B214BD" w:rsidRPr="007357F7">
        <w:t>earl</w:t>
      </w:r>
      <w:r w:rsidR="007D2CDA" w:rsidRPr="007357F7">
        <w:t xml:space="preserve">y </w:t>
      </w:r>
      <w:r w:rsidR="00B214BD" w:rsidRPr="007357F7">
        <w:t xml:space="preserve">introduction of azathioprine </w:t>
      </w:r>
      <w:r w:rsidR="008A38B4" w:rsidRPr="007357F7">
        <w:t xml:space="preserve">initially </w:t>
      </w:r>
      <w:r w:rsidR="00B214BD" w:rsidRPr="007357F7">
        <w:t xml:space="preserve">led to </w:t>
      </w:r>
      <w:r w:rsidR="007D2CDA" w:rsidRPr="007357F7">
        <w:t xml:space="preserve">faster </w:t>
      </w:r>
      <w:r w:rsidR="00B214BD" w:rsidRPr="007357F7">
        <w:t>normalisation of transaminase</w:t>
      </w:r>
      <w:r w:rsidR="00747E1C" w:rsidRPr="007357F7">
        <w:t xml:space="preserve"> but </w:t>
      </w:r>
      <w:r w:rsidR="00B214BD" w:rsidRPr="007357F7">
        <w:t>by 12 months</w:t>
      </w:r>
      <w:r w:rsidR="00B84A06" w:rsidRPr="007357F7">
        <w:t>,</w:t>
      </w:r>
      <w:r w:rsidR="00B214BD" w:rsidRPr="007357F7">
        <w:t xml:space="preserve"> both groups </w:t>
      </w:r>
      <w:r w:rsidR="00527821" w:rsidRPr="007357F7">
        <w:t>achieve</w:t>
      </w:r>
      <w:r w:rsidR="00183817" w:rsidRPr="007357F7">
        <w:t>d</w:t>
      </w:r>
      <w:r w:rsidR="00527821" w:rsidRPr="007357F7">
        <w:t xml:space="preserve"> </w:t>
      </w:r>
      <w:r w:rsidR="00183817" w:rsidRPr="007357F7">
        <w:t xml:space="preserve">the same rate of </w:t>
      </w:r>
      <w:r w:rsidRPr="007357F7">
        <w:t>biochemical remission</w:t>
      </w:r>
      <w:r w:rsidR="00527821" w:rsidRPr="007357F7">
        <w:t xml:space="preserve">. </w:t>
      </w:r>
      <w:r w:rsidR="00F94906" w:rsidRPr="007357F7">
        <w:t>Third</w:t>
      </w:r>
      <w:r w:rsidR="00DB70AE" w:rsidRPr="007357F7">
        <w:t>ly</w:t>
      </w:r>
      <w:r w:rsidR="00F94906" w:rsidRPr="007357F7">
        <w:t>,</w:t>
      </w:r>
      <w:r w:rsidR="00527821" w:rsidRPr="007357F7">
        <w:t xml:space="preserve"> earlier </w:t>
      </w:r>
      <w:r w:rsidR="00BC13DD" w:rsidRPr="007357F7">
        <w:t xml:space="preserve">thiopurine </w:t>
      </w:r>
      <w:r w:rsidR="00527821" w:rsidRPr="007357F7">
        <w:t xml:space="preserve">introduction </w:t>
      </w:r>
      <w:r w:rsidR="00625374" w:rsidRPr="007357F7">
        <w:t>was associated with reduction in</w:t>
      </w:r>
      <w:r w:rsidRPr="007357F7">
        <w:t xml:space="preserve"> </w:t>
      </w:r>
      <w:r w:rsidR="00625374" w:rsidRPr="007357F7">
        <w:t>documen</w:t>
      </w:r>
      <w:r w:rsidR="00DB70AE" w:rsidRPr="007357F7">
        <w:t>t</w:t>
      </w:r>
      <w:r w:rsidRPr="007357F7">
        <w:t>ed corticosteroid related adverse effects</w:t>
      </w:r>
      <w:r w:rsidR="00E62EE4" w:rsidRPr="007357F7">
        <w:t xml:space="preserve"> though this was not statistically significant</w:t>
      </w:r>
      <w:r w:rsidRPr="007357F7">
        <w:t xml:space="preserve">. </w:t>
      </w:r>
      <w:r w:rsidR="00AC1C1F" w:rsidRPr="007357F7">
        <w:t xml:space="preserve">Lastly, </w:t>
      </w:r>
      <w:bookmarkStart w:id="2" w:name="_Hlk162528494"/>
      <w:r w:rsidR="00E3046D" w:rsidRPr="007357F7">
        <w:t xml:space="preserve">in more recent decades </w:t>
      </w:r>
      <w:r w:rsidR="00593895" w:rsidRPr="007357F7">
        <w:t xml:space="preserve">there was a significant reduction in the cumulative exposure to </w:t>
      </w:r>
      <w:r w:rsidR="00F94906" w:rsidRPr="007357F7">
        <w:t xml:space="preserve">prednisolone </w:t>
      </w:r>
      <w:r w:rsidR="00E3046D" w:rsidRPr="007357F7">
        <w:t>w</w:t>
      </w:r>
      <w:r w:rsidR="00593895" w:rsidRPr="007357F7">
        <w:t>ith earlier introduction of azathioprine</w:t>
      </w:r>
      <w:r w:rsidR="00AC1C1F" w:rsidRPr="007357F7">
        <w:t xml:space="preserve"> </w:t>
      </w:r>
      <w:r w:rsidR="008A38B4" w:rsidRPr="007357F7">
        <w:t>corresponding to</w:t>
      </w:r>
      <w:r w:rsidR="00E3046D" w:rsidRPr="007357F7">
        <w:t xml:space="preserve"> </w:t>
      </w:r>
      <w:r w:rsidR="00B84A06" w:rsidRPr="007357F7">
        <w:t>a higher rate of</w:t>
      </w:r>
      <w:r w:rsidR="003C2136" w:rsidRPr="007357F7">
        <w:t xml:space="preserve"> </w:t>
      </w:r>
      <w:r w:rsidR="0064470C" w:rsidRPr="007357F7">
        <w:t xml:space="preserve">biochemical remission </w:t>
      </w:r>
      <w:r w:rsidR="003C2136" w:rsidRPr="007357F7">
        <w:t>within</w:t>
      </w:r>
      <w:r w:rsidR="0064470C" w:rsidRPr="007357F7">
        <w:t xml:space="preserve"> the first year of azathioprine in</w:t>
      </w:r>
      <w:r w:rsidR="00AC7E7E" w:rsidRPr="007357F7">
        <w:t>itiation</w:t>
      </w:r>
      <w:r w:rsidR="0064470C" w:rsidRPr="007357F7">
        <w:t>.</w:t>
      </w:r>
    </w:p>
    <w:bookmarkEnd w:id="1"/>
    <w:bookmarkEnd w:id="2"/>
    <w:p w14:paraId="6C13F72E" w14:textId="77777777" w:rsidR="00593895" w:rsidRPr="007357F7" w:rsidRDefault="00593895" w:rsidP="001C7821">
      <w:pPr>
        <w:spacing w:after="160" w:line="480" w:lineRule="auto"/>
        <w:jc w:val="both"/>
      </w:pPr>
    </w:p>
    <w:p w14:paraId="6EB7E8A4" w14:textId="184049CB" w:rsidR="0020282D" w:rsidRPr="007357F7" w:rsidRDefault="009A3B65" w:rsidP="001C7821">
      <w:pPr>
        <w:spacing w:after="160" w:line="480" w:lineRule="auto"/>
        <w:jc w:val="both"/>
      </w:pPr>
      <w:r w:rsidRPr="007357F7">
        <w:t>In this study</w:t>
      </w:r>
      <w:r w:rsidR="00FB2DA6" w:rsidRPr="007357F7">
        <w:t xml:space="preserve">, the cumulative prednisolone exposure over 5 years was consistently lower with early azathioprine introduction compared to the late azathioprine initiation, </w:t>
      </w:r>
      <w:r w:rsidR="00CC12D3" w:rsidRPr="007357F7">
        <w:t>although this was not statistically significant</w:t>
      </w:r>
      <w:r w:rsidR="00FB2DA6" w:rsidRPr="007357F7">
        <w:t xml:space="preserve">. At 5-years of treatment, a greater proportion of patients remained on corticosteroid therapy in the late group versus the early group though this was </w:t>
      </w:r>
      <w:r w:rsidR="00805683" w:rsidRPr="007357F7">
        <w:t xml:space="preserve">also </w:t>
      </w:r>
      <w:r w:rsidR="00FB2DA6" w:rsidRPr="007357F7">
        <w:t>not significant (</w:t>
      </w:r>
      <w:r w:rsidR="00C175FC" w:rsidRPr="007357F7">
        <w:t xml:space="preserve">62% versus 52%, </w:t>
      </w:r>
      <w:r w:rsidR="00FB2DA6" w:rsidRPr="007357F7">
        <w:t>p= 0.33).</w:t>
      </w:r>
      <w:r w:rsidR="00CC12D3" w:rsidRPr="007357F7">
        <w:t xml:space="preserve"> </w:t>
      </w:r>
      <w:r w:rsidR="00171A41" w:rsidRPr="007357F7">
        <w:t>As well as treatment with azathioprine being refined, steroids remained a mainstay of treatment in this unit. Previous guidelines also incorporated patient symptoms as</w:t>
      </w:r>
      <w:r w:rsidR="00675366" w:rsidRPr="007357F7">
        <w:t xml:space="preserve"> a preference between high dose prednisone monotherapy versus combination therapy with lower doses of prednisone in combination with azathioprine.</w:t>
      </w:r>
      <w:r w:rsidR="00A7184D" w:rsidRPr="007357F7">
        <w:rPr>
          <w:vertAlign w:val="superscript"/>
        </w:rPr>
        <w:t>10</w:t>
      </w:r>
      <w:r w:rsidR="00675366" w:rsidRPr="007357F7">
        <w:t xml:space="preserve"> Thus high dose steroids</w:t>
      </w:r>
      <w:r w:rsidR="00171A41" w:rsidRPr="007357F7">
        <w:t xml:space="preserve"> were given to many patients. Early trials, including the 1973 double- blind prospective trial of prednisone versus azathioprine at our unit showed over a 2 year period, prednisone was superior at improving liver function preventing the development of </w:t>
      </w:r>
      <w:r w:rsidR="00171A41" w:rsidRPr="007357F7">
        <w:lastRenderedPageBreak/>
        <w:t>oesophageal varices and prolonged survival.</w:t>
      </w:r>
      <w:r w:rsidR="00A7184D" w:rsidRPr="007357F7">
        <w:rPr>
          <w:vertAlign w:val="superscript"/>
        </w:rPr>
        <w:t>11</w:t>
      </w:r>
      <w:r w:rsidR="00171A41" w:rsidRPr="007357F7">
        <w:t xml:space="preserve"> </w:t>
      </w:r>
      <w:r w:rsidR="00FB2DA6" w:rsidRPr="007357F7">
        <w:t>T</w:t>
      </w:r>
      <w:r w:rsidR="00154748" w:rsidRPr="007357F7">
        <w:t>his is similar to</w:t>
      </w:r>
      <w:r w:rsidR="00FB2DA6" w:rsidRPr="007357F7">
        <w:t xml:space="preserve"> </w:t>
      </w:r>
      <w:r w:rsidR="00154748" w:rsidRPr="007357F7">
        <w:t xml:space="preserve">the UK-AIH study (n= 1249) which reported that 55% of patients remain on long-term </w:t>
      </w:r>
      <w:r w:rsidR="00F01C6D" w:rsidRPr="007357F7">
        <w:t>corticosteroid</w:t>
      </w:r>
      <w:r w:rsidR="00154748" w:rsidRPr="007357F7">
        <w:t xml:space="preserve"> therapy (treatment lasting longer than 6 m</w:t>
      </w:r>
      <w:r w:rsidR="00B334EE" w:rsidRPr="007357F7">
        <w:t>onths</w:t>
      </w:r>
      <w:r w:rsidR="00F1620C" w:rsidRPr="007357F7">
        <w:t>)</w:t>
      </w:r>
      <w:r w:rsidR="00154748" w:rsidRPr="007357F7">
        <w:t>.</w:t>
      </w:r>
      <w:r w:rsidR="00A7184D" w:rsidRPr="007357F7">
        <w:rPr>
          <w:vertAlign w:val="superscript"/>
        </w:rPr>
        <w:t>5</w:t>
      </w:r>
      <w:r w:rsidR="00154748" w:rsidRPr="007357F7">
        <w:t xml:space="preserve"> </w:t>
      </w:r>
      <w:r w:rsidR="00BB679A" w:rsidRPr="007357F7">
        <w:t>A study</w:t>
      </w:r>
      <w:r w:rsidRPr="007357F7">
        <w:t xml:space="preserve"> comparing low dose prednisolo</w:t>
      </w:r>
      <w:r w:rsidR="00BB679A" w:rsidRPr="007357F7">
        <w:t>ne at &lt;0.5mg/kg at induction, to high dose at &gt;0.5mg/kg, showed that patients</w:t>
      </w:r>
      <w:r w:rsidR="00FB2DA6" w:rsidRPr="007357F7">
        <w:t xml:space="preserve"> initiated on high dose prednisolone</w:t>
      </w:r>
      <w:r w:rsidR="00BB679A" w:rsidRPr="007357F7">
        <w:t xml:space="preserve"> received a significantly higher cumulative dose of </w:t>
      </w:r>
      <w:r w:rsidR="003F7A61" w:rsidRPr="007357F7">
        <w:t>corticosteroid</w:t>
      </w:r>
      <w:r w:rsidR="00BB679A" w:rsidRPr="007357F7">
        <w:t xml:space="preserve"> in the first 6 months of treatmen</w:t>
      </w:r>
      <w:r w:rsidR="00537065" w:rsidRPr="007357F7">
        <w:t>t (2573mg vs 3870mg</w:t>
      </w:r>
      <w:r w:rsidR="005F47E8" w:rsidRPr="007357F7">
        <w:t xml:space="preserve">, </w:t>
      </w:r>
      <w:r w:rsidR="00537065" w:rsidRPr="007357F7">
        <w:t>p&lt;0.0</w:t>
      </w:r>
      <w:r w:rsidR="00B80507" w:rsidRPr="007357F7">
        <w:t>0</w:t>
      </w:r>
      <w:r w:rsidR="000C5BA0" w:rsidRPr="007357F7">
        <w:t>1)</w:t>
      </w:r>
      <w:r w:rsidR="00A7184D" w:rsidRPr="007357F7">
        <w:t>.</w:t>
      </w:r>
      <w:r w:rsidR="00A7184D" w:rsidRPr="007357F7">
        <w:rPr>
          <w:vertAlign w:val="superscript"/>
        </w:rPr>
        <w:t>12</w:t>
      </w:r>
      <w:r w:rsidR="00B22F8A" w:rsidRPr="007357F7">
        <w:t xml:space="preserve"> This suggests that</w:t>
      </w:r>
      <w:r w:rsidR="00BB679A" w:rsidRPr="007357F7">
        <w:t xml:space="preserve"> the start</w:t>
      </w:r>
      <w:r w:rsidRPr="007357F7">
        <w:t>ing dose of predniso</w:t>
      </w:r>
      <w:r w:rsidR="0012015F" w:rsidRPr="007357F7">
        <w:t>l</w:t>
      </w:r>
      <w:r w:rsidRPr="007357F7">
        <w:t>o</w:t>
      </w:r>
      <w:r w:rsidR="0012015F" w:rsidRPr="007357F7">
        <w:t xml:space="preserve">ne </w:t>
      </w:r>
      <w:r w:rsidR="00BB679A" w:rsidRPr="007357F7">
        <w:t xml:space="preserve">has a greater effect on the cumulative dose of </w:t>
      </w:r>
      <w:r w:rsidR="003F7A61" w:rsidRPr="007357F7">
        <w:t>corticosteroid</w:t>
      </w:r>
      <w:r w:rsidR="00BB679A" w:rsidRPr="007357F7">
        <w:t xml:space="preserve">, rather than the time at which azathioprine is </w:t>
      </w:r>
      <w:r w:rsidR="00B22F8A" w:rsidRPr="007357F7">
        <w:t>initiated</w:t>
      </w:r>
      <w:r w:rsidR="00BB679A" w:rsidRPr="007357F7">
        <w:t>.</w:t>
      </w:r>
      <w:r w:rsidR="00DB39C5" w:rsidRPr="007357F7">
        <w:t xml:space="preserve"> This is important for persons with AIH as some corticosteroid adverse effects are dose related. </w:t>
      </w:r>
      <w:r w:rsidR="00BB679A" w:rsidRPr="007357F7">
        <w:t xml:space="preserve"> In our </w:t>
      </w:r>
      <w:r w:rsidR="005F47E8" w:rsidRPr="007357F7">
        <w:t>study</w:t>
      </w:r>
      <w:r w:rsidR="00BB679A" w:rsidRPr="007357F7">
        <w:t xml:space="preserve">, the early and late group </w:t>
      </w:r>
      <w:r w:rsidR="00FB2DA6" w:rsidRPr="007357F7">
        <w:t xml:space="preserve">both </w:t>
      </w:r>
      <w:r w:rsidR="00BB679A" w:rsidRPr="007357F7">
        <w:t>had median startin</w:t>
      </w:r>
      <w:r w:rsidR="000B33C6" w:rsidRPr="007357F7">
        <w:t>g</w:t>
      </w:r>
      <w:r w:rsidRPr="007357F7">
        <w:t xml:space="preserve"> doses of prednisolo</w:t>
      </w:r>
      <w:r w:rsidR="005F47E8" w:rsidRPr="007357F7">
        <w:t>ne at 0.4mg/kg/day</w:t>
      </w:r>
      <w:r w:rsidR="0075360F" w:rsidRPr="007357F7">
        <w:t>.</w:t>
      </w:r>
      <w:r w:rsidR="0053309D" w:rsidRPr="007357F7">
        <w:t xml:space="preserve"> </w:t>
      </w:r>
    </w:p>
    <w:p w14:paraId="47D0428C" w14:textId="77777777" w:rsidR="00183817" w:rsidRPr="007357F7" w:rsidRDefault="00183817" w:rsidP="001C7821">
      <w:pPr>
        <w:spacing w:after="160" w:line="480" w:lineRule="auto"/>
        <w:jc w:val="both"/>
      </w:pPr>
    </w:p>
    <w:p w14:paraId="1A48E11D" w14:textId="542848F5" w:rsidR="004A3BF4" w:rsidRPr="007357F7" w:rsidRDefault="00183817" w:rsidP="001C7821">
      <w:pPr>
        <w:spacing w:after="160" w:line="480" w:lineRule="auto"/>
        <w:jc w:val="both"/>
      </w:pPr>
      <w:r w:rsidRPr="007357F7">
        <w:t xml:space="preserve">Late initiation of </w:t>
      </w:r>
      <w:r w:rsidR="00D37BEF" w:rsidRPr="007357F7">
        <w:t>azathioprine</w:t>
      </w:r>
      <w:r w:rsidR="00F94906" w:rsidRPr="007357F7">
        <w:t xml:space="preserve"> </w:t>
      </w:r>
      <w:r w:rsidR="00D37BEF" w:rsidRPr="007357F7">
        <w:t>were</w:t>
      </w:r>
      <w:r w:rsidR="00BB679A" w:rsidRPr="007357F7">
        <w:t xml:space="preserve"> equally likely to achieve </w:t>
      </w:r>
      <w:r w:rsidR="00FA5837" w:rsidRPr="007357F7">
        <w:t xml:space="preserve">complete </w:t>
      </w:r>
      <w:r w:rsidR="00BB679A" w:rsidRPr="007357F7">
        <w:t xml:space="preserve">biochemical remission </w:t>
      </w:r>
      <w:r w:rsidR="000A4AA5" w:rsidRPr="007357F7">
        <w:t>at</w:t>
      </w:r>
      <w:r w:rsidR="00BB679A" w:rsidRPr="007357F7">
        <w:t xml:space="preserve"> 12 months </w:t>
      </w:r>
      <w:r w:rsidR="00204B23" w:rsidRPr="007357F7">
        <w:t xml:space="preserve">as well as </w:t>
      </w:r>
      <w:r w:rsidR="004228A7" w:rsidRPr="007357F7">
        <w:t xml:space="preserve">at </w:t>
      </w:r>
      <w:r w:rsidR="00204B23" w:rsidRPr="007357F7">
        <w:t>5-</w:t>
      </w:r>
      <w:r w:rsidR="001B3A83" w:rsidRPr="007357F7">
        <w:t>year</w:t>
      </w:r>
      <w:r w:rsidR="004228A7" w:rsidRPr="007357F7">
        <w:t>s</w:t>
      </w:r>
      <w:r w:rsidR="0037424D" w:rsidRPr="007357F7">
        <w:t xml:space="preserve"> when compared to early azathioprine introduction</w:t>
      </w:r>
      <w:r w:rsidR="00692DA2" w:rsidRPr="007357F7">
        <w:t xml:space="preserve">. </w:t>
      </w:r>
      <w:r w:rsidR="00154748" w:rsidRPr="007357F7">
        <w:t xml:space="preserve">However, in the early group, 80% of patients achieved normalisation of AST within 6 months of </w:t>
      </w:r>
      <w:r w:rsidR="003F7A61" w:rsidRPr="007357F7">
        <w:t>corticosteroid</w:t>
      </w:r>
      <w:r w:rsidR="00154748" w:rsidRPr="007357F7">
        <w:t xml:space="preserve"> induction compared to 64.5%</w:t>
      </w:r>
      <w:r w:rsidR="0020282D" w:rsidRPr="007357F7">
        <w:t xml:space="preserve"> in the late group</w:t>
      </w:r>
      <w:r w:rsidR="00154748" w:rsidRPr="007357F7">
        <w:t xml:space="preserve"> (</w:t>
      </w:r>
      <w:r w:rsidR="008117EF" w:rsidRPr="007357F7">
        <w:t>p</w:t>
      </w:r>
      <w:r w:rsidR="00154748" w:rsidRPr="007357F7">
        <w:t>= 0.013). In another retrospective study</w:t>
      </w:r>
      <w:r w:rsidR="0037424D" w:rsidRPr="007357F7">
        <w:t>, a rapid reduction in</w:t>
      </w:r>
      <w:r w:rsidR="00154748" w:rsidRPr="007357F7">
        <w:t xml:space="preserve"> AST </w:t>
      </w:r>
      <w:r w:rsidR="0037424D" w:rsidRPr="007357F7">
        <w:t xml:space="preserve">level </w:t>
      </w:r>
      <w:r w:rsidR="00893478" w:rsidRPr="007357F7">
        <w:t>at</w:t>
      </w:r>
      <w:r w:rsidR="0037424D" w:rsidRPr="007357F7">
        <w:t xml:space="preserve"> </w:t>
      </w:r>
      <w:r w:rsidR="00154748" w:rsidRPr="007357F7">
        <w:t>8 weeks of treatment was associated with normalisation of transaminase levels in the following year and a lower risk of liver-related death or transplantation</w:t>
      </w:r>
      <w:r w:rsidR="00893478" w:rsidRPr="007357F7">
        <w:t xml:space="preserve"> compared to </w:t>
      </w:r>
      <w:r w:rsidR="0037424D" w:rsidRPr="007357F7">
        <w:t>patients</w:t>
      </w:r>
      <w:r w:rsidR="000C5BA0" w:rsidRPr="007357F7">
        <w:t xml:space="preserve"> without </w:t>
      </w:r>
      <w:r w:rsidR="00893478" w:rsidRPr="007357F7">
        <w:t xml:space="preserve">a </w:t>
      </w:r>
      <w:r w:rsidR="000C5BA0" w:rsidRPr="007357F7">
        <w:t>rapid response</w:t>
      </w:r>
      <w:r w:rsidR="00A7184D" w:rsidRPr="007357F7">
        <w:t>.</w:t>
      </w:r>
      <w:r w:rsidR="00A7184D" w:rsidRPr="007357F7">
        <w:rPr>
          <w:vertAlign w:val="superscript"/>
        </w:rPr>
        <w:t>13</w:t>
      </w:r>
      <w:r w:rsidR="00154748" w:rsidRPr="007357F7">
        <w:t xml:space="preserve"> This suggests that earlier azathioprine introduction may be more favourable in improving long-term outcomes and this </w:t>
      </w:r>
      <w:r w:rsidR="00DB39C5" w:rsidRPr="007357F7">
        <w:t>warrants</w:t>
      </w:r>
      <w:r w:rsidR="00154748" w:rsidRPr="007357F7">
        <w:t xml:space="preserve"> </w:t>
      </w:r>
      <w:r w:rsidR="00B22F8A" w:rsidRPr="007357F7">
        <w:t>further</w:t>
      </w:r>
      <w:r w:rsidR="00DB39C5" w:rsidRPr="007357F7">
        <w:t xml:space="preserve"> investigation</w:t>
      </w:r>
      <w:r w:rsidR="00154748" w:rsidRPr="007357F7">
        <w:t xml:space="preserve">. </w:t>
      </w:r>
      <w:r w:rsidR="00204B23" w:rsidRPr="007357F7">
        <w:t>I</w:t>
      </w:r>
      <w:r w:rsidR="00DB39C5" w:rsidRPr="007357F7">
        <w:t xml:space="preserve">n addition, our data showed </w:t>
      </w:r>
      <w:r w:rsidR="00A45BC8" w:rsidRPr="007357F7">
        <w:t>azathioprine was introduced</w:t>
      </w:r>
      <w:r w:rsidR="00204B23" w:rsidRPr="007357F7">
        <w:t xml:space="preserve"> much earlier in recent decades</w:t>
      </w:r>
      <w:r w:rsidR="00692DA2" w:rsidRPr="007357F7">
        <w:t xml:space="preserve"> (80 weeks in 1970s compared to 10 weeks in 2010s)</w:t>
      </w:r>
      <w:r w:rsidR="00A45BC8" w:rsidRPr="007357F7">
        <w:t xml:space="preserve"> with </w:t>
      </w:r>
      <w:r w:rsidR="00893478" w:rsidRPr="007357F7">
        <w:t xml:space="preserve">an </w:t>
      </w:r>
      <w:r w:rsidR="00A45BC8" w:rsidRPr="007357F7">
        <w:t xml:space="preserve">increase in the proportion of patients achieving complete biochemical remission. </w:t>
      </w:r>
      <w:r w:rsidR="004A3BF4" w:rsidRPr="007357F7">
        <w:t>Pape et al.</w:t>
      </w:r>
      <w:r w:rsidR="00893478" w:rsidRPr="007357F7">
        <w:t xml:space="preserve"> also</w:t>
      </w:r>
      <w:r w:rsidR="00A80F89" w:rsidRPr="007357F7">
        <w:t xml:space="preserve"> </w:t>
      </w:r>
      <w:r w:rsidR="004A3BF4" w:rsidRPr="007357F7">
        <w:t xml:space="preserve">demonstrated that biochemical remission was </w:t>
      </w:r>
      <w:r w:rsidR="00A80F89" w:rsidRPr="007357F7">
        <w:t xml:space="preserve">equally </w:t>
      </w:r>
      <w:r w:rsidR="004A3BF4" w:rsidRPr="007357F7">
        <w:t>achieved at</w:t>
      </w:r>
      <w:r w:rsidR="00A80F89" w:rsidRPr="007357F7">
        <w:t xml:space="preserve"> 12 months </w:t>
      </w:r>
      <w:r w:rsidR="004A3BF4" w:rsidRPr="007357F7">
        <w:t xml:space="preserve">in </w:t>
      </w:r>
      <w:r w:rsidR="00A80F89" w:rsidRPr="007357F7">
        <w:t xml:space="preserve">the </w:t>
      </w:r>
      <w:r w:rsidR="004A3BF4" w:rsidRPr="007357F7">
        <w:t>early azathioprine group (within 2 weeks of corticosteroid induction) and the late group (after 2 weeks)</w:t>
      </w:r>
      <w:r w:rsidR="00336FB8" w:rsidRPr="007357F7">
        <w:t xml:space="preserve"> whilst the discontinuation of azathioprine in the first year of treatment was </w:t>
      </w:r>
      <w:r w:rsidR="00336FB8" w:rsidRPr="007357F7">
        <w:lastRenderedPageBreak/>
        <w:t xml:space="preserve">independent of azathioprine initiation </w:t>
      </w:r>
      <w:r w:rsidR="004F3AC3" w:rsidRPr="007357F7">
        <w:t>timing</w:t>
      </w:r>
      <w:r w:rsidR="00A7184D" w:rsidRPr="007357F7">
        <w:t>.</w:t>
      </w:r>
      <w:r w:rsidR="00A7184D" w:rsidRPr="007357F7">
        <w:rPr>
          <w:vertAlign w:val="superscript"/>
        </w:rPr>
        <w:t>14</w:t>
      </w:r>
      <w:r w:rsidR="00336FB8" w:rsidRPr="007357F7">
        <w:t xml:space="preserve"> </w:t>
      </w:r>
      <w:r w:rsidR="004A3BF4" w:rsidRPr="007357F7">
        <w:t>Although the strategy of delaying introduction of azathioprine in order to avoid hepatotoxicity in the early stages of the disease is described in the EASL guidelines, the evidence is limited</w:t>
      </w:r>
      <w:r w:rsidR="00A7184D" w:rsidRPr="007357F7">
        <w:t>.</w:t>
      </w:r>
      <w:r w:rsidR="00A7184D" w:rsidRPr="007357F7">
        <w:rPr>
          <w:vertAlign w:val="superscript"/>
        </w:rPr>
        <w:t>1</w:t>
      </w:r>
      <w:r w:rsidR="004A3BF4" w:rsidRPr="007357F7">
        <w:t xml:space="preserve"> </w:t>
      </w:r>
    </w:p>
    <w:p w14:paraId="57385BE1" w14:textId="77777777" w:rsidR="005F7CD1" w:rsidRPr="007357F7" w:rsidRDefault="005F7CD1" w:rsidP="001C7821">
      <w:pPr>
        <w:spacing w:after="160" w:line="480" w:lineRule="auto"/>
        <w:jc w:val="both"/>
      </w:pPr>
    </w:p>
    <w:p w14:paraId="18C8AAC8" w14:textId="23967E8A" w:rsidR="0037424D" w:rsidRPr="007357F7" w:rsidRDefault="0037424D" w:rsidP="001C7821">
      <w:pPr>
        <w:spacing w:after="160" w:line="480" w:lineRule="auto"/>
        <w:jc w:val="both"/>
        <w:rPr>
          <w:vertAlign w:val="superscript"/>
        </w:rPr>
      </w:pPr>
      <w:r w:rsidRPr="007357F7">
        <w:t>Our data</w:t>
      </w:r>
      <w:r w:rsidR="00E62EE4" w:rsidRPr="007357F7">
        <w:t xml:space="preserve"> showed</w:t>
      </w:r>
      <w:r w:rsidRPr="007357F7">
        <w:t xml:space="preserve"> the documented corticosteroid-related side effects</w:t>
      </w:r>
      <w:r w:rsidR="004A6AD5" w:rsidRPr="007357F7">
        <w:t xml:space="preserve"> was </w:t>
      </w:r>
      <w:r w:rsidRPr="007357F7">
        <w:t xml:space="preserve">not </w:t>
      </w:r>
      <w:r w:rsidR="004A6AD5" w:rsidRPr="007357F7">
        <w:t xml:space="preserve">significantly </w:t>
      </w:r>
      <w:r w:rsidRPr="007357F7">
        <w:t>differ</w:t>
      </w:r>
      <w:r w:rsidR="004A6AD5" w:rsidRPr="007357F7">
        <w:t>ent</w:t>
      </w:r>
      <w:r w:rsidRPr="007357F7">
        <w:t xml:space="preserve"> between the early versus late azathioprine initiation. </w:t>
      </w:r>
      <w:r w:rsidR="004A6AD5" w:rsidRPr="007357F7">
        <w:t xml:space="preserve">This may be expected given that the cumulative corticosteroid exposure between the 2 groups were not significantly different. </w:t>
      </w:r>
      <w:r w:rsidRPr="007357F7">
        <w:t xml:space="preserve">However, the likelihood of experiencing infections, visual disturbances, fatigue, deterioration of bone health and hyperglycaemia were higher in the late group compared to the early group (OR = &lt;1). Previous data demonstrated a lower rate </w:t>
      </w:r>
      <w:r w:rsidR="00510951" w:rsidRPr="007357F7">
        <w:t>of corticosteroid-related side effects in low corticosteroid dose group compared to the high-dose group (</w:t>
      </w:r>
      <w:r w:rsidRPr="007357F7">
        <w:t>18.8%</w:t>
      </w:r>
      <w:r w:rsidR="00510951" w:rsidRPr="007357F7">
        <w:t xml:space="preserve"> versus 21.3%, p value</w:t>
      </w:r>
      <w:r w:rsidR="003D4E09" w:rsidRPr="007357F7">
        <w:t xml:space="preserve"> = 0.56</w:t>
      </w:r>
      <w:r w:rsidR="00510951" w:rsidRPr="007357F7">
        <w:t xml:space="preserve">) </w:t>
      </w:r>
      <w:r w:rsidR="003D4E09" w:rsidRPr="007357F7">
        <w:t>(10</w:t>
      </w:r>
      <w:r w:rsidRPr="007357F7">
        <w:t>). The retrospective design of our study excluded a detailed assessment because not all adverse events were systematically documented. However, larger observational studies in rheumatoid arthritis clearly show a dose-dependent relationship between cumulative glucocorticoid dose and corticosteroid-related adverse events</w:t>
      </w:r>
      <w:r w:rsidR="00A7184D" w:rsidRPr="007357F7">
        <w:t>.</w:t>
      </w:r>
      <w:r w:rsidR="00A7184D" w:rsidRPr="007357F7">
        <w:rPr>
          <w:vertAlign w:val="superscript"/>
        </w:rPr>
        <w:t xml:space="preserve">15,16 </w:t>
      </w:r>
      <w:r w:rsidR="007E11FE" w:rsidRPr="007357F7">
        <w:rPr>
          <w:vertAlign w:val="superscript"/>
        </w:rPr>
        <w:t xml:space="preserve"> </w:t>
      </w:r>
      <w:r w:rsidRPr="007357F7">
        <w:t>This not only includes severe adverse events, such as cardiovascular mortality and cataract, but also self-reported adverse events, such as cushingoid appearance, sleep disturbance, mycosis, leg oedema, acne, weight gain and shortness of breath.</w:t>
      </w:r>
      <w:r w:rsidR="00A7184D" w:rsidRPr="007357F7">
        <w:rPr>
          <w:vertAlign w:val="superscript"/>
        </w:rPr>
        <w:t>15,16</w:t>
      </w:r>
      <w:r w:rsidRPr="007357F7">
        <w:t xml:space="preserve"> Although we did not confirm these results in our </w:t>
      </w:r>
      <w:r w:rsidR="004A6AD5" w:rsidRPr="007357F7">
        <w:t>study</w:t>
      </w:r>
      <w:r w:rsidRPr="007357F7">
        <w:t xml:space="preserve">, it is intuitive to maintain cumulative prednisolone dosage as low as possible to minimise the risk of corticosteroid-related adverse events. Van Den Brand et al. highlighted </w:t>
      </w:r>
      <w:r w:rsidR="004A6AD5" w:rsidRPr="007357F7">
        <w:t xml:space="preserve">that </w:t>
      </w:r>
      <w:r w:rsidRPr="007357F7">
        <w:t>even low dose prednisolone (0.1-</w:t>
      </w:r>
      <w:r w:rsidR="0031199C" w:rsidRPr="007357F7">
        <w:t>0.</w:t>
      </w:r>
      <w:r w:rsidRPr="007357F7">
        <w:t xml:space="preserve">5mg/day) in the long term maintenance treatment of AIH </w:t>
      </w:r>
      <w:r w:rsidR="004A6AD5" w:rsidRPr="007357F7">
        <w:t xml:space="preserve">can </w:t>
      </w:r>
      <w:r w:rsidRPr="007357F7">
        <w:t>result</w:t>
      </w:r>
      <w:r w:rsidR="004A6AD5" w:rsidRPr="007357F7">
        <w:t xml:space="preserve"> in adverse events, with 25% experiencing </w:t>
      </w:r>
      <w:r w:rsidR="0041036B" w:rsidRPr="007357F7">
        <w:t>cortico</w:t>
      </w:r>
      <w:r w:rsidRPr="007357F7">
        <w:t>steroid related adverse events</w:t>
      </w:r>
      <w:r w:rsidR="00A7184D" w:rsidRPr="007357F7">
        <w:t>.</w:t>
      </w:r>
      <w:r w:rsidR="00A7184D" w:rsidRPr="007357F7">
        <w:rPr>
          <w:vertAlign w:val="superscript"/>
        </w:rPr>
        <w:t>6</w:t>
      </w:r>
    </w:p>
    <w:p w14:paraId="476707C4" w14:textId="2957A87D" w:rsidR="00183817" w:rsidRPr="007357F7" w:rsidRDefault="00183817" w:rsidP="001C7821">
      <w:pPr>
        <w:spacing w:after="160" w:line="480" w:lineRule="auto"/>
        <w:jc w:val="both"/>
      </w:pPr>
    </w:p>
    <w:p w14:paraId="6159B770" w14:textId="5F8141D5" w:rsidR="00183817" w:rsidRPr="007357F7" w:rsidRDefault="00183817" w:rsidP="001C7821">
      <w:pPr>
        <w:spacing w:after="160" w:line="480" w:lineRule="auto"/>
        <w:jc w:val="both"/>
      </w:pPr>
      <w:r w:rsidRPr="007357F7">
        <w:lastRenderedPageBreak/>
        <w:t xml:space="preserve">Interestingly, there was a statistically significant reduction in cumulative prednisolone exposure </w:t>
      </w:r>
      <w:r w:rsidR="006678BC" w:rsidRPr="007357F7">
        <w:t xml:space="preserve">and the maintenance prednisolone dose in mg/kg/day </w:t>
      </w:r>
      <w:r w:rsidRPr="007357F7">
        <w:t xml:space="preserve">from 6 months onwards as decades progressed from 1970 to 2020 (p &lt; 0.001). </w:t>
      </w:r>
      <w:r w:rsidR="00EC72C3" w:rsidRPr="007357F7">
        <w:t xml:space="preserve"> </w:t>
      </w:r>
      <w:r w:rsidRPr="007357F7">
        <w:t>However, the induction corticosteroid dose increased in more recent years, which is likely based on</w:t>
      </w:r>
      <w:r w:rsidR="006678BC" w:rsidRPr="007357F7">
        <w:t xml:space="preserve"> current</w:t>
      </w:r>
      <w:r w:rsidRPr="007357F7">
        <w:t xml:space="preserve"> guidelines</w:t>
      </w:r>
      <w:r w:rsidR="00A7184D" w:rsidRPr="007357F7">
        <w:t>.</w:t>
      </w:r>
      <w:r w:rsidR="00A7184D" w:rsidRPr="007357F7">
        <w:rPr>
          <w:vertAlign w:val="superscript"/>
        </w:rPr>
        <w:t>1</w:t>
      </w:r>
      <w:r w:rsidR="007E11FE" w:rsidRPr="007357F7">
        <w:rPr>
          <w:vertAlign w:val="superscript"/>
        </w:rPr>
        <w:t xml:space="preserve"> </w:t>
      </w:r>
      <w:r w:rsidR="00A7184D" w:rsidRPr="007357F7">
        <w:rPr>
          <w:vertAlign w:val="superscript"/>
        </w:rPr>
        <w:t xml:space="preserve"> </w:t>
      </w:r>
      <w:r w:rsidRPr="007357F7">
        <w:t>The initial starting dose of prednisolone in the 1970s was 0.33mg/kg/day</w:t>
      </w:r>
      <w:r w:rsidR="006678BC" w:rsidRPr="007357F7">
        <w:t xml:space="preserve"> which was</w:t>
      </w:r>
      <w:r w:rsidR="00DB39C5" w:rsidRPr="007357F7">
        <w:t xml:space="preserve"> in keeping with a</w:t>
      </w:r>
      <w:r w:rsidRPr="007357F7">
        <w:t xml:space="preserve"> prospective trial</w:t>
      </w:r>
      <w:r w:rsidR="00DB39C5" w:rsidRPr="007357F7">
        <w:t>, conducted at the Royal Free Hospital in London, that used</w:t>
      </w:r>
      <w:r w:rsidRPr="007357F7">
        <w:t xml:space="preserve"> 15mg of prednisolone per day</w:t>
      </w:r>
      <w:r w:rsidR="00A7184D" w:rsidRPr="007357F7">
        <w:t>.</w:t>
      </w:r>
      <w:r w:rsidR="00A7184D" w:rsidRPr="007357F7">
        <w:rPr>
          <w:vertAlign w:val="superscript"/>
        </w:rPr>
        <w:t xml:space="preserve">17 </w:t>
      </w:r>
      <w:r w:rsidRPr="007357F7">
        <w:t xml:space="preserve"> Data derived from the Mayo clinic published in 1975 concluded a higher induction dose of </w:t>
      </w:r>
      <w:proofErr w:type="spellStart"/>
      <w:r w:rsidRPr="007357F7">
        <w:t>predniso</w:t>
      </w:r>
      <w:proofErr w:type="spellEnd"/>
      <w:r w:rsidRPr="007357F7">
        <w:t xml:space="preserve">(lo)ne at 30mg per day in combination with azathioprine controlled disease activity better. This practice is reflected in our data whereby </w:t>
      </w:r>
      <w:r w:rsidR="00955FA2" w:rsidRPr="007357F7">
        <w:t xml:space="preserve">the </w:t>
      </w:r>
      <w:r w:rsidRPr="007357F7">
        <w:t>initial dose of prednisolone in the 1980s increased to 0.42mg/kg/day.</w:t>
      </w:r>
      <w:r w:rsidR="00A7184D" w:rsidRPr="007357F7">
        <w:rPr>
          <w:vertAlign w:val="superscript"/>
        </w:rPr>
        <w:t>18</w:t>
      </w:r>
      <w:r w:rsidRPr="007357F7">
        <w:t xml:space="preserve"> The European guidelines published in 2015 recommend 0.5 – 1mg/kg </w:t>
      </w:r>
      <w:proofErr w:type="spellStart"/>
      <w:r w:rsidRPr="007357F7">
        <w:t>predniso</w:t>
      </w:r>
      <w:proofErr w:type="spellEnd"/>
      <w:r w:rsidRPr="007357F7">
        <w:t>(lo)ne at induction. This is demonstrated in our cohort as between 20</w:t>
      </w:r>
      <w:r w:rsidR="003E7152" w:rsidRPr="007357F7">
        <w:t>1</w:t>
      </w:r>
      <w:r w:rsidRPr="007357F7">
        <w:t>0-2020, the median induction dose of prednisolone was 0.48mg/kg/day.</w:t>
      </w:r>
      <w:r w:rsidR="00A7184D" w:rsidRPr="007357F7">
        <w:rPr>
          <w:vertAlign w:val="superscript"/>
        </w:rPr>
        <w:t>1</w:t>
      </w:r>
      <w:r w:rsidR="00EF2118" w:rsidRPr="007357F7">
        <w:t xml:space="preserve"> Importantly, i</w:t>
      </w:r>
      <w:r w:rsidRPr="007357F7">
        <w:t xml:space="preserve">n more recent years, </w:t>
      </w:r>
      <w:r w:rsidR="00EF2118" w:rsidRPr="007357F7">
        <w:t xml:space="preserve">the </w:t>
      </w:r>
      <w:r w:rsidR="002537C7" w:rsidRPr="007357F7">
        <w:t>c</w:t>
      </w:r>
      <w:r w:rsidRPr="007357F7">
        <w:t xml:space="preserve">orticosteroid </w:t>
      </w:r>
      <w:r w:rsidR="002537C7" w:rsidRPr="007357F7">
        <w:t>dose was weaned more rapidly</w:t>
      </w:r>
      <w:r w:rsidRPr="007357F7">
        <w:t xml:space="preserve"> resulting in a lower 5 year cumulative prednisolone burden</w:t>
      </w:r>
      <w:r w:rsidR="003036A4" w:rsidRPr="007357F7">
        <w:t xml:space="preserve">. </w:t>
      </w:r>
    </w:p>
    <w:p w14:paraId="556E06B2" w14:textId="77777777" w:rsidR="00EF1261" w:rsidRPr="007357F7" w:rsidRDefault="00EF1261" w:rsidP="001C7821">
      <w:pPr>
        <w:spacing w:after="160" w:line="480" w:lineRule="auto"/>
        <w:jc w:val="both"/>
      </w:pPr>
    </w:p>
    <w:p w14:paraId="7F7A160D" w14:textId="77A2A41B" w:rsidR="00692DA2" w:rsidRPr="007357F7" w:rsidRDefault="00204B23" w:rsidP="001C7821">
      <w:pPr>
        <w:spacing w:after="160" w:line="480" w:lineRule="auto"/>
        <w:jc w:val="both"/>
      </w:pPr>
      <w:r w:rsidRPr="007357F7">
        <w:t xml:space="preserve">In this </w:t>
      </w:r>
      <w:r w:rsidR="00F94906" w:rsidRPr="007357F7">
        <w:t>report</w:t>
      </w:r>
      <w:r w:rsidR="001F16A2" w:rsidRPr="007357F7">
        <w:t xml:space="preserve">, </w:t>
      </w:r>
      <w:r w:rsidR="00BB679A" w:rsidRPr="007357F7">
        <w:t>the med</w:t>
      </w:r>
      <w:r w:rsidR="00490E98" w:rsidRPr="007357F7">
        <w:t>ian dose of azathioprine was 0.9 mg/kg/day</w:t>
      </w:r>
      <w:r w:rsidR="009C147D" w:rsidRPr="007357F7">
        <w:t xml:space="preserve"> across the </w:t>
      </w:r>
      <w:r w:rsidR="007A0814" w:rsidRPr="007357F7">
        <w:t>wh</w:t>
      </w:r>
      <w:r w:rsidR="009C147D" w:rsidRPr="007357F7">
        <w:t>ole cohort</w:t>
      </w:r>
      <w:r w:rsidR="00692DA2" w:rsidRPr="007357F7">
        <w:t xml:space="preserve">. </w:t>
      </w:r>
      <w:r w:rsidR="00F94906" w:rsidRPr="007357F7">
        <w:t>European and American</w:t>
      </w:r>
      <w:r w:rsidRPr="007357F7">
        <w:t xml:space="preserve"> clinical practice guidelines</w:t>
      </w:r>
      <w:r w:rsidR="00BB679A" w:rsidRPr="007357F7">
        <w:t xml:space="preserve"> recommend a maintenance dose of azathioprine betwe</w:t>
      </w:r>
      <w:r w:rsidR="00BC236E" w:rsidRPr="007357F7">
        <w:t>en 1-2mg/kg/day</w:t>
      </w:r>
      <w:r w:rsidR="00BB679A" w:rsidRPr="007357F7">
        <w:t>.</w:t>
      </w:r>
      <w:r w:rsidR="00A7184D" w:rsidRPr="007357F7">
        <w:rPr>
          <w:vertAlign w:val="superscript"/>
        </w:rPr>
        <w:t>1,4</w:t>
      </w:r>
      <w:r w:rsidR="00BB679A" w:rsidRPr="007357F7">
        <w:t xml:space="preserve"> </w:t>
      </w:r>
      <w:r w:rsidR="00F12653" w:rsidRPr="007357F7">
        <w:t>In 1995, Johnson et al</w:t>
      </w:r>
      <w:r w:rsidR="0037424D" w:rsidRPr="007357F7">
        <w:t>.</w:t>
      </w:r>
      <w:r w:rsidR="00F94906" w:rsidRPr="007357F7">
        <w:t xml:space="preserve">, demonstrated that </w:t>
      </w:r>
      <w:r w:rsidR="007A0814" w:rsidRPr="007357F7">
        <w:t xml:space="preserve">patients </w:t>
      </w:r>
      <w:r w:rsidR="00F12653" w:rsidRPr="007357F7">
        <w:t xml:space="preserve">in </w:t>
      </w:r>
      <w:r w:rsidR="007A0814" w:rsidRPr="007357F7">
        <w:t xml:space="preserve">biochemical </w:t>
      </w:r>
      <w:r w:rsidR="00F12653" w:rsidRPr="007357F7">
        <w:t>remission for at least one year with p</w:t>
      </w:r>
      <w:r w:rsidR="00F94906" w:rsidRPr="007357F7">
        <w:t>rednisolone and azathioprine could</w:t>
      </w:r>
      <w:r w:rsidR="00F12653" w:rsidRPr="007357F7">
        <w:t xml:space="preserve"> main</w:t>
      </w:r>
      <w:r w:rsidR="007A0814" w:rsidRPr="007357F7">
        <w:t>tain</w:t>
      </w:r>
      <w:r w:rsidR="00F12653" w:rsidRPr="007357F7">
        <w:t xml:space="preserve"> remission with a higher dose of</w:t>
      </w:r>
      <w:r w:rsidR="007A0814" w:rsidRPr="007357F7">
        <w:t xml:space="preserve"> azathioprine monotherapy at</w:t>
      </w:r>
      <w:r w:rsidR="00F12653" w:rsidRPr="007357F7">
        <w:t xml:space="preserve"> 2mg/kg</w:t>
      </w:r>
      <w:r w:rsidR="00747E1C" w:rsidRPr="007357F7">
        <w:t>/day</w:t>
      </w:r>
      <w:r w:rsidR="00A7184D" w:rsidRPr="007357F7">
        <w:t>.</w:t>
      </w:r>
      <w:r w:rsidR="00A7184D" w:rsidRPr="007357F7">
        <w:rPr>
          <w:vertAlign w:val="superscript"/>
        </w:rPr>
        <w:t>2</w:t>
      </w:r>
      <w:r w:rsidR="003036A4" w:rsidRPr="007357F7">
        <w:t xml:space="preserve"> </w:t>
      </w:r>
      <w:r w:rsidR="00EC72C3" w:rsidRPr="007357F7">
        <w:t xml:space="preserve">As pioneers of azathioprine use, our centre has historically monitored patients on a weekly basis in the first months of treatment to promote fast reduction in steroid use and early introduction of azathioprine. </w:t>
      </w:r>
      <w:r w:rsidR="00E0592E" w:rsidRPr="007357F7">
        <w:t>Although clinicians have learned how to use azathioprine over time, a</w:t>
      </w:r>
      <w:r w:rsidR="00BB679A" w:rsidRPr="007357F7">
        <w:t xml:space="preserve"> recent survey amongst expert hepatologists showed that azathioprine </w:t>
      </w:r>
      <w:r w:rsidR="00117A69" w:rsidRPr="007357F7">
        <w:t>dosing is</w:t>
      </w:r>
      <w:r w:rsidR="000C5BA0" w:rsidRPr="007357F7">
        <w:t xml:space="preserve"> not often optimised</w:t>
      </w:r>
      <w:r w:rsidR="00BB679A" w:rsidRPr="007357F7">
        <w:t>.</w:t>
      </w:r>
      <w:r w:rsidR="00A7184D" w:rsidRPr="007357F7">
        <w:rPr>
          <w:vertAlign w:val="superscript"/>
        </w:rPr>
        <w:t>19</w:t>
      </w:r>
      <w:r w:rsidR="00AA1D80" w:rsidRPr="007357F7">
        <w:t xml:space="preserve"> </w:t>
      </w:r>
      <w:r w:rsidR="00BB679A" w:rsidRPr="007357F7">
        <w:t xml:space="preserve"> Genetic polymorphisms in the metabolism of azathioprine lead to variation in levels of </w:t>
      </w:r>
      <w:r w:rsidR="00BB679A" w:rsidRPr="007357F7">
        <w:lastRenderedPageBreak/>
        <w:t>metabolit</w:t>
      </w:r>
      <w:r w:rsidR="00747E1C" w:rsidRPr="007357F7">
        <w:t xml:space="preserve">es </w:t>
      </w:r>
      <w:r w:rsidR="001F16A2" w:rsidRPr="007357F7">
        <w:t>which are</w:t>
      </w:r>
      <w:r w:rsidR="00BB679A" w:rsidRPr="007357F7">
        <w:t xml:space="preserve"> associated with adverse drug reactions. </w:t>
      </w:r>
      <w:r w:rsidR="008C0023" w:rsidRPr="007357F7">
        <w:t xml:space="preserve">AIH patients with insufficient response to azathioprine can </w:t>
      </w:r>
      <w:r w:rsidR="009A1015" w:rsidRPr="007357F7">
        <w:t>be optimised</w:t>
      </w:r>
      <w:r w:rsidR="008C0023" w:rsidRPr="007357F7">
        <w:t xml:space="preserve"> through</w:t>
      </w:r>
      <w:r w:rsidR="000C5BA0" w:rsidRPr="007357F7">
        <w:t xml:space="preserve"> measuring metabolite levels </w:t>
      </w:r>
      <w:r w:rsidR="00747E1C" w:rsidRPr="007357F7">
        <w:t>and with the addition of allopurino</w:t>
      </w:r>
      <w:r w:rsidR="00863E54" w:rsidRPr="007357F7">
        <w:t>l.</w:t>
      </w:r>
      <w:r w:rsidR="00863E54" w:rsidRPr="007357F7">
        <w:rPr>
          <w:vertAlign w:val="superscript"/>
        </w:rPr>
        <w:t xml:space="preserve">20,21,22,23,24 </w:t>
      </w:r>
      <w:r w:rsidR="00827C3A" w:rsidRPr="007357F7">
        <w:t>Azathioprine metabolite testing has been routinely but not systematically, measured since 2007 in this centre</w:t>
      </w:r>
      <w:r w:rsidR="00196EDD" w:rsidRPr="007357F7">
        <w:t>.</w:t>
      </w:r>
      <w:r w:rsidR="00827C3A" w:rsidRPr="007357F7">
        <w:t xml:space="preserve"> </w:t>
      </w:r>
      <w:r w:rsidR="008C0023" w:rsidRPr="007357F7">
        <w:t xml:space="preserve">Thiopurine metabolite testing in AIH demonstrated the average dose of azathioprine for patients in remission </w:t>
      </w:r>
      <w:r w:rsidR="000C5BA0" w:rsidRPr="007357F7">
        <w:t>at 6 months was 1.2mg/kg/day</w:t>
      </w:r>
      <w:r w:rsidR="008C0023" w:rsidRPr="007357F7">
        <w:t>.</w:t>
      </w:r>
      <w:r w:rsidR="00863E54" w:rsidRPr="007357F7">
        <w:rPr>
          <w:vertAlign w:val="superscript"/>
        </w:rPr>
        <w:t>22</w:t>
      </w:r>
      <w:r w:rsidR="008C0023" w:rsidRPr="007357F7">
        <w:t xml:space="preserve"> </w:t>
      </w:r>
      <w:r w:rsidR="00592245" w:rsidRPr="007357F7">
        <w:t>M</w:t>
      </w:r>
      <w:r w:rsidR="008C0023" w:rsidRPr="007357F7">
        <w:t xml:space="preserve">etabolite testing </w:t>
      </w:r>
      <w:r w:rsidR="00592245" w:rsidRPr="007357F7">
        <w:t xml:space="preserve">was associated with increased rate of </w:t>
      </w:r>
      <w:r w:rsidR="008C0023" w:rsidRPr="007357F7">
        <w:t xml:space="preserve">biochemical remission at 6 months and </w:t>
      </w:r>
      <w:r w:rsidR="00592245" w:rsidRPr="007357F7">
        <w:t>therefore reduc</w:t>
      </w:r>
      <w:r w:rsidR="00747E1C" w:rsidRPr="007357F7">
        <w:t xml:space="preserve">tion in </w:t>
      </w:r>
      <w:r w:rsidR="00592245" w:rsidRPr="007357F7">
        <w:t>c</w:t>
      </w:r>
      <w:r w:rsidR="000C5BA0" w:rsidRPr="007357F7">
        <w:t>orticosteroids</w:t>
      </w:r>
      <w:r w:rsidR="00037E60" w:rsidRPr="007357F7">
        <w:t xml:space="preserve"> dose</w:t>
      </w:r>
      <w:r w:rsidR="00863E54" w:rsidRPr="007357F7">
        <w:t>.</w:t>
      </w:r>
      <w:r w:rsidR="00863E54" w:rsidRPr="007357F7">
        <w:rPr>
          <w:vertAlign w:val="superscript"/>
        </w:rPr>
        <w:t>22</w:t>
      </w:r>
      <w:r w:rsidR="008C0023" w:rsidRPr="007357F7">
        <w:t xml:space="preserve"> Metabolite te</w:t>
      </w:r>
      <w:r w:rsidR="00037E60" w:rsidRPr="007357F7">
        <w:t xml:space="preserve">sting in the failure to achieve or </w:t>
      </w:r>
      <w:r w:rsidR="008C0023" w:rsidRPr="007357F7">
        <w:t>loss of biochemical remission group resulted in dose e</w:t>
      </w:r>
      <w:r w:rsidR="000C5BA0" w:rsidRPr="007357F7">
        <w:t>scalation in 26% of patients</w:t>
      </w:r>
      <w:r w:rsidR="00863E54" w:rsidRPr="007357F7">
        <w:t>.</w:t>
      </w:r>
      <w:r w:rsidR="00863E54" w:rsidRPr="007357F7">
        <w:rPr>
          <w:vertAlign w:val="superscript"/>
        </w:rPr>
        <w:t>22</w:t>
      </w:r>
      <w:r w:rsidR="008C0023" w:rsidRPr="007357F7">
        <w:t xml:space="preserve"> This suggests individualised azathioprine dosing with metabolite monitoring </w:t>
      </w:r>
      <w:r w:rsidR="00F94906" w:rsidRPr="007357F7">
        <w:t>may also be a key strategy in the</w:t>
      </w:r>
      <w:r w:rsidR="008C0023" w:rsidRPr="007357F7">
        <w:t xml:space="preserve"> optimisation of thiopurine therapy</w:t>
      </w:r>
      <w:r w:rsidR="00863E54" w:rsidRPr="007357F7">
        <w:t xml:space="preserve">. </w:t>
      </w:r>
    </w:p>
    <w:p w14:paraId="2FFE5F2F" w14:textId="77777777" w:rsidR="001A4593" w:rsidRPr="007357F7" w:rsidRDefault="001A4593" w:rsidP="001C7821">
      <w:pPr>
        <w:spacing w:after="160" w:line="480" w:lineRule="auto"/>
        <w:jc w:val="both"/>
        <w:rPr>
          <w:b/>
        </w:rPr>
      </w:pPr>
    </w:p>
    <w:p w14:paraId="5F66C298" w14:textId="2AD45A67" w:rsidR="00BB679A" w:rsidRPr="007357F7" w:rsidRDefault="00BB679A" w:rsidP="001C7821">
      <w:pPr>
        <w:spacing w:after="160" w:line="480" w:lineRule="auto"/>
        <w:jc w:val="both"/>
      </w:pPr>
      <w:r w:rsidRPr="007357F7">
        <w:t>This study has some inherent limitations. The retrospective</w:t>
      </w:r>
      <w:r w:rsidR="00DB39C5" w:rsidRPr="007357F7">
        <w:t xml:space="preserve"> observational</w:t>
      </w:r>
      <w:r w:rsidRPr="007357F7">
        <w:t xml:space="preserve"> design of the study </w:t>
      </w:r>
      <w:r w:rsidR="00DB39C5" w:rsidRPr="007357F7">
        <w:t>has considerable</w:t>
      </w:r>
      <w:r w:rsidRPr="007357F7">
        <w:t xml:space="preserve"> bias,</w:t>
      </w:r>
      <w:r w:rsidR="00DB39C5" w:rsidRPr="007357F7">
        <w:t xml:space="preserve"> especially selection,</w:t>
      </w:r>
      <w:r w:rsidRPr="007357F7">
        <w:t xml:space="preserve"> as only patients with </w:t>
      </w:r>
      <w:r w:rsidR="007A3C60" w:rsidRPr="007357F7">
        <w:t xml:space="preserve">complete data were included. </w:t>
      </w:r>
      <w:r w:rsidR="000C7311" w:rsidRPr="007357F7">
        <w:t xml:space="preserve">In addition, as a large referral centre, </w:t>
      </w:r>
      <w:r w:rsidR="008040A1" w:rsidRPr="007357F7">
        <w:t>patients are often diagnosed at less experienced centres before referral to us</w:t>
      </w:r>
      <w:r w:rsidR="000C7311" w:rsidRPr="007357F7">
        <w:t xml:space="preserve"> and this can explain why 28% of patient</w:t>
      </w:r>
      <w:r w:rsidR="008040A1" w:rsidRPr="007357F7">
        <w:t>s</w:t>
      </w:r>
      <w:r w:rsidR="000C7311" w:rsidRPr="007357F7">
        <w:t xml:space="preserve"> commenced azathioprine 2 years after diagnosis. </w:t>
      </w:r>
      <w:r w:rsidR="007A3C60" w:rsidRPr="007357F7">
        <w:t xml:space="preserve">Despite this, there is a consistency in the data with multiple </w:t>
      </w:r>
      <w:r w:rsidR="00F83551" w:rsidRPr="007357F7">
        <w:t>generations of clinicians managing</w:t>
      </w:r>
      <w:r w:rsidR="007A3C60" w:rsidRPr="007357F7">
        <w:t xml:space="preserve"> patients over several decades</w:t>
      </w:r>
      <w:r w:rsidRPr="007357F7">
        <w:t xml:space="preserve">. </w:t>
      </w:r>
      <w:r w:rsidR="00F83551" w:rsidRPr="007357F7">
        <w:t>W</w:t>
      </w:r>
      <w:r w:rsidRPr="007357F7">
        <w:t>e focused</w:t>
      </w:r>
      <w:r w:rsidR="007A3C60" w:rsidRPr="007357F7">
        <w:t xml:space="preserve"> in this series</w:t>
      </w:r>
      <w:r w:rsidRPr="007357F7">
        <w:t xml:space="preserve"> on patients treated </w:t>
      </w:r>
      <w:r w:rsidR="007A3C60" w:rsidRPr="007357F7">
        <w:t>with</w:t>
      </w:r>
      <w:r w:rsidRPr="007357F7">
        <w:t xml:space="preserve"> index presentation</w:t>
      </w:r>
      <w:r w:rsidR="007A3C60" w:rsidRPr="007357F7">
        <w:t>s</w:t>
      </w:r>
      <w:r w:rsidRPr="007357F7">
        <w:t xml:space="preserve"> at KCH to </w:t>
      </w:r>
      <w:r w:rsidR="007A3C60" w:rsidRPr="007357F7">
        <w:t>ensure complete</w:t>
      </w:r>
      <w:r w:rsidRPr="007357F7">
        <w:t xml:space="preserve"> data. In order to increase our sample size, a multicentre approach could be undertaken.  </w:t>
      </w:r>
      <w:r w:rsidR="00F83551" w:rsidRPr="007357F7">
        <w:t>In</w:t>
      </w:r>
      <w:r w:rsidR="00EF6E56" w:rsidRPr="007357F7">
        <w:t xml:space="preserve"> this study, we did not evaluate</w:t>
      </w:r>
      <w:r w:rsidRPr="007357F7">
        <w:t xml:space="preserve"> </w:t>
      </w:r>
      <w:r w:rsidR="00F12653" w:rsidRPr="007357F7">
        <w:t>long-term</w:t>
      </w:r>
      <w:r w:rsidRPr="007357F7">
        <w:t xml:space="preserve"> outcomes in our patients such as time to liver transplantation, liver related mortality and morbidity</w:t>
      </w:r>
      <w:r w:rsidR="00EF6E56" w:rsidRPr="007357F7">
        <w:t xml:space="preserve"> sin</w:t>
      </w:r>
      <w:r w:rsidR="008C0023" w:rsidRPr="007357F7">
        <w:t>ce our focus was</w:t>
      </w:r>
      <w:r w:rsidR="007A3C60" w:rsidRPr="007357F7">
        <w:t xml:space="preserve"> </w:t>
      </w:r>
      <w:r w:rsidR="00622684" w:rsidRPr="007357F7">
        <w:t>exclusively</w:t>
      </w:r>
      <w:r w:rsidR="008C0023" w:rsidRPr="007357F7">
        <w:t xml:space="preserve"> on early outcomes</w:t>
      </w:r>
      <w:r w:rsidRPr="007357F7">
        <w:t xml:space="preserve">. This </w:t>
      </w:r>
      <w:r w:rsidR="00622684" w:rsidRPr="007357F7">
        <w:t>could</w:t>
      </w:r>
      <w:r w:rsidRPr="007357F7">
        <w:t xml:space="preserve"> be further investigated to establish if azathioprine timing determines long-term outcome</w:t>
      </w:r>
      <w:r w:rsidR="008C0023" w:rsidRPr="007357F7">
        <w:t xml:space="preserve">s. </w:t>
      </w:r>
    </w:p>
    <w:p w14:paraId="470C9EE4" w14:textId="77777777" w:rsidR="008C0023" w:rsidRPr="007357F7" w:rsidRDefault="008C0023" w:rsidP="001C7821">
      <w:pPr>
        <w:spacing w:after="160" w:line="480" w:lineRule="auto"/>
        <w:jc w:val="both"/>
      </w:pPr>
    </w:p>
    <w:p w14:paraId="1CE65BA5" w14:textId="6E30645E" w:rsidR="003A7BF1" w:rsidRPr="001C7821" w:rsidRDefault="00CF3A44" w:rsidP="001C7821">
      <w:pPr>
        <w:spacing w:after="160" w:line="480" w:lineRule="auto"/>
        <w:jc w:val="both"/>
      </w:pPr>
      <w:r w:rsidRPr="007357F7">
        <w:lastRenderedPageBreak/>
        <w:t>To conclude</w:t>
      </w:r>
      <w:r w:rsidR="008C0023" w:rsidRPr="007357F7">
        <w:t xml:space="preserve">, earlier introduction of azathioprine </w:t>
      </w:r>
      <w:r w:rsidR="00AE5464" w:rsidRPr="007357F7">
        <w:t xml:space="preserve">in </w:t>
      </w:r>
      <w:r w:rsidR="008C0023" w:rsidRPr="007357F7">
        <w:t>AIH did not reduce the</w:t>
      </w:r>
      <w:r w:rsidR="00622684" w:rsidRPr="007357F7">
        <w:t xml:space="preserve"> cumulative </w:t>
      </w:r>
      <w:r w:rsidR="00AE5464" w:rsidRPr="007357F7">
        <w:t xml:space="preserve">prednisolone </w:t>
      </w:r>
      <w:r w:rsidR="00F83551" w:rsidRPr="007357F7">
        <w:t>exposure</w:t>
      </w:r>
      <w:r w:rsidR="00622684" w:rsidRPr="007357F7">
        <w:t xml:space="preserve"> </w:t>
      </w:r>
      <w:r w:rsidR="00F83551" w:rsidRPr="007357F7">
        <w:t>over a 5-year follow up</w:t>
      </w:r>
      <w:r w:rsidR="00AE5464" w:rsidRPr="007357F7">
        <w:t>,</w:t>
      </w:r>
      <w:r w:rsidR="00F83551" w:rsidRPr="007357F7">
        <w:t xml:space="preserve"> however</w:t>
      </w:r>
      <w:r w:rsidR="00AE5464" w:rsidRPr="007357F7">
        <w:t>,</w:t>
      </w:r>
      <w:r w:rsidR="008C0023" w:rsidRPr="007357F7">
        <w:t xml:space="preserve"> there was </w:t>
      </w:r>
      <w:r w:rsidR="008A38B4" w:rsidRPr="007357F7">
        <w:t>initially a</w:t>
      </w:r>
      <w:r w:rsidR="008C0023" w:rsidRPr="007357F7">
        <w:t xml:space="preserve"> faster rate of normalisation in transaminases. </w:t>
      </w:r>
      <w:r w:rsidR="00AE5464" w:rsidRPr="007357F7">
        <w:t>I</w:t>
      </w:r>
      <w:r w:rsidR="00F83551" w:rsidRPr="007357F7">
        <w:t>n more recent decades</w:t>
      </w:r>
      <w:r w:rsidR="003A7BF1" w:rsidRPr="007357F7">
        <w:t>, prednisolone</w:t>
      </w:r>
      <w:r w:rsidR="00980385" w:rsidRPr="007357F7">
        <w:t xml:space="preserve"> </w:t>
      </w:r>
      <w:r w:rsidR="0009656C" w:rsidRPr="007357F7">
        <w:t>was</w:t>
      </w:r>
      <w:r w:rsidR="003A7BF1" w:rsidRPr="007357F7">
        <w:t xml:space="preserve"> weaned at a </w:t>
      </w:r>
      <w:r w:rsidR="00AE5464" w:rsidRPr="007357F7">
        <w:t xml:space="preserve">faster </w:t>
      </w:r>
      <w:r w:rsidR="003539FE" w:rsidRPr="007357F7">
        <w:t>rate</w:t>
      </w:r>
      <w:r w:rsidR="00AE5464" w:rsidRPr="007357F7">
        <w:t xml:space="preserve"> </w:t>
      </w:r>
      <w:r w:rsidR="002B5F6A" w:rsidRPr="007357F7">
        <w:t xml:space="preserve">which </w:t>
      </w:r>
      <w:r w:rsidR="00AE5464" w:rsidRPr="007357F7">
        <w:t>r</w:t>
      </w:r>
      <w:r w:rsidR="00F83551" w:rsidRPr="007357F7">
        <w:t>educ</w:t>
      </w:r>
      <w:r w:rsidR="00943151" w:rsidRPr="007357F7">
        <w:t xml:space="preserve">ed </w:t>
      </w:r>
      <w:r w:rsidR="00AE5464" w:rsidRPr="007357F7">
        <w:t>the corticosteroid exposure without</w:t>
      </w:r>
      <w:r w:rsidR="003539FE" w:rsidRPr="007357F7">
        <w:t xml:space="preserve"> negatively impacting biochemical remission.</w:t>
      </w:r>
      <w:r w:rsidR="00B84A06" w:rsidRPr="007357F7">
        <w:t xml:space="preserve"> With limited treatment options</w:t>
      </w:r>
      <w:r w:rsidR="00FB615D" w:rsidRPr="007357F7">
        <w:t xml:space="preserve"> for the management of AIH</w:t>
      </w:r>
      <w:r w:rsidR="00B84A06" w:rsidRPr="007357F7">
        <w:t>, adhering to</w:t>
      </w:r>
      <w:r w:rsidR="00AE5464" w:rsidRPr="007357F7">
        <w:t xml:space="preserve"> </w:t>
      </w:r>
      <w:r w:rsidRPr="007357F7">
        <w:t>earlier introduction of azathioprine</w:t>
      </w:r>
      <w:r w:rsidR="00B84A06" w:rsidRPr="007357F7">
        <w:t xml:space="preserve"> coupled</w:t>
      </w:r>
      <w:r w:rsidRPr="007357F7">
        <w:t xml:space="preserve"> with pro</w:t>
      </w:r>
      <w:r w:rsidR="00FB615D" w:rsidRPr="007357F7">
        <w:t>mpt reduction in corticosteroid</w:t>
      </w:r>
      <w:r w:rsidR="002B5F6A" w:rsidRPr="007357F7">
        <w:t xml:space="preserve"> </w:t>
      </w:r>
      <w:r w:rsidR="00FB615D" w:rsidRPr="007357F7">
        <w:t>provides vital</w:t>
      </w:r>
      <w:r w:rsidR="003539FE" w:rsidRPr="007357F7">
        <w:t xml:space="preserve"> </w:t>
      </w:r>
      <w:r w:rsidR="00FB615D" w:rsidRPr="007357F7">
        <w:t xml:space="preserve">benefits for </w:t>
      </w:r>
      <w:r w:rsidR="003539FE" w:rsidRPr="007357F7">
        <w:t>patients</w:t>
      </w:r>
      <w:r w:rsidR="001C4664" w:rsidRPr="007357F7">
        <w:t xml:space="preserve"> from both an efficacy and safety p</w:t>
      </w:r>
      <w:r w:rsidR="00AE5464" w:rsidRPr="007357F7">
        <w:t>erspective</w:t>
      </w:r>
      <w:r w:rsidR="00FB615D" w:rsidRPr="007357F7">
        <w:t>.</w:t>
      </w:r>
      <w:r w:rsidR="00B84A06" w:rsidRPr="007357F7">
        <w:t xml:space="preserve"> </w:t>
      </w:r>
    </w:p>
    <w:p w14:paraId="04E46B9D" w14:textId="30DD281F" w:rsidR="003A7BF1" w:rsidRPr="001C7821" w:rsidRDefault="003A7BF1" w:rsidP="001C7821">
      <w:pPr>
        <w:spacing w:after="160" w:line="480" w:lineRule="auto"/>
        <w:jc w:val="both"/>
        <w:rPr>
          <w:b/>
          <w:bCs/>
        </w:rPr>
      </w:pPr>
    </w:p>
    <w:p w14:paraId="77F0CB84" w14:textId="511E2565" w:rsidR="00FE28A8" w:rsidRDefault="00FE28A8" w:rsidP="001C7821">
      <w:pPr>
        <w:spacing w:after="160" w:line="480" w:lineRule="auto"/>
        <w:jc w:val="both"/>
        <w:rPr>
          <w:b/>
          <w:bCs/>
        </w:rPr>
      </w:pPr>
    </w:p>
    <w:p w14:paraId="0C8D6DD5" w14:textId="1F8E2664" w:rsidR="00F97399" w:rsidRDefault="00F97399" w:rsidP="001C7821">
      <w:pPr>
        <w:spacing w:after="160" w:line="480" w:lineRule="auto"/>
        <w:jc w:val="both"/>
        <w:rPr>
          <w:b/>
          <w:bCs/>
        </w:rPr>
      </w:pPr>
    </w:p>
    <w:p w14:paraId="2B638227" w14:textId="77777777" w:rsidR="00F97399" w:rsidRPr="001C7821" w:rsidRDefault="00F97399" w:rsidP="001C7821">
      <w:pPr>
        <w:spacing w:after="160" w:line="480" w:lineRule="auto"/>
        <w:jc w:val="both"/>
        <w:rPr>
          <w:b/>
          <w:bCs/>
        </w:rPr>
      </w:pPr>
    </w:p>
    <w:p w14:paraId="3F3F8E3B" w14:textId="14E6F39C" w:rsidR="00336FB8" w:rsidRDefault="00336FB8" w:rsidP="001C7821">
      <w:pPr>
        <w:spacing w:after="160" w:line="480" w:lineRule="auto"/>
        <w:jc w:val="both"/>
      </w:pPr>
    </w:p>
    <w:p w14:paraId="7B1C706D" w14:textId="77777777" w:rsidR="00F97399" w:rsidRPr="001C7821" w:rsidRDefault="00F97399" w:rsidP="001C7821">
      <w:pPr>
        <w:spacing w:after="160" w:line="480" w:lineRule="auto"/>
        <w:jc w:val="both"/>
      </w:pPr>
    </w:p>
    <w:p w14:paraId="60EB84BF" w14:textId="77777777" w:rsidR="00827C3A" w:rsidRDefault="00827C3A" w:rsidP="009D57C5">
      <w:pPr>
        <w:spacing w:after="160" w:line="360" w:lineRule="auto"/>
        <w:jc w:val="both"/>
        <w:rPr>
          <w:b/>
          <w:szCs w:val="22"/>
        </w:rPr>
      </w:pPr>
    </w:p>
    <w:p w14:paraId="196F19BB" w14:textId="77777777" w:rsidR="00827C3A" w:rsidRDefault="00827C3A" w:rsidP="009D57C5">
      <w:pPr>
        <w:spacing w:after="160" w:line="360" w:lineRule="auto"/>
        <w:jc w:val="both"/>
        <w:rPr>
          <w:b/>
          <w:szCs w:val="22"/>
        </w:rPr>
      </w:pPr>
    </w:p>
    <w:p w14:paraId="1AAF5F9F" w14:textId="77777777" w:rsidR="00EB41F4" w:rsidRDefault="00EB41F4" w:rsidP="009D57C5">
      <w:pPr>
        <w:spacing w:after="160" w:line="360" w:lineRule="auto"/>
        <w:jc w:val="both"/>
        <w:rPr>
          <w:b/>
          <w:szCs w:val="22"/>
        </w:rPr>
      </w:pPr>
    </w:p>
    <w:p w14:paraId="3173153F" w14:textId="77777777" w:rsidR="00EB41F4" w:rsidRDefault="00EB41F4" w:rsidP="009D57C5">
      <w:pPr>
        <w:spacing w:after="160" w:line="360" w:lineRule="auto"/>
        <w:jc w:val="both"/>
        <w:rPr>
          <w:b/>
          <w:szCs w:val="22"/>
        </w:rPr>
      </w:pPr>
    </w:p>
    <w:p w14:paraId="352E5AD9" w14:textId="77777777" w:rsidR="00EB41F4" w:rsidRDefault="00EB41F4" w:rsidP="009D57C5">
      <w:pPr>
        <w:spacing w:after="160" w:line="360" w:lineRule="auto"/>
        <w:jc w:val="both"/>
        <w:rPr>
          <w:b/>
          <w:szCs w:val="22"/>
        </w:rPr>
      </w:pPr>
    </w:p>
    <w:p w14:paraId="5541759B" w14:textId="77777777" w:rsidR="00EB41F4" w:rsidRDefault="00EB41F4" w:rsidP="009D57C5">
      <w:pPr>
        <w:spacing w:after="160" w:line="360" w:lineRule="auto"/>
        <w:jc w:val="both"/>
        <w:rPr>
          <w:b/>
          <w:szCs w:val="22"/>
        </w:rPr>
      </w:pPr>
    </w:p>
    <w:p w14:paraId="61D759DF" w14:textId="77777777" w:rsidR="00EB41F4" w:rsidRDefault="00EB41F4" w:rsidP="009D57C5">
      <w:pPr>
        <w:spacing w:after="160" w:line="360" w:lineRule="auto"/>
        <w:jc w:val="both"/>
        <w:rPr>
          <w:b/>
          <w:szCs w:val="22"/>
        </w:rPr>
      </w:pPr>
    </w:p>
    <w:p w14:paraId="0FE685F9" w14:textId="77777777" w:rsidR="00EB41F4" w:rsidRDefault="00EB41F4" w:rsidP="009D57C5">
      <w:pPr>
        <w:spacing w:after="160" w:line="360" w:lineRule="auto"/>
        <w:jc w:val="both"/>
        <w:rPr>
          <w:b/>
          <w:szCs w:val="22"/>
        </w:rPr>
      </w:pPr>
    </w:p>
    <w:p w14:paraId="50985F83" w14:textId="77777777" w:rsidR="00EB41F4" w:rsidRDefault="00EB41F4" w:rsidP="009D57C5">
      <w:pPr>
        <w:spacing w:after="160" w:line="360" w:lineRule="auto"/>
        <w:jc w:val="both"/>
        <w:rPr>
          <w:b/>
          <w:szCs w:val="22"/>
        </w:rPr>
      </w:pPr>
    </w:p>
    <w:p w14:paraId="70058737" w14:textId="77777777" w:rsidR="00EB41F4" w:rsidRDefault="00EB41F4" w:rsidP="009D57C5">
      <w:pPr>
        <w:spacing w:after="160" w:line="360" w:lineRule="auto"/>
        <w:jc w:val="both"/>
        <w:rPr>
          <w:b/>
          <w:szCs w:val="22"/>
        </w:rPr>
      </w:pPr>
    </w:p>
    <w:p w14:paraId="4391B10D" w14:textId="009505A0" w:rsidR="00941FBF" w:rsidRPr="00CB1424" w:rsidRDefault="00211371" w:rsidP="009D57C5">
      <w:pPr>
        <w:spacing w:after="160" w:line="360" w:lineRule="auto"/>
        <w:jc w:val="both"/>
        <w:rPr>
          <w:b/>
          <w:szCs w:val="22"/>
        </w:rPr>
      </w:pPr>
      <w:r w:rsidRPr="00CB1424">
        <w:rPr>
          <w:b/>
          <w:szCs w:val="22"/>
        </w:rPr>
        <w:lastRenderedPageBreak/>
        <w:t>Tables</w:t>
      </w:r>
    </w:p>
    <w:p w14:paraId="22E47FC6" w14:textId="37275D5D" w:rsidR="00941FBF" w:rsidRDefault="00941FBF" w:rsidP="00604D4D">
      <w:pPr>
        <w:spacing w:line="480" w:lineRule="auto"/>
        <w:jc w:val="both"/>
        <w:rPr>
          <w:szCs w:val="22"/>
        </w:rPr>
      </w:pPr>
      <w:r w:rsidRPr="00604D4D">
        <w:rPr>
          <w:b/>
          <w:szCs w:val="22"/>
        </w:rPr>
        <w:t>Table 1</w:t>
      </w:r>
      <w:r w:rsidRPr="00CB1424">
        <w:rPr>
          <w:szCs w:val="22"/>
        </w:rPr>
        <w:t xml:space="preserve">: Baseline characteristics of </w:t>
      </w:r>
      <w:r w:rsidR="00CD7426" w:rsidRPr="00CB1424">
        <w:rPr>
          <w:szCs w:val="22"/>
        </w:rPr>
        <w:t>all patients</w:t>
      </w:r>
      <w:r w:rsidRPr="00CB1424">
        <w:rPr>
          <w:szCs w:val="22"/>
        </w:rPr>
        <w:t xml:space="preserve"> at time of AIH diagnosis</w:t>
      </w:r>
      <w:r w:rsidR="00473521" w:rsidRPr="00CB1424">
        <w:rPr>
          <w:szCs w:val="22"/>
        </w:rPr>
        <w:t xml:space="preserve"> between 1970-2020</w:t>
      </w:r>
    </w:p>
    <w:tbl>
      <w:tblPr>
        <w:tblStyle w:val="GridTable1Light-Accent1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9"/>
        <w:gridCol w:w="1606"/>
        <w:gridCol w:w="1701"/>
        <w:gridCol w:w="1560"/>
        <w:gridCol w:w="798"/>
      </w:tblGrid>
      <w:tr w:rsidR="00604D4D" w:rsidRPr="009362DE" w14:paraId="66D58191" w14:textId="77777777" w:rsidTr="0095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4AB62D27" w14:textId="77777777" w:rsidR="00604D4D" w:rsidRPr="00584D1F" w:rsidRDefault="00604D4D" w:rsidP="00954A90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  <w:noWrap/>
            <w:hideMark/>
          </w:tcPr>
          <w:p w14:paraId="49EF08FC" w14:textId="77777777" w:rsidR="00604D4D" w:rsidRPr="009362DE" w:rsidRDefault="00604D4D" w:rsidP="0095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Total cohort (n=226)</w:t>
            </w:r>
          </w:p>
        </w:tc>
        <w:tc>
          <w:tcPr>
            <w:tcW w:w="1701" w:type="dxa"/>
          </w:tcPr>
          <w:p w14:paraId="723880E3" w14:textId="77777777" w:rsidR="00604D4D" w:rsidRPr="009362DE" w:rsidRDefault="00604D4D" w:rsidP="0095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Early azathioprine initiation</w:t>
            </w:r>
          </w:p>
          <w:p w14:paraId="7CB58065" w14:textId="77777777" w:rsidR="00604D4D" w:rsidRPr="009362DE" w:rsidRDefault="00604D4D" w:rsidP="0095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(n=106)</w:t>
            </w:r>
          </w:p>
        </w:tc>
        <w:tc>
          <w:tcPr>
            <w:tcW w:w="1560" w:type="dxa"/>
          </w:tcPr>
          <w:p w14:paraId="5A0B8D50" w14:textId="77777777" w:rsidR="00604D4D" w:rsidRPr="009362DE" w:rsidRDefault="00604D4D" w:rsidP="0095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Late azathioprine initiation</w:t>
            </w:r>
          </w:p>
          <w:p w14:paraId="08392230" w14:textId="77777777" w:rsidR="00604D4D" w:rsidRPr="009362DE" w:rsidRDefault="00604D4D" w:rsidP="0095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(n=120)</w:t>
            </w:r>
          </w:p>
        </w:tc>
        <w:tc>
          <w:tcPr>
            <w:tcW w:w="798" w:type="dxa"/>
          </w:tcPr>
          <w:p w14:paraId="12E1430A" w14:textId="77777777" w:rsidR="00604D4D" w:rsidRPr="009362DE" w:rsidRDefault="00604D4D" w:rsidP="0095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3BD2">
              <w:rPr>
                <w:i/>
                <w:sz w:val="22"/>
                <w:szCs w:val="22"/>
              </w:rPr>
              <w:t>P</w:t>
            </w:r>
            <w:r w:rsidRPr="009362DE">
              <w:rPr>
                <w:sz w:val="22"/>
                <w:szCs w:val="22"/>
              </w:rPr>
              <w:t xml:space="preserve"> value</w:t>
            </w:r>
          </w:p>
        </w:tc>
      </w:tr>
      <w:tr w:rsidR="00604D4D" w:rsidRPr="009362DE" w14:paraId="7832B35E" w14:textId="77777777" w:rsidTr="00954A90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27D87497" w14:textId="77777777" w:rsidR="00604D4D" w:rsidRPr="00584D1F" w:rsidRDefault="00604D4D" w:rsidP="00954A90">
            <w:pPr>
              <w:rPr>
                <w:sz w:val="22"/>
                <w:szCs w:val="22"/>
              </w:rPr>
            </w:pPr>
            <w:r w:rsidRPr="00584D1F">
              <w:rPr>
                <w:sz w:val="22"/>
                <w:szCs w:val="22"/>
              </w:rPr>
              <w:t>Female gender, n (%)</w:t>
            </w:r>
          </w:p>
        </w:tc>
        <w:tc>
          <w:tcPr>
            <w:tcW w:w="1606" w:type="dxa"/>
            <w:noWrap/>
            <w:hideMark/>
          </w:tcPr>
          <w:p w14:paraId="35FD8153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177 (78)</w:t>
            </w:r>
          </w:p>
        </w:tc>
        <w:tc>
          <w:tcPr>
            <w:tcW w:w="1701" w:type="dxa"/>
          </w:tcPr>
          <w:p w14:paraId="59571708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84 (79)</w:t>
            </w:r>
          </w:p>
        </w:tc>
        <w:tc>
          <w:tcPr>
            <w:tcW w:w="1560" w:type="dxa"/>
          </w:tcPr>
          <w:p w14:paraId="7D1B6B7D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93 (77)</w:t>
            </w:r>
          </w:p>
        </w:tc>
        <w:tc>
          <w:tcPr>
            <w:tcW w:w="798" w:type="dxa"/>
          </w:tcPr>
          <w:p w14:paraId="1FF79598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0.75</w:t>
            </w:r>
          </w:p>
        </w:tc>
      </w:tr>
      <w:tr w:rsidR="00604D4D" w:rsidRPr="009362DE" w14:paraId="3DA09C0C" w14:textId="77777777" w:rsidTr="00954A90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4C182478" w14:textId="77777777" w:rsidR="00604D4D" w:rsidRPr="00584D1F" w:rsidRDefault="00604D4D" w:rsidP="00954A90">
            <w:pPr>
              <w:rPr>
                <w:sz w:val="22"/>
                <w:szCs w:val="22"/>
              </w:rPr>
            </w:pPr>
            <w:r w:rsidRPr="00584D1F">
              <w:rPr>
                <w:sz w:val="22"/>
                <w:szCs w:val="22"/>
              </w:rPr>
              <w:t>Age at diagnosis y, median (range)</w:t>
            </w:r>
          </w:p>
        </w:tc>
        <w:tc>
          <w:tcPr>
            <w:tcW w:w="1606" w:type="dxa"/>
            <w:noWrap/>
            <w:hideMark/>
          </w:tcPr>
          <w:p w14:paraId="553BEB3B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50 (18-82)</w:t>
            </w:r>
          </w:p>
        </w:tc>
        <w:tc>
          <w:tcPr>
            <w:tcW w:w="1701" w:type="dxa"/>
          </w:tcPr>
          <w:p w14:paraId="76BC15E4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50 (18-82)</w:t>
            </w:r>
          </w:p>
        </w:tc>
        <w:tc>
          <w:tcPr>
            <w:tcW w:w="1560" w:type="dxa"/>
          </w:tcPr>
          <w:p w14:paraId="28A0B567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50 (18-76)</w:t>
            </w:r>
          </w:p>
        </w:tc>
        <w:tc>
          <w:tcPr>
            <w:tcW w:w="798" w:type="dxa"/>
          </w:tcPr>
          <w:p w14:paraId="385C07B6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0.83</w:t>
            </w:r>
          </w:p>
        </w:tc>
      </w:tr>
      <w:tr w:rsidR="00604D4D" w:rsidRPr="009362DE" w14:paraId="09D8D554" w14:textId="77777777" w:rsidTr="00954A90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558F4469" w14:textId="77777777" w:rsidR="00604D4D" w:rsidRPr="00584D1F" w:rsidRDefault="00604D4D" w:rsidP="00954A90">
            <w:pPr>
              <w:rPr>
                <w:sz w:val="22"/>
                <w:szCs w:val="22"/>
              </w:rPr>
            </w:pPr>
            <w:r w:rsidRPr="00584D1F">
              <w:rPr>
                <w:sz w:val="22"/>
                <w:szCs w:val="22"/>
              </w:rPr>
              <w:t>Antibody positive, n (%)</w:t>
            </w:r>
          </w:p>
        </w:tc>
        <w:tc>
          <w:tcPr>
            <w:tcW w:w="1606" w:type="dxa"/>
            <w:noWrap/>
            <w:hideMark/>
          </w:tcPr>
          <w:p w14:paraId="744057FE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207 (92)</w:t>
            </w:r>
          </w:p>
        </w:tc>
        <w:tc>
          <w:tcPr>
            <w:tcW w:w="1701" w:type="dxa"/>
          </w:tcPr>
          <w:p w14:paraId="637CA208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95 (89.6)</w:t>
            </w:r>
          </w:p>
        </w:tc>
        <w:tc>
          <w:tcPr>
            <w:tcW w:w="1560" w:type="dxa"/>
          </w:tcPr>
          <w:p w14:paraId="3F61095D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112 (93.3)</w:t>
            </w:r>
          </w:p>
        </w:tc>
        <w:tc>
          <w:tcPr>
            <w:tcW w:w="798" w:type="dxa"/>
          </w:tcPr>
          <w:p w14:paraId="08B10350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0.32</w:t>
            </w:r>
          </w:p>
        </w:tc>
      </w:tr>
      <w:tr w:rsidR="00604D4D" w:rsidRPr="009362DE" w14:paraId="5DBAC124" w14:textId="77777777" w:rsidTr="00954A90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5E7CB302" w14:textId="77777777" w:rsidR="00604D4D" w:rsidRPr="00584D1F" w:rsidRDefault="00604D4D" w:rsidP="00954A90">
            <w:pPr>
              <w:rPr>
                <w:sz w:val="22"/>
                <w:szCs w:val="22"/>
              </w:rPr>
            </w:pPr>
            <w:r w:rsidRPr="00584D1F">
              <w:rPr>
                <w:sz w:val="22"/>
                <w:szCs w:val="22"/>
              </w:rPr>
              <w:t>AST at diagnosis IU/L, median (IQR)</w:t>
            </w:r>
          </w:p>
        </w:tc>
        <w:tc>
          <w:tcPr>
            <w:tcW w:w="1606" w:type="dxa"/>
            <w:noWrap/>
            <w:hideMark/>
          </w:tcPr>
          <w:p w14:paraId="70EC361B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725 (898)</w:t>
            </w:r>
          </w:p>
        </w:tc>
        <w:tc>
          <w:tcPr>
            <w:tcW w:w="1701" w:type="dxa"/>
          </w:tcPr>
          <w:p w14:paraId="30E4969B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745 (928)</w:t>
            </w:r>
          </w:p>
        </w:tc>
        <w:tc>
          <w:tcPr>
            <w:tcW w:w="1560" w:type="dxa"/>
          </w:tcPr>
          <w:p w14:paraId="4C728842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706 (898)</w:t>
            </w:r>
          </w:p>
        </w:tc>
        <w:tc>
          <w:tcPr>
            <w:tcW w:w="798" w:type="dxa"/>
          </w:tcPr>
          <w:p w14:paraId="60E21E8C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0.89</w:t>
            </w:r>
          </w:p>
        </w:tc>
      </w:tr>
      <w:tr w:rsidR="00604D4D" w:rsidRPr="009362DE" w14:paraId="06BB20F5" w14:textId="77777777" w:rsidTr="00954A90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60906B93" w14:textId="77777777" w:rsidR="00604D4D" w:rsidRPr="00584D1F" w:rsidRDefault="00604D4D" w:rsidP="00954A90">
            <w:pPr>
              <w:rPr>
                <w:sz w:val="22"/>
                <w:szCs w:val="22"/>
              </w:rPr>
            </w:pPr>
            <w:r w:rsidRPr="00584D1F">
              <w:rPr>
                <w:sz w:val="22"/>
                <w:szCs w:val="22"/>
              </w:rPr>
              <w:t>IgG at diagnosis g/L, median (IQR)</w:t>
            </w:r>
          </w:p>
        </w:tc>
        <w:tc>
          <w:tcPr>
            <w:tcW w:w="1606" w:type="dxa"/>
            <w:noWrap/>
            <w:hideMark/>
          </w:tcPr>
          <w:p w14:paraId="1F7BDD04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24.9 (16.33)</w:t>
            </w:r>
          </w:p>
        </w:tc>
        <w:tc>
          <w:tcPr>
            <w:tcW w:w="1701" w:type="dxa"/>
          </w:tcPr>
          <w:p w14:paraId="6DDAAA88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24 (15)</w:t>
            </w:r>
          </w:p>
        </w:tc>
        <w:tc>
          <w:tcPr>
            <w:tcW w:w="1560" w:type="dxa"/>
          </w:tcPr>
          <w:p w14:paraId="78CD1991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25 (15)</w:t>
            </w:r>
          </w:p>
        </w:tc>
        <w:tc>
          <w:tcPr>
            <w:tcW w:w="798" w:type="dxa"/>
          </w:tcPr>
          <w:p w14:paraId="6F5ABABF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0.67</w:t>
            </w:r>
          </w:p>
        </w:tc>
      </w:tr>
      <w:tr w:rsidR="00604D4D" w:rsidRPr="009362DE" w14:paraId="1040309D" w14:textId="77777777" w:rsidTr="00954A90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53EC1C50" w14:textId="77777777" w:rsidR="00604D4D" w:rsidRPr="00584D1F" w:rsidRDefault="00604D4D" w:rsidP="00954A90">
            <w:pPr>
              <w:rPr>
                <w:sz w:val="22"/>
                <w:szCs w:val="22"/>
              </w:rPr>
            </w:pPr>
            <w:r w:rsidRPr="00584D1F">
              <w:rPr>
                <w:sz w:val="22"/>
                <w:szCs w:val="22"/>
              </w:rPr>
              <w:t xml:space="preserve">Bilirubin at diagnosis </w:t>
            </w:r>
            <w:proofErr w:type="spellStart"/>
            <w:r w:rsidRPr="00584D1F">
              <w:rPr>
                <w:sz w:val="22"/>
                <w:szCs w:val="22"/>
              </w:rPr>
              <w:t>umol</w:t>
            </w:r>
            <w:proofErr w:type="spellEnd"/>
            <w:r w:rsidRPr="00584D1F">
              <w:rPr>
                <w:sz w:val="22"/>
                <w:szCs w:val="22"/>
              </w:rPr>
              <w:t>/L, median (IQR)</w:t>
            </w:r>
          </w:p>
        </w:tc>
        <w:tc>
          <w:tcPr>
            <w:tcW w:w="1606" w:type="dxa"/>
            <w:noWrap/>
            <w:hideMark/>
          </w:tcPr>
          <w:p w14:paraId="24070394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78.5(168)</w:t>
            </w:r>
          </w:p>
        </w:tc>
        <w:tc>
          <w:tcPr>
            <w:tcW w:w="1701" w:type="dxa"/>
          </w:tcPr>
          <w:p w14:paraId="3C21086D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78 (178)</w:t>
            </w:r>
          </w:p>
        </w:tc>
        <w:tc>
          <w:tcPr>
            <w:tcW w:w="1560" w:type="dxa"/>
          </w:tcPr>
          <w:p w14:paraId="5A4D1842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80 (163)</w:t>
            </w:r>
          </w:p>
        </w:tc>
        <w:tc>
          <w:tcPr>
            <w:tcW w:w="798" w:type="dxa"/>
          </w:tcPr>
          <w:p w14:paraId="5AA893EF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0.89</w:t>
            </w:r>
          </w:p>
        </w:tc>
      </w:tr>
      <w:tr w:rsidR="00604D4D" w:rsidRPr="009362DE" w14:paraId="063AE1A4" w14:textId="77777777" w:rsidTr="00954A90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0995A306" w14:textId="77777777" w:rsidR="00604D4D" w:rsidRPr="00584D1F" w:rsidRDefault="00604D4D" w:rsidP="00954A90">
            <w:pPr>
              <w:rPr>
                <w:sz w:val="22"/>
                <w:szCs w:val="22"/>
              </w:rPr>
            </w:pPr>
            <w:r w:rsidRPr="00584D1F">
              <w:rPr>
                <w:sz w:val="22"/>
                <w:szCs w:val="22"/>
              </w:rPr>
              <w:t>Albumin at diagnosis g/L, median (IQR)</w:t>
            </w:r>
          </w:p>
        </w:tc>
        <w:tc>
          <w:tcPr>
            <w:tcW w:w="1606" w:type="dxa"/>
            <w:noWrap/>
            <w:hideMark/>
          </w:tcPr>
          <w:p w14:paraId="4C9BC232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34(9)</w:t>
            </w:r>
          </w:p>
        </w:tc>
        <w:tc>
          <w:tcPr>
            <w:tcW w:w="1701" w:type="dxa"/>
          </w:tcPr>
          <w:p w14:paraId="0E75C7AB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35 (9)</w:t>
            </w:r>
          </w:p>
        </w:tc>
        <w:tc>
          <w:tcPr>
            <w:tcW w:w="1560" w:type="dxa"/>
          </w:tcPr>
          <w:p w14:paraId="577993E2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34 (9)</w:t>
            </w:r>
          </w:p>
        </w:tc>
        <w:tc>
          <w:tcPr>
            <w:tcW w:w="798" w:type="dxa"/>
          </w:tcPr>
          <w:p w14:paraId="6E2B17BF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0.6</w:t>
            </w:r>
          </w:p>
        </w:tc>
      </w:tr>
      <w:tr w:rsidR="00604D4D" w:rsidRPr="009362DE" w14:paraId="2E71C35F" w14:textId="77777777" w:rsidTr="00954A90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1BEF0FBF" w14:textId="77777777" w:rsidR="00604D4D" w:rsidRPr="00584D1F" w:rsidRDefault="00604D4D" w:rsidP="00954A90">
            <w:pPr>
              <w:rPr>
                <w:sz w:val="22"/>
                <w:szCs w:val="22"/>
              </w:rPr>
            </w:pPr>
            <w:r w:rsidRPr="00584D1F">
              <w:rPr>
                <w:sz w:val="22"/>
                <w:szCs w:val="22"/>
              </w:rPr>
              <w:t>Cirrhosis, n (%)</w:t>
            </w:r>
          </w:p>
        </w:tc>
        <w:tc>
          <w:tcPr>
            <w:tcW w:w="1606" w:type="dxa"/>
            <w:noWrap/>
            <w:hideMark/>
          </w:tcPr>
          <w:p w14:paraId="3D3BCA95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86 (38.1)</w:t>
            </w:r>
          </w:p>
        </w:tc>
        <w:tc>
          <w:tcPr>
            <w:tcW w:w="1701" w:type="dxa"/>
          </w:tcPr>
          <w:p w14:paraId="39D798CF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39 (37)</w:t>
            </w:r>
          </w:p>
        </w:tc>
        <w:tc>
          <w:tcPr>
            <w:tcW w:w="1560" w:type="dxa"/>
          </w:tcPr>
          <w:p w14:paraId="1F0E1F82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47 (39)</w:t>
            </w:r>
          </w:p>
        </w:tc>
        <w:tc>
          <w:tcPr>
            <w:tcW w:w="798" w:type="dxa"/>
          </w:tcPr>
          <w:p w14:paraId="7BDB7DB0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0.72</w:t>
            </w:r>
          </w:p>
        </w:tc>
      </w:tr>
      <w:tr w:rsidR="00604D4D" w:rsidRPr="009362DE" w14:paraId="639FA6C1" w14:textId="77777777" w:rsidTr="00954A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5D60E5DB" w14:textId="77777777" w:rsidR="00604D4D" w:rsidRPr="00584D1F" w:rsidRDefault="00604D4D" w:rsidP="00954A90">
            <w:pPr>
              <w:rPr>
                <w:color w:val="000000"/>
                <w:sz w:val="22"/>
                <w:szCs w:val="22"/>
              </w:rPr>
            </w:pPr>
            <w:r w:rsidRPr="00584D1F">
              <w:rPr>
                <w:color w:val="000000"/>
                <w:sz w:val="22"/>
                <w:szCs w:val="22"/>
              </w:rPr>
              <w:t>Starting prednisolone dose, mg median (IQR)</w:t>
            </w:r>
          </w:p>
        </w:tc>
        <w:tc>
          <w:tcPr>
            <w:tcW w:w="1606" w:type="dxa"/>
            <w:noWrap/>
            <w:hideMark/>
          </w:tcPr>
          <w:p w14:paraId="695EF44C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30 (20)</w:t>
            </w:r>
          </w:p>
        </w:tc>
        <w:tc>
          <w:tcPr>
            <w:tcW w:w="1701" w:type="dxa"/>
            <w:noWrap/>
            <w:hideMark/>
          </w:tcPr>
          <w:p w14:paraId="7ACEFD78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30 (20)</w:t>
            </w:r>
          </w:p>
        </w:tc>
        <w:tc>
          <w:tcPr>
            <w:tcW w:w="1560" w:type="dxa"/>
            <w:noWrap/>
            <w:hideMark/>
          </w:tcPr>
          <w:p w14:paraId="71DEDA14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30 (20)</w:t>
            </w:r>
          </w:p>
        </w:tc>
        <w:tc>
          <w:tcPr>
            <w:tcW w:w="798" w:type="dxa"/>
            <w:noWrap/>
            <w:hideMark/>
          </w:tcPr>
          <w:p w14:paraId="0D612A47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0.45</w:t>
            </w:r>
          </w:p>
        </w:tc>
      </w:tr>
      <w:tr w:rsidR="00604D4D" w:rsidRPr="009362DE" w14:paraId="3DAD7BFD" w14:textId="77777777" w:rsidTr="00954A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7ECD2675" w14:textId="77777777" w:rsidR="00604D4D" w:rsidRPr="00584D1F" w:rsidRDefault="00604D4D" w:rsidP="00954A90">
            <w:pPr>
              <w:rPr>
                <w:color w:val="000000"/>
                <w:sz w:val="22"/>
                <w:szCs w:val="22"/>
              </w:rPr>
            </w:pPr>
            <w:r w:rsidRPr="00584D1F">
              <w:rPr>
                <w:color w:val="000000"/>
                <w:sz w:val="22"/>
                <w:szCs w:val="22"/>
              </w:rPr>
              <w:t>Starting prednisolone dose, mg/kg median (IQR)</w:t>
            </w:r>
          </w:p>
        </w:tc>
        <w:tc>
          <w:tcPr>
            <w:tcW w:w="1606" w:type="dxa"/>
            <w:noWrap/>
            <w:hideMark/>
          </w:tcPr>
          <w:p w14:paraId="1F49495F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0.4 (0.17)</w:t>
            </w:r>
          </w:p>
        </w:tc>
        <w:tc>
          <w:tcPr>
            <w:tcW w:w="1701" w:type="dxa"/>
            <w:noWrap/>
            <w:hideMark/>
          </w:tcPr>
          <w:p w14:paraId="59908685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0.4 (0.29)</w:t>
            </w:r>
          </w:p>
        </w:tc>
        <w:tc>
          <w:tcPr>
            <w:tcW w:w="1560" w:type="dxa"/>
            <w:noWrap/>
            <w:hideMark/>
          </w:tcPr>
          <w:p w14:paraId="18858153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0.4 (0.19)</w:t>
            </w:r>
          </w:p>
        </w:tc>
        <w:tc>
          <w:tcPr>
            <w:tcW w:w="798" w:type="dxa"/>
            <w:noWrap/>
            <w:hideMark/>
          </w:tcPr>
          <w:p w14:paraId="54BEFAEF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0.6</w:t>
            </w:r>
          </w:p>
        </w:tc>
      </w:tr>
      <w:tr w:rsidR="00604D4D" w:rsidRPr="009362DE" w14:paraId="0FA59376" w14:textId="77777777" w:rsidTr="00954A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</w:tcPr>
          <w:p w14:paraId="437A7898" w14:textId="77777777" w:rsidR="00604D4D" w:rsidRPr="00E375D0" w:rsidRDefault="00604D4D" w:rsidP="00954A90">
            <w:pPr>
              <w:pStyle w:val="NoSpacing"/>
              <w:rPr>
                <w:sz w:val="22"/>
                <w:szCs w:val="22"/>
              </w:rPr>
            </w:pPr>
            <w:r w:rsidRPr="00E375D0">
              <w:rPr>
                <w:sz w:val="22"/>
                <w:szCs w:val="22"/>
              </w:rPr>
              <w:t>Number of patients on corticosteroids at 12 months, n (%)</w:t>
            </w:r>
          </w:p>
        </w:tc>
        <w:tc>
          <w:tcPr>
            <w:tcW w:w="1606" w:type="dxa"/>
            <w:noWrap/>
          </w:tcPr>
          <w:p w14:paraId="4C713756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185 (82)</w:t>
            </w:r>
          </w:p>
        </w:tc>
        <w:tc>
          <w:tcPr>
            <w:tcW w:w="1701" w:type="dxa"/>
            <w:noWrap/>
          </w:tcPr>
          <w:p w14:paraId="2E64A919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86 (81)</w:t>
            </w:r>
          </w:p>
        </w:tc>
        <w:tc>
          <w:tcPr>
            <w:tcW w:w="1560" w:type="dxa"/>
            <w:noWrap/>
          </w:tcPr>
          <w:p w14:paraId="66B7E92A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99 (82)</w:t>
            </w:r>
          </w:p>
        </w:tc>
        <w:tc>
          <w:tcPr>
            <w:tcW w:w="798" w:type="dxa"/>
            <w:noWrap/>
          </w:tcPr>
          <w:p w14:paraId="3878DC3B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0.9</w:t>
            </w:r>
          </w:p>
        </w:tc>
      </w:tr>
      <w:tr w:rsidR="00604D4D" w:rsidRPr="009362DE" w14:paraId="4487EFD9" w14:textId="77777777" w:rsidTr="00954A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</w:tcPr>
          <w:p w14:paraId="5E16C90B" w14:textId="77777777" w:rsidR="00604D4D" w:rsidRPr="00E375D0" w:rsidRDefault="00604D4D" w:rsidP="00954A90">
            <w:pPr>
              <w:pStyle w:val="NoSpacing"/>
              <w:rPr>
                <w:sz w:val="22"/>
                <w:szCs w:val="22"/>
              </w:rPr>
            </w:pPr>
            <w:r w:rsidRPr="00E375D0">
              <w:rPr>
                <w:sz w:val="22"/>
                <w:szCs w:val="22"/>
              </w:rPr>
              <w:t>Number of patients on corticosteroids at 24 months, n (%)</w:t>
            </w:r>
          </w:p>
        </w:tc>
        <w:tc>
          <w:tcPr>
            <w:tcW w:w="1606" w:type="dxa"/>
            <w:noWrap/>
          </w:tcPr>
          <w:p w14:paraId="2B2B8729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167 (74)</w:t>
            </w:r>
          </w:p>
        </w:tc>
        <w:tc>
          <w:tcPr>
            <w:tcW w:w="1701" w:type="dxa"/>
            <w:noWrap/>
          </w:tcPr>
          <w:p w14:paraId="3FECF368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74 (70)</w:t>
            </w:r>
          </w:p>
        </w:tc>
        <w:tc>
          <w:tcPr>
            <w:tcW w:w="1560" w:type="dxa"/>
            <w:noWrap/>
          </w:tcPr>
          <w:p w14:paraId="0042A983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93 (77)</w:t>
            </w:r>
          </w:p>
        </w:tc>
        <w:tc>
          <w:tcPr>
            <w:tcW w:w="798" w:type="dxa"/>
            <w:noWrap/>
          </w:tcPr>
          <w:p w14:paraId="186DBA11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0.5</w:t>
            </w:r>
          </w:p>
        </w:tc>
      </w:tr>
      <w:tr w:rsidR="00604D4D" w:rsidRPr="009362DE" w14:paraId="351C82F4" w14:textId="77777777" w:rsidTr="00954A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</w:tcPr>
          <w:p w14:paraId="2E093F97" w14:textId="77777777" w:rsidR="00604D4D" w:rsidRPr="00E375D0" w:rsidRDefault="00604D4D" w:rsidP="00954A90">
            <w:pPr>
              <w:pStyle w:val="NoSpacing"/>
              <w:rPr>
                <w:sz w:val="22"/>
                <w:szCs w:val="22"/>
              </w:rPr>
            </w:pPr>
            <w:r w:rsidRPr="00E375D0">
              <w:rPr>
                <w:sz w:val="22"/>
                <w:szCs w:val="22"/>
              </w:rPr>
              <w:t>Number of patients on corticosteroids at 36 months, n (%)</w:t>
            </w:r>
          </w:p>
        </w:tc>
        <w:tc>
          <w:tcPr>
            <w:tcW w:w="1606" w:type="dxa"/>
            <w:noWrap/>
          </w:tcPr>
          <w:p w14:paraId="33D95527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147 (65)</w:t>
            </w:r>
          </w:p>
        </w:tc>
        <w:tc>
          <w:tcPr>
            <w:tcW w:w="1701" w:type="dxa"/>
            <w:noWrap/>
          </w:tcPr>
          <w:p w14:paraId="33A49615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65 (61)</w:t>
            </w:r>
          </w:p>
        </w:tc>
        <w:tc>
          <w:tcPr>
            <w:tcW w:w="1560" w:type="dxa"/>
            <w:noWrap/>
          </w:tcPr>
          <w:p w14:paraId="4C1E6018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82 (68)</w:t>
            </w:r>
          </w:p>
        </w:tc>
        <w:tc>
          <w:tcPr>
            <w:tcW w:w="798" w:type="dxa"/>
            <w:noWrap/>
          </w:tcPr>
          <w:p w14:paraId="445968F6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0.5</w:t>
            </w:r>
          </w:p>
        </w:tc>
      </w:tr>
      <w:tr w:rsidR="00604D4D" w:rsidRPr="009362DE" w14:paraId="5F8D0C25" w14:textId="77777777" w:rsidTr="00954A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</w:tcPr>
          <w:p w14:paraId="21D89F76" w14:textId="77777777" w:rsidR="00604D4D" w:rsidRPr="00E375D0" w:rsidRDefault="00604D4D" w:rsidP="00954A90">
            <w:pPr>
              <w:pStyle w:val="NoSpacing"/>
              <w:rPr>
                <w:sz w:val="22"/>
                <w:szCs w:val="22"/>
              </w:rPr>
            </w:pPr>
            <w:r w:rsidRPr="00E375D0">
              <w:rPr>
                <w:sz w:val="22"/>
                <w:szCs w:val="22"/>
              </w:rPr>
              <w:t>Number of patients on corticosteroids at 60 months, n (%)</w:t>
            </w:r>
          </w:p>
        </w:tc>
        <w:tc>
          <w:tcPr>
            <w:tcW w:w="1606" w:type="dxa"/>
            <w:noWrap/>
          </w:tcPr>
          <w:p w14:paraId="0E6A3D06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129 (57)</w:t>
            </w:r>
          </w:p>
        </w:tc>
        <w:tc>
          <w:tcPr>
            <w:tcW w:w="1701" w:type="dxa"/>
            <w:noWrap/>
          </w:tcPr>
          <w:p w14:paraId="1CB3C9C7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55 (52)</w:t>
            </w:r>
          </w:p>
        </w:tc>
        <w:tc>
          <w:tcPr>
            <w:tcW w:w="1560" w:type="dxa"/>
            <w:noWrap/>
          </w:tcPr>
          <w:p w14:paraId="38508C6B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74 (62)</w:t>
            </w:r>
          </w:p>
        </w:tc>
        <w:tc>
          <w:tcPr>
            <w:tcW w:w="798" w:type="dxa"/>
            <w:noWrap/>
          </w:tcPr>
          <w:p w14:paraId="0527B666" w14:textId="77777777" w:rsidR="00604D4D" w:rsidRPr="00D8731C" w:rsidRDefault="00604D4D" w:rsidP="00954A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0.33</w:t>
            </w:r>
          </w:p>
        </w:tc>
      </w:tr>
      <w:tr w:rsidR="00604D4D" w:rsidRPr="009362DE" w14:paraId="7F4101DE" w14:textId="77777777" w:rsidTr="00954A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4117BDE9" w14:textId="77777777" w:rsidR="00604D4D" w:rsidRPr="00584D1F" w:rsidRDefault="00604D4D" w:rsidP="00954A90">
            <w:pPr>
              <w:rPr>
                <w:color w:val="000000"/>
                <w:sz w:val="22"/>
                <w:szCs w:val="22"/>
              </w:rPr>
            </w:pPr>
            <w:r w:rsidRPr="00584D1F">
              <w:rPr>
                <w:color w:val="000000"/>
                <w:sz w:val="22"/>
                <w:szCs w:val="22"/>
              </w:rPr>
              <w:t>Starting azathioprine dose, mg median (IQR)</w:t>
            </w:r>
          </w:p>
        </w:tc>
        <w:tc>
          <w:tcPr>
            <w:tcW w:w="1606" w:type="dxa"/>
            <w:noWrap/>
            <w:hideMark/>
          </w:tcPr>
          <w:p w14:paraId="46DD5EA6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75 (25)</w:t>
            </w:r>
          </w:p>
        </w:tc>
        <w:tc>
          <w:tcPr>
            <w:tcW w:w="1701" w:type="dxa"/>
            <w:noWrap/>
            <w:hideMark/>
          </w:tcPr>
          <w:p w14:paraId="3584D954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75 (25)</w:t>
            </w:r>
          </w:p>
        </w:tc>
        <w:tc>
          <w:tcPr>
            <w:tcW w:w="1560" w:type="dxa"/>
            <w:noWrap/>
            <w:hideMark/>
          </w:tcPr>
          <w:p w14:paraId="449228E2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75 (25)</w:t>
            </w:r>
          </w:p>
        </w:tc>
        <w:tc>
          <w:tcPr>
            <w:tcW w:w="798" w:type="dxa"/>
            <w:noWrap/>
            <w:hideMark/>
          </w:tcPr>
          <w:p w14:paraId="363736E0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0.61</w:t>
            </w:r>
          </w:p>
        </w:tc>
      </w:tr>
      <w:tr w:rsidR="00604D4D" w:rsidRPr="009362DE" w14:paraId="61DDC992" w14:textId="77777777" w:rsidTr="00954A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9" w:type="dxa"/>
            <w:noWrap/>
            <w:hideMark/>
          </w:tcPr>
          <w:p w14:paraId="7BF1A153" w14:textId="77777777" w:rsidR="00604D4D" w:rsidRPr="00584D1F" w:rsidRDefault="00604D4D" w:rsidP="00954A90">
            <w:pPr>
              <w:rPr>
                <w:color w:val="000000"/>
                <w:sz w:val="22"/>
                <w:szCs w:val="22"/>
              </w:rPr>
            </w:pPr>
            <w:r w:rsidRPr="00584D1F">
              <w:rPr>
                <w:color w:val="000000"/>
                <w:sz w:val="22"/>
                <w:szCs w:val="22"/>
              </w:rPr>
              <w:t>Starting azathioprine dose, mg/kg median (IQR)</w:t>
            </w:r>
          </w:p>
        </w:tc>
        <w:tc>
          <w:tcPr>
            <w:tcW w:w="1606" w:type="dxa"/>
            <w:noWrap/>
            <w:hideMark/>
          </w:tcPr>
          <w:p w14:paraId="7FC6DAC5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0.94 (0.4)</w:t>
            </w:r>
          </w:p>
        </w:tc>
        <w:tc>
          <w:tcPr>
            <w:tcW w:w="1701" w:type="dxa"/>
            <w:noWrap/>
            <w:hideMark/>
          </w:tcPr>
          <w:p w14:paraId="0AC3ADE2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0.94 (0.43)</w:t>
            </w:r>
          </w:p>
        </w:tc>
        <w:tc>
          <w:tcPr>
            <w:tcW w:w="1560" w:type="dxa"/>
            <w:noWrap/>
            <w:hideMark/>
          </w:tcPr>
          <w:p w14:paraId="0FF26363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0.95 (0.46)</w:t>
            </w:r>
          </w:p>
        </w:tc>
        <w:tc>
          <w:tcPr>
            <w:tcW w:w="798" w:type="dxa"/>
            <w:noWrap/>
            <w:hideMark/>
          </w:tcPr>
          <w:p w14:paraId="60DB8DDA" w14:textId="77777777" w:rsidR="00604D4D" w:rsidRPr="009362DE" w:rsidRDefault="00604D4D" w:rsidP="009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9362DE">
              <w:rPr>
                <w:color w:val="000000"/>
                <w:sz w:val="22"/>
                <w:szCs w:val="22"/>
              </w:rPr>
              <w:t>0.42</w:t>
            </w:r>
          </w:p>
        </w:tc>
      </w:tr>
    </w:tbl>
    <w:p w14:paraId="7C358429" w14:textId="0929E1C7" w:rsidR="00604D4D" w:rsidRDefault="00604D4D" w:rsidP="00604D4D">
      <w:pPr>
        <w:spacing w:line="480" w:lineRule="auto"/>
        <w:jc w:val="both"/>
        <w:rPr>
          <w:szCs w:val="22"/>
        </w:rPr>
      </w:pPr>
    </w:p>
    <w:p w14:paraId="26C73FB3" w14:textId="687BFF2A" w:rsidR="00604D4D" w:rsidRDefault="00604D4D" w:rsidP="00604D4D">
      <w:pPr>
        <w:spacing w:line="480" w:lineRule="auto"/>
        <w:jc w:val="both"/>
        <w:rPr>
          <w:szCs w:val="22"/>
        </w:rPr>
      </w:pPr>
    </w:p>
    <w:p w14:paraId="77F8D774" w14:textId="4243F4CF" w:rsidR="00604D4D" w:rsidRDefault="00604D4D" w:rsidP="00604D4D">
      <w:pPr>
        <w:spacing w:line="480" w:lineRule="auto"/>
        <w:jc w:val="both"/>
        <w:rPr>
          <w:szCs w:val="22"/>
        </w:rPr>
      </w:pPr>
    </w:p>
    <w:p w14:paraId="441386EF" w14:textId="1E7E9C2B" w:rsidR="00604D4D" w:rsidRDefault="00604D4D" w:rsidP="00604D4D">
      <w:pPr>
        <w:spacing w:line="480" w:lineRule="auto"/>
        <w:jc w:val="both"/>
        <w:rPr>
          <w:szCs w:val="22"/>
        </w:rPr>
      </w:pPr>
    </w:p>
    <w:p w14:paraId="7A39E21A" w14:textId="21BF9E40" w:rsidR="00604D4D" w:rsidRDefault="00604D4D" w:rsidP="00604D4D">
      <w:pPr>
        <w:spacing w:line="480" w:lineRule="auto"/>
        <w:jc w:val="both"/>
        <w:rPr>
          <w:szCs w:val="22"/>
        </w:rPr>
      </w:pPr>
    </w:p>
    <w:p w14:paraId="4F26BFDC" w14:textId="3E988E8B" w:rsidR="00604D4D" w:rsidRDefault="00604D4D" w:rsidP="00604D4D">
      <w:pPr>
        <w:spacing w:line="480" w:lineRule="auto"/>
        <w:jc w:val="both"/>
        <w:rPr>
          <w:szCs w:val="22"/>
        </w:rPr>
      </w:pPr>
    </w:p>
    <w:p w14:paraId="7DA14289" w14:textId="77777777" w:rsidR="00604D4D" w:rsidRDefault="00604D4D" w:rsidP="00604D4D">
      <w:pPr>
        <w:spacing w:line="480" w:lineRule="auto"/>
        <w:jc w:val="both"/>
        <w:rPr>
          <w:szCs w:val="22"/>
        </w:rPr>
      </w:pPr>
    </w:p>
    <w:p w14:paraId="622BF064" w14:textId="77777777" w:rsidR="00604D4D" w:rsidRPr="00500A30" w:rsidRDefault="00604D4D" w:rsidP="00604D4D">
      <w:pPr>
        <w:spacing w:line="480" w:lineRule="auto"/>
        <w:jc w:val="both"/>
        <w:rPr>
          <w:szCs w:val="22"/>
          <w:highlight w:val="yellow"/>
        </w:rPr>
      </w:pPr>
    </w:p>
    <w:p w14:paraId="576BEFDA" w14:textId="18CBAED1" w:rsidR="00941FBF" w:rsidRPr="00500A30" w:rsidRDefault="00941FBF" w:rsidP="00941FBF">
      <w:pPr>
        <w:spacing w:line="480" w:lineRule="auto"/>
        <w:rPr>
          <w:szCs w:val="22"/>
        </w:rPr>
      </w:pPr>
      <w:r w:rsidRPr="00500A30">
        <w:rPr>
          <w:b/>
          <w:szCs w:val="22"/>
        </w:rPr>
        <w:lastRenderedPageBreak/>
        <w:t>Table 2:</w:t>
      </w:r>
      <w:r w:rsidRPr="00500A30">
        <w:rPr>
          <w:szCs w:val="22"/>
        </w:rPr>
        <w:t xml:space="preserve"> Prednisolone </w:t>
      </w:r>
      <w:r w:rsidR="00CD7426" w:rsidRPr="00500A30">
        <w:rPr>
          <w:szCs w:val="22"/>
        </w:rPr>
        <w:t xml:space="preserve">dose and </w:t>
      </w:r>
      <w:r w:rsidR="00473521" w:rsidRPr="00500A30">
        <w:rPr>
          <w:szCs w:val="22"/>
        </w:rPr>
        <w:t xml:space="preserve">cumulative </w:t>
      </w:r>
      <w:r w:rsidRPr="00500A30">
        <w:rPr>
          <w:szCs w:val="22"/>
        </w:rPr>
        <w:t>exposure over 5-year follow up</w:t>
      </w:r>
      <w:r w:rsidR="00500A30">
        <w:rPr>
          <w:szCs w:val="22"/>
        </w:rPr>
        <w:t xml:space="preserve"> in patients in the early vs late azathioprine group</w:t>
      </w:r>
    </w:p>
    <w:tbl>
      <w:tblPr>
        <w:tblStyle w:val="TableGrid"/>
        <w:tblW w:w="9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37"/>
        <w:gridCol w:w="1632"/>
        <w:gridCol w:w="1632"/>
        <w:gridCol w:w="908"/>
        <w:gridCol w:w="1632"/>
        <w:gridCol w:w="1632"/>
        <w:gridCol w:w="907"/>
      </w:tblGrid>
      <w:tr w:rsidR="00645EC4" w:rsidRPr="00CB1424" w14:paraId="063A82AD" w14:textId="77777777" w:rsidTr="00645EC4">
        <w:trPr>
          <w:trHeight w:val="10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D690B" w14:textId="77777777" w:rsidR="00645EC4" w:rsidRPr="00645EC4" w:rsidRDefault="00645EC4" w:rsidP="001D3533">
            <w:pPr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 </w:t>
            </w:r>
          </w:p>
          <w:p w14:paraId="6313A595" w14:textId="77777777" w:rsidR="00645EC4" w:rsidRPr="00645EC4" w:rsidRDefault="00645EC4" w:rsidP="001D3533">
            <w:pPr>
              <w:rPr>
                <w:sz w:val="22"/>
                <w:szCs w:val="22"/>
                <w:lang w:eastAsia="en-US"/>
              </w:rPr>
            </w:pPr>
          </w:p>
          <w:p w14:paraId="03C43620" w14:textId="77777777" w:rsidR="00645EC4" w:rsidRPr="00645EC4" w:rsidRDefault="00645EC4" w:rsidP="001D3533">
            <w:pPr>
              <w:rPr>
                <w:sz w:val="22"/>
                <w:szCs w:val="22"/>
                <w:lang w:eastAsia="en-US"/>
              </w:rPr>
            </w:pPr>
          </w:p>
          <w:p w14:paraId="195D19CE" w14:textId="77777777" w:rsidR="00645EC4" w:rsidRPr="00645EC4" w:rsidRDefault="00645EC4" w:rsidP="001D3533">
            <w:pPr>
              <w:rPr>
                <w:sz w:val="22"/>
                <w:szCs w:val="22"/>
                <w:lang w:eastAsia="en-US"/>
              </w:rPr>
            </w:pPr>
          </w:p>
          <w:p w14:paraId="23B3C5CF" w14:textId="77777777" w:rsidR="00645EC4" w:rsidRPr="00645EC4" w:rsidRDefault="00645EC4" w:rsidP="001D3533">
            <w:pPr>
              <w:rPr>
                <w:sz w:val="22"/>
                <w:szCs w:val="22"/>
                <w:lang w:eastAsia="en-US"/>
              </w:rPr>
            </w:pPr>
          </w:p>
          <w:p w14:paraId="42B86519" w14:textId="77777777" w:rsidR="00645EC4" w:rsidRPr="00645EC4" w:rsidRDefault="00645EC4" w:rsidP="001D3533">
            <w:pPr>
              <w:rPr>
                <w:sz w:val="22"/>
                <w:szCs w:val="22"/>
                <w:lang w:eastAsia="en-US"/>
              </w:rPr>
            </w:pPr>
          </w:p>
          <w:p w14:paraId="370B5430" w14:textId="77777777" w:rsidR="00645EC4" w:rsidRPr="00645EC4" w:rsidRDefault="00645EC4" w:rsidP="001D3533">
            <w:pPr>
              <w:rPr>
                <w:b/>
                <w:sz w:val="22"/>
                <w:szCs w:val="22"/>
                <w:lang w:eastAsia="en-US"/>
              </w:rPr>
            </w:pPr>
          </w:p>
          <w:p w14:paraId="48A982B0" w14:textId="77777777" w:rsidR="00645EC4" w:rsidRPr="00645EC4" w:rsidRDefault="00645EC4" w:rsidP="001D3533">
            <w:pPr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Months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7E31" w14:textId="77777777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Prednisolone dose, mg, median (IQR)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DDEB" w14:textId="5E5F80CA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Cumulative prednisolone exposure, mg/kg, median (IQR)</w:t>
            </w:r>
          </w:p>
        </w:tc>
      </w:tr>
      <w:tr w:rsidR="00645EC4" w:rsidRPr="00CB1424" w14:paraId="0863FF02" w14:textId="77777777" w:rsidTr="00645EC4">
        <w:trPr>
          <w:trHeight w:val="149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D588" w14:textId="77777777" w:rsidR="00645EC4" w:rsidRPr="00645EC4" w:rsidRDefault="00645EC4" w:rsidP="00500A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37C1A" w14:textId="7C988240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Early azathioprine initiation (n=106)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60A" w14:textId="01C9BD87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Late azathioprine initiation (n=120)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9D8" w14:textId="349D068E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i/>
                <w:sz w:val="22"/>
                <w:szCs w:val="22"/>
                <w:lang w:eastAsia="en-US"/>
              </w:rPr>
              <w:t>P</w:t>
            </w:r>
            <w:r w:rsidRPr="00645EC4">
              <w:rPr>
                <w:b/>
                <w:sz w:val="22"/>
                <w:szCs w:val="22"/>
                <w:lang w:eastAsia="en-US"/>
              </w:rPr>
              <w:t xml:space="preserve"> value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43C" w14:textId="77777777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 xml:space="preserve">Early azathioprine initiation </w:t>
            </w:r>
          </w:p>
          <w:p w14:paraId="48472D9D" w14:textId="681C639E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(n=106)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38C" w14:textId="77777777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 xml:space="preserve">Late azathioprine initiation </w:t>
            </w:r>
          </w:p>
          <w:p w14:paraId="6DADBA9F" w14:textId="298A9B39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(n=120)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00A9" w14:textId="7A37FFEE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i/>
                <w:sz w:val="22"/>
                <w:szCs w:val="22"/>
                <w:lang w:eastAsia="en-US"/>
              </w:rPr>
              <w:t>P</w:t>
            </w:r>
            <w:r w:rsidRPr="00645EC4">
              <w:rPr>
                <w:b/>
                <w:sz w:val="22"/>
                <w:szCs w:val="22"/>
                <w:lang w:eastAsia="en-US"/>
              </w:rPr>
              <w:t xml:space="preserve"> value</w:t>
            </w:r>
          </w:p>
        </w:tc>
      </w:tr>
      <w:tr w:rsidR="00645EC4" w:rsidRPr="00CB1424" w14:paraId="71B71A80" w14:textId="77777777" w:rsidTr="00645EC4">
        <w:trPr>
          <w:trHeight w:val="4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A9842" w14:textId="77777777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02673" w14:textId="31517DE9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10 (5)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FB0AA" w14:textId="1E581DD3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11.2 (10)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2A447" w14:textId="2771CB12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7A9" w14:textId="0D0F71D4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21.7 (9.79)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FC4" w14:textId="248E995A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23.9 (12.02)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2B8" w14:textId="6C675E16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0.69</w:t>
            </w:r>
          </w:p>
        </w:tc>
      </w:tr>
      <w:tr w:rsidR="00645EC4" w:rsidRPr="00CB1424" w14:paraId="021388A8" w14:textId="77777777" w:rsidTr="00645EC4">
        <w:trPr>
          <w:trHeight w:val="4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0A2A7" w14:textId="77777777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CA7C7" w14:textId="16AC5C16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7.5 (6)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D3F3B" w14:textId="6D5584A4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10 (7.5)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1D72" w14:textId="79902548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0576" w14:textId="79E83BF9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34.8 (14.2)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D1D" w14:textId="5D51CB02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37.9 (21.33)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BEAB" w14:textId="095841E1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0.35</w:t>
            </w:r>
          </w:p>
        </w:tc>
      </w:tr>
      <w:tr w:rsidR="00645EC4" w:rsidRPr="00CB1424" w14:paraId="401468C8" w14:textId="77777777" w:rsidTr="00645EC4">
        <w:trPr>
          <w:trHeight w:val="4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E430A" w14:textId="77777777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E9E58" w14:textId="01308182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5 (7.5)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D59EE" w14:textId="3CE518D1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7.5 (7.5)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D6155" w14:textId="66708273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6BB" w14:textId="044AC7D0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51.6 (31.93)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F0D8" w14:textId="43E01775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56.6 (36.76)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0DB" w14:textId="053BD3AF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0.5</w:t>
            </w:r>
          </w:p>
        </w:tc>
      </w:tr>
      <w:tr w:rsidR="00645EC4" w:rsidRPr="00CB1424" w14:paraId="521E78A6" w14:textId="77777777" w:rsidTr="00645EC4">
        <w:trPr>
          <w:trHeight w:val="4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49579" w14:textId="77777777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742DC" w14:textId="60BD0F88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4.5 (10)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CCE15" w14:textId="5009B5D0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5 (10)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35297" w14:textId="514EDBB5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0204" w14:textId="5B1E5BD7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72.84 (70)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5DE" w14:textId="36B62B83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74.63 (60.5)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27E6" w14:textId="53BCE8E4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0.99</w:t>
            </w:r>
          </w:p>
        </w:tc>
      </w:tr>
      <w:tr w:rsidR="00645EC4" w:rsidRPr="00CB1424" w14:paraId="75EFAD14" w14:textId="77777777" w:rsidTr="00645EC4">
        <w:trPr>
          <w:trHeight w:val="4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746D4" w14:textId="77777777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51AA5" w14:textId="10DBA64D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2.5 (7.5)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BE782" w14:textId="55877F4F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5 (10)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2A314" w14:textId="074AB37E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79E1" w14:textId="4C7D6777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90.2 (96)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0E1" w14:textId="01F71CEC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96.5 (115.74)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0B64" w14:textId="01E6C559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0.34</w:t>
            </w:r>
          </w:p>
        </w:tc>
      </w:tr>
      <w:tr w:rsidR="00645EC4" w:rsidRPr="00CB1424" w14:paraId="0A51E096" w14:textId="77777777" w:rsidTr="00645EC4">
        <w:trPr>
          <w:trHeight w:val="4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FC97C" w14:textId="77777777" w:rsidR="00645EC4" w:rsidRPr="00645EC4" w:rsidRDefault="00645EC4" w:rsidP="00500A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5EC4">
              <w:rPr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15F34" w14:textId="1072EEE2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 (5)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E40D4" w14:textId="24430C00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2.5 (7.5)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61ED0" w14:textId="600F4F0E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E2A" w14:textId="7AF906DA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107 (110)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030A" w14:textId="3E88CCA8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112 (141)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0EA" w14:textId="2ECC4323" w:rsidR="00645EC4" w:rsidRPr="00645EC4" w:rsidRDefault="00645EC4" w:rsidP="00500A30">
            <w:pPr>
              <w:jc w:val="center"/>
              <w:rPr>
                <w:sz w:val="22"/>
                <w:szCs w:val="22"/>
                <w:lang w:eastAsia="en-US"/>
              </w:rPr>
            </w:pPr>
            <w:r w:rsidRPr="00645EC4">
              <w:rPr>
                <w:sz w:val="22"/>
                <w:szCs w:val="22"/>
                <w:lang w:eastAsia="en-US"/>
              </w:rPr>
              <w:t>0.45</w:t>
            </w:r>
          </w:p>
        </w:tc>
      </w:tr>
    </w:tbl>
    <w:p w14:paraId="02218A3A" w14:textId="40595D25" w:rsidR="00941FBF" w:rsidRDefault="00941FBF" w:rsidP="00941FBF">
      <w:pPr>
        <w:spacing w:line="480" w:lineRule="auto"/>
        <w:rPr>
          <w:sz w:val="22"/>
          <w:szCs w:val="22"/>
        </w:rPr>
      </w:pPr>
    </w:p>
    <w:p w14:paraId="3F57188D" w14:textId="3196F5D9" w:rsidR="00604D4D" w:rsidRDefault="00604D4D" w:rsidP="00941FBF">
      <w:pPr>
        <w:spacing w:line="480" w:lineRule="auto"/>
        <w:rPr>
          <w:sz w:val="22"/>
          <w:szCs w:val="22"/>
        </w:rPr>
      </w:pPr>
    </w:p>
    <w:p w14:paraId="5CEEA00C" w14:textId="6A534513" w:rsidR="00DC50FE" w:rsidRPr="00500A30" w:rsidRDefault="00DC50FE" w:rsidP="00DC50FE">
      <w:pPr>
        <w:spacing w:line="480" w:lineRule="auto"/>
        <w:rPr>
          <w:szCs w:val="22"/>
        </w:rPr>
      </w:pPr>
      <w:r>
        <w:rPr>
          <w:b/>
          <w:szCs w:val="22"/>
        </w:rPr>
        <w:t>Table 3</w:t>
      </w:r>
      <w:r w:rsidRPr="00500A30">
        <w:rPr>
          <w:szCs w:val="22"/>
        </w:rPr>
        <w:t xml:space="preserve">: </w:t>
      </w:r>
      <w:r w:rsidRPr="006C046F">
        <w:rPr>
          <w:szCs w:val="22"/>
        </w:rPr>
        <w:t>Number of patients achieving biochemical remission in the early vs late azathioprine groups over 5-year follow up</w:t>
      </w:r>
      <w:r>
        <w:rPr>
          <w:szCs w:val="22"/>
        </w:rPr>
        <w:t xml:space="preserve">. Complete biochemical remission defined as normalisation of both AST and IgG. </w:t>
      </w:r>
    </w:p>
    <w:p w14:paraId="497EDBC7" w14:textId="77777777" w:rsidR="00DC50FE" w:rsidRDefault="00DC50FE" w:rsidP="00DC50FE"/>
    <w:tbl>
      <w:tblPr>
        <w:tblW w:w="78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3"/>
        <w:gridCol w:w="1958"/>
        <w:gridCol w:w="1843"/>
        <w:gridCol w:w="1676"/>
        <w:gridCol w:w="1183"/>
      </w:tblGrid>
      <w:tr w:rsidR="00EB41F4" w:rsidRPr="009362DE" w14:paraId="1DFC2B47" w14:textId="77777777" w:rsidTr="00B429E8">
        <w:trPr>
          <w:trHeight w:val="208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3EF5" w14:textId="77777777" w:rsidR="00EB41F4" w:rsidRPr="007B2872" w:rsidRDefault="00EB41F4" w:rsidP="00A64C2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6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4ED9B" w14:textId="77777777" w:rsidR="00EB41F4" w:rsidRPr="007B2872" w:rsidRDefault="00EB41F4" w:rsidP="00A64C2A">
            <w:pPr>
              <w:jc w:val="center"/>
              <w:rPr>
                <w:b/>
                <w:sz w:val="20"/>
                <w:szCs w:val="22"/>
              </w:rPr>
            </w:pPr>
            <w:r w:rsidRPr="007B2872">
              <w:rPr>
                <w:b/>
                <w:sz w:val="20"/>
                <w:szCs w:val="22"/>
              </w:rPr>
              <w:t>Normalisation of AST and IgG</w:t>
            </w:r>
          </w:p>
        </w:tc>
      </w:tr>
      <w:tr w:rsidR="00EB41F4" w:rsidRPr="009362DE" w14:paraId="14D12087" w14:textId="77777777" w:rsidTr="00B429E8">
        <w:trPr>
          <w:trHeight w:val="6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FFB5" w14:textId="77777777" w:rsidR="00EB41F4" w:rsidRPr="007B2872" w:rsidRDefault="00EB41F4" w:rsidP="00A64C2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66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6C7F" w14:textId="77777777" w:rsidR="00EB41F4" w:rsidRPr="007B2872" w:rsidRDefault="00EB41F4" w:rsidP="00A64C2A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EB41F4" w:rsidRPr="009362DE" w14:paraId="1B027E86" w14:textId="77777777" w:rsidTr="00B429E8">
        <w:trPr>
          <w:trHeight w:val="1729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8D19" w14:textId="77777777" w:rsidR="00EB41F4" w:rsidRPr="00EB41F4" w:rsidRDefault="00EB41F4" w:rsidP="00A64C2A">
            <w:pPr>
              <w:jc w:val="center"/>
              <w:rPr>
                <w:b/>
                <w:sz w:val="20"/>
                <w:szCs w:val="20"/>
              </w:rPr>
            </w:pPr>
            <w:r w:rsidRPr="00EB41F4">
              <w:rPr>
                <w:b/>
                <w:sz w:val="20"/>
                <w:szCs w:val="20"/>
              </w:rPr>
              <w:t>Months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D8B" w14:textId="77777777" w:rsidR="00EB41F4" w:rsidRPr="00EB41F4" w:rsidRDefault="00EB41F4" w:rsidP="00A64C2A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16A46B2" w14:textId="77777777" w:rsidR="00EB41F4" w:rsidRPr="00EB41F4" w:rsidRDefault="00EB41F4" w:rsidP="00A64C2A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051239F" w14:textId="77777777" w:rsidR="00EB41F4" w:rsidRPr="00EB41F4" w:rsidRDefault="00EB41F4" w:rsidP="00A64C2A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9143C5D" w14:textId="2526E5F8" w:rsidR="00EB41F4" w:rsidRPr="00EB41F4" w:rsidRDefault="00EB41F4" w:rsidP="00A64C2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B41F4">
              <w:rPr>
                <w:b/>
                <w:sz w:val="20"/>
                <w:szCs w:val="20"/>
              </w:rPr>
              <w:t xml:space="preserve">Total </w:t>
            </w:r>
          </w:p>
          <w:p w14:paraId="585C7E78" w14:textId="77777777" w:rsidR="00EB41F4" w:rsidRPr="00EB41F4" w:rsidRDefault="00EB41F4" w:rsidP="00A64C2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B41F4">
              <w:rPr>
                <w:b/>
                <w:sz w:val="20"/>
                <w:szCs w:val="20"/>
              </w:rPr>
              <w:t>(n=226)</w:t>
            </w:r>
          </w:p>
          <w:p w14:paraId="6F6CB4C2" w14:textId="77777777" w:rsidR="00EB41F4" w:rsidRPr="00EB41F4" w:rsidRDefault="00EB41F4" w:rsidP="00A64C2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B41F4">
              <w:rPr>
                <w:b/>
                <w:sz w:val="20"/>
                <w:szCs w:val="20"/>
              </w:rPr>
              <w:t>n (%)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5749" w14:textId="77777777" w:rsidR="00EB41F4" w:rsidRPr="00EB41F4" w:rsidRDefault="00EB41F4" w:rsidP="00A64C2A">
            <w:pPr>
              <w:jc w:val="center"/>
              <w:rPr>
                <w:b/>
                <w:sz w:val="20"/>
                <w:szCs w:val="20"/>
              </w:rPr>
            </w:pPr>
            <w:r w:rsidRPr="00EB41F4">
              <w:rPr>
                <w:b/>
                <w:sz w:val="20"/>
                <w:szCs w:val="20"/>
              </w:rPr>
              <w:t>Early azathioprine initiation</w:t>
            </w:r>
          </w:p>
          <w:p w14:paraId="3CA45912" w14:textId="77777777" w:rsidR="00EB41F4" w:rsidRPr="00EB41F4" w:rsidRDefault="00EB41F4" w:rsidP="00A64C2A">
            <w:pPr>
              <w:jc w:val="center"/>
              <w:rPr>
                <w:b/>
                <w:sz w:val="20"/>
                <w:szCs w:val="20"/>
              </w:rPr>
            </w:pPr>
            <w:r w:rsidRPr="00EB41F4">
              <w:rPr>
                <w:b/>
                <w:sz w:val="20"/>
                <w:szCs w:val="20"/>
              </w:rPr>
              <w:t>(n=106)</w:t>
            </w:r>
          </w:p>
          <w:p w14:paraId="07F9E14F" w14:textId="77777777" w:rsidR="00EB41F4" w:rsidRPr="00EB41F4" w:rsidRDefault="00EB41F4" w:rsidP="00A64C2A">
            <w:pPr>
              <w:jc w:val="center"/>
              <w:rPr>
                <w:b/>
                <w:sz w:val="20"/>
                <w:szCs w:val="20"/>
              </w:rPr>
            </w:pPr>
            <w:r w:rsidRPr="00EB41F4">
              <w:rPr>
                <w:b/>
                <w:sz w:val="20"/>
                <w:szCs w:val="20"/>
              </w:rPr>
              <w:t>n (%)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380B" w14:textId="77777777" w:rsidR="00EB41F4" w:rsidRPr="00EB41F4" w:rsidRDefault="00EB41F4" w:rsidP="00A64C2A">
            <w:pPr>
              <w:jc w:val="center"/>
              <w:rPr>
                <w:b/>
                <w:sz w:val="20"/>
                <w:szCs w:val="20"/>
              </w:rPr>
            </w:pPr>
            <w:r w:rsidRPr="00EB41F4">
              <w:rPr>
                <w:b/>
                <w:sz w:val="20"/>
                <w:szCs w:val="20"/>
              </w:rPr>
              <w:t>Late azathioprine initiation (n=120)</w:t>
            </w:r>
          </w:p>
          <w:p w14:paraId="3283B525" w14:textId="77777777" w:rsidR="00EB41F4" w:rsidRPr="00EB41F4" w:rsidRDefault="00EB41F4" w:rsidP="00A64C2A">
            <w:pPr>
              <w:jc w:val="center"/>
              <w:rPr>
                <w:b/>
                <w:sz w:val="20"/>
                <w:szCs w:val="20"/>
              </w:rPr>
            </w:pPr>
            <w:r w:rsidRPr="00EB41F4">
              <w:rPr>
                <w:b/>
                <w:sz w:val="20"/>
                <w:szCs w:val="20"/>
              </w:rPr>
              <w:t>n (%)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1A4C" w14:textId="77777777" w:rsidR="00EB41F4" w:rsidRPr="00EB41F4" w:rsidRDefault="00EB41F4" w:rsidP="00A64C2A">
            <w:pPr>
              <w:jc w:val="center"/>
              <w:rPr>
                <w:b/>
                <w:sz w:val="20"/>
                <w:szCs w:val="20"/>
              </w:rPr>
            </w:pPr>
            <w:r w:rsidRPr="00EB41F4">
              <w:rPr>
                <w:b/>
                <w:i/>
                <w:sz w:val="20"/>
                <w:szCs w:val="20"/>
              </w:rPr>
              <w:t>P</w:t>
            </w:r>
            <w:r w:rsidRPr="00EB41F4">
              <w:rPr>
                <w:b/>
                <w:sz w:val="20"/>
                <w:szCs w:val="20"/>
              </w:rPr>
              <w:t xml:space="preserve"> value</w:t>
            </w:r>
          </w:p>
        </w:tc>
      </w:tr>
      <w:tr w:rsidR="00EB41F4" w:rsidRPr="009362DE" w14:paraId="4DAEAA92" w14:textId="77777777" w:rsidTr="00B429E8">
        <w:trPr>
          <w:trHeight w:val="25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94E7" w14:textId="77777777" w:rsidR="00EB41F4" w:rsidRPr="007B2872" w:rsidRDefault="00EB41F4" w:rsidP="00A64C2A">
            <w:pPr>
              <w:jc w:val="center"/>
              <w:rPr>
                <w:b/>
                <w:sz w:val="20"/>
                <w:szCs w:val="22"/>
              </w:rPr>
            </w:pPr>
            <w:r w:rsidRPr="007B2872">
              <w:rPr>
                <w:b/>
                <w:sz w:val="20"/>
                <w:szCs w:val="22"/>
              </w:rPr>
              <w:t>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6930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91 (59.1)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14C7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47 (61.8)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CF4EE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44 (56.4)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D11BF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0.49</w:t>
            </w:r>
          </w:p>
        </w:tc>
      </w:tr>
      <w:tr w:rsidR="00EB41F4" w:rsidRPr="009362DE" w14:paraId="2A9E2C39" w14:textId="77777777" w:rsidTr="00B429E8">
        <w:trPr>
          <w:trHeight w:val="257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893E" w14:textId="77777777" w:rsidR="00EB41F4" w:rsidRPr="007B2872" w:rsidRDefault="00EB41F4" w:rsidP="00A64C2A">
            <w:pPr>
              <w:jc w:val="center"/>
              <w:rPr>
                <w:b/>
                <w:sz w:val="20"/>
                <w:szCs w:val="22"/>
              </w:rPr>
            </w:pPr>
            <w:r w:rsidRPr="007B2872">
              <w:rPr>
                <w:b/>
                <w:sz w:val="20"/>
                <w:szCs w:val="22"/>
              </w:rPr>
              <w:t>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84F2C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114 (71.7)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24292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57 (74)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0B0FC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57 (69.5)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27424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0.52</w:t>
            </w:r>
          </w:p>
        </w:tc>
      </w:tr>
      <w:tr w:rsidR="00EB41F4" w:rsidRPr="009362DE" w14:paraId="76159A18" w14:textId="77777777" w:rsidTr="00B429E8">
        <w:trPr>
          <w:trHeight w:val="257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4175" w14:textId="77777777" w:rsidR="00EB41F4" w:rsidRPr="007B2872" w:rsidRDefault="00EB41F4" w:rsidP="00A64C2A">
            <w:pPr>
              <w:jc w:val="center"/>
              <w:rPr>
                <w:b/>
                <w:sz w:val="20"/>
                <w:szCs w:val="22"/>
              </w:rPr>
            </w:pPr>
            <w:r w:rsidRPr="007B2872">
              <w:rPr>
                <w:b/>
                <w:sz w:val="20"/>
                <w:szCs w:val="22"/>
              </w:rPr>
              <w:t>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91776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115 (82.0)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5C79B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63 (85.1)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778EC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52 (77.6)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6D9FE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0.25</w:t>
            </w:r>
          </w:p>
        </w:tc>
      </w:tr>
      <w:tr w:rsidR="00EB41F4" w:rsidRPr="009362DE" w14:paraId="155DE306" w14:textId="77777777" w:rsidTr="00B429E8">
        <w:trPr>
          <w:trHeight w:val="257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8D19" w14:textId="77777777" w:rsidR="00EB41F4" w:rsidRPr="007B2872" w:rsidRDefault="00EB41F4" w:rsidP="00A64C2A">
            <w:pPr>
              <w:jc w:val="center"/>
              <w:rPr>
                <w:b/>
                <w:sz w:val="20"/>
                <w:szCs w:val="22"/>
              </w:rPr>
            </w:pPr>
            <w:r w:rsidRPr="007B2872">
              <w:rPr>
                <w:b/>
                <w:sz w:val="20"/>
                <w:szCs w:val="22"/>
              </w:rPr>
              <w:t>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2DBD9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121 (74.2)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DD1C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62 (76.5)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76DBD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59 (72)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9BB29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0.50</w:t>
            </w:r>
          </w:p>
        </w:tc>
      </w:tr>
      <w:tr w:rsidR="00EB41F4" w:rsidRPr="009362DE" w14:paraId="21EA7727" w14:textId="77777777" w:rsidTr="00B429E8">
        <w:trPr>
          <w:trHeight w:val="25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0976" w14:textId="77777777" w:rsidR="00EB41F4" w:rsidRPr="007B2872" w:rsidRDefault="00EB41F4" w:rsidP="00A64C2A">
            <w:pPr>
              <w:jc w:val="center"/>
              <w:rPr>
                <w:b/>
                <w:sz w:val="20"/>
                <w:szCs w:val="22"/>
              </w:rPr>
            </w:pPr>
            <w:r w:rsidRPr="007B2872">
              <w:rPr>
                <w:b/>
                <w:sz w:val="20"/>
                <w:szCs w:val="22"/>
              </w:rPr>
              <w:t>36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B9611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119 (77.8)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90DA3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58 (79.5)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D0766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61 (76.3)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19E16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0.63</w:t>
            </w:r>
          </w:p>
        </w:tc>
      </w:tr>
      <w:tr w:rsidR="00EB41F4" w:rsidRPr="009362DE" w14:paraId="6E534E67" w14:textId="77777777" w:rsidTr="00B429E8">
        <w:trPr>
          <w:trHeight w:val="25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DFBF" w14:textId="77777777" w:rsidR="00EB41F4" w:rsidRPr="007B2872" w:rsidRDefault="00EB41F4" w:rsidP="00A64C2A">
            <w:pPr>
              <w:jc w:val="center"/>
              <w:rPr>
                <w:b/>
                <w:sz w:val="20"/>
                <w:szCs w:val="22"/>
              </w:rPr>
            </w:pPr>
            <w:r w:rsidRPr="007B2872">
              <w:rPr>
                <w:b/>
                <w:sz w:val="20"/>
                <w:szCs w:val="22"/>
              </w:rPr>
              <w:t>60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9FD62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95 (73.6)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A77D6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52 (76.5)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42169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43 (70.5)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29CBA" w14:textId="77777777" w:rsidR="00EB41F4" w:rsidRPr="007B2872" w:rsidRDefault="00EB41F4" w:rsidP="00A64C2A">
            <w:pPr>
              <w:pStyle w:val="NoSpacing"/>
              <w:jc w:val="center"/>
              <w:rPr>
                <w:sz w:val="20"/>
                <w:szCs w:val="22"/>
              </w:rPr>
            </w:pPr>
            <w:r w:rsidRPr="007B2872">
              <w:rPr>
                <w:sz w:val="20"/>
                <w:szCs w:val="22"/>
              </w:rPr>
              <w:t>0.44</w:t>
            </w:r>
          </w:p>
        </w:tc>
      </w:tr>
    </w:tbl>
    <w:p w14:paraId="0CF3C686" w14:textId="77777777" w:rsidR="00DC50FE" w:rsidRDefault="00DC50FE" w:rsidP="00DC50FE">
      <w:pPr>
        <w:spacing w:after="160" w:line="360" w:lineRule="auto"/>
        <w:jc w:val="both"/>
        <w:rPr>
          <w:b/>
        </w:rPr>
      </w:pPr>
    </w:p>
    <w:p w14:paraId="0762643F" w14:textId="603248AC" w:rsidR="00604D4D" w:rsidRDefault="00604D4D" w:rsidP="00941FBF">
      <w:pPr>
        <w:spacing w:line="480" w:lineRule="auto"/>
        <w:rPr>
          <w:sz w:val="22"/>
          <w:szCs w:val="22"/>
        </w:rPr>
      </w:pPr>
    </w:p>
    <w:p w14:paraId="041AE33A" w14:textId="5752FD4C" w:rsidR="00604D4D" w:rsidRDefault="00604D4D" w:rsidP="00941FBF">
      <w:pPr>
        <w:spacing w:line="480" w:lineRule="auto"/>
        <w:rPr>
          <w:sz w:val="22"/>
          <w:szCs w:val="22"/>
        </w:rPr>
      </w:pPr>
    </w:p>
    <w:p w14:paraId="25CC3237" w14:textId="33CA4CEC" w:rsidR="00604D4D" w:rsidRDefault="00604D4D" w:rsidP="00941FBF">
      <w:pPr>
        <w:spacing w:line="480" w:lineRule="auto"/>
        <w:rPr>
          <w:sz w:val="22"/>
          <w:szCs w:val="22"/>
        </w:rPr>
      </w:pPr>
    </w:p>
    <w:p w14:paraId="72F5B620" w14:textId="7CC7E7F4" w:rsidR="00604D4D" w:rsidRDefault="00604D4D" w:rsidP="00941FBF">
      <w:pPr>
        <w:spacing w:line="480" w:lineRule="auto"/>
        <w:rPr>
          <w:sz w:val="22"/>
          <w:szCs w:val="22"/>
        </w:rPr>
      </w:pPr>
    </w:p>
    <w:p w14:paraId="1C1A722E" w14:textId="226B1BE3" w:rsidR="00604D4D" w:rsidRDefault="00604D4D" w:rsidP="00941FBF">
      <w:pPr>
        <w:spacing w:line="480" w:lineRule="auto"/>
        <w:rPr>
          <w:sz w:val="22"/>
          <w:szCs w:val="22"/>
        </w:rPr>
      </w:pPr>
    </w:p>
    <w:p w14:paraId="639A312C" w14:textId="01DB1E4B" w:rsidR="005B2AF1" w:rsidRPr="00500A30" w:rsidRDefault="005B2AF1" w:rsidP="005B2AF1">
      <w:pPr>
        <w:spacing w:line="480" w:lineRule="auto"/>
        <w:jc w:val="both"/>
        <w:rPr>
          <w:szCs w:val="22"/>
        </w:rPr>
      </w:pPr>
      <w:r w:rsidRPr="00500A30">
        <w:rPr>
          <w:b/>
          <w:szCs w:val="22"/>
        </w:rPr>
        <w:t xml:space="preserve">Table </w:t>
      </w:r>
      <w:r w:rsidR="00DC50FE">
        <w:rPr>
          <w:b/>
          <w:szCs w:val="22"/>
        </w:rPr>
        <w:t>4</w:t>
      </w:r>
      <w:r w:rsidR="00CD7426" w:rsidRPr="00500A30">
        <w:rPr>
          <w:b/>
          <w:szCs w:val="22"/>
        </w:rPr>
        <w:t>a:</w:t>
      </w:r>
      <w:r w:rsidR="00CD7426" w:rsidRPr="00500A30">
        <w:rPr>
          <w:szCs w:val="22"/>
        </w:rPr>
        <w:t xml:space="preserve"> Cumulative prednisolone exposure in all p</w:t>
      </w:r>
      <w:r w:rsidR="00473521" w:rsidRPr="00500A30">
        <w:rPr>
          <w:szCs w:val="22"/>
        </w:rPr>
        <w:t xml:space="preserve">atients per decade between 1970 to </w:t>
      </w:r>
      <w:r w:rsidR="00CD7426" w:rsidRPr="00500A30">
        <w:rPr>
          <w:szCs w:val="22"/>
        </w:rPr>
        <w:t>2020</w:t>
      </w: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1048"/>
        <w:gridCol w:w="1408"/>
        <w:gridCol w:w="1243"/>
        <w:gridCol w:w="1243"/>
        <w:gridCol w:w="1223"/>
        <w:gridCol w:w="1243"/>
        <w:gridCol w:w="1732"/>
        <w:gridCol w:w="26"/>
      </w:tblGrid>
      <w:tr w:rsidR="005B2AF1" w:rsidRPr="00D8731C" w14:paraId="72D44439" w14:textId="77777777" w:rsidTr="00333BD2">
        <w:trPr>
          <w:trHeight w:val="198"/>
        </w:trPr>
        <w:tc>
          <w:tcPr>
            <w:tcW w:w="1048" w:type="dxa"/>
            <w:noWrap/>
            <w:hideMark/>
          </w:tcPr>
          <w:p w14:paraId="2D5D4E13" w14:textId="77777777" w:rsidR="005B2AF1" w:rsidRPr="00D8731C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D8731C">
              <w:rPr>
                <w:b/>
                <w:sz w:val="22"/>
                <w:szCs w:val="22"/>
              </w:rPr>
              <w:t>Months</w:t>
            </w:r>
          </w:p>
        </w:tc>
        <w:tc>
          <w:tcPr>
            <w:tcW w:w="8118" w:type="dxa"/>
            <w:gridSpan w:val="7"/>
            <w:noWrap/>
            <w:hideMark/>
          </w:tcPr>
          <w:p w14:paraId="6F88EC0B" w14:textId="1399EA3D" w:rsidR="005B2AF1" w:rsidRPr="00D8731C" w:rsidRDefault="00155F5B" w:rsidP="00155F5B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Cumulative predniso</w:t>
            </w:r>
            <w:r w:rsidR="00CD7426">
              <w:rPr>
                <w:b/>
                <w:sz w:val="22"/>
                <w:szCs w:val="22"/>
              </w:rPr>
              <w:t>lone exposure</w:t>
            </w:r>
            <w:r w:rsidR="005B2AF1" w:rsidRPr="00D8731C">
              <w:rPr>
                <w:b/>
                <w:sz w:val="22"/>
                <w:szCs w:val="22"/>
              </w:rPr>
              <w:t>, mg/kg, median (IQR)</w:t>
            </w:r>
          </w:p>
        </w:tc>
      </w:tr>
      <w:tr w:rsidR="005B2AF1" w:rsidRPr="00D8731C" w14:paraId="5E2FEC71" w14:textId="77777777" w:rsidTr="00333BD2">
        <w:trPr>
          <w:gridAfter w:val="1"/>
          <w:wAfter w:w="26" w:type="dxa"/>
          <w:trHeight w:val="397"/>
        </w:trPr>
        <w:tc>
          <w:tcPr>
            <w:tcW w:w="1048" w:type="dxa"/>
            <w:noWrap/>
            <w:hideMark/>
          </w:tcPr>
          <w:p w14:paraId="544A4401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  <w:hideMark/>
          </w:tcPr>
          <w:p w14:paraId="401FB999" w14:textId="77777777" w:rsidR="005B2AF1" w:rsidRPr="00500A3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00A30">
              <w:rPr>
                <w:b/>
                <w:sz w:val="22"/>
                <w:szCs w:val="22"/>
              </w:rPr>
              <w:t>1970s</w:t>
            </w:r>
            <w:r w:rsidRPr="00500A30">
              <w:rPr>
                <w:b/>
                <w:sz w:val="22"/>
                <w:szCs w:val="22"/>
              </w:rPr>
              <w:br/>
              <w:t xml:space="preserve"> (n = 42)</w:t>
            </w:r>
          </w:p>
        </w:tc>
        <w:tc>
          <w:tcPr>
            <w:tcW w:w="1243" w:type="dxa"/>
            <w:hideMark/>
          </w:tcPr>
          <w:p w14:paraId="1C1FF741" w14:textId="77777777" w:rsidR="005B2AF1" w:rsidRPr="00500A3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00A30">
              <w:rPr>
                <w:b/>
                <w:sz w:val="22"/>
                <w:szCs w:val="22"/>
              </w:rPr>
              <w:t>1980s</w:t>
            </w:r>
            <w:r w:rsidRPr="00500A30">
              <w:rPr>
                <w:b/>
                <w:sz w:val="22"/>
                <w:szCs w:val="22"/>
              </w:rPr>
              <w:br/>
              <w:t xml:space="preserve"> (n= 55)</w:t>
            </w:r>
          </w:p>
        </w:tc>
        <w:tc>
          <w:tcPr>
            <w:tcW w:w="1243" w:type="dxa"/>
            <w:hideMark/>
          </w:tcPr>
          <w:p w14:paraId="115D35D5" w14:textId="77777777" w:rsidR="005B2AF1" w:rsidRPr="00500A3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00A30">
              <w:rPr>
                <w:b/>
                <w:sz w:val="22"/>
                <w:szCs w:val="22"/>
              </w:rPr>
              <w:t xml:space="preserve">1990s </w:t>
            </w:r>
            <w:r w:rsidRPr="00500A30">
              <w:rPr>
                <w:b/>
                <w:sz w:val="22"/>
                <w:szCs w:val="22"/>
              </w:rPr>
              <w:br/>
              <w:t>(n = 37)</w:t>
            </w:r>
          </w:p>
        </w:tc>
        <w:tc>
          <w:tcPr>
            <w:tcW w:w="1223" w:type="dxa"/>
            <w:hideMark/>
          </w:tcPr>
          <w:p w14:paraId="3FE6EF37" w14:textId="77777777" w:rsidR="005B2AF1" w:rsidRPr="00500A3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00A30">
              <w:rPr>
                <w:b/>
                <w:sz w:val="22"/>
                <w:szCs w:val="22"/>
              </w:rPr>
              <w:t>2000s</w:t>
            </w:r>
            <w:r w:rsidRPr="00500A30">
              <w:rPr>
                <w:b/>
                <w:sz w:val="22"/>
                <w:szCs w:val="22"/>
              </w:rPr>
              <w:br/>
              <w:t>(n = 57)</w:t>
            </w:r>
          </w:p>
        </w:tc>
        <w:tc>
          <w:tcPr>
            <w:tcW w:w="1243" w:type="dxa"/>
            <w:hideMark/>
          </w:tcPr>
          <w:p w14:paraId="1973EBB9" w14:textId="77777777" w:rsidR="005B2AF1" w:rsidRPr="00500A3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00A30">
              <w:rPr>
                <w:b/>
                <w:sz w:val="22"/>
                <w:szCs w:val="22"/>
              </w:rPr>
              <w:t xml:space="preserve">2010s </w:t>
            </w:r>
            <w:r w:rsidRPr="00500A30">
              <w:rPr>
                <w:b/>
                <w:sz w:val="22"/>
                <w:szCs w:val="22"/>
              </w:rPr>
              <w:br/>
              <w:t>( n = 35)</w:t>
            </w:r>
          </w:p>
        </w:tc>
        <w:tc>
          <w:tcPr>
            <w:tcW w:w="1732" w:type="dxa"/>
            <w:hideMark/>
          </w:tcPr>
          <w:p w14:paraId="0F26CA6A" w14:textId="2AB7AAD8" w:rsidR="005B2AF1" w:rsidRPr="00500A30" w:rsidRDefault="00333BD2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33BD2">
              <w:rPr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5B2AF1" w:rsidRPr="00333BD2">
              <w:rPr>
                <w:b/>
                <w:sz w:val="22"/>
                <w:szCs w:val="22"/>
              </w:rPr>
              <w:t>value</w:t>
            </w:r>
          </w:p>
        </w:tc>
      </w:tr>
      <w:tr w:rsidR="005B2AF1" w:rsidRPr="00D8731C" w14:paraId="53C419DE" w14:textId="77777777" w:rsidTr="00333BD2">
        <w:trPr>
          <w:gridAfter w:val="1"/>
          <w:wAfter w:w="26" w:type="dxa"/>
          <w:trHeight w:val="198"/>
        </w:trPr>
        <w:tc>
          <w:tcPr>
            <w:tcW w:w="1048" w:type="dxa"/>
            <w:noWrap/>
            <w:hideMark/>
          </w:tcPr>
          <w:p w14:paraId="6F8EA422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08" w:type="dxa"/>
            <w:noWrap/>
            <w:hideMark/>
          </w:tcPr>
          <w:p w14:paraId="5FA5B45F" w14:textId="26A03672" w:rsidR="005B2AF1" w:rsidRPr="00D8731C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23.5 </w:t>
            </w:r>
            <w:r w:rsidR="005B2AF1" w:rsidRPr="00D8731C">
              <w:rPr>
                <w:sz w:val="22"/>
                <w:szCs w:val="22"/>
              </w:rPr>
              <w:t>(9.3)</w:t>
            </w:r>
          </w:p>
        </w:tc>
        <w:tc>
          <w:tcPr>
            <w:tcW w:w="1243" w:type="dxa"/>
            <w:noWrap/>
            <w:hideMark/>
          </w:tcPr>
          <w:p w14:paraId="7305787A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22 (10.4)</w:t>
            </w:r>
          </w:p>
        </w:tc>
        <w:tc>
          <w:tcPr>
            <w:tcW w:w="1243" w:type="dxa"/>
            <w:noWrap/>
            <w:hideMark/>
          </w:tcPr>
          <w:p w14:paraId="33EBC39A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24 (10.8)</w:t>
            </w:r>
          </w:p>
        </w:tc>
        <w:tc>
          <w:tcPr>
            <w:tcW w:w="1223" w:type="dxa"/>
            <w:noWrap/>
            <w:hideMark/>
          </w:tcPr>
          <w:p w14:paraId="76BBB858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23 (12.2)</w:t>
            </w:r>
          </w:p>
        </w:tc>
        <w:tc>
          <w:tcPr>
            <w:tcW w:w="1243" w:type="dxa"/>
            <w:noWrap/>
            <w:hideMark/>
          </w:tcPr>
          <w:p w14:paraId="1A9BFA29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21 (7.89)</w:t>
            </w:r>
          </w:p>
        </w:tc>
        <w:tc>
          <w:tcPr>
            <w:tcW w:w="1732" w:type="dxa"/>
            <w:noWrap/>
            <w:hideMark/>
          </w:tcPr>
          <w:p w14:paraId="6CD8C9D6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0.684</w:t>
            </w:r>
          </w:p>
        </w:tc>
      </w:tr>
      <w:tr w:rsidR="005B2AF1" w:rsidRPr="00D8731C" w14:paraId="40E57B2E" w14:textId="77777777" w:rsidTr="00333BD2">
        <w:trPr>
          <w:gridAfter w:val="1"/>
          <w:wAfter w:w="26" w:type="dxa"/>
          <w:trHeight w:val="355"/>
        </w:trPr>
        <w:tc>
          <w:tcPr>
            <w:tcW w:w="1048" w:type="dxa"/>
            <w:noWrap/>
            <w:hideMark/>
          </w:tcPr>
          <w:p w14:paraId="25212EB2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08" w:type="dxa"/>
            <w:noWrap/>
            <w:hideMark/>
          </w:tcPr>
          <w:p w14:paraId="05091C5D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41.1 (16.3)</w:t>
            </w:r>
          </w:p>
        </w:tc>
        <w:tc>
          <w:tcPr>
            <w:tcW w:w="1243" w:type="dxa"/>
            <w:noWrap/>
            <w:hideMark/>
          </w:tcPr>
          <w:p w14:paraId="4991CA04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37 (18.3)</w:t>
            </w:r>
          </w:p>
        </w:tc>
        <w:tc>
          <w:tcPr>
            <w:tcW w:w="1243" w:type="dxa"/>
            <w:noWrap/>
            <w:hideMark/>
          </w:tcPr>
          <w:p w14:paraId="78FFD810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39 (22)</w:t>
            </w:r>
          </w:p>
        </w:tc>
        <w:tc>
          <w:tcPr>
            <w:tcW w:w="1223" w:type="dxa"/>
            <w:noWrap/>
            <w:hideMark/>
          </w:tcPr>
          <w:p w14:paraId="0A10CB23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34 (19.8)</w:t>
            </w:r>
          </w:p>
        </w:tc>
        <w:tc>
          <w:tcPr>
            <w:tcW w:w="1243" w:type="dxa"/>
            <w:noWrap/>
            <w:hideMark/>
          </w:tcPr>
          <w:p w14:paraId="5CAA7570" w14:textId="7619E73D" w:rsidR="005B2AF1" w:rsidRPr="00D8731C" w:rsidRDefault="005B2AF1" w:rsidP="00333BD2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29 (8.51)</w:t>
            </w:r>
          </w:p>
        </w:tc>
        <w:tc>
          <w:tcPr>
            <w:tcW w:w="1732" w:type="dxa"/>
            <w:noWrap/>
            <w:hideMark/>
          </w:tcPr>
          <w:p w14:paraId="1268287A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0.004</w:t>
            </w:r>
          </w:p>
        </w:tc>
      </w:tr>
      <w:tr w:rsidR="005B2AF1" w:rsidRPr="00D8731C" w14:paraId="680DF6DC" w14:textId="77777777" w:rsidTr="00333BD2">
        <w:trPr>
          <w:gridAfter w:val="1"/>
          <w:wAfter w:w="26" w:type="dxa"/>
          <w:trHeight w:val="198"/>
        </w:trPr>
        <w:tc>
          <w:tcPr>
            <w:tcW w:w="1048" w:type="dxa"/>
            <w:noWrap/>
            <w:hideMark/>
          </w:tcPr>
          <w:p w14:paraId="3EB369A7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08" w:type="dxa"/>
            <w:noWrap/>
            <w:hideMark/>
          </w:tcPr>
          <w:p w14:paraId="03E912A0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69.72 (29.4)</w:t>
            </w:r>
          </w:p>
        </w:tc>
        <w:tc>
          <w:tcPr>
            <w:tcW w:w="1243" w:type="dxa"/>
            <w:noWrap/>
            <w:hideMark/>
          </w:tcPr>
          <w:p w14:paraId="1F7C2745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57 (26.3)</w:t>
            </w:r>
          </w:p>
        </w:tc>
        <w:tc>
          <w:tcPr>
            <w:tcW w:w="1243" w:type="dxa"/>
            <w:noWrap/>
            <w:hideMark/>
          </w:tcPr>
          <w:p w14:paraId="78FB3CCF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60 (35)</w:t>
            </w:r>
          </w:p>
        </w:tc>
        <w:tc>
          <w:tcPr>
            <w:tcW w:w="1223" w:type="dxa"/>
            <w:noWrap/>
            <w:hideMark/>
          </w:tcPr>
          <w:p w14:paraId="5958BA9F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43 (27.6)</w:t>
            </w:r>
          </w:p>
        </w:tc>
        <w:tc>
          <w:tcPr>
            <w:tcW w:w="1243" w:type="dxa"/>
            <w:noWrap/>
            <w:hideMark/>
          </w:tcPr>
          <w:p w14:paraId="3BFC557B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39 (22.10)</w:t>
            </w:r>
          </w:p>
        </w:tc>
        <w:tc>
          <w:tcPr>
            <w:tcW w:w="1732" w:type="dxa"/>
            <w:noWrap/>
            <w:hideMark/>
          </w:tcPr>
          <w:p w14:paraId="5A6822DA" w14:textId="073953AB" w:rsidR="005B2AF1" w:rsidRPr="00D8731C" w:rsidRDefault="00B80507" w:rsidP="001D353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&lt;0.00</w:t>
            </w:r>
            <w:r w:rsidR="005B2AF1" w:rsidRPr="00D8731C">
              <w:rPr>
                <w:sz w:val="22"/>
                <w:szCs w:val="22"/>
              </w:rPr>
              <w:t>1</w:t>
            </w:r>
          </w:p>
        </w:tc>
      </w:tr>
      <w:tr w:rsidR="005B2AF1" w:rsidRPr="00D8731C" w14:paraId="1C915368" w14:textId="77777777" w:rsidTr="00333BD2">
        <w:trPr>
          <w:gridAfter w:val="1"/>
          <w:wAfter w:w="26" w:type="dxa"/>
          <w:trHeight w:val="198"/>
        </w:trPr>
        <w:tc>
          <w:tcPr>
            <w:tcW w:w="1048" w:type="dxa"/>
            <w:noWrap/>
            <w:hideMark/>
          </w:tcPr>
          <w:p w14:paraId="7AC444D0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408" w:type="dxa"/>
            <w:noWrap/>
            <w:hideMark/>
          </w:tcPr>
          <w:p w14:paraId="5690D92C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128.3 (62.5)</w:t>
            </w:r>
          </w:p>
        </w:tc>
        <w:tc>
          <w:tcPr>
            <w:tcW w:w="1243" w:type="dxa"/>
            <w:noWrap/>
            <w:hideMark/>
          </w:tcPr>
          <w:p w14:paraId="0DE83F55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92 (55.5)</w:t>
            </w:r>
          </w:p>
        </w:tc>
        <w:tc>
          <w:tcPr>
            <w:tcW w:w="1243" w:type="dxa"/>
            <w:noWrap/>
            <w:hideMark/>
          </w:tcPr>
          <w:p w14:paraId="2069927A" w14:textId="03ED0821" w:rsidR="005B2AF1" w:rsidRPr="00D8731C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 </w:t>
            </w:r>
            <w:r w:rsidR="005B2AF1" w:rsidRPr="00D8731C">
              <w:rPr>
                <w:sz w:val="22"/>
                <w:szCs w:val="22"/>
              </w:rPr>
              <w:t>(44.8)</w:t>
            </w:r>
          </w:p>
        </w:tc>
        <w:tc>
          <w:tcPr>
            <w:tcW w:w="1223" w:type="dxa"/>
            <w:noWrap/>
            <w:hideMark/>
          </w:tcPr>
          <w:p w14:paraId="0D252173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56 (32.1)</w:t>
            </w:r>
          </w:p>
        </w:tc>
        <w:tc>
          <w:tcPr>
            <w:tcW w:w="1243" w:type="dxa"/>
            <w:noWrap/>
            <w:hideMark/>
          </w:tcPr>
          <w:p w14:paraId="6480E50F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47 (42.3)</w:t>
            </w:r>
          </w:p>
        </w:tc>
        <w:tc>
          <w:tcPr>
            <w:tcW w:w="1732" w:type="dxa"/>
            <w:noWrap/>
            <w:hideMark/>
          </w:tcPr>
          <w:p w14:paraId="3FE057B3" w14:textId="7620E653" w:rsidR="005B2AF1" w:rsidRPr="00D8731C" w:rsidRDefault="00B80507" w:rsidP="001D353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&lt;0.0</w:t>
            </w:r>
            <w:r w:rsidR="005B2AF1" w:rsidRPr="00D8731C">
              <w:rPr>
                <w:sz w:val="22"/>
                <w:szCs w:val="22"/>
              </w:rPr>
              <w:t>01</w:t>
            </w:r>
          </w:p>
        </w:tc>
      </w:tr>
      <w:tr w:rsidR="005B2AF1" w:rsidRPr="00D8731C" w14:paraId="001C83E9" w14:textId="77777777" w:rsidTr="00333BD2">
        <w:trPr>
          <w:gridAfter w:val="1"/>
          <w:wAfter w:w="26" w:type="dxa"/>
          <w:trHeight w:val="198"/>
        </w:trPr>
        <w:tc>
          <w:tcPr>
            <w:tcW w:w="1048" w:type="dxa"/>
            <w:noWrap/>
            <w:hideMark/>
          </w:tcPr>
          <w:p w14:paraId="0E398D68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08" w:type="dxa"/>
            <w:noWrap/>
            <w:hideMark/>
          </w:tcPr>
          <w:p w14:paraId="50F29357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178.1 (73.9)</w:t>
            </w:r>
          </w:p>
        </w:tc>
        <w:tc>
          <w:tcPr>
            <w:tcW w:w="1243" w:type="dxa"/>
            <w:noWrap/>
            <w:hideMark/>
          </w:tcPr>
          <w:p w14:paraId="050B522B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124 (98.2)</w:t>
            </w:r>
          </w:p>
        </w:tc>
        <w:tc>
          <w:tcPr>
            <w:tcW w:w="1243" w:type="dxa"/>
            <w:noWrap/>
            <w:hideMark/>
          </w:tcPr>
          <w:p w14:paraId="1E5BDBC5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104 (76.8)</w:t>
            </w:r>
          </w:p>
        </w:tc>
        <w:tc>
          <w:tcPr>
            <w:tcW w:w="1223" w:type="dxa"/>
            <w:noWrap/>
            <w:hideMark/>
          </w:tcPr>
          <w:p w14:paraId="450AC51F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60 (49.9)</w:t>
            </w:r>
          </w:p>
        </w:tc>
        <w:tc>
          <w:tcPr>
            <w:tcW w:w="1243" w:type="dxa"/>
            <w:noWrap/>
            <w:hideMark/>
          </w:tcPr>
          <w:p w14:paraId="493904B6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50 (44.4)</w:t>
            </w:r>
          </w:p>
        </w:tc>
        <w:tc>
          <w:tcPr>
            <w:tcW w:w="1732" w:type="dxa"/>
            <w:noWrap/>
            <w:hideMark/>
          </w:tcPr>
          <w:p w14:paraId="2B769AC7" w14:textId="04F62976" w:rsidR="005B2AF1" w:rsidRPr="00D8731C" w:rsidRDefault="00B80507" w:rsidP="001D353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</w:t>
            </w:r>
            <w:r w:rsidR="005B2AF1" w:rsidRPr="00D8731C">
              <w:rPr>
                <w:sz w:val="22"/>
                <w:szCs w:val="22"/>
              </w:rPr>
              <w:t>001</w:t>
            </w:r>
          </w:p>
        </w:tc>
      </w:tr>
      <w:tr w:rsidR="005B2AF1" w:rsidRPr="00D8731C" w14:paraId="483A9757" w14:textId="77777777" w:rsidTr="00333BD2">
        <w:trPr>
          <w:gridAfter w:val="1"/>
          <w:wAfter w:w="26" w:type="dxa"/>
          <w:trHeight w:val="198"/>
        </w:trPr>
        <w:tc>
          <w:tcPr>
            <w:tcW w:w="1048" w:type="dxa"/>
            <w:noWrap/>
            <w:hideMark/>
          </w:tcPr>
          <w:p w14:paraId="60FD3D49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408" w:type="dxa"/>
            <w:noWrap/>
            <w:hideMark/>
          </w:tcPr>
          <w:p w14:paraId="6E2509D6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215.2 (99.8)</w:t>
            </w:r>
          </w:p>
        </w:tc>
        <w:tc>
          <w:tcPr>
            <w:tcW w:w="1243" w:type="dxa"/>
            <w:noWrap/>
            <w:hideMark/>
          </w:tcPr>
          <w:p w14:paraId="1DF749AF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134 (120)</w:t>
            </w:r>
          </w:p>
        </w:tc>
        <w:tc>
          <w:tcPr>
            <w:tcW w:w="1243" w:type="dxa"/>
            <w:noWrap/>
            <w:hideMark/>
          </w:tcPr>
          <w:p w14:paraId="32D28AA1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111 (94.3)</w:t>
            </w:r>
          </w:p>
        </w:tc>
        <w:tc>
          <w:tcPr>
            <w:tcW w:w="1223" w:type="dxa"/>
            <w:noWrap/>
            <w:hideMark/>
          </w:tcPr>
          <w:p w14:paraId="521D03FA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65 (66.72)</w:t>
            </w:r>
          </w:p>
        </w:tc>
        <w:tc>
          <w:tcPr>
            <w:tcW w:w="1243" w:type="dxa"/>
            <w:noWrap/>
            <w:hideMark/>
          </w:tcPr>
          <w:p w14:paraId="3E2E5E38" w14:textId="77777777" w:rsidR="005B2AF1" w:rsidRPr="00D8731C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D8731C">
              <w:rPr>
                <w:sz w:val="22"/>
                <w:szCs w:val="22"/>
              </w:rPr>
              <w:t>52 (55.35)</w:t>
            </w:r>
          </w:p>
        </w:tc>
        <w:tc>
          <w:tcPr>
            <w:tcW w:w="1732" w:type="dxa"/>
            <w:noWrap/>
            <w:hideMark/>
          </w:tcPr>
          <w:p w14:paraId="13E1605D" w14:textId="1B9B7ECA" w:rsidR="005B2AF1" w:rsidRPr="00D8731C" w:rsidRDefault="00B80507" w:rsidP="00B80507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</w:t>
            </w:r>
            <w:r w:rsidR="005B2AF1" w:rsidRPr="00D8731C">
              <w:rPr>
                <w:sz w:val="22"/>
                <w:szCs w:val="22"/>
              </w:rPr>
              <w:t>001</w:t>
            </w:r>
          </w:p>
        </w:tc>
      </w:tr>
    </w:tbl>
    <w:p w14:paraId="0ACCD05B" w14:textId="77777777" w:rsidR="005B2AF1" w:rsidRDefault="005B2AF1" w:rsidP="005B2AF1">
      <w:pPr>
        <w:pStyle w:val="NoSpacing"/>
      </w:pPr>
    </w:p>
    <w:p w14:paraId="6E61EE2D" w14:textId="2747EB2B" w:rsidR="005B2AF1" w:rsidRPr="00500A30" w:rsidRDefault="00604D4D" w:rsidP="005B2AF1">
      <w:pPr>
        <w:spacing w:line="480" w:lineRule="auto"/>
        <w:jc w:val="both"/>
        <w:rPr>
          <w:szCs w:val="22"/>
        </w:rPr>
      </w:pPr>
      <w:r>
        <w:rPr>
          <w:b/>
          <w:szCs w:val="22"/>
        </w:rPr>
        <w:t xml:space="preserve">Table </w:t>
      </w:r>
      <w:r w:rsidR="00DC50FE">
        <w:rPr>
          <w:b/>
          <w:szCs w:val="22"/>
        </w:rPr>
        <w:t>4</w:t>
      </w:r>
      <w:r w:rsidR="00CD7426" w:rsidRPr="00500A30">
        <w:rPr>
          <w:b/>
          <w:szCs w:val="22"/>
        </w:rPr>
        <w:t>b:</w:t>
      </w:r>
      <w:r w:rsidR="00CD7426" w:rsidRPr="00500A30">
        <w:rPr>
          <w:szCs w:val="22"/>
        </w:rPr>
        <w:t xml:space="preserve"> Prednisolo</w:t>
      </w:r>
      <w:r w:rsidR="005B2AF1" w:rsidRPr="00500A30">
        <w:rPr>
          <w:szCs w:val="22"/>
        </w:rPr>
        <w:t>ne dose</w:t>
      </w:r>
      <w:r w:rsidR="00473521" w:rsidRPr="00500A30">
        <w:rPr>
          <w:szCs w:val="22"/>
        </w:rPr>
        <w:t xml:space="preserve"> in all patients</w:t>
      </w:r>
      <w:r w:rsidR="005B2AF1" w:rsidRPr="00500A30">
        <w:rPr>
          <w:szCs w:val="22"/>
        </w:rPr>
        <w:t xml:space="preserve"> per decade </w:t>
      </w:r>
      <w:r w:rsidR="00473521" w:rsidRPr="00500A30">
        <w:rPr>
          <w:szCs w:val="22"/>
        </w:rPr>
        <w:t>between 1970 to 2020</w:t>
      </w:r>
      <w:r w:rsidR="005B2AF1" w:rsidRPr="00500A30">
        <w:rPr>
          <w:szCs w:val="22"/>
        </w:rPr>
        <w:t xml:space="preserve"> </w:t>
      </w: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1109"/>
        <w:gridCol w:w="1374"/>
        <w:gridCol w:w="1353"/>
        <w:gridCol w:w="1298"/>
        <w:gridCol w:w="1276"/>
        <w:gridCol w:w="1708"/>
        <w:gridCol w:w="927"/>
        <w:gridCol w:w="20"/>
      </w:tblGrid>
      <w:tr w:rsidR="005B2AF1" w:rsidRPr="009362DE" w14:paraId="3984B8F5" w14:textId="77777777" w:rsidTr="00333BD2">
        <w:trPr>
          <w:trHeight w:val="193"/>
        </w:trPr>
        <w:tc>
          <w:tcPr>
            <w:tcW w:w="1109" w:type="dxa"/>
            <w:noWrap/>
            <w:hideMark/>
          </w:tcPr>
          <w:p w14:paraId="3DFB1A40" w14:textId="77777777" w:rsidR="005B2AF1" w:rsidRPr="00390643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90643">
              <w:rPr>
                <w:b/>
                <w:sz w:val="22"/>
                <w:szCs w:val="22"/>
              </w:rPr>
              <w:t>Months</w:t>
            </w:r>
          </w:p>
        </w:tc>
        <w:tc>
          <w:tcPr>
            <w:tcW w:w="7956" w:type="dxa"/>
            <w:gridSpan w:val="7"/>
            <w:noWrap/>
            <w:hideMark/>
          </w:tcPr>
          <w:p w14:paraId="652AE449" w14:textId="481EA744" w:rsidR="005B2AF1" w:rsidRPr="00390643" w:rsidRDefault="00155F5B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Prednisolo</w:t>
            </w:r>
            <w:r w:rsidR="005B2AF1" w:rsidRPr="00390643">
              <w:rPr>
                <w:b/>
                <w:sz w:val="22"/>
                <w:szCs w:val="22"/>
              </w:rPr>
              <w:t>ne dose, mg/kg/day, median (IQR)</w:t>
            </w:r>
          </w:p>
        </w:tc>
      </w:tr>
      <w:tr w:rsidR="005B2AF1" w:rsidRPr="009362DE" w14:paraId="017746EC" w14:textId="77777777" w:rsidTr="00333BD2">
        <w:trPr>
          <w:gridAfter w:val="1"/>
          <w:wAfter w:w="20" w:type="dxa"/>
          <w:trHeight w:val="388"/>
        </w:trPr>
        <w:tc>
          <w:tcPr>
            <w:tcW w:w="1109" w:type="dxa"/>
            <w:noWrap/>
            <w:hideMark/>
          </w:tcPr>
          <w:p w14:paraId="33B8732F" w14:textId="77777777" w:rsidR="005B2AF1" w:rsidRPr="009362DE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hideMark/>
          </w:tcPr>
          <w:p w14:paraId="4627A64B" w14:textId="77777777" w:rsidR="005B2AF1" w:rsidRPr="00500A3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00A30">
              <w:rPr>
                <w:b/>
                <w:sz w:val="22"/>
                <w:szCs w:val="22"/>
              </w:rPr>
              <w:t>1970s</w:t>
            </w:r>
            <w:r w:rsidRPr="00500A30">
              <w:rPr>
                <w:b/>
                <w:sz w:val="22"/>
                <w:szCs w:val="22"/>
              </w:rPr>
              <w:br/>
              <w:t xml:space="preserve"> (n = 42)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hideMark/>
          </w:tcPr>
          <w:p w14:paraId="7A236B60" w14:textId="77777777" w:rsidR="005B2AF1" w:rsidRPr="00500A3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00A30">
              <w:rPr>
                <w:b/>
                <w:sz w:val="22"/>
                <w:szCs w:val="22"/>
              </w:rPr>
              <w:t>1980s</w:t>
            </w:r>
            <w:r w:rsidRPr="00500A30">
              <w:rPr>
                <w:b/>
                <w:sz w:val="22"/>
                <w:szCs w:val="22"/>
              </w:rPr>
              <w:br/>
              <w:t xml:space="preserve"> (n= 55)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hideMark/>
          </w:tcPr>
          <w:p w14:paraId="3BDB43CD" w14:textId="77777777" w:rsidR="005B2AF1" w:rsidRPr="00500A3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00A30">
              <w:rPr>
                <w:b/>
                <w:sz w:val="22"/>
                <w:szCs w:val="22"/>
              </w:rPr>
              <w:t xml:space="preserve">1990s </w:t>
            </w:r>
            <w:r w:rsidRPr="00500A30">
              <w:rPr>
                <w:b/>
                <w:sz w:val="22"/>
                <w:szCs w:val="22"/>
              </w:rPr>
              <w:br/>
              <w:t>(n = 37)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65C4E81C" w14:textId="77777777" w:rsidR="005B2AF1" w:rsidRPr="00500A3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00A30">
              <w:rPr>
                <w:b/>
                <w:sz w:val="22"/>
                <w:szCs w:val="22"/>
              </w:rPr>
              <w:t>2000s</w:t>
            </w:r>
            <w:r w:rsidRPr="00500A30">
              <w:rPr>
                <w:b/>
                <w:sz w:val="22"/>
                <w:szCs w:val="22"/>
              </w:rPr>
              <w:br/>
              <w:t>(n = 57)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hideMark/>
          </w:tcPr>
          <w:p w14:paraId="4E0975CE" w14:textId="77777777" w:rsidR="005B2AF1" w:rsidRPr="00500A3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00A30">
              <w:rPr>
                <w:b/>
                <w:sz w:val="22"/>
                <w:szCs w:val="22"/>
              </w:rPr>
              <w:t xml:space="preserve">2010s </w:t>
            </w:r>
            <w:r w:rsidRPr="00500A30">
              <w:rPr>
                <w:b/>
                <w:sz w:val="22"/>
                <w:szCs w:val="22"/>
              </w:rPr>
              <w:br/>
              <w:t>( n = 35)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hideMark/>
          </w:tcPr>
          <w:p w14:paraId="5BF92E6F" w14:textId="2569D48C" w:rsidR="005B2AF1" w:rsidRPr="00500A30" w:rsidRDefault="00333BD2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33BD2">
              <w:rPr>
                <w:b/>
                <w:i/>
                <w:sz w:val="22"/>
                <w:szCs w:val="22"/>
              </w:rPr>
              <w:t>P</w:t>
            </w:r>
            <w:r w:rsidR="005B2AF1" w:rsidRPr="00500A30">
              <w:rPr>
                <w:b/>
                <w:sz w:val="22"/>
                <w:szCs w:val="22"/>
              </w:rPr>
              <w:t xml:space="preserve"> value</w:t>
            </w:r>
          </w:p>
        </w:tc>
      </w:tr>
      <w:tr w:rsidR="005B2AF1" w:rsidRPr="009362DE" w14:paraId="307D9164" w14:textId="77777777" w:rsidTr="00333BD2">
        <w:trPr>
          <w:gridAfter w:val="1"/>
          <w:wAfter w:w="20" w:type="dxa"/>
          <w:trHeight w:val="388"/>
        </w:trPr>
        <w:tc>
          <w:tcPr>
            <w:tcW w:w="1109" w:type="dxa"/>
            <w:noWrap/>
          </w:tcPr>
          <w:p w14:paraId="57E8831B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8592" w14:textId="77777777" w:rsidR="005B2AF1" w:rsidRPr="009362DE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0.33 (0.20)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3FE6A" w14:textId="7278E772" w:rsidR="005B2AF1" w:rsidRPr="00333BD2" w:rsidRDefault="00333BD2" w:rsidP="00333BD2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0.42  </w:t>
            </w:r>
            <w:r w:rsidR="005B2AF1" w:rsidRPr="009362DE">
              <w:rPr>
                <w:color w:val="000000"/>
                <w:sz w:val="22"/>
                <w:szCs w:val="22"/>
              </w:rPr>
              <w:t>(0.21)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827" w14:textId="604074A1" w:rsidR="005B2AF1" w:rsidRPr="00333BD2" w:rsidRDefault="00333BD2" w:rsidP="00333BD2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0.40 </w:t>
            </w:r>
            <w:r w:rsidR="005B2AF1" w:rsidRPr="009362DE">
              <w:rPr>
                <w:color w:val="000000"/>
                <w:sz w:val="22"/>
                <w:szCs w:val="22"/>
              </w:rPr>
              <w:t>(0.22)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6386" w14:textId="75EF1BC2" w:rsidR="005B2AF1" w:rsidRPr="00333BD2" w:rsidRDefault="00333BD2" w:rsidP="00333BD2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0.48 </w:t>
            </w:r>
            <w:r w:rsidR="005B2AF1" w:rsidRPr="009362DE">
              <w:rPr>
                <w:color w:val="000000"/>
                <w:sz w:val="22"/>
                <w:szCs w:val="22"/>
              </w:rPr>
              <w:t>(0.25)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6400" w14:textId="338AAC31" w:rsidR="005B2AF1" w:rsidRPr="00333BD2" w:rsidRDefault="00333BD2" w:rsidP="00333BD2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0.48 </w:t>
            </w:r>
            <w:r w:rsidR="005B2AF1" w:rsidRPr="009362DE">
              <w:rPr>
                <w:color w:val="000000"/>
                <w:sz w:val="22"/>
                <w:szCs w:val="22"/>
              </w:rPr>
              <w:t>(0.18)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255F" w14:textId="1C21A73B" w:rsidR="005B2AF1" w:rsidRPr="009362DE" w:rsidRDefault="00B80507" w:rsidP="001D353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  <w:r w:rsidR="005B2AF1" w:rsidRPr="009362DE">
              <w:rPr>
                <w:sz w:val="22"/>
                <w:szCs w:val="22"/>
              </w:rPr>
              <w:t>31</w:t>
            </w:r>
          </w:p>
        </w:tc>
      </w:tr>
      <w:tr w:rsidR="005B2AF1" w:rsidRPr="009362DE" w14:paraId="00A67F65" w14:textId="77777777" w:rsidTr="00333BD2">
        <w:trPr>
          <w:gridAfter w:val="1"/>
          <w:wAfter w:w="20" w:type="dxa"/>
          <w:trHeight w:val="388"/>
        </w:trPr>
        <w:tc>
          <w:tcPr>
            <w:tcW w:w="1109" w:type="dxa"/>
            <w:noWrap/>
          </w:tcPr>
          <w:p w14:paraId="5C3F8809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14:paraId="0C52B1E4" w14:textId="77777777" w:rsidR="005B2AF1" w:rsidRPr="009362DE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0.20 (0.11)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38B5C09F" w14:textId="350DE4DE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0.17 </w:t>
            </w:r>
            <w:r w:rsidR="005B2AF1" w:rsidRPr="009362DE">
              <w:rPr>
                <w:sz w:val="22"/>
                <w:szCs w:val="22"/>
              </w:rPr>
              <w:t>(0.10)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5CACF4BB" w14:textId="1EBF5BFA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0.19 </w:t>
            </w:r>
            <w:r w:rsidR="005B2AF1" w:rsidRPr="009362DE">
              <w:rPr>
                <w:sz w:val="22"/>
                <w:szCs w:val="22"/>
              </w:rPr>
              <w:t>(0.12)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1B1CF0" w14:textId="179386E3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0.14  </w:t>
            </w:r>
            <w:r w:rsidR="005B2AF1" w:rsidRPr="009362DE">
              <w:rPr>
                <w:sz w:val="22"/>
                <w:szCs w:val="22"/>
              </w:rPr>
              <w:t>(0.14)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1FEDB372" w14:textId="3278034B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0.12 </w:t>
            </w:r>
            <w:r w:rsidR="005B2AF1" w:rsidRPr="009362DE">
              <w:rPr>
                <w:sz w:val="22"/>
                <w:szCs w:val="22"/>
              </w:rPr>
              <w:t>(0.11)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7D09EBC2" w14:textId="4E3939AC" w:rsidR="005B2AF1" w:rsidRPr="009362DE" w:rsidRDefault="00B80507" w:rsidP="001D353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&lt;0.0</w:t>
            </w:r>
            <w:r w:rsidR="005B2AF1" w:rsidRPr="009362DE">
              <w:rPr>
                <w:sz w:val="22"/>
                <w:szCs w:val="22"/>
              </w:rPr>
              <w:t>01</w:t>
            </w:r>
          </w:p>
        </w:tc>
      </w:tr>
      <w:tr w:rsidR="005B2AF1" w:rsidRPr="009362DE" w14:paraId="681DBA41" w14:textId="77777777" w:rsidTr="00333BD2">
        <w:trPr>
          <w:gridAfter w:val="1"/>
          <w:wAfter w:w="20" w:type="dxa"/>
          <w:trHeight w:val="388"/>
        </w:trPr>
        <w:tc>
          <w:tcPr>
            <w:tcW w:w="1109" w:type="dxa"/>
            <w:noWrap/>
          </w:tcPr>
          <w:p w14:paraId="0E71FA5F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74" w:type="dxa"/>
          </w:tcPr>
          <w:p w14:paraId="459EB63A" w14:textId="77777777" w:rsidR="005B2AF1" w:rsidRPr="009362DE" w:rsidRDefault="005B2AF1" w:rsidP="001D3533">
            <w:pPr>
              <w:pStyle w:val="NoSpacing"/>
              <w:jc w:val="center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0.19 (0.08)</w:t>
            </w:r>
          </w:p>
        </w:tc>
        <w:tc>
          <w:tcPr>
            <w:tcW w:w="1353" w:type="dxa"/>
          </w:tcPr>
          <w:p w14:paraId="41FFF0DF" w14:textId="08EACF07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0.13 </w:t>
            </w:r>
            <w:r w:rsidR="005B2AF1" w:rsidRPr="009362DE">
              <w:rPr>
                <w:sz w:val="22"/>
                <w:szCs w:val="22"/>
              </w:rPr>
              <w:t>(0.19)</w:t>
            </w:r>
          </w:p>
        </w:tc>
        <w:tc>
          <w:tcPr>
            <w:tcW w:w="1298" w:type="dxa"/>
          </w:tcPr>
          <w:p w14:paraId="2DDEB063" w14:textId="1D39A79A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0.15 </w:t>
            </w:r>
            <w:r w:rsidR="005B2AF1" w:rsidRPr="009362DE">
              <w:rPr>
                <w:sz w:val="22"/>
                <w:szCs w:val="22"/>
              </w:rPr>
              <w:t>(0.11)</w:t>
            </w:r>
          </w:p>
        </w:tc>
        <w:tc>
          <w:tcPr>
            <w:tcW w:w="1276" w:type="dxa"/>
          </w:tcPr>
          <w:p w14:paraId="4B4A3B87" w14:textId="058C8A76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0.07 </w:t>
            </w:r>
            <w:r w:rsidR="005B2AF1" w:rsidRPr="009362DE">
              <w:rPr>
                <w:sz w:val="22"/>
                <w:szCs w:val="22"/>
              </w:rPr>
              <w:t>(0.08)</w:t>
            </w:r>
          </w:p>
        </w:tc>
        <w:tc>
          <w:tcPr>
            <w:tcW w:w="1708" w:type="dxa"/>
          </w:tcPr>
          <w:p w14:paraId="4CFCDE0D" w14:textId="45F324BE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0.06 </w:t>
            </w:r>
            <w:r w:rsidR="005B2AF1" w:rsidRPr="009362DE">
              <w:rPr>
                <w:sz w:val="22"/>
                <w:szCs w:val="22"/>
              </w:rPr>
              <w:t>(0.09)</w:t>
            </w:r>
          </w:p>
        </w:tc>
        <w:tc>
          <w:tcPr>
            <w:tcW w:w="927" w:type="dxa"/>
          </w:tcPr>
          <w:p w14:paraId="1BDF7F27" w14:textId="6BF83714" w:rsidR="005B2AF1" w:rsidRPr="009362DE" w:rsidRDefault="00B80507" w:rsidP="001D353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</w:t>
            </w:r>
            <w:r w:rsidR="005B2AF1" w:rsidRPr="009362DE">
              <w:rPr>
                <w:sz w:val="22"/>
                <w:szCs w:val="22"/>
              </w:rPr>
              <w:t>001</w:t>
            </w:r>
          </w:p>
        </w:tc>
      </w:tr>
      <w:tr w:rsidR="005B2AF1" w:rsidRPr="009362DE" w14:paraId="58A60751" w14:textId="77777777" w:rsidTr="00333BD2">
        <w:trPr>
          <w:gridAfter w:val="1"/>
          <w:wAfter w:w="20" w:type="dxa"/>
          <w:trHeight w:val="388"/>
        </w:trPr>
        <w:tc>
          <w:tcPr>
            <w:tcW w:w="1109" w:type="dxa"/>
            <w:noWrap/>
          </w:tcPr>
          <w:p w14:paraId="577F4D91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374" w:type="dxa"/>
          </w:tcPr>
          <w:p w14:paraId="3C661C41" w14:textId="6CD57014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0.16 </w:t>
            </w:r>
            <w:r w:rsidR="005B2AF1" w:rsidRPr="009362DE">
              <w:rPr>
                <w:sz w:val="22"/>
                <w:szCs w:val="22"/>
              </w:rPr>
              <w:t>(0.07)</w:t>
            </w:r>
          </w:p>
        </w:tc>
        <w:tc>
          <w:tcPr>
            <w:tcW w:w="1353" w:type="dxa"/>
          </w:tcPr>
          <w:p w14:paraId="7C285241" w14:textId="6B196E93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0.12 </w:t>
            </w:r>
            <w:r w:rsidR="005B2AF1" w:rsidRPr="009362DE">
              <w:rPr>
                <w:sz w:val="22"/>
                <w:szCs w:val="22"/>
              </w:rPr>
              <w:t>(0.07)</w:t>
            </w:r>
          </w:p>
        </w:tc>
        <w:tc>
          <w:tcPr>
            <w:tcW w:w="1298" w:type="dxa"/>
          </w:tcPr>
          <w:p w14:paraId="3F421F06" w14:textId="40C2B38C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 </w:t>
            </w:r>
            <w:r w:rsidR="005B2AF1" w:rsidRPr="009362DE">
              <w:rPr>
                <w:sz w:val="22"/>
                <w:szCs w:val="22"/>
              </w:rPr>
              <w:t>(0.08)</w:t>
            </w:r>
          </w:p>
        </w:tc>
        <w:tc>
          <w:tcPr>
            <w:tcW w:w="1276" w:type="dxa"/>
          </w:tcPr>
          <w:p w14:paraId="143A60EF" w14:textId="2025DB61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0.04 </w:t>
            </w:r>
            <w:r w:rsidR="005B2AF1" w:rsidRPr="009362DE">
              <w:rPr>
                <w:sz w:val="22"/>
                <w:szCs w:val="22"/>
              </w:rPr>
              <w:t>(0.07)</w:t>
            </w:r>
          </w:p>
        </w:tc>
        <w:tc>
          <w:tcPr>
            <w:tcW w:w="1708" w:type="dxa"/>
          </w:tcPr>
          <w:p w14:paraId="4BB1FC60" w14:textId="41D612CF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0.03 </w:t>
            </w:r>
            <w:r w:rsidR="005B2AF1" w:rsidRPr="009362DE">
              <w:rPr>
                <w:sz w:val="22"/>
                <w:szCs w:val="22"/>
              </w:rPr>
              <w:t>(0.08)</w:t>
            </w:r>
          </w:p>
        </w:tc>
        <w:tc>
          <w:tcPr>
            <w:tcW w:w="927" w:type="dxa"/>
          </w:tcPr>
          <w:p w14:paraId="062BC80B" w14:textId="6AC3DD46" w:rsidR="005B2AF1" w:rsidRPr="009362DE" w:rsidRDefault="00B80507" w:rsidP="001D353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</w:t>
            </w:r>
            <w:r w:rsidR="005B2AF1" w:rsidRPr="009362DE">
              <w:rPr>
                <w:sz w:val="22"/>
                <w:szCs w:val="22"/>
              </w:rPr>
              <w:t>001</w:t>
            </w:r>
          </w:p>
        </w:tc>
      </w:tr>
      <w:tr w:rsidR="005B2AF1" w:rsidRPr="009362DE" w14:paraId="3413FF55" w14:textId="77777777" w:rsidTr="00333BD2">
        <w:trPr>
          <w:gridAfter w:val="1"/>
          <w:wAfter w:w="20" w:type="dxa"/>
          <w:trHeight w:val="388"/>
        </w:trPr>
        <w:tc>
          <w:tcPr>
            <w:tcW w:w="1109" w:type="dxa"/>
            <w:noWrap/>
          </w:tcPr>
          <w:p w14:paraId="7473868A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374" w:type="dxa"/>
          </w:tcPr>
          <w:p w14:paraId="268D3ADB" w14:textId="39074D79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0.2 </w:t>
            </w:r>
            <w:r w:rsidR="005B2AF1" w:rsidRPr="009362DE">
              <w:rPr>
                <w:sz w:val="22"/>
                <w:szCs w:val="22"/>
              </w:rPr>
              <w:t>(0.1)</w:t>
            </w:r>
          </w:p>
        </w:tc>
        <w:tc>
          <w:tcPr>
            <w:tcW w:w="1353" w:type="dxa"/>
          </w:tcPr>
          <w:p w14:paraId="0ECCFA9F" w14:textId="6DFC4D5C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 </w:t>
            </w:r>
            <w:r w:rsidR="005B2AF1" w:rsidRPr="009362DE">
              <w:rPr>
                <w:sz w:val="22"/>
                <w:szCs w:val="22"/>
              </w:rPr>
              <w:t>(0.1)</w:t>
            </w:r>
          </w:p>
        </w:tc>
        <w:tc>
          <w:tcPr>
            <w:tcW w:w="1298" w:type="dxa"/>
          </w:tcPr>
          <w:p w14:paraId="5CEA2AB4" w14:textId="570DFF2E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0.06  </w:t>
            </w:r>
            <w:r w:rsidR="005B2AF1" w:rsidRPr="009362DE">
              <w:rPr>
                <w:sz w:val="22"/>
                <w:szCs w:val="22"/>
              </w:rPr>
              <w:t>(0.07)</w:t>
            </w:r>
          </w:p>
        </w:tc>
        <w:tc>
          <w:tcPr>
            <w:tcW w:w="1276" w:type="dxa"/>
          </w:tcPr>
          <w:p w14:paraId="0C0CF1FF" w14:textId="13C0EC81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 w:rsidR="005B2AF1" w:rsidRPr="009362DE">
              <w:rPr>
                <w:sz w:val="22"/>
                <w:szCs w:val="22"/>
              </w:rPr>
              <w:t>(0.1)</w:t>
            </w:r>
          </w:p>
        </w:tc>
        <w:tc>
          <w:tcPr>
            <w:tcW w:w="1708" w:type="dxa"/>
          </w:tcPr>
          <w:p w14:paraId="617EA162" w14:textId="2E00743B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 w:rsidR="005B2AF1" w:rsidRPr="009362DE">
              <w:rPr>
                <w:sz w:val="22"/>
                <w:szCs w:val="22"/>
              </w:rPr>
              <w:t>(0.1)</w:t>
            </w:r>
          </w:p>
        </w:tc>
        <w:tc>
          <w:tcPr>
            <w:tcW w:w="927" w:type="dxa"/>
          </w:tcPr>
          <w:p w14:paraId="52020F5B" w14:textId="0C6125A9" w:rsidR="005B2AF1" w:rsidRPr="009362DE" w:rsidRDefault="005B2AF1" w:rsidP="00B80507">
            <w:pPr>
              <w:pStyle w:val="NoSpacing"/>
              <w:jc w:val="center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&lt;0.001</w:t>
            </w:r>
          </w:p>
        </w:tc>
      </w:tr>
      <w:tr w:rsidR="005B2AF1" w:rsidRPr="009362DE" w14:paraId="00C5B218" w14:textId="77777777" w:rsidTr="00333BD2">
        <w:trPr>
          <w:gridAfter w:val="1"/>
          <w:wAfter w:w="20" w:type="dxa"/>
          <w:trHeight w:val="388"/>
        </w:trPr>
        <w:tc>
          <w:tcPr>
            <w:tcW w:w="1109" w:type="dxa"/>
            <w:noWrap/>
          </w:tcPr>
          <w:p w14:paraId="7E374195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374" w:type="dxa"/>
          </w:tcPr>
          <w:p w14:paraId="17F724F1" w14:textId="798E19E8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 </w:t>
            </w:r>
            <w:r w:rsidR="005B2AF1" w:rsidRPr="009362DE">
              <w:rPr>
                <w:sz w:val="22"/>
                <w:szCs w:val="22"/>
              </w:rPr>
              <w:t>(0.1)</w:t>
            </w:r>
          </w:p>
        </w:tc>
        <w:tc>
          <w:tcPr>
            <w:tcW w:w="1353" w:type="dxa"/>
          </w:tcPr>
          <w:p w14:paraId="5CE2358D" w14:textId="536A5255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 </w:t>
            </w:r>
            <w:r w:rsidR="005B2AF1" w:rsidRPr="009362DE">
              <w:rPr>
                <w:sz w:val="22"/>
                <w:szCs w:val="22"/>
              </w:rPr>
              <w:t>(0.1)</w:t>
            </w:r>
          </w:p>
        </w:tc>
        <w:tc>
          <w:tcPr>
            <w:tcW w:w="1298" w:type="dxa"/>
          </w:tcPr>
          <w:p w14:paraId="7CDBB2AB" w14:textId="68A7F52D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0.04 </w:t>
            </w:r>
            <w:r w:rsidR="005B2AF1" w:rsidRPr="009362DE">
              <w:rPr>
                <w:sz w:val="22"/>
                <w:szCs w:val="22"/>
              </w:rPr>
              <w:t>(0.09)</w:t>
            </w:r>
          </w:p>
        </w:tc>
        <w:tc>
          <w:tcPr>
            <w:tcW w:w="1276" w:type="dxa"/>
          </w:tcPr>
          <w:p w14:paraId="3CECA259" w14:textId="59DDCC16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 w:rsidR="005B2AF1" w:rsidRPr="009362DE">
              <w:rPr>
                <w:sz w:val="22"/>
                <w:szCs w:val="22"/>
              </w:rPr>
              <w:t>(0)</w:t>
            </w:r>
          </w:p>
        </w:tc>
        <w:tc>
          <w:tcPr>
            <w:tcW w:w="1708" w:type="dxa"/>
          </w:tcPr>
          <w:p w14:paraId="3D6CB38C" w14:textId="359A1A1A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 w:rsidR="005B2AF1" w:rsidRPr="009362DE">
              <w:rPr>
                <w:sz w:val="22"/>
                <w:szCs w:val="22"/>
              </w:rPr>
              <w:t>(0)</w:t>
            </w:r>
          </w:p>
        </w:tc>
        <w:tc>
          <w:tcPr>
            <w:tcW w:w="927" w:type="dxa"/>
          </w:tcPr>
          <w:p w14:paraId="0E30CA18" w14:textId="73C6EEA3" w:rsidR="005B2AF1" w:rsidRPr="009362DE" w:rsidRDefault="005B2AF1" w:rsidP="00B80507">
            <w:pPr>
              <w:pStyle w:val="NoSpacing"/>
              <w:jc w:val="center"/>
              <w:rPr>
                <w:sz w:val="22"/>
                <w:szCs w:val="22"/>
              </w:rPr>
            </w:pPr>
            <w:r w:rsidRPr="009362DE">
              <w:rPr>
                <w:sz w:val="22"/>
                <w:szCs w:val="22"/>
              </w:rPr>
              <w:t>&lt;0.001</w:t>
            </w:r>
          </w:p>
        </w:tc>
      </w:tr>
      <w:tr w:rsidR="005B2AF1" w:rsidRPr="009362DE" w14:paraId="2D1BC98B" w14:textId="77777777" w:rsidTr="00333BD2">
        <w:trPr>
          <w:gridAfter w:val="1"/>
          <w:wAfter w:w="20" w:type="dxa"/>
          <w:trHeight w:val="388"/>
        </w:trPr>
        <w:tc>
          <w:tcPr>
            <w:tcW w:w="1109" w:type="dxa"/>
            <w:noWrap/>
          </w:tcPr>
          <w:p w14:paraId="3B4DFF1D" w14:textId="77777777" w:rsidR="005B2AF1" w:rsidRPr="00841290" w:rsidRDefault="005B2AF1" w:rsidP="001D353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374" w:type="dxa"/>
          </w:tcPr>
          <w:p w14:paraId="60D70895" w14:textId="5598BA15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 </w:t>
            </w:r>
            <w:r w:rsidR="005B2AF1" w:rsidRPr="009362DE">
              <w:rPr>
                <w:sz w:val="22"/>
                <w:szCs w:val="22"/>
              </w:rPr>
              <w:t>(0.1)</w:t>
            </w:r>
          </w:p>
        </w:tc>
        <w:tc>
          <w:tcPr>
            <w:tcW w:w="1353" w:type="dxa"/>
          </w:tcPr>
          <w:p w14:paraId="7521D1B2" w14:textId="7D6B8347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 w:rsidR="005B2AF1" w:rsidRPr="009362DE">
              <w:rPr>
                <w:sz w:val="22"/>
                <w:szCs w:val="22"/>
              </w:rPr>
              <w:t>(0.1)</w:t>
            </w:r>
          </w:p>
        </w:tc>
        <w:tc>
          <w:tcPr>
            <w:tcW w:w="1298" w:type="dxa"/>
          </w:tcPr>
          <w:p w14:paraId="3B38BD1E" w14:textId="2B00C219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 w:rsidR="005B2AF1" w:rsidRPr="009362DE">
              <w:rPr>
                <w:sz w:val="22"/>
                <w:szCs w:val="22"/>
              </w:rPr>
              <w:t>(0.07)</w:t>
            </w:r>
          </w:p>
        </w:tc>
        <w:tc>
          <w:tcPr>
            <w:tcW w:w="1276" w:type="dxa"/>
          </w:tcPr>
          <w:p w14:paraId="66514739" w14:textId="2087946B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 w:rsidR="005B2AF1" w:rsidRPr="009362DE">
              <w:rPr>
                <w:sz w:val="22"/>
                <w:szCs w:val="22"/>
              </w:rPr>
              <w:t>(0)</w:t>
            </w:r>
          </w:p>
        </w:tc>
        <w:tc>
          <w:tcPr>
            <w:tcW w:w="1708" w:type="dxa"/>
          </w:tcPr>
          <w:p w14:paraId="71A420E1" w14:textId="006D838A" w:rsidR="005B2AF1" w:rsidRPr="009362DE" w:rsidRDefault="00333BD2" w:rsidP="00333BD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820BC">
              <w:rPr>
                <w:sz w:val="22"/>
                <w:szCs w:val="22"/>
              </w:rPr>
              <w:t xml:space="preserve"> </w:t>
            </w:r>
            <w:r w:rsidR="005B2AF1" w:rsidRPr="009362DE">
              <w:rPr>
                <w:sz w:val="22"/>
                <w:szCs w:val="22"/>
              </w:rPr>
              <w:t>(0)</w:t>
            </w:r>
          </w:p>
        </w:tc>
        <w:tc>
          <w:tcPr>
            <w:tcW w:w="927" w:type="dxa"/>
          </w:tcPr>
          <w:p w14:paraId="408E45E2" w14:textId="22822694" w:rsidR="005B2AF1" w:rsidRPr="009362DE" w:rsidRDefault="00B80507" w:rsidP="00B80507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&lt;0.001</w:t>
            </w:r>
          </w:p>
        </w:tc>
      </w:tr>
    </w:tbl>
    <w:p w14:paraId="2506845B" w14:textId="77777777" w:rsidR="00333BD2" w:rsidRDefault="00333BD2" w:rsidP="004F49F5">
      <w:pPr>
        <w:spacing w:line="480" w:lineRule="auto"/>
        <w:jc w:val="both"/>
        <w:rPr>
          <w:b/>
          <w:szCs w:val="22"/>
        </w:rPr>
      </w:pPr>
    </w:p>
    <w:p w14:paraId="7E46B4F0" w14:textId="063C00C5" w:rsidR="004F49F5" w:rsidRDefault="00604D4D" w:rsidP="00333BD2">
      <w:pPr>
        <w:spacing w:line="360" w:lineRule="auto"/>
        <w:jc w:val="both"/>
        <w:rPr>
          <w:szCs w:val="22"/>
        </w:rPr>
      </w:pPr>
      <w:r>
        <w:rPr>
          <w:b/>
          <w:szCs w:val="22"/>
        </w:rPr>
        <w:t xml:space="preserve">Table </w:t>
      </w:r>
      <w:r w:rsidR="00DC50FE">
        <w:rPr>
          <w:b/>
          <w:szCs w:val="22"/>
        </w:rPr>
        <w:t>4</w:t>
      </w:r>
      <w:r w:rsidR="00332763" w:rsidRPr="00333BD2">
        <w:rPr>
          <w:b/>
          <w:szCs w:val="22"/>
        </w:rPr>
        <w:t>c</w:t>
      </w:r>
      <w:r w:rsidR="004F49F5" w:rsidRPr="00333BD2">
        <w:rPr>
          <w:b/>
          <w:szCs w:val="22"/>
        </w:rPr>
        <w:t>:</w:t>
      </w:r>
      <w:r w:rsidR="004F49F5" w:rsidRPr="00500A30">
        <w:rPr>
          <w:szCs w:val="22"/>
        </w:rPr>
        <w:t xml:space="preserve"> Azathioprine </w:t>
      </w:r>
      <w:r w:rsidR="00E12725">
        <w:rPr>
          <w:szCs w:val="22"/>
        </w:rPr>
        <w:t>starting</w:t>
      </w:r>
      <w:r w:rsidR="004F49F5" w:rsidRPr="00500A30">
        <w:rPr>
          <w:szCs w:val="22"/>
        </w:rPr>
        <w:t xml:space="preserve"> dose</w:t>
      </w:r>
      <w:r w:rsidR="005E2C83" w:rsidRPr="00500A30">
        <w:rPr>
          <w:szCs w:val="22"/>
        </w:rPr>
        <w:t xml:space="preserve"> (mg/kg)</w:t>
      </w:r>
      <w:r w:rsidR="004F49F5" w:rsidRPr="00500A30">
        <w:rPr>
          <w:szCs w:val="22"/>
        </w:rPr>
        <w:t xml:space="preserve"> </w:t>
      </w:r>
      <w:r w:rsidR="005E2C83" w:rsidRPr="00500A30">
        <w:rPr>
          <w:szCs w:val="22"/>
        </w:rPr>
        <w:t>in the first year of induction</w:t>
      </w:r>
      <w:r w:rsidR="00211371" w:rsidRPr="00500A30">
        <w:rPr>
          <w:szCs w:val="22"/>
        </w:rPr>
        <w:t xml:space="preserve"> in all </w:t>
      </w:r>
      <w:r w:rsidR="00500A30" w:rsidRPr="00500A30">
        <w:rPr>
          <w:szCs w:val="22"/>
        </w:rPr>
        <w:t>patients per</w:t>
      </w:r>
      <w:r w:rsidR="004F49F5" w:rsidRPr="00500A30">
        <w:rPr>
          <w:szCs w:val="22"/>
        </w:rPr>
        <w:t xml:space="preserve"> decade</w:t>
      </w:r>
      <w:r w:rsidR="005E2C83" w:rsidRPr="00500A30">
        <w:rPr>
          <w:szCs w:val="22"/>
        </w:rPr>
        <w:t xml:space="preserve"> between 1970-2020</w:t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1696"/>
        <w:gridCol w:w="1298"/>
        <w:gridCol w:w="1365"/>
        <w:gridCol w:w="1298"/>
        <w:gridCol w:w="1298"/>
        <w:gridCol w:w="1242"/>
        <w:gridCol w:w="968"/>
      </w:tblGrid>
      <w:tr w:rsidR="00841290" w:rsidRPr="00390643" w14:paraId="59B17BF4" w14:textId="77777777" w:rsidTr="006C1041">
        <w:trPr>
          <w:trHeight w:val="193"/>
        </w:trPr>
        <w:tc>
          <w:tcPr>
            <w:tcW w:w="1696" w:type="dxa"/>
            <w:noWrap/>
            <w:hideMark/>
          </w:tcPr>
          <w:p w14:paraId="5505AB58" w14:textId="3958BEB1" w:rsidR="00841290" w:rsidRPr="00390643" w:rsidRDefault="00841290" w:rsidP="00615CB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90643">
              <w:rPr>
                <w:b/>
                <w:sz w:val="22"/>
                <w:szCs w:val="22"/>
              </w:rPr>
              <w:t>Months</w:t>
            </w:r>
          </w:p>
        </w:tc>
        <w:tc>
          <w:tcPr>
            <w:tcW w:w="7469" w:type="dxa"/>
            <w:gridSpan w:val="6"/>
            <w:noWrap/>
            <w:hideMark/>
          </w:tcPr>
          <w:p w14:paraId="558B3D0A" w14:textId="59667656" w:rsidR="00841290" w:rsidRPr="00390643" w:rsidRDefault="00841290" w:rsidP="00615CB3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Azathioprine</w:t>
            </w:r>
            <w:r w:rsidRPr="00390643">
              <w:rPr>
                <w:b/>
                <w:sz w:val="22"/>
                <w:szCs w:val="22"/>
              </w:rPr>
              <w:t xml:space="preserve"> dose, mg/kg/day, median (IQR)</w:t>
            </w:r>
          </w:p>
        </w:tc>
      </w:tr>
      <w:tr w:rsidR="004F49F5" w:rsidRPr="00390643" w14:paraId="0C1F15EA" w14:textId="77777777" w:rsidTr="006C1041">
        <w:trPr>
          <w:trHeight w:val="539"/>
        </w:trPr>
        <w:tc>
          <w:tcPr>
            <w:tcW w:w="1696" w:type="dxa"/>
            <w:noWrap/>
            <w:hideMark/>
          </w:tcPr>
          <w:p w14:paraId="19555AEC" w14:textId="77F62790" w:rsidR="004F49F5" w:rsidRPr="00390643" w:rsidRDefault="004F49F5" w:rsidP="00FF2CE4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8" w:type="dxa"/>
            <w:hideMark/>
          </w:tcPr>
          <w:p w14:paraId="7A8DC621" w14:textId="77777777" w:rsidR="004F49F5" w:rsidRPr="00390643" w:rsidRDefault="004F49F5" w:rsidP="00FF2CE4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90643">
              <w:rPr>
                <w:b/>
                <w:sz w:val="22"/>
                <w:szCs w:val="22"/>
              </w:rPr>
              <w:t>1970s</w:t>
            </w:r>
            <w:r w:rsidRPr="00390643">
              <w:rPr>
                <w:b/>
                <w:sz w:val="22"/>
                <w:szCs w:val="22"/>
              </w:rPr>
              <w:br/>
              <w:t xml:space="preserve"> (n = 42)</w:t>
            </w:r>
          </w:p>
        </w:tc>
        <w:tc>
          <w:tcPr>
            <w:tcW w:w="1365" w:type="dxa"/>
            <w:hideMark/>
          </w:tcPr>
          <w:p w14:paraId="2BF6DB3F" w14:textId="77777777" w:rsidR="004F49F5" w:rsidRPr="00390643" w:rsidRDefault="004F49F5" w:rsidP="00FF2CE4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90643">
              <w:rPr>
                <w:b/>
                <w:sz w:val="22"/>
                <w:szCs w:val="22"/>
              </w:rPr>
              <w:t>1980s</w:t>
            </w:r>
            <w:r w:rsidRPr="00390643">
              <w:rPr>
                <w:b/>
                <w:sz w:val="22"/>
                <w:szCs w:val="22"/>
              </w:rPr>
              <w:br/>
              <w:t xml:space="preserve"> (n= 55)</w:t>
            </w:r>
          </w:p>
        </w:tc>
        <w:tc>
          <w:tcPr>
            <w:tcW w:w="1298" w:type="dxa"/>
            <w:hideMark/>
          </w:tcPr>
          <w:p w14:paraId="3845D215" w14:textId="77777777" w:rsidR="004F49F5" w:rsidRPr="00390643" w:rsidRDefault="004F49F5" w:rsidP="00FF2CE4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90643">
              <w:rPr>
                <w:b/>
                <w:sz w:val="22"/>
                <w:szCs w:val="22"/>
              </w:rPr>
              <w:t xml:space="preserve">1990s </w:t>
            </w:r>
            <w:r w:rsidRPr="00390643">
              <w:rPr>
                <w:b/>
                <w:sz w:val="22"/>
                <w:szCs w:val="22"/>
              </w:rPr>
              <w:br/>
              <w:t>(n = 37)</w:t>
            </w:r>
          </w:p>
        </w:tc>
        <w:tc>
          <w:tcPr>
            <w:tcW w:w="1298" w:type="dxa"/>
            <w:hideMark/>
          </w:tcPr>
          <w:p w14:paraId="6999536E" w14:textId="77777777" w:rsidR="004F49F5" w:rsidRPr="00A12E39" w:rsidRDefault="004F49F5" w:rsidP="00FF2CE4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A12E39">
              <w:rPr>
                <w:b/>
                <w:sz w:val="22"/>
                <w:szCs w:val="22"/>
              </w:rPr>
              <w:t>2000s</w:t>
            </w:r>
            <w:r w:rsidRPr="00A12E39">
              <w:rPr>
                <w:b/>
                <w:sz w:val="22"/>
                <w:szCs w:val="22"/>
              </w:rPr>
              <w:br/>
              <w:t>(n = 57)</w:t>
            </w:r>
          </w:p>
        </w:tc>
        <w:tc>
          <w:tcPr>
            <w:tcW w:w="1242" w:type="dxa"/>
            <w:hideMark/>
          </w:tcPr>
          <w:p w14:paraId="3A22A111" w14:textId="77777777" w:rsidR="004F49F5" w:rsidRPr="00390643" w:rsidRDefault="004F49F5" w:rsidP="00FF2CE4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90643">
              <w:rPr>
                <w:b/>
                <w:sz w:val="22"/>
                <w:szCs w:val="22"/>
              </w:rPr>
              <w:t xml:space="preserve">2010s </w:t>
            </w:r>
            <w:r w:rsidRPr="00390643">
              <w:rPr>
                <w:b/>
                <w:sz w:val="22"/>
                <w:szCs w:val="22"/>
              </w:rPr>
              <w:br/>
              <w:t>( n = 35)</w:t>
            </w:r>
          </w:p>
        </w:tc>
        <w:tc>
          <w:tcPr>
            <w:tcW w:w="968" w:type="dxa"/>
          </w:tcPr>
          <w:p w14:paraId="5D89D78D" w14:textId="369D7F56" w:rsidR="004F49F5" w:rsidRPr="00390643" w:rsidRDefault="00333BD2" w:rsidP="00FF2CE4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33BD2">
              <w:rPr>
                <w:b/>
                <w:i/>
                <w:sz w:val="22"/>
                <w:szCs w:val="22"/>
              </w:rPr>
              <w:t>P</w:t>
            </w:r>
            <w:r w:rsidR="004F49F5" w:rsidRPr="00390643">
              <w:rPr>
                <w:b/>
                <w:sz w:val="22"/>
                <w:szCs w:val="22"/>
              </w:rPr>
              <w:t xml:space="preserve"> value</w:t>
            </w:r>
          </w:p>
        </w:tc>
      </w:tr>
      <w:tr w:rsidR="004F49F5" w:rsidRPr="00390643" w14:paraId="3B7C2833" w14:textId="77777777" w:rsidTr="006C1041">
        <w:trPr>
          <w:trHeight w:val="269"/>
        </w:trPr>
        <w:tc>
          <w:tcPr>
            <w:tcW w:w="1696" w:type="dxa"/>
            <w:noWrap/>
            <w:hideMark/>
          </w:tcPr>
          <w:p w14:paraId="23DCFBA6" w14:textId="2BEA06A6" w:rsidR="004F49F5" w:rsidRPr="00841290" w:rsidRDefault="00841290" w:rsidP="00841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4129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8" w:type="dxa"/>
            <w:noWrap/>
            <w:hideMark/>
          </w:tcPr>
          <w:p w14:paraId="6FAEC879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1.07 (0.34)</w:t>
            </w:r>
          </w:p>
        </w:tc>
        <w:tc>
          <w:tcPr>
            <w:tcW w:w="1365" w:type="dxa"/>
            <w:noWrap/>
            <w:hideMark/>
          </w:tcPr>
          <w:p w14:paraId="1F4DBA80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1.03</w:t>
            </w:r>
            <w:r>
              <w:rPr>
                <w:color w:val="000000"/>
                <w:sz w:val="22"/>
                <w:szCs w:val="22"/>
              </w:rPr>
              <w:t xml:space="preserve"> (0.33)</w:t>
            </w:r>
          </w:p>
        </w:tc>
        <w:tc>
          <w:tcPr>
            <w:tcW w:w="1298" w:type="dxa"/>
            <w:noWrap/>
            <w:hideMark/>
          </w:tcPr>
          <w:p w14:paraId="03F893C0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0.94</w:t>
            </w:r>
            <w:r>
              <w:rPr>
                <w:color w:val="000000"/>
                <w:sz w:val="22"/>
                <w:szCs w:val="22"/>
              </w:rPr>
              <w:t xml:space="preserve"> (0.49)</w:t>
            </w:r>
          </w:p>
        </w:tc>
        <w:tc>
          <w:tcPr>
            <w:tcW w:w="1298" w:type="dxa"/>
            <w:noWrap/>
            <w:hideMark/>
          </w:tcPr>
          <w:p w14:paraId="7248D8A8" w14:textId="77777777" w:rsidR="004F49F5" w:rsidRPr="00A12E39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A12E39">
              <w:rPr>
                <w:color w:val="000000"/>
                <w:sz w:val="22"/>
                <w:szCs w:val="22"/>
              </w:rPr>
              <w:t>0.81 (0.42)</w:t>
            </w:r>
          </w:p>
        </w:tc>
        <w:tc>
          <w:tcPr>
            <w:tcW w:w="1242" w:type="dxa"/>
            <w:noWrap/>
            <w:hideMark/>
          </w:tcPr>
          <w:p w14:paraId="6FAC8FCD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0.71 (0.43)</w:t>
            </w:r>
          </w:p>
        </w:tc>
        <w:tc>
          <w:tcPr>
            <w:tcW w:w="968" w:type="dxa"/>
          </w:tcPr>
          <w:p w14:paraId="4A15A588" w14:textId="70D9B01D" w:rsidR="004F49F5" w:rsidRPr="00390643" w:rsidRDefault="00D37BEF" w:rsidP="00FF2C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</w:t>
            </w:r>
            <w:r w:rsidR="004F49F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.001</w:t>
            </w:r>
          </w:p>
        </w:tc>
      </w:tr>
      <w:tr w:rsidR="004F49F5" w:rsidRPr="00390643" w14:paraId="7BC926D4" w14:textId="77777777" w:rsidTr="006C1041">
        <w:trPr>
          <w:trHeight w:val="269"/>
        </w:trPr>
        <w:tc>
          <w:tcPr>
            <w:tcW w:w="1696" w:type="dxa"/>
            <w:noWrap/>
            <w:hideMark/>
          </w:tcPr>
          <w:p w14:paraId="251F058B" w14:textId="197838F8" w:rsidR="004F49F5" w:rsidRPr="00841290" w:rsidRDefault="00841290" w:rsidP="00841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41290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noWrap/>
            <w:hideMark/>
          </w:tcPr>
          <w:p w14:paraId="3224773E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1.05</w:t>
            </w:r>
            <w:r>
              <w:rPr>
                <w:color w:val="000000"/>
                <w:sz w:val="22"/>
                <w:szCs w:val="22"/>
              </w:rPr>
              <w:t xml:space="preserve"> (0.44)</w:t>
            </w:r>
          </w:p>
        </w:tc>
        <w:tc>
          <w:tcPr>
            <w:tcW w:w="1365" w:type="dxa"/>
            <w:noWrap/>
            <w:hideMark/>
          </w:tcPr>
          <w:p w14:paraId="3BFF65E2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1.05</w:t>
            </w:r>
            <w:r>
              <w:rPr>
                <w:color w:val="000000"/>
                <w:sz w:val="22"/>
                <w:szCs w:val="22"/>
              </w:rPr>
              <w:t xml:space="preserve"> (0.54)</w:t>
            </w:r>
          </w:p>
        </w:tc>
        <w:tc>
          <w:tcPr>
            <w:tcW w:w="1298" w:type="dxa"/>
            <w:noWrap/>
            <w:hideMark/>
          </w:tcPr>
          <w:p w14:paraId="4FF45934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1.0</w:t>
            </w:r>
            <w:r>
              <w:rPr>
                <w:color w:val="000000"/>
                <w:sz w:val="22"/>
                <w:szCs w:val="22"/>
              </w:rPr>
              <w:t>0 (0.51)</w:t>
            </w:r>
          </w:p>
        </w:tc>
        <w:tc>
          <w:tcPr>
            <w:tcW w:w="1298" w:type="dxa"/>
            <w:noWrap/>
            <w:hideMark/>
          </w:tcPr>
          <w:p w14:paraId="6C0F1261" w14:textId="77777777" w:rsidR="004F49F5" w:rsidRPr="00A12E39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A12E39">
              <w:rPr>
                <w:color w:val="000000"/>
                <w:sz w:val="22"/>
                <w:szCs w:val="22"/>
              </w:rPr>
              <w:t>1.35 (0.46)</w:t>
            </w:r>
          </w:p>
        </w:tc>
        <w:tc>
          <w:tcPr>
            <w:tcW w:w="1242" w:type="dxa"/>
            <w:noWrap/>
            <w:hideMark/>
          </w:tcPr>
          <w:p w14:paraId="1941020F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 (0.34)</w:t>
            </w:r>
          </w:p>
        </w:tc>
        <w:tc>
          <w:tcPr>
            <w:tcW w:w="968" w:type="dxa"/>
          </w:tcPr>
          <w:p w14:paraId="6DF8C5CC" w14:textId="09867F9D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A12E39">
              <w:rPr>
                <w:color w:val="000000"/>
                <w:sz w:val="22"/>
                <w:szCs w:val="22"/>
              </w:rPr>
              <w:t>.00003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93576" w:rsidRPr="00864B2D">
              <w:rPr>
                <w:color w:val="000000"/>
                <w:sz w:val="22"/>
                <w:szCs w:val="22"/>
              </w:rPr>
              <w:t>(*0.86)</w:t>
            </w:r>
          </w:p>
        </w:tc>
      </w:tr>
      <w:tr w:rsidR="004F49F5" w:rsidRPr="00390643" w14:paraId="46CE0737" w14:textId="77777777" w:rsidTr="006C1041">
        <w:trPr>
          <w:trHeight w:val="269"/>
        </w:trPr>
        <w:tc>
          <w:tcPr>
            <w:tcW w:w="1696" w:type="dxa"/>
            <w:noWrap/>
            <w:hideMark/>
          </w:tcPr>
          <w:p w14:paraId="6EE39FCE" w14:textId="3122D012" w:rsidR="004F49F5" w:rsidRPr="00841290" w:rsidRDefault="00841290" w:rsidP="00841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41290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8" w:type="dxa"/>
            <w:noWrap/>
            <w:hideMark/>
          </w:tcPr>
          <w:p w14:paraId="2D76875E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 (0.40)</w:t>
            </w:r>
          </w:p>
        </w:tc>
        <w:tc>
          <w:tcPr>
            <w:tcW w:w="1365" w:type="dxa"/>
            <w:noWrap/>
            <w:hideMark/>
          </w:tcPr>
          <w:p w14:paraId="3733D96C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 (0.7)</w:t>
            </w:r>
          </w:p>
        </w:tc>
        <w:tc>
          <w:tcPr>
            <w:tcW w:w="1298" w:type="dxa"/>
            <w:noWrap/>
            <w:hideMark/>
          </w:tcPr>
          <w:p w14:paraId="5B28C785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1.0</w:t>
            </w:r>
            <w:r>
              <w:rPr>
                <w:color w:val="000000"/>
                <w:sz w:val="22"/>
                <w:szCs w:val="22"/>
              </w:rPr>
              <w:t>2 (0.51)</w:t>
            </w:r>
          </w:p>
        </w:tc>
        <w:tc>
          <w:tcPr>
            <w:tcW w:w="1298" w:type="dxa"/>
            <w:noWrap/>
            <w:hideMark/>
          </w:tcPr>
          <w:p w14:paraId="467B1780" w14:textId="77777777" w:rsidR="004F49F5" w:rsidRPr="00A12E39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A12E39">
              <w:rPr>
                <w:color w:val="000000"/>
                <w:sz w:val="22"/>
                <w:szCs w:val="22"/>
              </w:rPr>
              <w:t>1.5 (0.50)</w:t>
            </w:r>
          </w:p>
        </w:tc>
        <w:tc>
          <w:tcPr>
            <w:tcW w:w="1242" w:type="dxa"/>
            <w:noWrap/>
            <w:hideMark/>
          </w:tcPr>
          <w:p w14:paraId="7B416FB3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 (0.30)</w:t>
            </w:r>
          </w:p>
        </w:tc>
        <w:tc>
          <w:tcPr>
            <w:tcW w:w="968" w:type="dxa"/>
          </w:tcPr>
          <w:p w14:paraId="18671CF1" w14:textId="0CAD41A9" w:rsidR="004F49F5" w:rsidRPr="00864B2D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864B2D">
              <w:rPr>
                <w:color w:val="000000"/>
                <w:sz w:val="22"/>
                <w:szCs w:val="22"/>
              </w:rPr>
              <w:t>&lt;00001 (</w:t>
            </w:r>
            <w:r w:rsidR="00493576" w:rsidRPr="00864B2D">
              <w:rPr>
                <w:color w:val="000000"/>
                <w:sz w:val="22"/>
                <w:szCs w:val="22"/>
              </w:rPr>
              <w:t>*</w:t>
            </w:r>
            <w:r w:rsidRPr="00864B2D">
              <w:rPr>
                <w:color w:val="000000"/>
                <w:sz w:val="22"/>
                <w:szCs w:val="22"/>
              </w:rPr>
              <w:t>0.81)</w:t>
            </w:r>
          </w:p>
        </w:tc>
      </w:tr>
      <w:tr w:rsidR="004F49F5" w:rsidRPr="00390643" w14:paraId="4222F02E" w14:textId="77777777" w:rsidTr="006C1041">
        <w:trPr>
          <w:trHeight w:val="269"/>
        </w:trPr>
        <w:tc>
          <w:tcPr>
            <w:tcW w:w="1696" w:type="dxa"/>
            <w:noWrap/>
            <w:hideMark/>
          </w:tcPr>
          <w:p w14:paraId="68F7B5A0" w14:textId="19949021" w:rsidR="004F49F5" w:rsidRPr="00841290" w:rsidRDefault="00841290" w:rsidP="00841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41290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98" w:type="dxa"/>
            <w:noWrap/>
            <w:hideMark/>
          </w:tcPr>
          <w:p w14:paraId="01FFA381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(0.4)</w:t>
            </w:r>
          </w:p>
        </w:tc>
        <w:tc>
          <w:tcPr>
            <w:tcW w:w="1365" w:type="dxa"/>
            <w:noWrap/>
            <w:hideMark/>
          </w:tcPr>
          <w:p w14:paraId="47304050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 (0.8)</w:t>
            </w:r>
          </w:p>
        </w:tc>
        <w:tc>
          <w:tcPr>
            <w:tcW w:w="1298" w:type="dxa"/>
            <w:noWrap/>
            <w:hideMark/>
          </w:tcPr>
          <w:p w14:paraId="21201C9A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 (0.68)</w:t>
            </w:r>
          </w:p>
        </w:tc>
        <w:tc>
          <w:tcPr>
            <w:tcW w:w="1298" w:type="dxa"/>
            <w:noWrap/>
            <w:hideMark/>
          </w:tcPr>
          <w:p w14:paraId="67F5FAC3" w14:textId="77777777" w:rsidR="004F49F5" w:rsidRPr="00A12E39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A12E39">
              <w:rPr>
                <w:color w:val="000000"/>
                <w:sz w:val="22"/>
                <w:szCs w:val="22"/>
              </w:rPr>
              <w:t>1.5 (0.5)</w:t>
            </w:r>
          </w:p>
        </w:tc>
        <w:tc>
          <w:tcPr>
            <w:tcW w:w="1242" w:type="dxa"/>
            <w:noWrap/>
            <w:hideMark/>
          </w:tcPr>
          <w:p w14:paraId="62A1FB3B" w14:textId="77777777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 w:rsidRPr="00390643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 (0.30)</w:t>
            </w:r>
          </w:p>
        </w:tc>
        <w:tc>
          <w:tcPr>
            <w:tcW w:w="968" w:type="dxa"/>
          </w:tcPr>
          <w:p w14:paraId="7B2FF1F4" w14:textId="77777777" w:rsidR="004F49F5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0.00013</w:t>
            </w:r>
          </w:p>
          <w:p w14:paraId="79621094" w14:textId="5CD76F4A" w:rsidR="004F49F5" w:rsidRPr="00390643" w:rsidRDefault="004F49F5" w:rsidP="00FF2C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64B2D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0.211)</w:t>
            </w:r>
          </w:p>
        </w:tc>
      </w:tr>
    </w:tbl>
    <w:p w14:paraId="0E1B5E89" w14:textId="65BA252E" w:rsidR="001F4731" w:rsidRDefault="00493576" w:rsidP="005B2AF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*P value if 2000s data removed</w:t>
      </w:r>
    </w:p>
    <w:p w14:paraId="31314222" w14:textId="77777777" w:rsidR="00211371" w:rsidRDefault="00211371" w:rsidP="005B2AF1">
      <w:pPr>
        <w:spacing w:line="480" w:lineRule="auto"/>
        <w:rPr>
          <w:sz w:val="22"/>
          <w:szCs w:val="22"/>
        </w:rPr>
      </w:pPr>
    </w:p>
    <w:p w14:paraId="7B230FF7" w14:textId="77777777" w:rsidR="00604D4D" w:rsidRDefault="00604D4D" w:rsidP="00604D4D">
      <w:pPr>
        <w:spacing w:line="480" w:lineRule="auto"/>
        <w:rPr>
          <w:b/>
          <w:szCs w:val="22"/>
        </w:rPr>
      </w:pPr>
    </w:p>
    <w:p w14:paraId="2D12617A" w14:textId="77777777" w:rsidR="00604D4D" w:rsidRDefault="00604D4D" w:rsidP="00604D4D">
      <w:pPr>
        <w:spacing w:line="480" w:lineRule="auto"/>
        <w:rPr>
          <w:b/>
          <w:szCs w:val="22"/>
        </w:rPr>
      </w:pPr>
    </w:p>
    <w:p w14:paraId="39B5860B" w14:textId="77777777" w:rsidR="00BF7783" w:rsidRDefault="00BF7783" w:rsidP="009D57C5">
      <w:pPr>
        <w:spacing w:after="160" w:line="360" w:lineRule="auto"/>
        <w:jc w:val="both"/>
        <w:rPr>
          <w:b/>
        </w:rPr>
      </w:pPr>
    </w:p>
    <w:p w14:paraId="4CD0A915" w14:textId="59B2C17C" w:rsidR="006E3C71" w:rsidRDefault="006E3C71" w:rsidP="009D57C5">
      <w:pPr>
        <w:spacing w:after="160" w:line="360" w:lineRule="auto"/>
        <w:jc w:val="both"/>
        <w:rPr>
          <w:b/>
          <w:szCs w:val="22"/>
        </w:rPr>
      </w:pPr>
      <w:r>
        <w:rPr>
          <w:b/>
          <w:szCs w:val="22"/>
        </w:rPr>
        <w:t>Figures</w:t>
      </w:r>
    </w:p>
    <w:p w14:paraId="29982192" w14:textId="24DE9BE9" w:rsidR="00C23E37" w:rsidRPr="00E35FC0" w:rsidRDefault="00C23E37" w:rsidP="00C23E37">
      <w:pPr>
        <w:spacing w:after="160" w:line="360" w:lineRule="auto"/>
        <w:jc w:val="both"/>
        <w:rPr>
          <w:szCs w:val="22"/>
        </w:rPr>
      </w:pPr>
    </w:p>
    <w:p w14:paraId="7B007276" w14:textId="0A53C464" w:rsidR="00D6076B" w:rsidRDefault="00C23E37" w:rsidP="00D6076B">
      <w:pPr>
        <w:spacing w:line="480" w:lineRule="auto"/>
        <w:rPr>
          <w:szCs w:val="22"/>
        </w:rPr>
      </w:pPr>
      <w:r w:rsidRPr="00C23E37">
        <w:rPr>
          <w:b/>
          <w:szCs w:val="22"/>
        </w:rPr>
        <w:t xml:space="preserve">Figure </w:t>
      </w:r>
      <w:r w:rsidR="00860775">
        <w:rPr>
          <w:b/>
          <w:szCs w:val="22"/>
        </w:rPr>
        <w:t>1</w:t>
      </w:r>
      <w:r w:rsidR="00D6076B" w:rsidRPr="003F4E95">
        <w:rPr>
          <w:szCs w:val="22"/>
        </w:rPr>
        <w:t>: Percentage of patents</w:t>
      </w:r>
      <w:r w:rsidR="00D6076B">
        <w:rPr>
          <w:szCs w:val="22"/>
        </w:rPr>
        <w:t xml:space="preserve"> achieving biochemical remission </w:t>
      </w:r>
      <w:r w:rsidR="000308AC">
        <w:rPr>
          <w:szCs w:val="22"/>
        </w:rPr>
        <w:t xml:space="preserve">at 6 months from corticosteroid induction </w:t>
      </w:r>
      <w:r w:rsidR="00D6076B">
        <w:rPr>
          <w:szCs w:val="22"/>
        </w:rPr>
        <w:t>per decade</w:t>
      </w:r>
      <w:r w:rsidR="008A3464">
        <w:rPr>
          <w:szCs w:val="22"/>
        </w:rPr>
        <w:t xml:space="preserve"> between 1970-2020</w:t>
      </w:r>
      <w:r w:rsidR="007664CC">
        <w:rPr>
          <w:szCs w:val="22"/>
        </w:rPr>
        <w:t>, p = 0.012</w:t>
      </w:r>
    </w:p>
    <w:p w14:paraId="034511E9" w14:textId="0E26DBCF" w:rsidR="00D6076B" w:rsidRPr="00390643" w:rsidRDefault="00D6076B" w:rsidP="00390643">
      <w:pPr>
        <w:spacing w:line="480" w:lineRule="auto"/>
        <w:rPr>
          <w:szCs w:val="22"/>
        </w:rPr>
      </w:pPr>
    </w:p>
    <w:p w14:paraId="13C6614E" w14:textId="4AA1EBAC" w:rsidR="0029561E" w:rsidRDefault="00C23E37" w:rsidP="00182C76">
      <w:pPr>
        <w:spacing w:line="480" w:lineRule="auto"/>
        <w:jc w:val="both"/>
        <w:rPr>
          <w:szCs w:val="22"/>
        </w:rPr>
      </w:pPr>
      <w:r w:rsidRPr="00C23E37">
        <w:rPr>
          <w:b/>
          <w:szCs w:val="22"/>
        </w:rPr>
        <w:t xml:space="preserve">Figure </w:t>
      </w:r>
      <w:r w:rsidR="00860775">
        <w:rPr>
          <w:b/>
          <w:szCs w:val="22"/>
        </w:rPr>
        <w:t>2</w:t>
      </w:r>
      <w:r w:rsidR="005B2AF1" w:rsidRPr="003F4E95">
        <w:rPr>
          <w:szCs w:val="22"/>
        </w:rPr>
        <w:t>: Forest plot of odd</w:t>
      </w:r>
      <w:r w:rsidR="00A01B5F">
        <w:rPr>
          <w:szCs w:val="22"/>
        </w:rPr>
        <w:t>s</w:t>
      </w:r>
      <w:r w:rsidR="005B2AF1" w:rsidRPr="003F4E95">
        <w:rPr>
          <w:szCs w:val="22"/>
        </w:rPr>
        <w:t xml:space="preserve"> ratio of </w:t>
      </w:r>
      <w:r w:rsidR="003F7A61">
        <w:rPr>
          <w:szCs w:val="22"/>
        </w:rPr>
        <w:t>corticosteroid</w:t>
      </w:r>
      <w:r w:rsidR="005B2AF1" w:rsidRPr="003F4E95">
        <w:rPr>
          <w:szCs w:val="22"/>
        </w:rPr>
        <w:t xml:space="preserve"> related side effects in the early vs late azathioprine group</w:t>
      </w:r>
      <w:r>
        <w:rPr>
          <w:szCs w:val="22"/>
        </w:rPr>
        <w:t>s</w:t>
      </w:r>
      <w:r w:rsidR="005B2AF1" w:rsidRPr="003F4E95">
        <w:rPr>
          <w:szCs w:val="22"/>
        </w:rPr>
        <w:t>.</w:t>
      </w:r>
    </w:p>
    <w:p w14:paraId="44C4747E" w14:textId="77777777" w:rsidR="00860775" w:rsidRDefault="00860775" w:rsidP="00182C76">
      <w:pPr>
        <w:spacing w:line="480" w:lineRule="auto"/>
        <w:jc w:val="both"/>
        <w:rPr>
          <w:szCs w:val="22"/>
        </w:rPr>
      </w:pPr>
    </w:p>
    <w:p w14:paraId="6A2A78B5" w14:textId="77777777" w:rsidR="00860775" w:rsidRPr="009C0D5D" w:rsidRDefault="00860775" w:rsidP="00860775">
      <w:pPr>
        <w:spacing w:line="480" w:lineRule="auto"/>
        <w:jc w:val="both"/>
        <w:rPr>
          <w:szCs w:val="22"/>
        </w:rPr>
      </w:pPr>
      <w:r w:rsidRPr="00E35FC0">
        <w:rPr>
          <w:b/>
          <w:szCs w:val="22"/>
        </w:rPr>
        <w:t xml:space="preserve">Figure </w:t>
      </w:r>
      <w:r>
        <w:rPr>
          <w:b/>
          <w:szCs w:val="22"/>
        </w:rPr>
        <w:t>3</w:t>
      </w:r>
      <w:r w:rsidRPr="00E35FC0">
        <w:rPr>
          <w:b/>
          <w:szCs w:val="22"/>
        </w:rPr>
        <w:t>:</w:t>
      </w:r>
      <w:r w:rsidRPr="00E35FC0">
        <w:rPr>
          <w:szCs w:val="22"/>
        </w:rPr>
        <w:t xml:space="preserve"> Percentage of patients remaining on corticosteroids per decade</w:t>
      </w:r>
      <w:r>
        <w:rPr>
          <w:szCs w:val="22"/>
        </w:rPr>
        <w:t xml:space="preserve"> between 1970 to 2020 at time points 12, 24, 36, </w:t>
      </w:r>
      <w:r w:rsidRPr="004D72AE">
        <w:rPr>
          <w:szCs w:val="22"/>
        </w:rPr>
        <w:t>60 month</w:t>
      </w:r>
      <w:r w:rsidRPr="00CE3C25">
        <w:rPr>
          <w:szCs w:val="22"/>
        </w:rPr>
        <w:t xml:space="preserve">s. The difference between the number of patients remaining on corticosteroid therapy at each time </w:t>
      </w:r>
      <w:r>
        <w:rPr>
          <w:szCs w:val="22"/>
        </w:rPr>
        <w:t>point</w:t>
      </w:r>
      <w:r w:rsidRPr="00CE3C25">
        <w:rPr>
          <w:szCs w:val="22"/>
        </w:rPr>
        <w:t xml:space="preserve"> per decade is statistically significant, p = 0.001</w:t>
      </w:r>
      <w:r>
        <w:rPr>
          <w:szCs w:val="22"/>
        </w:rPr>
        <w:t xml:space="preserve">. </w:t>
      </w:r>
      <w:r w:rsidRPr="00094AF2">
        <w:rPr>
          <w:szCs w:val="22"/>
        </w:rPr>
        <w:t>Time in weeks from corticosteroid induction to starting azathioprine in all patients per decade between 1970-2020, p = 0.026</w:t>
      </w:r>
      <w:r>
        <w:rPr>
          <w:szCs w:val="22"/>
        </w:rPr>
        <w:t xml:space="preserve">. </w:t>
      </w:r>
    </w:p>
    <w:p w14:paraId="147F4479" w14:textId="77777777" w:rsidR="00860775" w:rsidRDefault="00860775" w:rsidP="00182C76">
      <w:pPr>
        <w:spacing w:line="480" w:lineRule="auto"/>
        <w:jc w:val="both"/>
        <w:rPr>
          <w:szCs w:val="22"/>
        </w:rPr>
      </w:pPr>
    </w:p>
    <w:p w14:paraId="393B09DB" w14:textId="1A9E2B15" w:rsidR="000F7D1B" w:rsidRDefault="000F7D1B" w:rsidP="0029561E">
      <w:pPr>
        <w:spacing w:after="160" w:line="480" w:lineRule="auto"/>
        <w:jc w:val="both"/>
        <w:rPr>
          <w:b/>
          <w:szCs w:val="22"/>
        </w:rPr>
      </w:pPr>
    </w:p>
    <w:p w14:paraId="53C3CE27" w14:textId="77777777" w:rsidR="00F62A98" w:rsidRDefault="00F62A98" w:rsidP="001C7821">
      <w:pPr>
        <w:spacing w:after="160" w:line="480" w:lineRule="auto"/>
        <w:jc w:val="both"/>
        <w:rPr>
          <w:b/>
          <w:szCs w:val="22"/>
        </w:rPr>
      </w:pPr>
    </w:p>
    <w:p w14:paraId="6A1A1DD9" w14:textId="77777777" w:rsidR="00F62A98" w:rsidRDefault="00F62A98" w:rsidP="001C7821">
      <w:pPr>
        <w:spacing w:after="160" w:line="480" w:lineRule="auto"/>
        <w:jc w:val="both"/>
        <w:rPr>
          <w:b/>
          <w:szCs w:val="22"/>
        </w:rPr>
      </w:pPr>
    </w:p>
    <w:p w14:paraId="7CC52D7F" w14:textId="77777777" w:rsidR="00F62A98" w:rsidRDefault="00F62A98" w:rsidP="001C7821">
      <w:pPr>
        <w:spacing w:after="160" w:line="480" w:lineRule="auto"/>
        <w:jc w:val="both"/>
        <w:rPr>
          <w:b/>
          <w:szCs w:val="22"/>
        </w:rPr>
      </w:pPr>
    </w:p>
    <w:p w14:paraId="117302C9" w14:textId="77777777" w:rsidR="00EB41F4" w:rsidRDefault="00EB41F4" w:rsidP="000623CB">
      <w:pPr>
        <w:spacing w:after="160" w:line="480" w:lineRule="auto"/>
        <w:jc w:val="both"/>
        <w:rPr>
          <w:b/>
          <w:szCs w:val="22"/>
        </w:rPr>
      </w:pPr>
    </w:p>
    <w:p w14:paraId="712A5894" w14:textId="77777777" w:rsidR="00EB41F4" w:rsidRDefault="00EB41F4" w:rsidP="000623CB">
      <w:pPr>
        <w:spacing w:after="160" w:line="480" w:lineRule="auto"/>
        <w:jc w:val="both"/>
        <w:rPr>
          <w:b/>
          <w:szCs w:val="22"/>
        </w:rPr>
      </w:pPr>
    </w:p>
    <w:p w14:paraId="7334FFFA" w14:textId="77777777" w:rsidR="00EB41F4" w:rsidRDefault="00EB41F4" w:rsidP="000623CB">
      <w:pPr>
        <w:spacing w:after="160" w:line="480" w:lineRule="auto"/>
        <w:jc w:val="both"/>
        <w:rPr>
          <w:b/>
          <w:szCs w:val="22"/>
        </w:rPr>
      </w:pPr>
    </w:p>
    <w:p w14:paraId="5050D0DD" w14:textId="77777777" w:rsidR="00EB41F4" w:rsidRDefault="00EB41F4" w:rsidP="000623CB">
      <w:pPr>
        <w:spacing w:after="160" w:line="480" w:lineRule="auto"/>
        <w:jc w:val="both"/>
        <w:rPr>
          <w:b/>
          <w:szCs w:val="22"/>
        </w:rPr>
      </w:pPr>
    </w:p>
    <w:p w14:paraId="381D2446" w14:textId="534D1CA5" w:rsidR="000623CB" w:rsidRDefault="009D57C5" w:rsidP="000623CB">
      <w:pPr>
        <w:spacing w:after="160" w:line="480" w:lineRule="auto"/>
        <w:jc w:val="both"/>
        <w:rPr>
          <w:szCs w:val="22"/>
        </w:rPr>
      </w:pPr>
      <w:r w:rsidRPr="00D62022">
        <w:rPr>
          <w:b/>
          <w:szCs w:val="22"/>
        </w:rPr>
        <w:lastRenderedPageBreak/>
        <w:t>References</w:t>
      </w:r>
    </w:p>
    <w:p w14:paraId="137AF661" w14:textId="5BC1E28D" w:rsidR="009D57C5" w:rsidRPr="000623CB" w:rsidRDefault="000623CB" w:rsidP="00EB41F4">
      <w:pPr>
        <w:spacing w:after="160" w:line="480" w:lineRule="auto"/>
        <w:jc w:val="both"/>
        <w:rPr>
          <w:szCs w:val="22"/>
        </w:rPr>
      </w:pPr>
      <w:r w:rsidRPr="000623CB">
        <w:t>[dataset] </w:t>
      </w:r>
      <w:r>
        <w:t>[</w:t>
      </w:r>
      <w:r w:rsidR="00F55A39">
        <w:t>1</w:t>
      </w:r>
      <w:r>
        <w:t>]</w:t>
      </w:r>
      <w:r w:rsidR="00F55A39">
        <w:t> </w:t>
      </w:r>
      <w:r w:rsidR="009D57C5" w:rsidRPr="000357B8">
        <w:t>EASL Clinical Practice Guidelines: Autoimmune hepatitis. Journal of Hepatology [Internet]. 2015 Oct;63(4):971–1004. Available from: https://linkinghub.elsevier.com/retrieve/pii/S0168827815004584</w:t>
      </w:r>
    </w:p>
    <w:p w14:paraId="6F4A9B9C" w14:textId="140C03FB" w:rsidR="009D57C5" w:rsidRPr="000357B8" w:rsidRDefault="000623CB" w:rsidP="00EB41F4">
      <w:pPr>
        <w:autoSpaceDE w:val="0"/>
        <w:autoSpaceDN w:val="0"/>
        <w:spacing w:line="480" w:lineRule="auto"/>
      </w:pPr>
      <w:r w:rsidRPr="000623CB">
        <w:t>[dataset] </w:t>
      </w:r>
      <w:r>
        <w:t xml:space="preserve"> [2] </w:t>
      </w:r>
      <w:r w:rsidR="009D57C5" w:rsidRPr="000357B8">
        <w:t>Johnson PJ, McFarlane IG, Williams R. Azathioprine for Long-Term Maintenance of Remission in Autoimmune Hepatitis. New England Journal of Medicine [Internet]. 1995 Oct 12;333(15):958–63. Available from: http://www.nejm.org/doi/abs/10.1056/NEJM199510123331502</w:t>
      </w:r>
    </w:p>
    <w:p w14:paraId="1C40AE9A" w14:textId="55329B7C" w:rsidR="009D57C5" w:rsidRPr="000357B8" w:rsidRDefault="000623CB" w:rsidP="00EB41F4">
      <w:pPr>
        <w:autoSpaceDE w:val="0"/>
        <w:autoSpaceDN w:val="0"/>
        <w:spacing w:line="480" w:lineRule="auto"/>
      </w:pPr>
      <w:r w:rsidRPr="000623CB">
        <w:t>[dataset] </w:t>
      </w:r>
      <w:r>
        <w:t>[3]</w:t>
      </w:r>
      <w:r w:rsidR="00F55A39">
        <w:t> </w:t>
      </w:r>
      <w:r w:rsidR="009D57C5" w:rsidRPr="000357B8">
        <w:t>Gleeson D, Heneghan MA. British Society of Gastroenterology (BSG) guidelines for management of autoimmune hepatitis. Gut [Internet]. 2011 Dec 1;60(12):1611–29. Available from: https://gut.bmj.com/lookup/doi/10.1136/gut.2010.235259</w:t>
      </w:r>
    </w:p>
    <w:p w14:paraId="589C5B83" w14:textId="1EF19FD0" w:rsidR="000623CB" w:rsidRDefault="00F55A39" w:rsidP="00EB41F4">
      <w:pPr>
        <w:autoSpaceDE w:val="0"/>
        <w:autoSpaceDN w:val="0"/>
        <w:spacing w:line="480" w:lineRule="auto"/>
      </w:pPr>
      <w:r>
        <w:t> </w:t>
      </w:r>
      <w:r w:rsidR="000623CB" w:rsidRPr="000623CB">
        <w:t>[dataset] </w:t>
      </w:r>
      <w:r w:rsidR="000623CB">
        <w:t xml:space="preserve">[4] </w:t>
      </w:r>
      <w:r w:rsidR="009D57C5" w:rsidRPr="000357B8">
        <w:t xml:space="preserve">Mack CL, Adams D, Assis DN, </w:t>
      </w:r>
      <w:proofErr w:type="spellStart"/>
      <w:r w:rsidR="009D57C5" w:rsidRPr="000357B8">
        <w:t>Kerkar</w:t>
      </w:r>
      <w:proofErr w:type="spellEnd"/>
      <w:r w:rsidR="009D57C5" w:rsidRPr="000357B8">
        <w:t xml:space="preserve"> N, Manns MP, Mayo MJ, et al. Diagnosis and Management of Autoimmune Hepatitis in Adults and Children: 2019 Practice Guidance and Guidelines From the American Association for the Study of Liver Diseases. Hepatology [Internet]. 2020 Aug 12;72(2):671–722. Available from: </w:t>
      </w:r>
      <w:hyperlink r:id="rId11" w:history="1">
        <w:r w:rsidR="000623CB" w:rsidRPr="00C65F3F">
          <w:rPr>
            <w:rStyle w:val="Hyperlink"/>
          </w:rPr>
          <w:t>https://onlinelibrary.wiley.com/doi/abs/10.1002/hep.31065</w:t>
        </w:r>
      </w:hyperlink>
    </w:p>
    <w:p w14:paraId="0BEFBB5A" w14:textId="45BF57E9" w:rsidR="009D57C5" w:rsidRPr="000357B8" w:rsidRDefault="000623CB" w:rsidP="000623CB">
      <w:pPr>
        <w:autoSpaceDE w:val="0"/>
        <w:autoSpaceDN w:val="0"/>
        <w:spacing w:line="480" w:lineRule="auto"/>
      </w:pPr>
      <w:r w:rsidRPr="000623CB">
        <w:t>[dataset] </w:t>
      </w:r>
      <w:r>
        <w:t xml:space="preserve">[5] </w:t>
      </w:r>
      <w:r w:rsidR="009D57C5" w:rsidRPr="000357B8">
        <w:t xml:space="preserve">Dyson JK, Wong LL, </w:t>
      </w:r>
      <w:proofErr w:type="spellStart"/>
      <w:r w:rsidR="009D57C5" w:rsidRPr="000357B8">
        <w:t>Bigirumurame</w:t>
      </w:r>
      <w:proofErr w:type="spellEnd"/>
      <w:r w:rsidR="009D57C5" w:rsidRPr="000357B8">
        <w:t xml:space="preserve"> T, Hirschfield GM, Kendrick S, Oo YH, et al. Inequity of care provision and outcome disparity in autoimmune hepatitis in the United Kingdom. Alimentary Pharmacology &amp; Therapeutics [Internet]. 2018 Nov;48(9):951–60. Available from: http://doi.wiley.com/10.1111/apt.14968</w:t>
      </w:r>
    </w:p>
    <w:p w14:paraId="06F32B77" w14:textId="26293553" w:rsidR="009D57C5" w:rsidRPr="000357B8" w:rsidRDefault="000623CB" w:rsidP="000623CB">
      <w:pPr>
        <w:autoSpaceDE w:val="0"/>
        <w:autoSpaceDN w:val="0"/>
        <w:spacing w:line="480" w:lineRule="auto"/>
      </w:pPr>
      <w:r w:rsidRPr="000623CB">
        <w:t>[dataset]</w:t>
      </w:r>
      <w:r>
        <w:t xml:space="preserve"> [6]</w:t>
      </w:r>
      <w:r w:rsidRPr="000623CB">
        <w:t> </w:t>
      </w:r>
      <w:r w:rsidR="006901E2">
        <w:t>V</w:t>
      </w:r>
      <w:r w:rsidR="009D57C5" w:rsidRPr="000357B8">
        <w:t xml:space="preserve">an den Brand FF, van der Veen KS, </w:t>
      </w:r>
      <w:proofErr w:type="spellStart"/>
      <w:r w:rsidR="009D57C5" w:rsidRPr="000357B8">
        <w:t>Lissenberg</w:t>
      </w:r>
      <w:proofErr w:type="spellEnd"/>
      <w:r w:rsidR="009D57C5" w:rsidRPr="000357B8">
        <w:t xml:space="preserve">-Witte BI, de Boer YS, van Hoek B, Drenth JPH, et al. Adverse events related to low dose </w:t>
      </w:r>
      <w:r w:rsidR="00F01C6D">
        <w:t>corticosteroid</w:t>
      </w:r>
      <w:r w:rsidR="009D57C5" w:rsidRPr="000357B8">
        <w:t xml:space="preserve">s in autoimmune hepatitis. Alimentary Pharmacology and Therapeutics. 2019 Nov 1;50(10):1120–6. </w:t>
      </w:r>
    </w:p>
    <w:p w14:paraId="39D71773" w14:textId="03707485" w:rsidR="009D57C5" w:rsidRPr="000357B8" w:rsidRDefault="000623CB" w:rsidP="000623CB">
      <w:pPr>
        <w:autoSpaceDE w:val="0"/>
        <w:autoSpaceDN w:val="0"/>
        <w:spacing w:line="480" w:lineRule="auto"/>
      </w:pPr>
      <w:r w:rsidRPr="000623CB">
        <w:lastRenderedPageBreak/>
        <w:t>[dataset]</w:t>
      </w:r>
      <w:r>
        <w:t xml:space="preserve"> [7]</w:t>
      </w:r>
      <w:r w:rsidRPr="000623CB">
        <w:t> </w:t>
      </w:r>
      <w:r w:rsidR="00F55A39">
        <w:t> </w:t>
      </w:r>
      <w:r w:rsidR="009D57C5" w:rsidRPr="000357B8">
        <w:t xml:space="preserve">Alvarez F, Berg PA, Bianchi FB, Bianchi L, Burroughs AK, </w:t>
      </w:r>
      <w:proofErr w:type="spellStart"/>
      <w:r w:rsidR="009D57C5" w:rsidRPr="000357B8">
        <w:t>Cancado</w:t>
      </w:r>
      <w:proofErr w:type="spellEnd"/>
      <w:r w:rsidR="009D57C5" w:rsidRPr="000357B8">
        <w:t xml:space="preserve"> EL, et al. International Autoimmune Hepatitis Group Report: review of criteria for diagnosis of autoimmune hepatitis. Journal of Hepatology. 1999 Nov;31(5). </w:t>
      </w:r>
    </w:p>
    <w:p w14:paraId="71F37B3E" w14:textId="603820CA" w:rsidR="00B334EE" w:rsidRDefault="000623CB" w:rsidP="000623CB">
      <w:pPr>
        <w:autoSpaceDE w:val="0"/>
        <w:autoSpaceDN w:val="0"/>
        <w:spacing w:line="480" w:lineRule="auto"/>
      </w:pPr>
      <w:r w:rsidRPr="000623CB">
        <w:t>[dataset] </w:t>
      </w:r>
      <w:r>
        <w:t>[8]</w:t>
      </w:r>
      <w:r w:rsidRPr="000623CB">
        <w:t> </w:t>
      </w:r>
      <w:r w:rsidR="009D57C5" w:rsidRPr="000357B8">
        <w:t xml:space="preserve">Hennes EM, Zeniya M, Czaja </w:t>
      </w:r>
      <w:proofErr w:type="spellStart"/>
      <w:r w:rsidR="009D57C5" w:rsidRPr="000357B8">
        <w:t>AlbertJ</w:t>
      </w:r>
      <w:proofErr w:type="spellEnd"/>
      <w:r w:rsidR="009D57C5" w:rsidRPr="000357B8">
        <w:t xml:space="preserve">, </w:t>
      </w:r>
      <w:proofErr w:type="spellStart"/>
      <w:r w:rsidR="009D57C5" w:rsidRPr="000357B8">
        <w:t>Parés</w:t>
      </w:r>
      <w:proofErr w:type="spellEnd"/>
      <w:r w:rsidR="009D57C5" w:rsidRPr="000357B8">
        <w:t xml:space="preserve"> A, </w:t>
      </w:r>
      <w:proofErr w:type="spellStart"/>
      <w:r w:rsidR="009D57C5" w:rsidRPr="000357B8">
        <w:t>Dalekos</w:t>
      </w:r>
      <w:proofErr w:type="spellEnd"/>
      <w:r w:rsidR="009D57C5" w:rsidRPr="000357B8">
        <w:t xml:space="preserve"> GN, </w:t>
      </w:r>
      <w:proofErr w:type="spellStart"/>
      <w:r w:rsidR="009D57C5" w:rsidRPr="000357B8">
        <w:t>Krawitt</w:t>
      </w:r>
      <w:proofErr w:type="spellEnd"/>
      <w:r w:rsidR="009D57C5" w:rsidRPr="000357B8">
        <w:t xml:space="preserve"> EL, et al. Simplified criteria for the diagnosis of autoimmune hepatitis. Hepatology. 2008 Jul;48(1). </w:t>
      </w:r>
    </w:p>
    <w:p w14:paraId="4E16AF7D" w14:textId="44810475" w:rsidR="00CB7050" w:rsidRDefault="000623CB" w:rsidP="000623CB">
      <w:pPr>
        <w:autoSpaceDE w:val="0"/>
        <w:autoSpaceDN w:val="0"/>
        <w:spacing w:line="480" w:lineRule="auto"/>
      </w:pPr>
      <w:r w:rsidRPr="000623CB">
        <w:t>[dataset]</w:t>
      </w:r>
      <w:r>
        <w:t xml:space="preserve"> [9]</w:t>
      </w:r>
      <w:r w:rsidRPr="000623CB">
        <w:t> </w:t>
      </w:r>
      <w:r w:rsidR="00F968AB" w:rsidRPr="00CB7050">
        <w:t xml:space="preserve">Pape S, Snijders RJALM, Gevers TJG, </w:t>
      </w:r>
      <w:proofErr w:type="spellStart"/>
      <w:r w:rsidR="00F968AB" w:rsidRPr="00CB7050">
        <w:t>Chazouilleres</w:t>
      </w:r>
      <w:proofErr w:type="spellEnd"/>
      <w:r w:rsidR="00F968AB" w:rsidRPr="00CB7050">
        <w:t xml:space="preserve"> O, </w:t>
      </w:r>
      <w:proofErr w:type="spellStart"/>
      <w:r w:rsidR="00F968AB" w:rsidRPr="00CB7050">
        <w:t>Dalekos</w:t>
      </w:r>
      <w:proofErr w:type="spellEnd"/>
      <w:r w:rsidR="00F968AB" w:rsidRPr="00CB7050">
        <w:t xml:space="preserve"> GN, Hirschfield GM, Lenzi M, Trauner M, Manns MP, Vierling JM, Montano-Loza AJ, Lohse AW, Schramm C, Drenth JPH, Heneghan MA; International Autoimmune Hepatitis Group (IAIHG) collaborators(‡). Systematic review of response criteria and endpoints in autoimmune hepatitis by the International Autoimmune Hepatitis Group. J Hepatol. 2022 Apr;76(4):841-849.</w:t>
      </w:r>
    </w:p>
    <w:p w14:paraId="0A2BE1CE" w14:textId="35EF3D2A" w:rsidR="00A7184D" w:rsidRDefault="000623CB" w:rsidP="000623CB">
      <w:pPr>
        <w:autoSpaceDE w:val="0"/>
        <w:autoSpaceDN w:val="0"/>
        <w:spacing w:line="480" w:lineRule="auto"/>
      </w:pPr>
      <w:r w:rsidRPr="000623CB">
        <w:t xml:space="preserve">[dataset] </w:t>
      </w:r>
      <w:r>
        <w:t>[10]</w:t>
      </w:r>
      <w:r w:rsidRPr="000623CB">
        <w:t> </w:t>
      </w:r>
      <w:r w:rsidR="00A7184D" w:rsidRPr="00A7184D">
        <w:t xml:space="preserve">Manns MP, Czaja AJ, Gorham JD, </w:t>
      </w:r>
      <w:proofErr w:type="spellStart"/>
      <w:r w:rsidR="00A7184D" w:rsidRPr="00A7184D">
        <w:t>Krawitt</w:t>
      </w:r>
      <w:proofErr w:type="spellEnd"/>
      <w:r w:rsidR="00A7184D" w:rsidRPr="00A7184D">
        <w:t xml:space="preserve"> EL, Mieli-Vergani G, Vergani D, Vierling JM; American Association for the Study of Liver Diseases. Diagnosis and management of autoimmune hepatitis. Hepatology. 2010 Jun;51(6):2193-213. </w:t>
      </w:r>
      <w:proofErr w:type="spellStart"/>
      <w:r w:rsidR="00A7184D" w:rsidRPr="00A7184D">
        <w:t>doi</w:t>
      </w:r>
      <w:proofErr w:type="spellEnd"/>
      <w:r w:rsidR="00A7184D" w:rsidRPr="00A7184D">
        <w:t>: 10.1002/hep.23584. PMID: 20513004.</w:t>
      </w:r>
    </w:p>
    <w:p w14:paraId="417D17F6" w14:textId="1E0EA562" w:rsidR="00A7184D" w:rsidRDefault="000623CB" w:rsidP="000623CB">
      <w:pPr>
        <w:autoSpaceDE w:val="0"/>
        <w:autoSpaceDN w:val="0"/>
        <w:spacing w:line="480" w:lineRule="auto"/>
      </w:pPr>
      <w:r w:rsidRPr="000623CB">
        <w:t xml:space="preserve">[dataset] </w:t>
      </w:r>
      <w:r>
        <w:t>[11]</w:t>
      </w:r>
      <w:r w:rsidRPr="000623CB">
        <w:t> </w:t>
      </w:r>
      <w:r w:rsidR="00A7184D" w:rsidRPr="00A7184D">
        <w:t>Murray-Lyon, IM, Stern, RB, Williams, R. Controlled trial of prednisone and azathioprine in active chronic hepatitis. Lancet 1973;1:735-737</w:t>
      </w:r>
    </w:p>
    <w:p w14:paraId="18D7B70D" w14:textId="3EE7C597" w:rsidR="00CB7050" w:rsidRDefault="000623CB" w:rsidP="000623CB">
      <w:pPr>
        <w:autoSpaceDE w:val="0"/>
        <w:autoSpaceDN w:val="0"/>
        <w:spacing w:line="480" w:lineRule="auto"/>
      </w:pPr>
      <w:r w:rsidRPr="000623CB">
        <w:t>[dataset]</w:t>
      </w:r>
      <w:r>
        <w:t>[12]</w:t>
      </w:r>
      <w:r w:rsidR="00E0614F">
        <w:t xml:space="preserve"> </w:t>
      </w:r>
      <w:r w:rsidR="00F968AB" w:rsidRPr="000357B8">
        <w:t xml:space="preserve">Pape S, Gevers TJG, Belias M, </w:t>
      </w:r>
      <w:proofErr w:type="spellStart"/>
      <w:r w:rsidR="00F968AB" w:rsidRPr="000357B8">
        <w:t>Mustafajev</w:t>
      </w:r>
      <w:proofErr w:type="spellEnd"/>
      <w:r w:rsidR="00F968AB" w:rsidRPr="000357B8">
        <w:t xml:space="preserve"> IF, Vrolijk JM, van Hoek B, et al. </w:t>
      </w:r>
      <w:proofErr w:type="spellStart"/>
      <w:r w:rsidR="00F968AB" w:rsidRPr="000357B8">
        <w:t>Predniso</w:t>
      </w:r>
      <w:proofErr w:type="spellEnd"/>
      <w:r w:rsidR="00F968AB" w:rsidRPr="000357B8">
        <w:t>(lo)ne Dosage and Chance of Remission in Patients With Autoimmune Hepatitis. Clinical Gastroenterology and Hepatology. 2019 Sep 1;17(10):2068-2075.e2.</w:t>
      </w:r>
    </w:p>
    <w:p w14:paraId="08396036" w14:textId="3F5B2651" w:rsidR="00863E54" w:rsidRDefault="000623CB" w:rsidP="000623CB">
      <w:pPr>
        <w:autoSpaceDE w:val="0"/>
        <w:autoSpaceDN w:val="0"/>
        <w:spacing w:line="480" w:lineRule="auto"/>
      </w:pPr>
      <w:r w:rsidRPr="000623CB">
        <w:t>[dataset]</w:t>
      </w:r>
      <w:r>
        <w:t>[13]</w:t>
      </w:r>
      <w:r w:rsidRPr="000623CB">
        <w:t> </w:t>
      </w:r>
      <w:r w:rsidR="00863E54">
        <w:t xml:space="preserve">Pape S, Gevers TJG, Vrolijk JM, van Hoek B, Bouma G, van </w:t>
      </w:r>
      <w:proofErr w:type="spellStart"/>
      <w:r w:rsidR="00863E54">
        <w:t>Nieuwkerk</w:t>
      </w:r>
      <w:proofErr w:type="spellEnd"/>
      <w:r w:rsidR="00863E54">
        <w:t xml:space="preserve"> CMJ, et al. Rapid Response to Treatment of Autoimmune Hepatitis Associated With Remission at 6 and 12 Months. Clinical Gastroenterology and Hepatology. 2020 Jun;18(7). </w:t>
      </w:r>
    </w:p>
    <w:p w14:paraId="72B478AC" w14:textId="698710E9" w:rsidR="00863E54" w:rsidRDefault="000623CB" w:rsidP="000623CB">
      <w:pPr>
        <w:autoSpaceDE w:val="0"/>
        <w:autoSpaceDN w:val="0"/>
        <w:spacing w:line="480" w:lineRule="auto"/>
      </w:pPr>
      <w:r w:rsidRPr="000623CB">
        <w:t>[dataset]</w:t>
      </w:r>
      <w:r>
        <w:t>[14]</w:t>
      </w:r>
      <w:r w:rsidRPr="000623CB">
        <w:t> </w:t>
      </w:r>
      <w:r w:rsidR="00863E54">
        <w:t xml:space="preserve">Pape S, Gevers TJG, Vrolijk JM, Hoek B, Bouma G, </w:t>
      </w:r>
      <w:proofErr w:type="spellStart"/>
      <w:r w:rsidR="00863E54">
        <w:t>Nieuwkerk</w:t>
      </w:r>
      <w:proofErr w:type="spellEnd"/>
      <w:r w:rsidR="00863E54">
        <w:t xml:space="preserve"> CMJ, et al. High discontinuation rate of azathioprine in autoimmune hepatitis, independent of time of </w:t>
      </w:r>
      <w:r w:rsidR="00863E54">
        <w:lastRenderedPageBreak/>
        <w:t xml:space="preserve">treatment initiation. Liver International [Internet]. 2020 Sep 11;40(9):2164–71. Available from: </w:t>
      </w:r>
      <w:hyperlink r:id="rId12" w:history="1">
        <w:r w:rsidR="00863E54" w:rsidRPr="00855ED2">
          <w:rPr>
            <w:rStyle w:val="Hyperlink"/>
          </w:rPr>
          <w:t>https://onlinelibrary.wiley.com/doi/10.1111/liv.14513</w:t>
        </w:r>
      </w:hyperlink>
    </w:p>
    <w:p w14:paraId="673C6B06" w14:textId="2E242D99" w:rsidR="00863E54" w:rsidRDefault="000623CB" w:rsidP="000623CB">
      <w:pPr>
        <w:autoSpaceDE w:val="0"/>
        <w:autoSpaceDN w:val="0"/>
        <w:spacing w:line="480" w:lineRule="auto"/>
      </w:pPr>
      <w:r w:rsidRPr="000623CB">
        <w:t xml:space="preserve">[dataset] </w:t>
      </w:r>
      <w:r>
        <w:t>[15]</w:t>
      </w:r>
      <w:r w:rsidRPr="000623CB">
        <w:t> </w:t>
      </w:r>
      <w:r w:rsidR="00863E54" w:rsidRPr="00863E54">
        <w:t xml:space="preserve">Huscher D, Thiele K, </w:t>
      </w:r>
      <w:proofErr w:type="spellStart"/>
      <w:r w:rsidR="00863E54" w:rsidRPr="00863E54">
        <w:t>Gromnica</w:t>
      </w:r>
      <w:proofErr w:type="spellEnd"/>
      <w:r w:rsidR="00863E54" w:rsidRPr="00863E54">
        <w:t>-Ihle E, Hein G, Demary W, Dreher R, et al. Dose-related patterns of glucocorticoid-induced side effects. Annals of the Rheumatic Diseases. 2009 Jul 1;68(7).</w:t>
      </w:r>
    </w:p>
    <w:p w14:paraId="387636F4" w14:textId="15DAB615" w:rsidR="00863E54" w:rsidRDefault="000623CB" w:rsidP="000623CB">
      <w:pPr>
        <w:autoSpaceDE w:val="0"/>
        <w:autoSpaceDN w:val="0"/>
        <w:spacing w:line="480" w:lineRule="auto"/>
      </w:pPr>
      <w:r w:rsidRPr="000623CB">
        <w:t xml:space="preserve">[dataset] </w:t>
      </w:r>
      <w:r>
        <w:t>[16]</w:t>
      </w:r>
      <w:r w:rsidRPr="000623CB">
        <w:t> </w:t>
      </w:r>
      <w:r w:rsidR="00863E54" w:rsidRPr="000357B8">
        <w:t xml:space="preserve">Curtis JR, Westfall AO, Allison J, Bijlsma JW, Freeman A, George V, et al. Population-based assessment of adverse events associated with long-term glucocorticoid use. Arthritis &amp; </w:t>
      </w:r>
      <w:r w:rsidR="00863E54">
        <w:t>Rheumatism. 2006 Jun 15;55(3).</w:t>
      </w:r>
    </w:p>
    <w:p w14:paraId="3E564516" w14:textId="006E28C5" w:rsidR="00B334EE" w:rsidRDefault="000623CB" w:rsidP="000623CB">
      <w:pPr>
        <w:autoSpaceDE w:val="0"/>
        <w:autoSpaceDN w:val="0"/>
        <w:spacing w:line="480" w:lineRule="auto"/>
      </w:pPr>
      <w:r w:rsidRPr="000623CB">
        <w:rPr>
          <w:shd w:val="clear" w:color="auto" w:fill="FFFFFF"/>
        </w:rPr>
        <w:t>[dataset] </w:t>
      </w:r>
      <w:r>
        <w:t>[17]</w:t>
      </w:r>
      <w:r w:rsidR="00B334EE" w:rsidRPr="00813DB3">
        <w:rPr>
          <w:shd w:val="clear" w:color="auto" w:fill="FFFFFF"/>
        </w:rPr>
        <w:t xml:space="preserve">G. C. Cook, Rosemary Mulligan, Sheila Sherlock, Controlled Prospective Trial Of </w:t>
      </w:r>
      <w:r w:rsidR="00F01C6D">
        <w:rPr>
          <w:shd w:val="clear" w:color="auto" w:fill="FFFFFF"/>
        </w:rPr>
        <w:t>Corticosteroid</w:t>
      </w:r>
      <w:r w:rsidR="00B334EE" w:rsidRPr="00813DB3">
        <w:rPr>
          <w:shd w:val="clear" w:color="auto" w:fill="FFFFFF"/>
        </w:rPr>
        <w:t xml:space="preserve"> Therapy In Active Chronic Hepatitis, </w:t>
      </w:r>
      <w:proofErr w:type="spellStart"/>
      <w:r w:rsidR="00B334EE" w:rsidRPr="00813DB3">
        <w:rPr>
          <w:rStyle w:val="Emphasis"/>
          <w:bdr w:val="none" w:sz="0" w:space="0" w:color="auto" w:frame="1"/>
          <w:shd w:val="clear" w:color="auto" w:fill="FFFFFF"/>
        </w:rPr>
        <w:t>Qjm</w:t>
      </w:r>
      <w:proofErr w:type="spellEnd"/>
      <w:r w:rsidR="00B334EE" w:rsidRPr="00813DB3">
        <w:rPr>
          <w:rStyle w:val="Emphasis"/>
          <w:bdr w:val="none" w:sz="0" w:space="0" w:color="auto" w:frame="1"/>
          <w:shd w:val="clear" w:color="auto" w:fill="FFFFFF"/>
        </w:rPr>
        <w:t>: An International Journal Of Medicine</w:t>
      </w:r>
      <w:r w:rsidR="00B334EE" w:rsidRPr="00813DB3">
        <w:rPr>
          <w:shd w:val="clear" w:color="auto" w:fill="FFFFFF"/>
        </w:rPr>
        <w:t>, Volume 40, Issue 2, April 1971, Pages 159–185</w:t>
      </w:r>
      <w:r w:rsidR="00B334EE" w:rsidRPr="00813DB3">
        <w:t xml:space="preserve"> </w:t>
      </w:r>
    </w:p>
    <w:p w14:paraId="476E98B7" w14:textId="79148CB4" w:rsidR="009D57C5" w:rsidRPr="000357B8" w:rsidRDefault="000623CB" w:rsidP="000623CB">
      <w:pPr>
        <w:autoSpaceDE w:val="0"/>
        <w:autoSpaceDN w:val="0"/>
        <w:spacing w:line="480" w:lineRule="auto"/>
      </w:pPr>
      <w:r w:rsidRPr="000623CB">
        <w:t xml:space="preserve">[dataset] </w:t>
      </w:r>
      <w:r>
        <w:t>[18]</w:t>
      </w:r>
      <w:r w:rsidRPr="000623CB">
        <w:t> </w:t>
      </w:r>
      <w:r w:rsidR="00863E54" w:rsidRPr="00863E54">
        <w:t xml:space="preserve">W. H. J. </w:t>
      </w:r>
      <w:proofErr w:type="spellStart"/>
      <w:r w:rsidR="00863E54" w:rsidRPr="00863E54">
        <w:t>Summerskill</w:t>
      </w:r>
      <w:proofErr w:type="spellEnd"/>
      <w:r w:rsidR="00863E54" w:rsidRPr="00863E54">
        <w:t>, Melvyn G. Korman, Helmut V. Ammon and Archie H. Baggenstoss</w:t>
      </w:r>
      <w:r w:rsidR="00863E54">
        <w:t xml:space="preserve">. </w:t>
      </w:r>
      <w:r w:rsidR="00B334EE" w:rsidRPr="00813DB3">
        <w:t>Prednisone for chronic active liver disease: dose titration, standard dose, and combination with azathioprine</w:t>
      </w:r>
      <w:r w:rsidR="00B334EE">
        <w:t xml:space="preserve"> compared.</w:t>
      </w:r>
      <w:r w:rsidR="00EF6E56">
        <w:t>, Gut, 1975, 16, 876-883</w:t>
      </w:r>
    </w:p>
    <w:p w14:paraId="7E0BED05" w14:textId="05A5B877" w:rsidR="009D57C5" w:rsidRDefault="000623CB" w:rsidP="000623CB">
      <w:pPr>
        <w:autoSpaceDE w:val="0"/>
        <w:autoSpaceDN w:val="0"/>
        <w:spacing w:line="480" w:lineRule="auto"/>
      </w:pPr>
      <w:r w:rsidRPr="000623CB">
        <w:t xml:space="preserve">[dataset] </w:t>
      </w:r>
      <w:r>
        <w:t>[19]</w:t>
      </w:r>
      <w:r w:rsidRPr="000623CB">
        <w:t> </w:t>
      </w:r>
      <w:r w:rsidR="009D57C5" w:rsidRPr="000357B8">
        <w:t xml:space="preserve">Liberal R, de Boer YS, Andrade RJ, Bouma G, </w:t>
      </w:r>
      <w:proofErr w:type="spellStart"/>
      <w:r w:rsidR="009D57C5" w:rsidRPr="000357B8">
        <w:t>Dalekos</w:t>
      </w:r>
      <w:proofErr w:type="spellEnd"/>
      <w:r w:rsidR="009D57C5" w:rsidRPr="000357B8">
        <w:t xml:space="preserve"> GN, Floreani A, et al. Expert clinical management of autoimmune hepatitis in the real world. Alimentary Pharmacology &amp; Therapeutics. 2017 Mar;45(5). </w:t>
      </w:r>
    </w:p>
    <w:p w14:paraId="0E60FF47" w14:textId="5B92E467" w:rsidR="000623CB" w:rsidRDefault="00863E54" w:rsidP="000623CB">
      <w:pPr>
        <w:autoSpaceDE w:val="0"/>
        <w:autoSpaceDN w:val="0"/>
        <w:spacing w:line="480" w:lineRule="auto"/>
        <w:ind w:hanging="640"/>
      </w:pPr>
      <w:r>
        <w:t>  </w:t>
      </w:r>
      <w:r w:rsidR="000623CB">
        <w:tab/>
      </w:r>
      <w:r w:rsidR="000623CB" w:rsidRPr="000623CB">
        <w:t xml:space="preserve">[dataset] </w:t>
      </w:r>
      <w:r w:rsidR="000623CB">
        <w:t>[20]</w:t>
      </w:r>
      <w:r w:rsidR="000623CB" w:rsidRPr="000623CB">
        <w:t> </w:t>
      </w:r>
      <w:r>
        <w:t xml:space="preserve">Curtis JR, Westfall AO, Allison J, Bijlsma JW, Freeman A, George V, et al. Population-based assessment of adverse events associated with long-term glucocorticoid use. Arthritis &amp; Rheumatism. 2006 Jun 15;55(3). </w:t>
      </w:r>
    </w:p>
    <w:p w14:paraId="38200593" w14:textId="53487748" w:rsidR="00863E54" w:rsidRPr="000357B8" w:rsidRDefault="000623CB" w:rsidP="000623CB">
      <w:pPr>
        <w:autoSpaceDE w:val="0"/>
        <w:autoSpaceDN w:val="0"/>
        <w:spacing w:line="480" w:lineRule="auto"/>
      </w:pPr>
      <w:r w:rsidRPr="000623CB">
        <w:t>[dataset] </w:t>
      </w:r>
      <w:r>
        <w:t xml:space="preserve">[21] </w:t>
      </w:r>
      <w:proofErr w:type="spellStart"/>
      <w:r w:rsidR="00863E54">
        <w:t>Weltzsch</w:t>
      </w:r>
      <w:proofErr w:type="spellEnd"/>
      <w:r w:rsidR="00863E54">
        <w:t xml:space="preserve"> JP, Bartel CF, Waldmann M, </w:t>
      </w:r>
      <w:proofErr w:type="spellStart"/>
      <w:r w:rsidR="00863E54">
        <w:t>Renné</w:t>
      </w:r>
      <w:proofErr w:type="spellEnd"/>
      <w:r w:rsidR="00863E54">
        <w:t xml:space="preserve"> T, Schulze S. Optimizing thiopurine therapy in autoimmune hepatitis: A multi-</w:t>
      </w:r>
      <w:proofErr w:type="spellStart"/>
      <w:r w:rsidR="00863E54">
        <w:t>center</w:t>
      </w:r>
      <w:proofErr w:type="spellEnd"/>
      <w:r w:rsidR="00863E54">
        <w:t xml:space="preserve"> study on monitoring metabolite profiles and co-therapy with allopurinol. Hepatology. 2024;80:S316.</w:t>
      </w:r>
    </w:p>
    <w:p w14:paraId="542B1B96" w14:textId="091CB80E" w:rsidR="00537065" w:rsidRPr="000357B8" w:rsidRDefault="000623CB" w:rsidP="000623CB">
      <w:pPr>
        <w:autoSpaceDE w:val="0"/>
        <w:autoSpaceDN w:val="0"/>
        <w:spacing w:line="480" w:lineRule="auto"/>
      </w:pPr>
      <w:r w:rsidRPr="000623CB">
        <w:t xml:space="preserve">[dataset] </w:t>
      </w:r>
      <w:r>
        <w:t>[</w:t>
      </w:r>
      <w:r w:rsidR="00A51F1A">
        <w:t>2</w:t>
      </w:r>
      <w:r>
        <w:t>2]</w:t>
      </w:r>
      <w:r w:rsidRPr="000623CB">
        <w:t> </w:t>
      </w:r>
      <w:r w:rsidR="00F55A39">
        <w:t> </w:t>
      </w:r>
      <w:proofErr w:type="spellStart"/>
      <w:r w:rsidR="009D57C5" w:rsidRPr="000357B8">
        <w:t>Candels</w:t>
      </w:r>
      <w:proofErr w:type="spellEnd"/>
      <w:r w:rsidR="009D57C5" w:rsidRPr="000357B8">
        <w:t xml:space="preserve"> LS, Rahim M, Yeoman A, Wong GW, Heneghan M. Utility of thiopurine metabolite testing in autoimmune hepatitis: defining an optimal therapeutic range </w:t>
      </w:r>
      <w:r w:rsidR="009D57C5" w:rsidRPr="000357B8">
        <w:lastRenderedPageBreak/>
        <w:t xml:space="preserve">for disease management and measurement may avert relapse and adverse drug reactions. Journal of Hepatology. 2020 Aug;73. </w:t>
      </w:r>
    </w:p>
    <w:p w14:paraId="119A89E0" w14:textId="2D150736" w:rsidR="009D57C5" w:rsidRPr="000357B8" w:rsidRDefault="000623CB" w:rsidP="00A51F1A">
      <w:pPr>
        <w:autoSpaceDE w:val="0"/>
        <w:autoSpaceDN w:val="0"/>
        <w:spacing w:line="480" w:lineRule="auto"/>
      </w:pPr>
      <w:r w:rsidRPr="000623CB">
        <w:t>[dataset]</w:t>
      </w:r>
      <w:r w:rsidR="00A51F1A" w:rsidRPr="00A51F1A">
        <w:t xml:space="preserve"> </w:t>
      </w:r>
      <w:r w:rsidR="00A51F1A">
        <w:t>[23]</w:t>
      </w:r>
      <w:r w:rsidRPr="000623CB">
        <w:t> </w:t>
      </w:r>
      <w:r w:rsidR="00F55A39">
        <w:t>D</w:t>
      </w:r>
      <w:r w:rsidR="009D57C5" w:rsidRPr="000357B8">
        <w:t xml:space="preserve">e Boer YS, van </w:t>
      </w:r>
      <w:proofErr w:type="spellStart"/>
      <w:r w:rsidR="009D57C5" w:rsidRPr="000357B8">
        <w:t>Gerven</w:t>
      </w:r>
      <w:proofErr w:type="spellEnd"/>
      <w:r w:rsidR="009D57C5" w:rsidRPr="000357B8">
        <w:t xml:space="preserve"> NMF, de Boer NKH, Mulder CJJ, Bouma G, van </w:t>
      </w:r>
      <w:proofErr w:type="spellStart"/>
      <w:r w:rsidR="009D57C5" w:rsidRPr="000357B8">
        <w:t>Nieuwkerk</w:t>
      </w:r>
      <w:proofErr w:type="spellEnd"/>
      <w:r w:rsidR="009D57C5" w:rsidRPr="000357B8">
        <w:t xml:space="preserve"> CMJ. Allopurinol safely and effectively optimises thiopurine metabolites in patients with autoimmune hepatitis. Alimentary Pharmacology &amp; Therapeutics. 2013 Mar;37(6). </w:t>
      </w:r>
    </w:p>
    <w:p w14:paraId="23EA170A" w14:textId="55F8186B" w:rsidR="009D57C5" w:rsidRPr="000357B8" w:rsidRDefault="000623CB" w:rsidP="00A51F1A">
      <w:pPr>
        <w:autoSpaceDE w:val="0"/>
        <w:autoSpaceDN w:val="0"/>
        <w:spacing w:line="480" w:lineRule="auto"/>
      </w:pPr>
      <w:r w:rsidRPr="000623CB">
        <w:t>[dataset]</w:t>
      </w:r>
      <w:r w:rsidR="00A51F1A" w:rsidRPr="00A51F1A">
        <w:t xml:space="preserve"> </w:t>
      </w:r>
      <w:r w:rsidR="00A51F1A">
        <w:t>[24]</w:t>
      </w:r>
      <w:r w:rsidRPr="000623CB">
        <w:t> </w:t>
      </w:r>
      <w:r w:rsidR="009D57C5" w:rsidRPr="000357B8">
        <w:t> </w:t>
      </w:r>
      <w:r w:rsidR="009D5D12">
        <w:t xml:space="preserve">L.S. </w:t>
      </w:r>
      <w:proofErr w:type="spellStart"/>
      <w:r w:rsidR="009D5D12">
        <w:t>Candels</w:t>
      </w:r>
      <w:proofErr w:type="spellEnd"/>
      <w:r w:rsidR="009D5D12">
        <w:t>, M.N. Rahim, S. Shah, M.A. Heneghan. Towards personalised medicine in autoimmune hepatitis: measurement of thiopurine metabolites results in higher biochemical response rates. J Hepatol, 75 (2021), pp. 324-332</w:t>
      </w:r>
      <w:r w:rsidR="009D57C5" w:rsidRPr="000357B8">
        <w:t>  </w:t>
      </w:r>
    </w:p>
    <w:p w14:paraId="2CDB25A2" w14:textId="636D9A7F" w:rsidR="009D57C5" w:rsidRDefault="009D57C5" w:rsidP="001C7821">
      <w:pPr>
        <w:spacing w:after="160" w:line="480" w:lineRule="auto"/>
        <w:jc w:val="both"/>
      </w:pPr>
    </w:p>
    <w:sectPr w:rsidR="009D57C5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2BAE" w14:textId="77777777" w:rsidR="00E130AC" w:rsidRDefault="00E130AC" w:rsidP="003D7005">
      <w:r>
        <w:separator/>
      </w:r>
    </w:p>
  </w:endnote>
  <w:endnote w:type="continuationSeparator" w:id="0">
    <w:p w14:paraId="199A5E42" w14:textId="77777777" w:rsidR="00E130AC" w:rsidRDefault="00E130AC" w:rsidP="003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BB11" w14:textId="77777777" w:rsidR="00E130AC" w:rsidRDefault="00E130AC" w:rsidP="003D7005">
      <w:r>
        <w:separator/>
      </w:r>
    </w:p>
  </w:footnote>
  <w:footnote w:type="continuationSeparator" w:id="0">
    <w:p w14:paraId="689A8A6D" w14:textId="77777777" w:rsidR="00E130AC" w:rsidRDefault="00E130AC" w:rsidP="003D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6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DE7061" w14:textId="7F7DBF48" w:rsidR="00E130AC" w:rsidRDefault="00E130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C5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99AFE59" w14:textId="77777777" w:rsidR="00E130AC" w:rsidRDefault="00E13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C1F03"/>
    <w:multiLevelType w:val="hybridMultilevel"/>
    <w:tmpl w:val="37A63F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D55435"/>
    <w:multiLevelType w:val="hybridMultilevel"/>
    <w:tmpl w:val="406A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11CCD"/>
    <w:multiLevelType w:val="hybridMultilevel"/>
    <w:tmpl w:val="899CB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22990"/>
    <w:multiLevelType w:val="hybridMultilevel"/>
    <w:tmpl w:val="1476533C"/>
    <w:lvl w:ilvl="0" w:tplc="6D6C4240"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502855">
    <w:abstractNumId w:val="0"/>
  </w:num>
  <w:num w:numId="2" w16cid:durableId="2009628610">
    <w:abstractNumId w:val="3"/>
  </w:num>
  <w:num w:numId="3" w16cid:durableId="1949314675">
    <w:abstractNumId w:val="2"/>
  </w:num>
  <w:num w:numId="4" w16cid:durableId="79626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6A"/>
    <w:rsid w:val="0000276E"/>
    <w:rsid w:val="00002A9F"/>
    <w:rsid w:val="000033CD"/>
    <w:rsid w:val="00006123"/>
    <w:rsid w:val="00007747"/>
    <w:rsid w:val="00010B27"/>
    <w:rsid w:val="0001107C"/>
    <w:rsid w:val="00020204"/>
    <w:rsid w:val="00021DD7"/>
    <w:rsid w:val="000308AC"/>
    <w:rsid w:val="00030AFA"/>
    <w:rsid w:val="00031218"/>
    <w:rsid w:val="0003334C"/>
    <w:rsid w:val="000357B8"/>
    <w:rsid w:val="00037E60"/>
    <w:rsid w:val="00045EC0"/>
    <w:rsid w:val="00051493"/>
    <w:rsid w:val="0005299A"/>
    <w:rsid w:val="00056E4C"/>
    <w:rsid w:val="000623CB"/>
    <w:rsid w:val="000629DB"/>
    <w:rsid w:val="00063992"/>
    <w:rsid w:val="0006614C"/>
    <w:rsid w:val="0006625A"/>
    <w:rsid w:val="000703FE"/>
    <w:rsid w:val="00075235"/>
    <w:rsid w:val="000755AE"/>
    <w:rsid w:val="0007604D"/>
    <w:rsid w:val="00076331"/>
    <w:rsid w:val="0008389C"/>
    <w:rsid w:val="00085262"/>
    <w:rsid w:val="00085E36"/>
    <w:rsid w:val="000874B2"/>
    <w:rsid w:val="00094014"/>
    <w:rsid w:val="0009417D"/>
    <w:rsid w:val="00094AF2"/>
    <w:rsid w:val="000958BE"/>
    <w:rsid w:val="0009656C"/>
    <w:rsid w:val="000A4AA5"/>
    <w:rsid w:val="000A5D11"/>
    <w:rsid w:val="000A6082"/>
    <w:rsid w:val="000B33C6"/>
    <w:rsid w:val="000C0049"/>
    <w:rsid w:val="000C39B6"/>
    <w:rsid w:val="000C5BA0"/>
    <w:rsid w:val="000C7311"/>
    <w:rsid w:val="000D13AD"/>
    <w:rsid w:val="000D5252"/>
    <w:rsid w:val="000D5F7D"/>
    <w:rsid w:val="000E4088"/>
    <w:rsid w:val="000E5F85"/>
    <w:rsid w:val="000E6170"/>
    <w:rsid w:val="000E76F8"/>
    <w:rsid w:val="000F04B9"/>
    <w:rsid w:val="000F08DA"/>
    <w:rsid w:val="000F736D"/>
    <w:rsid w:val="000F7D1B"/>
    <w:rsid w:val="0011194F"/>
    <w:rsid w:val="00111A95"/>
    <w:rsid w:val="001173AF"/>
    <w:rsid w:val="00117A69"/>
    <w:rsid w:val="0012015F"/>
    <w:rsid w:val="00121CB8"/>
    <w:rsid w:val="001245D1"/>
    <w:rsid w:val="00134405"/>
    <w:rsid w:val="0013444D"/>
    <w:rsid w:val="0014655C"/>
    <w:rsid w:val="00147CD3"/>
    <w:rsid w:val="00150B5D"/>
    <w:rsid w:val="00150E7A"/>
    <w:rsid w:val="00153F54"/>
    <w:rsid w:val="00154748"/>
    <w:rsid w:val="00155F5B"/>
    <w:rsid w:val="001568FA"/>
    <w:rsid w:val="00157BF2"/>
    <w:rsid w:val="00160A99"/>
    <w:rsid w:val="001619B6"/>
    <w:rsid w:val="00165C25"/>
    <w:rsid w:val="00171A41"/>
    <w:rsid w:val="001751E7"/>
    <w:rsid w:val="00182C76"/>
    <w:rsid w:val="00182F90"/>
    <w:rsid w:val="00183817"/>
    <w:rsid w:val="00186C02"/>
    <w:rsid w:val="00186C60"/>
    <w:rsid w:val="0018702C"/>
    <w:rsid w:val="00195569"/>
    <w:rsid w:val="00196EDD"/>
    <w:rsid w:val="00196FA2"/>
    <w:rsid w:val="001A4593"/>
    <w:rsid w:val="001A5D37"/>
    <w:rsid w:val="001A74EB"/>
    <w:rsid w:val="001B12D1"/>
    <w:rsid w:val="001B3A83"/>
    <w:rsid w:val="001B4CAF"/>
    <w:rsid w:val="001B4F38"/>
    <w:rsid w:val="001B62DB"/>
    <w:rsid w:val="001B6414"/>
    <w:rsid w:val="001C0DC8"/>
    <w:rsid w:val="001C4664"/>
    <w:rsid w:val="001C7821"/>
    <w:rsid w:val="001D0E8F"/>
    <w:rsid w:val="001D238D"/>
    <w:rsid w:val="001D3533"/>
    <w:rsid w:val="001D635C"/>
    <w:rsid w:val="001E550D"/>
    <w:rsid w:val="001E55B3"/>
    <w:rsid w:val="001E6310"/>
    <w:rsid w:val="001F16A2"/>
    <w:rsid w:val="001F4731"/>
    <w:rsid w:val="001F72BA"/>
    <w:rsid w:val="00201795"/>
    <w:rsid w:val="0020282D"/>
    <w:rsid w:val="002038D3"/>
    <w:rsid w:val="00203A01"/>
    <w:rsid w:val="00204B23"/>
    <w:rsid w:val="002109B4"/>
    <w:rsid w:val="00211371"/>
    <w:rsid w:val="00212F4D"/>
    <w:rsid w:val="002164ED"/>
    <w:rsid w:val="00221319"/>
    <w:rsid w:val="0022142E"/>
    <w:rsid w:val="0022292C"/>
    <w:rsid w:val="00227A16"/>
    <w:rsid w:val="00227BF5"/>
    <w:rsid w:val="002301D7"/>
    <w:rsid w:val="00231184"/>
    <w:rsid w:val="00242A50"/>
    <w:rsid w:val="00246AEA"/>
    <w:rsid w:val="002537C7"/>
    <w:rsid w:val="002632FB"/>
    <w:rsid w:val="002638D0"/>
    <w:rsid w:val="00264773"/>
    <w:rsid w:val="00264BB0"/>
    <w:rsid w:val="00264BB1"/>
    <w:rsid w:val="0026501E"/>
    <w:rsid w:val="00267F7B"/>
    <w:rsid w:val="0027085B"/>
    <w:rsid w:val="0027384C"/>
    <w:rsid w:val="00273ABE"/>
    <w:rsid w:val="002766ED"/>
    <w:rsid w:val="00277C25"/>
    <w:rsid w:val="00280C27"/>
    <w:rsid w:val="00285C0A"/>
    <w:rsid w:val="00287303"/>
    <w:rsid w:val="002878A1"/>
    <w:rsid w:val="002943F8"/>
    <w:rsid w:val="0029561E"/>
    <w:rsid w:val="002966CE"/>
    <w:rsid w:val="00296CE8"/>
    <w:rsid w:val="00297B63"/>
    <w:rsid w:val="002A11AF"/>
    <w:rsid w:val="002A7A50"/>
    <w:rsid w:val="002B5F6A"/>
    <w:rsid w:val="002C022F"/>
    <w:rsid w:val="002D02A7"/>
    <w:rsid w:val="002D0806"/>
    <w:rsid w:val="002D0D71"/>
    <w:rsid w:val="002F0266"/>
    <w:rsid w:val="002F133B"/>
    <w:rsid w:val="002F2441"/>
    <w:rsid w:val="002F547F"/>
    <w:rsid w:val="003006C4"/>
    <w:rsid w:val="00302B2A"/>
    <w:rsid w:val="003036A4"/>
    <w:rsid w:val="00304882"/>
    <w:rsid w:val="00305186"/>
    <w:rsid w:val="00305C44"/>
    <w:rsid w:val="003063BC"/>
    <w:rsid w:val="0031199C"/>
    <w:rsid w:val="00311AA5"/>
    <w:rsid w:val="00311ACB"/>
    <w:rsid w:val="003129D8"/>
    <w:rsid w:val="00312BF4"/>
    <w:rsid w:val="00314205"/>
    <w:rsid w:val="00314F3A"/>
    <w:rsid w:val="00316405"/>
    <w:rsid w:val="0031758C"/>
    <w:rsid w:val="003229CE"/>
    <w:rsid w:val="00326CA8"/>
    <w:rsid w:val="00327A1D"/>
    <w:rsid w:val="0033221F"/>
    <w:rsid w:val="00332763"/>
    <w:rsid w:val="00333BD2"/>
    <w:rsid w:val="00336404"/>
    <w:rsid w:val="00336FB8"/>
    <w:rsid w:val="00343D6A"/>
    <w:rsid w:val="0034555F"/>
    <w:rsid w:val="003539FE"/>
    <w:rsid w:val="003572B8"/>
    <w:rsid w:val="00364249"/>
    <w:rsid w:val="0037424D"/>
    <w:rsid w:val="0037541D"/>
    <w:rsid w:val="00375B77"/>
    <w:rsid w:val="00375BA9"/>
    <w:rsid w:val="00375D27"/>
    <w:rsid w:val="0038087F"/>
    <w:rsid w:val="00381ADB"/>
    <w:rsid w:val="00390643"/>
    <w:rsid w:val="00392B78"/>
    <w:rsid w:val="00392BFA"/>
    <w:rsid w:val="00394687"/>
    <w:rsid w:val="003A0A1B"/>
    <w:rsid w:val="003A0D4A"/>
    <w:rsid w:val="003A0F4E"/>
    <w:rsid w:val="003A117E"/>
    <w:rsid w:val="003A12AE"/>
    <w:rsid w:val="003A1594"/>
    <w:rsid w:val="003A4DE6"/>
    <w:rsid w:val="003A5BF9"/>
    <w:rsid w:val="003A7BF1"/>
    <w:rsid w:val="003B3CBA"/>
    <w:rsid w:val="003B3E74"/>
    <w:rsid w:val="003B752A"/>
    <w:rsid w:val="003C0956"/>
    <w:rsid w:val="003C2136"/>
    <w:rsid w:val="003C21E2"/>
    <w:rsid w:val="003C2BAB"/>
    <w:rsid w:val="003C3072"/>
    <w:rsid w:val="003C3854"/>
    <w:rsid w:val="003C4A2C"/>
    <w:rsid w:val="003C5B36"/>
    <w:rsid w:val="003C7A5A"/>
    <w:rsid w:val="003D01F4"/>
    <w:rsid w:val="003D302E"/>
    <w:rsid w:val="003D4E09"/>
    <w:rsid w:val="003D51AD"/>
    <w:rsid w:val="003D7005"/>
    <w:rsid w:val="003E0A1E"/>
    <w:rsid w:val="003E7152"/>
    <w:rsid w:val="003F382F"/>
    <w:rsid w:val="003F41CE"/>
    <w:rsid w:val="003F4E95"/>
    <w:rsid w:val="003F6407"/>
    <w:rsid w:val="003F661E"/>
    <w:rsid w:val="003F7A61"/>
    <w:rsid w:val="0041036B"/>
    <w:rsid w:val="00416FC3"/>
    <w:rsid w:val="00417D03"/>
    <w:rsid w:val="004216F0"/>
    <w:rsid w:val="004228A7"/>
    <w:rsid w:val="0042307B"/>
    <w:rsid w:val="004243AF"/>
    <w:rsid w:val="0042656E"/>
    <w:rsid w:val="004275A7"/>
    <w:rsid w:val="0043716D"/>
    <w:rsid w:val="00440C6B"/>
    <w:rsid w:val="00443364"/>
    <w:rsid w:val="00443523"/>
    <w:rsid w:val="00447AF5"/>
    <w:rsid w:val="00453DAE"/>
    <w:rsid w:val="00462A53"/>
    <w:rsid w:val="004644AD"/>
    <w:rsid w:val="004647DE"/>
    <w:rsid w:val="004663A8"/>
    <w:rsid w:val="004675E4"/>
    <w:rsid w:val="0047093F"/>
    <w:rsid w:val="00473521"/>
    <w:rsid w:val="00474F3E"/>
    <w:rsid w:val="00475658"/>
    <w:rsid w:val="004775D9"/>
    <w:rsid w:val="00480FD8"/>
    <w:rsid w:val="00481725"/>
    <w:rsid w:val="004843E1"/>
    <w:rsid w:val="00484AF7"/>
    <w:rsid w:val="00485E21"/>
    <w:rsid w:val="00486DED"/>
    <w:rsid w:val="00490E98"/>
    <w:rsid w:val="00493576"/>
    <w:rsid w:val="00493E67"/>
    <w:rsid w:val="00495541"/>
    <w:rsid w:val="004A3BF4"/>
    <w:rsid w:val="004A5E74"/>
    <w:rsid w:val="004A6AD5"/>
    <w:rsid w:val="004A7E51"/>
    <w:rsid w:val="004B69F5"/>
    <w:rsid w:val="004C07FD"/>
    <w:rsid w:val="004C1521"/>
    <w:rsid w:val="004C4644"/>
    <w:rsid w:val="004C5FD0"/>
    <w:rsid w:val="004C745B"/>
    <w:rsid w:val="004D3BB2"/>
    <w:rsid w:val="004D72AE"/>
    <w:rsid w:val="004E352D"/>
    <w:rsid w:val="004E7A85"/>
    <w:rsid w:val="004F05DD"/>
    <w:rsid w:val="004F1489"/>
    <w:rsid w:val="004F2498"/>
    <w:rsid w:val="004F39D0"/>
    <w:rsid w:val="004F3AC3"/>
    <w:rsid w:val="004F3DE0"/>
    <w:rsid w:val="004F49F5"/>
    <w:rsid w:val="004F6CBE"/>
    <w:rsid w:val="00500A30"/>
    <w:rsid w:val="00503A06"/>
    <w:rsid w:val="0050447C"/>
    <w:rsid w:val="00505E42"/>
    <w:rsid w:val="0050796B"/>
    <w:rsid w:val="00510951"/>
    <w:rsid w:val="00511423"/>
    <w:rsid w:val="0052093D"/>
    <w:rsid w:val="005215F8"/>
    <w:rsid w:val="00524A89"/>
    <w:rsid w:val="00525FE5"/>
    <w:rsid w:val="00527821"/>
    <w:rsid w:val="00527DA4"/>
    <w:rsid w:val="0053309D"/>
    <w:rsid w:val="00534233"/>
    <w:rsid w:val="0053606F"/>
    <w:rsid w:val="00537065"/>
    <w:rsid w:val="00542104"/>
    <w:rsid w:val="0054500A"/>
    <w:rsid w:val="005504B4"/>
    <w:rsid w:val="00550D13"/>
    <w:rsid w:val="00556FAE"/>
    <w:rsid w:val="00557D61"/>
    <w:rsid w:val="005660F6"/>
    <w:rsid w:val="005669F6"/>
    <w:rsid w:val="0057170A"/>
    <w:rsid w:val="005730EC"/>
    <w:rsid w:val="00575026"/>
    <w:rsid w:val="005804E6"/>
    <w:rsid w:val="00581A52"/>
    <w:rsid w:val="0058284D"/>
    <w:rsid w:val="00583251"/>
    <w:rsid w:val="00583969"/>
    <w:rsid w:val="00584D1F"/>
    <w:rsid w:val="00587612"/>
    <w:rsid w:val="00591861"/>
    <w:rsid w:val="00592245"/>
    <w:rsid w:val="005932A9"/>
    <w:rsid w:val="00593895"/>
    <w:rsid w:val="00594C48"/>
    <w:rsid w:val="0059652A"/>
    <w:rsid w:val="00596EA9"/>
    <w:rsid w:val="005A2BF2"/>
    <w:rsid w:val="005A4B07"/>
    <w:rsid w:val="005A576F"/>
    <w:rsid w:val="005B0947"/>
    <w:rsid w:val="005B2AF1"/>
    <w:rsid w:val="005B33C2"/>
    <w:rsid w:val="005B3927"/>
    <w:rsid w:val="005B3BFC"/>
    <w:rsid w:val="005C45DE"/>
    <w:rsid w:val="005C7570"/>
    <w:rsid w:val="005D2C6A"/>
    <w:rsid w:val="005D3957"/>
    <w:rsid w:val="005D404B"/>
    <w:rsid w:val="005E0B68"/>
    <w:rsid w:val="005E2C83"/>
    <w:rsid w:val="005E2FA3"/>
    <w:rsid w:val="005E3490"/>
    <w:rsid w:val="005E3881"/>
    <w:rsid w:val="005F0A16"/>
    <w:rsid w:val="005F47E8"/>
    <w:rsid w:val="005F4CA5"/>
    <w:rsid w:val="005F7168"/>
    <w:rsid w:val="005F7CD1"/>
    <w:rsid w:val="00600998"/>
    <w:rsid w:val="006013C1"/>
    <w:rsid w:val="0060178B"/>
    <w:rsid w:val="00602557"/>
    <w:rsid w:val="00602A49"/>
    <w:rsid w:val="00603019"/>
    <w:rsid w:val="00604D4D"/>
    <w:rsid w:val="00613206"/>
    <w:rsid w:val="006145F6"/>
    <w:rsid w:val="00615CB3"/>
    <w:rsid w:val="00616632"/>
    <w:rsid w:val="00620B01"/>
    <w:rsid w:val="00622684"/>
    <w:rsid w:val="00624059"/>
    <w:rsid w:val="00624402"/>
    <w:rsid w:val="00625374"/>
    <w:rsid w:val="0062745F"/>
    <w:rsid w:val="00630069"/>
    <w:rsid w:val="00631823"/>
    <w:rsid w:val="00631FA2"/>
    <w:rsid w:val="00632633"/>
    <w:rsid w:val="006337D7"/>
    <w:rsid w:val="00633B43"/>
    <w:rsid w:val="006374EC"/>
    <w:rsid w:val="0064470C"/>
    <w:rsid w:val="00645EC4"/>
    <w:rsid w:val="0065221C"/>
    <w:rsid w:val="00653467"/>
    <w:rsid w:val="00662039"/>
    <w:rsid w:val="00662693"/>
    <w:rsid w:val="006678BC"/>
    <w:rsid w:val="00667F5E"/>
    <w:rsid w:val="0067007B"/>
    <w:rsid w:val="00670AC8"/>
    <w:rsid w:val="0067103A"/>
    <w:rsid w:val="006719FD"/>
    <w:rsid w:val="00675276"/>
    <w:rsid w:val="00675366"/>
    <w:rsid w:val="0067738E"/>
    <w:rsid w:val="006810C5"/>
    <w:rsid w:val="006845E9"/>
    <w:rsid w:val="006901E2"/>
    <w:rsid w:val="006902B9"/>
    <w:rsid w:val="00691118"/>
    <w:rsid w:val="00692DA2"/>
    <w:rsid w:val="00695449"/>
    <w:rsid w:val="00695DDC"/>
    <w:rsid w:val="006A6BB3"/>
    <w:rsid w:val="006B2779"/>
    <w:rsid w:val="006B464C"/>
    <w:rsid w:val="006B46A6"/>
    <w:rsid w:val="006C0BCB"/>
    <w:rsid w:val="006C1041"/>
    <w:rsid w:val="006C74DA"/>
    <w:rsid w:val="006D0C86"/>
    <w:rsid w:val="006D5967"/>
    <w:rsid w:val="006D65C9"/>
    <w:rsid w:val="006D77A6"/>
    <w:rsid w:val="006D77CD"/>
    <w:rsid w:val="006E3C71"/>
    <w:rsid w:val="006E6044"/>
    <w:rsid w:val="006F48FA"/>
    <w:rsid w:val="006F5297"/>
    <w:rsid w:val="006F56AE"/>
    <w:rsid w:val="006F5BCB"/>
    <w:rsid w:val="00701049"/>
    <w:rsid w:val="007107E5"/>
    <w:rsid w:val="00711159"/>
    <w:rsid w:val="00712434"/>
    <w:rsid w:val="00712881"/>
    <w:rsid w:val="00713D0E"/>
    <w:rsid w:val="00717C0A"/>
    <w:rsid w:val="00723885"/>
    <w:rsid w:val="00723900"/>
    <w:rsid w:val="00724D6F"/>
    <w:rsid w:val="00725F2F"/>
    <w:rsid w:val="00734852"/>
    <w:rsid w:val="007357F7"/>
    <w:rsid w:val="007428F9"/>
    <w:rsid w:val="00746A59"/>
    <w:rsid w:val="00747E1C"/>
    <w:rsid w:val="00747EA1"/>
    <w:rsid w:val="007503ED"/>
    <w:rsid w:val="007515AB"/>
    <w:rsid w:val="0075360F"/>
    <w:rsid w:val="007570A1"/>
    <w:rsid w:val="007571D9"/>
    <w:rsid w:val="00761659"/>
    <w:rsid w:val="00761BAE"/>
    <w:rsid w:val="007664CC"/>
    <w:rsid w:val="00766585"/>
    <w:rsid w:val="00766D3D"/>
    <w:rsid w:val="00787D91"/>
    <w:rsid w:val="007944D9"/>
    <w:rsid w:val="007A0814"/>
    <w:rsid w:val="007A3C60"/>
    <w:rsid w:val="007A5965"/>
    <w:rsid w:val="007B1463"/>
    <w:rsid w:val="007B1CF3"/>
    <w:rsid w:val="007B2872"/>
    <w:rsid w:val="007B290D"/>
    <w:rsid w:val="007B44B0"/>
    <w:rsid w:val="007C04AF"/>
    <w:rsid w:val="007C0A66"/>
    <w:rsid w:val="007C1D65"/>
    <w:rsid w:val="007D2CDA"/>
    <w:rsid w:val="007E11FE"/>
    <w:rsid w:val="007E2FC8"/>
    <w:rsid w:val="007E3062"/>
    <w:rsid w:val="007E48B9"/>
    <w:rsid w:val="007E5C96"/>
    <w:rsid w:val="007E794E"/>
    <w:rsid w:val="007F02C8"/>
    <w:rsid w:val="007F03AE"/>
    <w:rsid w:val="007F0822"/>
    <w:rsid w:val="007F17A0"/>
    <w:rsid w:val="007F1A9C"/>
    <w:rsid w:val="007F2A37"/>
    <w:rsid w:val="007F3895"/>
    <w:rsid w:val="007F4F7C"/>
    <w:rsid w:val="007F65D8"/>
    <w:rsid w:val="008040A1"/>
    <w:rsid w:val="008041D9"/>
    <w:rsid w:val="00805683"/>
    <w:rsid w:val="00810685"/>
    <w:rsid w:val="008117EF"/>
    <w:rsid w:val="00811BBE"/>
    <w:rsid w:val="00813DB3"/>
    <w:rsid w:val="0081521C"/>
    <w:rsid w:val="00815504"/>
    <w:rsid w:val="008176DA"/>
    <w:rsid w:val="0082595F"/>
    <w:rsid w:val="00827C3A"/>
    <w:rsid w:val="0083171A"/>
    <w:rsid w:val="00835829"/>
    <w:rsid w:val="00835C06"/>
    <w:rsid w:val="008369E4"/>
    <w:rsid w:val="00841290"/>
    <w:rsid w:val="00844A24"/>
    <w:rsid w:val="00846CE5"/>
    <w:rsid w:val="00847481"/>
    <w:rsid w:val="00847A70"/>
    <w:rsid w:val="00852B86"/>
    <w:rsid w:val="00853CAF"/>
    <w:rsid w:val="00855716"/>
    <w:rsid w:val="00856838"/>
    <w:rsid w:val="00860775"/>
    <w:rsid w:val="00863E54"/>
    <w:rsid w:val="00864683"/>
    <w:rsid w:val="00864B2D"/>
    <w:rsid w:val="00866CB0"/>
    <w:rsid w:val="00871CB2"/>
    <w:rsid w:val="00872233"/>
    <w:rsid w:val="008725A7"/>
    <w:rsid w:val="008733AB"/>
    <w:rsid w:val="00885FE1"/>
    <w:rsid w:val="00886A94"/>
    <w:rsid w:val="00892D5B"/>
    <w:rsid w:val="00893478"/>
    <w:rsid w:val="00894438"/>
    <w:rsid w:val="008A2448"/>
    <w:rsid w:val="008A2E28"/>
    <w:rsid w:val="008A3464"/>
    <w:rsid w:val="008A38B4"/>
    <w:rsid w:val="008A3F91"/>
    <w:rsid w:val="008A5616"/>
    <w:rsid w:val="008B1428"/>
    <w:rsid w:val="008B1BB7"/>
    <w:rsid w:val="008B463C"/>
    <w:rsid w:val="008B4A5E"/>
    <w:rsid w:val="008B4F8B"/>
    <w:rsid w:val="008B7BC3"/>
    <w:rsid w:val="008C0023"/>
    <w:rsid w:val="008C04E2"/>
    <w:rsid w:val="008C0C21"/>
    <w:rsid w:val="008C2856"/>
    <w:rsid w:val="008C51ED"/>
    <w:rsid w:val="008E3A86"/>
    <w:rsid w:val="008E586B"/>
    <w:rsid w:val="008F1500"/>
    <w:rsid w:val="008F1C46"/>
    <w:rsid w:val="008F6445"/>
    <w:rsid w:val="00903264"/>
    <w:rsid w:val="00904E24"/>
    <w:rsid w:val="00906319"/>
    <w:rsid w:val="009064B4"/>
    <w:rsid w:val="00906E34"/>
    <w:rsid w:val="0090719D"/>
    <w:rsid w:val="00911C6C"/>
    <w:rsid w:val="00913092"/>
    <w:rsid w:val="00914B8C"/>
    <w:rsid w:val="00917D39"/>
    <w:rsid w:val="009215EF"/>
    <w:rsid w:val="009233EA"/>
    <w:rsid w:val="009362DE"/>
    <w:rsid w:val="009414AB"/>
    <w:rsid w:val="00941FBF"/>
    <w:rsid w:val="00942AFA"/>
    <w:rsid w:val="00943151"/>
    <w:rsid w:val="0094329B"/>
    <w:rsid w:val="0094450C"/>
    <w:rsid w:val="00946373"/>
    <w:rsid w:val="00947A62"/>
    <w:rsid w:val="00954A90"/>
    <w:rsid w:val="00955FA2"/>
    <w:rsid w:val="009560AB"/>
    <w:rsid w:val="0095613F"/>
    <w:rsid w:val="00962322"/>
    <w:rsid w:val="00970E33"/>
    <w:rsid w:val="0097293E"/>
    <w:rsid w:val="00980385"/>
    <w:rsid w:val="00984DF3"/>
    <w:rsid w:val="0099092E"/>
    <w:rsid w:val="009909A6"/>
    <w:rsid w:val="00990EF9"/>
    <w:rsid w:val="00994906"/>
    <w:rsid w:val="00994AAE"/>
    <w:rsid w:val="009960A8"/>
    <w:rsid w:val="00996C26"/>
    <w:rsid w:val="00996F15"/>
    <w:rsid w:val="009A0794"/>
    <w:rsid w:val="009A1015"/>
    <w:rsid w:val="009A3B65"/>
    <w:rsid w:val="009A7F23"/>
    <w:rsid w:val="009A7F3A"/>
    <w:rsid w:val="009B4BD9"/>
    <w:rsid w:val="009C08A4"/>
    <w:rsid w:val="009C0D5D"/>
    <w:rsid w:val="009C147D"/>
    <w:rsid w:val="009D2CF3"/>
    <w:rsid w:val="009D57C5"/>
    <w:rsid w:val="009D5D12"/>
    <w:rsid w:val="009D60EC"/>
    <w:rsid w:val="009E1BC5"/>
    <w:rsid w:val="009E2DE2"/>
    <w:rsid w:val="009E7C01"/>
    <w:rsid w:val="009F01E3"/>
    <w:rsid w:val="009F328B"/>
    <w:rsid w:val="009F4743"/>
    <w:rsid w:val="009F6C4E"/>
    <w:rsid w:val="009F7FA9"/>
    <w:rsid w:val="00A00E60"/>
    <w:rsid w:val="00A01B5F"/>
    <w:rsid w:val="00A05E75"/>
    <w:rsid w:val="00A05EDA"/>
    <w:rsid w:val="00A07D04"/>
    <w:rsid w:val="00A12E39"/>
    <w:rsid w:val="00A20A55"/>
    <w:rsid w:val="00A22668"/>
    <w:rsid w:val="00A25D57"/>
    <w:rsid w:val="00A33812"/>
    <w:rsid w:val="00A35652"/>
    <w:rsid w:val="00A36232"/>
    <w:rsid w:val="00A45BC8"/>
    <w:rsid w:val="00A5058F"/>
    <w:rsid w:val="00A5118F"/>
    <w:rsid w:val="00A51F1A"/>
    <w:rsid w:val="00A53BF2"/>
    <w:rsid w:val="00A5660A"/>
    <w:rsid w:val="00A63BF6"/>
    <w:rsid w:val="00A6694C"/>
    <w:rsid w:val="00A6736A"/>
    <w:rsid w:val="00A7184D"/>
    <w:rsid w:val="00A72C74"/>
    <w:rsid w:val="00A8097A"/>
    <w:rsid w:val="00A80F89"/>
    <w:rsid w:val="00A848ED"/>
    <w:rsid w:val="00A84DC2"/>
    <w:rsid w:val="00A90E58"/>
    <w:rsid w:val="00A91BEE"/>
    <w:rsid w:val="00A92A5D"/>
    <w:rsid w:val="00A94A1A"/>
    <w:rsid w:val="00AA1D80"/>
    <w:rsid w:val="00AA2F8D"/>
    <w:rsid w:val="00AA5B1D"/>
    <w:rsid w:val="00AB01D6"/>
    <w:rsid w:val="00AB124D"/>
    <w:rsid w:val="00AB29AF"/>
    <w:rsid w:val="00AB5264"/>
    <w:rsid w:val="00AC1C1F"/>
    <w:rsid w:val="00AC33EF"/>
    <w:rsid w:val="00AC5A60"/>
    <w:rsid w:val="00AC63C9"/>
    <w:rsid w:val="00AC7E7E"/>
    <w:rsid w:val="00AD6BEE"/>
    <w:rsid w:val="00AD7DFD"/>
    <w:rsid w:val="00AE248B"/>
    <w:rsid w:val="00AE5464"/>
    <w:rsid w:val="00AE77B7"/>
    <w:rsid w:val="00AF1CDF"/>
    <w:rsid w:val="00AF269D"/>
    <w:rsid w:val="00AF2B6E"/>
    <w:rsid w:val="00AF3699"/>
    <w:rsid w:val="00AF3D65"/>
    <w:rsid w:val="00AF5BA8"/>
    <w:rsid w:val="00AF67A6"/>
    <w:rsid w:val="00AF77DA"/>
    <w:rsid w:val="00B02BE4"/>
    <w:rsid w:val="00B03B07"/>
    <w:rsid w:val="00B07A28"/>
    <w:rsid w:val="00B12A93"/>
    <w:rsid w:val="00B214BD"/>
    <w:rsid w:val="00B22F8A"/>
    <w:rsid w:val="00B23BBD"/>
    <w:rsid w:val="00B334C1"/>
    <w:rsid w:val="00B334EE"/>
    <w:rsid w:val="00B429E8"/>
    <w:rsid w:val="00B458FE"/>
    <w:rsid w:val="00B53AA4"/>
    <w:rsid w:val="00B61DA4"/>
    <w:rsid w:val="00B64DC9"/>
    <w:rsid w:val="00B70617"/>
    <w:rsid w:val="00B71146"/>
    <w:rsid w:val="00B7151D"/>
    <w:rsid w:val="00B73958"/>
    <w:rsid w:val="00B7506F"/>
    <w:rsid w:val="00B75530"/>
    <w:rsid w:val="00B80507"/>
    <w:rsid w:val="00B807CF"/>
    <w:rsid w:val="00B84A06"/>
    <w:rsid w:val="00B87CDA"/>
    <w:rsid w:val="00B94C13"/>
    <w:rsid w:val="00BA53F2"/>
    <w:rsid w:val="00BB03CD"/>
    <w:rsid w:val="00BB1D36"/>
    <w:rsid w:val="00BB2A20"/>
    <w:rsid w:val="00BB3EDB"/>
    <w:rsid w:val="00BB40D8"/>
    <w:rsid w:val="00BB53E4"/>
    <w:rsid w:val="00BB679A"/>
    <w:rsid w:val="00BC13DD"/>
    <w:rsid w:val="00BC236E"/>
    <w:rsid w:val="00BD1C86"/>
    <w:rsid w:val="00BD1F50"/>
    <w:rsid w:val="00BD683A"/>
    <w:rsid w:val="00BE17B2"/>
    <w:rsid w:val="00BE37E6"/>
    <w:rsid w:val="00BE47D4"/>
    <w:rsid w:val="00BE4A1A"/>
    <w:rsid w:val="00BE5CAA"/>
    <w:rsid w:val="00BF03C1"/>
    <w:rsid w:val="00BF7783"/>
    <w:rsid w:val="00BF7C76"/>
    <w:rsid w:val="00C00C49"/>
    <w:rsid w:val="00C11931"/>
    <w:rsid w:val="00C13A53"/>
    <w:rsid w:val="00C168E2"/>
    <w:rsid w:val="00C175FC"/>
    <w:rsid w:val="00C22EDB"/>
    <w:rsid w:val="00C2314E"/>
    <w:rsid w:val="00C23E37"/>
    <w:rsid w:val="00C24B6E"/>
    <w:rsid w:val="00C307A8"/>
    <w:rsid w:val="00C30AEF"/>
    <w:rsid w:val="00C325BF"/>
    <w:rsid w:val="00C34EE0"/>
    <w:rsid w:val="00C36B42"/>
    <w:rsid w:val="00C40690"/>
    <w:rsid w:val="00C453FA"/>
    <w:rsid w:val="00C462B7"/>
    <w:rsid w:val="00C5079B"/>
    <w:rsid w:val="00C530B4"/>
    <w:rsid w:val="00C53F66"/>
    <w:rsid w:val="00C57343"/>
    <w:rsid w:val="00C6265C"/>
    <w:rsid w:val="00C62D4F"/>
    <w:rsid w:val="00C62EC5"/>
    <w:rsid w:val="00C63A0A"/>
    <w:rsid w:val="00C701CF"/>
    <w:rsid w:val="00C71D4A"/>
    <w:rsid w:val="00C729AB"/>
    <w:rsid w:val="00C7778C"/>
    <w:rsid w:val="00C8129A"/>
    <w:rsid w:val="00C868D7"/>
    <w:rsid w:val="00C8734C"/>
    <w:rsid w:val="00C909B4"/>
    <w:rsid w:val="00C9160F"/>
    <w:rsid w:val="00CA0353"/>
    <w:rsid w:val="00CA3B4F"/>
    <w:rsid w:val="00CA6BE8"/>
    <w:rsid w:val="00CB1424"/>
    <w:rsid w:val="00CB1FFA"/>
    <w:rsid w:val="00CB4199"/>
    <w:rsid w:val="00CB4E59"/>
    <w:rsid w:val="00CB7050"/>
    <w:rsid w:val="00CC034C"/>
    <w:rsid w:val="00CC12D3"/>
    <w:rsid w:val="00CD3661"/>
    <w:rsid w:val="00CD584A"/>
    <w:rsid w:val="00CD7426"/>
    <w:rsid w:val="00CD7497"/>
    <w:rsid w:val="00CD78B5"/>
    <w:rsid w:val="00CE0FEE"/>
    <w:rsid w:val="00CE29E8"/>
    <w:rsid w:val="00CE3C25"/>
    <w:rsid w:val="00CE46B9"/>
    <w:rsid w:val="00CF0964"/>
    <w:rsid w:val="00CF1B14"/>
    <w:rsid w:val="00CF3A44"/>
    <w:rsid w:val="00CF5971"/>
    <w:rsid w:val="00D0216D"/>
    <w:rsid w:val="00D12F79"/>
    <w:rsid w:val="00D146A8"/>
    <w:rsid w:val="00D14D6E"/>
    <w:rsid w:val="00D22CEF"/>
    <w:rsid w:val="00D230E4"/>
    <w:rsid w:val="00D2697A"/>
    <w:rsid w:val="00D26B48"/>
    <w:rsid w:val="00D30D4F"/>
    <w:rsid w:val="00D318EA"/>
    <w:rsid w:val="00D31A2B"/>
    <w:rsid w:val="00D33408"/>
    <w:rsid w:val="00D37704"/>
    <w:rsid w:val="00D37BEF"/>
    <w:rsid w:val="00D41067"/>
    <w:rsid w:val="00D43B7F"/>
    <w:rsid w:val="00D44F65"/>
    <w:rsid w:val="00D46202"/>
    <w:rsid w:val="00D5424A"/>
    <w:rsid w:val="00D56501"/>
    <w:rsid w:val="00D56FD1"/>
    <w:rsid w:val="00D6076B"/>
    <w:rsid w:val="00D62022"/>
    <w:rsid w:val="00D6331D"/>
    <w:rsid w:val="00D65546"/>
    <w:rsid w:val="00D66C74"/>
    <w:rsid w:val="00D70DC4"/>
    <w:rsid w:val="00D7140E"/>
    <w:rsid w:val="00D729E8"/>
    <w:rsid w:val="00D73912"/>
    <w:rsid w:val="00D74AAF"/>
    <w:rsid w:val="00D75097"/>
    <w:rsid w:val="00D75A48"/>
    <w:rsid w:val="00D7680B"/>
    <w:rsid w:val="00D7727B"/>
    <w:rsid w:val="00D8731C"/>
    <w:rsid w:val="00D87A10"/>
    <w:rsid w:val="00D91581"/>
    <w:rsid w:val="00D940AC"/>
    <w:rsid w:val="00D95AC8"/>
    <w:rsid w:val="00D96584"/>
    <w:rsid w:val="00DA36FA"/>
    <w:rsid w:val="00DA584E"/>
    <w:rsid w:val="00DB251B"/>
    <w:rsid w:val="00DB39C5"/>
    <w:rsid w:val="00DB70AE"/>
    <w:rsid w:val="00DC17B7"/>
    <w:rsid w:val="00DC254C"/>
    <w:rsid w:val="00DC2DE3"/>
    <w:rsid w:val="00DC375D"/>
    <w:rsid w:val="00DC50FE"/>
    <w:rsid w:val="00DD6C51"/>
    <w:rsid w:val="00DD703C"/>
    <w:rsid w:val="00DE129B"/>
    <w:rsid w:val="00DE4F49"/>
    <w:rsid w:val="00DE5E5A"/>
    <w:rsid w:val="00DE72CF"/>
    <w:rsid w:val="00DF3AB9"/>
    <w:rsid w:val="00DF3C5C"/>
    <w:rsid w:val="00DF53E3"/>
    <w:rsid w:val="00DF55E8"/>
    <w:rsid w:val="00DF6E7A"/>
    <w:rsid w:val="00E0014B"/>
    <w:rsid w:val="00E027D4"/>
    <w:rsid w:val="00E03D64"/>
    <w:rsid w:val="00E0592E"/>
    <w:rsid w:val="00E0614F"/>
    <w:rsid w:val="00E06D25"/>
    <w:rsid w:val="00E12725"/>
    <w:rsid w:val="00E130AC"/>
    <w:rsid w:val="00E14740"/>
    <w:rsid w:val="00E205A2"/>
    <w:rsid w:val="00E20F12"/>
    <w:rsid w:val="00E21350"/>
    <w:rsid w:val="00E21C9D"/>
    <w:rsid w:val="00E23CAA"/>
    <w:rsid w:val="00E26029"/>
    <w:rsid w:val="00E2669F"/>
    <w:rsid w:val="00E3046D"/>
    <w:rsid w:val="00E318EB"/>
    <w:rsid w:val="00E31EB9"/>
    <w:rsid w:val="00E321BE"/>
    <w:rsid w:val="00E341E5"/>
    <w:rsid w:val="00E353E1"/>
    <w:rsid w:val="00E35FC0"/>
    <w:rsid w:val="00E41C0B"/>
    <w:rsid w:val="00E51AD4"/>
    <w:rsid w:val="00E56B07"/>
    <w:rsid w:val="00E600BC"/>
    <w:rsid w:val="00E618F4"/>
    <w:rsid w:val="00E62EE4"/>
    <w:rsid w:val="00E6315B"/>
    <w:rsid w:val="00E65D6A"/>
    <w:rsid w:val="00E667D5"/>
    <w:rsid w:val="00E66C1B"/>
    <w:rsid w:val="00E71872"/>
    <w:rsid w:val="00E72DFB"/>
    <w:rsid w:val="00E73E5C"/>
    <w:rsid w:val="00E74453"/>
    <w:rsid w:val="00E76D4E"/>
    <w:rsid w:val="00E80B5E"/>
    <w:rsid w:val="00E820BC"/>
    <w:rsid w:val="00E86420"/>
    <w:rsid w:val="00E87578"/>
    <w:rsid w:val="00E875D2"/>
    <w:rsid w:val="00E908DA"/>
    <w:rsid w:val="00E9364D"/>
    <w:rsid w:val="00EA031A"/>
    <w:rsid w:val="00EA1DC9"/>
    <w:rsid w:val="00EB186F"/>
    <w:rsid w:val="00EB3F35"/>
    <w:rsid w:val="00EB41F4"/>
    <w:rsid w:val="00EB66F4"/>
    <w:rsid w:val="00EB6C28"/>
    <w:rsid w:val="00EB6E1D"/>
    <w:rsid w:val="00EC01BD"/>
    <w:rsid w:val="00EC45ED"/>
    <w:rsid w:val="00EC72C3"/>
    <w:rsid w:val="00EC78BC"/>
    <w:rsid w:val="00ED5487"/>
    <w:rsid w:val="00ED5792"/>
    <w:rsid w:val="00ED6CBB"/>
    <w:rsid w:val="00ED7336"/>
    <w:rsid w:val="00EE062C"/>
    <w:rsid w:val="00EF1261"/>
    <w:rsid w:val="00EF2118"/>
    <w:rsid w:val="00EF6E56"/>
    <w:rsid w:val="00F00E34"/>
    <w:rsid w:val="00F01790"/>
    <w:rsid w:val="00F01C6D"/>
    <w:rsid w:val="00F024B9"/>
    <w:rsid w:val="00F04BC2"/>
    <w:rsid w:val="00F1171A"/>
    <w:rsid w:val="00F12653"/>
    <w:rsid w:val="00F1620C"/>
    <w:rsid w:val="00F1715A"/>
    <w:rsid w:val="00F205FF"/>
    <w:rsid w:val="00F24943"/>
    <w:rsid w:val="00F26241"/>
    <w:rsid w:val="00F329C2"/>
    <w:rsid w:val="00F40030"/>
    <w:rsid w:val="00F41E15"/>
    <w:rsid w:val="00F44B2F"/>
    <w:rsid w:val="00F5164D"/>
    <w:rsid w:val="00F52D2D"/>
    <w:rsid w:val="00F54AA0"/>
    <w:rsid w:val="00F55A39"/>
    <w:rsid w:val="00F56323"/>
    <w:rsid w:val="00F57265"/>
    <w:rsid w:val="00F62A98"/>
    <w:rsid w:val="00F64036"/>
    <w:rsid w:val="00F640D4"/>
    <w:rsid w:val="00F67BD2"/>
    <w:rsid w:val="00F747D2"/>
    <w:rsid w:val="00F758DF"/>
    <w:rsid w:val="00F75D7B"/>
    <w:rsid w:val="00F828C9"/>
    <w:rsid w:val="00F83551"/>
    <w:rsid w:val="00F874FD"/>
    <w:rsid w:val="00F94906"/>
    <w:rsid w:val="00F95372"/>
    <w:rsid w:val="00F968AB"/>
    <w:rsid w:val="00F97399"/>
    <w:rsid w:val="00FA07F5"/>
    <w:rsid w:val="00FA2511"/>
    <w:rsid w:val="00FA3792"/>
    <w:rsid w:val="00FA48C4"/>
    <w:rsid w:val="00FA4DE5"/>
    <w:rsid w:val="00FA54A7"/>
    <w:rsid w:val="00FA5837"/>
    <w:rsid w:val="00FA74F6"/>
    <w:rsid w:val="00FB2DA6"/>
    <w:rsid w:val="00FB3191"/>
    <w:rsid w:val="00FB3547"/>
    <w:rsid w:val="00FB5DBE"/>
    <w:rsid w:val="00FB615D"/>
    <w:rsid w:val="00FC320F"/>
    <w:rsid w:val="00FC655F"/>
    <w:rsid w:val="00FD18A9"/>
    <w:rsid w:val="00FD6B0F"/>
    <w:rsid w:val="00FD7038"/>
    <w:rsid w:val="00FE28A8"/>
    <w:rsid w:val="00FE48AC"/>
    <w:rsid w:val="00FE5DDE"/>
    <w:rsid w:val="00FF1B94"/>
    <w:rsid w:val="00FF2CE4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DDA15"/>
  <w15:chartTrackingRefBased/>
  <w15:docId w15:val="{56F3E127-FAD3-4DB3-9CD9-01331A61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9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96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96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9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65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825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D768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1Light">
    <w:name w:val="Grid Table 1 Light"/>
    <w:basedOn w:val="TableNormal"/>
    <w:uiPriority w:val="46"/>
    <w:rsid w:val="004F0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F05D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D70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0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D70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0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B53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328B"/>
    <w:rPr>
      <w:b/>
      <w:bCs/>
    </w:rPr>
  </w:style>
  <w:style w:type="character" w:styleId="Emphasis">
    <w:name w:val="Emphasis"/>
    <w:basedOn w:val="DefaultParagraphFont"/>
    <w:uiPriority w:val="20"/>
    <w:qFormat/>
    <w:rsid w:val="009F328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E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2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nlinelibrary.wiley.com/doi/10.1111/liv.1451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linelibrary.wiley.com/doi/abs/10.1002/hep.3106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B94479B10D42B19E3345482A2D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63689-0915-4A56-8A18-DDCDBE8DB42E}"/>
      </w:docPartPr>
      <w:docPartBody>
        <w:p w:rsidR="00D16B42" w:rsidRDefault="00681333" w:rsidP="00681333">
          <w:pPr>
            <w:pStyle w:val="7AB94479B10D42B19E3345482A2D6C2F"/>
          </w:pPr>
          <w:r w:rsidRPr="005E3C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33"/>
    <w:rsid w:val="00011D94"/>
    <w:rsid w:val="00020E33"/>
    <w:rsid w:val="00025EE4"/>
    <w:rsid w:val="00075235"/>
    <w:rsid w:val="00081735"/>
    <w:rsid w:val="000D6E0D"/>
    <w:rsid w:val="00122EE3"/>
    <w:rsid w:val="00150E7A"/>
    <w:rsid w:val="00165002"/>
    <w:rsid w:val="00183AB2"/>
    <w:rsid w:val="001B4CAF"/>
    <w:rsid w:val="00200357"/>
    <w:rsid w:val="00227BF5"/>
    <w:rsid w:val="00251024"/>
    <w:rsid w:val="002724DB"/>
    <w:rsid w:val="002A4EEB"/>
    <w:rsid w:val="002C160F"/>
    <w:rsid w:val="002D0E9C"/>
    <w:rsid w:val="00307184"/>
    <w:rsid w:val="00347673"/>
    <w:rsid w:val="00383365"/>
    <w:rsid w:val="003B7965"/>
    <w:rsid w:val="003C3854"/>
    <w:rsid w:val="00451AE0"/>
    <w:rsid w:val="00474018"/>
    <w:rsid w:val="00480FD8"/>
    <w:rsid w:val="00495541"/>
    <w:rsid w:val="004F26C3"/>
    <w:rsid w:val="005215F8"/>
    <w:rsid w:val="00560F3F"/>
    <w:rsid w:val="005660F6"/>
    <w:rsid w:val="0056639F"/>
    <w:rsid w:val="005D404B"/>
    <w:rsid w:val="005D4C4B"/>
    <w:rsid w:val="005E3089"/>
    <w:rsid w:val="0066382A"/>
    <w:rsid w:val="00681333"/>
    <w:rsid w:val="00691118"/>
    <w:rsid w:val="006B609A"/>
    <w:rsid w:val="006C02ED"/>
    <w:rsid w:val="00725814"/>
    <w:rsid w:val="007C12CF"/>
    <w:rsid w:val="007C6E8B"/>
    <w:rsid w:val="007E3062"/>
    <w:rsid w:val="00815504"/>
    <w:rsid w:val="00835829"/>
    <w:rsid w:val="00836802"/>
    <w:rsid w:val="0084394A"/>
    <w:rsid w:val="00855BB6"/>
    <w:rsid w:val="008B24FC"/>
    <w:rsid w:val="008C1AC5"/>
    <w:rsid w:val="008D10F7"/>
    <w:rsid w:val="008D1F78"/>
    <w:rsid w:val="008F1A1B"/>
    <w:rsid w:val="00920108"/>
    <w:rsid w:val="009204B9"/>
    <w:rsid w:val="009215EF"/>
    <w:rsid w:val="009355E2"/>
    <w:rsid w:val="00964EFB"/>
    <w:rsid w:val="00967BDA"/>
    <w:rsid w:val="009739D0"/>
    <w:rsid w:val="009A275A"/>
    <w:rsid w:val="009C2B7F"/>
    <w:rsid w:val="009F0F8E"/>
    <w:rsid w:val="00A74F5C"/>
    <w:rsid w:val="00AB000B"/>
    <w:rsid w:val="00AE2ED9"/>
    <w:rsid w:val="00B115B1"/>
    <w:rsid w:val="00B34866"/>
    <w:rsid w:val="00B8551C"/>
    <w:rsid w:val="00B9367F"/>
    <w:rsid w:val="00BB1D36"/>
    <w:rsid w:val="00BC7D3D"/>
    <w:rsid w:val="00C95B63"/>
    <w:rsid w:val="00CF7C47"/>
    <w:rsid w:val="00D04EB3"/>
    <w:rsid w:val="00D16B42"/>
    <w:rsid w:val="00D2730A"/>
    <w:rsid w:val="00D4314B"/>
    <w:rsid w:val="00D43DFF"/>
    <w:rsid w:val="00D51F4C"/>
    <w:rsid w:val="00D541EF"/>
    <w:rsid w:val="00D56FD1"/>
    <w:rsid w:val="00D85809"/>
    <w:rsid w:val="00DF73D9"/>
    <w:rsid w:val="00E065CC"/>
    <w:rsid w:val="00E47242"/>
    <w:rsid w:val="00E55A02"/>
    <w:rsid w:val="00E564DF"/>
    <w:rsid w:val="00E76730"/>
    <w:rsid w:val="00E84BD8"/>
    <w:rsid w:val="00E87578"/>
    <w:rsid w:val="00EC7116"/>
    <w:rsid w:val="00E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EE4"/>
    <w:rPr>
      <w:color w:val="808080"/>
    </w:rPr>
  </w:style>
  <w:style w:type="paragraph" w:customStyle="1" w:styleId="7AB94479B10D42B19E3345482A2D6C2F">
    <w:name w:val="7AB94479B10D42B19E3345482A2D6C2F"/>
    <w:rsid w:val="00681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DA9D14A9115428F6F4BE3ACBE0949" ma:contentTypeVersion="12" ma:contentTypeDescription="Create a new document." ma:contentTypeScope="" ma:versionID="9a73fb309129fdaa59fe7baf330a4332">
  <xsd:schema xmlns:xsd="http://www.w3.org/2001/XMLSchema" xmlns:xs="http://www.w3.org/2001/XMLSchema" xmlns:p="http://schemas.microsoft.com/office/2006/metadata/properties" xmlns:ns3="e8e7e17f-cddd-4663-9acc-a118d9251544" xmlns:ns4="2df2b7b0-32fd-415d-9a47-d95e756bbb58" targetNamespace="http://schemas.microsoft.com/office/2006/metadata/properties" ma:root="true" ma:fieldsID="e90a1981660c62a071de739e1730f06b" ns3:_="" ns4:_="">
    <xsd:import namespace="e8e7e17f-cddd-4663-9acc-a118d9251544"/>
    <xsd:import namespace="2df2b7b0-32fd-415d-9a47-d95e756bbb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e17f-cddd-4663-9acc-a118d925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2b7b0-32fd-415d-9a47-d95e756b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040F0D-4455-4266-91FF-44A2C446F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7e17f-cddd-4663-9acc-a118d9251544"/>
    <ds:schemaRef ds:uri="2df2b7b0-32fd-415d-9a47-d95e756b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20FFC-7FBA-493F-8AC3-8C7D3E53D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E528B-509F-4EF9-AF39-DF72780C4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B6994-E079-4F01-B613-D04D99FB4F4D}">
  <ds:schemaRefs>
    <ds:schemaRef ds:uri="http://purl.org/dc/elements/1.1/"/>
    <ds:schemaRef ds:uri="http://schemas.microsoft.com/office/2006/metadata/properties"/>
    <ds:schemaRef ds:uri="2df2b7b0-32fd-415d-9a47-d95e756bbb5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e7e17f-cddd-4663-9acc-a118d925154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5966</Words>
  <Characters>34012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39899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Sital</dc:creator>
  <cp:keywords/>
  <dc:description/>
  <cp:lastModifiedBy>SHAH, Sital (KING'S COLLEGE HOSPITAL NHS FOUNDATION TRUST)</cp:lastModifiedBy>
  <cp:revision>6</cp:revision>
  <cp:lastPrinted>2025-03-03T15:09:00Z</cp:lastPrinted>
  <dcterms:created xsi:type="dcterms:W3CDTF">2025-03-07T16:52:00Z</dcterms:created>
  <dcterms:modified xsi:type="dcterms:W3CDTF">2025-03-10T09:44:00Z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0x010100215DA9D14A9115428F6F4BE3ACBE0949</vt:lpwstr>
  </property>
</Properties>
</file>