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95FB" w14:textId="11B336DA" w:rsidR="006308B5" w:rsidRPr="004F17A7" w:rsidRDefault="006308B5" w:rsidP="004F6E75">
      <w:pPr>
        <w:spacing w:line="480" w:lineRule="auto"/>
        <w:rPr>
          <w:rFonts w:ascii="Arial" w:hAnsi="Arial" w:cs="Arial"/>
          <w:b/>
          <w:bCs/>
          <w:sz w:val="22"/>
          <w:szCs w:val="22"/>
        </w:rPr>
      </w:pPr>
      <w:r w:rsidRPr="004F17A7">
        <w:rPr>
          <w:rFonts w:ascii="Arial" w:hAnsi="Arial" w:cs="Arial"/>
          <w:b/>
          <w:bCs/>
          <w:sz w:val="22"/>
          <w:szCs w:val="22"/>
        </w:rPr>
        <w:t>Comparing</w:t>
      </w:r>
      <w:r w:rsidR="004F6E75" w:rsidRPr="004F17A7">
        <w:rPr>
          <w:rFonts w:ascii="Arial" w:hAnsi="Arial" w:cs="Arial"/>
          <w:b/>
          <w:bCs/>
          <w:sz w:val="22"/>
          <w:szCs w:val="22"/>
        </w:rPr>
        <w:t xml:space="preserve"> opioid </w:t>
      </w:r>
      <w:r w:rsidR="002234B2" w:rsidRPr="004F17A7">
        <w:rPr>
          <w:rFonts w:ascii="Arial" w:hAnsi="Arial" w:cs="Arial"/>
          <w:b/>
          <w:bCs/>
          <w:sz w:val="22"/>
          <w:szCs w:val="22"/>
        </w:rPr>
        <w:t>exposure and associated risk factors in adult patients admitted to ICU or HDU following right hemicolectomy</w:t>
      </w:r>
    </w:p>
    <w:p w14:paraId="3C9FEEF6" w14:textId="25BC8BA0" w:rsidR="00F44910" w:rsidRPr="004F17A7" w:rsidRDefault="00EE3CE3" w:rsidP="004F6E75">
      <w:pPr>
        <w:spacing w:line="480" w:lineRule="auto"/>
        <w:rPr>
          <w:rFonts w:ascii="Arial" w:hAnsi="Arial" w:cs="Arial"/>
          <w:sz w:val="22"/>
          <w:szCs w:val="22"/>
        </w:rPr>
      </w:pPr>
      <w:r w:rsidRPr="004F17A7">
        <w:rPr>
          <w:rFonts w:ascii="Arial" w:hAnsi="Arial" w:cs="Arial"/>
          <w:sz w:val="22"/>
          <w:szCs w:val="22"/>
        </w:rPr>
        <w:t>Hume L, Young D, Ludbrook G, Devlin JW, McKenzie C</w:t>
      </w:r>
    </w:p>
    <w:p w14:paraId="76A0EA01" w14:textId="77777777" w:rsidR="006308B5" w:rsidRPr="004F17A7" w:rsidRDefault="006308B5" w:rsidP="004F6E75">
      <w:pPr>
        <w:spacing w:line="480" w:lineRule="auto"/>
        <w:rPr>
          <w:rFonts w:ascii="Arial" w:hAnsi="Arial" w:cs="Arial"/>
          <w:sz w:val="22"/>
          <w:szCs w:val="22"/>
        </w:rPr>
      </w:pPr>
    </w:p>
    <w:p w14:paraId="05C1B788" w14:textId="24329614" w:rsidR="00981AA0" w:rsidRPr="004F17A7" w:rsidRDefault="00981AA0" w:rsidP="004F6E75">
      <w:pPr>
        <w:spacing w:line="480" w:lineRule="auto"/>
        <w:rPr>
          <w:rFonts w:ascii="Arial" w:hAnsi="Arial" w:cs="Arial"/>
          <w:b/>
          <w:bCs/>
          <w:sz w:val="22"/>
          <w:szCs w:val="22"/>
        </w:rPr>
      </w:pPr>
      <w:r w:rsidRPr="004F17A7">
        <w:rPr>
          <w:rFonts w:ascii="Arial" w:hAnsi="Arial" w:cs="Arial"/>
          <w:b/>
          <w:bCs/>
          <w:sz w:val="22"/>
          <w:szCs w:val="22"/>
        </w:rPr>
        <w:t>Introduction</w:t>
      </w:r>
    </w:p>
    <w:p w14:paraId="1A150D8E" w14:textId="6FFD9373" w:rsidR="004F17A7" w:rsidRPr="004F17A7" w:rsidRDefault="001E4890" w:rsidP="004F17A7">
      <w:pPr>
        <w:spacing w:line="480" w:lineRule="auto"/>
        <w:rPr>
          <w:rFonts w:ascii="Arial" w:hAnsi="Arial" w:cs="Arial"/>
          <w:sz w:val="22"/>
          <w:szCs w:val="22"/>
        </w:rPr>
      </w:pPr>
      <w:r w:rsidRPr="004F17A7">
        <w:rPr>
          <w:rFonts w:ascii="Arial" w:hAnsi="Arial" w:cs="Arial"/>
          <w:sz w:val="22"/>
          <w:szCs w:val="22"/>
        </w:rPr>
        <w:t>Following</w:t>
      </w:r>
      <w:r w:rsidR="00981AA0" w:rsidRPr="004F17A7">
        <w:rPr>
          <w:rFonts w:ascii="Arial" w:hAnsi="Arial" w:cs="Arial"/>
          <w:sz w:val="22"/>
          <w:szCs w:val="22"/>
        </w:rPr>
        <w:t xml:space="preserve"> right hemicolectomy</w:t>
      </w:r>
      <w:r w:rsidR="006C2339" w:rsidRPr="004F17A7">
        <w:rPr>
          <w:rFonts w:ascii="Arial" w:hAnsi="Arial" w:cs="Arial"/>
          <w:sz w:val="22"/>
          <w:szCs w:val="22"/>
        </w:rPr>
        <w:t xml:space="preserve">, patients at University Hospital Southampton (UHS) NHS Foundation Trust are often admitted to the intensive care unit (ICU) or high dependency unit (HDU). This decision is based on patients’ underlying co-morbidities and surgical complexity. Pain management here consistently features strong opioids (fentanyl, morphine, oxycodone) and adjuvant agents (paracetamol, regional anaesthesia) [1]. Postoperative opioid exposure and its associated risk factors are important to </w:t>
      </w:r>
      <w:r w:rsidR="005C1C2E" w:rsidRPr="004F17A7">
        <w:rPr>
          <w:rFonts w:ascii="Arial" w:hAnsi="Arial" w:cs="Arial"/>
          <w:sz w:val="22"/>
          <w:szCs w:val="22"/>
        </w:rPr>
        <w:t>establish</w:t>
      </w:r>
      <w:r w:rsidR="006C2339" w:rsidRPr="004F17A7">
        <w:rPr>
          <w:rFonts w:ascii="Arial" w:hAnsi="Arial" w:cs="Arial"/>
          <w:sz w:val="22"/>
          <w:szCs w:val="22"/>
        </w:rPr>
        <w:t xml:space="preserve"> given </w:t>
      </w:r>
      <w:r w:rsidR="000B6400" w:rsidRPr="004F17A7">
        <w:rPr>
          <w:rFonts w:ascii="Arial" w:hAnsi="Arial" w:cs="Arial"/>
          <w:sz w:val="22"/>
          <w:szCs w:val="22"/>
        </w:rPr>
        <w:t>opioids’</w:t>
      </w:r>
      <w:r w:rsidR="006C2339" w:rsidRPr="004F17A7">
        <w:rPr>
          <w:rFonts w:ascii="Arial" w:hAnsi="Arial" w:cs="Arial"/>
          <w:sz w:val="22"/>
          <w:szCs w:val="22"/>
        </w:rPr>
        <w:t xml:space="preserve"> safety profile</w:t>
      </w:r>
      <w:r w:rsidR="00C0550E" w:rsidRPr="004F17A7">
        <w:rPr>
          <w:rFonts w:ascii="Arial" w:hAnsi="Arial" w:cs="Arial"/>
          <w:color w:val="222222"/>
          <w:sz w:val="22"/>
          <w:szCs w:val="22"/>
          <w:shd w:val="clear" w:color="auto" w:fill="FFFFFF"/>
        </w:rPr>
        <w:t>.</w:t>
      </w:r>
      <w:r w:rsidR="00F44910" w:rsidRPr="004F17A7">
        <w:rPr>
          <w:rFonts w:ascii="Arial" w:hAnsi="Arial" w:cs="Arial"/>
          <w:sz w:val="22"/>
          <w:szCs w:val="22"/>
        </w:rPr>
        <w:t xml:space="preserve"> </w:t>
      </w:r>
      <w:r w:rsidR="004F17A7">
        <w:rPr>
          <w:rFonts w:ascii="Arial" w:hAnsi="Arial" w:cs="Arial"/>
          <w:sz w:val="22"/>
          <w:szCs w:val="22"/>
        </w:rPr>
        <w:t xml:space="preserve">There is a potential risk of relative overdose in intensive care where mechanical ventilation precludes titration to </w:t>
      </w:r>
      <w:r w:rsidR="004F17A7" w:rsidRPr="004F17A7">
        <w:rPr>
          <w:rFonts w:ascii="Arial" w:hAnsi="Arial" w:cs="Arial"/>
          <w:sz w:val="22"/>
          <w:szCs w:val="22"/>
        </w:rPr>
        <w:t>effect, though this has not yet been examined rigorously.</w:t>
      </w:r>
    </w:p>
    <w:p w14:paraId="214F0FA9" w14:textId="77777777" w:rsidR="0019470E" w:rsidRPr="004F17A7" w:rsidRDefault="0019470E" w:rsidP="004F6E75">
      <w:pPr>
        <w:spacing w:line="480" w:lineRule="auto"/>
        <w:rPr>
          <w:rFonts w:ascii="Arial" w:hAnsi="Arial" w:cs="Arial"/>
          <w:sz w:val="22"/>
          <w:szCs w:val="22"/>
        </w:rPr>
      </w:pPr>
    </w:p>
    <w:p w14:paraId="7D09B0F4" w14:textId="77777777" w:rsidR="001E1885" w:rsidRDefault="0019470E" w:rsidP="000B6400">
      <w:pPr>
        <w:spacing w:line="480" w:lineRule="auto"/>
        <w:rPr>
          <w:rFonts w:ascii="Arial" w:hAnsi="Arial" w:cs="Arial"/>
          <w:b/>
          <w:bCs/>
          <w:sz w:val="22"/>
          <w:szCs w:val="22"/>
        </w:rPr>
      </w:pPr>
      <w:r w:rsidRPr="004F17A7">
        <w:rPr>
          <w:rFonts w:ascii="Arial" w:hAnsi="Arial" w:cs="Arial"/>
          <w:b/>
          <w:bCs/>
          <w:sz w:val="22"/>
          <w:szCs w:val="22"/>
        </w:rPr>
        <w:t>Objectives</w:t>
      </w:r>
    </w:p>
    <w:p w14:paraId="463D8532" w14:textId="39618F56" w:rsidR="00A825AB" w:rsidRPr="001E1885" w:rsidRDefault="001E1885" w:rsidP="000B6400">
      <w:pPr>
        <w:spacing w:line="480" w:lineRule="auto"/>
        <w:rPr>
          <w:rFonts w:ascii="Arial" w:hAnsi="Arial" w:cs="Arial"/>
          <w:b/>
          <w:bCs/>
          <w:sz w:val="22"/>
          <w:szCs w:val="22"/>
        </w:rPr>
      </w:pPr>
      <w:r>
        <w:rPr>
          <w:rFonts w:ascii="Arial" w:hAnsi="Arial" w:cs="Arial"/>
          <w:sz w:val="22"/>
          <w:szCs w:val="22"/>
        </w:rPr>
        <w:t>T</w:t>
      </w:r>
      <w:r w:rsidR="006C2339" w:rsidRPr="004F17A7">
        <w:rPr>
          <w:rFonts w:ascii="Arial" w:hAnsi="Arial" w:cs="Arial"/>
          <w:sz w:val="22"/>
          <w:szCs w:val="22"/>
        </w:rPr>
        <w:t xml:space="preserve">o compare </w:t>
      </w:r>
      <w:r w:rsidR="000B6400" w:rsidRPr="004F17A7">
        <w:rPr>
          <w:rFonts w:ascii="Arial" w:hAnsi="Arial" w:cs="Arial"/>
          <w:sz w:val="22"/>
          <w:szCs w:val="22"/>
        </w:rPr>
        <w:t xml:space="preserve">patients’ </w:t>
      </w:r>
      <w:r w:rsidR="006C2339" w:rsidRPr="004F17A7">
        <w:rPr>
          <w:rFonts w:ascii="Arial" w:hAnsi="Arial" w:cs="Arial"/>
          <w:sz w:val="22"/>
          <w:szCs w:val="22"/>
        </w:rPr>
        <w:t xml:space="preserve">opioid consumption </w:t>
      </w:r>
      <w:r w:rsidR="000B6400" w:rsidRPr="004F17A7">
        <w:rPr>
          <w:rFonts w:ascii="Arial" w:hAnsi="Arial" w:cs="Arial"/>
          <w:sz w:val="22"/>
          <w:szCs w:val="22"/>
        </w:rPr>
        <w:t xml:space="preserve">within 24 hours of admission to </w:t>
      </w:r>
      <w:r w:rsidR="00395DDB">
        <w:rPr>
          <w:rFonts w:ascii="Arial" w:hAnsi="Arial" w:cs="Arial"/>
          <w:sz w:val="22"/>
          <w:szCs w:val="22"/>
        </w:rPr>
        <w:t xml:space="preserve">an </w:t>
      </w:r>
      <w:r w:rsidR="000B6400" w:rsidRPr="004F17A7">
        <w:rPr>
          <w:rFonts w:ascii="Arial" w:hAnsi="Arial" w:cs="Arial"/>
          <w:sz w:val="22"/>
          <w:szCs w:val="22"/>
        </w:rPr>
        <w:t xml:space="preserve">ICU or HDU following right hemicolectomy and identify clinically relevant factors associated with </w:t>
      </w:r>
      <w:r w:rsidR="00395DDB">
        <w:rPr>
          <w:rFonts w:ascii="Arial" w:hAnsi="Arial" w:cs="Arial"/>
          <w:sz w:val="22"/>
          <w:szCs w:val="22"/>
        </w:rPr>
        <w:t xml:space="preserve">this </w:t>
      </w:r>
      <w:r w:rsidR="000B6400" w:rsidRPr="004F17A7">
        <w:rPr>
          <w:rFonts w:ascii="Arial" w:hAnsi="Arial" w:cs="Arial"/>
          <w:sz w:val="22"/>
          <w:szCs w:val="22"/>
        </w:rPr>
        <w:t>opioid use.</w:t>
      </w:r>
    </w:p>
    <w:p w14:paraId="0ACFE40D" w14:textId="77777777" w:rsidR="00BB3765" w:rsidRPr="004F17A7" w:rsidRDefault="00BB3765" w:rsidP="004F6E75">
      <w:pPr>
        <w:spacing w:line="480" w:lineRule="auto"/>
        <w:rPr>
          <w:rFonts w:ascii="Arial" w:hAnsi="Arial" w:cs="Arial"/>
          <w:sz w:val="22"/>
          <w:szCs w:val="22"/>
        </w:rPr>
      </w:pPr>
    </w:p>
    <w:p w14:paraId="71CEA5B2" w14:textId="20094A90" w:rsidR="00EE3CE3" w:rsidRPr="004F17A7" w:rsidRDefault="00BB3765" w:rsidP="004F6E75">
      <w:pPr>
        <w:spacing w:line="480" w:lineRule="auto"/>
        <w:rPr>
          <w:rFonts w:ascii="Arial" w:hAnsi="Arial" w:cs="Arial"/>
          <w:b/>
          <w:bCs/>
          <w:sz w:val="22"/>
          <w:szCs w:val="22"/>
        </w:rPr>
      </w:pPr>
      <w:r w:rsidRPr="004F17A7">
        <w:rPr>
          <w:rFonts w:ascii="Arial" w:hAnsi="Arial" w:cs="Arial"/>
          <w:b/>
          <w:bCs/>
          <w:sz w:val="22"/>
          <w:szCs w:val="22"/>
        </w:rPr>
        <w:t>Methods</w:t>
      </w:r>
    </w:p>
    <w:p w14:paraId="790A7FDC" w14:textId="70AF0132" w:rsidR="00E124A3" w:rsidRPr="004F17A7" w:rsidRDefault="000B6400" w:rsidP="004F6E75">
      <w:pPr>
        <w:spacing w:line="480" w:lineRule="auto"/>
        <w:rPr>
          <w:rFonts w:ascii="Arial" w:hAnsi="Arial" w:cs="Arial"/>
          <w:sz w:val="22"/>
          <w:szCs w:val="22"/>
        </w:rPr>
      </w:pPr>
      <w:r w:rsidRPr="004F17A7">
        <w:rPr>
          <w:rFonts w:ascii="Arial" w:hAnsi="Arial" w:cs="Arial"/>
          <w:sz w:val="22"/>
          <w:szCs w:val="22"/>
        </w:rPr>
        <w:t xml:space="preserve">This retrospective cohort study was registered and approved by the University of Southampton’s ethics service (ERGO reference 88350.A1). It included adult patients admitted to the ICU or HDU at UHS (between 2017 and 2024) following right hemicolectomy that received opioids within 24 hours of admission. </w:t>
      </w:r>
      <w:r w:rsidR="00110B11" w:rsidRPr="004F17A7">
        <w:rPr>
          <w:rFonts w:ascii="Arial" w:hAnsi="Arial" w:cs="Arial"/>
          <w:sz w:val="22"/>
          <w:szCs w:val="22"/>
        </w:rPr>
        <w:t xml:space="preserve">Clinical data was manually extracted from </w:t>
      </w:r>
      <w:r w:rsidR="00E124A3" w:rsidRPr="004F17A7">
        <w:rPr>
          <w:rFonts w:ascii="Arial" w:hAnsi="Arial" w:cs="Arial"/>
          <w:sz w:val="22"/>
          <w:szCs w:val="22"/>
        </w:rPr>
        <w:t>a</w:t>
      </w:r>
      <w:r w:rsidR="00C7332E" w:rsidRPr="004F17A7">
        <w:rPr>
          <w:rFonts w:ascii="Arial" w:hAnsi="Arial" w:cs="Arial"/>
          <w:sz w:val="22"/>
          <w:szCs w:val="22"/>
        </w:rPr>
        <w:t xml:space="preserve"> local </w:t>
      </w:r>
      <w:r w:rsidR="00110B11" w:rsidRPr="004F17A7">
        <w:rPr>
          <w:rFonts w:ascii="Arial" w:hAnsi="Arial" w:cs="Arial"/>
          <w:sz w:val="22"/>
          <w:szCs w:val="22"/>
        </w:rPr>
        <w:t xml:space="preserve">clinical information system </w:t>
      </w:r>
      <w:r w:rsidR="00C7332E" w:rsidRPr="004F17A7">
        <w:rPr>
          <w:rFonts w:ascii="Arial" w:hAnsi="Arial" w:cs="Arial"/>
          <w:sz w:val="22"/>
          <w:szCs w:val="22"/>
        </w:rPr>
        <w:t>(</w:t>
      </w:r>
      <w:proofErr w:type="spellStart"/>
      <w:r w:rsidR="00110B11" w:rsidRPr="004F17A7">
        <w:rPr>
          <w:rFonts w:ascii="Arial" w:hAnsi="Arial" w:cs="Arial"/>
          <w:sz w:val="22"/>
          <w:szCs w:val="22"/>
        </w:rPr>
        <w:t>MetaVision</w:t>
      </w:r>
      <w:proofErr w:type="spellEnd"/>
      <w:r w:rsidR="00C7332E" w:rsidRPr="004F17A7">
        <w:rPr>
          <w:rFonts w:ascii="Arial" w:hAnsi="Arial" w:cs="Arial"/>
          <w:sz w:val="22"/>
          <w:szCs w:val="22"/>
        </w:rPr>
        <w:sym w:font="Symbol" w:char="F0E2"/>
      </w:r>
      <w:r w:rsidR="00C7332E" w:rsidRPr="004F17A7">
        <w:rPr>
          <w:rFonts w:ascii="Arial" w:hAnsi="Arial" w:cs="Arial"/>
          <w:sz w:val="22"/>
          <w:szCs w:val="22"/>
        </w:rPr>
        <w:t xml:space="preserve">) and opioid </w:t>
      </w:r>
      <w:r w:rsidR="006436F8" w:rsidRPr="004F17A7">
        <w:rPr>
          <w:rFonts w:ascii="Arial" w:hAnsi="Arial" w:cs="Arial"/>
          <w:sz w:val="22"/>
          <w:szCs w:val="22"/>
        </w:rPr>
        <w:t>doses</w:t>
      </w:r>
      <w:r w:rsidR="00C7332E" w:rsidRPr="004F17A7">
        <w:rPr>
          <w:rFonts w:ascii="Arial" w:hAnsi="Arial" w:cs="Arial"/>
          <w:sz w:val="22"/>
          <w:szCs w:val="22"/>
        </w:rPr>
        <w:t xml:space="preserve"> </w:t>
      </w:r>
      <w:r w:rsidR="006436F8" w:rsidRPr="004F17A7">
        <w:rPr>
          <w:rFonts w:ascii="Arial" w:hAnsi="Arial" w:cs="Arial"/>
          <w:sz w:val="22"/>
          <w:szCs w:val="22"/>
        </w:rPr>
        <w:t xml:space="preserve">were </w:t>
      </w:r>
      <w:r w:rsidR="00C7332E" w:rsidRPr="004F17A7">
        <w:rPr>
          <w:rFonts w:ascii="Arial" w:hAnsi="Arial" w:cs="Arial"/>
          <w:sz w:val="22"/>
          <w:szCs w:val="22"/>
        </w:rPr>
        <w:t>convert</w:t>
      </w:r>
      <w:r w:rsidR="006436F8" w:rsidRPr="004F17A7">
        <w:rPr>
          <w:rFonts w:ascii="Arial" w:hAnsi="Arial" w:cs="Arial"/>
          <w:sz w:val="22"/>
          <w:szCs w:val="22"/>
        </w:rPr>
        <w:t>ed</w:t>
      </w:r>
      <w:r w:rsidR="00C7332E" w:rsidRPr="004F17A7">
        <w:rPr>
          <w:rFonts w:ascii="Arial" w:hAnsi="Arial" w:cs="Arial"/>
          <w:sz w:val="22"/>
          <w:szCs w:val="22"/>
        </w:rPr>
        <w:t xml:space="preserve"> </w:t>
      </w:r>
      <w:r w:rsidR="00471CC1" w:rsidRPr="004F17A7">
        <w:rPr>
          <w:rFonts w:ascii="Arial" w:hAnsi="Arial" w:cs="Arial"/>
          <w:sz w:val="22"/>
          <w:szCs w:val="22"/>
        </w:rPr>
        <w:t>in</w:t>
      </w:r>
      <w:r w:rsidR="00C7332E" w:rsidRPr="004F17A7">
        <w:rPr>
          <w:rFonts w:ascii="Arial" w:hAnsi="Arial" w:cs="Arial"/>
          <w:sz w:val="22"/>
          <w:szCs w:val="22"/>
        </w:rPr>
        <w:t>to IV morphine milligram equivalents (MMEs) [</w:t>
      </w:r>
      <w:r w:rsidR="00C0550E" w:rsidRPr="004F17A7">
        <w:rPr>
          <w:rFonts w:ascii="Arial" w:hAnsi="Arial" w:cs="Arial"/>
          <w:sz w:val="22"/>
          <w:szCs w:val="22"/>
        </w:rPr>
        <w:t>2</w:t>
      </w:r>
      <w:r w:rsidR="00C7332E" w:rsidRPr="004F17A7">
        <w:rPr>
          <w:rFonts w:ascii="Arial" w:hAnsi="Arial" w:cs="Arial"/>
          <w:sz w:val="22"/>
          <w:szCs w:val="22"/>
        </w:rPr>
        <w:t xml:space="preserve">]. </w:t>
      </w:r>
      <w:r w:rsidR="006436F8" w:rsidRPr="004F17A7">
        <w:rPr>
          <w:rFonts w:ascii="Arial" w:hAnsi="Arial" w:cs="Arial"/>
          <w:sz w:val="22"/>
          <w:szCs w:val="22"/>
        </w:rPr>
        <w:t>Multiple linear regression</w:t>
      </w:r>
      <w:r w:rsidR="004A41D6" w:rsidRPr="004F17A7">
        <w:rPr>
          <w:rFonts w:ascii="Arial" w:hAnsi="Arial" w:cs="Arial"/>
          <w:sz w:val="22"/>
          <w:szCs w:val="22"/>
        </w:rPr>
        <w:t xml:space="preserve"> (MLR)</w:t>
      </w:r>
      <w:r w:rsidR="006436F8" w:rsidRPr="004F17A7">
        <w:rPr>
          <w:rFonts w:ascii="Arial" w:hAnsi="Arial" w:cs="Arial"/>
          <w:sz w:val="22"/>
          <w:szCs w:val="22"/>
        </w:rPr>
        <w:t xml:space="preserve"> analysis was</w:t>
      </w:r>
      <w:r w:rsidR="00A825AB" w:rsidRPr="004F17A7">
        <w:rPr>
          <w:rFonts w:ascii="Arial" w:hAnsi="Arial" w:cs="Arial"/>
          <w:sz w:val="22"/>
          <w:szCs w:val="22"/>
        </w:rPr>
        <w:t xml:space="preserve"> then </w:t>
      </w:r>
      <w:r w:rsidR="006436F8" w:rsidRPr="004F17A7">
        <w:rPr>
          <w:rFonts w:ascii="Arial" w:hAnsi="Arial" w:cs="Arial"/>
          <w:sz w:val="22"/>
          <w:szCs w:val="22"/>
        </w:rPr>
        <w:t>conducted.</w:t>
      </w:r>
      <w:r w:rsidR="00E124A3" w:rsidRPr="004F17A7">
        <w:rPr>
          <w:rFonts w:ascii="Arial" w:hAnsi="Arial" w:cs="Arial"/>
          <w:sz w:val="22"/>
          <w:szCs w:val="22"/>
        </w:rPr>
        <w:t xml:space="preserve"> </w:t>
      </w:r>
      <w:r w:rsidR="006436F8" w:rsidRPr="004F17A7">
        <w:rPr>
          <w:rFonts w:ascii="Arial" w:hAnsi="Arial" w:cs="Arial"/>
          <w:sz w:val="22"/>
          <w:szCs w:val="22"/>
        </w:rPr>
        <w:t xml:space="preserve">The dependent variable was log-transformed opioid consumption in IV MMEs within 24 hours of admission and the independent variables </w:t>
      </w:r>
      <w:r w:rsidR="00E124A3" w:rsidRPr="004F17A7">
        <w:rPr>
          <w:rFonts w:ascii="Arial" w:hAnsi="Arial" w:cs="Arial"/>
          <w:sz w:val="22"/>
          <w:szCs w:val="22"/>
        </w:rPr>
        <w:t>were demographic</w:t>
      </w:r>
      <w:r w:rsidR="00A825AB" w:rsidRPr="004F17A7">
        <w:rPr>
          <w:rFonts w:ascii="Arial" w:hAnsi="Arial" w:cs="Arial"/>
          <w:sz w:val="22"/>
          <w:szCs w:val="22"/>
        </w:rPr>
        <w:t xml:space="preserve"> </w:t>
      </w:r>
      <w:r w:rsidR="00A825AB" w:rsidRPr="004F17A7">
        <w:rPr>
          <w:rFonts w:ascii="Arial" w:hAnsi="Arial" w:cs="Arial"/>
          <w:sz w:val="22"/>
          <w:szCs w:val="22"/>
        </w:rPr>
        <w:lastRenderedPageBreak/>
        <w:t xml:space="preserve">characteristics </w:t>
      </w:r>
      <w:r w:rsidR="00E124A3" w:rsidRPr="004F17A7">
        <w:rPr>
          <w:rFonts w:ascii="Arial" w:hAnsi="Arial" w:cs="Arial"/>
          <w:sz w:val="22"/>
          <w:szCs w:val="22"/>
        </w:rPr>
        <w:t xml:space="preserve">(gender, age, weight), history of substance </w:t>
      </w:r>
      <w:r w:rsidR="004A41D6" w:rsidRPr="004F17A7">
        <w:rPr>
          <w:rFonts w:ascii="Arial" w:hAnsi="Arial" w:cs="Arial"/>
          <w:sz w:val="22"/>
          <w:szCs w:val="22"/>
        </w:rPr>
        <w:t>dependence</w:t>
      </w:r>
      <w:r w:rsidR="00E124A3" w:rsidRPr="004F17A7">
        <w:rPr>
          <w:rFonts w:ascii="Arial" w:hAnsi="Arial" w:cs="Arial"/>
          <w:sz w:val="22"/>
          <w:szCs w:val="22"/>
        </w:rPr>
        <w:t xml:space="preserve"> (alcohol, smoking, </w:t>
      </w:r>
      <w:r w:rsidR="00A825AB" w:rsidRPr="004F17A7">
        <w:rPr>
          <w:rFonts w:ascii="Arial" w:hAnsi="Arial" w:cs="Arial"/>
          <w:sz w:val="22"/>
          <w:szCs w:val="22"/>
        </w:rPr>
        <w:t xml:space="preserve">pre-hospital </w:t>
      </w:r>
      <w:r w:rsidR="00E124A3" w:rsidRPr="004F17A7">
        <w:rPr>
          <w:rFonts w:ascii="Arial" w:hAnsi="Arial" w:cs="Arial"/>
          <w:sz w:val="22"/>
          <w:szCs w:val="22"/>
        </w:rPr>
        <w:t xml:space="preserve">opioids), unit admitted to (ICU or HDU), </w:t>
      </w:r>
      <w:r w:rsidR="00002EEC" w:rsidRPr="004F17A7">
        <w:rPr>
          <w:rFonts w:ascii="Arial" w:hAnsi="Arial" w:cs="Arial"/>
          <w:sz w:val="22"/>
          <w:szCs w:val="22"/>
        </w:rPr>
        <w:t>mechanical</w:t>
      </w:r>
      <w:r w:rsidR="00E124A3" w:rsidRPr="004F17A7">
        <w:rPr>
          <w:rFonts w:ascii="Arial" w:hAnsi="Arial" w:cs="Arial"/>
          <w:sz w:val="22"/>
          <w:szCs w:val="22"/>
        </w:rPr>
        <w:t xml:space="preserve"> ventilation and sequential organ failure assessment (SOFA)</w:t>
      </w:r>
      <w:r w:rsidR="00A825AB" w:rsidRPr="004F17A7">
        <w:rPr>
          <w:rFonts w:ascii="Arial" w:hAnsi="Arial" w:cs="Arial"/>
          <w:sz w:val="22"/>
          <w:szCs w:val="22"/>
        </w:rPr>
        <w:t xml:space="preserve"> score.</w:t>
      </w:r>
    </w:p>
    <w:p w14:paraId="27F994D3" w14:textId="77777777" w:rsidR="00E124A3" w:rsidRPr="004F17A7" w:rsidRDefault="00E124A3" w:rsidP="004F6E75">
      <w:pPr>
        <w:spacing w:line="480" w:lineRule="auto"/>
        <w:rPr>
          <w:rFonts w:ascii="Arial" w:hAnsi="Arial" w:cs="Arial"/>
          <w:sz w:val="22"/>
          <w:szCs w:val="22"/>
        </w:rPr>
      </w:pPr>
    </w:p>
    <w:p w14:paraId="21EC6681" w14:textId="1CE633DF" w:rsidR="00E124A3" w:rsidRPr="004F17A7" w:rsidRDefault="00E124A3" w:rsidP="004F6E75">
      <w:pPr>
        <w:spacing w:line="480" w:lineRule="auto"/>
        <w:rPr>
          <w:rFonts w:ascii="Arial" w:hAnsi="Arial" w:cs="Arial"/>
          <w:b/>
          <w:bCs/>
          <w:sz w:val="22"/>
          <w:szCs w:val="22"/>
        </w:rPr>
      </w:pPr>
      <w:r w:rsidRPr="004F17A7">
        <w:rPr>
          <w:rFonts w:ascii="Arial" w:hAnsi="Arial" w:cs="Arial"/>
          <w:b/>
          <w:bCs/>
          <w:sz w:val="22"/>
          <w:szCs w:val="22"/>
        </w:rPr>
        <w:t>Results</w:t>
      </w:r>
    </w:p>
    <w:p w14:paraId="721826FD" w14:textId="39A4CC34" w:rsidR="005C1C2E" w:rsidRDefault="00002EEC" w:rsidP="00471CC1">
      <w:pPr>
        <w:spacing w:line="480" w:lineRule="auto"/>
        <w:rPr>
          <w:rFonts w:ascii="Arial" w:hAnsi="Arial" w:cs="Arial"/>
          <w:sz w:val="22"/>
          <w:szCs w:val="22"/>
        </w:rPr>
      </w:pPr>
      <w:r w:rsidRPr="004F17A7">
        <w:rPr>
          <w:rFonts w:ascii="Arial" w:hAnsi="Arial" w:cs="Arial"/>
          <w:sz w:val="22"/>
          <w:szCs w:val="22"/>
        </w:rPr>
        <w:t xml:space="preserve">A total of 254 patients were included: </w:t>
      </w:r>
      <w:r w:rsidR="004A41D6" w:rsidRPr="004F17A7">
        <w:rPr>
          <w:rFonts w:ascii="Arial" w:hAnsi="Arial" w:cs="Arial"/>
          <w:sz w:val="22"/>
          <w:szCs w:val="22"/>
        </w:rPr>
        <w:t>57 were admitted to the ICU and 197 to the HDU</w:t>
      </w:r>
      <w:r w:rsidR="00493AA2" w:rsidRPr="004F17A7">
        <w:rPr>
          <w:rFonts w:ascii="Arial" w:hAnsi="Arial" w:cs="Arial"/>
          <w:sz w:val="22"/>
          <w:szCs w:val="22"/>
        </w:rPr>
        <w:t>.</w:t>
      </w:r>
      <w:r w:rsidR="005C1C2E" w:rsidRPr="004F17A7">
        <w:rPr>
          <w:rFonts w:ascii="Arial" w:hAnsi="Arial" w:cs="Arial"/>
          <w:sz w:val="22"/>
          <w:szCs w:val="22"/>
        </w:rPr>
        <w:t xml:space="preserve"> </w:t>
      </w:r>
      <w:r w:rsidR="004A41D6" w:rsidRPr="004F17A7">
        <w:rPr>
          <w:rFonts w:ascii="Arial" w:hAnsi="Arial" w:cs="Arial"/>
          <w:sz w:val="22"/>
          <w:szCs w:val="22"/>
        </w:rPr>
        <w:t>Median (IQR) opioid consumption in IV MMEs within 24 hours of admission was 68 (32</w:t>
      </w:r>
      <w:r w:rsidR="004F17A7">
        <w:rPr>
          <w:rFonts w:ascii="Arial" w:hAnsi="Arial" w:cs="Arial"/>
          <w:sz w:val="22"/>
          <w:szCs w:val="22"/>
        </w:rPr>
        <w:t>-</w:t>
      </w:r>
      <w:r w:rsidR="004A41D6" w:rsidRPr="004F17A7">
        <w:rPr>
          <w:rFonts w:ascii="Arial" w:hAnsi="Arial" w:cs="Arial"/>
          <w:sz w:val="22"/>
          <w:szCs w:val="22"/>
        </w:rPr>
        <w:t>124) in ICU and 39 (20</w:t>
      </w:r>
      <w:r w:rsidR="004F17A7">
        <w:rPr>
          <w:rFonts w:ascii="Arial" w:hAnsi="Arial" w:cs="Arial"/>
          <w:sz w:val="22"/>
          <w:szCs w:val="22"/>
        </w:rPr>
        <w:t>-</w:t>
      </w:r>
      <w:r w:rsidR="004A41D6" w:rsidRPr="004F17A7">
        <w:rPr>
          <w:rFonts w:ascii="Arial" w:hAnsi="Arial" w:cs="Arial"/>
          <w:sz w:val="22"/>
          <w:szCs w:val="22"/>
        </w:rPr>
        <w:t>70) in HDU patients (</w:t>
      </w:r>
      <w:r w:rsidR="004A41D6" w:rsidRPr="004F17A7">
        <w:rPr>
          <w:rFonts w:ascii="Arial" w:hAnsi="Arial" w:cs="Arial"/>
          <w:i/>
          <w:iCs/>
          <w:sz w:val="22"/>
          <w:szCs w:val="22"/>
        </w:rPr>
        <w:t>p</w:t>
      </w:r>
      <w:r w:rsidR="004A41D6" w:rsidRPr="004F17A7">
        <w:rPr>
          <w:rFonts w:ascii="Arial" w:hAnsi="Arial" w:cs="Arial"/>
          <w:sz w:val="22"/>
          <w:szCs w:val="22"/>
        </w:rPr>
        <w:t xml:space="preserve">=0.002). </w:t>
      </w:r>
      <w:r w:rsidR="00471CC1" w:rsidRPr="004F17A7">
        <w:rPr>
          <w:rFonts w:ascii="Arial" w:hAnsi="Arial" w:cs="Arial"/>
          <w:sz w:val="22"/>
          <w:szCs w:val="22"/>
        </w:rPr>
        <w:t>The</w:t>
      </w:r>
      <w:r w:rsidR="00635E59" w:rsidRPr="004F17A7">
        <w:rPr>
          <w:rFonts w:ascii="Arial" w:hAnsi="Arial" w:cs="Arial"/>
          <w:sz w:val="22"/>
          <w:szCs w:val="22"/>
        </w:rPr>
        <w:t xml:space="preserve"> MLR model explained 24% of the variance in opioid consumption (adjusted R</w:t>
      </w:r>
      <w:r w:rsidR="00635E59" w:rsidRPr="004F17A7">
        <w:rPr>
          <w:rFonts w:ascii="Arial" w:hAnsi="Arial" w:cs="Arial"/>
          <w:sz w:val="22"/>
          <w:szCs w:val="22"/>
          <w:vertAlign w:val="subscript"/>
        </w:rPr>
        <w:t>2</w:t>
      </w:r>
      <w:r w:rsidR="00635E59" w:rsidRPr="004F17A7">
        <w:rPr>
          <w:rFonts w:ascii="Arial" w:hAnsi="Arial" w:cs="Arial"/>
          <w:sz w:val="22"/>
          <w:szCs w:val="22"/>
        </w:rPr>
        <w:t>=0.24) and was statistically significant (</w:t>
      </w:r>
      <w:r w:rsidR="00635E59" w:rsidRPr="004F17A7">
        <w:rPr>
          <w:rFonts w:ascii="Arial" w:hAnsi="Arial" w:cs="Arial"/>
          <w:i/>
          <w:iCs/>
          <w:sz w:val="22"/>
          <w:szCs w:val="22"/>
        </w:rPr>
        <w:t>p</w:t>
      </w:r>
      <w:r w:rsidR="00635E59" w:rsidRPr="004F17A7">
        <w:rPr>
          <w:rFonts w:ascii="Arial" w:hAnsi="Arial" w:cs="Arial"/>
          <w:sz w:val="22"/>
          <w:szCs w:val="22"/>
        </w:rPr>
        <w:t>=&lt;0.001).</w:t>
      </w:r>
      <w:r w:rsidR="009C18BB">
        <w:rPr>
          <w:rFonts w:ascii="Arial" w:hAnsi="Arial" w:cs="Arial"/>
          <w:sz w:val="22"/>
          <w:szCs w:val="22"/>
        </w:rPr>
        <w:t xml:space="preserve"> </w:t>
      </w:r>
      <w:r w:rsidR="005C1C2E" w:rsidRPr="004F17A7">
        <w:rPr>
          <w:rFonts w:ascii="Arial" w:hAnsi="Arial" w:cs="Arial"/>
          <w:sz w:val="22"/>
          <w:szCs w:val="22"/>
        </w:rPr>
        <w:t>Age (</w:t>
      </w:r>
      <w:r w:rsidR="00EF1110" w:rsidRPr="004F17A7">
        <w:rPr>
          <w:rFonts w:ascii="Arial" w:hAnsi="Arial" w:cs="Arial"/>
          <w:sz w:val="22"/>
          <w:szCs w:val="22"/>
        </w:rPr>
        <w:t xml:space="preserve">B=0.97, </w:t>
      </w:r>
      <w:r w:rsidR="00EF1110" w:rsidRPr="004F17A7">
        <w:rPr>
          <w:rFonts w:ascii="Arial" w:hAnsi="Arial" w:cs="Arial"/>
          <w:i/>
          <w:iCs/>
          <w:sz w:val="22"/>
          <w:szCs w:val="22"/>
        </w:rPr>
        <w:t>p</w:t>
      </w:r>
      <w:r w:rsidR="00EF1110" w:rsidRPr="004F17A7">
        <w:rPr>
          <w:rFonts w:ascii="Arial" w:hAnsi="Arial" w:cs="Arial"/>
          <w:sz w:val="22"/>
          <w:szCs w:val="22"/>
        </w:rPr>
        <w:t xml:space="preserve">=&lt;0.001) and history of alcohol dependence (B=1.98, </w:t>
      </w:r>
      <w:r w:rsidR="00EF1110" w:rsidRPr="004F17A7">
        <w:rPr>
          <w:rFonts w:ascii="Arial" w:hAnsi="Arial" w:cs="Arial"/>
          <w:i/>
          <w:iCs/>
          <w:sz w:val="22"/>
          <w:szCs w:val="22"/>
        </w:rPr>
        <w:t>p</w:t>
      </w:r>
      <w:r w:rsidR="00EF1110" w:rsidRPr="004F17A7">
        <w:rPr>
          <w:rFonts w:ascii="Arial" w:hAnsi="Arial" w:cs="Arial"/>
          <w:sz w:val="22"/>
          <w:szCs w:val="22"/>
        </w:rPr>
        <w:t>=0.038) were significant predictors of opioid consumption</w:t>
      </w:r>
      <w:r w:rsidR="001E1885" w:rsidRPr="004F17A7">
        <w:rPr>
          <w:rFonts w:ascii="Arial" w:hAnsi="Arial" w:cs="Arial"/>
          <w:sz w:val="22"/>
          <w:szCs w:val="22"/>
        </w:rPr>
        <w:t xml:space="preserve">, while pre-hospital opioid exposure (B=1.50, </w:t>
      </w:r>
      <w:r w:rsidR="001E1885" w:rsidRPr="004F17A7">
        <w:rPr>
          <w:rFonts w:ascii="Arial" w:hAnsi="Arial" w:cs="Arial"/>
          <w:i/>
          <w:iCs/>
          <w:sz w:val="22"/>
          <w:szCs w:val="22"/>
        </w:rPr>
        <w:t>p</w:t>
      </w:r>
      <w:r w:rsidR="001E1885" w:rsidRPr="004F17A7">
        <w:rPr>
          <w:rFonts w:ascii="Arial" w:hAnsi="Arial" w:cs="Arial"/>
          <w:sz w:val="22"/>
          <w:szCs w:val="22"/>
        </w:rPr>
        <w:t xml:space="preserve">=0.054) was marginally significant. In contrast, gender, weight, history of smoking, </w:t>
      </w:r>
      <w:r w:rsidR="009C18BB">
        <w:rPr>
          <w:rFonts w:ascii="Arial" w:hAnsi="Arial" w:cs="Arial"/>
          <w:sz w:val="22"/>
          <w:szCs w:val="22"/>
        </w:rPr>
        <w:t xml:space="preserve">unit admitted to, </w:t>
      </w:r>
      <w:r w:rsidR="001E1885" w:rsidRPr="004F17A7">
        <w:rPr>
          <w:rFonts w:ascii="Arial" w:hAnsi="Arial" w:cs="Arial"/>
          <w:sz w:val="22"/>
          <w:szCs w:val="22"/>
        </w:rPr>
        <w:t xml:space="preserve">mechanical ventilation and SOFA score did not reach statistical significance. </w:t>
      </w:r>
    </w:p>
    <w:p w14:paraId="230EF6F6" w14:textId="77777777" w:rsidR="009C18BB" w:rsidRPr="004F17A7" w:rsidRDefault="009C18BB" w:rsidP="00471CC1">
      <w:pPr>
        <w:spacing w:line="480" w:lineRule="auto"/>
        <w:rPr>
          <w:rFonts w:ascii="Arial" w:hAnsi="Arial" w:cs="Arial"/>
          <w:sz w:val="22"/>
          <w:szCs w:val="22"/>
        </w:rPr>
      </w:pPr>
    </w:p>
    <w:p w14:paraId="4B8A0226" w14:textId="4394A4C9" w:rsidR="005C1C2E" w:rsidRDefault="00F224CA" w:rsidP="00471CC1">
      <w:pPr>
        <w:spacing w:line="480" w:lineRule="auto"/>
        <w:rPr>
          <w:rFonts w:ascii="Arial" w:hAnsi="Arial" w:cs="Arial"/>
          <w:b/>
          <w:bCs/>
          <w:sz w:val="22"/>
          <w:szCs w:val="22"/>
        </w:rPr>
      </w:pPr>
      <w:r w:rsidRPr="004F17A7">
        <w:rPr>
          <w:rFonts w:ascii="Arial" w:hAnsi="Arial" w:cs="Arial"/>
          <w:b/>
          <w:bCs/>
          <w:sz w:val="22"/>
          <w:szCs w:val="22"/>
        </w:rPr>
        <w:t>Conclusions</w:t>
      </w:r>
    </w:p>
    <w:p w14:paraId="7AFCDF59" w14:textId="25EC82D3" w:rsidR="00AF648C" w:rsidRPr="003421DC" w:rsidRDefault="00F224CA" w:rsidP="004F6E75">
      <w:pPr>
        <w:spacing w:line="480" w:lineRule="auto"/>
        <w:rPr>
          <w:rFonts w:ascii="Arial" w:hAnsi="Arial" w:cs="Arial"/>
          <w:sz w:val="22"/>
          <w:szCs w:val="22"/>
        </w:rPr>
      </w:pPr>
      <w:r w:rsidRPr="004F17A7">
        <w:rPr>
          <w:rFonts w:ascii="Arial" w:hAnsi="Arial" w:cs="Arial"/>
          <w:sz w:val="22"/>
          <w:szCs w:val="22"/>
        </w:rPr>
        <w:t xml:space="preserve">Opioid consumption was significantly greater in patients admitted to </w:t>
      </w:r>
      <w:r w:rsidR="00F44910" w:rsidRPr="004F17A7">
        <w:rPr>
          <w:rFonts w:ascii="Arial" w:hAnsi="Arial" w:cs="Arial"/>
          <w:sz w:val="22"/>
          <w:szCs w:val="22"/>
        </w:rPr>
        <w:t xml:space="preserve">the ICU compared to the HDU following right hemicolectomy. </w:t>
      </w:r>
      <w:r w:rsidR="00395DDB">
        <w:rPr>
          <w:rFonts w:ascii="Arial" w:hAnsi="Arial" w:cs="Arial"/>
          <w:sz w:val="22"/>
          <w:szCs w:val="22"/>
        </w:rPr>
        <w:t>Younger age</w:t>
      </w:r>
      <w:r w:rsidR="00C76725">
        <w:rPr>
          <w:rFonts w:ascii="Arial" w:hAnsi="Arial" w:cs="Arial"/>
          <w:sz w:val="22"/>
          <w:szCs w:val="22"/>
        </w:rPr>
        <w:t xml:space="preserve"> and </w:t>
      </w:r>
      <w:r w:rsidR="00395DDB">
        <w:rPr>
          <w:rFonts w:ascii="Arial" w:hAnsi="Arial" w:cs="Arial"/>
          <w:sz w:val="22"/>
          <w:szCs w:val="22"/>
        </w:rPr>
        <w:t>history of alcohol dependence (&gt;14 units per week)</w:t>
      </w:r>
      <w:r w:rsidR="00C76725">
        <w:rPr>
          <w:rFonts w:ascii="Arial" w:hAnsi="Arial" w:cs="Arial"/>
          <w:sz w:val="22"/>
          <w:szCs w:val="22"/>
        </w:rPr>
        <w:t xml:space="preserve"> </w:t>
      </w:r>
      <w:r w:rsidR="00395DDB">
        <w:rPr>
          <w:rFonts w:ascii="Arial" w:hAnsi="Arial" w:cs="Arial"/>
          <w:sz w:val="22"/>
          <w:szCs w:val="22"/>
        </w:rPr>
        <w:t>both positively predicted opioid consumption</w:t>
      </w:r>
      <w:r w:rsidR="00C76725">
        <w:rPr>
          <w:rFonts w:ascii="Arial" w:hAnsi="Arial" w:cs="Arial"/>
          <w:sz w:val="22"/>
          <w:szCs w:val="22"/>
        </w:rPr>
        <w:t xml:space="preserve">. </w:t>
      </w:r>
      <w:r w:rsidR="00013B3B">
        <w:rPr>
          <w:rFonts w:ascii="Arial" w:hAnsi="Arial" w:cs="Arial"/>
          <w:sz w:val="22"/>
          <w:szCs w:val="22"/>
        </w:rPr>
        <w:t>Adequately powered</w:t>
      </w:r>
      <w:r w:rsidR="00395DDB">
        <w:rPr>
          <w:rFonts w:ascii="Arial" w:hAnsi="Arial" w:cs="Arial"/>
          <w:sz w:val="22"/>
          <w:szCs w:val="22"/>
        </w:rPr>
        <w:t xml:space="preserve"> </w:t>
      </w:r>
      <w:r w:rsidR="00395DDB" w:rsidRPr="004F17A7">
        <w:rPr>
          <w:rFonts w:ascii="Arial" w:hAnsi="Arial" w:cs="Arial"/>
          <w:color w:val="000000" w:themeColor="text1"/>
          <w:sz w:val="22"/>
          <w:szCs w:val="22"/>
        </w:rPr>
        <w:t xml:space="preserve">research is needed to confirm these findings and should assess the clinical impact of </w:t>
      </w:r>
      <w:r w:rsidR="00013B3B">
        <w:rPr>
          <w:rFonts w:ascii="Arial" w:hAnsi="Arial" w:cs="Arial"/>
          <w:color w:val="000000" w:themeColor="text1"/>
          <w:sz w:val="22"/>
          <w:szCs w:val="22"/>
        </w:rPr>
        <w:t>greater</w:t>
      </w:r>
      <w:r w:rsidR="00395DDB" w:rsidRPr="004F17A7">
        <w:rPr>
          <w:rFonts w:ascii="Arial" w:hAnsi="Arial" w:cs="Arial"/>
          <w:color w:val="000000" w:themeColor="text1"/>
          <w:sz w:val="22"/>
          <w:szCs w:val="22"/>
        </w:rPr>
        <w:t xml:space="preserve"> opioid consumption in ICU patients.</w:t>
      </w:r>
    </w:p>
    <w:p w14:paraId="7D545DB8" w14:textId="77777777" w:rsidR="00AF648C" w:rsidRDefault="00AF648C" w:rsidP="004F6E75">
      <w:pPr>
        <w:spacing w:line="480" w:lineRule="auto"/>
        <w:rPr>
          <w:rFonts w:ascii="Arial" w:hAnsi="Arial" w:cs="Arial"/>
          <w:b/>
          <w:bCs/>
          <w:sz w:val="22"/>
          <w:szCs w:val="22"/>
        </w:rPr>
      </w:pPr>
    </w:p>
    <w:p w14:paraId="3E12F7AC" w14:textId="521150C4" w:rsidR="004F6E75" w:rsidRPr="004F17A7" w:rsidRDefault="00F136A7" w:rsidP="004F6E75">
      <w:pPr>
        <w:spacing w:line="480" w:lineRule="auto"/>
        <w:rPr>
          <w:rFonts w:ascii="Arial" w:hAnsi="Arial" w:cs="Arial"/>
          <w:b/>
          <w:bCs/>
          <w:sz w:val="22"/>
          <w:szCs w:val="22"/>
        </w:rPr>
      </w:pPr>
      <w:r w:rsidRPr="004F17A7">
        <w:rPr>
          <w:rFonts w:ascii="Arial" w:hAnsi="Arial" w:cs="Arial"/>
          <w:b/>
          <w:bCs/>
          <w:sz w:val="22"/>
          <w:szCs w:val="22"/>
        </w:rPr>
        <w:t>Reference(s)</w:t>
      </w:r>
    </w:p>
    <w:p w14:paraId="1794EDF2" w14:textId="7C51A304" w:rsidR="00C0550E" w:rsidRPr="004F17A7" w:rsidRDefault="00F136A7" w:rsidP="00F136A7">
      <w:pPr>
        <w:pStyle w:val="ListParagraph"/>
        <w:numPr>
          <w:ilvl w:val="0"/>
          <w:numId w:val="3"/>
        </w:numPr>
        <w:spacing w:line="480" w:lineRule="auto"/>
        <w:rPr>
          <w:rFonts w:ascii="Arial" w:hAnsi="Arial" w:cs="Arial"/>
          <w:noProof/>
          <w:sz w:val="22"/>
          <w:szCs w:val="22"/>
        </w:rPr>
      </w:pPr>
      <w:r w:rsidRPr="004F17A7">
        <w:rPr>
          <w:rFonts w:ascii="Arial" w:hAnsi="Arial" w:cs="Arial"/>
          <w:noProof/>
          <w:sz w:val="22"/>
          <w:szCs w:val="22"/>
        </w:rPr>
        <w:t>Devlin JW, Skrobik Y, Gélinas C, Needham DM, Slooter AJ, Pandharipande PP, et al. Clinical practice guidelines for the prevention and management of pain, agitation/sedation, delirium, immobility, and sleep disruption in adult patients in the ICU. Critical care medicine. 2018;46(9):e825-73.</w:t>
      </w:r>
    </w:p>
    <w:p w14:paraId="77537DB6" w14:textId="299A9412" w:rsidR="004F17A7" w:rsidRPr="004F17A7" w:rsidRDefault="004F17A7" w:rsidP="004F17A7">
      <w:pPr>
        <w:pStyle w:val="ListParagraph"/>
        <w:numPr>
          <w:ilvl w:val="0"/>
          <w:numId w:val="3"/>
        </w:numPr>
        <w:spacing w:line="480" w:lineRule="auto"/>
        <w:rPr>
          <w:rFonts w:ascii="Arial" w:hAnsi="Arial" w:cs="Arial"/>
          <w:sz w:val="22"/>
          <w:szCs w:val="22"/>
          <w:lang w:val="en-US"/>
        </w:rPr>
      </w:pPr>
      <w:r w:rsidRPr="004F17A7">
        <w:rPr>
          <w:rFonts w:ascii="Arial" w:hAnsi="Arial" w:cs="Arial"/>
          <w:sz w:val="22"/>
          <w:szCs w:val="22"/>
          <w:lang w:val="en-US"/>
        </w:rPr>
        <w:lastRenderedPageBreak/>
        <w:t xml:space="preserve">Nielsen S, Degenhardt L, Hoban B, </w:t>
      </w:r>
      <w:proofErr w:type="spellStart"/>
      <w:r w:rsidRPr="004F17A7">
        <w:rPr>
          <w:rFonts w:ascii="Arial" w:hAnsi="Arial" w:cs="Arial"/>
          <w:sz w:val="22"/>
          <w:szCs w:val="22"/>
          <w:lang w:val="en-US"/>
        </w:rPr>
        <w:t>Gisev</w:t>
      </w:r>
      <w:proofErr w:type="spellEnd"/>
      <w:r w:rsidRPr="004F17A7">
        <w:rPr>
          <w:rFonts w:ascii="Arial" w:hAnsi="Arial" w:cs="Arial"/>
          <w:sz w:val="22"/>
          <w:szCs w:val="22"/>
          <w:lang w:val="en-US"/>
        </w:rPr>
        <w:t xml:space="preserve"> N. A synthesis of oral morphine equivalents (OME) for opioid </w:t>
      </w:r>
      <w:proofErr w:type="spellStart"/>
      <w:r w:rsidRPr="004F17A7">
        <w:rPr>
          <w:rFonts w:ascii="Arial" w:hAnsi="Arial" w:cs="Arial"/>
          <w:sz w:val="22"/>
          <w:szCs w:val="22"/>
          <w:lang w:val="en-US"/>
        </w:rPr>
        <w:t>utilisation</w:t>
      </w:r>
      <w:proofErr w:type="spellEnd"/>
      <w:r w:rsidRPr="004F17A7">
        <w:rPr>
          <w:rFonts w:ascii="Arial" w:hAnsi="Arial" w:cs="Arial"/>
          <w:sz w:val="22"/>
          <w:szCs w:val="22"/>
          <w:lang w:val="en-US"/>
        </w:rPr>
        <w:t xml:space="preserve"> studies. Pharmacoepidemiology and drug safety. 2016;25(6):733-7.</w:t>
      </w:r>
    </w:p>
    <w:p w14:paraId="7D2CCD7F" w14:textId="77777777" w:rsidR="00F136A7" w:rsidRPr="004F17A7" w:rsidRDefault="00F136A7" w:rsidP="004F6E75">
      <w:pPr>
        <w:spacing w:line="480" w:lineRule="auto"/>
        <w:rPr>
          <w:rFonts w:ascii="Arial" w:hAnsi="Arial" w:cs="Arial"/>
          <w:b/>
          <w:bCs/>
          <w:sz w:val="22"/>
          <w:szCs w:val="22"/>
        </w:rPr>
      </w:pPr>
    </w:p>
    <w:p w14:paraId="76CF542E" w14:textId="77777777" w:rsidR="00981AA0" w:rsidRPr="004F17A7" w:rsidRDefault="00981AA0" w:rsidP="00981AA0">
      <w:pPr>
        <w:spacing w:line="480" w:lineRule="auto"/>
        <w:rPr>
          <w:rFonts w:ascii="Arial" w:hAnsi="Arial" w:cs="Arial"/>
          <w:b/>
          <w:bCs/>
          <w:sz w:val="22"/>
          <w:szCs w:val="22"/>
        </w:rPr>
      </w:pPr>
      <w:r w:rsidRPr="004F17A7">
        <w:rPr>
          <w:rFonts w:ascii="Arial" w:hAnsi="Arial" w:cs="Arial"/>
          <w:b/>
          <w:bCs/>
          <w:sz w:val="22"/>
          <w:szCs w:val="22"/>
        </w:rPr>
        <w:t>Acknowledgements</w:t>
      </w:r>
    </w:p>
    <w:p w14:paraId="0ADD6612" w14:textId="77777777" w:rsidR="00981AA0" w:rsidRPr="004F17A7" w:rsidRDefault="00981AA0" w:rsidP="004F17A7">
      <w:pPr>
        <w:pStyle w:val="ListParagraph"/>
        <w:numPr>
          <w:ilvl w:val="0"/>
          <w:numId w:val="4"/>
        </w:numPr>
        <w:spacing w:line="480" w:lineRule="auto"/>
        <w:rPr>
          <w:rFonts w:ascii="Arial" w:hAnsi="Arial" w:cs="Arial"/>
          <w:sz w:val="22"/>
          <w:szCs w:val="22"/>
        </w:rPr>
      </w:pPr>
      <w:r w:rsidRPr="004F17A7">
        <w:rPr>
          <w:rFonts w:ascii="Arial" w:hAnsi="Arial" w:cs="Arial"/>
          <w:sz w:val="22"/>
          <w:szCs w:val="22"/>
        </w:rPr>
        <w:t>Catherine McKenzie receives the NIHR Senior Clinical Practitioner Research Award (SCPRA).</w:t>
      </w:r>
    </w:p>
    <w:p w14:paraId="6F76337A" w14:textId="77777777" w:rsidR="00857ED5" w:rsidRDefault="00857ED5"/>
    <w:sectPr w:rsidR="00857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E2496"/>
    <w:multiLevelType w:val="hybridMultilevel"/>
    <w:tmpl w:val="A938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3B7D54"/>
    <w:multiLevelType w:val="hybridMultilevel"/>
    <w:tmpl w:val="31D089FA"/>
    <w:lvl w:ilvl="0" w:tplc="7938D634">
      <w:start w:val="1"/>
      <w:numFmt w:val="decimal"/>
      <w:lvlText w:val="%1."/>
      <w:lvlJc w:val="left"/>
      <w:pPr>
        <w:ind w:left="360" w:hanging="360"/>
      </w:pPr>
      <w:rPr>
        <w:rFonts w:ascii="Arial" w:hAnsi="Arial"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DE945EC"/>
    <w:multiLevelType w:val="hybridMultilevel"/>
    <w:tmpl w:val="F2207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415B5"/>
    <w:multiLevelType w:val="hybridMultilevel"/>
    <w:tmpl w:val="7B3056AE"/>
    <w:lvl w:ilvl="0" w:tplc="2BBE72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607039">
    <w:abstractNumId w:val="3"/>
  </w:num>
  <w:num w:numId="2" w16cid:durableId="1634291473">
    <w:abstractNumId w:val="2"/>
  </w:num>
  <w:num w:numId="3" w16cid:durableId="2075883108">
    <w:abstractNumId w:val="1"/>
  </w:num>
  <w:num w:numId="4" w16cid:durableId="24696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75"/>
    <w:rsid w:val="00002EEC"/>
    <w:rsid w:val="00013B3B"/>
    <w:rsid w:val="00043227"/>
    <w:rsid w:val="00064F05"/>
    <w:rsid w:val="000822E7"/>
    <w:rsid w:val="00083790"/>
    <w:rsid w:val="000B6400"/>
    <w:rsid w:val="000D13CA"/>
    <w:rsid w:val="000D5A61"/>
    <w:rsid w:val="000F3F28"/>
    <w:rsid w:val="00110B11"/>
    <w:rsid w:val="00123476"/>
    <w:rsid w:val="00180386"/>
    <w:rsid w:val="00184D92"/>
    <w:rsid w:val="0019470E"/>
    <w:rsid w:val="001977DE"/>
    <w:rsid w:val="00197F0C"/>
    <w:rsid w:val="001A059C"/>
    <w:rsid w:val="001D5685"/>
    <w:rsid w:val="001E1885"/>
    <w:rsid w:val="001E4890"/>
    <w:rsid w:val="001F16CE"/>
    <w:rsid w:val="001F1756"/>
    <w:rsid w:val="002234B2"/>
    <w:rsid w:val="00223D6E"/>
    <w:rsid w:val="002356E9"/>
    <w:rsid w:val="00245600"/>
    <w:rsid w:val="00250A44"/>
    <w:rsid w:val="00255867"/>
    <w:rsid w:val="002609B2"/>
    <w:rsid w:val="00283C78"/>
    <w:rsid w:val="00293B1A"/>
    <w:rsid w:val="002A5D6C"/>
    <w:rsid w:val="002A7A07"/>
    <w:rsid w:val="002D60CE"/>
    <w:rsid w:val="002E6B10"/>
    <w:rsid w:val="0030229D"/>
    <w:rsid w:val="00312BF4"/>
    <w:rsid w:val="003421DC"/>
    <w:rsid w:val="003913C9"/>
    <w:rsid w:val="00395DDB"/>
    <w:rsid w:val="003D6F89"/>
    <w:rsid w:val="003D7A06"/>
    <w:rsid w:val="0040482E"/>
    <w:rsid w:val="004640AB"/>
    <w:rsid w:val="00471CC1"/>
    <w:rsid w:val="00493AA2"/>
    <w:rsid w:val="004974E8"/>
    <w:rsid w:val="004A41D6"/>
    <w:rsid w:val="004D789E"/>
    <w:rsid w:val="004F00E8"/>
    <w:rsid w:val="004F17A7"/>
    <w:rsid w:val="004F6E75"/>
    <w:rsid w:val="005304B7"/>
    <w:rsid w:val="00535CD5"/>
    <w:rsid w:val="00563738"/>
    <w:rsid w:val="00584D19"/>
    <w:rsid w:val="005C1C2E"/>
    <w:rsid w:val="005F153F"/>
    <w:rsid w:val="006308B5"/>
    <w:rsid w:val="00635E59"/>
    <w:rsid w:val="006436F8"/>
    <w:rsid w:val="00647F5C"/>
    <w:rsid w:val="00657183"/>
    <w:rsid w:val="006753C4"/>
    <w:rsid w:val="006B6958"/>
    <w:rsid w:val="006C2339"/>
    <w:rsid w:val="006F70A5"/>
    <w:rsid w:val="00701FDA"/>
    <w:rsid w:val="00714B32"/>
    <w:rsid w:val="00734BAF"/>
    <w:rsid w:val="007774DA"/>
    <w:rsid w:val="007A3E06"/>
    <w:rsid w:val="007A4FFF"/>
    <w:rsid w:val="00827239"/>
    <w:rsid w:val="00843D56"/>
    <w:rsid w:val="00857ED5"/>
    <w:rsid w:val="00893857"/>
    <w:rsid w:val="00896741"/>
    <w:rsid w:val="008A254C"/>
    <w:rsid w:val="008B72AE"/>
    <w:rsid w:val="008C7497"/>
    <w:rsid w:val="008F0B3C"/>
    <w:rsid w:val="00933123"/>
    <w:rsid w:val="00950A3C"/>
    <w:rsid w:val="009802DF"/>
    <w:rsid w:val="00981AA0"/>
    <w:rsid w:val="009A4837"/>
    <w:rsid w:val="009C18BB"/>
    <w:rsid w:val="009E3576"/>
    <w:rsid w:val="00A10C3F"/>
    <w:rsid w:val="00A34682"/>
    <w:rsid w:val="00A355CE"/>
    <w:rsid w:val="00A825AB"/>
    <w:rsid w:val="00A85E3D"/>
    <w:rsid w:val="00AA6950"/>
    <w:rsid w:val="00AF648C"/>
    <w:rsid w:val="00B24C9E"/>
    <w:rsid w:val="00B31C4C"/>
    <w:rsid w:val="00B46B8A"/>
    <w:rsid w:val="00B4789B"/>
    <w:rsid w:val="00B67813"/>
    <w:rsid w:val="00BA5F85"/>
    <w:rsid w:val="00BB3765"/>
    <w:rsid w:val="00BC146F"/>
    <w:rsid w:val="00BE7D3A"/>
    <w:rsid w:val="00C0550E"/>
    <w:rsid w:val="00C35022"/>
    <w:rsid w:val="00C464EA"/>
    <w:rsid w:val="00C7332E"/>
    <w:rsid w:val="00C76725"/>
    <w:rsid w:val="00CD45A9"/>
    <w:rsid w:val="00CD6981"/>
    <w:rsid w:val="00CE3A0A"/>
    <w:rsid w:val="00CF5316"/>
    <w:rsid w:val="00CF6FFA"/>
    <w:rsid w:val="00D069E2"/>
    <w:rsid w:val="00D204F0"/>
    <w:rsid w:val="00D450D1"/>
    <w:rsid w:val="00D53970"/>
    <w:rsid w:val="00D607FC"/>
    <w:rsid w:val="00E124A3"/>
    <w:rsid w:val="00E26904"/>
    <w:rsid w:val="00E55D80"/>
    <w:rsid w:val="00E634A6"/>
    <w:rsid w:val="00E96CAA"/>
    <w:rsid w:val="00EE3CE3"/>
    <w:rsid w:val="00EF1110"/>
    <w:rsid w:val="00EF2C2E"/>
    <w:rsid w:val="00F136A7"/>
    <w:rsid w:val="00F224CA"/>
    <w:rsid w:val="00F44910"/>
    <w:rsid w:val="00F45C8E"/>
    <w:rsid w:val="00F615A2"/>
    <w:rsid w:val="00F83787"/>
    <w:rsid w:val="00F92E85"/>
    <w:rsid w:val="00FD0830"/>
    <w:rsid w:val="00FF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1872"/>
  <w15:chartTrackingRefBased/>
  <w15:docId w15:val="{E6D0C081-5819-0349-B453-6A3EC3A1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E75"/>
  </w:style>
  <w:style w:type="paragraph" w:styleId="Heading1">
    <w:name w:val="heading 1"/>
    <w:basedOn w:val="Normal"/>
    <w:next w:val="Normal"/>
    <w:link w:val="Heading1Char"/>
    <w:uiPriority w:val="9"/>
    <w:qFormat/>
    <w:rsid w:val="004F6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E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E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E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E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E75"/>
    <w:rPr>
      <w:rFonts w:eastAsiaTheme="majorEastAsia" w:cstheme="majorBidi"/>
      <w:color w:val="272727" w:themeColor="text1" w:themeTint="D8"/>
    </w:rPr>
  </w:style>
  <w:style w:type="paragraph" w:styleId="Title">
    <w:name w:val="Title"/>
    <w:basedOn w:val="Normal"/>
    <w:next w:val="Normal"/>
    <w:link w:val="TitleChar"/>
    <w:uiPriority w:val="10"/>
    <w:qFormat/>
    <w:rsid w:val="004F6E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E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6E75"/>
    <w:rPr>
      <w:i/>
      <w:iCs/>
      <w:color w:val="404040" w:themeColor="text1" w:themeTint="BF"/>
    </w:rPr>
  </w:style>
  <w:style w:type="paragraph" w:styleId="ListParagraph">
    <w:name w:val="List Paragraph"/>
    <w:basedOn w:val="Normal"/>
    <w:uiPriority w:val="34"/>
    <w:qFormat/>
    <w:rsid w:val="004F6E75"/>
    <w:pPr>
      <w:ind w:left="720"/>
      <w:contextualSpacing/>
    </w:pPr>
  </w:style>
  <w:style w:type="character" w:styleId="IntenseEmphasis">
    <w:name w:val="Intense Emphasis"/>
    <w:basedOn w:val="DefaultParagraphFont"/>
    <w:uiPriority w:val="21"/>
    <w:qFormat/>
    <w:rsid w:val="004F6E75"/>
    <w:rPr>
      <w:i/>
      <w:iCs/>
      <w:color w:val="0F4761" w:themeColor="accent1" w:themeShade="BF"/>
    </w:rPr>
  </w:style>
  <w:style w:type="paragraph" w:styleId="IntenseQuote">
    <w:name w:val="Intense Quote"/>
    <w:basedOn w:val="Normal"/>
    <w:next w:val="Normal"/>
    <w:link w:val="IntenseQuoteChar"/>
    <w:uiPriority w:val="30"/>
    <w:qFormat/>
    <w:rsid w:val="004F6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E75"/>
    <w:rPr>
      <w:i/>
      <w:iCs/>
      <w:color w:val="0F4761" w:themeColor="accent1" w:themeShade="BF"/>
    </w:rPr>
  </w:style>
  <w:style w:type="character" w:styleId="IntenseReference">
    <w:name w:val="Intense Reference"/>
    <w:basedOn w:val="DefaultParagraphFont"/>
    <w:uiPriority w:val="32"/>
    <w:qFormat/>
    <w:rsid w:val="004F6E75"/>
    <w:rPr>
      <w:b/>
      <w:bCs/>
      <w:smallCaps/>
      <w:color w:val="0F4761" w:themeColor="accent1" w:themeShade="BF"/>
      <w:spacing w:val="5"/>
    </w:rPr>
  </w:style>
  <w:style w:type="character" w:styleId="CommentReference">
    <w:name w:val="annotation reference"/>
    <w:basedOn w:val="DefaultParagraphFont"/>
    <w:uiPriority w:val="99"/>
    <w:semiHidden/>
    <w:unhideWhenUsed/>
    <w:rsid w:val="004F6E75"/>
    <w:rPr>
      <w:sz w:val="16"/>
      <w:szCs w:val="16"/>
    </w:rPr>
  </w:style>
  <w:style w:type="paragraph" w:styleId="CommentText">
    <w:name w:val="annotation text"/>
    <w:basedOn w:val="Normal"/>
    <w:link w:val="CommentTextChar"/>
    <w:uiPriority w:val="99"/>
    <w:unhideWhenUsed/>
    <w:rsid w:val="004F6E75"/>
    <w:rPr>
      <w:sz w:val="20"/>
      <w:szCs w:val="20"/>
    </w:rPr>
  </w:style>
  <w:style w:type="character" w:customStyle="1" w:styleId="CommentTextChar">
    <w:name w:val="Comment Text Char"/>
    <w:basedOn w:val="DefaultParagraphFont"/>
    <w:link w:val="CommentText"/>
    <w:uiPriority w:val="99"/>
    <w:rsid w:val="004F6E75"/>
    <w:rPr>
      <w:sz w:val="20"/>
      <w:szCs w:val="20"/>
    </w:rPr>
  </w:style>
  <w:style w:type="paragraph" w:styleId="NormalWeb">
    <w:name w:val="Normal (Web)"/>
    <w:basedOn w:val="Normal"/>
    <w:uiPriority w:val="99"/>
    <w:semiHidden/>
    <w:unhideWhenUsed/>
    <w:rsid w:val="005C1C2E"/>
    <w:pPr>
      <w:spacing w:before="100" w:beforeAutospacing="1" w:after="100" w:afterAutospacing="1"/>
    </w:pPr>
    <w:rPr>
      <w:rFonts w:ascii="Times New Roman" w:eastAsia="Times New Roman" w:hAnsi="Times New Roman" w:cs="Times New Roman"/>
      <w:lang w:eastAsia="en-GB"/>
    </w:rPr>
  </w:style>
  <w:style w:type="table" w:styleId="GridTable4-Accent1">
    <w:name w:val="Grid Table 4 Accent 1"/>
    <w:basedOn w:val="TableNormal"/>
    <w:uiPriority w:val="49"/>
    <w:rsid w:val="005C1C2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3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Hume (lh8u22)</dc:creator>
  <cp:keywords/>
  <dc:description/>
  <cp:lastModifiedBy>Cathrine McKenzie</cp:lastModifiedBy>
  <cp:revision>2</cp:revision>
  <cp:lastPrinted>2025-03-31T21:28:00Z</cp:lastPrinted>
  <dcterms:created xsi:type="dcterms:W3CDTF">2025-04-22T12:46:00Z</dcterms:created>
  <dcterms:modified xsi:type="dcterms:W3CDTF">2025-04-22T12:46:00Z</dcterms:modified>
</cp:coreProperties>
</file>