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A915" w14:textId="77777777" w:rsidR="00910A2C" w:rsidRDefault="00910A2C" w:rsidP="00910A2C">
      <w:pPr>
        <w:ind w:firstLine="0"/>
        <w:jc w:val="center"/>
        <w:rPr>
          <w:b/>
        </w:rPr>
      </w:pPr>
    </w:p>
    <w:p w14:paraId="631164FE" w14:textId="77777777" w:rsidR="00910A2C" w:rsidRDefault="00910A2C" w:rsidP="00910A2C">
      <w:pPr>
        <w:jc w:val="center"/>
        <w:rPr>
          <w:b/>
        </w:rPr>
      </w:pPr>
    </w:p>
    <w:p w14:paraId="2D5C405D" w14:textId="77777777" w:rsidR="00910A2C" w:rsidRPr="003D63FE" w:rsidRDefault="00910A2C" w:rsidP="00910A2C">
      <w:pPr>
        <w:jc w:val="center"/>
        <w:rPr>
          <w:color w:val="000000" w:themeColor="text1"/>
        </w:rPr>
      </w:pPr>
      <w:bookmarkStart w:id="0" w:name="_gs5nsp9ri7rc" w:colFirst="0" w:colLast="0"/>
      <w:bookmarkStart w:id="1" w:name="Introduction"/>
      <w:bookmarkEnd w:id="0"/>
      <w:r>
        <w:rPr>
          <w:b/>
          <w:color w:val="000000" w:themeColor="text1"/>
        </w:rPr>
        <w:t>Impact of c</w:t>
      </w:r>
      <w:r w:rsidRPr="003D63FE">
        <w:rPr>
          <w:b/>
          <w:color w:val="000000" w:themeColor="text1"/>
        </w:rPr>
        <w:t>hange</w:t>
      </w:r>
      <w:bookmarkEnd w:id="1"/>
      <w:r w:rsidRPr="003D63FE">
        <w:rPr>
          <w:b/>
          <w:color w:val="000000" w:themeColor="text1"/>
        </w:rPr>
        <w:t xml:space="preserve"> in insomnia </w:t>
      </w:r>
      <w:r>
        <w:rPr>
          <w:b/>
          <w:color w:val="000000" w:themeColor="text1"/>
        </w:rPr>
        <w:t>on change in</w:t>
      </w:r>
      <w:r w:rsidRPr="003D63FE">
        <w:rPr>
          <w:b/>
          <w:color w:val="000000" w:themeColor="text1"/>
        </w:rPr>
        <w:t xml:space="preserve"> pandemic paranoia</w:t>
      </w:r>
      <w:r>
        <w:rPr>
          <w:b/>
          <w:color w:val="000000" w:themeColor="text1"/>
        </w:rPr>
        <w:t>: a longitudinal moderated-mediation model</w:t>
      </w:r>
      <w:r w:rsidRPr="003D63FE">
        <w:rPr>
          <w:b/>
          <w:color w:val="000000" w:themeColor="text1"/>
        </w:rPr>
        <w:t xml:space="preserve"> in an international sample</w:t>
      </w:r>
    </w:p>
    <w:p w14:paraId="471DEC54" w14:textId="77777777" w:rsidR="00910A2C" w:rsidRDefault="00910A2C" w:rsidP="00910A2C">
      <w:pPr>
        <w:jc w:val="center"/>
        <w:rPr>
          <w:b/>
        </w:rPr>
      </w:pPr>
    </w:p>
    <w:p w14:paraId="6200235D" w14:textId="77777777" w:rsidR="00910A2C" w:rsidRDefault="00910A2C" w:rsidP="00910A2C">
      <w:pPr>
        <w:ind w:firstLine="566"/>
      </w:pPr>
    </w:p>
    <w:p w14:paraId="3A598040" w14:textId="77777777" w:rsidR="00910A2C" w:rsidRDefault="00910A2C" w:rsidP="00910A2C">
      <w:pPr>
        <w:ind w:firstLine="566"/>
        <w:jc w:val="center"/>
      </w:pPr>
      <w:r w:rsidRPr="00BA6FAD">
        <w:t>Eric M.J. Morris</w:t>
      </w:r>
      <w:r w:rsidRPr="00E56351">
        <w:rPr>
          <w:vertAlign w:val="superscript"/>
        </w:rPr>
        <w:t>1</w:t>
      </w:r>
      <w:r w:rsidRPr="00BA6FAD">
        <w:t>*</w:t>
      </w:r>
      <w:r>
        <w:t>,</w:t>
      </w:r>
      <w:r w:rsidRPr="00BA6FAD">
        <w:t xml:space="preserve"> Jessica Kingston</w:t>
      </w:r>
      <w:r w:rsidRPr="00E56351">
        <w:rPr>
          <w:vertAlign w:val="superscript"/>
        </w:rPr>
        <w:t>2</w:t>
      </w:r>
      <w:r>
        <w:t xml:space="preserve">, </w:t>
      </w:r>
      <w:r w:rsidRPr="00BA6FAD">
        <w:t>Lyn Ellett</w:t>
      </w:r>
      <w:r w:rsidRPr="00E56351">
        <w:rPr>
          <w:vertAlign w:val="superscript"/>
        </w:rPr>
        <w:t>3</w:t>
      </w:r>
      <w:r>
        <w:t xml:space="preserve">, </w:t>
      </w:r>
      <w:r w:rsidRPr="00BA6FAD">
        <w:t>Tania Lincoln</w:t>
      </w:r>
      <w:r w:rsidRPr="00E56351">
        <w:rPr>
          <w:vertAlign w:val="superscript"/>
        </w:rPr>
        <w:t>4</w:t>
      </w:r>
      <w:r>
        <w:t xml:space="preserve">, </w:t>
      </w:r>
      <w:r w:rsidRPr="00BA6FAD">
        <w:t>Brandon A.</w:t>
      </w:r>
      <w:r>
        <w:t xml:space="preserve"> </w:t>
      </w:r>
      <w:r w:rsidRPr="00BA6FAD">
        <w:t>Gaudiano</w:t>
      </w:r>
      <w:r w:rsidRPr="00E56351">
        <w:rPr>
          <w:vertAlign w:val="superscript"/>
        </w:rPr>
        <w:t>5</w:t>
      </w:r>
      <w:r w:rsidRPr="00BA6FAD">
        <w:t>, &amp; Suzanne H. So</w:t>
      </w:r>
      <w:r w:rsidRPr="00E56351">
        <w:rPr>
          <w:vertAlign w:val="superscript"/>
        </w:rPr>
        <w:t>6</w:t>
      </w:r>
    </w:p>
    <w:p w14:paraId="1699EC72" w14:textId="77777777" w:rsidR="00910A2C" w:rsidRDefault="00910A2C" w:rsidP="00910A2C">
      <w:pPr>
        <w:ind w:firstLine="566"/>
      </w:pPr>
    </w:p>
    <w:p w14:paraId="2A10990C" w14:textId="77777777" w:rsidR="00910A2C" w:rsidRDefault="00910A2C" w:rsidP="00910A2C">
      <w:pPr>
        <w:spacing w:after="120" w:line="360" w:lineRule="auto"/>
        <w:ind w:firstLine="0"/>
        <w:rPr>
          <w:rFonts w:eastAsia="Arial"/>
          <w:color w:val="000000"/>
        </w:rPr>
      </w:pPr>
      <w:r w:rsidRPr="00E56351">
        <w:rPr>
          <w:rFonts w:eastAsia="Arial"/>
          <w:color w:val="000000"/>
          <w:vertAlign w:val="superscript"/>
        </w:rPr>
        <w:t>1</w:t>
      </w:r>
      <w:r w:rsidRPr="00BA6FAD">
        <w:t>School of Psychology and Public Health, La Trobe University, Melbourne, Australia</w:t>
      </w:r>
      <w:r w:rsidRPr="00BA6FAD">
        <w:rPr>
          <w:rFonts w:eastAsia="Arial"/>
          <w:color w:val="000000"/>
        </w:rPr>
        <w:t xml:space="preserve"> </w:t>
      </w:r>
    </w:p>
    <w:p w14:paraId="59CC2DB6" w14:textId="77777777" w:rsidR="00910A2C" w:rsidRPr="00BA6FAD" w:rsidRDefault="00910A2C" w:rsidP="00910A2C">
      <w:pPr>
        <w:spacing w:after="120" w:line="360" w:lineRule="auto"/>
        <w:ind w:firstLine="0"/>
      </w:pPr>
      <w:r w:rsidRPr="00E56351">
        <w:rPr>
          <w:vertAlign w:val="superscript"/>
        </w:rPr>
        <w:t>2</w:t>
      </w:r>
      <w:r w:rsidRPr="00BA6FAD">
        <w:t>Department of Psychology, Royal Holloway, University of London, London, UK</w:t>
      </w:r>
    </w:p>
    <w:p w14:paraId="09027C7B" w14:textId="77777777" w:rsidR="00910A2C" w:rsidRPr="00E56351" w:rsidRDefault="00910A2C" w:rsidP="00910A2C">
      <w:pPr>
        <w:spacing w:after="120" w:line="360" w:lineRule="auto"/>
        <w:ind w:firstLine="0"/>
        <w:rPr>
          <w:rFonts w:eastAsia="Arial"/>
          <w:color w:val="000000"/>
        </w:rPr>
      </w:pPr>
      <w:r w:rsidRPr="00E56351">
        <w:rPr>
          <w:rFonts w:eastAsia="Arial"/>
          <w:color w:val="000000"/>
          <w:vertAlign w:val="superscript"/>
        </w:rPr>
        <w:t>3</w:t>
      </w:r>
      <w:r w:rsidRPr="00E56351">
        <w:rPr>
          <w:rFonts w:eastAsia="Arial"/>
          <w:color w:val="000000"/>
        </w:rPr>
        <w:t>School of Psychology, Faculty of Environmental and Life Sciences, University of Southampton, Southampton, UK</w:t>
      </w:r>
    </w:p>
    <w:p w14:paraId="3F6E3A99" w14:textId="77777777" w:rsidR="00910A2C" w:rsidRPr="00BA6FAD" w:rsidRDefault="00910A2C" w:rsidP="00910A2C">
      <w:pPr>
        <w:spacing w:after="120" w:line="360" w:lineRule="auto"/>
        <w:ind w:firstLine="0"/>
      </w:pPr>
      <w:r w:rsidRPr="00E56351">
        <w:rPr>
          <w:vertAlign w:val="superscript"/>
        </w:rPr>
        <w:t>4</w:t>
      </w:r>
      <w:r w:rsidRPr="00BA6FAD">
        <w:t>Department of Clinical Psychology and Psychotherapy, University of Hamburg, Hamburg, Germany</w:t>
      </w:r>
    </w:p>
    <w:p w14:paraId="02CAD71A" w14:textId="77777777" w:rsidR="00910A2C" w:rsidRPr="00BA6FAD" w:rsidRDefault="00910A2C" w:rsidP="00910A2C">
      <w:pPr>
        <w:spacing w:after="120" w:line="360" w:lineRule="auto"/>
        <w:ind w:firstLine="0"/>
      </w:pPr>
      <w:r>
        <w:rPr>
          <w:vertAlign w:val="superscript"/>
        </w:rPr>
        <w:t>5</w:t>
      </w:r>
      <w:r w:rsidRPr="00BA6FAD">
        <w:t xml:space="preserve">Psychosocial Research Program, Butler Hospital &amp; Department of Psychiatry and Human </w:t>
      </w:r>
      <w:proofErr w:type="spellStart"/>
      <w:r w:rsidRPr="00BA6FAD">
        <w:t>Behavior</w:t>
      </w:r>
      <w:proofErr w:type="spellEnd"/>
      <w:r w:rsidRPr="00BA6FAD">
        <w:t>, Brown University, Providence, RI, USA</w:t>
      </w:r>
    </w:p>
    <w:p w14:paraId="3AAAB9EA" w14:textId="77777777" w:rsidR="00910A2C" w:rsidRPr="00BA6FAD" w:rsidRDefault="00910A2C" w:rsidP="00910A2C">
      <w:pPr>
        <w:spacing w:after="120" w:line="360" w:lineRule="auto"/>
        <w:ind w:firstLine="0"/>
      </w:pPr>
      <w:r>
        <w:rPr>
          <w:vertAlign w:val="superscript"/>
        </w:rPr>
        <w:t>6</w:t>
      </w:r>
      <w:r w:rsidRPr="00BA6FAD">
        <w:t>Department of Psychology, The Chinese University of Hong Kong, Hong Kong SAR</w:t>
      </w:r>
    </w:p>
    <w:p w14:paraId="42AB2C10" w14:textId="77777777" w:rsidR="00910A2C" w:rsidRPr="00BA6FAD" w:rsidRDefault="00910A2C" w:rsidP="00910A2C">
      <w:pPr>
        <w:spacing w:line="360" w:lineRule="auto"/>
        <w:ind w:firstLine="0"/>
      </w:pPr>
    </w:p>
    <w:p w14:paraId="3BC63B6D" w14:textId="77777777" w:rsidR="00910A2C" w:rsidRDefault="00910A2C" w:rsidP="00910A2C">
      <w:pPr>
        <w:ind w:firstLine="566"/>
      </w:pPr>
    </w:p>
    <w:p w14:paraId="3EE2A7BA" w14:textId="77777777" w:rsidR="00910A2C" w:rsidRDefault="00910A2C" w:rsidP="00910A2C">
      <w:pPr>
        <w:ind w:firstLine="0"/>
      </w:pPr>
      <w:r w:rsidRPr="002662DE">
        <w:t xml:space="preserve">Correspondence concerning this article should be addressed to: </w:t>
      </w:r>
    </w:p>
    <w:p w14:paraId="18497053" w14:textId="77777777" w:rsidR="00910A2C" w:rsidRDefault="00910A2C" w:rsidP="00910A2C">
      <w:pPr>
        <w:ind w:firstLine="0"/>
      </w:pPr>
      <w:r w:rsidRPr="002662DE">
        <w:t xml:space="preserve">Eric M.J. Morris, School of Psychology &amp; Public Health, Science Drive, Bundoora, Melbourne 3086, VIC, Australia. Email: </w:t>
      </w:r>
      <w:hyperlink r:id="rId7" w:history="1">
        <w:r w:rsidRPr="00DB2B49">
          <w:rPr>
            <w:rStyle w:val="Hyperlink"/>
          </w:rPr>
          <w:t>Eric.Morris@latrobe.edu.au</w:t>
        </w:r>
      </w:hyperlink>
    </w:p>
    <w:p w14:paraId="5466ED41" w14:textId="77777777" w:rsidR="00910A2C" w:rsidRDefault="00910A2C" w:rsidP="00910A2C">
      <w:pPr>
        <w:autoSpaceDE w:val="0"/>
        <w:autoSpaceDN w:val="0"/>
        <w:adjustRightInd w:val="0"/>
        <w:ind w:firstLine="0"/>
      </w:pPr>
    </w:p>
    <w:p w14:paraId="0BA8ACEF" w14:textId="77777777" w:rsidR="00910A2C" w:rsidRDefault="00910A2C" w:rsidP="00910A2C">
      <w:pPr>
        <w:spacing w:line="240" w:lineRule="auto"/>
        <w:ind w:firstLine="0"/>
      </w:pPr>
      <w:r>
        <w:br w:type="page"/>
      </w:r>
    </w:p>
    <w:p w14:paraId="60FF09E4" w14:textId="77777777" w:rsidR="00910A2C" w:rsidRDefault="00910A2C" w:rsidP="00910A2C">
      <w:pPr>
        <w:autoSpaceDE w:val="0"/>
        <w:autoSpaceDN w:val="0"/>
        <w:adjustRightInd w:val="0"/>
        <w:ind w:firstLine="0"/>
      </w:pPr>
    </w:p>
    <w:p w14:paraId="332B4B18" w14:textId="77777777" w:rsidR="00910A2C" w:rsidRDefault="00910A2C" w:rsidP="00910A2C">
      <w:pPr>
        <w:autoSpaceDE w:val="0"/>
        <w:autoSpaceDN w:val="0"/>
        <w:adjustRightInd w:val="0"/>
        <w:ind w:firstLine="0"/>
      </w:pPr>
      <w:r>
        <w:t>Ethics Approval and Consent: See Procedure.</w:t>
      </w:r>
    </w:p>
    <w:p w14:paraId="1EEC9457" w14:textId="77777777" w:rsidR="00910A2C" w:rsidRDefault="00910A2C" w:rsidP="00910A2C">
      <w:pPr>
        <w:autoSpaceDE w:val="0"/>
        <w:autoSpaceDN w:val="0"/>
        <w:adjustRightInd w:val="0"/>
        <w:ind w:firstLine="0"/>
      </w:pPr>
      <w:r>
        <w:t>Data Availability: Data enquiries should be made to the corresponding author.</w:t>
      </w:r>
    </w:p>
    <w:p w14:paraId="75037F0E" w14:textId="77777777" w:rsidR="00910A2C" w:rsidRDefault="00910A2C" w:rsidP="00910A2C">
      <w:pPr>
        <w:autoSpaceDE w:val="0"/>
        <w:autoSpaceDN w:val="0"/>
        <w:adjustRightInd w:val="0"/>
        <w:ind w:firstLine="0"/>
      </w:pPr>
      <w:r>
        <w:t xml:space="preserve">Support: </w:t>
      </w:r>
      <w:r w:rsidRPr="002662DE">
        <w:t>This study was not supported by any internal or external grants.</w:t>
      </w:r>
    </w:p>
    <w:p w14:paraId="222E37CB" w14:textId="77777777" w:rsidR="00910A2C" w:rsidRDefault="00910A2C" w:rsidP="00910A2C">
      <w:pPr>
        <w:autoSpaceDE w:val="0"/>
        <w:autoSpaceDN w:val="0"/>
        <w:adjustRightInd w:val="0"/>
        <w:ind w:firstLine="0"/>
      </w:pPr>
      <w:r>
        <w:t>Conflict of Interest: The authors have no conflicts of interest to disclose.</w:t>
      </w:r>
    </w:p>
    <w:p w14:paraId="621F3C63" w14:textId="77777777" w:rsidR="00910A2C" w:rsidRDefault="00910A2C" w:rsidP="00910A2C">
      <w:pPr>
        <w:autoSpaceDE w:val="0"/>
        <w:autoSpaceDN w:val="0"/>
        <w:adjustRightInd w:val="0"/>
        <w:ind w:firstLine="0"/>
      </w:pPr>
    </w:p>
    <w:p w14:paraId="635C9368" w14:textId="77777777" w:rsidR="00910A2C" w:rsidRPr="002662DE" w:rsidRDefault="00910A2C" w:rsidP="00910A2C">
      <w:pPr>
        <w:autoSpaceDE w:val="0"/>
        <w:autoSpaceDN w:val="0"/>
        <w:adjustRightInd w:val="0"/>
        <w:ind w:firstLine="0"/>
      </w:pPr>
      <w:proofErr w:type="spellStart"/>
      <w:r>
        <w:t>CRediT</w:t>
      </w:r>
      <w:proofErr w:type="spellEnd"/>
      <w:r>
        <w:t xml:space="preserve">: </w:t>
      </w:r>
    </w:p>
    <w:p w14:paraId="718FD6C4" w14:textId="77777777" w:rsidR="00910A2C" w:rsidRDefault="00910A2C" w:rsidP="00910A2C">
      <w:pPr>
        <w:spacing w:after="120"/>
        <w:ind w:left="720" w:hanging="720"/>
      </w:pPr>
      <w:r>
        <w:t xml:space="preserve">Eric M.J. Morris: </w:t>
      </w:r>
      <w:r w:rsidRPr="00636CAE">
        <w:t>Conceptualization (lead); writing – original draft (lead); formal analysis (lead); writing – review and editing (equal)</w:t>
      </w:r>
      <w:r>
        <w:t>; methodology (equal); investigation (equal)</w:t>
      </w:r>
      <w:r w:rsidRPr="00636CAE">
        <w:t>.</w:t>
      </w:r>
    </w:p>
    <w:p w14:paraId="362F232D" w14:textId="77777777" w:rsidR="00910A2C" w:rsidRDefault="00910A2C" w:rsidP="00910A2C">
      <w:pPr>
        <w:spacing w:after="120"/>
        <w:ind w:left="720" w:hanging="720"/>
      </w:pPr>
      <w:r>
        <w:t xml:space="preserve">Jessica Kingston: </w:t>
      </w:r>
      <w:r w:rsidRPr="00636CAE">
        <w:t>writing – review and editing (equal)</w:t>
      </w:r>
      <w:r>
        <w:t>; methodology (equal); investigation (equal)</w:t>
      </w:r>
      <w:r w:rsidRPr="00636CAE">
        <w:t>.</w:t>
      </w:r>
    </w:p>
    <w:p w14:paraId="4965467F" w14:textId="77777777" w:rsidR="00910A2C" w:rsidRDefault="00910A2C" w:rsidP="00910A2C">
      <w:pPr>
        <w:spacing w:after="120"/>
        <w:ind w:left="720" w:hanging="720"/>
      </w:pPr>
      <w:r>
        <w:t xml:space="preserve">Lyn Ellett: </w:t>
      </w:r>
      <w:r w:rsidRPr="00636CAE">
        <w:t>writing – review and editing (equal)</w:t>
      </w:r>
      <w:r>
        <w:t>; methodology (equal); investigation (equal)</w:t>
      </w:r>
      <w:r w:rsidRPr="00636CAE">
        <w:t>.</w:t>
      </w:r>
    </w:p>
    <w:p w14:paraId="4D4E451C" w14:textId="77777777" w:rsidR="00910A2C" w:rsidRDefault="00910A2C" w:rsidP="00910A2C">
      <w:pPr>
        <w:spacing w:after="120"/>
        <w:ind w:left="720" w:hanging="720"/>
      </w:pPr>
      <w:r>
        <w:t xml:space="preserve">Tania Lincoln: </w:t>
      </w:r>
      <w:r w:rsidRPr="00636CAE">
        <w:t>writing – review and editing (equal)</w:t>
      </w:r>
      <w:r>
        <w:t>; methodology (equal); investigation (equal)</w:t>
      </w:r>
      <w:r w:rsidRPr="00636CAE">
        <w:t>.</w:t>
      </w:r>
    </w:p>
    <w:p w14:paraId="4EBE2E3E" w14:textId="77777777" w:rsidR="00910A2C" w:rsidRDefault="00910A2C" w:rsidP="00910A2C">
      <w:pPr>
        <w:spacing w:after="120"/>
        <w:ind w:left="720" w:hanging="720"/>
      </w:pPr>
      <w:r>
        <w:t xml:space="preserve">Brandon A. Gaudiano: </w:t>
      </w:r>
      <w:r w:rsidRPr="00636CAE">
        <w:t>writing – review and editing (equal)</w:t>
      </w:r>
      <w:r>
        <w:t>;</w:t>
      </w:r>
      <w:r w:rsidRPr="00636CAE">
        <w:t xml:space="preserve"> </w:t>
      </w:r>
      <w:r>
        <w:t>methodology (equal); investigation (equal)</w:t>
      </w:r>
      <w:r w:rsidRPr="00636CAE">
        <w:t>.</w:t>
      </w:r>
    </w:p>
    <w:p w14:paraId="7100F004" w14:textId="77777777" w:rsidR="00910A2C" w:rsidRDefault="00910A2C" w:rsidP="00910A2C">
      <w:pPr>
        <w:spacing w:after="120"/>
        <w:ind w:left="720" w:hanging="720"/>
      </w:pPr>
      <w:r>
        <w:t xml:space="preserve">Suzanne H. So: </w:t>
      </w:r>
      <w:r w:rsidRPr="00636CAE">
        <w:t>Conceptualization (supporting); Writing – original draft (supporting); Writing – review and editing (equal)</w:t>
      </w:r>
      <w:r>
        <w:t>; methodology (equal); investigation (equal)</w:t>
      </w:r>
      <w:r w:rsidRPr="00636CAE">
        <w:t>.</w:t>
      </w:r>
    </w:p>
    <w:p w14:paraId="4C04AE15" w14:textId="77777777" w:rsidR="00910A2C" w:rsidRDefault="00910A2C" w:rsidP="00910A2C">
      <w:pPr>
        <w:spacing w:line="240" w:lineRule="auto"/>
        <w:ind w:firstLine="0"/>
      </w:pPr>
      <w:r>
        <w:br w:type="page"/>
      </w:r>
    </w:p>
    <w:p w14:paraId="6A97335E" w14:textId="77777777" w:rsidR="00910A2C" w:rsidRPr="004C1704" w:rsidRDefault="00910A2C" w:rsidP="00910A2C">
      <w:pPr>
        <w:ind w:firstLine="0"/>
        <w:jc w:val="center"/>
        <w:rPr>
          <w:b/>
        </w:rPr>
      </w:pPr>
      <w:r w:rsidRPr="004C1704">
        <w:rPr>
          <w:b/>
        </w:rPr>
        <w:lastRenderedPageBreak/>
        <w:t>Abstract</w:t>
      </w:r>
    </w:p>
    <w:p w14:paraId="459A91E3" w14:textId="77777777" w:rsidR="00910A2C" w:rsidRDefault="00910A2C" w:rsidP="00910A2C">
      <w:r w:rsidRPr="004C1704">
        <w:t xml:space="preserve">The impact of mistrust of others during a pandemic </w:t>
      </w:r>
      <w:r>
        <w:t>is</w:t>
      </w:r>
      <w:r w:rsidRPr="004C1704">
        <w:t xml:space="preserve"> an important consideration for public health interventions</w:t>
      </w:r>
      <w:r>
        <w:t>.</w:t>
      </w:r>
      <w:r w:rsidRPr="004C1704" w:rsidDel="0026647C">
        <w:t xml:space="preserve"> </w:t>
      </w:r>
      <w:r w:rsidRPr="004C1704">
        <w:t xml:space="preserve">Pandemic paranoia is a particular form of persecutory thinking </w:t>
      </w:r>
      <w:r>
        <w:t xml:space="preserve">characterised by mistrust and suspicion towards other people specifically due to a </w:t>
      </w:r>
      <w:r w:rsidRPr="004C1704">
        <w:t xml:space="preserve">pandemic. </w:t>
      </w:r>
      <w:r>
        <w:t xml:space="preserve"> P</w:t>
      </w:r>
      <w:r w:rsidRPr="004C1704">
        <w:t xml:space="preserve">andemic paranoia is heightened among those with a </w:t>
      </w:r>
      <w:r w:rsidRPr="004C1704">
        <w:rPr>
          <w:color w:val="000000" w:themeColor="text1"/>
        </w:rPr>
        <w:t xml:space="preserve">persecutory thinking </w:t>
      </w:r>
      <w:r w:rsidRPr="004C1704">
        <w:t xml:space="preserve">tendency. </w:t>
      </w:r>
      <w:r>
        <w:t>W</w:t>
      </w:r>
      <w:r w:rsidRPr="004C1704">
        <w:t xml:space="preserve">e examined the longitudinal relationship between insomnia and pandemic paranoia, with anxiety, depression, and worry as mediators and </w:t>
      </w:r>
      <w:r w:rsidRPr="004C1704">
        <w:rPr>
          <w:color w:val="000000" w:themeColor="text1"/>
        </w:rPr>
        <w:t xml:space="preserve">persecutory thinking </w:t>
      </w:r>
      <w:r w:rsidRPr="004C1704">
        <w:t>as moderator.</w:t>
      </w:r>
      <w:r>
        <w:t xml:space="preserve"> A</w:t>
      </w:r>
      <w:r w:rsidRPr="004C1704">
        <w:t xml:space="preserve"> longitudinal </w:t>
      </w:r>
      <w:r>
        <w:t xml:space="preserve">online </w:t>
      </w:r>
      <w:r w:rsidRPr="004C1704">
        <w:t xml:space="preserve">survey design </w:t>
      </w:r>
      <w:r>
        <w:t xml:space="preserve">was utilized </w:t>
      </w:r>
      <w:r w:rsidRPr="004C1704">
        <w:t xml:space="preserve">involving an international sample (N = </w:t>
      </w:r>
      <w:r>
        <w:t>715</w:t>
      </w:r>
      <w:r w:rsidRPr="004C1704">
        <w:t>)</w:t>
      </w:r>
      <w:r>
        <w:t xml:space="preserve"> </w:t>
      </w:r>
      <w:r w:rsidRPr="004C1704">
        <w:t xml:space="preserve">across two timepoints, 12 weeks apart. A moderated mediation model was </w:t>
      </w:r>
      <w:r>
        <w:t>tested</w:t>
      </w:r>
      <w:r w:rsidRPr="004C1704">
        <w:t xml:space="preserve">, </w:t>
      </w:r>
      <w:r w:rsidRPr="00622EDD">
        <w:t xml:space="preserve">assessing the effect of change in insomnia on change in pandemic paranoia </w:t>
      </w:r>
      <w:r w:rsidRPr="004C1704">
        <w:t xml:space="preserve">with </w:t>
      </w:r>
      <w:r w:rsidRPr="00622EDD">
        <w:t>changes in anxiety, depression and worry as medi</w:t>
      </w:r>
      <w:r>
        <w:t>a</w:t>
      </w:r>
      <w:r w:rsidRPr="00622EDD">
        <w:t>tor</w:t>
      </w:r>
      <w:r>
        <w:t>s</w:t>
      </w:r>
      <w:r w:rsidRPr="004C1704">
        <w:t xml:space="preserve">. </w:t>
      </w:r>
      <w:r>
        <w:t>T</w:t>
      </w:r>
      <w:r w:rsidRPr="00622EDD">
        <w:t>he effect of persecutory thinking as a moderator was then tested on the above paths in relation to insomnia</w:t>
      </w:r>
      <w:r>
        <w:t>.</w:t>
      </w:r>
      <w:r w:rsidRPr="00622EDD">
        <w:t xml:space="preserve"> </w:t>
      </w:r>
      <w:r w:rsidRPr="004C1704">
        <w:t>Changes in insomnia predicted changes in pandemic paranoia</w:t>
      </w:r>
      <w:r>
        <w:t>.</w:t>
      </w:r>
      <w:r w:rsidRPr="004C1704">
        <w:t xml:space="preserve"> Change in anxiety was a significant mediator of insomnia’s effects on pandemic paranoia</w:t>
      </w:r>
      <w:r>
        <w:t xml:space="preserve">: </w:t>
      </w:r>
      <w:r w:rsidRPr="004C1704">
        <w:t xml:space="preserve">this indirect pathway </w:t>
      </w:r>
      <w:r>
        <w:t>was</w:t>
      </w:r>
      <w:r w:rsidRPr="004C1704">
        <w:t xml:space="preserve"> moderated by persecutory thinking. Changes in worry and depression were not significant mediators.</w:t>
      </w:r>
      <w:r>
        <w:t xml:space="preserve"> Our </w:t>
      </w:r>
      <w:r>
        <w:rPr>
          <w:color w:val="000000" w:themeColor="text1"/>
        </w:rPr>
        <w:t xml:space="preserve">findings indicate that insomnia influences pandemic paranoia, indirectly through anxiety; persecutory thinking plays a consequential role in these </w:t>
      </w:r>
      <w:r w:rsidRPr="004A2C63">
        <w:rPr>
          <w:color w:val="000000" w:themeColor="text1"/>
        </w:rPr>
        <w:t>relationship</w:t>
      </w:r>
      <w:r>
        <w:rPr>
          <w:color w:val="000000" w:themeColor="text1"/>
        </w:rPr>
        <w:t>s.</w:t>
      </w:r>
      <w:r w:rsidRPr="004C1704">
        <w:t xml:space="preserve"> </w:t>
      </w:r>
      <w:r>
        <w:t>These findings suggest that special attention should be given to mitigation efforts during pandemics to promote sleep health in individuals with pre-existing vulnerabilities, such as persecutory thinking styles.</w:t>
      </w:r>
    </w:p>
    <w:p w14:paraId="55DB8B27" w14:textId="77777777" w:rsidR="00910A2C" w:rsidRDefault="00910A2C" w:rsidP="00910A2C"/>
    <w:p w14:paraId="62764144" w14:textId="77777777" w:rsidR="00910A2C" w:rsidRDefault="00910A2C" w:rsidP="00910A2C">
      <w:r>
        <w:rPr>
          <w:i/>
        </w:rPr>
        <w:t>Keywords:</w:t>
      </w:r>
      <w:r>
        <w:t xml:space="preserve"> pandemic </w:t>
      </w:r>
      <w:r w:rsidRPr="00D37E50">
        <w:t>paranoia</w:t>
      </w:r>
      <w:r>
        <w:t xml:space="preserve">, </w:t>
      </w:r>
      <w:r w:rsidRPr="003D63FE">
        <w:rPr>
          <w:color w:val="000000" w:themeColor="text1"/>
        </w:rPr>
        <w:t>non-clinical paranoia, sleep, anxiety</w:t>
      </w:r>
      <w:r>
        <w:rPr>
          <w:color w:val="000000" w:themeColor="text1"/>
        </w:rPr>
        <w:t>, worry</w:t>
      </w:r>
    </w:p>
    <w:p w14:paraId="6DB2AF55" w14:textId="77777777" w:rsidR="00910A2C" w:rsidRDefault="00910A2C" w:rsidP="00910A2C">
      <w:pPr>
        <w:ind w:firstLine="0"/>
      </w:pPr>
    </w:p>
    <w:p w14:paraId="7AFD43B7" w14:textId="77777777" w:rsidR="00910A2C" w:rsidRDefault="00910A2C" w:rsidP="00910A2C">
      <w:pPr>
        <w:ind w:firstLine="0"/>
      </w:pPr>
    </w:p>
    <w:p w14:paraId="58CB36A3" w14:textId="3191B5DF" w:rsidR="00910A2C" w:rsidRDefault="00910A2C">
      <w:pPr>
        <w:spacing w:line="240" w:lineRule="auto"/>
        <w:ind w:firstLine="0"/>
      </w:pPr>
      <w:r>
        <w:br w:type="page"/>
      </w:r>
    </w:p>
    <w:p w14:paraId="3DFB08A0" w14:textId="77777777" w:rsidR="005311A7" w:rsidRDefault="005311A7" w:rsidP="00D37E50"/>
    <w:p w14:paraId="06FBE5F5" w14:textId="77777777" w:rsidR="005311A7" w:rsidRPr="003D63FE" w:rsidRDefault="005311A7" w:rsidP="00B7707B">
      <w:pPr>
        <w:jc w:val="center"/>
        <w:rPr>
          <w:color w:val="000000" w:themeColor="text1"/>
        </w:rPr>
      </w:pPr>
      <w:bookmarkStart w:id="2" w:name="_8w9jlfb0xjhk" w:colFirst="0" w:colLast="0"/>
      <w:bookmarkEnd w:id="2"/>
      <w:r>
        <w:rPr>
          <w:b/>
          <w:color w:val="000000" w:themeColor="text1"/>
        </w:rPr>
        <w:t>Impact of c</w:t>
      </w:r>
      <w:r w:rsidRPr="003D63FE">
        <w:rPr>
          <w:b/>
          <w:color w:val="000000" w:themeColor="text1"/>
        </w:rPr>
        <w:t xml:space="preserve">hange in insomnia </w:t>
      </w:r>
      <w:r>
        <w:rPr>
          <w:b/>
          <w:color w:val="000000" w:themeColor="text1"/>
        </w:rPr>
        <w:t>on change in</w:t>
      </w:r>
      <w:r w:rsidRPr="003D63FE">
        <w:rPr>
          <w:b/>
          <w:color w:val="000000" w:themeColor="text1"/>
        </w:rPr>
        <w:t xml:space="preserve"> pandemic paranoia</w:t>
      </w:r>
      <w:r>
        <w:rPr>
          <w:b/>
          <w:color w:val="000000" w:themeColor="text1"/>
        </w:rPr>
        <w:t>: a longitudinal moderated-mediation model</w:t>
      </w:r>
      <w:r w:rsidRPr="003D63FE">
        <w:rPr>
          <w:b/>
          <w:color w:val="000000" w:themeColor="text1"/>
        </w:rPr>
        <w:t xml:space="preserve"> in an international sample</w:t>
      </w:r>
    </w:p>
    <w:p w14:paraId="08B19A36" w14:textId="3E12BC9B" w:rsidR="005311A7" w:rsidRPr="004C1704" w:rsidRDefault="005311A7" w:rsidP="003C13ED">
      <w:r w:rsidRPr="004C1704">
        <w:t xml:space="preserve">The increased uncertainty of the COVID-19 global pandemic has been associated with greater conspiratorial thinking and </w:t>
      </w:r>
      <w:r>
        <w:t xml:space="preserve">general </w:t>
      </w:r>
      <w:r w:rsidRPr="004C1704">
        <w:t>paranoia in the community (Larsen et al., 2021), which appear to play a role in influencing health attitudes</w:t>
      </w:r>
      <w:r>
        <w:t>,</w:t>
      </w:r>
      <w:r w:rsidRPr="004C1704">
        <w:t xml:space="preserve"> such as willingness to take vaccines (Lincoln et al., 2022).  Unwarranted suspicion that others are deliberately engaged in personally harmful actions related to the pandemic is a particular type of persecutory thinking described as </w:t>
      </w:r>
      <w:r w:rsidRPr="004C1704">
        <w:rPr>
          <w:i/>
          <w:iCs/>
        </w:rPr>
        <w:t>pandemic paranoia</w:t>
      </w:r>
      <w:r w:rsidRPr="004C1704">
        <w:t xml:space="preserve"> (Kingston et al., 2021). Similar to paranoid thinking in general, pandemic paranoia ranges from suspicions that are commonly held, including being </w:t>
      </w:r>
      <w:r>
        <w:t>un</w:t>
      </w:r>
      <w:r w:rsidRPr="004C1704">
        <w:t xml:space="preserve">able to trust others will follow social distancing rules, to conspiracy thinking about how powerful others are using the pandemic for their own malign purposes, through to persecutory ideas about people transmitting infectious disease deliberately to cause harm to oneself (Kingston et al., 2021). </w:t>
      </w:r>
    </w:p>
    <w:p w14:paraId="57EF0229" w14:textId="1B2EFED0" w:rsidR="00EA116A" w:rsidRDefault="005311A7" w:rsidP="003C13ED">
      <w:pPr>
        <w:rPr>
          <w:color w:val="1F1F1F"/>
        </w:rPr>
      </w:pPr>
      <w:r w:rsidRPr="004C1704">
        <w:t>Pandemic paranoia has been observed to be prevalent across diverse, international populations (</w:t>
      </w:r>
      <w:r>
        <w:t xml:space="preserve">overall prevalence rate 19%: </w:t>
      </w:r>
      <w:r w:rsidRPr="004C1704">
        <w:t xml:space="preserve">Ellett et al., 2022) and is associated with general paranoid thinking, showing a similar hierarchical structure (Kingston et al., 2021). </w:t>
      </w:r>
      <w:r w:rsidR="00C12510">
        <w:t xml:space="preserve">Pandemic paranoia </w:t>
      </w:r>
      <w:r w:rsidR="00273CCA">
        <w:t xml:space="preserve">is associated with conspiratorial thinking and interpersonal mistrust (Kingston </w:t>
      </w:r>
      <w:r w:rsidR="00273CCA" w:rsidRPr="00273CCA">
        <w:t>et al.,</w:t>
      </w:r>
      <w:r w:rsidR="00273CCA">
        <w:t xml:space="preserve"> 2021), influencing adherence to health behaviours such as vaccination and social distancing (So </w:t>
      </w:r>
      <w:r w:rsidR="00273CCA" w:rsidRPr="00273CCA">
        <w:t xml:space="preserve">et al., </w:t>
      </w:r>
      <w:r w:rsidR="00273CCA">
        <w:t xml:space="preserve">2022). </w:t>
      </w:r>
      <w:r w:rsidRPr="00E466A4">
        <w:t xml:space="preserve">Additionally, </w:t>
      </w:r>
      <w:r>
        <w:rPr>
          <w:color w:val="1F1F1F"/>
        </w:rPr>
        <w:t>p</w:t>
      </w:r>
      <w:r w:rsidRPr="00E466A4">
        <w:rPr>
          <w:color w:val="1F1F1F"/>
        </w:rPr>
        <w:t>andemic paranoi</w:t>
      </w:r>
      <w:r>
        <w:rPr>
          <w:color w:val="1F1F1F"/>
        </w:rPr>
        <w:t>a</w:t>
      </w:r>
      <w:r w:rsidRPr="00E466A4">
        <w:rPr>
          <w:color w:val="1F1F1F"/>
        </w:rPr>
        <w:t xml:space="preserve"> </w:t>
      </w:r>
      <w:r w:rsidR="008E61A3">
        <w:rPr>
          <w:color w:val="1F1F1F"/>
        </w:rPr>
        <w:t>shows great</w:t>
      </w:r>
      <w:r w:rsidR="004051C3">
        <w:rPr>
          <w:color w:val="1F1F1F"/>
        </w:rPr>
        <w:t>er</w:t>
      </w:r>
      <w:r w:rsidR="008E61A3">
        <w:rPr>
          <w:color w:val="1F1F1F"/>
        </w:rPr>
        <w:t xml:space="preserve"> specificity in </w:t>
      </w:r>
      <w:r w:rsidRPr="00E466A4">
        <w:rPr>
          <w:color w:val="1F1F1F"/>
        </w:rPr>
        <w:t>predict</w:t>
      </w:r>
      <w:r w:rsidR="008E61A3">
        <w:rPr>
          <w:color w:val="1F1F1F"/>
        </w:rPr>
        <w:t>ing</w:t>
      </w:r>
      <w:r w:rsidRPr="00E466A4">
        <w:rPr>
          <w:color w:val="1F1F1F"/>
        </w:rPr>
        <w:t xml:space="preserve"> COVID-19 preventative behavio</w:t>
      </w:r>
      <w:r>
        <w:rPr>
          <w:color w:val="1F1F1F"/>
        </w:rPr>
        <w:t>u</w:t>
      </w:r>
      <w:r w:rsidRPr="00E466A4">
        <w:rPr>
          <w:color w:val="1F1F1F"/>
        </w:rPr>
        <w:t>rs</w:t>
      </w:r>
      <w:r>
        <w:rPr>
          <w:color w:val="1F1F1F"/>
        </w:rPr>
        <w:t xml:space="preserve"> (Gaudiano et al., 2023)</w:t>
      </w:r>
      <w:r w:rsidR="008E61A3">
        <w:rPr>
          <w:color w:val="1F1F1F"/>
        </w:rPr>
        <w:t>, when compared to general paranoia and general distress</w:t>
      </w:r>
      <w:r>
        <w:rPr>
          <w:color w:val="1F1F1F"/>
        </w:rPr>
        <w:t xml:space="preserve">.  </w:t>
      </w:r>
      <w:r w:rsidR="004051C3">
        <w:rPr>
          <w:color w:val="1F1F1F"/>
        </w:rPr>
        <w:t>Finally</w:t>
      </w:r>
      <w:r w:rsidR="00EA116A">
        <w:rPr>
          <w:color w:val="1F1F1F"/>
        </w:rPr>
        <w:t xml:space="preserve">, Gaudiano </w:t>
      </w:r>
      <w:r w:rsidR="00EA116A" w:rsidRPr="00EA116A">
        <w:rPr>
          <w:color w:val="1F1F1F"/>
        </w:rPr>
        <w:t>et al.</w:t>
      </w:r>
      <w:r w:rsidR="00EA116A">
        <w:rPr>
          <w:color w:val="1F1F1F"/>
        </w:rPr>
        <w:t xml:space="preserve"> (2023) found that the effect of general paranoia on lower vaccine willingness was explained through higher levels of pandemic paranoia conspiracy thinking, and lower levels of interpersonal mistrust and persecutory threat. </w:t>
      </w:r>
    </w:p>
    <w:p w14:paraId="2075B18E" w14:textId="3AC99537" w:rsidR="005311A7" w:rsidRPr="004C1704" w:rsidRDefault="00EA116A" w:rsidP="003C13ED">
      <w:r>
        <w:rPr>
          <w:color w:val="1F1F1F"/>
        </w:rPr>
        <w:lastRenderedPageBreak/>
        <w:t xml:space="preserve">Pandemic paranoia may additionally account for how people high in mistrust respond to a pandemic. </w:t>
      </w:r>
      <w:r w:rsidR="005311A7" w:rsidRPr="00E466A4">
        <w:t xml:space="preserve">People </w:t>
      </w:r>
      <w:r w:rsidR="005311A7" w:rsidRPr="004C1704">
        <w:t xml:space="preserve">with high general paranoia may </w:t>
      </w:r>
      <w:r w:rsidR="005311A7">
        <w:t xml:space="preserve">be </w:t>
      </w:r>
      <w:r w:rsidR="005311A7" w:rsidRPr="004C1704">
        <w:t>more likely to respond to global pandemic threats with suspicious thinking: So et al. (2022) found through a latent class analysis that people reporting high pandemic paranoia tended to also have a high endorsement of general paranoid thinking. Notably, individuals who displayed a tendency of general paranoid thinking (with or without pandemic paranoia) reported more marked worry and more negative self and other beliefs than healthy controls. However, those with pandemic paranoia showed less engagement in pro-health behaviours and greater positive-self beliefs than those who had general paranoid thinking alone but without pandemic paranoia (So et al., 2022).</w:t>
      </w:r>
    </w:p>
    <w:p w14:paraId="5E29674E" w14:textId="77777777" w:rsidR="005311A7" w:rsidRPr="004C1704" w:rsidRDefault="005311A7" w:rsidP="003C13ED">
      <w:r w:rsidRPr="004C1704">
        <w:t xml:space="preserve">Studies of general paranoia have identified influential roles for insomnia, negative affect, and worry in the incidence and maintenance of paranoid thinking (Freeman et al., 2009, 2012; Hennig et al., 2020; </w:t>
      </w:r>
      <w:proofErr w:type="spellStart"/>
      <w:r w:rsidRPr="004C1704">
        <w:t>Kasanova</w:t>
      </w:r>
      <w:proofErr w:type="spellEnd"/>
      <w:r w:rsidRPr="004C1704">
        <w:t xml:space="preserve"> et al., 2020; Scott et al., 2017). These psychological factors may also be influential for pandemic paranoia. Further, it is of interest to understand if </w:t>
      </w:r>
      <w:r w:rsidRPr="004C1704">
        <w:rPr>
          <w:i/>
          <w:iCs/>
        </w:rPr>
        <w:t>changes</w:t>
      </w:r>
      <w:r w:rsidRPr="004C1704">
        <w:t xml:space="preserve"> in levels of these variables influence pandemic paranoia over time. </w:t>
      </w:r>
      <w:r>
        <w:t xml:space="preserve">Further, this study will focus on the impact of changes in persecutory ideation, an indicator of more severe paranoia rather than ideas of social reference (Freeman </w:t>
      </w:r>
      <w:r w:rsidRPr="00017A91">
        <w:t xml:space="preserve">et al., </w:t>
      </w:r>
      <w:r>
        <w:t xml:space="preserve">2021). </w:t>
      </w:r>
    </w:p>
    <w:p w14:paraId="756D098D" w14:textId="77777777" w:rsidR="005311A7" w:rsidRPr="004C1704" w:rsidRDefault="005311A7" w:rsidP="003C13ED">
      <w:r w:rsidRPr="004C1704">
        <w:t xml:space="preserve">We will outline what is currently understood about the impacts of these changes for paranoia, with the intention of presenting a model of these relationships for pandemic paranoia, to inform the hypotheses of the current study. </w:t>
      </w:r>
    </w:p>
    <w:p w14:paraId="73146DD7" w14:textId="77777777" w:rsidR="005311A7" w:rsidRPr="004C1704" w:rsidRDefault="005311A7" w:rsidP="003C13ED">
      <w:pPr>
        <w:rPr>
          <w:i/>
          <w:iCs/>
        </w:rPr>
      </w:pPr>
      <w:r w:rsidRPr="004C1704">
        <w:rPr>
          <w:i/>
          <w:iCs/>
        </w:rPr>
        <w:t>Insomnia</w:t>
      </w:r>
    </w:p>
    <w:p w14:paraId="71C6C877" w14:textId="77777777" w:rsidR="005311A7" w:rsidRPr="004C1704" w:rsidRDefault="005311A7" w:rsidP="003C13ED">
      <w:r w:rsidRPr="004C1704">
        <w:t>Insomnia plays an important role in paranoid thinking (</w:t>
      </w:r>
      <w:proofErr w:type="spellStart"/>
      <w:r w:rsidRPr="004C1704">
        <w:t>Kasanova</w:t>
      </w:r>
      <w:proofErr w:type="spellEnd"/>
      <w:r w:rsidRPr="004C1704">
        <w:t xml:space="preserve"> et al., 2020), with this link reported across multiple studies (Hennig &amp; Lincoln, 2018; Kammerer et al., 2021).  There are indications that insomnia influences the onset of paranoid thinking (Reeve et al., 2015); longitudinal studies demonstrate that changes in insomnia are impactful on subsequent </w:t>
      </w:r>
      <w:r w:rsidRPr="004C1704">
        <w:lastRenderedPageBreak/>
        <w:t>paranoid thinking (Freeman et al., 2010; Kammerer et al., 2021). Sleep loss has been shown to be a pre-cursor to paranoid thinking (Reeve et al., 2018). Improving sleep quality results in reductions in paranoia for both clinical (Freeman et al., 2021; Sheaves et al., 2019) and non-clinical populations (Freeman et al., 2017). While there are clear indications that the impact of changes in insomnia on general paranoia is consequential, it is unknown whether a similar relationship is observed with pandemic paranoia.</w:t>
      </w:r>
    </w:p>
    <w:p w14:paraId="720564B4" w14:textId="77777777" w:rsidR="005311A7" w:rsidRPr="004C1704" w:rsidRDefault="005311A7" w:rsidP="003C13ED">
      <w:pPr>
        <w:rPr>
          <w:i/>
          <w:iCs/>
        </w:rPr>
      </w:pPr>
      <w:r w:rsidRPr="004C1704">
        <w:rPr>
          <w:i/>
          <w:iCs/>
        </w:rPr>
        <w:t xml:space="preserve">Negative emotions and insomnia </w:t>
      </w:r>
    </w:p>
    <w:p w14:paraId="53F547BF" w14:textId="77777777" w:rsidR="005311A7" w:rsidRPr="004C1704" w:rsidRDefault="005311A7" w:rsidP="003C13ED">
      <w:r w:rsidRPr="004C1704">
        <w:t xml:space="preserve">Insomnia is also associated with predictors of paranoid thinking, such as anxiety, depression and worry (Freeman et al., 2012). There are indications that the impact of poor sleep quality on paranoia is mediated by negative affect (Hennig &amp; Lincoln, 2018; </w:t>
      </w:r>
      <w:proofErr w:type="spellStart"/>
      <w:r w:rsidRPr="004C1704">
        <w:t>Kasanova</w:t>
      </w:r>
      <w:proofErr w:type="spellEnd"/>
      <w:r w:rsidRPr="004C1704">
        <w:t xml:space="preserve"> et al., 2020). Negative emotions (depression and anxiety) have also been found to mediate the relationship between insomnia and general paranoia (Freeman et al., 2009; Mulligan et al., 2016; Reeve et al., 2018). More broadly, negative emotions are implicated in the hyper-arousal models of insomnia (Harvey, 2002; Riemann et al., 2010). </w:t>
      </w:r>
    </w:p>
    <w:p w14:paraId="03CE5C0F" w14:textId="77777777" w:rsidR="005311A7" w:rsidRPr="004C1704" w:rsidRDefault="005311A7" w:rsidP="003C13ED">
      <w:r w:rsidRPr="004C1704">
        <w:t xml:space="preserve">Longitudinal studies show that insomnia symptoms precede the development of anxiety and depressive symptoms (e.g., Baglioni et al., 2011; Hertenstein et al., 2019; Johansson et al., 2021). When paranoid thinking has been studied as a dependent variable in longitudinal studies, increases in depression, anxiety and worry predict later paranoia in </w:t>
      </w:r>
      <w:r>
        <w:t xml:space="preserve">both </w:t>
      </w:r>
      <w:r w:rsidRPr="004C1704">
        <w:t>clinical and non-clinical samples (Freeman et al., 2012; Kramer et al., 2014; So et al., 2018; Vorontsova et al., 2013).</w:t>
      </w:r>
    </w:p>
    <w:p w14:paraId="1EAE4D9E" w14:textId="77777777" w:rsidR="005311A7" w:rsidRPr="004C1704" w:rsidRDefault="005311A7" w:rsidP="003C13ED">
      <w:pPr>
        <w:rPr>
          <w:i/>
          <w:iCs/>
        </w:rPr>
      </w:pPr>
      <w:r w:rsidRPr="004C1704">
        <w:rPr>
          <w:i/>
          <w:iCs/>
        </w:rPr>
        <w:t>Worry</w:t>
      </w:r>
    </w:p>
    <w:p w14:paraId="1FE479A5" w14:textId="77777777" w:rsidR="005311A7" w:rsidRDefault="005311A7" w:rsidP="003C13ED">
      <w:r w:rsidRPr="004C1704">
        <w:t xml:space="preserve">Worry has been identified as a predictor for paranoia (Freeman et al., 2011). It has been observed that high levels of worry are exacerbated for people with paranoia and anxiety compared those who are anxious but do not have persecutory thinking </w:t>
      </w:r>
      <w:r w:rsidRPr="004C1704">
        <w:rPr>
          <w:noProof/>
        </w:rPr>
        <w:t>(Sun et al., 2018)</w:t>
      </w:r>
      <w:r w:rsidRPr="004C1704">
        <w:t>. Longitudinally paranoia and anxiety appear to co-vary and influence each other,</w:t>
      </w:r>
      <w:r>
        <w:t xml:space="preserve"> in </w:t>
      </w:r>
      <w:proofErr w:type="gramStart"/>
      <w:r>
        <w:t xml:space="preserve">contrast, </w:t>
      </w:r>
      <w:r w:rsidRPr="004C1704">
        <w:t xml:space="preserve"> </w:t>
      </w:r>
      <w:r w:rsidRPr="004C1704">
        <w:lastRenderedPageBreak/>
        <w:t>worry</w:t>
      </w:r>
      <w:proofErr w:type="gramEnd"/>
      <w:r w:rsidRPr="004C1704">
        <w:t xml:space="preserve"> </w:t>
      </w:r>
      <w:r>
        <w:t>has not been observed to</w:t>
      </w:r>
      <w:r w:rsidRPr="004C1704">
        <w:t xml:space="preserve"> </w:t>
      </w:r>
      <w:r>
        <w:t>independently predict paranoia</w:t>
      </w:r>
      <w:r w:rsidRPr="004C1704">
        <w:t xml:space="preserve"> over </w:t>
      </w:r>
      <w:proofErr w:type="gramStart"/>
      <w:r w:rsidRPr="004C1704">
        <w:t xml:space="preserve">time  </w:t>
      </w:r>
      <w:r w:rsidRPr="004C1704">
        <w:rPr>
          <w:noProof/>
        </w:rPr>
        <w:t>(</w:t>
      </w:r>
      <w:proofErr w:type="gramEnd"/>
      <w:r w:rsidRPr="004C1704">
        <w:rPr>
          <w:noProof/>
        </w:rPr>
        <w:t>Sun et al., 2019)</w:t>
      </w:r>
      <w:r w:rsidRPr="004C1704">
        <w:t xml:space="preserve">. Recent reviews of intensive longitudinal studies of the relationship of worry with paranoia suggest that there remain questions about directionality </w:t>
      </w:r>
      <w:r>
        <w:t>o</w:t>
      </w:r>
      <w:r w:rsidRPr="004C1704">
        <w:t xml:space="preserve">f influence and the presence of third variables for clinical samples (e.g., </w:t>
      </w:r>
      <w:r w:rsidRPr="004C1704">
        <w:rPr>
          <w:noProof/>
        </w:rPr>
        <w:t>Lüdtke et al., 2023)</w:t>
      </w:r>
      <w:r w:rsidRPr="004C1704">
        <w:t>.</w:t>
      </w:r>
      <w:r>
        <w:t xml:space="preserve"> </w:t>
      </w:r>
    </w:p>
    <w:p w14:paraId="756279B5" w14:textId="77777777" w:rsidR="005311A7" w:rsidRDefault="005311A7" w:rsidP="00D37E50">
      <w:r>
        <w:t xml:space="preserve">It may be that similar sleep, emotional and negative thinking processes can be observed with pandemic-specific suspicions, over time. </w:t>
      </w:r>
      <w:r w:rsidRPr="00EA47A1">
        <w:t>The role of co-occurring persecutory thinking in influencing how these processes impact pandemic paranoia over time is therefore of interest.</w:t>
      </w:r>
      <w:r>
        <w:t xml:space="preserve"> </w:t>
      </w:r>
    </w:p>
    <w:p w14:paraId="5DE4109C" w14:textId="77777777" w:rsidR="005311A7" w:rsidRDefault="005311A7" w:rsidP="00D37E50">
      <w:pPr>
        <w:pStyle w:val="Heading3"/>
      </w:pPr>
      <w:r>
        <w:t xml:space="preserve">Study aims </w:t>
      </w:r>
    </w:p>
    <w:p w14:paraId="115E1441" w14:textId="77777777" w:rsidR="005311A7" w:rsidRDefault="005311A7" w:rsidP="00D37E50">
      <w:r>
        <w:t>In the current study we explore a new area in understanding pandemic paranoia: observing over time</w:t>
      </w:r>
      <w:r w:rsidDel="00F52676">
        <w:t xml:space="preserve"> </w:t>
      </w:r>
      <w:r>
        <w:t xml:space="preserve">how changes in pandemic paranoia may be influenced by changes in insomnia, and investigating potential mediating effects of changes in anxiety, depression and worry in the insomnia-pandemic paranoia association. Since </w:t>
      </w:r>
      <w:r>
        <w:rPr>
          <w:color w:val="000000" w:themeColor="text1"/>
        </w:rPr>
        <w:t>persecutory thinking</w:t>
      </w:r>
      <w:r w:rsidRPr="003D63FE">
        <w:rPr>
          <w:color w:val="000000" w:themeColor="text1"/>
        </w:rPr>
        <w:t xml:space="preserve"> </w:t>
      </w:r>
      <w:r>
        <w:t xml:space="preserve">has been shown to contribute to pandemic paranoia, it is entered as a moderator in the relationship between insomnia and pandemic paranoia, yielding a moderated-mediation model (see schematic diagram of this </w:t>
      </w:r>
      <w:r w:rsidRPr="00280BF7">
        <w:t>stat</w:t>
      </w:r>
      <w:r>
        <w:t xml:space="preserve">istical model in Figure 1). Based on the literature presented above we predicted: </w:t>
      </w:r>
    </w:p>
    <w:p w14:paraId="613BC473" w14:textId="77777777" w:rsidR="005311A7" w:rsidRPr="00EA47A1" w:rsidRDefault="005311A7" w:rsidP="00756792">
      <w:pPr>
        <w:pStyle w:val="ListParagraph"/>
        <w:numPr>
          <w:ilvl w:val="0"/>
          <w:numId w:val="3"/>
        </w:numPr>
        <w:spacing w:line="480" w:lineRule="auto"/>
        <w:rPr>
          <w:rFonts w:ascii="Times New Roman" w:hAnsi="Times New Roman" w:cs="Times New Roman"/>
        </w:rPr>
      </w:pPr>
      <w:r w:rsidRPr="00EA47A1">
        <w:rPr>
          <w:rFonts w:ascii="Times New Roman" w:hAnsi="Times New Roman" w:cs="Times New Roman"/>
        </w:rPr>
        <w:t>Changes in insomnia from Time 1 (T1) to Time 2 (T2) will predict changes in pandemic paranoia</w:t>
      </w:r>
      <w:r>
        <w:rPr>
          <w:rFonts w:ascii="Times New Roman" w:hAnsi="Times New Roman" w:cs="Times New Roman"/>
        </w:rPr>
        <w:t xml:space="preserve">. </w:t>
      </w:r>
    </w:p>
    <w:p w14:paraId="4CEC4A84" w14:textId="77777777" w:rsidR="005311A7" w:rsidRPr="00EA47A1" w:rsidRDefault="005311A7" w:rsidP="00756792">
      <w:pPr>
        <w:pStyle w:val="ListParagraph"/>
        <w:numPr>
          <w:ilvl w:val="0"/>
          <w:numId w:val="3"/>
        </w:numPr>
        <w:spacing w:line="480" w:lineRule="auto"/>
        <w:rPr>
          <w:rFonts w:ascii="Times New Roman" w:hAnsi="Times New Roman" w:cs="Times New Roman"/>
        </w:rPr>
      </w:pPr>
      <w:r w:rsidRPr="00EA47A1">
        <w:rPr>
          <w:rFonts w:ascii="Times New Roman" w:hAnsi="Times New Roman" w:cs="Times New Roman"/>
        </w:rPr>
        <w:t>Changes in the relationship of insomnia on pandemic paranoia from Time 1 (T1) to Time 2 (T2) will be mediated by changes in anxiety, worry and depression.</w:t>
      </w:r>
    </w:p>
    <w:p w14:paraId="1FF38285" w14:textId="77777777" w:rsidR="005311A7" w:rsidRPr="00EA47A1" w:rsidRDefault="005311A7" w:rsidP="00756792">
      <w:pPr>
        <w:pStyle w:val="ListParagraph"/>
        <w:numPr>
          <w:ilvl w:val="0"/>
          <w:numId w:val="3"/>
        </w:numPr>
        <w:spacing w:line="480" w:lineRule="auto"/>
        <w:rPr>
          <w:rFonts w:ascii="Times New Roman" w:hAnsi="Times New Roman" w:cs="Times New Roman"/>
        </w:rPr>
      </w:pPr>
      <w:r w:rsidRPr="00EA47A1">
        <w:rPr>
          <w:rFonts w:ascii="Times New Roman" w:hAnsi="Times New Roman" w:cs="Times New Roman"/>
        </w:rPr>
        <w:t>The influence of the direct and indirect pathways on change scores will be moderated by persecutory thinking.</w:t>
      </w:r>
    </w:p>
    <w:p w14:paraId="5BE2F69D" w14:textId="77777777" w:rsidR="005311A7" w:rsidRDefault="005311A7" w:rsidP="00756792"/>
    <w:p w14:paraId="3CD5B785" w14:textId="77777777" w:rsidR="00030B66" w:rsidRDefault="00030B66" w:rsidP="00756792"/>
    <w:p w14:paraId="2D1BDE1F" w14:textId="77777777" w:rsidR="005311A7" w:rsidRPr="00A530E5" w:rsidRDefault="005311A7" w:rsidP="00A530E5">
      <w:pPr>
        <w:ind w:firstLine="0"/>
        <w:rPr>
          <w:b/>
          <w:bCs/>
          <w:i/>
          <w:iCs/>
        </w:rPr>
      </w:pPr>
      <w:r w:rsidRPr="00A530E5">
        <w:rPr>
          <w:b/>
          <w:bCs/>
          <w:i/>
          <w:iCs/>
        </w:rPr>
        <w:lastRenderedPageBreak/>
        <w:t>Figure 1</w:t>
      </w:r>
    </w:p>
    <w:p w14:paraId="2125131F" w14:textId="77777777" w:rsidR="005311A7" w:rsidRDefault="005311A7" w:rsidP="00A530E5">
      <w:pPr>
        <w:ind w:firstLine="0"/>
      </w:pPr>
      <w:r>
        <w:t xml:space="preserve">Study moderated-mediation statistical model of the effect of change in insomnia on change in pandemic paranoia (T1-T2: ∆).   </w:t>
      </w:r>
    </w:p>
    <w:p w14:paraId="265B4728" w14:textId="77777777" w:rsidR="005311A7" w:rsidRDefault="005311A7" w:rsidP="00A530E5">
      <w:pPr>
        <w:ind w:firstLine="0"/>
      </w:pPr>
    </w:p>
    <w:p w14:paraId="16C59A88" w14:textId="77777777" w:rsidR="005311A7" w:rsidRDefault="005311A7" w:rsidP="00A530E5">
      <w:pPr>
        <w:ind w:firstLine="0"/>
      </w:pPr>
    </w:p>
    <w:p w14:paraId="35C61472" w14:textId="77777777" w:rsidR="005311A7" w:rsidRPr="00E86C6B" w:rsidRDefault="005311A7" w:rsidP="00E56351">
      <w:pPr>
        <w:ind w:firstLine="0"/>
      </w:pPr>
      <w:r w:rsidRPr="00A53096">
        <w:rPr>
          <w:noProof/>
        </w:rPr>
        <w:drawing>
          <wp:inline distT="0" distB="0" distL="0" distR="0" wp14:anchorId="29DCC963" wp14:editId="1626B5A2">
            <wp:extent cx="6603182" cy="2593298"/>
            <wp:effectExtent l="0" t="0" r="1270" b="0"/>
            <wp:docPr id="1570420023" name="Picture 1" descr="A diagram of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20023" name="Picture 1" descr="A diagram of a path&#10;&#10;Description automatically generated"/>
                    <pic:cNvPicPr/>
                  </pic:nvPicPr>
                  <pic:blipFill>
                    <a:blip r:embed="rId8"/>
                    <a:stretch>
                      <a:fillRect/>
                    </a:stretch>
                  </pic:blipFill>
                  <pic:spPr>
                    <a:xfrm>
                      <a:off x="0" y="0"/>
                      <a:ext cx="6652672" cy="2612734"/>
                    </a:xfrm>
                    <a:prstGeom prst="rect">
                      <a:avLst/>
                    </a:prstGeom>
                  </pic:spPr>
                </pic:pic>
              </a:graphicData>
            </a:graphic>
          </wp:inline>
        </w:drawing>
      </w:r>
    </w:p>
    <w:p w14:paraId="0B0B265E" w14:textId="77777777" w:rsidR="005311A7" w:rsidRDefault="005311A7" w:rsidP="00B82961">
      <w:r>
        <w:t xml:space="preserve">Note: This figure presents the change scores (∆) variables in their hypothesised </w:t>
      </w:r>
      <w:r w:rsidRPr="00B82961">
        <w:t>relationship</w:t>
      </w:r>
      <w:r>
        <w:t xml:space="preserve">s for the model. X – predictor; Y – dependent variable; M – mediator; W – moderator; </w:t>
      </w:r>
      <w:r w:rsidRPr="00CC785F">
        <w:rPr>
          <w:lang w:val="en-US"/>
        </w:rPr>
        <w:t>Δ</w:t>
      </w:r>
      <w:r>
        <w:rPr>
          <w:lang w:val="en-US"/>
        </w:rPr>
        <w:t xml:space="preserve"> – time 1- time 2 change</w:t>
      </w:r>
      <w:r>
        <w:t xml:space="preserve">. </w:t>
      </w:r>
    </w:p>
    <w:p w14:paraId="45CBAC87" w14:textId="77777777" w:rsidR="005311A7" w:rsidRPr="00B82961" w:rsidRDefault="005311A7" w:rsidP="00756792"/>
    <w:p w14:paraId="31A6A2B7" w14:textId="77777777" w:rsidR="005311A7" w:rsidRDefault="005311A7">
      <w:pPr>
        <w:pStyle w:val="Heading1"/>
      </w:pPr>
      <w:r>
        <w:t>Method</w:t>
      </w:r>
    </w:p>
    <w:p w14:paraId="60BD20FE" w14:textId="77777777" w:rsidR="005311A7" w:rsidRDefault="005311A7" w:rsidP="00D37E50">
      <w:pPr>
        <w:pStyle w:val="Heading2"/>
      </w:pPr>
      <w:bookmarkStart w:id="3" w:name="_bqy5vpae492o" w:colFirst="0" w:colLast="0"/>
      <w:bookmarkEnd w:id="3"/>
      <w:r>
        <w:t xml:space="preserve">Design </w:t>
      </w:r>
    </w:p>
    <w:p w14:paraId="52A79A4C" w14:textId="77777777" w:rsidR="005311A7" w:rsidRDefault="005311A7" w:rsidP="00D37E50">
      <w:r>
        <w:t xml:space="preserve">The study used a longitudinal survey design across two timepoints, 12 weeks apart (T1-T2: </w:t>
      </w:r>
      <w:r w:rsidRPr="00CC785F">
        <w:rPr>
          <w:lang w:val="en-US"/>
        </w:rPr>
        <w:t>Δ</w:t>
      </w:r>
      <w:r>
        <w:t xml:space="preserve">). The outcome variable was change in pandemic paranoia. The hypothesized predictor variable was change in insomnia, the proposed mediators were changes in depression, anxiety and worry and the proposed moderator </w:t>
      </w:r>
      <w:proofErr w:type="gramStart"/>
      <w:r>
        <w:t>of  the</w:t>
      </w:r>
      <w:proofErr w:type="gramEnd"/>
      <w:r>
        <w:t xml:space="preserve"> mediation pathway was differing levels of changes in persecutory thinking. </w:t>
      </w:r>
    </w:p>
    <w:p w14:paraId="02D73047" w14:textId="77777777" w:rsidR="005311A7" w:rsidRDefault="005311A7" w:rsidP="00D37E50">
      <w:pPr>
        <w:pStyle w:val="Heading2"/>
      </w:pPr>
      <w:r>
        <w:lastRenderedPageBreak/>
        <w:t>Participants</w:t>
      </w:r>
    </w:p>
    <w:p w14:paraId="1463BF08" w14:textId="77777777" w:rsidR="005311A7" w:rsidRDefault="005311A7" w:rsidP="00D37E50">
      <w:r>
        <w:t xml:space="preserve">The sample was recruited for an international survey study of pandemic paranoia (see Kingston et al., 2021 for details of the main study).  The study sample were participants who responded to emails from the researchers to complete a second set of measures 12 weeks after T1 measures had been completed. T1 recruitment for the international survey study was conducted in February to April 2021 across five sites (UK, USA, Hong Kong, Germany and Australia). The inclusion criteria were those aged 18 and above and residing in the geographic region of the respective study site. There were no exclusion criteria. Sampling stratification (by age, gender, and education level) was applied by referencing local census data (total Time 1 sample across regions N = 2510). </w:t>
      </w:r>
    </w:p>
    <w:p w14:paraId="51A441F7" w14:textId="77777777" w:rsidR="005311A7" w:rsidRDefault="005311A7" w:rsidP="00D37E50">
      <w:pPr>
        <w:pStyle w:val="Heading2"/>
      </w:pPr>
      <w:r>
        <w:t>Measures</w:t>
      </w:r>
    </w:p>
    <w:p w14:paraId="25838A15" w14:textId="77777777" w:rsidR="005311A7" w:rsidRDefault="005311A7" w:rsidP="00D37E50">
      <w:r>
        <w:t xml:space="preserve">Participants provided demographic information about their age, gender identity, education level, income, employment status, whether they identified as belonging to a minority group, and whether they had a trauma history. </w:t>
      </w:r>
    </w:p>
    <w:p w14:paraId="425509F1" w14:textId="77777777" w:rsidR="005311A7" w:rsidRDefault="005311A7" w:rsidP="00D37E50">
      <w:r>
        <w:t xml:space="preserve">The following self-report measures were used within the Time 1 and Time 2 surveys: </w:t>
      </w:r>
    </w:p>
    <w:p w14:paraId="536B32E0" w14:textId="77777777" w:rsidR="005311A7" w:rsidRDefault="005311A7" w:rsidP="00D37E50">
      <w:r>
        <w:t xml:space="preserve">The </w:t>
      </w:r>
      <w:r w:rsidRPr="00AF413E">
        <w:rPr>
          <w:i/>
          <w:iCs/>
        </w:rPr>
        <w:t>Insomnia Severity Index</w:t>
      </w:r>
      <w:r>
        <w:t xml:space="preserve"> (ISI; Bastien et al., 2001) is a </w:t>
      </w:r>
      <w:r w:rsidRPr="00733EDF">
        <w:t>7-item measure assessing the severity and impact of insomnia over the past month. Items are rated from 0 (no problem) to 4 (very severe problem), with total scores ranging from 0 to 28. It evaluates sleep onset, sleep maintenance, sleep dissatisfaction, interference with daytime functioning, and distress caused by sleep difficulties. The ISI demonstrates good psychometric properties, with a Cronbach’s alpha of 0.91 in our sample.</w:t>
      </w:r>
      <w:r>
        <w:t xml:space="preserve"> </w:t>
      </w:r>
    </w:p>
    <w:p w14:paraId="528B8A6C" w14:textId="77777777" w:rsidR="005311A7" w:rsidRDefault="005311A7" w:rsidP="00D37E50">
      <w:r>
        <w:t xml:space="preserve">The </w:t>
      </w:r>
      <w:r w:rsidRPr="00AF413E">
        <w:rPr>
          <w:i/>
          <w:iCs/>
        </w:rPr>
        <w:t>Pandemic Paranoia Scale</w:t>
      </w:r>
      <w:r>
        <w:t xml:space="preserve"> (PPS; Kingston et al., 2021) </w:t>
      </w:r>
      <w:r w:rsidRPr="00733EDF">
        <w:t xml:space="preserve">uses 25 items rated on a 5-point scale (0 to 4) to measure paranoia related to the COVID-19 pandemic, yielding a total score (0-100) and three subscales: </w:t>
      </w:r>
      <w:r>
        <w:t xml:space="preserve">persecutory threat (e.g., “People are deliberately trying to pass COVID-19 to me”), interpersonal distrust (e.g., “I can’t trust others to stick to the social </w:t>
      </w:r>
      <w:r>
        <w:lastRenderedPageBreak/>
        <w:t xml:space="preserve">distancing rules”), and paranoid conspiracy (e.g., “The government is using the COVID-19 pandemic to control us”). This study used the total PPS score. The PPS shows good internal consistency with a Cronbach’s alpha of 0.93 in this sample. </w:t>
      </w:r>
    </w:p>
    <w:p w14:paraId="4E4A4346" w14:textId="77777777" w:rsidR="005311A7" w:rsidRDefault="005311A7" w:rsidP="00D37E50">
      <w:r>
        <w:t xml:space="preserve">The </w:t>
      </w:r>
      <w:r w:rsidRPr="00AF413E">
        <w:rPr>
          <w:i/>
          <w:iCs/>
        </w:rPr>
        <w:t>Depression Anxiety and Stress Scales-21</w:t>
      </w:r>
      <w:r>
        <w:t xml:space="preserve"> (DASS-21; Lovibond &amp; Lovibond, 1995) is a 21-item measure of anxiety, depression and stress. Participants rate symptoms on 4-point scales (0 to 3).  The DASS-21 shows good psychometric properties; this study used the Anxiety and Depression sub-scales (Cronbach’s alpha: Anxiety 0.88; Depression 0.94). </w:t>
      </w:r>
    </w:p>
    <w:p w14:paraId="1203BFCE" w14:textId="77777777" w:rsidR="005311A7" w:rsidRDefault="005311A7" w:rsidP="00D37E50">
      <w:r>
        <w:t xml:space="preserve">The </w:t>
      </w:r>
      <w:r w:rsidRPr="00AF413E">
        <w:rPr>
          <w:i/>
          <w:iCs/>
        </w:rPr>
        <w:t>Revised Green Paranoid Thoughts Scale</w:t>
      </w:r>
      <w:r>
        <w:t xml:space="preserve"> (R-GPTS; Freeman et al., 2021) is an 18-item measure of paranoid thinking rated on a 5-point scale (0 to 4). It has two sub-scales, ideas of reference (8 items) and persecutory thinking (10 items). This study used the persecutory thinking subscale. The R-GPTS shows good internal consistency with this sample (Kingston et al., 2021); Cronbach’s alpha in this study: Reference 0.91, Persecution 0.95. </w:t>
      </w:r>
    </w:p>
    <w:p w14:paraId="34E2007A" w14:textId="77777777" w:rsidR="005311A7" w:rsidRDefault="005311A7" w:rsidP="00D37E50">
      <w:r>
        <w:t xml:space="preserve">The </w:t>
      </w:r>
      <w:r w:rsidRPr="00AF413E">
        <w:rPr>
          <w:i/>
          <w:iCs/>
        </w:rPr>
        <w:t>Penn State Worry Questionnaire</w:t>
      </w:r>
      <w:r>
        <w:t xml:space="preserve">, ultra-brief version (PSWQ-3; Berle et al., 2011) is a 3-item </w:t>
      </w:r>
      <w:r w:rsidRPr="002C6C57">
        <w:t>measure of pathological worry. Items are rated from 1 (not at all typical) to 5 (very typical), with higher total scores indicating higher trait worry. The PSWQ-3 shows excellent psychometric properties, similar to the full PSWQ. Cronbach’s alpha in our sample is 0.90.</w:t>
      </w:r>
      <w:r>
        <w:t xml:space="preserve"> </w:t>
      </w:r>
    </w:p>
    <w:p w14:paraId="5D391C77" w14:textId="77777777" w:rsidR="005311A7" w:rsidRDefault="005311A7" w:rsidP="00D37E50">
      <w:pPr>
        <w:pStyle w:val="Heading2"/>
      </w:pPr>
      <w:r>
        <w:t>Procedure</w:t>
      </w:r>
    </w:p>
    <w:p w14:paraId="7305DA64" w14:textId="77777777" w:rsidR="005311A7" w:rsidRDefault="005311A7" w:rsidP="00D37E50">
      <w:r w:rsidRPr="00DA4724">
        <w:t xml:space="preserve">Ethical approval was obtained from each of the five host sites. </w:t>
      </w:r>
      <w:r>
        <w:t xml:space="preserve">Potential participants were recruited using Qualtrics panel survey: upon giving their consent they completed the Time 1 (T1) survey; participants were asked to provide a follow-up email if they were interested in taking part in a second survey 12 weeks later. </w:t>
      </w:r>
    </w:p>
    <w:p w14:paraId="42983460" w14:textId="77777777" w:rsidR="005311A7" w:rsidRDefault="005311A7" w:rsidP="00D37E50">
      <w:r>
        <w:t xml:space="preserve">The participants completed an online survey hosted on the Qualtrics platform, with survey responses linked through email addresses. Each site conducted its own panel survey </w:t>
      </w:r>
      <w:r>
        <w:lastRenderedPageBreak/>
        <w:t xml:space="preserve">and Time 2 (T2) assessment. The T2 data set was then created from de-identified data shared by the researchers across sites. Participants’ T2 data was linked with their T1 scores. </w:t>
      </w:r>
    </w:p>
    <w:p w14:paraId="641E1F10" w14:textId="77777777" w:rsidR="005311A7" w:rsidRDefault="005311A7" w:rsidP="00D37E50">
      <w:r>
        <w:t xml:space="preserve">For the T1 survey, participants were compensated for completion through the Qualtrics panel process; for the T2 survey participants were reimbursed either: 1) by direct remuneration for completing the survey (Hong Kong), or 2) with the opportunity to register for a prize draw following survey completion (Australia, USA, UK, Germany), managed by the research teams at each site. </w:t>
      </w:r>
    </w:p>
    <w:p w14:paraId="729AA0FF" w14:textId="77777777" w:rsidR="005311A7" w:rsidRDefault="005311A7" w:rsidP="00D37E50">
      <w:pPr>
        <w:pStyle w:val="Heading2"/>
      </w:pPr>
      <w:r>
        <w:t>Data Analysis</w:t>
      </w:r>
    </w:p>
    <w:p w14:paraId="311F3DF7" w14:textId="77777777" w:rsidR="005311A7" w:rsidRDefault="005311A7" w:rsidP="00D37E50">
      <w:r>
        <w:t xml:space="preserve">The study sample was compared to the full T1 sample from Kingston </w:t>
      </w:r>
      <w:r w:rsidRPr="005077FE">
        <w:t>et al.</w:t>
      </w:r>
      <w:r>
        <w:t xml:space="preserve"> (2021) to assess any significant differences in demographic characteristics. Comparisons were then conducted between T1 and T2 scores using t-tests, and effect size estimates were calculated. </w:t>
      </w:r>
    </w:p>
    <w:p w14:paraId="1698F2CB" w14:textId="77777777" w:rsidR="005311A7" w:rsidRDefault="005311A7" w:rsidP="00E647E5">
      <w:r>
        <w:t>For the test of the model presented in Figure 1, all analyses were conducted using the PROCESS macro for SPSS (Hayes, 2013) with T1 variables entered as co-variates, relevant to the analysis (insomnia, p</w:t>
      </w:r>
      <w:r>
        <w:rPr>
          <w:color w:val="000000" w:themeColor="text1"/>
        </w:rPr>
        <w:t>ersecutory thinking</w:t>
      </w:r>
      <w:r>
        <w:t xml:space="preserve">, pandemic paranoia, worry, anxiety, depression), and percentile 95% confidence intervals (bootstrap samples N = 5000). The model assessment was planned across three steps: Firstly, a simple moderation analysis of the T2 insomnia – T2 pandemic paranoia </w:t>
      </w:r>
      <w:r w:rsidRPr="00A35BFF">
        <w:t>relationship</w:t>
      </w:r>
      <w:r>
        <w:t xml:space="preserve">, with T2 persecutory thinking as a moderator (PROCESS Model 1). Secondly, a parallel mediation analysis of the T2 insomnia – T2 pandemic paranoia </w:t>
      </w:r>
      <w:r w:rsidRPr="00A35BFF">
        <w:t>relationship</w:t>
      </w:r>
      <w:r>
        <w:t xml:space="preserve">, with potential mediators T2 anxiety, worry and depression (PROCESS Model 4). Finally, the hypothesised moderated mediation model was conducted using the PROCESS macro for SPSS </w:t>
      </w:r>
      <w:r w:rsidRPr="001B5AFF">
        <w:t xml:space="preserve">model </w:t>
      </w:r>
      <w:r>
        <w:t>8. This assessed the significance of each of the indirect effects (path-a anxiety, depression, worry: see Figure 1) at differing standard deviation levels of the moderator (p</w:t>
      </w:r>
      <w:r>
        <w:rPr>
          <w:color w:val="000000" w:themeColor="text1"/>
        </w:rPr>
        <w:t>ersecutory thinking</w:t>
      </w:r>
      <w:r>
        <w:t xml:space="preserve">), deriving indices of moderated mediation (Hayes, 2015). Moderation analyses were probed for significant </w:t>
      </w:r>
      <w:r>
        <w:lastRenderedPageBreak/>
        <w:t>interactions using the Johnson-Neyman technique (Hayes, 2013; Preacher, Rucker &amp; Hayes, 2007).</w:t>
      </w:r>
    </w:p>
    <w:p w14:paraId="04A702DB" w14:textId="77777777" w:rsidR="005311A7" w:rsidRDefault="005311A7">
      <w:pPr>
        <w:pStyle w:val="Heading1"/>
      </w:pPr>
    </w:p>
    <w:p w14:paraId="16254C60" w14:textId="77777777" w:rsidR="005311A7" w:rsidRDefault="005311A7">
      <w:pPr>
        <w:pStyle w:val="Heading1"/>
      </w:pPr>
      <w:r>
        <w:t>Results</w:t>
      </w:r>
    </w:p>
    <w:p w14:paraId="2FEFB6EC" w14:textId="77777777" w:rsidR="005311A7" w:rsidRPr="003D63FE" w:rsidRDefault="005311A7" w:rsidP="00D37E50">
      <w:pPr>
        <w:pStyle w:val="Heading2"/>
      </w:pPr>
      <w:r>
        <w:t>Sample characteristics</w:t>
      </w:r>
    </w:p>
    <w:p w14:paraId="1A49507B" w14:textId="77777777" w:rsidR="005311A7" w:rsidRDefault="005311A7" w:rsidP="00CE7A4E">
      <w:r>
        <w:t xml:space="preserve">Participants (N = 715) were recruited from the following sites: the United Kingdom (N = 98), United States of America (N = 161), Australia (N = 94), Hong Kong (N = 296), and Germany (N = 66). </w:t>
      </w:r>
    </w:p>
    <w:p w14:paraId="09A142DF" w14:textId="77777777" w:rsidR="005311A7" w:rsidRPr="003D63FE" w:rsidRDefault="005311A7" w:rsidP="00AF413E">
      <w:r w:rsidRPr="003D63FE">
        <w:t xml:space="preserve">The demographics for the </w:t>
      </w:r>
      <w:r>
        <w:t>study</w:t>
      </w:r>
      <w:r w:rsidRPr="003D63FE">
        <w:t xml:space="preserve"> sample are presented in Table 1. When compared to the </w:t>
      </w:r>
      <w:r>
        <w:t>total T1</w:t>
      </w:r>
      <w:r w:rsidRPr="003D63FE">
        <w:t xml:space="preserve"> sample</w:t>
      </w:r>
      <w:r>
        <w:t xml:space="preserve"> from Kingston </w:t>
      </w:r>
      <w:r w:rsidRPr="005077FE">
        <w:t>et al.</w:t>
      </w:r>
      <w:r>
        <w:t xml:space="preserve"> (2021)</w:t>
      </w:r>
      <w:r w:rsidRPr="003D63FE">
        <w:t xml:space="preserve">, the </w:t>
      </w:r>
      <w:r>
        <w:t xml:space="preserve">study </w:t>
      </w:r>
      <w:r w:rsidRPr="003D63FE">
        <w:t xml:space="preserve">sample participants were older; had </w:t>
      </w:r>
      <w:r>
        <w:t>similar</w:t>
      </w:r>
      <w:r w:rsidRPr="003D63FE">
        <w:t xml:space="preserve"> </w:t>
      </w:r>
      <w:r>
        <w:t xml:space="preserve">gender </w:t>
      </w:r>
      <w:r w:rsidRPr="003D63FE">
        <w:t>proportion</w:t>
      </w:r>
      <w:r>
        <w:t>s</w:t>
      </w:r>
      <w:r w:rsidRPr="003D63FE">
        <w:t>; had a greater proportion of university graduates; had a smaller proportion of those with lower incomes; had a smaller proportion of those working part-time, but no differences in those unemployed or disabled</w:t>
      </w:r>
      <w:r>
        <w:t>. T</w:t>
      </w:r>
      <w:r w:rsidRPr="003D63FE">
        <w:t xml:space="preserve">here were no differences between </w:t>
      </w:r>
      <w:r>
        <w:t>study</w:t>
      </w:r>
      <w:r w:rsidRPr="003D63FE">
        <w:t xml:space="preserve"> participants and </w:t>
      </w:r>
      <w:r>
        <w:t>T1</w:t>
      </w:r>
      <w:r w:rsidRPr="003D63FE">
        <w:t>-only for minority status</w:t>
      </w:r>
      <w:r>
        <w:t>. T</w:t>
      </w:r>
      <w:r w:rsidRPr="003D63FE">
        <w:t>here w</w:t>
      </w:r>
      <w:r>
        <w:t>as</w:t>
      </w:r>
      <w:r w:rsidRPr="003D63FE">
        <w:t xml:space="preserve"> a </w:t>
      </w:r>
      <w:r>
        <w:t>lesser</w:t>
      </w:r>
      <w:r w:rsidRPr="003D63FE">
        <w:t xml:space="preserve"> proportion of participants in the </w:t>
      </w:r>
      <w:r>
        <w:t>study</w:t>
      </w:r>
      <w:r w:rsidRPr="003D63FE">
        <w:t xml:space="preserve"> sample who reported a trauma history. </w:t>
      </w:r>
    </w:p>
    <w:p w14:paraId="0A8F23BB" w14:textId="77777777" w:rsidR="005311A7" w:rsidRDefault="005311A7" w:rsidP="00D37E50">
      <w:pPr>
        <w:ind w:firstLine="944"/>
        <w:rPr>
          <w:color w:val="000000" w:themeColor="text1"/>
        </w:rPr>
      </w:pPr>
      <w:r w:rsidRPr="003D63FE">
        <w:rPr>
          <w:color w:val="000000" w:themeColor="text1"/>
        </w:rPr>
        <w:t xml:space="preserve">The within-participant changes for the </w:t>
      </w:r>
      <w:r>
        <w:rPr>
          <w:color w:val="000000" w:themeColor="text1"/>
        </w:rPr>
        <w:t>study</w:t>
      </w:r>
      <w:r w:rsidRPr="003D63FE">
        <w:rPr>
          <w:color w:val="000000" w:themeColor="text1"/>
        </w:rPr>
        <w:t xml:space="preserve"> sample are presented in Table </w:t>
      </w:r>
      <w:r>
        <w:rPr>
          <w:color w:val="000000" w:themeColor="text1"/>
        </w:rPr>
        <w:t>2</w:t>
      </w:r>
      <w:r w:rsidRPr="003D63FE">
        <w:rPr>
          <w:color w:val="000000" w:themeColor="text1"/>
        </w:rPr>
        <w:t xml:space="preserve">. Compared to </w:t>
      </w:r>
      <w:r>
        <w:rPr>
          <w:color w:val="000000" w:themeColor="text1"/>
        </w:rPr>
        <w:t>T1,</w:t>
      </w:r>
      <w:r w:rsidRPr="003D63FE">
        <w:rPr>
          <w:color w:val="000000" w:themeColor="text1"/>
        </w:rPr>
        <w:t xml:space="preserve"> at </w:t>
      </w:r>
      <w:r>
        <w:rPr>
          <w:color w:val="000000" w:themeColor="text1"/>
        </w:rPr>
        <w:t>T2</w:t>
      </w:r>
      <w:r w:rsidRPr="003D63FE">
        <w:rPr>
          <w:color w:val="000000" w:themeColor="text1"/>
        </w:rPr>
        <w:t xml:space="preserve"> participants reported </w:t>
      </w:r>
      <w:r>
        <w:rPr>
          <w:color w:val="000000" w:themeColor="text1"/>
        </w:rPr>
        <w:t xml:space="preserve">a </w:t>
      </w:r>
      <w:r w:rsidRPr="004050DB">
        <w:rPr>
          <w:color w:val="000000" w:themeColor="text1"/>
        </w:rPr>
        <w:t>significant</w:t>
      </w:r>
      <w:r>
        <w:rPr>
          <w:color w:val="000000" w:themeColor="text1"/>
        </w:rPr>
        <w:t xml:space="preserve"> increase in anxiety (</w:t>
      </w:r>
      <w:r w:rsidRPr="004050DB">
        <w:rPr>
          <w:color w:val="000000" w:themeColor="text1"/>
        </w:rPr>
        <w:t>p &lt; .01</w:t>
      </w:r>
      <w:r>
        <w:rPr>
          <w:color w:val="000000" w:themeColor="text1"/>
        </w:rPr>
        <w:t xml:space="preserve">0), and reductions </w:t>
      </w:r>
      <w:r w:rsidRPr="003D63FE">
        <w:rPr>
          <w:color w:val="000000" w:themeColor="text1"/>
        </w:rPr>
        <w:t xml:space="preserve">in levels of worry </w:t>
      </w:r>
      <w:r>
        <w:rPr>
          <w:color w:val="000000" w:themeColor="text1"/>
        </w:rPr>
        <w:t>and persecutory thinking</w:t>
      </w:r>
      <w:r w:rsidRPr="003D63FE">
        <w:rPr>
          <w:color w:val="000000" w:themeColor="text1"/>
        </w:rPr>
        <w:t xml:space="preserve"> (</w:t>
      </w:r>
      <w:proofErr w:type="spellStart"/>
      <w:r w:rsidRPr="00600AB3">
        <w:rPr>
          <w:i/>
          <w:iCs/>
          <w:color w:val="000000" w:themeColor="text1"/>
        </w:rPr>
        <w:t>ps</w:t>
      </w:r>
      <w:proofErr w:type="spellEnd"/>
      <w:r w:rsidRPr="003D63FE">
        <w:rPr>
          <w:color w:val="000000" w:themeColor="text1"/>
        </w:rPr>
        <w:t xml:space="preserve"> &lt; .01</w:t>
      </w:r>
      <w:r>
        <w:rPr>
          <w:color w:val="000000" w:themeColor="text1"/>
        </w:rPr>
        <w:t>0</w:t>
      </w:r>
      <w:r w:rsidRPr="003D63FE">
        <w:rPr>
          <w:color w:val="000000" w:themeColor="text1"/>
        </w:rPr>
        <w:t>). There were no significant changes in sleep quality</w:t>
      </w:r>
      <w:r>
        <w:rPr>
          <w:color w:val="000000" w:themeColor="text1"/>
        </w:rPr>
        <w:t>,</w:t>
      </w:r>
      <w:r w:rsidRPr="003D63FE">
        <w:rPr>
          <w:color w:val="000000" w:themeColor="text1"/>
        </w:rPr>
        <w:t xml:space="preserve"> or levels of </w:t>
      </w:r>
      <w:r>
        <w:rPr>
          <w:color w:val="000000" w:themeColor="text1"/>
        </w:rPr>
        <w:t>depression</w:t>
      </w:r>
      <w:r w:rsidRPr="003D63FE">
        <w:rPr>
          <w:color w:val="000000" w:themeColor="text1"/>
        </w:rPr>
        <w:t xml:space="preserve"> </w:t>
      </w:r>
      <w:r>
        <w:rPr>
          <w:color w:val="000000" w:themeColor="text1"/>
        </w:rPr>
        <w:t xml:space="preserve">and </w:t>
      </w:r>
      <w:r w:rsidRPr="003D63FE">
        <w:rPr>
          <w:color w:val="000000" w:themeColor="text1"/>
        </w:rPr>
        <w:t xml:space="preserve">pandemic paranoia at </w:t>
      </w:r>
      <w:r>
        <w:rPr>
          <w:color w:val="000000" w:themeColor="text1"/>
        </w:rPr>
        <w:t>T2 (</w:t>
      </w:r>
      <w:proofErr w:type="spellStart"/>
      <w:r w:rsidRPr="00373CE9">
        <w:rPr>
          <w:i/>
          <w:iCs/>
          <w:color w:val="000000" w:themeColor="text1"/>
        </w:rPr>
        <w:t>ps</w:t>
      </w:r>
      <w:proofErr w:type="spellEnd"/>
      <w:r>
        <w:rPr>
          <w:i/>
          <w:iCs/>
          <w:color w:val="000000" w:themeColor="text1"/>
        </w:rPr>
        <w:t xml:space="preserve"> &gt; </w:t>
      </w:r>
      <w:r>
        <w:rPr>
          <w:color w:val="000000" w:themeColor="text1"/>
        </w:rPr>
        <w:t>.050)</w:t>
      </w:r>
      <w:r w:rsidRPr="003D63FE">
        <w:rPr>
          <w:color w:val="000000" w:themeColor="text1"/>
        </w:rPr>
        <w:t xml:space="preserve">. </w:t>
      </w:r>
    </w:p>
    <w:p w14:paraId="305A71AF" w14:textId="77777777" w:rsidR="005311A7" w:rsidRPr="003D63FE" w:rsidRDefault="005311A7" w:rsidP="00D37E50">
      <w:pPr>
        <w:ind w:firstLine="944"/>
        <w:rPr>
          <w:color w:val="000000" w:themeColor="text1"/>
        </w:rPr>
      </w:pPr>
    </w:p>
    <w:p w14:paraId="18C81B9F" w14:textId="77777777" w:rsidR="005311A7" w:rsidRPr="003D63FE" w:rsidRDefault="005311A7" w:rsidP="00AF413E">
      <w:pPr>
        <w:ind w:firstLine="0"/>
        <w:rPr>
          <w:color w:val="000000" w:themeColor="text1"/>
        </w:rPr>
      </w:pPr>
      <w:r>
        <w:tab/>
      </w:r>
      <w:r w:rsidRPr="003D63FE">
        <w:rPr>
          <w:color w:val="000000" w:themeColor="text1"/>
        </w:rPr>
        <w:t> </w:t>
      </w:r>
      <w:r>
        <w:rPr>
          <w:color w:val="000000" w:themeColor="text1"/>
        </w:rPr>
        <w:t xml:space="preserve">TABLE 1 HERE </w:t>
      </w:r>
    </w:p>
    <w:p w14:paraId="4FD85C75" w14:textId="77777777" w:rsidR="005311A7" w:rsidRPr="003D63FE" w:rsidRDefault="005311A7" w:rsidP="00D37E50">
      <w:pPr>
        <w:ind w:firstLine="944"/>
        <w:rPr>
          <w:color w:val="000000" w:themeColor="text1"/>
        </w:rPr>
      </w:pPr>
      <w:r w:rsidRPr="003D63FE">
        <w:rPr>
          <w:color w:val="000000" w:themeColor="text1"/>
        </w:rPr>
        <w:t> </w:t>
      </w:r>
    </w:p>
    <w:p w14:paraId="3A5FC919" w14:textId="77777777" w:rsidR="005311A7" w:rsidRDefault="005311A7" w:rsidP="00D37E50">
      <w:pPr>
        <w:pStyle w:val="Heading2"/>
        <w:rPr>
          <w:color w:val="000000" w:themeColor="text1"/>
        </w:rPr>
      </w:pPr>
      <w:r>
        <w:rPr>
          <w:color w:val="000000" w:themeColor="text1"/>
        </w:rPr>
        <w:t>Moderation Analysis</w:t>
      </w:r>
    </w:p>
    <w:p w14:paraId="07B2A0B2" w14:textId="77777777" w:rsidR="005311A7" w:rsidRDefault="005311A7" w:rsidP="005C25A6">
      <w:r>
        <w:t xml:space="preserve">A simple moderation analysis, based on 5000 bootstrapped samples, controlling for T1 covariates, did not reveal a </w:t>
      </w:r>
      <w:r w:rsidRPr="002B2DC0">
        <w:t>significant</w:t>
      </w:r>
      <w:r>
        <w:t xml:space="preserve"> moderating impact for T2 persecutory thinking on </w:t>
      </w:r>
      <w:r>
        <w:lastRenderedPageBreak/>
        <w:t xml:space="preserve">the </w:t>
      </w:r>
      <w:r w:rsidRPr="002B2DC0">
        <w:t>relationship</w:t>
      </w:r>
      <w:r>
        <w:t xml:space="preserve"> between insomnia T2 and pandemic paranoia T2 (b = .006, SE = .006, </w:t>
      </w:r>
      <w:r w:rsidRPr="00CF06B3">
        <w:t xml:space="preserve">p </w:t>
      </w:r>
      <w:r>
        <w:t xml:space="preserve">= .296, </w:t>
      </w:r>
      <w:r w:rsidRPr="00CF06B3">
        <w:t>95%</w:t>
      </w:r>
      <w:proofErr w:type="gramStart"/>
      <w:r w:rsidRPr="00CF06B3">
        <w:t>CI[</w:t>
      </w:r>
      <w:proofErr w:type="gramEnd"/>
      <w:r>
        <w:t xml:space="preserve">-.005, .017].  In the regression, combined with T1 covariates, both insomnia T2 (b = .247, SE = .097, </w:t>
      </w:r>
      <w:r w:rsidRPr="0053349D">
        <w:t xml:space="preserve">p </w:t>
      </w:r>
      <w:r>
        <w:t>=</w:t>
      </w:r>
      <w:r w:rsidRPr="0053349D">
        <w:t xml:space="preserve"> .01</w:t>
      </w:r>
      <w:r>
        <w:t xml:space="preserve">1, </w:t>
      </w:r>
      <w:r w:rsidRPr="0053349D">
        <w:t>95%CI[</w:t>
      </w:r>
      <w:r>
        <w:t xml:space="preserve">.056, .437]) and persecutory thinking T2 (b = .530, SE = .101, </w:t>
      </w:r>
      <w:r w:rsidRPr="0053349D">
        <w:t>p &lt; .0</w:t>
      </w:r>
      <w:r>
        <w:t>0</w:t>
      </w:r>
      <w:r w:rsidRPr="0053349D">
        <w:t>1</w:t>
      </w:r>
      <w:r>
        <w:t xml:space="preserve">, </w:t>
      </w:r>
      <w:r w:rsidRPr="0053349D">
        <w:t>95%CI[</w:t>
      </w:r>
      <w:r>
        <w:t>.332, .728]) were predictors for pandemic paranoia T2: Full model – R</w:t>
      </w:r>
      <w:r>
        <w:rPr>
          <w:vertAlign w:val="superscript"/>
        </w:rPr>
        <w:t xml:space="preserve">2 </w:t>
      </w:r>
      <w:r>
        <w:t xml:space="preserve">= .604, F = 180.010 (6, 708), </w:t>
      </w:r>
      <w:r w:rsidRPr="00373758">
        <w:t>p &lt; .0</w:t>
      </w:r>
      <w:r>
        <w:t>0</w:t>
      </w:r>
      <w:r w:rsidRPr="00373758">
        <w:t>1</w:t>
      </w:r>
      <w:r>
        <w:t xml:space="preserve">.    </w:t>
      </w:r>
    </w:p>
    <w:p w14:paraId="6ACB939E" w14:textId="77777777" w:rsidR="005311A7" w:rsidRDefault="005311A7" w:rsidP="005C25A6"/>
    <w:p w14:paraId="1EEB1521" w14:textId="77777777" w:rsidR="005311A7" w:rsidRPr="00756792" w:rsidRDefault="005311A7" w:rsidP="005C25A6">
      <w:pPr>
        <w:ind w:firstLine="0"/>
        <w:rPr>
          <w:b/>
          <w:bCs/>
        </w:rPr>
      </w:pPr>
      <w:r w:rsidRPr="00756792">
        <w:rPr>
          <w:b/>
          <w:bCs/>
        </w:rPr>
        <w:t>Mediation Analysis</w:t>
      </w:r>
    </w:p>
    <w:p w14:paraId="3B9648B6" w14:textId="77777777" w:rsidR="005311A7" w:rsidRDefault="005311A7" w:rsidP="006E6B3E">
      <w:pPr>
        <w:ind w:firstLine="720"/>
      </w:pPr>
      <w:r>
        <w:t xml:space="preserve">A mediation analysis, based on 5000 bootstrapped samples, controlling for T1 covariates, assessed the parallel mediating roles of anxiety, depression and worry on the </w:t>
      </w:r>
      <w:r w:rsidRPr="0053349D">
        <w:t>relationship</w:t>
      </w:r>
      <w:r>
        <w:t xml:space="preserve"> between insomnia and pandemic paranoia. The results the direct effect of T2 insomnia was found to be </w:t>
      </w:r>
      <w:r w:rsidRPr="0053349D">
        <w:t>significant</w:t>
      </w:r>
      <w:r>
        <w:t xml:space="preserve"> on T2 pandemic </w:t>
      </w:r>
      <w:r w:rsidRPr="0017150C">
        <w:t xml:space="preserve">paranoia </w:t>
      </w:r>
      <w:r>
        <w:t xml:space="preserve">(b = .344, SE = .098, </w:t>
      </w:r>
      <w:r w:rsidRPr="0053349D">
        <w:t>p &lt; .0</w:t>
      </w:r>
      <w:r>
        <w:t>0</w:t>
      </w:r>
      <w:r w:rsidRPr="0053349D">
        <w:t>1</w:t>
      </w:r>
      <w:r>
        <w:t xml:space="preserve">, </w:t>
      </w:r>
      <w:r w:rsidRPr="0053349D">
        <w:t>95%</w:t>
      </w:r>
      <w:proofErr w:type="gramStart"/>
      <w:r w:rsidRPr="0053349D">
        <w:t>CI[</w:t>
      </w:r>
      <w:proofErr w:type="gramEnd"/>
      <w:r>
        <w:t xml:space="preserve">.152, .536]). Significant indirect effects were found for T2 anxiety (b = .482, SE = .138, </w:t>
      </w:r>
      <w:r w:rsidRPr="0053349D">
        <w:t>p &lt; .0</w:t>
      </w:r>
      <w:r>
        <w:t>0</w:t>
      </w:r>
      <w:r w:rsidRPr="0053349D">
        <w:t>1</w:t>
      </w:r>
      <w:r>
        <w:t xml:space="preserve">, </w:t>
      </w:r>
      <w:r w:rsidRPr="0053349D">
        <w:t>95%</w:t>
      </w:r>
      <w:proofErr w:type="gramStart"/>
      <w:r w:rsidRPr="0053349D">
        <w:t>CI[</w:t>
      </w:r>
      <w:proofErr w:type="gramEnd"/>
      <w:r>
        <w:t xml:space="preserve">.210, .753]) and T2 worry (b = .447, SE = .172, </w:t>
      </w:r>
      <w:r w:rsidRPr="0053349D">
        <w:t xml:space="preserve">p </w:t>
      </w:r>
      <w:r>
        <w:t>=</w:t>
      </w:r>
      <w:r w:rsidRPr="0053349D">
        <w:t xml:space="preserve"> .0</w:t>
      </w:r>
      <w:r>
        <w:t xml:space="preserve">09, </w:t>
      </w:r>
      <w:r w:rsidRPr="0053349D">
        <w:t>95%</w:t>
      </w:r>
      <w:proofErr w:type="gramStart"/>
      <w:r w:rsidRPr="0053349D">
        <w:t>CI[</w:t>
      </w:r>
      <w:proofErr w:type="gramEnd"/>
      <w:r>
        <w:t>.110, .785]) on T2 pandemic paranoia. Depression (b = -.195, p = .137) was not found to be a significant mediator. Full model – R</w:t>
      </w:r>
      <w:r>
        <w:rPr>
          <w:vertAlign w:val="superscript"/>
        </w:rPr>
        <w:t xml:space="preserve">2 </w:t>
      </w:r>
      <w:r>
        <w:t xml:space="preserve">= .561, F = 99.903 (9, 705), </w:t>
      </w:r>
      <w:r w:rsidRPr="00373758">
        <w:t>p &lt; .0</w:t>
      </w:r>
      <w:r>
        <w:t>0</w:t>
      </w:r>
      <w:r w:rsidRPr="00373758">
        <w:t>1</w:t>
      </w:r>
      <w:r>
        <w:t xml:space="preserve">.   </w:t>
      </w:r>
    </w:p>
    <w:p w14:paraId="0F705107" w14:textId="77777777" w:rsidR="005311A7" w:rsidRPr="003D63FE" w:rsidRDefault="005311A7" w:rsidP="00D37E50">
      <w:pPr>
        <w:pStyle w:val="Heading2"/>
        <w:rPr>
          <w:color w:val="000000" w:themeColor="text1"/>
        </w:rPr>
      </w:pPr>
      <w:r w:rsidRPr="003D63FE">
        <w:rPr>
          <w:color w:val="000000" w:themeColor="text1"/>
        </w:rPr>
        <w:t>Moderated Mediation Analyses</w:t>
      </w:r>
    </w:p>
    <w:p w14:paraId="62E12407" w14:textId="77777777" w:rsidR="005311A7" w:rsidRDefault="005311A7" w:rsidP="00B963AA">
      <w:r>
        <w:t xml:space="preserve">Figure 2 presents the paths and coefficients for the moderated mediation analysis. </w:t>
      </w:r>
    </w:p>
    <w:p w14:paraId="722FFA01" w14:textId="77777777" w:rsidR="005311A7" w:rsidRDefault="005311A7" w:rsidP="00B963AA"/>
    <w:p w14:paraId="3596F3EC" w14:textId="77777777" w:rsidR="005311A7" w:rsidRPr="00A530E5" w:rsidRDefault="005311A7" w:rsidP="0017150C">
      <w:pPr>
        <w:ind w:firstLine="0"/>
        <w:rPr>
          <w:b/>
          <w:bCs/>
          <w:i/>
          <w:iCs/>
        </w:rPr>
      </w:pPr>
      <w:r w:rsidRPr="00A530E5">
        <w:rPr>
          <w:b/>
          <w:bCs/>
          <w:i/>
          <w:iCs/>
        </w:rPr>
        <w:t xml:space="preserve">Figure </w:t>
      </w:r>
      <w:r>
        <w:rPr>
          <w:b/>
          <w:bCs/>
          <w:i/>
          <w:iCs/>
        </w:rPr>
        <w:t>2</w:t>
      </w:r>
    </w:p>
    <w:p w14:paraId="7B186C70" w14:textId="77777777" w:rsidR="005311A7" w:rsidRDefault="005311A7" w:rsidP="00E56351">
      <w:pPr>
        <w:ind w:firstLine="0"/>
      </w:pPr>
      <w:r>
        <w:t xml:space="preserve">Moderated-mediation model of the effect of change in insomnia on change in pandemic paranoia, conditional on persecutory thinking (∆).   </w:t>
      </w:r>
    </w:p>
    <w:p w14:paraId="7304FE5E" w14:textId="77777777" w:rsidR="005311A7" w:rsidRDefault="005311A7" w:rsidP="0017150C">
      <w:pPr>
        <w:ind w:firstLine="0"/>
        <w:jc w:val="both"/>
      </w:pPr>
      <w:r w:rsidRPr="008F3A72">
        <w:rPr>
          <w:noProof/>
        </w:rPr>
        <w:lastRenderedPageBreak/>
        <w:drawing>
          <wp:inline distT="0" distB="0" distL="0" distR="0" wp14:anchorId="6612B315" wp14:editId="766D2569">
            <wp:extent cx="5910774" cy="3315768"/>
            <wp:effectExtent l="0" t="0" r="0" b="0"/>
            <wp:docPr id="1168830616"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30616" name="Picture 1" descr="A diagram of a model&#10;&#10;Description automatically generated"/>
                    <pic:cNvPicPr/>
                  </pic:nvPicPr>
                  <pic:blipFill>
                    <a:blip r:embed="rId9"/>
                    <a:stretch>
                      <a:fillRect/>
                    </a:stretch>
                  </pic:blipFill>
                  <pic:spPr>
                    <a:xfrm>
                      <a:off x="0" y="0"/>
                      <a:ext cx="5919956" cy="3320919"/>
                    </a:xfrm>
                    <a:prstGeom prst="rect">
                      <a:avLst/>
                    </a:prstGeom>
                  </pic:spPr>
                </pic:pic>
              </a:graphicData>
            </a:graphic>
          </wp:inline>
        </w:drawing>
      </w:r>
    </w:p>
    <w:p w14:paraId="219F5BC1" w14:textId="77777777" w:rsidR="005311A7" w:rsidRDefault="005311A7" w:rsidP="0017150C">
      <w:pPr>
        <w:ind w:firstLine="0"/>
        <w:jc w:val="both"/>
      </w:pPr>
      <w:r w:rsidRPr="00E56351">
        <w:rPr>
          <w:i/>
          <w:iCs/>
        </w:rPr>
        <w:t>Note</w:t>
      </w:r>
      <w:r>
        <w:t xml:space="preserve">: a = conditional effect of X on M (high = + 1 SD, low = -1 SD of the moderator); b = the effect of M on Y in the context of the other mediators. Individual indirect effects = a ⅹ b. </w:t>
      </w:r>
    </w:p>
    <w:p w14:paraId="798FBB79" w14:textId="77777777" w:rsidR="005311A7" w:rsidRDefault="005311A7" w:rsidP="00E56351">
      <w:pPr>
        <w:ind w:firstLine="0"/>
        <w:jc w:val="both"/>
      </w:pPr>
      <w:r>
        <w:t xml:space="preserve">*p &lt; .001.  </w:t>
      </w:r>
    </w:p>
    <w:p w14:paraId="1A181249" w14:textId="77777777" w:rsidR="005311A7" w:rsidRDefault="005311A7" w:rsidP="00B963AA"/>
    <w:p w14:paraId="288241A1" w14:textId="77777777" w:rsidR="005311A7" w:rsidRDefault="005311A7" w:rsidP="00B963AA">
      <w:r w:rsidRPr="003D63FE">
        <w:t>Results based on 5000 bootstrapped samples indicated</w:t>
      </w:r>
      <w:r>
        <w:t xml:space="preserve"> that</w:t>
      </w:r>
      <w:r w:rsidRPr="003D63FE">
        <w:t xml:space="preserve">, controlling for the effects of </w:t>
      </w:r>
      <w:r>
        <w:t xml:space="preserve">T1 </w:t>
      </w:r>
      <w:r w:rsidRPr="003D63FE">
        <w:t xml:space="preserve">covariates, there was </w:t>
      </w:r>
      <w:r>
        <w:t>no</w:t>
      </w:r>
      <w:r w:rsidRPr="003D63FE">
        <w:t xml:space="preserve"> direct effect (</w:t>
      </w:r>
      <w:r>
        <w:t xml:space="preserve">b </w:t>
      </w:r>
      <w:r w:rsidRPr="003D63FE">
        <w:t>=</w:t>
      </w:r>
      <w:r>
        <w:t xml:space="preserve"> </w:t>
      </w:r>
      <w:r w:rsidRPr="003D63FE">
        <w:t>.</w:t>
      </w:r>
      <w:r>
        <w:t>194</w:t>
      </w:r>
      <w:r w:rsidRPr="003D63FE">
        <w:t>, SE</w:t>
      </w:r>
      <w:r>
        <w:t xml:space="preserve"> </w:t>
      </w:r>
      <w:r w:rsidRPr="003D63FE">
        <w:t>=</w:t>
      </w:r>
      <w:r>
        <w:t xml:space="preserve"> </w:t>
      </w:r>
      <w:r w:rsidRPr="003D63FE">
        <w:t>.1</w:t>
      </w:r>
      <w:r>
        <w:t>01</w:t>
      </w:r>
      <w:r w:rsidRPr="003D63FE">
        <w:t xml:space="preserve">, p </w:t>
      </w:r>
      <w:r>
        <w:rPr>
          <w:i/>
          <w:iCs/>
          <w:color w:val="000000" w:themeColor="text1"/>
        </w:rPr>
        <w:t xml:space="preserve">= </w:t>
      </w:r>
      <w:r>
        <w:rPr>
          <w:color w:val="000000" w:themeColor="text1"/>
        </w:rPr>
        <w:t>.055</w:t>
      </w:r>
      <w:r w:rsidRPr="003D63FE">
        <w:t xml:space="preserve"> 95%</w:t>
      </w:r>
      <w:proofErr w:type="gramStart"/>
      <w:r w:rsidRPr="003D63FE">
        <w:t>CI[</w:t>
      </w:r>
      <w:proofErr w:type="gramEnd"/>
      <w:r>
        <w:t>-.004</w:t>
      </w:r>
      <w:r w:rsidRPr="003D63FE">
        <w:t xml:space="preserve">, </w:t>
      </w:r>
      <w:r>
        <w:t>.392</w:t>
      </w:r>
      <w:r w:rsidRPr="003D63FE">
        <w:t xml:space="preserve">]) of changes in </w:t>
      </w:r>
      <w:r>
        <w:t>insomnia</w:t>
      </w:r>
      <w:r w:rsidRPr="003D63FE">
        <w:t xml:space="preserve"> on changes in pandemic paranoia.</w:t>
      </w:r>
      <w:r>
        <w:t xml:space="preserve"> The overall insomnia x persecutory thinking interaction effect was also non-significant (Interaction = .004, SE = .006, </w:t>
      </w:r>
      <w:r w:rsidRPr="00B963AA">
        <w:t xml:space="preserve">p </w:t>
      </w:r>
      <w:r>
        <w:t>=</w:t>
      </w:r>
      <w:r w:rsidRPr="00B963AA">
        <w:t xml:space="preserve"> .</w:t>
      </w:r>
      <w:r>
        <w:t>516. 95%</w:t>
      </w:r>
      <w:proofErr w:type="gramStart"/>
      <w:r>
        <w:t>CI[</w:t>
      </w:r>
      <w:proofErr w:type="gramEnd"/>
      <w:r>
        <w:t xml:space="preserve">-.008, .015]). </w:t>
      </w:r>
    </w:p>
    <w:p w14:paraId="281C7F6D" w14:textId="77777777" w:rsidR="005311A7" w:rsidRDefault="005311A7" w:rsidP="00B963AA"/>
    <w:p w14:paraId="68514C71" w14:textId="77777777" w:rsidR="005311A7" w:rsidRPr="003D63FE" w:rsidRDefault="005311A7" w:rsidP="00D37E50">
      <w:r>
        <w:t xml:space="preserve">Each of the path-a mediator analyses presented in Figure 2 are reported below. </w:t>
      </w:r>
      <w:r w:rsidRPr="003D63FE">
        <w:t xml:space="preserve"> </w:t>
      </w:r>
    </w:p>
    <w:p w14:paraId="11EE6EB5" w14:textId="77777777" w:rsidR="005311A7" w:rsidRPr="003D63FE" w:rsidRDefault="005311A7" w:rsidP="00D37E50">
      <w:pPr>
        <w:ind w:firstLine="944"/>
        <w:rPr>
          <w:color w:val="000000" w:themeColor="text1"/>
        </w:rPr>
      </w:pPr>
      <w:r w:rsidRPr="003D63FE">
        <w:rPr>
          <w:color w:val="000000" w:themeColor="text1"/>
        </w:rPr>
        <w:t> </w:t>
      </w:r>
    </w:p>
    <w:p w14:paraId="0319DF90" w14:textId="77777777" w:rsidR="005311A7" w:rsidRPr="003D63FE" w:rsidRDefault="005311A7" w:rsidP="00D37E50">
      <w:pPr>
        <w:ind w:firstLine="944"/>
        <w:rPr>
          <w:color w:val="000000" w:themeColor="text1"/>
        </w:rPr>
      </w:pPr>
      <w:r>
        <w:rPr>
          <w:i/>
          <w:color w:val="000000" w:themeColor="text1"/>
        </w:rPr>
        <w:t>Insomnia</w:t>
      </w:r>
      <w:r w:rsidRPr="003D63FE">
        <w:rPr>
          <w:i/>
          <w:color w:val="000000" w:themeColor="text1"/>
        </w:rPr>
        <w:t xml:space="preserve"> -&gt; Anxiety -&gt; Pandemic Paranoia </w:t>
      </w:r>
    </w:p>
    <w:p w14:paraId="12A24792" w14:textId="77777777" w:rsidR="005311A7" w:rsidRPr="003D63FE" w:rsidRDefault="005311A7" w:rsidP="00D37E50">
      <w:pPr>
        <w:ind w:firstLine="944"/>
        <w:rPr>
          <w:color w:val="000000" w:themeColor="text1"/>
        </w:rPr>
      </w:pPr>
      <w:r w:rsidRPr="003D63FE">
        <w:rPr>
          <w:color w:val="000000" w:themeColor="text1"/>
        </w:rPr>
        <w:t xml:space="preserve">The a-path from </w:t>
      </w:r>
      <w:r>
        <w:rPr>
          <w:color w:val="000000" w:themeColor="text1"/>
        </w:rPr>
        <w:t>insomnia</w:t>
      </w:r>
      <w:r w:rsidRPr="003D63FE">
        <w:rPr>
          <w:color w:val="000000" w:themeColor="text1"/>
        </w:rPr>
        <w:t xml:space="preserve"> to </w:t>
      </w:r>
      <w:r>
        <w:rPr>
          <w:color w:val="000000" w:themeColor="text1"/>
        </w:rPr>
        <w:t>anxiety</w:t>
      </w:r>
      <w:r w:rsidRPr="003D63FE">
        <w:rPr>
          <w:color w:val="000000" w:themeColor="text1"/>
        </w:rPr>
        <w:t xml:space="preserve"> was significant, </w:t>
      </w:r>
      <w:r w:rsidRPr="003D63FE">
        <w:rPr>
          <w:i/>
          <w:color w:val="000000" w:themeColor="text1"/>
        </w:rPr>
        <w:t>b</w:t>
      </w:r>
      <w:r>
        <w:rPr>
          <w:i/>
          <w:color w:val="000000" w:themeColor="text1"/>
        </w:rPr>
        <w:t xml:space="preserve"> </w:t>
      </w:r>
      <w:r w:rsidRPr="003D63FE">
        <w:rPr>
          <w:color w:val="000000" w:themeColor="text1"/>
        </w:rPr>
        <w:t>= .</w:t>
      </w:r>
      <w:r>
        <w:rPr>
          <w:color w:val="000000" w:themeColor="text1"/>
        </w:rPr>
        <w:t>191</w:t>
      </w:r>
      <w:r w:rsidRPr="003D63FE">
        <w:rPr>
          <w:color w:val="000000" w:themeColor="text1"/>
        </w:rPr>
        <w:t>, SE = .</w:t>
      </w:r>
      <w:r>
        <w:rPr>
          <w:color w:val="000000" w:themeColor="text1"/>
        </w:rPr>
        <w:t>044</w:t>
      </w:r>
      <w:r w:rsidRPr="003D63FE">
        <w:rPr>
          <w:color w:val="000000" w:themeColor="text1"/>
        </w:rPr>
        <w:t>, p &lt; .00</w:t>
      </w:r>
      <w:r>
        <w:rPr>
          <w:color w:val="000000" w:themeColor="text1"/>
        </w:rPr>
        <w:t>1,</w:t>
      </w:r>
      <w:r w:rsidRPr="003D63FE">
        <w:rPr>
          <w:color w:val="000000" w:themeColor="text1"/>
        </w:rPr>
        <w:t xml:space="preserve"> 95%</w:t>
      </w:r>
      <w:proofErr w:type="gramStart"/>
      <w:r w:rsidRPr="003D63FE">
        <w:rPr>
          <w:color w:val="000000" w:themeColor="text1"/>
        </w:rPr>
        <w:t>CI[</w:t>
      </w:r>
      <w:proofErr w:type="gramEnd"/>
      <w:r w:rsidRPr="003D63FE">
        <w:rPr>
          <w:color w:val="000000" w:themeColor="text1"/>
        </w:rPr>
        <w:t>.</w:t>
      </w:r>
      <w:r>
        <w:rPr>
          <w:color w:val="000000" w:themeColor="text1"/>
        </w:rPr>
        <w:t>105</w:t>
      </w:r>
      <w:r w:rsidRPr="003D63FE">
        <w:rPr>
          <w:color w:val="000000" w:themeColor="text1"/>
        </w:rPr>
        <w:t>, .2</w:t>
      </w:r>
      <w:r>
        <w:rPr>
          <w:color w:val="000000" w:themeColor="text1"/>
        </w:rPr>
        <w:t>77</w:t>
      </w:r>
      <w:r w:rsidRPr="003D63FE">
        <w:rPr>
          <w:color w:val="000000" w:themeColor="text1"/>
        </w:rPr>
        <w:t>]</w:t>
      </w:r>
      <w:r>
        <w:rPr>
          <w:color w:val="000000" w:themeColor="text1"/>
        </w:rPr>
        <w:t xml:space="preserve">. </w:t>
      </w:r>
      <w:r w:rsidRPr="003D63FE">
        <w:rPr>
          <w:color w:val="000000" w:themeColor="text1"/>
        </w:rPr>
        <w:t xml:space="preserve">For the a-path from </w:t>
      </w:r>
      <w:r>
        <w:rPr>
          <w:color w:val="000000" w:themeColor="text1"/>
        </w:rPr>
        <w:t>insomnia</w:t>
      </w:r>
      <w:r w:rsidRPr="003D63FE">
        <w:rPr>
          <w:color w:val="000000" w:themeColor="text1"/>
        </w:rPr>
        <w:t xml:space="preserve"> to anxiety there was a significant </w:t>
      </w:r>
      <w:r w:rsidRPr="003D63FE">
        <w:rPr>
          <w:color w:val="000000" w:themeColor="text1"/>
        </w:rPr>
        <w:lastRenderedPageBreak/>
        <w:t xml:space="preserve">interaction between </w:t>
      </w:r>
      <w:r>
        <w:rPr>
          <w:color w:val="000000" w:themeColor="text1"/>
        </w:rPr>
        <w:t>insomnia</w:t>
      </w:r>
      <w:r w:rsidRPr="003D63FE">
        <w:rPr>
          <w:color w:val="000000" w:themeColor="text1"/>
        </w:rPr>
        <w:t xml:space="preserve"> and </w:t>
      </w:r>
      <w:r>
        <w:rPr>
          <w:color w:val="000000" w:themeColor="text1"/>
        </w:rPr>
        <w:t>persecutory thinking</w:t>
      </w:r>
      <w:r w:rsidRPr="003D63FE">
        <w:rPr>
          <w:color w:val="000000" w:themeColor="text1"/>
        </w:rPr>
        <w:t xml:space="preserve">, </w:t>
      </w:r>
      <w:r w:rsidRPr="003D63FE">
        <w:rPr>
          <w:i/>
          <w:color w:val="000000" w:themeColor="text1"/>
        </w:rPr>
        <w:t>b</w:t>
      </w:r>
      <w:r w:rsidRPr="003D63FE">
        <w:rPr>
          <w:color w:val="000000" w:themeColor="text1"/>
        </w:rPr>
        <w:t xml:space="preserve"> = .0</w:t>
      </w:r>
      <w:r>
        <w:rPr>
          <w:color w:val="000000" w:themeColor="text1"/>
        </w:rPr>
        <w:t>12</w:t>
      </w:r>
      <w:r w:rsidRPr="003D63FE">
        <w:rPr>
          <w:color w:val="000000" w:themeColor="text1"/>
        </w:rPr>
        <w:t>, SE = .00</w:t>
      </w:r>
      <w:r>
        <w:rPr>
          <w:color w:val="000000" w:themeColor="text1"/>
        </w:rPr>
        <w:t>3</w:t>
      </w:r>
      <w:r w:rsidRPr="003D63FE">
        <w:rPr>
          <w:color w:val="000000" w:themeColor="text1"/>
        </w:rPr>
        <w:t>, 95%</w:t>
      </w:r>
      <w:proofErr w:type="gramStart"/>
      <w:r w:rsidRPr="003D63FE">
        <w:rPr>
          <w:color w:val="000000" w:themeColor="text1"/>
        </w:rPr>
        <w:t>CI[</w:t>
      </w:r>
      <w:proofErr w:type="gramEnd"/>
      <w:r w:rsidRPr="003D63FE">
        <w:rPr>
          <w:color w:val="000000" w:themeColor="text1"/>
        </w:rPr>
        <w:t>.00</w:t>
      </w:r>
      <w:r>
        <w:rPr>
          <w:color w:val="000000" w:themeColor="text1"/>
        </w:rPr>
        <w:t>7</w:t>
      </w:r>
      <w:r w:rsidRPr="003D63FE">
        <w:rPr>
          <w:color w:val="000000" w:themeColor="text1"/>
        </w:rPr>
        <w:t>, .0</w:t>
      </w:r>
      <w:r>
        <w:rPr>
          <w:color w:val="000000" w:themeColor="text1"/>
        </w:rPr>
        <w:t>17</w:t>
      </w:r>
      <w:r w:rsidRPr="003D63FE">
        <w:rPr>
          <w:color w:val="000000" w:themeColor="text1"/>
        </w:rPr>
        <w:t>], p &lt; .00</w:t>
      </w:r>
      <w:r>
        <w:rPr>
          <w:color w:val="000000" w:themeColor="text1"/>
        </w:rPr>
        <w:t>1</w:t>
      </w:r>
      <w:r w:rsidRPr="003D63FE">
        <w:rPr>
          <w:color w:val="000000" w:themeColor="text1"/>
        </w:rPr>
        <w:t>, ΔR</w:t>
      </w:r>
      <w:r w:rsidRPr="003D63FE">
        <w:rPr>
          <w:color w:val="000000" w:themeColor="text1"/>
          <w:vertAlign w:val="superscript"/>
        </w:rPr>
        <w:t>2</w:t>
      </w:r>
      <w:r w:rsidRPr="003D63FE">
        <w:rPr>
          <w:color w:val="000000" w:themeColor="text1"/>
        </w:rPr>
        <w:t xml:space="preserve"> = .0</w:t>
      </w:r>
      <w:r>
        <w:rPr>
          <w:color w:val="000000" w:themeColor="text1"/>
        </w:rPr>
        <w:t>21</w:t>
      </w:r>
      <w:r w:rsidRPr="003D63FE">
        <w:rPr>
          <w:color w:val="000000" w:themeColor="text1"/>
        </w:rPr>
        <w:t xml:space="preserve">. The conditional indirect effect for </w:t>
      </w:r>
      <w:r>
        <w:rPr>
          <w:color w:val="000000" w:themeColor="text1"/>
        </w:rPr>
        <w:t>insomnia</w:t>
      </w:r>
      <w:r w:rsidRPr="003D63FE">
        <w:rPr>
          <w:color w:val="000000" w:themeColor="text1"/>
        </w:rPr>
        <w:t xml:space="preserve"> on anxiety was strongest for high values (+1 </w:t>
      </w:r>
      <w:r w:rsidRPr="003D63FE">
        <w:rPr>
          <w:i/>
          <w:color w:val="000000" w:themeColor="text1"/>
        </w:rPr>
        <w:t>SD</w:t>
      </w:r>
      <w:r w:rsidRPr="003D63FE">
        <w:rPr>
          <w:color w:val="000000" w:themeColor="text1"/>
        </w:rPr>
        <w:t xml:space="preserve">) of </w:t>
      </w:r>
      <w:r>
        <w:rPr>
          <w:color w:val="000000" w:themeColor="text1"/>
        </w:rPr>
        <w:t>persecutory thinking</w:t>
      </w:r>
      <w:r w:rsidRPr="003D63FE">
        <w:rPr>
          <w:color w:val="000000" w:themeColor="text1"/>
        </w:rPr>
        <w:t xml:space="preserve">, </w:t>
      </w:r>
      <w:r w:rsidRPr="003D63FE">
        <w:rPr>
          <w:i/>
          <w:color w:val="000000" w:themeColor="text1"/>
        </w:rPr>
        <w:t xml:space="preserve">b </w:t>
      </w:r>
      <w:r w:rsidRPr="003D63FE">
        <w:rPr>
          <w:color w:val="000000" w:themeColor="text1"/>
        </w:rPr>
        <w:t>= .</w:t>
      </w:r>
      <w:r>
        <w:rPr>
          <w:color w:val="000000" w:themeColor="text1"/>
        </w:rPr>
        <w:t>365</w:t>
      </w:r>
      <w:r w:rsidRPr="003D63FE">
        <w:rPr>
          <w:color w:val="000000" w:themeColor="text1"/>
        </w:rPr>
        <w:t>, SE = .0</w:t>
      </w:r>
      <w:r>
        <w:rPr>
          <w:color w:val="000000" w:themeColor="text1"/>
        </w:rPr>
        <w:t>43</w:t>
      </w:r>
      <w:r w:rsidRPr="003D63FE">
        <w:rPr>
          <w:color w:val="000000" w:themeColor="text1"/>
        </w:rPr>
        <w:t>, 95%CI [.2</w:t>
      </w:r>
      <w:r>
        <w:rPr>
          <w:color w:val="000000" w:themeColor="text1"/>
        </w:rPr>
        <w:t>80</w:t>
      </w:r>
      <w:r w:rsidRPr="003D63FE">
        <w:rPr>
          <w:color w:val="000000" w:themeColor="text1"/>
        </w:rPr>
        <w:t>, .</w:t>
      </w:r>
      <w:r>
        <w:rPr>
          <w:color w:val="000000" w:themeColor="text1"/>
        </w:rPr>
        <w:t>4</w:t>
      </w:r>
      <w:r w:rsidRPr="003D63FE">
        <w:rPr>
          <w:color w:val="000000" w:themeColor="text1"/>
        </w:rPr>
        <w:t>5</w:t>
      </w:r>
      <w:r>
        <w:rPr>
          <w:color w:val="000000" w:themeColor="text1"/>
        </w:rPr>
        <w:t>0</w:t>
      </w:r>
      <w:r w:rsidRPr="003D63FE">
        <w:rPr>
          <w:color w:val="000000" w:themeColor="text1"/>
        </w:rPr>
        <w:t xml:space="preserve">], weaker but still significant for medium values, </w:t>
      </w:r>
      <w:r w:rsidRPr="003D63FE">
        <w:rPr>
          <w:i/>
          <w:color w:val="000000" w:themeColor="text1"/>
        </w:rPr>
        <w:t xml:space="preserve">b </w:t>
      </w:r>
      <w:r w:rsidRPr="003D63FE">
        <w:rPr>
          <w:color w:val="000000" w:themeColor="text1"/>
        </w:rPr>
        <w:t> = .</w:t>
      </w:r>
      <w:r>
        <w:rPr>
          <w:color w:val="000000" w:themeColor="text1"/>
        </w:rPr>
        <w:t>260</w:t>
      </w:r>
      <w:r w:rsidRPr="003D63FE">
        <w:rPr>
          <w:color w:val="000000" w:themeColor="text1"/>
        </w:rPr>
        <w:t>, SE = .0</w:t>
      </w:r>
      <w:r>
        <w:rPr>
          <w:color w:val="000000" w:themeColor="text1"/>
        </w:rPr>
        <w:t>40</w:t>
      </w:r>
      <w:r w:rsidRPr="003D63FE">
        <w:rPr>
          <w:color w:val="000000" w:themeColor="text1"/>
        </w:rPr>
        <w:t>, 95%CI[.1</w:t>
      </w:r>
      <w:r>
        <w:rPr>
          <w:color w:val="000000" w:themeColor="text1"/>
        </w:rPr>
        <w:t>82</w:t>
      </w:r>
      <w:r w:rsidRPr="003D63FE">
        <w:rPr>
          <w:color w:val="000000" w:themeColor="text1"/>
        </w:rPr>
        <w:t>, .</w:t>
      </w:r>
      <w:r>
        <w:rPr>
          <w:color w:val="000000" w:themeColor="text1"/>
        </w:rPr>
        <w:t>338</w:t>
      </w:r>
      <w:r w:rsidRPr="003D63FE">
        <w:rPr>
          <w:color w:val="000000" w:themeColor="text1"/>
        </w:rPr>
        <w:t xml:space="preserve">], and small values (-1 </w:t>
      </w:r>
      <w:r w:rsidRPr="003D63FE">
        <w:rPr>
          <w:i/>
          <w:color w:val="000000" w:themeColor="text1"/>
        </w:rPr>
        <w:t>SD</w:t>
      </w:r>
      <w:r w:rsidRPr="003D63FE">
        <w:rPr>
          <w:color w:val="000000" w:themeColor="text1"/>
        </w:rPr>
        <w:t xml:space="preserve">) of </w:t>
      </w:r>
      <w:r>
        <w:rPr>
          <w:color w:val="000000" w:themeColor="text1"/>
        </w:rPr>
        <w:t>persecutory thinking</w:t>
      </w:r>
      <w:r w:rsidRPr="003D63FE">
        <w:rPr>
          <w:color w:val="000000" w:themeColor="text1"/>
        </w:rPr>
        <w:t xml:space="preserve">, </w:t>
      </w:r>
      <w:r w:rsidRPr="003D63FE">
        <w:rPr>
          <w:i/>
          <w:color w:val="000000" w:themeColor="text1"/>
        </w:rPr>
        <w:t>b</w:t>
      </w:r>
      <w:r w:rsidRPr="003D63FE">
        <w:rPr>
          <w:color w:val="000000" w:themeColor="text1"/>
        </w:rPr>
        <w:t>  = .1</w:t>
      </w:r>
      <w:r>
        <w:rPr>
          <w:color w:val="000000" w:themeColor="text1"/>
        </w:rPr>
        <w:t>91</w:t>
      </w:r>
      <w:r w:rsidRPr="003D63FE">
        <w:rPr>
          <w:color w:val="000000" w:themeColor="text1"/>
        </w:rPr>
        <w:t>, SE = .0</w:t>
      </w:r>
      <w:r>
        <w:rPr>
          <w:color w:val="000000" w:themeColor="text1"/>
        </w:rPr>
        <w:t>44</w:t>
      </w:r>
      <w:r w:rsidRPr="003D63FE">
        <w:rPr>
          <w:color w:val="000000" w:themeColor="text1"/>
        </w:rPr>
        <w:t>, 95%CI [.1</w:t>
      </w:r>
      <w:r>
        <w:rPr>
          <w:color w:val="000000" w:themeColor="text1"/>
        </w:rPr>
        <w:t>05</w:t>
      </w:r>
      <w:r w:rsidRPr="003D63FE">
        <w:rPr>
          <w:color w:val="000000" w:themeColor="text1"/>
        </w:rPr>
        <w:t>, .2</w:t>
      </w:r>
      <w:r>
        <w:rPr>
          <w:color w:val="000000" w:themeColor="text1"/>
        </w:rPr>
        <w:t>77</w:t>
      </w:r>
      <w:r w:rsidRPr="003D63FE">
        <w:rPr>
          <w:color w:val="000000" w:themeColor="text1"/>
        </w:rPr>
        <w:t xml:space="preserve">]. The Johnson-Neyman method did not find any significant transition points.  </w:t>
      </w:r>
    </w:p>
    <w:p w14:paraId="76A05E9D" w14:textId="77777777" w:rsidR="005311A7" w:rsidRPr="003D63FE" w:rsidRDefault="005311A7" w:rsidP="006D3EB9">
      <w:pPr>
        <w:ind w:firstLine="944"/>
        <w:rPr>
          <w:color w:val="000000" w:themeColor="text1"/>
        </w:rPr>
      </w:pPr>
      <w:r w:rsidRPr="003D63FE">
        <w:rPr>
          <w:color w:val="000000" w:themeColor="text1"/>
        </w:rPr>
        <w:t xml:space="preserve">The b-path from anxiety to pandemic paranoia was significant, </w:t>
      </w:r>
      <w:r w:rsidRPr="003D63FE">
        <w:rPr>
          <w:i/>
          <w:color w:val="000000" w:themeColor="text1"/>
        </w:rPr>
        <w:t>b</w:t>
      </w:r>
      <w:r w:rsidRPr="003D63FE">
        <w:rPr>
          <w:color w:val="000000" w:themeColor="text1"/>
        </w:rPr>
        <w:t>= .</w:t>
      </w:r>
      <w:r>
        <w:rPr>
          <w:color w:val="000000" w:themeColor="text1"/>
        </w:rPr>
        <w:t>390</w:t>
      </w:r>
      <w:r w:rsidRPr="003D63FE">
        <w:rPr>
          <w:color w:val="000000" w:themeColor="text1"/>
        </w:rPr>
        <w:t>, SE = .</w:t>
      </w:r>
      <w:r>
        <w:rPr>
          <w:color w:val="000000" w:themeColor="text1"/>
        </w:rPr>
        <w:t>131</w:t>
      </w:r>
      <w:r w:rsidRPr="003D63FE">
        <w:rPr>
          <w:color w:val="000000" w:themeColor="text1"/>
        </w:rPr>
        <w:t>, p &lt; .</w:t>
      </w:r>
      <w:r>
        <w:rPr>
          <w:color w:val="000000" w:themeColor="text1"/>
        </w:rPr>
        <w:t>003</w:t>
      </w:r>
      <w:r w:rsidRPr="003D63FE">
        <w:rPr>
          <w:color w:val="000000" w:themeColor="text1"/>
        </w:rPr>
        <w:t>, 95%</w:t>
      </w:r>
      <w:proofErr w:type="gramStart"/>
      <w:r w:rsidRPr="003D63FE">
        <w:rPr>
          <w:color w:val="000000" w:themeColor="text1"/>
        </w:rPr>
        <w:t>CI[</w:t>
      </w:r>
      <w:proofErr w:type="gramEnd"/>
      <w:r w:rsidRPr="003D63FE">
        <w:rPr>
          <w:color w:val="000000" w:themeColor="text1"/>
        </w:rPr>
        <w:t>.</w:t>
      </w:r>
      <w:r>
        <w:rPr>
          <w:color w:val="000000" w:themeColor="text1"/>
        </w:rPr>
        <w:t>133</w:t>
      </w:r>
      <w:r w:rsidRPr="003D63FE">
        <w:rPr>
          <w:color w:val="000000" w:themeColor="text1"/>
        </w:rPr>
        <w:t>, .</w:t>
      </w:r>
      <w:r>
        <w:rPr>
          <w:color w:val="000000" w:themeColor="text1"/>
        </w:rPr>
        <w:t>647</w:t>
      </w:r>
      <w:r w:rsidRPr="003D63FE">
        <w:rPr>
          <w:color w:val="000000" w:themeColor="text1"/>
        </w:rPr>
        <w:t>].  Conditional indirect effects for anxiety as a mediator were significant, index of moderated mediation</w:t>
      </w:r>
      <w:r>
        <w:rPr>
          <w:color w:val="000000" w:themeColor="text1"/>
        </w:rPr>
        <w:t xml:space="preserve"> = </w:t>
      </w:r>
      <w:r w:rsidRPr="003D63FE">
        <w:rPr>
          <w:color w:val="000000" w:themeColor="text1"/>
        </w:rPr>
        <w:t>.0</w:t>
      </w:r>
      <w:r>
        <w:rPr>
          <w:color w:val="000000" w:themeColor="text1"/>
        </w:rPr>
        <w:t>05</w:t>
      </w:r>
      <w:r w:rsidRPr="003D63FE">
        <w:rPr>
          <w:color w:val="000000" w:themeColor="text1"/>
        </w:rPr>
        <w:t>, 95%CI [.00</w:t>
      </w:r>
      <w:r>
        <w:rPr>
          <w:color w:val="000000" w:themeColor="text1"/>
        </w:rPr>
        <w:t>1</w:t>
      </w:r>
      <w:r w:rsidRPr="003D63FE">
        <w:rPr>
          <w:color w:val="000000" w:themeColor="text1"/>
        </w:rPr>
        <w:t>, .00</w:t>
      </w:r>
      <w:r>
        <w:rPr>
          <w:color w:val="000000" w:themeColor="text1"/>
        </w:rPr>
        <w:t>9</w:t>
      </w:r>
      <w:r w:rsidRPr="003D63FE">
        <w:rPr>
          <w:color w:val="000000" w:themeColor="text1"/>
        </w:rPr>
        <w:t xml:space="preserve">]. </w:t>
      </w:r>
    </w:p>
    <w:p w14:paraId="015AB52F" w14:textId="77777777" w:rsidR="005311A7" w:rsidRDefault="005311A7" w:rsidP="00AB7434">
      <w:pPr>
        <w:autoSpaceDE w:val="0"/>
        <w:autoSpaceDN w:val="0"/>
        <w:adjustRightInd w:val="0"/>
        <w:spacing w:line="240" w:lineRule="auto"/>
        <w:ind w:firstLine="0"/>
        <w:rPr>
          <w:lang w:val="en-AU"/>
        </w:rPr>
      </w:pPr>
    </w:p>
    <w:p w14:paraId="0FE58134" w14:textId="77777777" w:rsidR="005311A7" w:rsidRPr="003D63FE" w:rsidRDefault="005311A7" w:rsidP="00D37E50">
      <w:pPr>
        <w:ind w:firstLine="944"/>
        <w:rPr>
          <w:color w:val="000000" w:themeColor="text1"/>
        </w:rPr>
      </w:pPr>
    </w:p>
    <w:p w14:paraId="729A530C" w14:textId="77777777" w:rsidR="005311A7" w:rsidRPr="003D63FE" w:rsidRDefault="005311A7" w:rsidP="00D37E50">
      <w:pPr>
        <w:ind w:firstLine="944"/>
        <w:rPr>
          <w:color w:val="000000" w:themeColor="text1"/>
        </w:rPr>
      </w:pPr>
      <w:r>
        <w:rPr>
          <w:i/>
          <w:color w:val="000000" w:themeColor="text1"/>
        </w:rPr>
        <w:t>Insomnia</w:t>
      </w:r>
      <w:r w:rsidRPr="003D63FE">
        <w:rPr>
          <w:i/>
          <w:color w:val="000000" w:themeColor="text1"/>
        </w:rPr>
        <w:t xml:space="preserve"> -&gt; Depression -&gt; Pandemic Paranoia </w:t>
      </w:r>
    </w:p>
    <w:p w14:paraId="2570F0AE" w14:textId="77777777" w:rsidR="005311A7" w:rsidRPr="003D63FE" w:rsidRDefault="005311A7" w:rsidP="009B1371">
      <w:pPr>
        <w:ind w:firstLine="944"/>
        <w:rPr>
          <w:color w:val="000000" w:themeColor="text1"/>
        </w:rPr>
      </w:pPr>
      <w:r w:rsidRPr="003D63FE">
        <w:rPr>
          <w:color w:val="000000" w:themeColor="text1"/>
        </w:rPr>
        <w:t xml:space="preserve">The a-path from </w:t>
      </w:r>
      <w:r>
        <w:rPr>
          <w:color w:val="000000" w:themeColor="text1"/>
        </w:rPr>
        <w:t>insomnia</w:t>
      </w:r>
      <w:r w:rsidRPr="003D63FE">
        <w:rPr>
          <w:color w:val="000000" w:themeColor="text1"/>
        </w:rPr>
        <w:t xml:space="preserve"> to depression was significant, </w:t>
      </w:r>
      <w:r w:rsidRPr="003D63FE">
        <w:rPr>
          <w:i/>
          <w:color w:val="000000" w:themeColor="text1"/>
        </w:rPr>
        <w:t>b</w:t>
      </w:r>
      <w:r>
        <w:rPr>
          <w:i/>
          <w:color w:val="000000" w:themeColor="text1"/>
        </w:rPr>
        <w:t xml:space="preserve"> </w:t>
      </w:r>
      <w:r w:rsidRPr="003D63FE">
        <w:rPr>
          <w:color w:val="000000" w:themeColor="text1"/>
        </w:rPr>
        <w:t>= .</w:t>
      </w:r>
      <w:r>
        <w:rPr>
          <w:color w:val="000000" w:themeColor="text1"/>
        </w:rPr>
        <w:t>182</w:t>
      </w:r>
      <w:r w:rsidRPr="003D63FE">
        <w:rPr>
          <w:color w:val="000000" w:themeColor="text1"/>
        </w:rPr>
        <w:t>, SE = .</w:t>
      </w:r>
      <w:r>
        <w:rPr>
          <w:color w:val="000000" w:themeColor="text1"/>
        </w:rPr>
        <w:t>047</w:t>
      </w:r>
      <w:r w:rsidRPr="003D63FE">
        <w:rPr>
          <w:color w:val="000000" w:themeColor="text1"/>
        </w:rPr>
        <w:t>, p &lt; .00</w:t>
      </w:r>
      <w:r>
        <w:rPr>
          <w:color w:val="000000" w:themeColor="text1"/>
        </w:rPr>
        <w:t>1,</w:t>
      </w:r>
      <w:r w:rsidRPr="003D63FE">
        <w:rPr>
          <w:color w:val="000000" w:themeColor="text1"/>
        </w:rPr>
        <w:t xml:space="preserve"> 95%</w:t>
      </w:r>
      <w:proofErr w:type="gramStart"/>
      <w:r w:rsidRPr="003D63FE">
        <w:rPr>
          <w:color w:val="000000" w:themeColor="text1"/>
        </w:rPr>
        <w:t>CI[</w:t>
      </w:r>
      <w:proofErr w:type="gramEnd"/>
      <w:r w:rsidRPr="003D63FE">
        <w:rPr>
          <w:color w:val="000000" w:themeColor="text1"/>
        </w:rPr>
        <w:t>.</w:t>
      </w:r>
      <w:r>
        <w:rPr>
          <w:color w:val="000000" w:themeColor="text1"/>
        </w:rPr>
        <w:t>090</w:t>
      </w:r>
      <w:r w:rsidRPr="003D63FE">
        <w:rPr>
          <w:color w:val="000000" w:themeColor="text1"/>
        </w:rPr>
        <w:t>, .2</w:t>
      </w:r>
      <w:r>
        <w:rPr>
          <w:color w:val="000000" w:themeColor="text1"/>
        </w:rPr>
        <w:t>75</w:t>
      </w:r>
      <w:r w:rsidRPr="003D63FE">
        <w:rPr>
          <w:color w:val="000000" w:themeColor="text1"/>
        </w:rPr>
        <w:t xml:space="preserve">]. </w:t>
      </w:r>
      <w:r>
        <w:rPr>
          <w:color w:val="000000" w:themeColor="text1"/>
        </w:rPr>
        <w:t xml:space="preserve">The was a significant interaction for the effect of insomnia conditional on levels of persecutory thinking on the a-path to depression, </w:t>
      </w:r>
      <w:r w:rsidRPr="003D63FE">
        <w:rPr>
          <w:i/>
          <w:color w:val="000000" w:themeColor="text1"/>
        </w:rPr>
        <w:t>b</w:t>
      </w:r>
      <w:r>
        <w:rPr>
          <w:i/>
          <w:color w:val="000000" w:themeColor="text1"/>
        </w:rPr>
        <w:t xml:space="preserve"> </w:t>
      </w:r>
      <w:r w:rsidRPr="003D63FE">
        <w:rPr>
          <w:color w:val="000000" w:themeColor="text1"/>
        </w:rPr>
        <w:t>= .</w:t>
      </w:r>
      <w:r>
        <w:rPr>
          <w:color w:val="000000" w:themeColor="text1"/>
        </w:rPr>
        <w:t>012</w:t>
      </w:r>
      <w:r w:rsidRPr="003D63FE">
        <w:rPr>
          <w:color w:val="000000" w:themeColor="text1"/>
        </w:rPr>
        <w:t>, SE = .</w:t>
      </w:r>
      <w:r>
        <w:rPr>
          <w:color w:val="000000" w:themeColor="text1"/>
        </w:rPr>
        <w:t>003</w:t>
      </w:r>
      <w:r w:rsidRPr="003D63FE">
        <w:rPr>
          <w:color w:val="000000" w:themeColor="text1"/>
        </w:rPr>
        <w:t>, p &lt; .0</w:t>
      </w:r>
      <w:r>
        <w:rPr>
          <w:color w:val="000000" w:themeColor="text1"/>
        </w:rPr>
        <w:t>01,</w:t>
      </w:r>
      <w:r w:rsidRPr="003D63FE">
        <w:rPr>
          <w:color w:val="000000" w:themeColor="text1"/>
        </w:rPr>
        <w:t xml:space="preserve"> 95%</w:t>
      </w:r>
      <w:proofErr w:type="gramStart"/>
      <w:r w:rsidRPr="003D63FE">
        <w:rPr>
          <w:color w:val="000000" w:themeColor="text1"/>
        </w:rPr>
        <w:t>CI[</w:t>
      </w:r>
      <w:proofErr w:type="gramEnd"/>
      <w:r w:rsidRPr="003D63FE">
        <w:rPr>
          <w:color w:val="000000" w:themeColor="text1"/>
        </w:rPr>
        <w:t>.</w:t>
      </w:r>
      <w:r>
        <w:rPr>
          <w:color w:val="000000" w:themeColor="text1"/>
        </w:rPr>
        <w:t>006</w:t>
      </w:r>
      <w:r w:rsidRPr="003D63FE">
        <w:rPr>
          <w:color w:val="000000" w:themeColor="text1"/>
        </w:rPr>
        <w:t>, .</w:t>
      </w:r>
      <w:r>
        <w:rPr>
          <w:color w:val="000000" w:themeColor="text1"/>
        </w:rPr>
        <w:t>017</w:t>
      </w:r>
      <w:r w:rsidRPr="003D63FE">
        <w:rPr>
          <w:color w:val="000000" w:themeColor="text1"/>
        </w:rPr>
        <w:t>].</w:t>
      </w:r>
      <w:r>
        <w:rPr>
          <w:color w:val="000000" w:themeColor="text1"/>
        </w:rPr>
        <w:t xml:space="preserve"> </w:t>
      </w:r>
      <w:r w:rsidRPr="003D63FE">
        <w:rPr>
          <w:color w:val="000000" w:themeColor="text1"/>
        </w:rPr>
        <w:t xml:space="preserve">The conditional indirect effect for </w:t>
      </w:r>
      <w:r>
        <w:rPr>
          <w:color w:val="000000" w:themeColor="text1"/>
        </w:rPr>
        <w:t>insomnia</w:t>
      </w:r>
      <w:r w:rsidRPr="003D63FE">
        <w:rPr>
          <w:color w:val="000000" w:themeColor="text1"/>
        </w:rPr>
        <w:t xml:space="preserve"> on </w:t>
      </w:r>
      <w:r>
        <w:rPr>
          <w:color w:val="000000" w:themeColor="text1"/>
        </w:rPr>
        <w:t>depression</w:t>
      </w:r>
      <w:r w:rsidRPr="003D63FE">
        <w:rPr>
          <w:color w:val="000000" w:themeColor="text1"/>
        </w:rPr>
        <w:t xml:space="preserve"> was strongest for high values (+1 </w:t>
      </w:r>
      <w:r w:rsidRPr="003D63FE">
        <w:rPr>
          <w:i/>
          <w:color w:val="000000" w:themeColor="text1"/>
        </w:rPr>
        <w:t>SD</w:t>
      </w:r>
      <w:r w:rsidRPr="003D63FE">
        <w:rPr>
          <w:color w:val="000000" w:themeColor="text1"/>
        </w:rPr>
        <w:t xml:space="preserve">) of </w:t>
      </w:r>
      <w:r>
        <w:rPr>
          <w:color w:val="000000" w:themeColor="text1"/>
        </w:rPr>
        <w:t>persecutory thinking</w:t>
      </w:r>
      <w:r w:rsidRPr="003D63FE">
        <w:rPr>
          <w:color w:val="000000" w:themeColor="text1"/>
        </w:rPr>
        <w:t xml:space="preserve">, </w:t>
      </w:r>
      <w:r w:rsidRPr="003D63FE">
        <w:rPr>
          <w:i/>
          <w:color w:val="000000" w:themeColor="text1"/>
        </w:rPr>
        <w:t xml:space="preserve">b </w:t>
      </w:r>
      <w:r w:rsidRPr="003D63FE">
        <w:rPr>
          <w:color w:val="000000" w:themeColor="text1"/>
        </w:rPr>
        <w:t>= .</w:t>
      </w:r>
      <w:r>
        <w:rPr>
          <w:color w:val="000000" w:themeColor="text1"/>
        </w:rPr>
        <w:t>349</w:t>
      </w:r>
      <w:r w:rsidRPr="003D63FE">
        <w:rPr>
          <w:color w:val="000000" w:themeColor="text1"/>
        </w:rPr>
        <w:t>, SE = .0</w:t>
      </w:r>
      <w:r>
        <w:rPr>
          <w:color w:val="000000" w:themeColor="text1"/>
        </w:rPr>
        <w:t>46</w:t>
      </w:r>
      <w:r w:rsidRPr="003D63FE">
        <w:rPr>
          <w:color w:val="000000" w:themeColor="text1"/>
        </w:rPr>
        <w:t>, 95%CI [.2</w:t>
      </w:r>
      <w:r>
        <w:rPr>
          <w:color w:val="000000" w:themeColor="text1"/>
        </w:rPr>
        <w:t>58</w:t>
      </w:r>
      <w:r w:rsidRPr="003D63FE">
        <w:rPr>
          <w:color w:val="000000" w:themeColor="text1"/>
        </w:rPr>
        <w:t>, .</w:t>
      </w:r>
      <w:r>
        <w:rPr>
          <w:color w:val="000000" w:themeColor="text1"/>
        </w:rPr>
        <w:t>441</w:t>
      </w:r>
      <w:r w:rsidRPr="003D63FE">
        <w:rPr>
          <w:color w:val="000000" w:themeColor="text1"/>
        </w:rPr>
        <w:t xml:space="preserve">], weaker but still significant for medium values, </w:t>
      </w:r>
      <w:r w:rsidRPr="003D63FE">
        <w:rPr>
          <w:i/>
          <w:color w:val="000000" w:themeColor="text1"/>
        </w:rPr>
        <w:t xml:space="preserve">b </w:t>
      </w:r>
      <w:r w:rsidRPr="003D63FE">
        <w:rPr>
          <w:color w:val="000000" w:themeColor="text1"/>
        </w:rPr>
        <w:t> = .</w:t>
      </w:r>
      <w:r>
        <w:rPr>
          <w:color w:val="000000" w:themeColor="text1"/>
        </w:rPr>
        <w:t>249</w:t>
      </w:r>
      <w:r w:rsidRPr="003D63FE">
        <w:rPr>
          <w:color w:val="000000" w:themeColor="text1"/>
        </w:rPr>
        <w:t>, SE = .0</w:t>
      </w:r>
      <w:r>
        <w:rPr>
          <w:color w:val="000000" w:themeColor="text1"/>
        </w:rPr>
        <w:t>43</w:t>
      </w:r>
      <w:r w:rsidRPr="003D63FE">
        <w:rPr>
          <w:color w:val="000000" w:themeColor="text1"/>
        </w:rPr>
        <w:t>, 95%CI[.</w:t>
      </w:r>
      <w:r>
        <w:rPr>
          <w:color w:val="000000" w:themeColor="text1"/>
        </w:rPr>
        <w:t>165</w:t>
      </w:r>
      <w:r w:rsidRPr="003D63FE">
        <w:rPr>
          <w:color w:val="000000" w:themeColor="text1"/>
        </w:rPr>
        <w:t>, .</w:t>
      </w:r>
      <w:r>
        <w:rPr>
          <w:color w:val="000000" w:themeColor="text1"/>
        </w:rPr>
        <w:t>332</w:t>
      </w:r>
      <w:r w:rsidRPr="003D63FE">
        <w:rPr>
          <w:color w:val="000000" w:themeColor="text1"/>
        </w:rPr>
        <w:t xml:space="preserve">], and small values (-1 </w:t>
      </w:r>
      <w:r w:rsidRPr="003D63FE">
        <w:rPr>
          <w:i/>
          <w:color w:val="000000" w:themeColor="text1"/>
        </w:rPr>
        <w:t>SD</w:t>
      </w:r>
      <w:r w:rsidRPr="003D63FE">
        <w:rPr>
          <w:color w:val="000000" w:themeColor="text1"/>
        </w:rPr>
        <w:t xml:space="preserve">) of </w:t>
      </w:r>
      <w:r>
        <w:rPr>
          <w:color w:val="000000" w:themeColor="text1"/>
        </w:rPr>
        <w:t>persecutory thinking</w:t>
      </w:r>
      <w:r w:rsidRPr="003D63FE">
        <w:rPr>
          <w:color w:val="000000" w:themeColor="text1"/>
        </w:rPr>
        <w:t xml:space="preserve">, </w:t>
      </w:r>
      <w:r w:rsidRPr="003D63FE">
        <w:rPr>
          <w:i/>
          <w:color w:val="000000" w:themeColor="text1"/>
        </w:rPr>
        <w:t>b</w:t>
      </w:r>
      <w:r w:rsidRPr="003D63FE">
        <w:rPr>
          <w:color w:val="000000" w:themeColor="text1"/>
        </w:rPr>
        <w:t>  = .1</w:t>
      </w:r>
      <w:r>
        <w:rPr>
          <w:color w:val="000000" w:themeColor="text1"/>
        </w:rPr>
        <w:t>82</w:t>
      </w:r>
      <w:r w:rsidRPr="003D63FE">
        <w:rPr>
          <w:color w:val="000000" w:themeColor="text1"/>
        </w:rPr>
        <w:t>, SE = .0</w:t>
      </w:r>
      <w:r>
        <w:rPr>
          <w:color w:val="000000" w:themeColor="text1"/>
        </w:rPr>
        <w:t>47</w:t>
      </w:r>
      <w:r w:rsidRPr="003D63FE">
        <w:rPr>
          <w:color w:val="000000" w:themeColor="text1"/>
        </w:rPr>
        <w:t>, 95%CI [.</w:t>
      </w:r>
      <w:r>
        <w:rPr>
          <w:color w:val="000000" w:themeColor="text1"/>
        </w:rPr>
        <w:t>090</w:t>
      </w:r>
      <w:r w:rsidRPr="003D63FE">
        <w:rPr>
          <w:color w:val="000000" w:themeColor="text1"/>
        </w:rPr>
        <w:t>, .2</w:t>
      </w:r>
      <w:r>
        <w:rPr>
          <w:color w:val="000000" w:themeColor="text1"/>
        </w:rPr>
        <w:t>75</w:t>
      </w:r>
      <w:r w:rsidRPr="003D63FE">
        <w:rPr>
          <w:color w:val="000000" w:themeColor="text1"/>
        </w:rPr>
        <w:t xml:space="preserve">]. The Johnson-Neyman method did not find any significant transition points.  </w:t>
      </w:r>
    </w:p>
    <w:p w14:paraId="78CE01EC" w14:textId="77777777" w:rsidR="005311A7" w:rsidRPr="003D63FE" w:rsidRDefault="005311A7" w:rsidP="00D37E50">
      <w:pPr>
        <w:ind w:firstLine="944"/>
        <w:rPr>
          <w:color w:val="000000" w:themeColor="text1"/>
        </w:rPr>
      </w:pPr>
      <w:r w:rsidRPr="003D63FE">
        <w:rPr>
          <w:color w:val="000000" w:themeColor="text1"/>
        </w:rPr>
        <w:t>The b-path from depression to pandemic paranoia was</w:t>
      </w:r>
      <w:r>
        <w:rPr>
          <w:color w:val="000000" w:themeColor="text1"/>
        </w:rPr>
        <w:t xml:space="preserve"> </w:t>
      </w:r>
      <w:r w:rsidRPr="003D63FE">
        <w:rPr>
          <w:color w:val="000000" w:themeColor="text1"/>
        </w:rPr>
        <w:t xml:space="preserve">non-significant, </w:t>
      </w:r>
      <w:r w:rsidRPr="003D63FE">
        <w:rPr>
          <w:i/>
          <w:color w:val="000000" w:themeColor="text1"/>
        </w:rPr>
        <w:t>b</w:t>
      </w:r>
      <w:r w:rsidRPr="003D63FE">
        <w:rPr>
          <w:color w:val="000000" w:themeColor="text1"/>
        </w:rPr>
        <w:t>= -</w:t>
      </w:r>
      <w:r>
        <w:rPr>
          <w:color w:val="000000" w:themeColor="text1"/>
        </w:rPr>
        <w:t>.215</w:t>
      </w:r>
      <w:r w:rsidRPr="003D63FE">
        <w:rPr>
          <w:color w:val="000000" w:themeColor="text1"/>
        </w:rPr>
        <w:t>., SE = .</w:t>
      </w:r>
      <w:r>
        <w:rPr>
          <w:color w:val="000000" w:themeColor="text1"/>
        </w:rPr>
        <w:t>124</w:t>
      </w:r>
      <w:r w:rsidRPr="003D63FE">
        <w:rPr>
          <w:color w:val="000000" w:themeColor="text1"/>
        </w:rPr>
        <w:t>, p = .</w:t>
      </w:r>
      <w:r>
        <w:rPr>
          <w:color w:val="000000" w:themeColor="text1"/>
        </w:rPr>
        <w:t>082,</w:t>
      </w:r>
      <w:r w:rsidRPr="003D63FE">
        <w:rPr>
          <w:color w:val="000000" w:themeColor="text1"/>
        </w:rPr>
        <w:t xml:space="preserve"> 95%</w:t>
      </w:r>
      <w:proofErr w:type="gramStart"/>
      <w:r w:rsidRPr="003D63FE">
        <w:rPr>
          <w:color w:val="000000" w:themeColor="text1"/>
        </w:rPr>
        <w:t>CI[</w:t>
      </w:r>
      <w:proofErr w:type="gramEnd"/>
      <w:r w:rsidRPr="003D63FE">
        <w:rPr>
          <w:color w:val="000000" w:themeColor="text1"/>
        </w:rPr>
        <w:t>-.</w:t>
      </w:r>
      <w:r>
        <w:rPr>
          <w:color w:val="000000" w:themeColor="text1"/>
        </w:rPr>
        <w:t>458</w:t>
      </w:r>
      <w:r w:rsidRPr="003D63FE">
        <w:rPr>
          <w:color w:val="000000" w:themeColor="text1"/>
        </w:rPr>
        <w:t>, .</w:t>
      </w:r>
      <w:r>
        <w:rPr>
          <w:color w:val="000000" w:themeColor="text1"/>
        </w:rPr>
        <w:t>027</w:t>
      </w:r>
      <w:r w:rsidRPr="003D63FE">
        <w:rPr>
          <w:color w:val="000000" w:themeColor="text1"/>
        </w:rPr>
        <w:t xml:space="preserve">]. Indirect effects conditional on </w:t>
      </w:r>
      <w:r>
        <w:rPr>
          <w:color w:val="000000" w:themeColor="text1"/>
        </w:rPr>
        <w:t>persecutory thinking</w:t>
      </w:r>
      <w:r w:rsidRPr="003D63FE">
        <w:rPr>
          <w:color w:val="000000" w:themeColor="text1"/>
        </w:rPr>
        <w:t xml:space="preserve"> were not observed with depression, index of moderated mediation = </w:t>
      </w:r>
      <w:r>
        <w:rPr>
          <w:color w:val="000000" w:themeColor="text1"/>
        </w:rPr>
        <w:t>-.003</w:t>
      </w:r>
      <w:r w:rsidRPr="003D63FE">
        <w:rPr>
          <w:color w:val="000000" w:themeColor="text1"/>
        </w:rPr>
        <w:t>, 95%CI [</w:t>
      </w:r>
      <w:r>
        <w:rPr>
          <w:color w:val="000000" w:themeColor="text1"/>
        </w:rPr>
        <w:t>-.006</w:t>
      </w:r>
      <w:r w:rsidRPr="003D63FE">
        <w:rPr>
          <w:color w:val="000000" w:themeColor="text1"/>
        </w:rPr>
        <w:t xml:space="preserve">, </w:t>
      </w:r>
      <w:r>
        <w:rPr>
          <w:color w:val="000000" w:themeColor="text1"/>
        </w:rPr>
        <w:t>.001]</w:t>
      </w:r>
    </w:p>
    <w:p w14:paraId="122CBC37" w14:textId="77777777" w:rsidR="005311A7" w:rsidRPr="003D63FE" w:rsidRDefault="005311A7" w:rsidP="00D37E50">
      <w:pPr>
        <w:ind w:firstLine="944"/>
        <w:rPr>
          <w:color w:val="000000" w:themeColor="text1"/>
        </w:rPr>
      </w:pPr>
      <w:r w:rsidRPr="003D63FE">
        <w:rPr>
          <w:color w:val="000000" w:themeColor="text1"/>
        </w:rPr>
        <w:t> </w:t>
      </w:r>
    </w:p>
    <w:p w14:paraId="593D38A9" w14:textId="77777777" w:rsidR="005311A7" w:rsidRPr="003D63FE" w:rsidRDefault="005311A7" w:rsidP="00D37E50">
      <w:pPr>
        <w:ind w:firstLine="944"/>
        <w:rPr>
          <w:color w:val="000000" w:themeColor="text1"/>
        </w:rPr>
      </w:pPr>
      <w:r>
        <w:rPr>
          <w:i/>
          <w:color w:val="000000" w:themeColor="text1"/>
        </w:rPr>
        <w:t>Insomnia</w:t>
      </w:r>
      <w:r w:rsidRPr="003D63FE">
        <w:rPr>
          <w:i/>
          <w:color w:val="000000" w:themeColor="text1"/>
        </w:rPr>
        <w:t xml:space="preserve"> -&gt; Worry -&gt; Pandemic Paranoia </w:t>
      </w:r>
    </w:p>
    <w:p w14:paraId="1CB38B75" w14:textId="77777777" w:rsidR="005311A7" w:rsidRDefault="005311A7" w:rsidP="00D37E50">
      <w:pPr>
        <w:ind w:firstLine="944"/>
        <w:rPr>
          <w:color w:val="000000" w:themeColor="text1"/>
        </w:rPr>
      </w:pPr>
      <w:r w:rsidRPr="003D63FE">
        <w:rPr>
          <w:color w:val="000000" w:themeColor="text1"/>
        </w:rPr>
        <w:lastRenderedPageBreak/>
        <w:t xml:space="preserve">The a-path from </w:t>
      </w:r>
      <w:r>
        <w:rPr>
          <w:color w:val="000000" w:themeColor="text1"/>
        </w:rPr>
        <w:t>insomnia</w:t>
      </w:r>
      <w:r w:rsidRPr="003D63FE">
        <w:rPr>
          <w:color w:val="000000" w:themeColor="text1"/>
        </w:rPr>
        <w:t xml:space="preserve"> to worry was significant, </w:t>
      </w:r>
      <w:r w:rsidRPr="003D63FE">
        <w:rPr>
          <w:i/>
          <w:color w:val="000000" w:themeColor="text1"/>
        </w:rPr>
        <w:t>b</w:t>
      </w:r>
      <w:r w:rsidRPr="003D63FE">
        <w:rPr>
          <w:color w:val="000000" w:themeColor="text1"/>
        </w:rPr>
        <w:t>= .1</w:t>
      </w:r>
      <w:r>
        <w:rPr>
          <w:color w:val="000000" w:themeColor="text1"/>
        </w:rPr>
        <w:t>26</w:t>
      </w:r>
      <w:r w:rsidRPr="003D63FE">
        <w:rPr>
          <w:color w:val="000000" w:themeColor="text1"/>
        </w:rPr>
        <w:t>, SE = .02</w:t>
      </w:r>
      <w:r>
        <w:rPr>
          <w:color w:val="000000" w:themeColor="text1"/>
        </w:rPr>
        <w:t>3</w:t>
      </w:r>
      <w:r w:rsidRPr="003D63FE">
        <w:rPr>
          <w:color w:val="000000" w:themeColor="text1"/>
        </w:rPr>
        <w:t>, p &lt; .001, 95%</w:t>
      </w:r>
      <w:proofErr w:type="gramStart"/>
      <w:r w:rsidRPr="003D63FE">
        <w:rPr>
          <w:color w:val="000000" w:themeColor="text1"/>
        </w:rPr>
        <w:t>CI[</w:t>
      </w:r>
      <w:proofErr w:type="gramEnd"/>
      <w:r w:rsidRPr="003D63FE">
        <w:rPr>
          <w:color w:val="000000" w:themeColor="text1"/>
        </w:rPr>
        <w:t>.0</w:t>
      </w:r>
      <w:r>
        <w:rPr>
          <w:color w:val="000000" w:themeColor="text1"/>
        </w:rPr>
        <w:t>81</w:t>
      </w:r>
      <w:r w:rsidRPr="003D63FE">
        <w:rPr>
          <w:color w:val="000000" w:themeColor="text1"/>
        </w:rPr>
        <w:t>, .1</w:t>
      </w:r>
      <w:r>
        <w:rPr>
          <w:color w:val="000000" w:themeColor="text1"/>
        </w:rPr>
        <w:t>72</w:t>
      </w:r>
      <w:r w:rsidRPr="003D63FE">
        <w:rPr>
          <w:color w:val="000000" w:themeColor="text1"/>
        </w:rPr>
        <w:t xml:space="preserve">]. </w:t>
      </w:r>
      <w:r>
        <w:rPr>
          <w:color w:val="000000" w:themeColor="text1"/>
        </w:rPr>
        <w:t xml:space="preserve">The interaction of insomnia conditional on levels of persecutory thinking on the a-path to worry was non-significant, </w:t>
      </w:r>
      <w:r w:rsidRPr="003D63FE">
        <w:rPr>
          <w:i/>
          <w:color w:val="000000" w:themeColor="text1"/>
        </w:rPr>
        <w:t>b</w:t>
      </w:r>
      <w:r>
        <w:rPr>
          <w:i/>
          <w:color w:val="000000" w:themeColor="text1"/>
        </w:rPr>
        <w:t xml:space="preserve"> </w:t>
      </w:r>
      <w:r w:rsidRPr="003D63FE">
        <w:rPr>
          <w:color w:val="000000" w:themeColor="text1"/>
        </w:rPr>
        <w:t>= .</w:t>
      </w:r>
      <w:r>
        <w:rPr>
          <w:color w:val="000000" w:themeColor="text1"/>
        </w:rPr>
        <w:t>001</w:t>
      </w:r>
      <w:r w:rsidRPr="003D63FE">
        <w:rPr>
          <w:color w:val="000000" w:themeColor="text1"/>
        </w:rPr>
        <w:t>, SE = .</w:t>
      </w:r>
      <w:r>
        <w:rPr>
          <w:color w:val="000000" w:themeColor="text1"/>
        </w:rPr>
        <w:t>001</w:t>
      </w:r>
      <w:r w:rsidRPr="003D63FE">
        <w:rPr>
          <w:color w:val="000000" w:themeColor="text1"/>
        </w:rPr>
        <w:t xml:space="preserve">, p </w:t>
      </w:r>
      <w:r>
        <w:rPr>
          <w:color w:val="000000" w:themeColor="text1"/>
        </w:rPr>
        <w:t>=</w:t>
      </w:r>
      <w:r w:rsidRPr="003D63FE">
        <w:rPr>
          <w:color w:val="000000" w:themeColor="text1"/>
        </w:rPr>
        <w:t>.</w:t>
      </w:r>
      <w:r>
        <w:rPr>
          <w:color w:val="000000" w:themeColor="text1"/>
        </w:rPr>
        <w:t>820,</w:t>
      </w:r>
      <w:r w:rsidRPr="003D63FE">
        <w:rPr>
          <w:color w:val="000000" w:themeColor="text1"/>
        </w:rPr>
        <w:t xml:space="preserve"> 95%</w:t>
      </w:r>
      <w:proofErr w:type="gramStart"/>
      <w:r w:rsidRPr="003D63FE">
        <w:rPr>
          <w:color w:val="000000" w:themeColor="text1"/>
        </w:rPr>
        <w:t>CI[</w:t>
      </w:r>
      <w:proofErr w:type="gramEnd"/>
      <w:r>
        <w:rPr>
          <w:color w:val="000000" w:themeColor="text1"/>
        </w:rPr>
        <w:t>-</w:t>
      </w:r>
      <w:r w:rsidRPr="003D63FE">
        <w:rPr>
          <w:color w:val="000000" w:themeColor="text1"/>
        </w:rPr>
        <w:t>.</w:t>
      </w:r>
      <w:r>
        <w:rPr>
          <w:color w:val="000000" w:themeColor="text1"/>
        </w:rPr>
        <w:t>002</w:t>
      </w:r>
      <w:r w:rsidRPr="003D63FE">
        <w:rPr>
          <w:color w:val="000000" w:themeColor="text1"/>
        </w:rPr>
        <w:t>, .</w:t>
      </w:r>
      <w:r>
        <w:rPr>
          <w:color w:val="000000" w:themeColor="text1"/>
        </w:rPr>
        <w:t>003</w:t>
      </w:r>
      <w:r w:rsidRPr="003D63FE">
        <w:rPr>
          <w:color w:val="000000" w:themeColor="text1"/>
        </w:rPr>
        <w:t>].</w:t>
      </w:r>
    </w:p>
    <w:p w14:paraId="2EF9B5BC" w14:textId="77777777" w:rsidR="005311A7" w:rsidRPr="003D63FE" w:rsidRDefault="005311A7" w:rsidP="00D37E50">
      <w:pPr>
        <w:ind w:firstLine="944"/>
        <w:rPr>
          <w:color w:val="000000" w:themeColor="text1"/>
        </w:rPr>
      </w:pPr>
      <w:r w:rsidRPr="003D63FE">
        <w:rPr>
          <w:color w:val="000000" w:themeColor="text1"/>
        </w:rPr>
        <w:t xml:space="preserve">The b-path from worry to pandemic paranoia was non-significant, </w:t>
      </w:r>
      <w:r w:rsidRPr="003D63FE">
        <w:rPr>
          <w:i/>
          <w:color w:val="000000" w:themeColor="text1"/>
        </w:rPr>
        <w:t>b</w:t>
      </w:r>
      <w:r w:rsidRPr="003D63FE">
        <w:rPr>
          <w:color w:val="000000" w:themeColor="text1"/>
        </w:rPr>
        <w:t>= .</w:t>
      </w:r>
      <w:r>
        <w:rPr>
          <w:color w:val="000000" w:themeColor="text1"/>
        </w:rPr>
        <w:t>246</w:t>
      </w:r>
      <w:r w:rsidRPr="003D63FE">
        <w:rPr>
          <w:color w:val="000000" w:themeColor="text1"/>
        </w:rPr>
        <w:t>, SE = .</w:t>
      </w:r>
      <w:r>
        <w:rPr>
          <w:color w:val="000000" w:themeColor="text1"/>
        </w:rPr>
        <w:t>163</w:t>
      </w:r>
      <w:r w:rsidRPr="003D63FE">
        <w:rPr>
          <w:color w:val="000000" w:themeColor="text1"/>
        </w:rPr>
        <w:t>, p = .</w:t>
      </w:r>
      <w:r>
        <w:rPr>
          <w:color w:val="000000" w:themeColor="text1"/>
        </w:rPr>
        <w:t>132</w:t>
      </w:r>
      <w:r w:rsidRPr="003D63FE">
        <w:rPr>
          <w:color w:val="000000" w:themeColor="text1"/>
        </w:rPr>
        <w:t xml:space="preserve"> 95%</w:t>
      </w:r>
      <w:proofErr w:type="gramStart"/>
      <w:r w:rsidRPr="003D63FE">
        <w:rPr>
          <w:color w:val="000000" w:themeColor="text1"/>
        </w:rPr>
        <w:t>CI[</w:t>
      </w:r>
      <w:proofErr w:type="gramEnd"/>
      <w:r w:rsidRPr="003D63FE">
        <w:rPr>
          <w:color w:val="000000" w:themeColor="text1"/>
        </w:rPr>
        <w:t>-.</w:t>
      </w:r>
      <w:r>
        <w:rPr>
          <w:color w:val="000000" w:themeColor="text1"/>
        </w:rPr>
        <w:t>075</w:t>
      </w:r>
      <w:r w:rsidRPr="003D63FE">
        <w:rPr>
          <w:color w:val="000000" w:themeColor="text1"/>
        </w:rPr>
        <w:t>, .</w:t>
      </w:r>
      <w:r>
        <w:rPr>
          <w:color w:val="000000" w:themeColor="text1"/>
        </w:rPr>
        <w:t>567</w:t>
      </w:r>
      <w:r w:rsidRPr="003D63FE">
        <w:rPr>
          <w:color w:val="000000" w:themeColor="text1"/>
        </w:rPr>
        <w:t xml:space="preserve">]. Indirect effects conditional on </w:t>
      </w:r>
      <w:r>
        <w:rPr>
          <w:color w:val="000000" w:themeColor="text1"/>
        </w:rPr>
        <w:t>persecutory thinking</w:t>
      </w:r>
      <w:r w:rsidRPr="003D63FE">
        <w:rPr>
          <w:color w:val="000000" w:themeColor="text1"/>
        </w:rPr>
        <w:t xml:space="preserve"> were not observed with worry</w:t>
      </w:r>
      <w:r>
        <w:rPr>
          <w:color w:val="000000" w:themeColor="text1"/>
        </w:rPr>
        <w:t xml:space="preserve">, </w:t>
      </w:r>
      <w:r w:rsidRPr="003D63FE">
        <w:rPr>
          <w:color w:val="000000" w:themeColor="text1"/>
        </w:rPr>
        <w:t>index of moderated mediation = .000 (95%CI = -.00</w:t>
      </w:r>
      <w:r>
        <w:rPr>
          <w:color w:val="000000" w:themeColor="text1"/>
        </w:rPr>
        <w:t>1</w:t>
      </w:r>
      <w:r w:rsidRPr="003D63FE">
        <w:rPr>
          <w:color w:val="000000" w:themeColor="text1"/>
        </w:rPr>
        <w:t xml:space="preserve">, .001). </w:t>
      </w:r>
    </w:p>
    <w:p w14:paraId="3CBDC9E9" w14:textId="77777777" w:rsidR="005311A7" w:rsidRPr="003D63FE" w:rsidRDefault="005311A7" w:rsidP="00D37E50">
      <w:pPr>
        <w:ind w:firstLine="944"/>
        <w:rPr>
          <w:color w:val="000000" w:themeColor="text1"/>
        </w:rPr>
      </w:pPr>
      <w:r w:rsidRPr="003D63FE">
        <w:rPr>
          <w:color w:val="000000" w:themeColor="text1"/>
        </w:rPr>
        <w:t> </w:t>
      </w:r>
    </w:p>
    <w:p w14:paraId="57F7B69A" w14:textId="77777777" w:rsidR="005311A7" w:rsidRDefault="005311A7" w:rsidP="00D37E50">
      <w:pPr>
        <w:ind w:firstLine="944"/>
        <w:rPr>
          <w:color w:val="000000" w:themeColor="text1"/>
        </w:rPr>
      </w:pPr>
      <w:r w:rsidRPr="003D63FE">
        <w:rPr>
          <w:color w:val="000000" w:themeColor="text1"/>
        </w:rPr>
        <w:t xml:space="preserve">For the full regression results see Table </w:t>
      </w:r>
      <w:r>
        <w:rPr>
          <w:color w:val="000000" w:themeColor="text1"/>
        </w:rPr>
        <w:t>3</w:t>
      </w:r>
      <w:r w:rsidRPr="003D63FE">
        <w:rPr>
          <w:color w:val="000000" w:themeColor="text1"/>
        </w:rPr>
        <w:t xml:space="preserve">. </w:t>
      </w:r>
    </w:p>
    <w:p w14:paraId="55250C4F" w14:textId="77777777" w:rsidR="005311A7" w:rsidRPr="003D63FE" w:rsidRDefault="005311A7" w:rsidP="00D37E50">
      <w:pPr>
        <w:ind w:firstLine="944"/>
        <w:rPr>
          <w:color w:val="000000" w:themeColor="text1"/>
        </w:rPr>
      </w:pPr>
    </w:p>
    <w:p w14:paraId="09560ECA" w14:textId="77777777" w:rsidR="005311A7" w:rsidRPr="00D37E50" w:rsidRDefault="005311A7" w:rsidP="00D37E50">
      <w:pPr>
        <w:rPr>
          <w:bCs/>
          <w:color w:val="000000" w:themeColor="text1"/>
        </w:rPr>
      </w:pPr>
      <w:r w:rsidRPr="00D37E50">
        <w:rPr>
          <w:bCs/>
          <w:color w:val="000000" w:themeColor="text1"/>
        </w:rPr>
        <w:t xml:space="preserve"> TABLE </w:t>
      </w:r>
      <w:r>
        <w:rPr>
          <w:bCs/>
          <w:color w:val="000000" w:themeColor="text1"/>
        </w:rPr>
        <w:t>3</w:t>
      </w:r>
      <w:r w:rsidRPr="00D37E50">
        <w:rPr>
          <w:bCs/>
          <w:color w:val="000000" w:themeColor="text1"/>
        </w:rPr>
        <w:t xml:space="preserve"> HERE </w:t>
      </w:r>
    </w:p>
    <w:p w14:paraId="458217ED" w14:textId="77777777" w:rsidR="005311A7" w:rsidRPr="003D63FE" w:rsidRDefault="005311A7" w:rsidP="00D37E50">
      <w:pPr>
        <w:rPr>
          <w:color w:val="000000" w:themeColor="text1"/>
        </w:rPr>
      </w:pPr>
      <w:r w:rsidRPr="003D63FE">
        <w:rPr>
          <w:b/>
          <w:color w:val="000000" w:themeColor="text1"/>
        </w:rPr>
        <w:t> </w:t>
      </w:r>
    </w:p>
    <w:p w14:paraId="6F56B060" w14:textId="6DEE37C4" w:rsidR="005311A7" w:rsidRDefault="005311A7" w:rsidP="00030B66">
      <w:pPr>
        <w:ind w:firstLine="944"/>
      </w:pPr>
      <w:r w:rsidRPr="003D63FE">
        <w:rPr>
          <w:color w:val="000000" w:themeColor="text1"/>
        </w:rPr>
        <w:t>  </w:t>
      </w:r>
      <w:bookmarkStart w:id="4" w:name="_p5oritmwgzy6" w:colFirst="0" w:colLast="0"/>
      <w:bookmarkStart w:id="5" w:name="_pw03zjdohxcg" w:colFirst="0" w:colLast="0"/>
      <w:bookmarkEnd w:id="4"/>
      <w:bookmarkEnd w:id="5"/>
    </w:p>
    <w:p w14:paraId="6BB94E6E" w14:textId="77777777" w:rsidR="005311A7" w:rsidRDefault="005311A7">
      <w:pPr>
        <w:pStyle w:val="Heading1"/>
      </w:pPr>
      <w:r>
        <w:t>Discussion</w:t>
      </w:r>
    </w:p>
    <w:p w14:paraId="3F02C008" w14:textId="77777777" w:rsidR="005311A7" w:rsidRPr="003D63FE" w:rsidRDefault="005311A7" w:rsidP="00D37E50">
      <w:pPr>
        <w:ind w:firstLine="944"/>
        <w:rPr>
          <w:color w:val="000000" w:themeColor="text1"/>
        </w:rPr>
      </w:pPr>
      <w:r w:rsidRPr="003D63FE">
        <w:rPr>
          <w:color w:val="000000" w:themeColor="text1"/>
        </w:rPr>
        <w:t xml:space="preserve">In this study, we </w:t>
      </w:r>
      <w:r>
        <w:rPr>
          <w:color w:val="000000" w:themeColor="text1"/>
        </w:rPr>
        <w:t xml:space="preserve">engaged </w:t>
      </w:r>
      <w:r w:rsidRPr="003D63FE">
        <w:rPr>
          <w:color w:val="000000" w:themeColor="text1"/>
        </w:rPr>
        <w:t xml:space="preserve">an international sample </w:t>
      </w:r>
      <w:r>
        <w:rPr>
          <w:color w:val="000000" w:themeColor="text1"/>
        </w:rPr>
        <w:t xml:space="preserve">to report on their experiences after </w:t>
      </w:r>
      <w:r w:rsidRPr="003D63FE">
        <w:rPr>
          <w:color w:val="000000" w:themeColor="text1"/>
        </w:rPr>
        <w:t xml:space="preserve">a three-month period, to observe changes in pandemic paranoia (concerns of harm from others related to </w:t>
      </w:r>
      <w:r>
        <w:rPr>
          <w:color w:val="000000" w:themeColor="text1"/>
        </w:rPr>
        <w:t xml:space="preserve">the </w:t>
      </w:r>
      <w:r w:rsidRPr="003D63FE">
        <w:rPr>
          <w:color w:val="000000" w:themeColor="text1"/>
        </w:rPr>
        <w:t xml:space="preserve">pandemic) and investigate a hypothesis-driven model of how insomnia may influence these changes. </w:t>
      </w:r>
      <w:r>
        <w:rPr>
          <w:color w:val="000000" w:themeColor="text1"/>
        </w:rPr>
        <w:t xml:space="preserve">We hypothesised that changes in </w:t>
      </w:r>
      <w:r w:rsidRPr="003D63FE">
        <w:rPr>
          <w:color w:val="000000" w:themeColor="text1"/>
        </w:rPr>
        <w:t>anxiety, worry and depression play</w:t>
      </w:r>
      <w:r>
        <w:rPr>
          <w:color w:val="000000" w:themeColor="text1"/>
        </w:rPr>
        <w:t>ed</w:t>
      </w:r>
      <w:r w:rsidRPr="003D63FE">
        <w:rPr>
          <w:color w:val="000000" w:themeColor="text1"/>
        </w:rPr>
        <w:t xml:space="preserve"> a mediatory role in </w:t>
      </w:r>
      <w:r>
        <w:rPr>
          <w:color w:val="000000" w:themeColor="text1"/>
        </w:rPr>
        <w:t xml:space="preserve">the insomnia-pandemic </w:t>
      </w:r>
      <w:r w:rsidRPr="008C1603">
        <w:rPr>
          <w:color w:val="000000" w:themeColor="text1"/>
        </w:rPr>
        <w:t>paranoia</w:t>
      </w:r>
      <w:r w:rsidRPr="003D63FE">
        <w:rPr>
          <w:color w:val="000000" w:themeColor="text1"/>
        </w:rPr>
        <w:t xml:space="preserve"> relationship, </w:t>
      </w:r>
      <w:r>
        <w:rPr>
          <w:color w:val="000000" w:themeColor="text1"/>
        </w:rPr>
        <w:t xml:space="preserve">conditional </w:t>
      </w:r>
      <w:r w:rsidRPr="003D63FE">
        <w:rPr>
          <w:color w:val="000000" w:themeColor="text1"/>
        </w:rPr>
        <w:t xml:space="preserve">on the strength of </w:t>
      </w:r>
      <w:r>
        <w:rPr>
          <w:color w:val="000000" w:themeColor="text1"/>
        </w:rPr>
        <w:t>persecutory thinking</w:t>
      </w:r>
      <w:r w:rsidRPr="003D63FE">
        <w:rPr>
          <w:color w:val="000000" w:themeColor="text1"/>
        </w:rPr>
        <w:t xml:space="preserve"> (a moderated mediation model). </w:t>
      </w:r>
    </w:p>
    <w:p w14:paraId="678DC64D" w14:textId="77777777" w:rsidR="005311A7" w:rsidRDefault="005311A7" w:rsidP="00D37E50">
      <w:pPr>
        <w:ind w:firstLine="944"/>
        <w:rPr>
          <w:color w:val="000000" w:themeColor="text1"/>
        </w:rPr>
      </w:pPr>
      <w:r>
        <w:rPr>
          <w:color w:val="000000" w:themeColor="text1"/>
        </w:rPr>
        <w:t xml:space="preserve">We found that increases in insomnia were associated with increases in pandemic paranoia. However, </w:t>
      </w:r>
      <w:r w:rsidRPr="00CB0047">
        <w:rPr>
          <w:color w:val="000000" w:themeColor="text1"/>
        </w:rPr>
        <w:t xml:space="preserve">this relationship was </w:t>
      </w:r>
      <w:r w:rsidRPr="008D6106">
        <w:rPr>
          <w:color w:val="000000" w:themeColor="text1"/>
        </w:rPr>
        <w:t xml:space="preserve">not </w:t>
      </w:r>
      <w:r w:rsidRPr="00CB0047">
        <w:rPr>
          <w:color w:val="000000" w:themeColor="text1"/>
        </w:rPr>
        <w:t>conditional on changes in levels of persecutory thinking (the simple moderation analysis).</w:t>
      </w:r>
      <w:r>
        <w:rPr>
          <w:color w:val="000000" w:themeColor="text1"/>
        </w:rPr>
        <w:t xml:space="preserve"> We also found significant direct and indirect pathways (through anxiety and worry, but not depression) for the insomnia- pandemic paranoia </w:t>
      </w:r>
      <w:r w:rsidRPr="000D4701">
        <w:rPr>
          <w:color w:val="000000" w:themeColor="text1"/>
        </w:rPr>
        <w:t>relationship</w:t>
      </w:r>
      <w:r>
        <w:rPr>
          <w:color w:val="000000" w:themeColor="text1"/>
        </w:rPr>
        <w:t xml:space="preserve"> in a parallel mediation analysis. </w:t>
      </w:r>
    </w:p>
    <w:p w14:paraId="44FD582E" w14:textId="77777777" w:rsidR="005311A7" w:rsidRDefault="005311A7" w:rsidP="00D37E50">
      <w:pPr>
        <w:ind w:firstLine="944"/>
        <w:rPr>
          <w:color w:val="000000" w:themeColor="text1"/>
        </w:rPr>
      </w:pPr>
      <w:r>
        <w:rPr>
          <w:color w:val="000000" w:themeColor="text1"/>
        </w:rPr>
        <w:lastRenderedPageBreak/>
        <w:t>When these variables were combined in the study model, we found that anxiety was the sole significant mediator</w:t>
      </w:r>
      <w:r w:rsidRPr="00F62060">
        <w:rPr>
          <w:color w:val="000000" w:themeColor="text1"/>
        </w:rPr>
        <w:t xml:space="preserve"> </w:t>
      </w:r>
      <w:r>
        <w:rPr>
          <w:color w:val="000000" w:themeColor="text1"/>
        </w:rPr>
        <w:t xml:space="preserve">for how insomnia influenced pandemic paranoia, with this indirect pathway also influenced by levels of persecutory thinking. The direct effect of changes in insomnia on changes in pandemic paranoia were found to be non-significant. We observed that when followed up after a 12-week period, for those </w:t>
      </w:r>
      <w:r w:rsidRPr="00A06131">
        <w:rPr>
          <w:color w:val="000000" w:themeColor="text1"/>
        </w:rPr>
        <w:t>participants</w:t>
      </w:r>
      <w:r>
        <w:rPr>
          <w:color w:val="000000" w:themeColor="text1"/>
        </w:rPr>
        <w:t xml:space="preserve"> reporting high levels of persecutory thinking, changes in insomnia impacted pandemic paranoia and this effect was fully accounted for by changes in anxiety, again, influenced by persecutory thinking. These findings suggest that persecutory thinking plays a consequential role in how insomnia influences pandemic paranoia, through an indirect pathway of anxiety.   </w:t>
      </w:r>
    </w:p>
    <w:p w14:paraId="462CBF3E" w14:textId="77777777" w:rsidR="005311A7" w:rsidRPr="004C1704" w:rsidRDefault="005311A7" w:rsidP="00D37E50">
      <w:pPr>
        <w:ind w:firstLine="944"/>
        <w:rPr>
          <w:color w:val="000000" w:themeColor="text1"/>
        </w:rPr>
      </w:pPr>
      <w:r>
        <w:rPr>
          <w:color w:val="000000" w:themeColor="text1"/>
        </w:rPr>
        <w:t>T</w:t>
      </w:r>
      <w:r w:rsidRPr="004C1704">
        <w:rPr>
          <w:color w:val="000000" w:themeColor="text1"/>
        </w:rPr>
        <w:t xml:space="preserve">he current study extends So et al.’s (2022) latent class analysis findings of the relationships between </w:t>
      </w:r>
      <w:r>
        <w:rPr>
          <w:color w:val="000000" w:themeColor="text1"/>
        </w:rPr>
        <w:t>pandemic paranoia</w:t>
      </w:r>
      <w:r w:rsidRPr="004C1704">
        <w:rPr>
          <w:color w:val="000000" w:themeColor="text1"/>
        </w:rPr>
        <w:t xml:space="preserve"> being associated with paranoid thinking in general (using </w:t>
      </w:r>
      <w:r>
        <w:rPr>
          <w:color w:val="000000" w:themeColor="text1"/>
        </w:rPr>
        <w:t>the</w:t>
      </w:r>
      <w:r w:rsidRPr="004C1704">
        <w:rPr>
          <w:color w:val="000000" w:themeColor="text1"/>
        </w:rPr>
        <w:t xml:space="preserve"> larger T1 sample)</w:t>
      </w:r>
      <w:r>
        <w:rPr>
          <w:color w:val="000000" w:themeColor="text1"/>
        </w:rPr>
        <w:t xml:space="preserve">. In this study we </w:t>
      </w:r>
      <w:r w:rsidRPr="004C1704">
        <w:rPr>
          <w:color w:val="000000" w:themeColor="text1"/>
        </w:rPr>
        <w:t>demonstrat</w:t>
      </w:r>
      <w:r>
        <w:rPr>
          <w:color w:val="000000" w:themeColor="text1"/>
        </w:rPr>
        <w:t>ed</w:t>
      </w:r>
      <w:r w:rsidRPr="004C1704">
        <w:rPr>
          <w:color w:val="000000" w:themeColor="text1"/>
        </w:rPr>
        <w:t xml:space="preserve"> across a three</w:t>
      </w:r>
      <w:r>
        <w:rPr>
          <w:color w:val="000000" w:themeColor="text1"/>
        </w:rPr>
        <w:t>-</w:t>
      </w:r>
      <w:r w:rsidRPr="004C1704">
        <w:rPr>
          <w:color w:val="000000" w:themeColor="text1"/>
        </w:rPr>
        <w:t xml:space="preserve">month period that persecutory thinking exerted an influence on how anxiety accounts for the impact of sleep on pandemic paranoia. Our findings support previous observations about the role of sleep in suspicious thinking </w:t>
      </w:r>
      <w:r w:rsidRPr="004C1704">
        <w:rPr>
          <w:noProof/>
          <w:color w:val="000000" w:themeColor="text1"/>
        </w:rPr>
        <w:t>(Kasanova et al., 2020)</w:t>
      </w:r>
      <w:r w:rsidRPr="004C1704">
        <w:rPr>
          <w:color w:val="000000" w:themeColor="text1"/>
        </w:rPr>
        <w:t xml:space="preserve"> and extends to particular suspicions related to others’ actions in the pandemic. Beyond cross-sectional observations of the sleep-paranoia association, this study provides further evidence of how changes in sleep quality co-occur with both </w:t>
      </w:r>
      <w:r>
        <w:rPr>
          <w:color w:val="000000" w:themeColor="text1"/>
        </w:rPr>
        <w:t xml:space="preserve">changes in </w:t>
      </w:r>
      <w:r w:rsidRPr="004C1704">
        <w:rPr>
          <w:color w:val="000000" w:themeColor="text1"/>
        </w:rPr>
        <w:t xml:space="preserve">pandemic paranoia and </w:t>
      </w:r>
      <w:r>
        <w:rPr>
          <w:color w:val="000000" w:themeColor="text1"/>
        </w:rPr>
        <w:t>persecutory thinking</w:t>
      </w:r>
      <w:r w:rsidRPr="004C1704">
        <w:rPr>
          <w:color w:val="000000" w:themeColor="text1"/>
        </w:rPr>
        <w:t xml:space="preserve">. This is also consistent with studies showing that sleep disturbance is associated with increased anxiety (a bidirectional relationship; </w:t>
      </w:r>
      <w:r w:rsidRPr="004C1704">
        <w:rPr>
          <w:noProof/>
          <w:color w:val="000000" w:themeColor="text1"/>
        </w:rPr>
        <w:t>Alvaro et al., 2013)</w:t>
      </w:r>
      <w:r w:rsidRPr="004C1704">
        <w:rPr>
          <w:color w:val="000000" w:themeColor="text1"/>
        </w:rPr>
        <w:t>. While associations between sleep, anxiety</w:t>
      </w:r>
      <w:r>
        <w:rPr>
          <w:color w:val="000000" w:themeColor="text1"/>
        </w:rPr>
        <w:t>, worry</w:t>
      </w:r>
      <w:r w:rsidRPr="004C1704">
        <w:rPr>
          <w:color w:val="000000" w:themeColor="text1"/>
        </w:rPr>
        <w:t xml:space="preserve"> and depression were observed within the sample over time, it appears that when understanding the impact of sleep on suspicious thinking related to the pandemic, anxiety was the significant mediator </w:t>
      </w:r>
      <w:r>
        <w:rPr>
          <w:color w:val="000000" w:themeColor="text1"/>
        </w:rPr>
        <w:t>(</w:t>
      </w:r>
      <w:r w:rsidRPr="004C1704">
        <w:rPr>
          <w:color w:val="000000" w:themeColor="text1"/>
        </w:rPr>
        <w:t xml:space="preserve">conditional upon </w:t>
      </w:r>
      <w:r>
        <w:rPr>
          <w:color w:val="000000" w:themeColor="text1"/>
        </w:rPr>
        <w:t>persecutory thinking)</w:t>
      </w:r>
      <w:r w:rsidRPr="004C1704">
        <w:rPr>
          <w:color w:val="000000" w:themeColor="text1"/>
        </w:rPr>
        <w:t xml:space="preserve">. </w:t>
      </w:r>
    </w:p>
    <w:p w14:paraId="3DB181E5" w14:textId="77777777" w:rsidR="005311A7" w:rsidRPr="004C1704" w:rsidRDefault="005311A7" w:rsidP="00D37E50">
      <w:pPr>
        <w:ind w:firstLine="944"/>
        <w:rPr>
          <w:color w:val="000000" w:themeColor="text1"/>
        </w:rPr>
      </w:pPr>
      <w:r w:rsidRPr="004C1704">
        <w:rPr>
          <w:color w:val="000000" w:themeColor="text1"/>
        </w:rPr>
        <w:t xml:space="preserve">Our hypothesised model incorporating </w:t>
      </w:r>
      <w:r>
        <w:rPr>
          <w:color w:val="000000" w:themeColor="text1"/>
        </w:rPr>
        <w:t xml:space="preserve">anxiety, </w:t>
      </w:r>
      <w:r w:rsidRPr="004C1704">
        <w:rPr>
          <w:color w:val="000000" w:themeColor="text1"/>
        </w:rPr>
        <w:t xml:space="preserve">worry and depressive symptoms in mediating the influence of sleep on pandemic paranoia was </w:t>
      </w:r>
      <w:r>
        <w:rPr>
          <w:color w:val="000000" w:themeColor="text1"/>
        </w:rPr>
        <w:t>partially</w:t>
      </w:r>
      <w:r w:rsidRPr="004C1704">
        <w:rPr>
          <w:color w:val="000000" w:themeColor="text1"/>
        </w:rPr>
        <w:t xml:space="preserve"> supported</w:t>
      </w:r>
      <w:r>
        <w:rPr>
          <w:color w:val="000000" w:themeColor="text1"/>
        </w:rPr>
        <w:t xml:space="preserve">: worry and </w:t>
      </w:r>
      <w:r>
        <w:rPr>
          <w:color w:val="000000" w:themeColor="text1"/>
        </w:rPr>
        <w:lastRenderedPageBreak/>
        <w:t>anxiety were found to be mediators, along with anxiety, in the parallel mediation model. However, when the moderating influence of persecutory thinking on the indirect pathway was included in the model, worry was not found to be a mediator</w:t>
      </w:r>
      <w:r w:rsidRPr="004C1704">
        <w:rPr>
          <w:color w:val="000000" w:themeColor="text1"/>
        </w:rPr>
        <w:t xml:space="preserve">. This finding is in contrast with studies observing relationships for worry and depression in changes of levels of general paranoia </w:t>
      </w:r>
      <w:r w:rsidRPr="004C1704">
        <w:rPr>
          <w:noProof/>
          <w:color w:val="000000" w:themeColor="text1"/>
        </w:rPr>
        <w:t>(Kramer et al., 2014; Reeve et al., 2018)</w:t>
      </w:r>
      <w:r w:rsidRPr="004C1704">
        <w:rPr>
          <w:color w:val="000000" w:themeColor="text1"/>
        </w:rPr>
        <w:t xml:space="preserve">, albeit over shorter time periods </w:t>
      </w:r>
      <w:r>
        <w:rPr>
          <w:color w:val="000000" w:themeColor="text1"/>
        </w:rPr>
        <w:t xml:space="preserve">(two weeks) </w:t>
      </w:r>
      <w:r w:rsidRPr="004C1704">
        <w:rPr>
          <w:color w:val="000000" w:themeColor="text1"/>
        </w:rPr>
        <w:t>than the current study (</w:t>
      </w:r>
      <w:r>
        <w:rPr>
          <w:color w:val="000000" w:themeColor="text1"/>
        </w:rPr>
        <w:t>12</w:t>
      </w:r>
      <w:r w:rsidRPr="004C1704">
        <w:rPr>
          <w:color w:val="000000" w:themeColor="text1"/>
        </w:rPr>
        <w:t xml:space="preserve"> </w:t>
      </w:r>
      <w:r>
        <w:rPr>
          <w:color w:val="000000" w:themeColor="text1"/>
        </w:rPr>
        <w:t>weeks</w:t>
      </w:r>
      <w:r w:rsidRPr="004C1704">
        <w:rPr>
          <w:color w:val="000000" w:themeColor="text1"/>
        </w:rPr>
        <w:t xml:space="preserve">). Similarly, compared to </w:t>
      </w:r>
      <w:r w:rsidRPr="004C1704">
        <w:rPr>
          <w:noProof/>
          <w:color w:val="000000" w:themeColor="text1"/>
        </w:rPr>
        <w:t>So et al. (2022)</w:t>
      </w:r>
      <w:r w:rsidRPr="004C1704">
        <w:rPr>
          <w:color w:val="000000" w:themeColor="text1"/>
        </w:rPr>
        <w:t xml:space="preserve"> where worry predicted latent class membership for higher pandemic and general paranoia, the current study did not show a significant role of worry as a mediator in fluctuations of insomnia and pandemic paranoia over the three-month study period</w:t>
      </w:r>
      <w:r>
        <w:rPr>
          <w:color w:val="000000" w:themeColor="text1"/>
        </w:rPr>
        <w:t>, when persecutory thinking is accounted for as a moderator of the indirect pathway</w:t>
      </w:r>
      <w:r w:rsidRPr="004C1704">
        <w:rPr>
          <w:color w:val="000000" w:themeColor="text1"/>
        </w:rPr>
        <w:t xml:space="preserve">. It may be, when considered in combination longitudinally over longer periods, insomnia is associated strongly with anxiety, and that this is a specific pathway to changes in pandemic paranoia. </w:t>
      </w:r>
    </w:p>
    <w:p w14:paraId="07637DDD" w14:textId="5DD5DAC8" w:rsidR="00145413" w:rsidRDefault="005311A7" w:rsidP="00D37E50">
      <w:pPr>
        <w:ind w:firstLine="944"/>
        <w:rPr>
          <w:color w:val="000000" w:themeColor="text1"/>
        </w:rPr>
      </w:pPr>
      <w:r w:rsidRPr="004C1704">
        <w:rPr>
          <w:color w:val="000000" w:themeColor="text1"/>
        </w:rPr>
        <w:t xml:space="preserve">Our study findings suggest </w:t>
      </w:r>
      <w:r>
        <w:rPr>
          <w:color w:val="000000" w:themeColor="text1"/>
        </w:rPr>
        <w:t>that t</w:t>
      </w:r>
      <w:r w:rsidRPr="004C1704">
        <w:rPr>
          <w:color w:val="000000" w:themeColor="text1"/>
        </w:rPr>
        <w:t>he presence of persecutory thinking appears to intensify the impact of the insomnia-anxiety relationship on pandemic paranoia over time. It is recognised that sleep, negative affect and worry are likely to have bidirectional relationships over time</w:t>
      </w:r>
      <w:r>
        <w:rPr>
          <w:color w:val="000000" w:themeColor="text1"/>
        </w:rPr>
        <w:t xml:space="preserve"> (</w:t>
      </w:r>
      <w:r>
        <w:t xml:space="preserve">Hennig et al., 2020; </w:t>
      </w:r>
      <w:proofErr w:type="spellStart"/>
      <w:r>
        <w:t>Kasanova</w:t>
      </w:r>
      <w:proofErr w:type="spellEnd"/>
      <w:r>
        <w:t xml:space="preserve"> et al., 2020)</w:t>
      </w:r>
      <w:r w:rsidRPr="004C1704">
        <w:rPr>
          <w:color w:val="000000" w:themeColor="text1"/>
        </w:rPr>
        <w:t xml:space="preserve">. </w:t>
      </w:r>
      <w:r w:rsidR="00F55EF2">
        <w:rPr>
          <w:color w:val="000000" w:themeColor="text1"/>
        </w:rPr>
        <w:t>These psychological factors also have linkages at a neurophysiological level, with poor sleep quality and anxiety involving increasing</w:t>
      </w:r>
      <w:r w:rsidR="00145413">
        <w:rPr>
          <w:color w:val="000000" w:themeColor="text1"/>
        </w:rPr>
        <w:t xml:space="preserve"> connectivity involving the limbic system</w:t>
      </w:r>
      <w:r w:rsidR="00F55EF2">
        <w:rPr>
          <w:color w:val="000000" w:themeColor="text1"/>
        </w:rPr>
        <w:t xml:space="preserve"> and pre-frontal cortex (</w:t>
      </w:r>
      <w:r w:rsidR="002E5309">
        <w:rPr>
          <w:color w:val="000000" w:themeColor="text1"/>
        </w:rPr>
        <w:t>e.g.</w:t>
      </w:r>
      <w:r w:rsidR="00F55EF2">
        <w:rPr>
          <w:color w:val="000000" w:themeColor="text1"/>
        </w:rPr>
        <w:t xml:space="preserve">, Prather </w:t>
      </w:r>
      <w:r w:rsidR="00F55EF2" w:rsidRPr="00F55EF2">
        <w:rPr>
          <w:color w:val="000000" w:themeColor="text1"/>
        </w:rPr>
        <w:t>et al.,</w:t>
      </w:r>
      <w:r w:rsidR="00F55EF2">
        <w:rPr>
          <w:color w:val="000000" w:themeColor="text1"/>
        </w:rPr>
        <w:t xml:space="preserve"> 2013; Shen </w:t>
      </w:r>
      <w:r w:rsidR="00F55EF2" w:rsidRPr="00F55EF2">
        <w:rPr>
          <w:color w:val="000000" w:themeColor="text1"/>
        </w:rPr>
        <w:t>et al.,</w:t>
      </w:r>
      <w:r w:rsidR="00F55EF2">
        <w:rPr>
          <w:color w:val="000000" w:themeColor="text1"/>
        </w:rPr>
        <w:t xml:space="preserve"> 2023); </w:t>
      </w:r>
      <w:proofErr w:type="gramStart"/>
      <w:r w:rsidR="00722FA5">
        <w:rPr>
          <w:color w:val="000000" w:themeColor="text1"/>
        </w:rPr>
        <w:t>similarly</w:t>
      </w:r>
      <w:proofErr w:type="gramEnd"/>
      <w:r w:rsidR="00722FA5">
        <w:rPr>
          <w:color w:val="000000" w:themeColor="text1"/>
        </w:rPr>
        <w:t xml:space="preserve"> </w:t>
      </w:r>
      <w:r w:rsidR="00F55EF2">
        <w:rPr>
          <w:color w:val="000000" w:themeColor="text1"/>
        </w:rPr>
        <w:t>so for persecutory thinking (e.g.,</w:t>
      </w:r>
      <w:r w:rsidR="002E03D9" w:rsidDel="002E03D9">
        <w:rPr>
          <w:color w:val="000000" w:themeColor="text1"/>
        </w:rPr>
        <w:t xml:space="preserve"> </w:t>
      </w:r>
      <w:r w:rsidR="00F55EF2">
        <w:rPr>
          <w:color w:val="000000" w:themeColor="text1"/>
        </w:rPr>
        <w:t xml:space="preserve">Pinkham </w:t>
      </w:r>
      <w:r w:rsidR="00F55EF2" w:rsidRPr="00F55EF2">
        <w:rPr>
          <w:color w:val="000000" w:themeColor="text1"/>
        </w:rPr>
        <w:t>et al.,</w:t>
      </w:r>
      <w:r w:rsidR="00F55EF2">
        <w:rPr>
          <w:color w:val="000000" w:themeColor="text1"/>
        </w:rPr>
        <w:t xml:space="preserve"> 2022</w:t>
      </w:r>
      <w:r w:rsidR="00145413" w:rsidRPr="00145413">
        <w:rPr>
          <w:color w:val="000000" w:themeColor="text1"/>
        </w:rPr>
        <w:t xml:space="preserve"> </w:t>
      </w:r>
      <w:r w:rsidR="00145413">
        <w:rPr>
          <w:color w:val="000000" w:themeColor="text1"/>
        </w:rPr>
        <w:t xml:space="preserve">Fan </w:t>
      </w:r>
      <w:r w:rsidR="00145413" w:rsidRPr="00145413">
        <w:rPr>
          <w:color w:val="000000" w:themeColor="text1"/>
        </w:rPr>
        <w:t xml:space="preserve">et al., </w:t>
      </w:r>
      <w:r w:rsidR="00145413">
        <w:rPr>
          <w:color w:val="000000" w:themeColor="text1"/>
        </w:rPr>
        <w:t xml:space="preserve">2021; Walther </w:t>
      </w:r>
      <w:r w:rsidR="00145413" w:rsidRPr="00145413">
        <w:rPr>
          <w:color w:val="000000" w:themeColor="text1"/>
        </w:rPr>
        <w:t>et al.,</w:t>
      </w:r>
      <w:r w:rsidR="00145413">
        <w:rPr>
          <w:color w:val="000000" w:themeColor="text1"/>
        </w:rPr>
        <w:t xml:space="preserve"> 2021</w:t>
      </w:r>
      <w:r w:rsidR="00F55EF2">
        <w:rPr>
          <w:color w:val="000000" w:themeColor="text1"/>
        </w:rPr>
        <w:t>)</w:t>
      </w:r>
      <w:r w:rsidR="00145413">
        <w:rPr>
          <w:color w:val="000000" w:themeColor="text1"/>
        </w:rPr>
        <w:t>.</w:t>
      </w:r>
      <w:r w:rsidR="00F55EF2">
        <w:rPr>
          <w:color w:val="000000" w:themeColor="text1"/>
        </w:rPr>
        <w:t xml:space="preserve"> </w:t>
      </w:r>
      <w:r w:rsidR="002E5309">
        <w:rPr>
          <w:color w:val="000000" w:themeColor="text1"/>
        </w:rPr>
        <w:t>A future direction for research is to investigate differences and connections at a neurophysiolog</w:t>
      </w:r>
      <w:r w:rsidR="004051C3">
        <w:rPr>
          <w:color w:val="000000" w:themeColor="text1"/>
        </w:rPr>
        <w:t>y</w:t>
      </w:r>
      <w:r w:rsidR="002E5309">
        <w:rPr>
          <w:color w:val="000000" w:themeColor="text1"/>
        </w:rPr>
        <w:t xml:space="preserve"> related to pandemic and general paranoia.  </w:t>
      </w:r>
    </w:p>
    <w:p w14:paraId="5DD0F5E5" w14:textId="7F5EDE64" w:rsidR="005311A7" w:rsidRPr="004C1704" w:rsidRDefault="005311A7" w:rsidP="00D37E50">
      <w:pPr>
        <w:ind w:firstLine="944"/>
        <w:rPr>
          <w:color w:val="000000" w:themeColor="text1"/>
        </w:rPr>
      </w:pPr>
      <w:r w:rsidRPr="004C1704">
        <w:rPr>
          <w:color w:val="000000" w:themeColor="text1"/>
        </w:rPr>
        <w:t xml:space="preserve">Given the social and personal challenges of pandemic management, an implication </w:t>
      </w:r>
      <w:r w:rsidR="00145413">
        <w:rPr>
          <w:color w:val="000000" w:themeColor="text1"/>
        </w:rPr>
        <w:t xml:space="preserve">from these findings </w:t>
      </w:r>
      <w:r w:rsidRPr="004C1704">
        <w:rPr>
          <w:color w:val="000000" w:themeColor="text1"/>
        </w:rPr>
        <w:t xml:space="preserve">is that providing </w:t>
      </w:r>
      <w:r>
        <w:rPr>
          <w:color w:val="000000" w:themeColor="text1"/>
        </w:rPr>
        <w:t>greater</w:t>
      </w:r>
      <w:r w:rsidR="007D3A50">
        <w:rPr>
          <w:color w:val="000000" w:themeColor="text1"/>
        </w:rPr>
        <w:t xml:space="preserve"> </w:t>
      </w:r>
      <w:r w:rsidRPr="004C1704">
        <w:rPr>
          <w:color w:val="000000" w:themeColor="text1"/>
        </w:rPr>
        <w:t xml:space="preserve"> support to improve sleep quality </w:t>
      </w:r>
      <w:r>
        <w:rPr>
          <w:color w:val="000000" w:themeColor="text1"/>
        </w:rPr>
        <w:t xml:space="preserve">for vulnerable groups </w:t>
      </w:r>
      <w:r w:rsidRPr="004C1704">
        <w:rPr>
          <w:color w:val="000000" w:themeColor="text1"/>
        </w:rPr>
        <w:t>(</w:t>
      </w:r>
      <w:r w:rsidRPr="004C1704">
        <w:rPr>
          <w:noProof/>
          <w:color w:val="000000" w:themeColor="text1"/>
        </w:rPr>
        <w:t>Morin &amp; Jarrin, 2022)</w:t>
      </w:r>
      <w:r>
        <w:rPr>
          <w:color w:val="000000" w:themeColor="text1"/>
        </w:rPr>
        <w:t>, such as those with increased persecutory thinking</w:t>
      </w:r>
      <w:r w:rsidRPr="004C1704">
        <w:rPr>
          <w:color w:val="000000" w:themeColor="text1"/>
        </w:rPr>
        <w:t xml:space="preserve"> may be </w:t>
      </w:r>
      <w:r w:rsidRPr="004C1704">
        <w:rPr>
          <w:color w:val="000000" w:themeColor="text1"/>
        </w:rPr>
        <w:lastRenderedPageBreak/>
        <w:t xml:space="preserve">especially important, </w:t>
      </w:r>
      <w:r>
        <w:rPr>
          <w:color w:val="000000" w:themeColor="text1"/>
        </w:rPr>
        <w:t xml:space="preserve">particularly </w:t>
      </w:r>
      <w:r w:rsidRPr="004C1704">
        <w:rPr>
          <w:color w:val="000000" w:themeColor="text1"/>
        </w:rPr>
        <w:t xml:space="preserve">if preventive strategies to reduce viral transmission such as lockdown/ confinement are used, which can impact on sleep quality, mood and anxiety </w:t>
      </w:r>
      <w:r w:rsidRPr="004C1704">
        <w:rPr>
          <w:noProof/>
          <w:color w:val="000000" w:themeColor="text1"/>
        </w:rPr>
        <w:t>(Morin et al., 2021)</w:t>
      </w:r>
      <w:r w:rsidRPr="004C1704">
        <w:rPr>
          <w:color w:val="000000" w:themeColor="text1"/>
        </w:rPr>
        <w:t xml:space="preserve">. </w:t>
      </w:r>
      <w:r w:rsidR="00DA6DDC">
        <w:rPr>
          <w:color w:val="000000" w:themeColor="text1"/>
        </w:rPr>
        <w:t xml:space="preserve">Additionally, a future research direction will be to observe whether the structure and prevalence of the pandemic-specific paranoia found in the COVID-19 pandemic (Kingston </w:t>
      </w:r>
      <w:r w:rsidR="00DA6DDC" w:rsidRPr="00DA6DDC">
        <w:rPr>
          <w:color w:val="000000" w:themeColor="text1"/>
        </w:rPr>
        <w:t>et al.,</w:t>
      </w:r>
      <w:r w:rsidR="00DA6DDC">
        <w:rPr>
          <w:color w:val="000000" w:themeColor="text1"/>
        </w:rPr>
        <w:t xml:space="preserve"> 2021; Ellett </w:t>
      </w:r>
      <w:r w:rsidR="00DA6DDC" w:rsidRPr="00DA6DDC">
        <w:rPr>
          <w:color w:val="000000" w:themeColor="text1"/>
        </w:rPr>
        <w:t>et al.,</w:t>
      </w:r>
      <w:r w:rsidR="00DA6DDC">
        <w:rPr>
          <w:color w:val="000000" w:themeColor="text1"/>
        </w:rPr>
        <w:t xml:space="preserve"> 2022) is generalizable to understanding interpersonal mistrust and conspiracy thinking in future pandemics, and whether there are similar associations with sleep, anxiety and general paranoia.  </w:t>
      </w:r>
    </w:p>
    <w:p w14:paraId="34764BE0" w14:textId="77777777" w:rsidR="005311A7" w:rsidRPr="004C1704" w:rsidRDefault="005311A7" w:rsidP="00D37E50">
      <w:pPr>
        <w:pStyle w:val="Heading2"/>
      </w:pPr>
      <w:r w:rsidRPr="004C1704">
        <w:t>Strengths and Limitations</w:t>
      </w:r>
    </w:p>
    <w:p w14:paraId="3949A99E" w14:textId="77777777" w:rsidR="005311A7" w:rsidRPr="004C1704" w:rsidRDefault="005311A7" w:rsidP="00D37E50">
      <w:pPr>
        <w:ind w:firstLine="944"/>
        <w:rPr>
          <w:color w:val="000000" w:themeColor="text1"/>
        </w:rPr>
      </w:pPr>
      <w:r w:rsidRPr="004C1704">
        <w:rPr>
          <w:color w:val="000000" w:themeColor="text1"/>
        </w:rPr>
        <w:t xml:space="preserve">A strength of this study is the longitudinal design, allowing investigation of changes within participants across two time-points. This enabled us to observe how changes in sleep and other variables impacted changes in pandemic paranoia, linked to individual participants. The study period of three months enabled an investigation of medium-term changes in sleep and pandemic paranoia. </w:t>
      </w:r>
      <w:r>
        <w:rPr>
          <w:color w:val="000000" w:themeColor="text1"/>
        </w:rPr>
        <w:t xml:space="preserve">A further strength is that the statistical approach we used controlled for a group of interrelated variables, allowing for the identification of unique variance in the </w:t>
      </w:r>
      <w:r w:rsidRPr="00D5517E">
        <w:rPr>
          <w:color w:val="000000" w:themeColor="text1"/>
        </w:rPr>
        <w:t>relationship</w:t>
      </w:r>
      <w:r>
        <w:rPr>
          <w:color w:val="000000" w:themeColor="text1"/>
        </w:rPr>
        <w:t>s tested.</w:t>
      </w:r>
    </w:p>
    <w:p w14:paraId="59FCD2B0" w14:textId="77777777" w:rsidR="005311A7" w:rsidRPr="004C1704" w:rsidRDefault="005311A7" w:rsidP="00D37E50">
      <w:pPr>
        <w:ind w:firstLine="944"/>
        <w:rPr>
          <w:color w:val="000000" w:themeColor="text1"/>
        </w:rPr>
      </w:pPr>
      <w:r w:rsidRPr="004C1704">
        <w:rPr>
          <w:color w:val="000000" w:themeColor="text1"/>
        </w:rPr>
        <w:t xml:space="preserve">A limitation is the nature of the sample engaged in this study, constituting an uneven grouping of participants from the regions of the T1 assessment for the pandemic paranoia study (Ellett et al., 2022). The proportions of participants from the regions differed, in comparison to the equal proportions in the T1 study. The study participant group was found to be different from the larger T1 sample in terms of demographics, with a greater proportion of female participants and those who reported trauma histories. The current study findings may </w:t>
      </w:r>
      <w:r>
        <w:rPr>
          <w:color w:val="000000" w:themeColor="text1"/>
        </w:rPr>
        <w:t>be</w:t>
      </w:r>
      <w:r w:rsidRPr="004C1704">
        <w:rPr>
          <w:color w:val="000000" w:themeColor="text1"/>
        </w:rPr>
        <w:t xml:space="preserve"> influenced by participant characteristics (i.e., those more likely to complete a second survey)</w:t>
      </w:r>
      <w:r>
        <w:rPr>
          <w:color w:val="000000" w:themeColor="text1"/>
        </w:rPr>
        <w:t xml:space="preserve"> and therefore our </w:t>
      </w:r>
      <w:r w:rsidRPr="004C1704">
        <w:rPr>
          <w:color w:val="000000" w:themeColor="text1"/>
        </w:rPr>
        <w:t xml:space="preserve">findings </w:t>
      </w:r>
      <w:r>
        <w:rPr>
          <w:color w:val="000000" w:themeColor="text1"/>
        </w:rPr>
        <w:t>may</w:t>
      </w:r>
      <w:r w:rsidRPr="004C1704">
        <w:rPr>
          <w:color w:val="000000" w:themeColor="text1"/>
        </w:rPr>
        <w:t xml:space="preserve"> not generalise to people who do not share these demographics. </w:t>
      </w:r>
      <w:r>
        <w:rPr>
          <w:color w:val="000000" w:themeColor="text1"/>
        </w:rPr>
        <w:t xml:space="preserve">Finally, although we used a longitudinal design, it consisted of </w:t>
      </w:r>
      <w:r w:rsidRPr="004C1704">
        <w:rPr>
          <w:color w:val="000000" w:themeColor="text1"/>
        </w:rPr>
        <w:t>only two assessment periods</w:t>
      </w:r>
      <w:r>
        <w:rPr>
          <w:color w:val="000000" w:themeColor="text1"/>
        </w:rPr>
        <w:t xml:space="preserve">, so that </w:t>
      </w:r>
      <w:r w:rsidRPr="004C1704">
        <w:rPr>
          <w:color w:val="000000" w:themeColor="text1"/>
        </w:rPr>
        <w:t>directionality in how changes occur</w:t>
      </w:r>
      <w:r>
        <w:rPr>
          <w:color w:val="000000" w:themeColor="text1"/>
        </w:rPr>
        <w:t xml:space="preserve"> could not be assessed, such as </w:t>
      </w:r>
      <w:r w:rsidRPr="004C1704">
        <w:rPr>
          <w:color w:val="000000" w:themeColor="text1"/>
        </w:rPr>
        <w:lastRenderedPageBreak/>
        <w:t xml:space="preserve">whether changes in insomnia precede changes in pandemic paranoia, vice-versa, or a co-varying relationship.  </w:t>
      </w:r>
    </w:p>
    <w:p w14:paraId="532B7DEE" w14:textId="77777777" w:rsidR="005311A7" w:rsidRPr="004C1704" w:rsidRDefault="005311A7" w:rsidP="00D37E50">
      <w:pPr>
        <w:ind w:firstLine="944"/>
        <w:rPr>
          <w:color w:val="000000" w:themeColor="text1"/>
        </w:rPr>
      </w:pPr>
      <w:r w:rsidRPr="004C1704">
        <w:rPr>
          <w:color w:val="000000" w:themeColor="text1"/>
        </w:rPr>
        <w:t> </w:t>
      </w:r>
      <w:r w:rsidRPr="004C1704">
        <w:rPr>
          <w:b/>
          <w:color w:val="000000" w:themeColor="text1"/>
        </w:rPr>
        <w:t>Conclusion</w:t>
      </w:r>
    </w:p>
    <w:p w14:paraId="468B050D" w14:textId="77777777" w:rsidR="005311A7" w:rsidRPr="003D63FE" w:rsidRDefault="005311A7" w:rsidP="00D37E50">
      <w:pPr>
        <w:ind w:firstLine="944"/>
        <w:rPr>
          <w:color w:val="000000" w:themeColor="text1"/>
        </w:rPr>
      </w:pPr>
      <w:r w:rsidRPr="004C1704">
        <w:rPr>
          <w:color w:val="000000" w:themeColor="text1"/>
        </w:rPr>
        <w:t xml:space="preserve">In summary, this study demonstrates that for a diverse international sample, changes in concerns about others’ harmful actions related to a pandemic (pandemic paranoia) over a three-month period were influenced by changes in insomnia, and that changes in anxiety partially mediated this relationship, at different levels of </w:t>
      </w:r>
      <w:r>
        <w:rPr>
          <w:color w:val="000000" w:themeColor="text1"/>
        </w:rPr>
        <w:t>persecutory thinking</w:t>
      </w:r>
      <w:r w:rsidRPr="004C1704">
        <w:rPr>
          <w:color w:val="000000" w:themeColor="text1"/>
        </w:rPr>
        <w:t>. The impact of mistrust of others during a pandemic may be an important consideration for public health interventions, particularly if mitigation efforts are associated with increased sleep disturbance and anxiety for individuals.</w:t>
      </w:r>
      <w:r w:rsidRPr="003D63FE">
        <w:rPr>
          <w:color w:val="000000" w:themeColor="text1"/>
        </w:rPr>
        <w:t xml:space="preserve"> </w:t>
      </w:r>
    </w:p>
    <w:p w14:paraId="5E4DABA6" w14:textId="77777777" w:rsidR="005311A7" w:rsidRDefault="005311A7">
      <w:r>
        <w:br w:type="page"/>
      </w:r>
    </w:p>
    <w:p w14:paraId="64BED6AB" w14:textId="77777777" w:rsidR="005311A7" w:rsidRDefault="005311A7" w:rsidP="009F7E5C">
      <w:pPr>
        <w:spacing w:after="120"/>
        <w:ind w:left="720" w:hanging="720"/>
      </w:pPr>
    </w:p>
    <w:p w14:paraId="04CAD6A3" w14:textId="77777777" w:rsidR="005311A7" w:rsidRPr="005311A7" w:rsidRDefault="005311A7" w:rsidP="005311A7">
      <w:pPr>
        <w:ind w:firstLine="0"/>
        <w:jc w:val="center"/>
        <w:rPr>
          <w:b/>
        </w:rPr>
      </w:pPr>
      <w:r w:rsidRPr="005311A7">
        <w:rPr>
          <w:b/>
        </w:rPr>
        <w:t>References</w:t>
      </w:r>
    </w:p>
    <w:p w14:paraId="7498E6B4" w14:textId="77777777" w:rsidR="005311A7" w:rsidRPr="005311A7" w:rsidRDefault="005311A7" w:rsidP="005311A7">
      <w:pPr>
        <w:pStyle w:val="EndNoteBibliography"/>
        <w:spacing w:after="120" w:line="360" w:lineRule="auto"/>
        <w:ind w:left="720" w:hanging="720"/>
        <w:rPr>
          <w:noProof/>
          <w:color w:val="000000" w:themeColor="text1"/>
        </w:rPr>
      </w:pPr>
      <w:r w:rsidRPr="005311A7">
        <w:rPr>
          <w:color w:val="000000" w:themeColor="text1"/>
        </w:rPr>
        <w:fldChar w:fldCharType="begin"/>
      </w:r>
      <w:r w:rsidRPr="005311A7">
        <w:rPr>
          <w:color w:val="000000" w:themeColor="text1"/>
        </w:rPr>
        <w:instrText xml:space="preserve"> ADDIN EN.REFLIST </w:instrText>
      </w:r>
      <w:r w:rsidRPr="005311A7">
        <w:rPr>
          <w:color w:val="000000" w:themeColor="text1"/>
        </w:rPr>
        <w:fldChar w:fldCharType="separate"/>
      </w:r>
      <w:r w:rsidRPr="005311A7">
        <w:rPr>
          <w:noProof/>
          <w:color w:val="000000" w:themeColor="text1"/>
        </w:rPr>
        <w:t xml:space="preserve">Alvaro, P. K., Roberts, R. M., &amp; Harris, J. K. (2013). A systematic review assessing bidirectionality between sleep disturbances, anxiety, and depression. </w:t>
      </w:r>
      <w:r w:rsidRPr="005311A7">
        <w:rPr>
          <w:i/>
          <w:noProof/>
          <w:color w:val="000000" w:themeColor="text1"/>
        </w:rPr>
        <w:t>Sleep</w:t>
      </w:r>
      <w:r w:rsidRPr="005311A7">
        <w:rPr>
          <w:noProof/>
          <w:color w:val="000000" w:themeColor="text1"/>
        </w:rPr>
        <w:t>,</w:t>
      </w:r>
      <w:r w:rsidRPr="005311A7">
        <w:rPr>
          <w:i/>
          <w:noProof/>
          <w:color w:val="000000" w:themeColor="text1"/>
        </w:rPr>
        <w:t xml:space="preserve"> 36</w:t>
      </w:r>
      <w:r w:rsidRPr="005311A7">
        <w:rPr>
          <w:noProof/>
          <w:color w:val="000000" w:themeColor="text1"/>
        </w:rPr>
        <w:t xml:space="preserve">(7), 1059-1068. </w:t>
      </w:r>
    </w:p>
    <w:p w14:paraId="28D79023"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Bastien, C. H., Vallières, A., &amp; Morin, C. M. (2001). Validation of the Insomnia Severity Index as an outcome measure for insomnia research. </w:t>
      </w:r>
      <w:r w:rsidRPr="005311A7">
        <w:rPr>
          <w:i/>
          <w:noProof/>
          <w:color w:val="000000" w:themeColor="text1"/>
        </w:rPr>
        <w:t>Sleep medicine</w:t>
      </w:r>
      <w:r w:rsidRPr="005311A7">
        <w:rPr>
          <w:noProof/>
          <w:color w:val="000000" w:themeColor="text1"/>
        </w:rPr>
        <w:t>,</w:t>
      </w:r>
      <w:r w:rsidRPr="005311A7">
        <w:rPr>
          <w:i/>
          <w:noProof/>
          <w:color w:val="000000" w:themeColor="text1"/>
        </w:rPr>
        <w:t xml:space="preserve"> 2</w:t>
      </w:r>
      <w:r w:rsidRPr="005311A7">
        <w:rPr>
          <w:noProof/>
          <w:color w:val="000000" w:themeColor="text1"/>
        </w:rPr>
        <w:t xml:space="preserve">(4), 297-307. </w:t>
      </w:r>
    </w:p>
    <w:p w14:paraId="70C15538"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Bebbington, P. E., McBride, O., Steel, C., Kuipers, E., Radovanoviĉ, M., Brugha, T., Jenkins, R., Meltzer, H. I., &amp; Freeman, D. (2013). The structure of paranoia in the general population. </w:t>
      </w:r>
      <w:r w:rsidRPr="005311A7">
        <w:rPr>
          <w:i/>
          <w:noProof/>
          <w:color w:val="000000" w:themeColor="text1"/>
        </w:rPr>
        <w:t>British Journal of Psychiatry</w:t>
      </w:r>
      <w:r w:rsidRPr="005311A7">
        <w:rPr>
          <w:noProof/>
          <w:color w:val="000000" w:themeColor="text1"/>
        </w:rPr>
        <w:t>,</w:t>
      </w:r>
      <w:r w:rsidRPr="005311A7">
        <w:rPr>
          <w:i/>
          <w:noProof/>
          <w:color w:val="000000" w:themeColor="text1"/>
        </w:rPr>
        <w:t xml:space="preserve"> 202</w:t>
      </w:r>
      <w:r w:rsidRPr="005311A7">
        <w:rPr>
          <w:noProof/>
          <w:color w:val="000000" w:themeColor="text1"/>
        </w:rPr>
        <w:t xml:space="preserve">(6), 419-427. </w:t>
      </w:r>
      <w:hyperlink r:id="rId10" w:history="1">
        <w:r w:rsidRPr="005311A7">
          <w:rPr>
            <w:rStyle w:val="Hyperlink"/>
            <w:noProof/>
            <w:color w:val="000000" w:themeColor="text1"/>
          </w:rPr>
          <w:t>https://doi.org/10.1192/bjp.bp.112.119032</w:t>
        </w:r>
      </w:hyperlink>
      <w:r w:rsidRPr="005311A7">
        <w:rPr>
          <w:noProof/>
          <w:color w:val="000000" w:themeColor="text1"/>
        </w:rPr>
        <w:t xml:space="preserve"> </w:t>
      </w:r>
    </w:p>
    <w:p w14:paraId="43EF42A0"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Berle, D., Starcevic, V., Moses, K., Hannan, A., Milicevic, D., &amp; Sammut, P. (2011). Preliminary validation of an ultra‐brief version of the Penn State Worry Questionnaire. </w:t>
      </w:r>
      <w:r w:rsidRPr="005311A7">
        <w:rPr>
          <w:i/>
          <w:noProof/>
          <w:color w:val="000000" w:themeColor="text1"/>
        </w:rPr>
        <w:t>Clinical Psychology &amp; Psychotherapy</w:t>
      </w:r>
      <w:r w:rsidRPr="005311A7">
        <w:rPr>
          <w:noProof/>
          <w:color w:val="000000" w:themeColor="text1"/>
        </w:rPr>
        <w:t>,</w:t>
      </w:r>
      <w:r w:rsidRPr="005311A7">
        <w:rPr>
          <w:i/>
          <w:noProof/>
          <w:color w:val="000000" w:themeColor="text1"/>
        </w:rPr>
        <w:t xml:space="preserve"> 18</w:t>
      </w:r>
      <w:r w:rsidRPr="005311A7">
        <w:rPr>
          <w:noProof/>
          <w:color w:val="000000" w:themeColor="text1"/>
        </w:rPr>
        <w:t xml:space="preserve">(4), 339-346. </w:t>
      </w:r>
    </w:p>
    <w:p w14:paraId="4CDBC293"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Elahi, A., Perez Algorta, G., Varese, F., McIntyre, J. C., &amp; Bentall, R. P. (2017). Do paranoid delusions exist on a continuum with subclinical paranoia? A multi-method taxometric study. </w:t>
      </w:r>
      <w:r w:rsidRPr="005311A7">
        <w:rPr>
          <w:i/>
          <w:noProof/>
          <w:color w:val="000000" w:themeColor="text1"/>
        </w:rPr>
        <w:t>Schizophr Res</w:t>
      </w:r>
      <w:r w:rsidRPr="005311A7">
        <w:rPr>
          <w:noProof/>
          <w:color w:val="000000" w:themeColor="text1"/>
        </w:rPr>
        <w:t>,</w:t>
      </w:r>
      <w:r w:rsidRPr="005311A7">
        <w:rPr>
          <w:i/>
          <w:noProof/>
          <w:color w:val="000000" w:themeColor="text1"/>
        </w:rPr>
        <w:t xml:space="preserve"> 190</w:t>
      </w:r>
      <w:r w:rsidRPr="005311A7">
        <w:rPr>
          <w:noProof/>
          <w:color w:val="000000" w:themeColor="text1"/>
        </w:rPr>
        <w:t xml:space="preserve">, 77-81. </w:t>
      </w:r>
      <w:hyperlink r:id="rId11" w:history="1">
        <w:r w:rsidRPr="005311A7">
          <w:rPr>
            <w:rStyle w:val="Hyperlink"/>
            <w:noProof/>
            <w:color w:val="000000" w:themeColor="text1"/>
          </w:rPr>
          <w:t>https://doi.org/10.1016/j.schres.2017.03.022</w:t>
        </w:r>
      </w:hyperlink>
      <w:r w:rsidRPr="005311A7">
        <w:rPr>
          <w:noProof/>
          <w:color w:val="000000" w:themeColor="text1"/>
        </w:rPr>
        <w:t xml:space="preserve"> </w:t>
      </w:r>
    </w:p>
    <w:p w14:paraId="25C46210" w14:textId="77777777" w:rsid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Ellett, L., Schlier, B., Kingston, J. L., Zhu, C., So, S. H., Lincoln, T. M., Morris, E. M. J., &amp; Gaudiano, B. A. (2022). Pandemic paranoia in the general population: international prevalence and sociodemographic profile. </w:t>
      </w:r>
      <w:r w:rsidRPr="005311A7">
        <w:rPr>
          <w:i/>
          <w:noProof/>
          <w:color w:val="000000" w:themeColor="text1"/>
        </w:rPr>
        <w:t>Psychol Med</w:t>
      </w:r>
      <w:r w:rsidRPr="005311A7">
        <w:rPr>
          <w:noProof/>
          <w:color w:val="000000" w:themeColor="text1"/>
        </w:rPr>
        <w:t xml:space="preserve">, 1-8. </w:t>
      </w:r>
      <w:hyperlink r:id="rId12" w:history="1">
        <w:r w:rsidRPr="005311A7">
          <w:rPr>
            <w:rStyle w:val="Hyperlink"/>
            <w:noProof/>
            <w:color w:val="000000" w:themeColor="text1"/>
          </w:rPr>
          <w:t>https://doi.org/10.1017/S0033291722002975</w:t>
        </w:r>
      </w:hyperlink>
      <w:r w:rsidRPr="005311A7">
        <w:rPr>
          <w:noProof/>
          <w:color w:val="000000" w:themeColor="text1"/>
        </w:rPr>
        <w:t xml:space="preserve"> </w:t>
      </w:r>
    </w:p>
    <w:p w14:paraId="275B77F4" w14:textId="223D4C52" w:rsidR="00605F58" w:rsidRPr="005311A7" w:rsidRDefault="00605F58" w:rsidP="00605F58">
      <w:pPr>
        <w:pStyle w:val="EndNoteBibliography"/>
        <w:spacing w:after="120" w:line="360" w:lineRule="auto"/>
        <w:ind w:left="720" w:hanging="720"/>
        <w:rPr>
          <w:noProof/>
          <w:color w:val="000000" w:themeColor="text1"/>
        </w:rPr>
      </w:pPr>
      <w:r w:rsidRPr="00605F58">
        <w:rPr>
          <w:noProof/>
          <w:color w:val="000000" w:themeColor="text1"/>
        </w:rPr>
        <w:t xml:space="preserve">Fan, L., Klein, H., Bass, E., Springfield, C., &amp; Pinkham, A. (2021). Amygdala hyperconnectivity in the paranoid state: A transdiagnostic study. </w:t>
      </w:r>
      <w:r w:rsidRPr="00605F58">
        <w:rPr>
          <w:i/>
          <w:iCs/>
          <w:noProof/>
          <w:color w:val="000000" w:themeColor="text1"/>
        </w:rPr>
        <w:t>Journal of Psychiatric Research</w:t>
      </w:r>
      <w:r w:rsidRPr="00605F58">
        <w:rPr>
          <w:noProof/>
          <w:color w:val="000000" w:themeColor="text1"/>
        </w:rPr>
        <w:t xml:space="preserve">, </w:t>
      </w:r>
      <w:r w:rsidRPr="00605F58">
        <w:rPr>
          <w:i/>
          <w:iCs/>
          <w:noProof/>
          <w:color w:val="000000" w:themeColor="text1"/>
        </w:rPr>
        <w:t>138</w:t>
      </w:r>
      <w:r w:rsidRPr="00605F58">
        <w:rPr>
          <w:noProof/>
          <w:color w:val="000000" w:themeColor="text1"/>
        </w:rPr>
        <w:t>, 117-124.</w:t>
      </w:r>
    </w:p>
    <w:p w14:paraId="79F2BF6C"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Fett, A.-K. J., Hanssen, E., Eemers, M., Peters, E., &amp; Shergill, S. S. (2022). Social isolation and psychosis: an investigation of social interactions and paranoia in daily life. </w:t>
      </w:r>
      <w:r w:rsidRPr="005311A7">
        <w:rPr>
          <w:i/>
          <w:noProof/>
          <w:color w:val="000000" w:themeColor="text1"/>
        </w:rPr>
        <w:t>European Archives of Psychiatry and Clinical Neuroscience</w:t>
      </w:r>
      <w:r w:rsidRPr="005311A7">
        <w:rPr>
          <w:noProof/>
          <w:color w:val="000000" w:themeColor="text1"/>
        </w:rPr>
        <w:t>,</w:t>
      </w:r>
      <w:r w:rsidRPr="005311A7">
        <w:rPr>
          <w:i/>
          <w:noProof/>
          <w:color w:val="000000" w:themeColor="text1"/>
        </w:rPr>
        <w:t xml:space="preserve"> 272</w:t>
      </w:r>
      <w:r w:rsidRPr="005311A7">
        <w:rPr>
          <w:noProof/>
          <w:color w:val="000000" w:themeColor="text1"/>
        </w:rPr>
        <w:t xml:space="preserve">(1), 119-127. </w:t>
      </w:r>
      <w:hyperlink r:id="rId13" w:history="1">
        <w:r w:rsidRPr="005311A7">
          <w:rPr>
            <w:rStyle w:val="Hyperlink"/>
            <w:noProof/>
            <w:color w:val="000000" w:themeColor="text1"/>
          </w:rPr>
          <w:t>https://doi.org/10.1007/s00406-021-01278-4</w:t>
        </w:r>
      </w:hyperlink>
      <w:r w:rsidRPr="005311A7">
        <w:rPr>
          <w:noProof/>
          <w:color w:val="000000" w:themeColor="text1"/>
        </w:rPr>
        <w:t xml:space="preserve"> </w:t>
      </w:r>
    </w:p>
    <w:p w14:paraId="70A69A9A"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Brugha, T., Meltzer, H., Jenkins, R., Stahl, D., &amp; Bebbington, P. (2010). Persecutory ideation and insomnia: findings from the second British National Survey </w:t>
      </w:r>
      <w:r w:rsidRPr="005311A7">
        <w:rPr>
          <w:noProof/>
          <w:color w:val="000000" w:themeColor="text1"/>
        </w:rPr>
        <w:lastRenderedPageBreak/>
        <w:t xml:space="preserve">of Psychiatric Morbidity. </w:t>
      </w:r>
      <w:r w:rsidRPr="005311A7">
        <w:rPr>
          <w:i/>
          <w:noProof/>
          <w:color w:val="000000" w:themeColor="text1"/>
        </w:rPr>
        <w:t>Journal of Psychiatric Research</w:t>
      </w:r>
      <w:r w:rsidRPr="005311A7">
        <w:rPr>
          <w:noProof/>
          <w:color w:val="000000" w:themeColor="text1"/>
        </w:rPr>
        <w:t>,</w:t>
      </w:r>
      <w:r w:rsidRPr="005311A7">
        <w:rPr>
          <w:i/>
          <w:noProof/>
          <w:color w:val="000000" w:themeColor="text1"/>
        </w:rPr>
        <w:t xml:space="preserve"> 44</w:t>
      </w:r>
      <w:r w:rsidRPr="005311A7">
        <w:rPr>
          <w:noProof/>
          <w:color w:val="000000" w:themeColor="text1"/>
        </w:rPr>
        <w:t xml:space="preserve">(15), 1021-1026. </w:t>
      </w:r>
    </w:p>
    <w:p w14:paraId="4285F643"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Emsley, R., Diamond, R., Collett, N., Bold, E., Chadwick, E., Isham, L., Bird, J. C., Edwards, D., &amp; Kingdon, D. (2021). Comparison of a theoretically driven cognitive therapy (the Feeling Safe Programme) with befriending for the treatment of persistent persecutory delusions: a parallel, single-blind, randomised controlled trial. </w:t>
      </w:r>
      <w:r w:rsidRPr="005311A7">
        <w:rPr>
          <w:i/>
          <w:noProof/>
          <w:color w:val="000000" w:themeColor="text1"/>
        </w:rPr>
        <w:t>The Lancet Psychiatry</w:t>
      </w:r>
      <w:r w:rsidRPr="005311A7">
        <w:rPr>
          <w:noProof/>
          <w:color w:val="000000" w:themeColor="text1"/>
        </w:rPr>
        <w:t>,</w:t>
      </w:r>
      <w:r w:rsidRPr="005311A7">
        <w:rPr>
          <w:i/>
          <w:noProof/>
          <w:color w:val="000000" w:themeColor="text1"/>
        </w:rPr>
        <w:t xml:space="preserve"> 8</w:t>
      </w:r>
      <w:r w:rsidRPr="005311A7">
        <w:rPr>
          <w:noProof/>
          <w:color w:val="000000" w:themeColor="text1"/>
        </w:rPr>
        <w:t xml:space="preserve">(8), 696-707. </w:t>
      </w:r>
    </w:p>
    <w:p w14:paraId="28454CF8"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Garety, P. A., Bebbington, P. E., Smith, B., Rollinson, R., Fowler, D., Kuipers, E., Ray, K., &amp; Dunn, G. (2005). Psychological investigation of the structure of paranoia in a non-clinical population. </w:t>
      </w:r>
      <w:r w:rsidRPr="005311A7">
        <w:rPr>
          <w:i/>
          <w:noProof/>
          <w:color w:val="000000" w:themeColor="text1"/>
        </w:rPr>
        <w:t>British Journal of Psychiatry</w:t>
      </w:r>
      <w:r w:rsidRPr="005311A7">
        <w:rPr>
          <w:noProof/>
          <w:color w:val="000000" w:themeColor="text1"/>
        </w:rPr>
        <w:t>,</w:t>
      </w:r>
      <w:r w:rsidRPr="005311A7">
        <w:rPr>
          <w:i/>
          <w:noProof/>
          <w:color w:val="000000" w:themeColor="text1"/>
        </w:rPr>
        <w:t xml:space="preserve"> 186</w:t>
      </w:r>
      <w:r w:rsidRPr="005311A7">
        <w:rPr>
          <w:noProof/>
          <w:color w:val="000000" w:themeColor="text1"/>
        </w:rPr>
        <w:t xml:space="preserve">(5), 427-435. </w:t>
      </w:r>
      <w:hyperlink r:id="rId14" w:history="1">
        <w:r w:rsidRPr="005311A7">
          <w:rPr>
            <w:rStyle w:val="Hyperlink"/>
            <w:noProof/>
            <w:color w:val="000000" w:themeColor="text1"/>
          </w:rPr>
          <w:t>https://doi.org/10.1192/bjp.186.5.427</w:t>
        </w:r>
      </w:hyperlink>
      <w:r w:rsidRPr="005311A7">
        <w:rPr>
          <w:noProof/>
          <w:color w:val="000000" w:themeColor="text1"/>
        </w:rPr>
        <w:t xml:space="preserve"> </w:t>
      </w:r>
    </w:p>
    <w:p w14:paraId="05A69DC4"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Loe, B. S., Kingdon, D., Startup, H., Molodynski, A., Rosebrock, L., Brown, P., Sheaves, B., Waite, F., &amp; Bird, J. C. (2021). The revised Green et al., Paranoid Thoughts Scale (R-GPTS): psychometric properties, severity ranges, and clinical cut-offs. </w:t>
      </w:r>
      <w:r w:rsidRPr="005311A7">
        <w:rPr>
          <w:i/>
          <w:noProof/>
          <w:color w:val="000000" w:themeColor="text1"/>
        </w:rPr>
        <w:t>Psychol Med</w:t>
      </w:r>
      <w:r w:rsidRPr="005311A7">
        <w:rPr>
          <w:noProof/>
          <w:color w:val="000000" w:themeColor="text1"/>
        </w:rPr>
        <w:t>,</w:t>
      </w:r>
      <w:r w:rsidRPr="005311A7">
        <w:rPr>
          <w:i/>
          <w:noProof/>
          <w:color w:val="000000" w:themeColor="text1"/>
        </w:rPr>
        <w:t xml:space="preserve"> 51</w:t>
      </w:r>
      <w:r w:rsidRPr="005311A7">
        <w:rPr>
          <w:noProof/>
          <w:color w:val="000000" w:themeColor="text1"/>
        </w:rPr>
        <w:t xml:space="preserve">(2), 244-253. </w:t>
      </w:r>
      <w:hyperlink r:id="rId15" w:history="1">
        <w:r w:rsidRPr="005311A7">
          <w:rPr>
            <w:rStyle w:val="Hyperlink"/>
            <w:noProof/>
            <w:color w:val="000000" w:themeColor="text1"/>
          </w:rPr>
          <w:t>https://doi.org/10.1017/S0033291719003155</w:t>
        </w:r>
      </w:hyperlink>
      <w:r w:rsidRPr="005311A7">
        <w:rPr>
          <w:noProof/>
          <w:color w:val="000000" w:themeColor="text1"/>
        </w:rPr>
        <w:t xml:space="preserve"> </w:t>
      </w:r>
    </w:p>
    <w:p w14:paraId="63FF093F"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Pugh, K., Vorontsova, N., &amp; Southgate, L. (2009). Insomnia and paranoia. </w:t>
      </w:r>
      <w:r w:rsidRPr="005311A7">
        <w:rPr>
          <w:i/>
          <w:noProof/>
          <w:color w:val="000000" w:themeColor="text1"/>
        </w:rPr>
        <w:t>Schizophr Res</w:t>
      </w:r>
      <w:r w:rsidRPr="005311A7">
        <w:rPr>
          <w:noProof/>
          <w:color w:val="000000" w:themeColor="text1"/>
        </w:rPr>
        <w:t>,</w:t>
      </w:r>
      <w:r w:rsidRPr="005311A7">
        <w:rPr>
          <w:i/>
          <w:noProof/>
          <w:color w:val="000000" w:themeColor="text1"/>
        </w:rPr>
        <w:t xml:space="preserve"> 108</w:t>
      </w:r>
      <w:r w:rsidRPr="005311A7">
        <w:rPr>
          <w:noProof/>
          <w:color w:val="000000" w:themeColor="text1"/>
        </w:rPr>
        <w:t xml:space="preserve">(1-3), 280-284. </w:t>
      </w:r>
      <w:hyperlink r:id="rId16" w:history="1">
        <w:r w:rsidRPr="005311A7">
          <w:rPr>
            <w:rStyle w:val="Hyperlink"/>
            <w:noProof/>
            <w:color w:val="000000" w:themeColor="text1"/>
          </w:rPr>
          <w:t>https://doi.org/10.1016/j.schres.2008.12.001</w:t>
        </w:r>
      </w:hyperlink>
      <w:r w:rsidRPr="005311A7">
        <w:rPr>
          <w:noProof/>
          <w:color w:val="000000" w:themeColor="text1"/>
        </w:rPr>
        <w:t xml:space="preserve"> </w:t>
      </w:r>
    </w:p>
    <w:p w14:paraId="4A1293B2"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Sheaves, B., Goodwin, G. M., Yu, L.-M., Nickless, A., Harrison, P. J., Emsley, R., Luik, A. I., Foster, R. G., Wadekar, V., Hinds, C., Gumley, A., Jones, R., Lightman, S., Jones, S., Bentall, R., Kinderman, P., Rowse, G., Brugha, T., . . . Espie, C. A. (2017). The effects of improving sleep on mental health (OASIS): a randomised controlled trial with mediation analysis. </w:t>
      </w:r>
      <w:r w:rsidRPr="005311A7">
        <w:rPr>
          <w:i/>
          <w:noProof/>
          <w:color w:val="000000" w:themeColor="text1"/>
        </w:rPr>
        <w:t>The Lancet Psychiatry</w:t>
      </w:r>
      <w:r w:rsidRPr="005311A7">
        <w:rPr>
          <w:noProof/>
          <w:color w:val="000000" w:themeColor="text1"/>
        </w:rPr>
        <w:t>,</w:t>
      </w:r>
      <w:r w:rsidRPr="005311A7">
        <w:rPr>
          <w:i/>
          <w:noProof/>
          <w:color w:val="000000" w:themeColor="text1"/>
        </w:rPr>
        <w:t xml:space="preserve"> 4</w:t>
      </w:r>
      <w:r w:rsidRPr="005311A7">
        <w:rPr>
          <w:noProof/>
          <w:color w:val="000000" w:themeColor="text1"/>
        </w:rPr>
        <w:t xml:space="preserve">(10), 749-758. </w:t>
      </w:r>
      <w:hyperlink r:id="rId17" w:history="1">
        <w:r w:rsidRPr="005311A7">
          <w:rPr>
            <w:rStyle w:val="Hyperlink"/>
            <w:noProof/>
            <w:color w:val="000000" w:themeColor="text1"/>
          </w:rPr>
          <w:t>https://doi.org/10.1016/s2215-0366(17)30328-0</w:t>
        </w:r>
      </w:hyperlink>
      <w:r w:rsidRPr="005311A7">
        <w:rPr>
          <w:noProof/>
          <w:color w:val="000000" w:themeColor="text1"/>
        </w:rPr>
        <w:t xml:space="preserve"> </w:t>
      </w:r>
    </w:p>
    <w:p w14:paraId="45B8FD63"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Stahl, D., McManus, S., Meltzer, H., Brugha, T., Wiles, N., &amp; Bebbington, P. (2012). Insomnia, worry, anxiety and depression as predictors of the occurrence and persistence of paranoid thinking. </w:t>
      </w:r>
      <w:r w:rsidRPr="005311A7">
        <w:rPr>
          <w:i/>
          <w:noProof/>
          <w:color w:val="000000" w:themeColor="text1"/>
        </w:rPr>
        <w:t>Soc Psychiatry Psychiatr Epidemiol</w:t>
      </w:r>
      <w:r w:rsidRPr="005311A7">
        <w:rPr>
          <w:noProof/>
          <w:color w:val="000000" w:themeColor="text1"/>
        </w:rPr>
        <w:t>,</w:t>
      </w:r>
      <w:r w:rsidRPr="005311A7">
        <w:rPr>
          <w:i/>
          <w:noProof/>
          <w:color w:val="000000" w:themeColor="text1"/>
        </w:rPr>
        <w:t xml:space="preserve"> 47</w:t>
      </w:r>
      <w:r w:rsidRPr="005311A7">
        <w:rPr>
          <w:noProof/>
          <w:color w:val="000000" w:themeColor="text1"/>
        </w:rPr>
        <w:t xml:space="preserve">(8), 1195-1203. </w:t>
      </w:r>
      <w:hyperlink r:id="rId18" w:history="1">
        <w:r w:rsidRPr="005311A7">
          <w:rPr>
            <w:rStyle w:val="Hyperlink"/>
            <w:noProof/>
            <w:color w:val="000000" w:themeColor="text1"/>
          </w:rPr>
          <w:t>https://doi.org/10.1007/s00127-011-0433-1</w:t>
        </w:r>
      </w:hyperlink>
      <w:r w:rsidRPr="005311A7">
        <w:rPr>
          <w:noProof/>
          <w:color w:val="000000" w:themeColor="text1"/>
        </w:rPr>
        <w:t xml:space="preserve"> </w:t>
      </w:r>
    </w:p>
    <w:p w14:paraId="64DDA41E"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Freeman, D., Stahl, D., McManus, S., Meltzer, H., Brugha, T., Wiles, N., &amp; Bebbington, P. (2012). Insomnia, worry, anxiety and depression as predictors of the occurrence and persistence of paranoid thinking. </w:t>
      </w:r>
      <w:r w:rsidRPr="005311A7">
        <w:rPr>
          <w:i/>
          <w:noProof/>
          <w:color w:val="000000" w:themeColor="text1"/>
        </w:rPr>
        <w:t>Social psychiatry and psychiatric epidemiology</w:t>
      </w:r>
      <w:r w:rsidRPr="005311A7">
        <w:rPr>
          <w:noProof/>
          <w:color w:val="000000" w:themeColor="text1"/>
        </w:rPr>
        <w:t>,</w:t>
      </w:r>
      <w:r w:rsidRPr="005311A7">
        <w:rPr>
          <w:i/>
          <w:noProof/>
          <w:color w:val="000000" w:themeColor="text1"/>
        </w:rPr>
        <w:t xml:space="preserve"> 47</w:t>
      </w:r>
      <w:r w:rsidRPr="005311A7">
        <w:rPr>
          <w:noProof/>
          <w:color w:val="000000" w:themeColor="text1"/>
        </w:rPr>
        <w:t xml:space="preserve">, 1195-1203. </w:t>
      </w:r>
    </w:p>
    <w:p w14:paraId="25EDF4FB"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Gaudiano, B. A., Marks, R., Ellett, L., So, S. H. W., Lincoln, T. M., Morris, E. M., &amp; </w:t>
      </w:r>
      <w:r w:rsidRPr="005311A7">
        <w:rPr>
          <w:noProof/>
          <w:color w:val="000000" w:themeColor="text1"/>
        </w:rPr>
        <w:lastRenderedPageBreak/>
        <w:t xml:space="preserve">Kingston, J. L. (2023). The role of general vs pandemic-specific paranoid ideation in the use of recommended health behaviors and vaccine willingness during a worldwide pandemic: An international study in the general public. </w:t>
      </w:r>
      <w:r w:rsidRPr="005311A7">
        <w:rPr>
          <w:i/>
          <w:iCs/>
          <w:noProof/>
          <w:color w:val="000000" w:themeColor="text1"/>
        </w:rPr>
        <w:t>Journal of Psychiatric Research</w:t>
      </w:r>
      <w:r w:rsidRPr="005311A7">
        <w:rPr>
          <w:noProof/>
          <w:color w:val="000000" w:themeColor="text1"/>
        </w:rPr>
        <w:t xml:space="preserve">, </w:t>
      </w:r>
      <w:r w:rsidRPr="005311A7">
        <w:rPr>
          <w:i/>
          <w:iCs/>
          <w:noProof/>
          <w:color w:val="000000" w:themeColor="text1"/>
        </w:rPr>
        <w:t>167</w:t>
      </w:r>
      <w:r w:rsidRPr="005311A7">
        <w:rPr>
          <w:noProof/>
          <w:color w:val="000000" w:themeColor="text1"/>
        </w:rPr>
        <w:t>, 110-118.</w:t>
      </w:r>
    </w:p>
    <w:p w14:paraId="34DC121B"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Gloster, A. T., Lamnisos, D., Lubenko, J., Presti, G., Squatrito, V., Constantinou, M., Nicolaou, C., Papacostas, S., Aydin, G., Chong, Y. Y., Chien, W. T., Cheng, H. Y., Ruiz, F. J., Garcia-Martin, M. B., Obando-Posada, D. P., Segura-Vargas, M. A., Vasiliou, V. S., McHugh, L., Hofer, S., . . . Karekla, M. (2020). Impact of COVID-19 pandemic on mental health: An international study. </w:t>
      </w:r>
      <w:r w:rsidRPr="005311A7">
        <w:rPr>
          <w:i/>
          <w:noProof/>
          <w:color w:val="000000" w:themeColor="text1"/>
        </w:rPr>
        <w:t>PLOS ONE</w:t>
      </w:r>
      <w:r w:rsidRPr="005311A7">
        <w:rPr>
          <w:noProof/>
          <w:color w:val="000000" w:themeColor="text1"/>
        </w:rPr>
        <w:t>,</w:t>
      </w:r>
      <w:r w:rsidRPr="005311A7">
        <w:rPr>
          <w:i/>
          <w:noProof/>
          <w:color w:val="000000" w:themeColor="text1"/>
        </w:rPr>
        <w:t xml:space="preserve"> 15</w:t>
      </w:r>
      <w:r w:rsidRPr="005311A7">
        <w:rPr>
          <w:noProof/>
          <w:color w:val="000000" w:themeColor="text1"/>
        </w:rPr>
        <w:t xml:space="preserve">(12), e0244809. </w:t>
      </w:r>
      <w:hyperlink r:id="rId19" w:history="1">
        <w:r w:rsidRPr="005311A7">
          <w:rPr>
            <w:rStyle w:val="Hyperlink"/>
            <w:noProof/>
            <w:color w:val="000000" w:themeColor="text1"/>
          </w:rPr>
          <w:t>https://doi.org/10.1371/journal.pone.0244809</w:t>
        </w:r>
      </w:hyperlink>
      <w:r w:rsidRPr="005311A7">
        <w:rPr>
          <w:noProof/>
          <w:color w:val="000000" w:themeColor="text1"/>
        </w:rPr>
        <w:t xml:space="preserve"> </w:t>
      </w:r>
    </w:p>
    <w:p w14:paraId="79AF763D"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Harvey, A. G. (2002). A cognitive model of insomnia. </w:t>
      </w:r>
      <w:r w:rsidRPr="005311A7">
        <w:rPr>
          <w:i/>
          <w:noProof/>
          <w:color w:val="000000" w:themeColor="text1"/>
        </w:rPr>
        <w:t>Behaviour Research and Therapy</w:t>
      </w:r>
      <w:r w:rsidRPr="005311A7">
        <w:rPr>
          <w:noProof/>
          <w:color w:val="000000" w:themeColor="text1"/>
        </w:rPr>
        <w:t>,</w:t>
      </w:r>
      <w:r w:rsidRPr="005311A7">
        <w:rPr>
          <w:i/>
          <w:noProof/>
          <w:color w:val="000000" w:themeColor="text1"/>
        </w:rPr>
        <w:t xml:space="preserve"> 40</w:t>
      </w:r>
      <w:r w:rsidRPr="005311A7">
        <w:rPr>
          <w:noProof/>
          <w:color w:val="000000" w:themeColor="text1"/>
        </w:rPr>
        <w:t xml:space="preserve">, 869-893. </w:t>
      </w:r>
    </w:p>
    <w:p w14:paraId="5B57F998"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Hayes, A. F. (2013). Introduction to mediation, moderation, and conditional process analysis: A regression-based approach. </w:t>
      </w:r>
    </w:p>
    <w:p w14:paraId="590F2A96"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Hayes, A. F. (2015). An index and test of linear moderated mediation. </w:t>
      </w:r>
      <w:r w:rsidRPr="005311A7">
        <w:rPr>
          <w:i/>
          <w:iCs/>
          <w:noProof/>
          <w:color w:val="000000" w:themeColor="text1"/>
        </w:rPr>
        <w:t>Multivariate behavioral research</w:t>
      </w:r>
      <w:r w:rsidRPr="005311A7">
        <w:rPr>
          <w:noProof/>
          <w:color w:val="000000" w:themeColor="text1"/>
        </w:rPr>
        <w:t xml:space="preserve">, </w:t>
      </w:r>
      <w:r w:rsidRPr="005311A7">
        <w:rPr>
          <w:i/>
          <w:iCs/>
          <w:noProof/>
          <w:color w:val="000000" w:themeColor="text1"/>
        </w:rPr>
        <w:t>50</w:t>
      </w:r>
      <w:r w:rsidRPr="005311A7">
        <w:rPr>
          <w:noProof/>
          <w:color w:val="000000" w:themeColor="text1"/>
        </w:rPr>
        <w:t>(1), 1-22.</w:t>
      </w:r>
    </w:p>
    <w:p w14:paraId="35E1ABB0"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Hennig, T., &amp; Lincoln, T. M. (2018). Sleeping Paranoia Away? An Actigraphy and Experience-Sampling Study with Adolescents. </w:t>
      </w:r>
      <w:r w:rsidRPr="005311A7">
        <w:rPr>
          <w:i/>
          <w:noProof/>
          <w:color w:val="000000" w:themeColor="text1"/>
        </w:rPr>
        <w:t>Child Psychiatry Hum Dev</w:t>
      </w:r>
      <w:r w:rsidRPr="005311A7">
        <w:rPr>
          <w:noProof/>
          <w:color w:val="000000" w:themeColor="text1"/>
        </w:rPr>
        <w:t>,</w:t>
      </w:r>
      <w:r w:rsidRPr="005311A7">
        <w:rPr>
          <w:i/>
          <w:noProof/>
          <w:color w:val="000000" w:themeColor="text1"/>
        </w:rPr>
        <w:t xml:space="preserve"> 49</w:t>
      </w:r>
      <w:r w:rsidRPr="005311A7">
        <w:rPr>
          <w:noProof/>
          <w:color w:val="000000" w:themeColor="text1"/>
        </w:rPr>
        <w:t xml:space="preserve">(1), 63-72. </w:t>
      </w:r>
      <w:hyperlink r:id="rId20" w:history="1">
        <w:r w:rsidRPr="005311A7">
          <w:rPr>
            <w:rStyle w:val="Hyperlink"/>
            <w:noProof/>
            <w:color w:val="000000" w:themeColor="text1"/>
          </w:rPr>
          <w:t>https://doi.org/10.1007/s10578-017-0729-9</w:t>
        </w:r>
      </w:hyperlink>
      <w:r w:rsidRPr="005311A7">
        <w:rPr>
          <w:noProof/>
          <w:color w:val="000000" w:themeColor="text1"/>
        </w:rPr>
        <w:t xml:space="preserve"> </w:t>
      </w:r>
    </w:p>
    <w:p w14:paraId="2D8447B2"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Hennig, T., Schlier, B., &amp; Lincoln, T. M. (2020). Sleep and psychotic symptoms: An actigraphy and diary study with young adults with low and elevated psychosis proneness. </w:t>
      </w:r>
      <w:r w:rsidRPr="005311A7">
        <w:rPr>
          <w:i/>
          <w:noProof/>
          <w:color w:val="000000" w:themeColor="text1"/>
        </w:rPr>
        <w:t>Schizophr Res</w:t>
      </w:r>
      <w:r w:rsidRPr="005311A7">
        <w:rPr>
          <w:noProof/>
          <w:color w:val="000000" w:themeColor="text1"/>
        </w:rPr>
        <w:t>,</w:t>
      </w:r>
      <w:r w:rsidRPr="005311A7">
        <w:rPr>
          <w:i/>
          <w:noProof/>
          <w:color w:val="000000" w:themeColor="text1"/>
        </w:rPr>
        <w:t xml:space="preserve"> 221</w:t>
      </w:r>
      <w:r w:rsidRPr="005311A7">
        <w:rPr>
          <w:noProof/>
          <w:color w:val="000000" w:themeColor="text1"/>
        </w:rPr>
        <w:t xml:space="preserve">, 12-19. </w:t>
      </w:r>
      <w:hyperlink r:id="rId21" w:history="1">
        <w:r w:rsidRPr="005311A7">
          <w:rPr>
            <w:rStyle w:val="Hyperlink"/>
            <w:noProof/>
            <w:color w:val="000000" w:themeColor="text1"/>
          </w:rPr>
          <w:t>https://doi.org/10.1016/j.schres.2019.09.012</w:t>
        </w:r>
      </w:hyperlink>
      <w:r w:rsidRPr="005311A7">
        <w:rPr>
          <w:noProof/>
          <w:color w:val="000000" w:themeColor="text1"/>
        </w:rPr>
        <w:t xml:space="preserve"> </w:t>
      </w:r>
    </w:p>
    <w:p w14:paraId="46BF3973"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Kammerer, M. K., Mehl, S., Ludwig, L., &amp; Lincoln, T. M. (2021). Sleep and circadian rhythm disruption predict persecutory symptom severity in day-to-day life: A combined actigraphy and experience sampling study. </w:t>
      </w:r>
      <w:r w:rsidRPr="005311A7">
        <w:rPr>
          <w:i/>
          <w:noProof/>
          <w:color w:val="000000" w:themeColor="text1"/>
        </w:rPr>
        <w:t>Journal of Abnormal Psychology</w:t>
      </w:r>
      <w:r w:rsidRPr="005311A7">
        <w:rPr>
          <w:noProof/>
          <w:color w:val="000000" w:themeColor="text1"/>
        </w:rPr>
        <w:t>,</w:t>
      </w:r>
      <w:r w:rsidRPr="005311A7">
        <w:rPr>
          <w:i/>
          <w:noProof/>
          <w:color w:val="000000" w:themeColor="text1"/>
        </w:rPr>
        <w:t xml:space="preserve"> 130</w:t>
      </w:r>
      <w:r w:rsidRPr="005311A7">
        <w:rPr>
          <w:noProof/>
          <w:color w:val="000000" w:themeColor="text1"/>
        </w:rPr>
        <w:t xml:space="preserve">(1), 78. </w:t>
      </w:r>
    </w:p>
    <w:p w14:paraId="310BDD0D"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Kammerer, M. K., Mehl, S., Ludwig, L., &amp; Lincoln, T. M. (2021). Sleep and circadian rhythm disruption predict persecutory symptom severity in day-to-day life: A combined actigraphy and experience sampling study. </w:t>
      </w:r>
      <w:r w:rsidRPr="005311A7">
        <w:rPr>
          <w:i/>
          <w:noProof/>
          <w:color w:val="000000" w:themeColor="text1"/>
        </w:rPr>
        <w:t>J Abnorm Psychol</w:t>
      </w:r>
      <w:r w:rsidRPr="005311A7">
        <w:rPr>
          <w:noProof/>
          <w:color w:val="000000" w:themeColor="text1"/>
        </w:rPr>
        <w:t>,</w:t>
      </w:r>
      <w:r w:rsidRPr="005311A7">
        <w:rPr>
          <w:i/>
          <w:noProof/>
          <w:color w:val="000000" w:themeColor="text1"/>
        </w:rPr>
        <w:t xml:space="preserve"> 130</w:t>
      </w:r>
      <w:r w:rsidRPr="005311A7">
        <w:rPr>
          <w:noProof/>
          <w:color w:val="000000" w:themeColor="text1"/>
        </w:rPr>
        <w:t xml:space="preserve">(1), 78-88. </w:t>
      </w:r>
      <w:hyperlink r:id="rId22" w:history="1">
        <w:r w:rsidRPr="005311A7">
          <w:rPr>
            <w:rStyle w:val="Hyperlink"/>
            <w:noProof/>
            <w:color w:val="000000" w:themeColor="text1"/>
          </w:rPr>
          <w:t>https://doi.org/10.1037/abn0000645</w:t>
        </w:r>
      </w:hyperlink>
      <w:r w:rsidRPr="005311A7">
        <w:rPr>
          <w:noProof/>
          <w:color w:val="000000" w:themeColor="text1"/>
        </w:rPr>
        <w:t xml:space="preserve"> </w:t>
      </w:r>
    </w:p>
    <w:p w14:paraId="2F2C0142"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Kasanova, Z., Hajduk, M., Thewissen, V., &amp; Myin-Germeys, I. (2020). Temporal </w:t>
      </w:r>
      <w:r w:rsidRPr="005311A7">
        <w:rPr>
          <w:noProof/>
          <w:color w:val="000000" w:themeColor="text1"/>
        </w:rPr>
        <w:lastRenderedPageBreak/>
        <w:t xml:space="preserve">associations between sleep quality and paranoia across the paranoia continuum: An experience sampling study. </w:t>
      </w:r>
      <w:r w:rsidRPr="005311A7">
        <w:rPr>
          <w:i/>
          <w:noProof/>
          <w:color w:val="000000" w:themeColor="text1"/>
        </w:rPr>
        <w:t>J Abnorm Psychol</w:t>
      </w:r>
      <w:r w:rsidRPr="005311A7">
        <w:rPr>
          <w:noProof/>
          <w:color w:val="000000" w:themeColor="text1"/>
        </w:rPr>
        <w:t>,</w:t>
      </w:r>
      <w:r w:rsidRPr="005311A7">
        <w:rPr>
          <w:i/>
          <w:noProof/>
          <w:color w:val="000000" w:themeColor="text1"/>
        </w:rPr>
        <w:t xml:space="preserve"> 129</w:t>
      </w:r>
      <w:r w:rsidRPr="005311A7">
        <w:rPr>
          <w:noProof/>
          <w:color w:val="000000" w:themeColor="text1"/>
        </w:rPr>
        <w:t xml:space="preserve">(1), 122-130. </w:t>
      </w:r>
      <w:hyperlink r:id="rId23" w:history="1">
        <w:r w:rsidRPr="005311A7">
          <w:rPr>
            <w:rStyle w:val="Hyperlink"/>
            <w:noProof/>
            <w:color w:val="000000" w:themeColor="text1"/>
          </w:rPr>
          <w:t>https://doi.org/10.1037/abn0000453</w:t>
        </w:r>
      </w:hyperlink>
      <w:r w:rsidRPr="005311A7">
        <w:rPr>
          <w:noProof/>
          <w:color w:val="000000" w:themeColor="text1"/>
        </w:rPr>
        <w:t xml:space="preserve"> </w:t>
      </w:r>
    </w:p>
    <w:p w14:paraId="46390A08"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Kingston, J. L., Schlier, B., Ellett, L., So, S. H., Gaudiano, B. A., Morris, E. M. J., &amp; Lincoln, T. M. (2021). The Pandemic Paranoia Scale (PPS): factor structure and measurement invariance across languages. </w:t>
      </w:r>
      <w:r w:rsidRPr="005311A7">
        <w:rPr>
          <w:i/>
          <w:noProof/>
          <w:color w:val="000000" w:themeColor="text1"/>
        </w:rPr>
        <w:t>Psychol Med</w:t>
      </w:r>
      <w:r w:rsidRPr="005311A7">
        <w:rPr>
          <w:noProof/>
          <w:color w:val="000000" w:themeColor="text1"/>
        </w:rPr>
        <w:t xml:space="preserve">, 1-10. </w:t>
      </w:r>
      <w:hyperlink r:id="rId24" w:history="1">
        <w:r w:rsidRPr="005311A7">
          <w:rPr>
            <w:rStyle w:val="Hyperlink"/>
            <w:noProof/>
            <w:color w:val="000000" w:themeColor="text1"/>
          </w:rPr>
          <w:t>https://doi.org/10.1017/S0033291721004633</w:t>
        </w:r>
      </w:hyperlink>
      <w:r w:rsidRPr="005311A7">
        <w:rPr>
          <w:noProof/>
          <w:color w:val="000000" w:themeColor="text1"/>
        </w:rPr>
        <w:t xml:space="preserve"> </w:t>
      </w:r>
    </w:p>
    <w:p w14:paraId="1542B292"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Kramer, I., Simons, C. J., Wigman, J. T., Collip, D., Jacobs, N., Derom, C., Thiery, E., van Os, J., Myin-Germeys, I., &amp; Wichers, M. (2014). Time-lagged moment-to-moment interplay between negative affect and paranoia: new insights in the affective pathway to psychosis. </w:t>
      </w:r>
      <w:r w:rsidRPr="005311A7">
        <w:rPr>
          <w:i/>
          <w:noProof/>
          <w:color w:val="000000" w:themeColor="text1"/>
        </w:rPr>
        <w:t>Schizophrenia Bulletin</w:t>
      </w:r>
      <w:r w:rsidRPr="005311A7">
        <w:rPr>
          <w:noProof/>
          <w:color w:val="000000" w:themeColor="text1"/>
        </w:rPr>
        <w:t>,</w:t>
      </w:r>
      <w:r w:rsidRPr="005311A7">
        <w:rPr>
          <w:i/>
          <w:noProof/>
          <w:color w:val="000000" w:themeColor="text1"/>
        </w:rPr>
        <w:t xml:space="preserve"> 40</w:t>
      </w:r>
      <w:r w:rsidRPr="005311A7">
        <w:rPr>
          <w:noProof/>
          <w:color w:val="000000" w:themeColor="text1"/>
        </w:rPr>
        <w:t xml:space="preserve">(2), 278-286. </w:t>
      </w:r>
      <w:hyperlink r:id="rId25" w:history="1">
        <w:r w:rsidRPr="005311A7">
          <w:rPr>
            <w:rStyle w:val="Hyperlink"/>
            <w:noProof/>
            <w:color w:val="000000" w:themeColor="text1"/>
          </w:rPr>
          <w:t>https://www.ncbi.nlm.nih.gov/pmc/articles/PMC3932075/pdf/sbs194.pdf</w:t>
        </w:r>
      </w:hyperlink>
      <w:r w:rsidRPr="005311A7">
        <w:rPr>
          <w:noProof/>
          <w:color w:val="000000" w:themeColor="text1"/>
        </w:rPr>
        <w:t xml:space="preserve"> </w:t>
      </w:r>
    </w:p>
    <w:p w14:paraId="3AC94077"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Larsen, E. M., Donaldson, K. R., Liew, M., &amp; Mohanty, A. (2021). Conspiratorial Thinking During COVID-19: The Roles of Paranoia, Delusion-Proneness, and Intolerance of Uncertainty. </w:t>
      </w:r>
      <w:r w:rsidRPr="005311A7">
        <w:rPr>
          <w:i/>
          <w:noProof/>
          <w:color w:val="000000" w:themeColor="text1"/>
        </w:rPr>
        <w:t>Front Psychiatry</w:t>
      </w:r>
      <w:r w:rsidRPr="005311A7">
        <w:rPr>
          <w:noProof/>
          <w:color w:val="000000" w:themeColor="text1"/>
        </w:rPr>
        <w:t>,</w:t>
      </w:r>
      <w:r w:rsidRPr="005311A7">
        <w:rPr>
          <w:i/>
          <w:noProof/>
          <w:color w:val="000000" w:themeColor="text1"/>
        </w:rPr>
        <w:t xml:space="preserve"> 12</w:t>
      </w:r>
      <w:r w:rsidRPr="005311A7">
        <w:rPr>
          <w:noProof/>
          <w:color w:val="000000" w:themeColor="text1"/>
        </w:rPr>
        <w:t xml:space="preserve">, 698147. </w:t>
      </w:r>
      <w:hyperlink r:id="rId26" w:history="1">
        <w:r w:rsidRPr="005311A7">
          <w:rPr>
            <w:rStyle w:val="Hyperlink"/>
            <w:noProof/>
            <w:color w:val="000000" w:themeColor="text1"/>
          </w:rPr>
          <w:t>https://doi.org/10.3389/fpsyt.2021.698147</w:t>
        </w:r>
      </w:hyperlink>
      <w:r w:rsidRPr="005311A7">
        <w:rPr>
          <w:noProof/>
          <w:color w:val="000000" w:themeColor="text1"/>
        </w:rPr>
        <w:t xml:space="preserve"> </w:t>
      </w:r>
    </w:p>
    <w:p w14:paraId="55BADC43"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Lincoln, T. M., Schlier, B., Strakeljahn, F., Gaudiano, B. A., So, S. H., Kingston, J., Morris, E. M., &amp; Ellett, L. (2022). Taking a machine learning approach to optimize prediction of vaccine hesitancy in high income countries. </w:t>
      </w:r>
      <w:r w:rsidRPr="005311A7">
        <w:rPr>
          <w:i/>
          <w:noProof/>
          <w:color w:val="000000" w:themeColor="text1"/>
        </w:rPr>
        <w:t>Scientific reports</w:t>
      </w:r>
      <w:r w:rsidRPr="005311A7">
        <w:rPr>
          <w:noProof/>
          <w:color w:val="000000" w:themeColor="text1"/>
        </w:rPr>
        <w:t>,</w:t>
      </w:r>
      <w:r w:rsidRPr="005311A7">
        <w:rPr>
          <w:i/>
          <w:noProof/>
          <w:color w:val="000000" w:themeColor="text1"/>
        </w:rPr>
        <w:t xml:space="preserve"> 12</w:t>
      </w:r>
      <w:r w:rsidRPr="005311A7">
        <w:rPr>
          <w:noProof/>
          <w:color w:val="000000" w:themeColor="text1"/>
        </w:rPr>
        <w:t xml:space="preserve">(1), 1-12. </w:t>
      </w:r>
    </w:p>
    <w:p w14:paraId="7CA0D7AB"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Lincoln, T. M., Schlier, B., Strakeljahn, F., Gaudiano, B. A., So, S. H., Kingston, J., Morris, E. M. J., &amp; Ellett, L. (2022). Taking a machine learning approach to optimize prediction of vaccine hesitancy in high income countries. </w:t>
      </w:r>
      <w:r w:rsidRPr="005311A7">
        <w:rPr>
          <w:i/>
          <w:noProof/>
          <w:color w:val="000000" w:themeColor="text1"/>
        </w:rPr>
        <w:t>Sci Rep</w:t>
      </w:r>
      <w:r w:rsidRPr="005311A7">
        <w:rPr>
          <w:noProof/>
          <w:color w:val="000000" w:themeColor="text1"/>
        </w:rPr>
        <w:t>,</w:t>
      </w:r>
      <w:r w:rsidRPr="005311A7">
        <w:rPr>
          <w:i/>
          <w:noProof/>
          <w:color w:val="000000" w:themeColor="text1"/>
        </w:rPr>
        <w:t xml:space="preserve"> 12</w:t>
      </w:r>
      <w:r w:rsidRPr="005311A7">
        <w:rPr>
          <w:noProof/>
          <w:color w:val="000000" w:themeColor="text1"/>
        </w:rPr>
        <w:t xml:space="preserve">(1), 2055. </w:t>
      </w:r>
      <w:hyperlink r:id="rId27" w:history="1">
        <w:r w:rsidRPr="005311A7">
          <w:rPr>
            <w:rStyle w:val="Hyperlink"/>
            <w:noProof/>
            <w:color w:val="000000" w:themeColor="text1"/>
          </w:rPr>
          <w:t>https://doi.org/10.1038/s41598-022-05915-3</w:t>
        </w:r>
      </w:hyperlink>
      <w:r w:rsidRPr="005311A7">
        <w:rPr>
          <w:noProof/>
          <w:color w:val="000000" w:themeColor="text1"/>
        </w:rPr>
        <w:t xml:space="preserve"> </w:t>
      </w:r>
    </w:p>
    <w:p w14:paraId="417EB973"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Lovibond, P. F., &amp; Lovibond, S. H. (1995). The structure of negative emotional states: Comparison of the Depression Anxiety Stress Scales (DASS) with the Beck Depression and Anxiety Inventories. </w:t>
      </w:r>
      <w:r w:rsidRPr="005311A7">
        <w:rPr>
          <w:i/>
          <w:noProof/>
          <w:color w:val="000000" w:themeColor="text1"/>
        </w:rPr>
        <w:t>Behaviour Research and Therapy</w:t>
      </w:r>
      <w:r w:rsidRPr="005311A7">
        <w:rPr>
          <w:noProof/>
          <w:color w:val="000000" w:themeColor="text1"/>
        </w:rPr>
        <w:t>,</w:t>
      </w:r>
      <w:r w:rsidRPr="005311A7">
        <w:rPr>
          <w:i/>
          <w:noProof/>
          <w:color w:val="000000" w:themeColor="text1"/>
        </w:rPr>
        <w:t xml:space="preserve"> 33</w:t>
      </w:r>
      <w:r w:rsidRPr="005311A7">
        <w:rPr>
          <w:noProof/>
          <w:color w:val="000000" w:themeColor="text1"/>
        </w:rPr>
        <w:t xml:space="preserve">(3), 335-343. </w:t>
      </w:r>
    </w:p>
    <w:p w14:paraId="359D540F"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Morin, C. M., Bjorvatn, B., Chung, F., Holzinger, B., Partinen, M., Penzel, T., Ivers, H., Wing, Y. K., Chan, N. Y., &amp; Merikanto, I. (2021). Insomnia, anxiety, and depression during the COVID-19 pandemic: an international collaborative study. </w:t>
      </w:r>
      <w:r w:rsidRPr="005311A7">
        <w:rPr>
          <w:i/>
          <w:noProof/>
          <w:color w:val="000000" w:themeColor="text1"/>
        </w:rPr>
        <w:t>Sleep medicine</w:t>
      </w:r>
      <w:r w:rsidRPr="005311A7">
        <w:rPr>
          <w:noProof/>
          <w:color w:val="000000" w:themeColor="text1"/>
        </w:rPr>
        <w:t>,</w:t>
      </w:r>
      <w:r w:rsidRPr="005311A7">
        <w:rPr>
          <w:i/>
          <w:noProof/>
          <w:color w:val="000000" w:themeColor="text1"/>
        </w:rPr>
        <w:t xml:space="preserve"> 87</w:t>
      </w:r>
      <w:r w:rsidRPr="005311A7">
        <w:rPr>
          <w:noProof/>
          <w:color w:val="000000" w:themeColor="text1"/>
        </w:rPr>
        <w:t xml:space="preserve">, 38-45. </w:t>
      </w:r>
    </w:p>
    <w:p w14:paraId="6FAE90C6"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Morin, C. M., &amp; Jarrin, D. C. (2022). Epidemiology of insomnia: prevalence, course, risk </w:t>
      </w:r>
      <w:r w:rsidRPr="005311A7">
        <w:rPr>
          <w:noProof/>
          <w:color w:val="000000" w:themeColor="text1"/>
        </w:rPr>
        <w:lastRenderedPageBreak/>
        <w:t xml:space="preserve">factors, and public health burden. </w:t>
      </w:r>
      <w:r w:rsidRPr="005311A7">
        <w:rPr>
          <w:i/>
          <w:noProof/>
          <w:color w:val="000000" w:themeColor="text1"/>
        </w:rPr>
        <w:t>Sleep Medicine Clinics</w:t>
      </w:r>
      <w:r w:rsidRPr="005311A7">
        <w:rPr>
          <w:noProof/>
          <w:color w:val="000000" w:themeColor="text1"/>
        </w:rPr>
        <w:t>,</w:t>
      </w:r>
      <w:r w:rsidRPr="005311A7">
        <w:rPr>
          <w:i/>
          <w:noProof/>
          <w:color w:val="000000" w:themeColor="text1"/>
        </w:rPr>
        <w:t xml:space="preserve"> 17</w:t>
      </w:r>
      <w:r w:rsidRPr="005311A7">
        <w:rPr>
          <w:noProof/>
          <w:color w:val="000000" w:themeColor="text1"/>
        </w:rPr>
        <w:t xml:space="preserve">(2), 173-191. </w:t>
      </w:r>
      <w:hyperlink r:id="rId28" w:history="1">
        <w:r w:rsidRPr="005311A7">
          <w:rPr>
            <w:rStyle w:val="Hyperlink"/>
            <w:noProof/>
            <w:color w:val="000000" w:themeColor="text1"/>
          </w:rPr>
          <w:t>https://www.sleep.theclinics.com/article/S1556-407X(22)00022-4/fulltext</w:t>
        </w:r>
      </w:hyperlink>
      <w:r w:rsidRPr="005311A7">
        <w:rPr>
          <w:noProof/>
          <w:color w:val="000000" w:themeColor="text1"/>
        </w:rPr>
        <w:t xml:space="preserve"> </w:t>
      </w:r>
    </w:p>
    <w:p w14:paraId="16F4E728"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Mulligan, L. D., Haddock, G., Emsley, R., Neil, S. T., &amp; Kyle, S. D. (2016). High resolution examination of the role of sleep disturbance in predicting functioning and psychotic symptoms in schizophrenia: A novel experience sampling study. </w:t>
      </w:r>
      <w:r w:rsidRPr="005311A7">
        <w:rPr>
          <w:i/>
          <w:noProof/>
          <w:color w:val="000000" w:themeColor="text1"/>
        </w:rPr>
        <w:t>Journal of Abnormal Psychology</w:t>
      </w:r>
      <w:r w:rsidRPr="005311A7">
        <w:rPr>
          <w:noProof/>
          <w:color w:val="000000" w:themeColor="text1"/>
        </w:rPr>
        <w:t>,</w:t>
      </w:r>
      <w:r w:rsidRPr="005311A7">
        <w:rPr>
          <w:i/>
          <w:noProof/>
          <w:color w:val="000000" w:themeColor="text1"/>
        </w:rPr>
        <w:t xml:space="preserve"> 125</w:t>
      </w:r>
      <w:r w:rsidRPr="005311A7">
        <w:rPr>
          <w:noProof/>
          <w:color w:val="000000" w:themeColor="text1"/>
        </w:rPr>
        <w:t xml:space="preserve">(6), 788. </w:t>
      </w:r>
    </w:p>
    <w:p w14:paraId="27DAB93A" w14:textId="70E5FB54" w:rsidR="002E03D9" w:rsidRDefault="002E03D9" w:rsidP="005311A7">
      <w:pPr>
        <w:pStyle w:val="EndNoteBibliography"/>
        <w:spacing w:after="120" w:line="360" w:lineRule="auto"/>
        <w:ind w:left="720" w:hanging="720"/>
        <w:rPr>
          <w:noProof/>
          <w:color w:val="000000" w:themeColor="text1"/>
        </w:rPr>
      </w:pPr>
      <w:r w:rsidRPr="002E03D9">
        <w:rPr>
          <w:noProof/>
          <w:color w:val="000000" w:themeColor="text1"/>
        </w:rPr>
        <w:t>Pinkham, A., Bass, E., Klein, H., Springfield, C., Kent, J., &amp; Aslan, S. (2022). Inducing Paranoia is Linked to Increased Resting Amygdala Cerebral Blood Flow in Healthy Individuals.</w:t>
      </w:r>
      <w:r w:rsidRPr="00605F58">
        <w:rPr>
          <w:i/>
          <w:iCs/>
          <w:noProof/>
          <w:color w:val="000000" w:themeColor="text1"/>
        </w:rPr>
        <w:t xml:space="preserve"> Journal of Experimental Psychopathology</w:t>
      </w:r>
      <w:r w:rsidRPr="002E03D9">
        <w:rPr>
          <w:noProof/>
          <w:color w:val="000000" w:themeColor="text1"/>
        </w:rPr>
        <w:t xml:space="preserve">, </w:t>
      </w:r>
      <w:r w:rsidRPr="00605F58">
        <w:rPr>
          <w:i/>
          <w:iCs/>
          <w:noProof/>
          <w:color w:val="000000" w:themeColor="text1"/>
        </w:rPr>
        <w:t>13</w:t>
      </w:r>
      <w:r w:rsidRPr="002E03D9">
        <w:rPr>
          <w:noProof/>
          <w:color w:val="000000" w:themeColor="text1"/>
        </w:rPr>
        <w:t>(3), 20438087221130693. https://doi.org/10.1177/20438087221130693</w:t>
      </w:r>
    </w:p>
    <w:p w14:paraId="514F8EC9" w14:textId="3B1D7EE1" w:rsidR="00605F58" w:rsidRDefault="00605F58" w:rsidP="005311A7">
      <w:pPr>
        <w:pStyle w:val="EndNoteBibliography"/>
        <w:spacing w:after="120" w:line="360" w:lineRule="auto"/>
        <w:ind w:left="720" w:hanging="720"/>
        <w:rPr>
          <w:noProof/>
          <w:color w:val="000000" w:themeColor="text1"/>
        </w:rPr>
      </w:pPr>
      <w:r w:rsidRPr="00605F58">
        <w:rPr>
          <w:noProof/>
          <w:color w:val="000000" w:themeColor="text1"/>
        </w:rPr>
        <w:t xml:space="preserve">Prather, A. A., Bogdan, R., &amp; Hariri, A. R. (2013). Impact of Sleep Quality on Amygdala Reactivity, Negative Affect, and Perceived Stress. </w:t>
      </w:r>
      <w:r w:rsidRPr="00605F58">
        <w:rPr>
          <w:i/>
          <w:iCs/>
          <w:noProof/>
          <w:color w:val="000000" w:themeColor="text1"/>
        </w:rPr>
        <w:t>Biopsychosocial Science and Medicine</w:t>
      </w:r>
      <w:r w:rsidRPr="00605F58">
        <w:rPr>
          <w:noProof/>
          <w:color w:val="000000" w:themeColor="text1"/>
        </w:rPr>
        <w:t xml:space="preserve">, </w:t>
      </w:r>
      <w:r w:rsidRPr="00605F58">
        <w:rPr>
          <w:i/>
          <w:iCs/>
          <w:noProof/>
          <w:color w:val="000000" w:themeColor="text1"/>
        </w:rPr>
        <w:t>75</w:t>
      </w:r>
      <w:r w:rsidRPr="00605F58">
        <w:rPr>
          <w:noProof/>
          <w:color w:val="000000" w:themeColor="text1"/>
        </w:rPr>
        <w:t>(4), 350-358. https://doi.org/10.1097/PSY.0b013e31828ef15b</w:t>
      </w:r>
    </w:p>
    <w:p w14:paraId="4C549A4F" w14:textId="4F9CFCB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Preacher, K. J., Rucker, D. D., &amp; Hayes, A. F. (2007). Addressing Moderated Mediation Hypotheses: Theory, Methods, and Prescriptions. </w:t>
      </w:r>
      <w:r w:rsidRPr="005311A7">
        <w:rPr>
          <w:i/>
          <w:iCs/>
          <w:noProof/>
          <w:color w:val="000000" w:themeColor="text1"/>
        </w:rPr>
        <w:t>Multivariate Behav Res</w:t>
      </w:r>
      <w:r w:rsidRPr="005311A7">
        <w:rPr>
          <w:noProof/>
          <w:color w:val="000000" w:themeColor="text1"/>
        </w:rPr>
        <w:t xml:space="preserve">, </w:t>
      </w:r>
      <w:r w:rsidRPr="005311A7">
        <w:rPr>
          <w:i/>
          <w:iCs/>
          <w:noProof/>
          <w:color w:val="000000" w:themeColor="text1"/>
        </w:rPr>
        <w:t>42</w:t>
      </w:r>
      <w:r w:rsidRPr="005311A7">
        <w:rPr>
          <w:noProof/>
          <w:color w:val="000000" w:themeColor="text1"/>
        </w:rPr>
        <w:t xml:space="preserve">(1), 185-227. </w:t>
      </w:r>
      <w:r w:rsidRPr="005311A7">
        <w:rPr>
          <w:color w:val="000000" w:themeColor="text1"/>
        </w:rPr>
        <w:t>https://doi.org/10.1080/00273170701341316</w:t>
      </w:r>
      <w:r w:rsidRPr="005311A7">
        <w:rPr>
          <w:noProof/>
          <w:color w:val="000000" w:themeColor="text1"/>
        </w:rPr>
        <w:t xml:space="preserve"> </w:t>
      </w:r>
    </w:p>
    <w:p w14:paraId="64B0AC0D"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Reeve, S., Emsley, R., Sheaves, B., &amp; Freeman, D. (2018). Disrupting sleep: the effects of sleep loss on psychotic experiences tested in an experimental study with mediation analysis. </w:t>
      </w:r>
      <w:r w:rsidRPr="005311A7">
        <w:rPr>
          <w:i/>
          <w:noProof/>
          <w:color w:val="000000" w:themeColor="text1"/>
        </w:rPr>
        <w:t>Schizophrenia Bulletin</w:t>
      </w:r>
      <w:r w:rsidRPr="005311A7">
        <w:rPr>
          <w:noProof/>
          <w:color w:val="000000" w:themeColor="text1"/>
        </w:rPr>
        <w:t>,</w:t>
      </w:r>
      <w:r w:rsidRPr="005311A7">
        <w:rPr>
          <w:i/>
          <w:noProof/>
          <w:color w:val="000000" w:themeColor="text1"/>
        </w:rPr>
        <w:t xml:space="preserve"> 44</w:t>
      </w:r>
      <w:r w:rsidRPr="005311A7">
        <w:rPr>
          <w:noProof/>
          <w:color w:val="000000" w:themeColor="text1"/>
        </w:rPr>
        <w:t xml:space="preserve">(3), 662-671. </w:t>
      </w:r>
      <w:hyperlink r:id="rId29" w:history="1">
        <w:r w:rsidRPr="005311A7">
          <w:rPr>
            <w:rStyle w:val="Hyperlink"/>
            <w:noProof/>
            <w:color w:val="000000" w:themeColor="text1"/>
          </w:rPr>
          <w:t>https://www.ncbi.nlm.nih.gov/pmc/articles/PMC5890488/pdf/sbx103.pdf</w:t>
        </w:r>
      </w:hyperlink>
      <w:r w:rsidRPr="005311A7">
        <w:rPr>
          <w:noProof/>
          <w:color w:val="000000" w:themeColor="text1"/>
        </w:rPr>
        <w:t xml:space="preserve"> </w:t>
      </w:r>
    </w:p>
    <w:p w14:paraId="68C56961"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Reeve, S., Nickless, A., Sheaves, B., &amp; Freeman, D. (2018). Insomnia, negative affect, and psychotic experiences: Modelling pathways over time in a clinical observational study. </w:t>
      </w:r>
      <w:r w:rsidRPr="005311A7">
        <w:rPr>
          <w:i/>
          <w:noProof/>
          <w:color w:val="000000" w:themeColor="text1"/>
        </w:rPr>
        <w:t>Psychiatry Res</w:t>
      </w:r>
      <w:r w:rsidRPr="005311A7">
        <w:rPr>
          <w:noProof/>
          <w:color w:val="000000" w:themeColor="text1"/>
        </w:rPr>
        <w:t>,</w:t>
      </w:r>
      <w:r w:rsidRPr="005311A7">
        <w:rPr>
          <w:i/>
          <w:noProof/>
          <w:color w:val="000000" w:themeColor="text1"/>
        </w:rPr>
        <w:t xml:space="preserve"> 269</w:t>
      </w:r>
      <w:r w:rsidRPr="005311A7">
        <w:rPr>
          <w:noProof/>
          <w:color w:val="000000" w:themeColor="text1"/>
        </w:rPr>
        <w:t xml:space="preserve">, 673-680. </w:t>
      </w:r>
      <w:hyperlink r:id="rId30" w:history="1">
        <w:r w:rsidRPr="005311A7">
          <w:rPr>
            <w:rStyle w:val="Hyperlink"/>
            <w:noProof/>
            <w:color w:val="000000" w:themeColor="text1"/>
          </w:rPr>
          <w:t>https://doi.org/10.1016/j.psychres.2018.08.090</w:t>
        </w:r>
      </w:hyperlink>
      <w:r w:rsidRPr="005311A7">
        <w:rPr>
          <w:noProof/>
          <w:color w:val="000000" w:themeColor="text1"/>
        </w:rPr>
        <w:t xml:space="preserve"> </w:t>
      </w:r>
    </w:p>
    <w:p w14:paraId="78689556"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Reeve, S., Sheaves, B., &amp; Freeman, D. (2015). The role of sleep dysfunction in the occurrence of delusions and hallucinations: A systematic review. </w:t>
      </w:r>
      <w:r w:rsidRPr="005311A7">
        <w:rPr>
          <w:i/>
          <w:noProof/>
          <w:color w:val="000000" w:themeColor="text1"/>
        </w:rPr>
        <w:t>Clin Psychol Rev</w:t>
      </w:r>
      <w:r w:rsidRPr="005311A7">
        <w:rPr>
          <w:noProof/>
          <w:color w:val="000000" w:themeColor="text1"/>
        </w:rPr>
        <w:t>,</w:t>
      </w:r>
      <w:r w:rsidRPr="005311A7">
        <w:rPr>
          <w:i/>
          <w:noProof/>
          <w:color w:val="000000" w:themeColor="text1"/>
        </w:rPr>
        <w:t xml:space="preserve"> 42</w:t>
      </w:r>
      <w:r w:rsidRPr="005311A7">
        <w:rPr>
          <w:noProof/>
          <w:color w:val="000000" w:themeColor="text1"/>
        </w:rPr>
        <w:t xml:space="preserve">, 96-115. </w:t>
      </w:r>
      <w:hyperlink r:id="rId31" w:history="1">
        <w:r w:rsidRPr="005311A7">
          <w:rPr>
            <w:rStyle w:val="Hyperlink"/>
            <w:noProof/>
            <w:color w:val="000000" w:themeColor="text1"/>
          </w:rPr>
          <w:t>https://doi.org/10.1016/j.cpr.2015.09.001</w:t>
        </w:r>
      </w:hyperlink>
      <w:r w:rsidRPr="005311A7">
        <w:rPr>
          <w:noProof/>
          <w:color w:val="000000" w:themeColor="text1"/>
        </w:rPr>
        <w:t xml:space="preserve"> </w:t>
      </w:r>
    </w:p>
    <w:p w14:paraId="5F36020C"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Riemann, D., Spiegelhalder, K., Feige, B., Voderholzer, U., Berger, M., Perlis, M., &amp; Nissen, C. (2010). The hyperarousal model of insomnia: a review of the concept and its evidence. </w:t>
      </w:r>
      <w:r w:rsidRPr="005311A7">
        <w:rPr>
          <w:i/>
          <w:noProof/>
          <w:color w:val="000000" w:themeColor="text1"/>
        </w:rPr>
        <w:t>Sleep medicine reviews</w:t>
      </w:r>
      <w:r w:rsidRPr="005311A7">
        <w:rPr>
          <w:noProof/>
          <w:color w:val="000000" w:themeColor="text1"/>
        </w:rPr>
        <w:t>,</w:t>
      </w:r>
      <w:r w:rsidRPr="005311A7">
        <w:rPr>
          <w:i/>
          <w:noProof/>
          <w:color w:val="000000" w:themeColor="text1"/>
        </w:rPr>
        <w:t xml:space="preserve"> 14</w:t>
      </w:r>
      <w:r w:rsidRPr="005311A7">
        <w:rPr>
          <w:noProof/>
          <w:color w:val="000000" w:themeColor="text1"/>
        </w:rPr>
        <w:t xml:space="preserve">(1), 19-31. </w:t>
      </w:r>
    </w:p>
    <w:p w14:paraId="35F95F4D"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Salari, N., Hosseinian-Far, A., Jalali, R., Vaisi-Raygani, A., Rasoulpoor, S., Mohammadi, M., Rasoulpoor, S., &amp; Khaledi-Paveh, B. (2020). Prevalence of stress, anxiety, depression </w:t>
      </w:r>
      <w:r w:rsidRPr="005311A7">
        <w:rPr>
          <w:noProof/>
          <w:color w:val="000000" w:themeColor="text1"/>
        </w:rPr>
        <w:lastRenderedPageBreak/>
        <w:t xml:space="preserve">among the general population during the COVID-19 pandemic: a systematic review and meta-analysis. </w:t>
      </w:r>
      <w:r w:rsidRPr="005311A7">
        <w:rPr>
          <w:i/>
          <w:noProof/>
          <w:color w:val="000000" w:themeColor="text1"/>
        </w:rPr>
        <w:t>Global Health</w:t>
      </w:r>
      <w:r w:rsidRPr="005311A7">
        <w:rPr>
          <w:noProof/>
          <w:color w:val="000000" w:themeColor="text1"/>
        </w:rPr>
        <w:t>,</w:t>
      </w:r>
      <w:r w:rsidRPr="005311A7">
        <w:rPr>
          <w:i/>
          <w:noProof/>
          <w:color w:val="000000" w:themeColor="text1"/>
        </w:rPr>
        <w:t xml:space="preserve"> 16</w:t>
      </w:r>
      <w:r w:rsidRPr="005311A7">
        <w:rPr>
          <w:noProof/>
          <w:color w:val="000000" w:themeColor="text1"/>
        </w:rPr>
        <w:t xml:space="preserve">(1), 57. </w:t>
      </w:r>
      <w:hyperlink r:id="rId32" w:history="1">
        <w:r w:rsidRPr="005311A7">
          <w:rPr>
            <w:rStyle w:val="Hyperlink"/>
            <w:noProof/>
            <w:color w:val="000000" w:themeColor="text1"/>
          </w:rPr>
          <w:t>https://doi.org/10.1186/s12992-020-00589-w</w:t>
        </w:r>
      </w:hyperlink>
      <w:r w:rsidRPr="005311A7">
        <w:rPr>
          <w:noProof/>
          <w:color w:val="000000" w:themeColor="text1"/>
        </w:rPr>
        <w:t xml:space="preserve"> </w:t>
      </w:r>
    </w:p>
    <w:p w14:paraId="3AC9D7C0"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Scott, A. J., Rowse, G., &amp; Webb, T. L. (2017). A structural equation model of the relationship between insomnia, negative affect, and paranoid thinking. </w:t>
      </w:r>
      <w:r w:rsidRPr="005311A7">
        <w:rPr>
          <w:i/>
          <w:noProof/>
          <w:color w:val="000000" w:themeColor="text1"/>
        </w:rPr>
        <w:t>PLOS ONE</w:t>
      </w:r>
      <w:r w:rsidRPr="005311A7">
        <w:rPr>
          <w:noProof/>
          <w:color w:val="000000" w:themeColor="text1"/>
        </w:rPr>
        <w:t>,</w:t>
      </w:r>
      <w:r w:rsidRPr="005311A7">
        <w:rPr>
          <w:i/>
          <w:noProof/>
          <w:color w:val="000000" w:themeColor="text1"/>
        </w:rPr>
        <w:t xml:space="preserve"> 12</w:t>
      </w:r>
      <w:r w:rsidRPr="005311A7">
        <w:rPr>
          <w:noProof/>
          <w:color w:val="000000" w:themeColor="text1"/>
        </w:rPr>
        <w:t xml:space="preserve">(10), e0186233. </w:t>
      </w:r>
    </w:p>
    <w:p w14:paraId="6C66C53A"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Sheaves, B., Holmes, E. A., Rek, S., Taylor, K. M., Nickless, A., Waite, F., Germain, A., Espie, C. A., Harrison, P. J., &amp; Foster, R. (2019). Cognitive behavioural therapy for nightmares for patients with persecutory delusions (nites): an assessor-blind, pilot randomized controlled trial. </w:t>
      </w:r>
      <w:r w:rsidRPr="005311A7">
        <w:rPr>
          <w:i/>
          <w:noProof/>
          <w:color w:val="000000" w:themeColor="text1"/>
        </w:rPr>
        <w:t>The Canadian Journal of Psychiatry</w:t>
      </w:r>
      <w:r w:rsidRPr="005311A7">
        <w:rPr>
          <w:noProof/>
          <w:color w:val="000000" w:themeColor="text1"/>
        </w:rPr>
        <w:t>,</w:t>
      </w:r>
      <w:r w:rsidRPr="005311A7">
        <w:rPr>
          <w:i/>
          <w:noProof/>
          <w:color w:val="000000" w:themeColor="text1"/>
        </w:rPr>
        <w:t xml:space="preserve"> 64</w:t>
      </w:r>
      <w:r w:rsidRPr="005311A7">
        <w:rPr>
          <w:noProof/>
          <w:color w:val="000000" w:themeColor="text1"/>
        </w:rPr>
        <w:t xml:space="preserve">(10), 686-696. </w:t>
      </w:r>
    </w:p>
    <w:p w14:paraId="121D1952" w14:textId="630157BC" w:rsidR="0004278C" w:rsidRDefault="0004278C" w:rsidP="005311A7">
      <w:pPr>
        <w:pStyle w:val="EndNoteBibliography"/>
        <w:spacing w:after="120" w:line="360" w:lineRule="auto"/>
        <w:ind w:left="720" w:hanging="720"/>
        <w:rPr>
          <w:noProof/>
          <w:color w:val="000000" w:themeColor="text1"/>
        </w:rPr>
      </w:pPr>
      <w:r w:rsidRPr="0004278C">
        <w:rPr>
          <w:noProof/>
          <w:color w:val="000000" w:themeColor="text1"/>
        </w:rPr>
        <w:t xml:space="preserve">Shen, Z., Yang, X., She, T., Zhao, G., Dou, Z., Luo, Y., Lin, W., Dang, W., &amp; Yu, S. (2023). Deficits in brain default mode network connectivity mediate the relationship between poor sleep quality and anxiety severity. </w:t>
      </w:r>
      <w:r w:rsidRPr="0004278C">
        <w:rPr>
          <w:i/>
          <w:iCs/>
          <w:noProof/>
          <w:color w:val="000000" w:themeColor="text1"/>
        </w:rPr>
        <w:t>Sleep</w:t>
      </w:r>
      <w:r w:rsidRPr="0004278C">
        <w:rPr>
          <w:noProof/>
          <w:color w:val="000000" w:themeColor="text1"/>
        </w:rPr>
        <w:t xml:space="preserve">, </w:t>
      </w:r>
      <w:r w:rsidRPr="0004278C">
        <w:rPr>
          <w:i/>
          <w:iCs/>
          <w:noProof/>
          <w:color w:val="000000" w:themeColor="text1"/>
        </w:rPr>
        <w:t>47</w:t>
      </w:r>
      <w:r w:rsidRPr="0004278C">
        <w:rPr>
          <w:noProof/>
          <w:color w:val="000000" w:themeColor="text1"/>
        </w:rPr>
        <w:t>(3). https://doi.org/10.1093/sleep/zsad296</w:t>
      </w:r>
    </w:p>
    <w:p w14:paraId="3DA9322A" w14:textId="0161094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So, S. H., Zhu, C., Lincoln, T. M., Gaudiano, B. A., Kingston, J. L., Ellett, L., &amp; Morris, E. M. J. (2022). Pandemic paranoia, general paranoia, and their relationships with worry and beliefs about self/others - A multi-site latent class analysis. </w:t>
      </w:r>
      <w:r w:rsidRPr="005311A7">
        <w:rPr>
          <w:i/>
          <w:noProof/>
          <w:color w:val="000000" w:themeColor="text1"/>
        </w:rPr>
        <w:t>Schizophr Res</w:t>
      </w:r>
      <w:r w:rsidRPr="005311A7">
        <w:rPr>
          <w:noProof/>
          <w:color w:val="000000" w:themeColor="text1"/>
        </w:rPr>
        <w:t>,</w:t>
      </w:r>
      <w:r w:rsidRPr="005311A7">
        <w:rPr>
          <w:i/>
          <w:noProof/>
          <w:color w:val="000000" w:themeColor="text1"/>
        </w:rPr>
        <w:t xml:space="preserve"> 241</w:t>
      </w:r>
      <w:r w:rsidRPr="005311A7">
        <w:rPr>
          <w:noProof/>
          <w:color w:val="000000" w:themeColor="text1"/>
        </w:rPr>
        <w:t xml:space="preserve">, 122-129. </w:t>
      </w:r>
      <w:hyperlink r:id="rId33" w:history="1">
        <w:r w:rsidRPr="005311A7">
          <w:rPr>
            <w:rStyle w:val="Hyperlink"/>
            <w:noProof/>
            <w:color w:val="000000" w:themeColor="text1"/>
          </w:rPr>
          <w:t>https://doi.org/10.1016/j.schres.2022.01.045</w:t>
        </w:r>
      </w:hyperlink>
      <w:r w:rsidRPr="005311A7">
        <w:rPr>
          <w:noProof/>
          <w:color w:val="000000" w:themeColor="text1"/>
        </w:rPr>
        <w:t xml:space="preserve"> </w:t>
      </w:r>
    </w:p>
    <w:p w14:paraId="1EF644E9"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So, S. H.-W., Chau, A. K., Peters, E. R., Swendsen, J., Garety, P. A., &amp; Kapur, S. (2018). Moment-to-moment associations between negative affect, aberrant salience, and paranoia. </w:t>
      </w:r>
      <w:r w:rsidRPr="005311A7">
        <w:rPr>
          <w:i/>
          <w:noProof/>
          <w:color w:val="000000" w:themeColor="text1"/>
        </w:rPr>
        <w:t>Cognitive Neuropsychiatry</w:t>
      </w:r>
      <w:r w:rsidRPr="005311A7">
        <w:rPr>
          <w:noProof/>
          <w:color w:val="000000" w:themeColor="text1"/>
        </w:rPr>
        <w:t>,</w:t>
      </w:r>
      <w:r w:rsidRPr="005311A7">
        <w:rPr>
          <w:i/>
          <w:noProof/>
          <w:color w:val="000000" w:themeColor="text1"/>
        </w:rPr>
        <w:t xml:space="preserve"> 23</w:t>
      </w:r>
      <w:r w:rsidRPr="005311A7">
        <w:rPr>
          <w:noProof/>
          <w:color w:val="000000" w:themeColor="text1"/>
        </w:rPr>
        <w:t xml:space="preserve">(5), 299-306. </w:t>
      </w:r>
    </w:p>
    <w:p w14:paraId="68BE5557"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So, S. H.-w., Sun, X., Chan, G. H. K., Chan, I. H. H., De Chiu, C., Chan, S. K. W., Wong, W. Y. E., Leung, P. W.-l., &amp; Chen, E. Y. H. (2020). Risk perception in paranoia and anxiety: Two investigations across clinical and non-clinical populations. </w:t>
      </w:r>
      <w:r w:rsidRPr="005311A7">
        <w:rPr>
          <w:i/>
          <w:noProof/>
          <w:color w:val="000000" w:themeColor="text1"/>
        </w:rPr>
        <w:t>Schizophrenia Research: Cognition</w:t>
      </w:r>
      <w:r w:rsidRPr="005311A7">
        <w:rPr>
          <w:noProof/>
          <w:color w:val="000000" w:themeColor="text1"/>
        </w:rPr>
        <w:t>,</w:t>
      </w:r>
      <w:r w:rsidRPr="005311A7">
        <w:rPr>
          <w:i/>
          <w:noProof/>
          <w:color w:val="000000" w:themeColor="text1"/>
        </w:rPr>
        <w:t xml:space="preserve"> 21</w:t>
      </w:r>
      <w:r w:rsidRPr="005311A7">
        <w:rPr>
          <w:noProof/>
          <w:color w:val="000000" w:themeColor="text1"/>
        </w:rPr>
        <w:t xml:space="preserve">, 100176. </w:t>
      </w:r>
    </w:p>
    <w:p w14:paraId="68DCDB5F" w14:textId="77777777" w:rsid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Stewart, C., Rogers, F., Pilch, M., Stewart, I., Barnes-Holmes, Y., &amp; Westermann, S. (2017). The effect of social exclusion on state paranoia and explicit and implicit self-esteem in a non-clinical sample. </w:t>
      </w:r>
      <w:r w:rsidRPr="005311A7">
        <w:rPr>
          <w:i/>
          <w:noProof/>
          <w:color w:val="000000" w:themeColor="text1"/>
        </w:rPr>
        <w:t>J Behav Ther Exp Psychiatry</w:t>
      </w:r>
      <w:r w:rsidRPr="005311A7">
        <w:rPr>
          <w:noProof/>
          <w:color w:val="000000" w:themeColor="text1"/>
        </w:rPr>
        <w:t>,</w:t>
      </w:r>
      <w:r w:rsidRPr="005311A7">
        <w:rPr>
          <w:i/>
          <w:noProof/>
          <w:color w:val="000000" w:themeColor="text1"/>
        </w:rPr>
        <w:t xml:space="preserve"> 57</w:t>
      </w:r>
      <w:r w:rsidRPr="005311A7">
        <w:rPr>
          <w:noProof/>
          <w:color w:val="000000" w:themeColor="text1"/>
        </w:rPr>
        <w:t xml:space="preserve">, 62-69. </w:t>
      </w:r>
      <w:hyperlink r:id="rId34" w:history="1">
        <w:r w:rsidRPr="005311A7">
          <w:rPr>
            <w:rStyle w:val="Hyperlink"/>
            <w:noProof/>
            <w:color w:val="000000" w:themeColor="text1"/>
          </w:rPr>
          <w:t>https://doi.org/10.1016/j.jbtep.2017.04.001</w:t>
        </w:r>
      </w:hyperlink>
      <w:r w:rsidRPr="005311A7">
        <w:rPr>
          <w:noProof/>
          <w:color w:val="000000" w:themeColor="text1"/>
        </w:rPr>
        <w:t xml:space="preserve"> </w:t>
      </w:r>
    </w:p>
    <w:p w14:paraId="61149E36" w14:textId="0EDA8F7C" w:rsidR="00424FB6" w:rsidRDefault="00424FB6" w:rsidP="005311A7">
      <w:pPr>
        <w:pStyle w:val="EndNoteBibliography"/>
        <w:spacing w:after="120" w:line="360" w:lineRule="auto"/>
        <w:ind w:left="720" w:hanging="720"/>
        <w:rPr>
          <w:noProof/>
          <w:color w:val="000000" w:themeColor="text1"/>
        </w:rPr>
      </w:pPr>
      <w:r w:rsidRPr="00424FB6">
        <w:rPr>
          <w:noProof/>
          <w:color w:val="000000" w:themeColor="text1"/>
        </w:rPr>
        <w:t xml:space="preserve">Walther, S., Lefebvre, S., Conring, F., Gangl, N., Nadesalingam, N., Alexaki, D., Wüthrich, F., Rüter, M., Viher, P. V., Federspiel, A., Wiest, R., &amp; Stegmayer, K. (2022). Limbic </w:t>
      </w:r>
      <w:r w:rsidRPr="00424FB6">
        <w:rPr>
          <w:noProof/>
          <w:color w:val="000000" w:themeColor="text1"/>
        </w:rPr>
        <w:lastRenderedPageBreak/>
        <w:t xml:space="preserve">links to paranoia: increased resting-state functional connectivity between amygdala, hippocampus and orbitofrontal cortex in schizophrenia patients with paranoia. </w:t>
      </w:r>
      <w:r w:rsidRPr="00424FB6">
        <w:rPr>
          <w:i/>
          <w:iCs/>
          <w:noProof/>
          <w:color w:val="000000" w:themeColor="text1"/>
        </w:rPr>
        <w:t>European Archives of Psychiatry and Clinical Neuroscienc</w:t>
      </w:r>
      <w:r w:rsidRPr="00424FB6">
        <w:rPr>
          <w:noProof/>
          <w:color w:val="000000" w:themeColor="text1"/>
        </w:rPr>
        <w:t xml:space="preserve">e, </w:t>
      </w:r>
      <w:r w:rsidRPr="00424FB6">
        <w:rPr>
          <w:i/>
          <w:iCs/>
          <w:noProof/>
          <w:color w:val="000000" w:themeColor="text1"/>
        </w:rPr>
        <w:t>272</w:t>
      </w:r>
      <w:r w:rsidRPr="00424FB6">
        <w:rPr>
          <w:noProof/>
          <w:color w:val="000000" w:themeColor="text1"/>
        </w:rPr>
        <w:t>(6), 1021-1032. https://doi.org/10.1007/s00406-021-01337-w</w:t>
      </w:r>
    </w:p>
    <w:p w14:paraId="7BD8B382"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Vorontsova, N., Garety, P., &amp; Freeman, D. (2013). Cognitive factors maintaining persecutory delusions in psychosis: the contribution of depression. </w:t>
      </w:r>
      <w:r w:rsidRPr="005311A7">
        <w:rPr>
          <w:i/>
          <w:noProof/>
          <w:color w:val="000000" w:themeColor="text1"/>
        </w:rPr>
        <w:t>Journal of Abnormal Psychology</w:t>
      </w:r>
      <w:r w:rsidRPr="005311A7">
        <w:rPr>
          <w:noProof/>
          <w:color w:val="000000" w:themeColor="text1"/>
        </w:rPr>
        <w:t>,</w:t>
      </w:r>
      <w:r w:rsidRPr="005311A7">
        <w:rPr>
          <w:i/>
          <w:noProof/>
          <w:color w:val="000000" w:themeColor="text1"/>
        </w:rPr>
        <w:t xml:space="preserve"> 122</w:t>
      </w:r>
      <w:r w:rsidRPr="005311A7">
        <w:rPr>
          <w:noProof/>
          <w:color w:val="000000" w:themeColor="text1"/>
        </w:rPr>
        <w:t xml:space="preserve">(4), 1121. </w:t>
      </w:r>
    </w:p>
    <w:p w14:paraId="436B86ED"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Wong, S. M., Hui, C. L., Wong, C. S., Suen, Y. N., Chan, S. K., Lee, E. H., Chang, W. C., &amp; Chen, E. Y. (2021). Prospective prediction of PTSD and depressive symptoms during social unrest and COVID-19 using a brief online tool. </w:t>
      </w:r>
      <w:r w:rsidRPr="005311A7">
        <w:rPr>
          <w:i/>
          <w:noProof/>
          <w:color w:val="000000" w:themeColor="text1"/>
        </w:rPr>
        <w:t>Psychiatry Res</w:t>
      </w:r>
      <w:r w:rsidRPr="005311A7">
        <w:rPr>
          <w:noProof/>
          <w:color w:val="000000" w:themeColor="text1"/>
        </w:rPr>
        <w:t>,</w:t>
      </w:r>
      <w:r w:rsidRPr="005311A7">
        <w:rPr>
          <w:i/>
          <w:noProof/>
          <w:color w:val="000000" w:themeColor="text1"/>
        </w:rPr>
        <w:t xml:space="preserve"> 298</w:t>
      </w:r>
      <w:r w:rsidRPr="005311A7">
        <w:rPr>
          <w:noProof/>
          <w:color w:val="000000" w:themeColor="text1"/>
        </w:rPr>
        <w:t xml:space="preserve">, 113773. </w:t>
      </w:r>
      <w:hyperlink r:id="rId35" w:history="1">
        <w:r w:rsidRPr="005311A7">
          <w:rPr>
            <w:rStyle w:val="Hyperlink"/>
            <w:noProof/>
            <w:color w:val="000000" w:themeColor="text1"/>
          </w:rPr>
          <w:t>https://doi.org/10.1016/j.psychres.2021.113773</w:t>
        </w:r>
      </w:hyperlink>
      <w:r w:rsidRPr="005311A7">
        <w:rPr>
          <w:noProof/>
          <w:color w:val="000000" w:themeColor="text1"/>
        </w:rPr>
        <w:t xml:space="preserve"> </w:t>
      </w:r>
    </w:p>
    <w:p w14:paraId="0F23FFF4" w14:textId="77777777" w:rsidR="005311A7" w:rsidRPr="005311A7" w:rsidRDefault="005311A7" w:rsidP="005311A7">
      <w:pPr>
        <w:pStyle w:val="EndNoteBibliography"/>
        <w:spacing w:after="120" w:line="360" w:lineRule="auto"/>
        <w:ind w:left="720" w:hanging="720"/>
        <w:rPr>
          <w:noProof/>
          <w:color w:val="000000" w:themeColor="text1"/>
        </w:rPr>
      </w:pPr>
      <w:r w:rsidRPr="005311A7">
        <w:rPr>
          <w:noProof/>
          <w:color w:val="000000" w:themeColor="text1"/>
        </w:rPr>
        <w:t xml:space="preserve">Wood, R., Reinhardt, G. Y., RezaeeDaryakenari, B., &amp; Windsor, L. C. (2022). Resisting Lockdown: The Influence of COVID-19 Restrictions on Social Unrest. </w:t>
      </w:r>
      <w:r w:rsidRPr="005311A7">
        <w:rPr>
          <w:i/>
          <w:noProof/>
          <w:color w:val="000000" w:themeColor="text1"/>
        </w:rPr>
        <w:t>International Studies Quarterly</w:t>
      </w:r>
      <w:r w:rsidRPr="005311A7">
        <w:rPr>
          <w:noProof/>
          <w:color w:val="000000" w:themeColor="text1"/>
        </w:rPr>
        <w:t>,</w:t>
      </w:r>
      <w:r w:rsidRPr="005311A7">
        <w:rPr>
          <w:i/>
          <w:noProof/>
          <w:color w:val="000000" w:themeColor="text1"/>
        </w:rPr>
        <w:t xml:space="preserve"> 66</w:t>
      </w:r>
      <w:r w:rsidRPr="005311A7">
        <w:rPr>
          <w:noProof/>
          <w:color w:val="000000" w:themeColor="text1"/>
        </w:rPr>
        <w:t xml:space="preserve">(2). </w:t>
      </w:r>
      <w:hyperlink r:id="rId36" w:history="1">
        <w:r w:rsidRPr="005311A7">
          <w:rPr>
            <w:rStyle w:val="Hyperlink"/>
            <w:noProof/>
            <w:color w:val="000000" w:themeColor="text1"/>
          </w:rPr>
          <w:t>https://doi.org/10.1093/isq/sqac015</w:t>
        </w:r>
      </w:hyperlink>
      <w:r w:rsidRPr="005311A7">
        <w:rPr>
          <w:noProof/>
          <w:color w:val="000000" w:themeColor="text1"/>
        </w:rPr>
        <w:t xml:space="preserve"> </w:t>
      </w:r>
    </w:p>
    <w:p w14:paraId="5914590D" w14:textId="3E5B162D" w:rsidR="005311A7" w:rsidRPr="002E2C2A" w:rsidRDefault="005311A7" w:rsidP="002E2C2A">
      <w:pPr>
        <w:autoSpaceDE w:val="0"/>
        <w:autoSpaceDN w:val="0"/>
        <w:adjustRightInd w:val="0"/>
        <w:spacing w:line="240" w:lineRule="auto"/>
        <w:ind w:firstLine="0"/>
        <w:rPr>
          <w:lang w:val="en-AU"/>
        </w:rPr>
      </w:pPr>
      <w:r w:rsidRPr="005311A7">
        <w:rPr>
          <w:color w:val="000000" w:themeColor="text1"/>
        </w:rPr>
        <w:fldChar w:fldCharType="end"/>
      </w:r>
    </w:p>
    <w:p w14:paraId="7CA931AB" w14:textId="77777777" w:rsidR="005311A7" w:rsidRDefault="005311A7" w:rsidP="008D6106">
      <w:pPr>
        <w:ind w:firstLine="0"/>
      </w:pPr>
    </w:p>
    <w:p w14:paraId="01E3672F" w14:textId="77777777" w:rsidR="005311A7" w:rsidRDefault="005311A7"/>
    <w:p w14:paraId="0BFA2582" w14:textId="59C689CE" w:rsidR="00424FB6" w:rsidRDefault="00424FB6">
      <w:pPr>
        <w:spacing w:line="240" w:lineRule="auto"/>
        <w:ind w:firstLine="0"/>
        <w:rPr>
          <w:b/>
        </w:rPr>
      </w:pPr>
      <w:r>
        <w:rPr>
          <w:b/>
        </w:rPr>
        <w:br w:type="page"/>
      </w:r>
    </w:p>
    <w:p w14:paraId="5C7C0418" w14:textId="77777777" w:rsidR="005311A7" w:rsidRDefault="005311A7" w:rsidP="00DD2820">
      <w:pPr>
        <w:ind w:left="708" w:hanging="708"/>
        <w:rPr>
          <w:b/>
        </w:rPr>
      </w:pPr>
      <w:r>
        <w:rPr>
          <w:b/>
        </w:rPr>
        <w:lastRenderedPageBreak/>
        <w:t>Table 1</w:t>
      </w:r>
    </w:p>
    <w:p w14:paraId="1CB5ED14" w14:textId="77777777" w:rsidR="005311A7" w:rsidRDefault="005311A7" w:rsidP="00DD2820">
      <w:pPr>
        <w:ind w:left="708" w:hanging="708"/>
        <w:rPr>
          <w:i/>
        </w:rPr>
      </w:pPr>
      <w:r>
        <w:rPr>
          <w:i/>
        </w:rPr>
        <w:t xml:space="preserve">Demographics of Study Participants </w:t>
      </w:r>
    </w:p>
    <w:tbl>
      <w:tblPr>
        <w:tblW w:w="9349" w:type="dxa"/>
        <w:tblBorders>
          <w:top w:val="single" w:sz="8" w:space="0" w:color="4472C4"/>
          <w:bottom w:val="single" w:sz="8" w:space="0" w:color="4472C4"/>
        </w:tblBorders>
        <w:tblLayout w:type="fixed"/>
        <w:tblLook w:val="0660" w:firstRow="1" w:lastRow="1" w:firstColumn="0" w:lastColumn="0" w:noHBand="1" w:noVBand="1"/>
      </w:tblPr>
      <w:tblGrid>
        <w:gridCol w:w="1843"/>
        <w:gridCol w:w="3827"/>
        <w:gridCol w:w="1500"/>
        <w:gridCol w:w="2179"/>
      </w:tblGrid>
      <w:tr w:rsidR="005311A7" w14:paraId="26090820" w14:textId="77777777" w:rsidTr="004050DB">
        <w:trPr>
          <w:trHeight w:val="450"/>
        </w:trPr>
        <w:tc>
          <w:tcPr>
            <w:tcW w:w="1843" w:type="dxa"/>
            <w:tcBorders>
              <w:top w:val="single" w:sz="8" w:space="0" w:color="000000"/>
            </w:tcBorders>
          </w:tcPr>
          <w:p w14:paraId="0A54E260" w14:textId="77777777" w:rsidR="005311A7" w:rsidRDefault="005311A7" w:rsidP="005A4A45">
            <w:pPr>
              <w:spacing w:before="200"/>
              <w:ind w:firstLine="0"/>
              <w:rPr>
                <w:color w:val="000000"/>
              </w:rPr>
            </w:pPr>
            <w:r>
              <w:rPr>
                <w:color w:val="000000"/>
              </w:rPr>
              <w:t>Variable</w:t>
            </w:r>
          </w:p>
        </w:tc>
        <w:tc>
          <w:tcPr>
            <w:tcW w:w="3827" w:type="dxa"/>
            <w:tcBorders>
              <w:top w:val="single" w:sz="8" w:space="0" w:color="000000"/>
            </w:tcBorders>
          </w:tcPr>
          <w:p w14:paraId="757D22A3" w14:textId="77777777" w:rsidR="005311A7" w:rsidRDefault="005311A7" w:rsidP="005A4A45">
            <w:pPr>
              <w:spacing w:before="200"/>
              <w:ind w:firstLine="0"/>
              <w:jc w:val="center"/>
              <w:rPr>
                <w:color w:val="000000"/>
              </w:rPr>
            </w:pPr>
            <w:r>
              <w:rPr>
                <w:color w:val="000000"/>
              </w:rPr>
              <w:t>Category</w:t>
            </w:r>
          </w:p>
        </w:tc>
        <w:tc>
          <w:tcPr>
            <w:tcW w:w="1500" w:type="dxa"/>
            <w:tcBorders>
              <w:top w:val="single" w:sz="8" w:space="0" w:color="000000"/>
            </w:tcBorders>
          </w:tcPr>
          <w:p w14:paraId="5CA6B608" w14:textId="77777777" w:rsidR="005311A7" w:rsidRDefault="005311A7" w:rsidP="005A4A45">
            <w:pPr>
              <w:spacing w:before="200"/>
              <w:ind w:firstLine="0"/>
              <w:jc w:val="center"/>
              <w:rPr>
                <w:color w:val="000000"/>
              </w:rPr>
            </w:pPr>
            <w:r>
              <w:rPr>
                <w:color w:val="000000"/>
              </w:rPr>
              <w:t>Frequency</w:t>
            </w:r>
          </w:p>
        </w:tc>
        <w:tc>
          <w:tcPr>
            <w:tcW w:w="2179" w:type="dxa"/>
            <w:tcBorders>
              <w:top w:val="single" w:sz="8" w:space="0" w:color="000000"/>
            </w:tcBorders>
          </w:tcPr>
          <w:p w14:paraId="02A243A0" w14:textId="77777777" w:rsidR="005311A7" w:rsidRDefault="005311A7" w:rsidP="005A4A45">
            <w:pPr>
              <w:spacing w:before="200"/>
              <w:ind w:firstLine="0"/>
              <w:jc w:val="center"/>
              <w:rPr>
                <w:color w:val="000000"/>
              </w:rPr>
            </w:pPr>
            <w:r>
              <w:rPr>
                <w:color w:val="000000"/>
              </w:rPr>
              <w:t>Percentage</w:t>
            </w:r>
          </w:p>
        </w:tc>
      </w:tr>
      <w:tr w:rsidR="005311A7" w14:paraId="2D0CC66E" w14:textId="77777777" w:rsidTr="004050DB">
        <w:tc>
          <w:tcPr>
            <w:tcW w:w="1843" w:type="dxa"/>
          </w:tcPr>
          <w:p w14:paraId="4389738B" w14:textId="77777777" w:rsidR="005311A7" w:rsidRDefault="005311A7" w:rsidP="005A4A45">
            <w:pPr>
              <w:spacing w:before="200"/>
              <w:ind w:firstLine="0"/>
              <w:rPr>
                <w:color w:val="000000"/>
              </w:rPr>
            </w:pPr>
            <w:r>
              <w:rPr>
                <w:color w:val="000000"/>
              </w:rPr>
              <w:t>Age</w:t>
            </w:r>
          </w:p>
        </w:tc>
        <w:tc>
          <w:tcPr>
            <w:tcW w:w="3827" w:type="dxa"/>
          </w:tcPr>
          <w:p w14:paraId="0B2263A8" w14:textId="77777777" w:rsidR="005311A7" w:rsidRDefault="005311A7" w:rsidP="005A4A45">
            <w:pPr>
              <w:spacing w:before="200"/>
              <w:ind w:firstLine="0"/>
              <w:jc w:val="center"/>
              <w:rPr>
                <w:color w:val="000000"/>
              </w:rPr>
            </w:pPr>
            <w:r>
              <w:rPr>
                <w:color w:val="000000"/>
              </w:rPr>
              <w:t>M (SD)</w:t>
            </w:r>
          </w:p>
        </w:tc>
        <w:tc>
          <w:tcPr>
            <w:tcW w:w="1500" w:type="dxa"/>
          </w:tcPr>
          <w:p w14:paraId="4155D46F" w14:textId="77777777" w:rsidR="005311A7" w:rsidRDefault="005311A7" w:rsidP="005A4A45">
            <w:pPr>
              <w:spacing w:before="200"/>
              <w:ind w:firstLine="0"/>
              <w:jc w:val="center"/>
              <w:rPr>
                <w:color w:val="000000"/>
              </w:rPr>
            </w:pPr>
            <w:r>
              <w:rPr>
                <w:color w:val="000000"/>
              </w:rPr>
              <w:t>47.92 (15.4)</w:t>
            </w:r>
          </w:p>
        </w:tc>
        <w:tc>
          <w:tcPr>
            <w:tcW w:w="2179" w:type="dxa"/>
          </w:tcPr>
          <w:p w14:paraId="14C38D34" w14:textId="77777777" w:rsidR="005311A7" w:rsidRDefault="005311A7" w:rsidP="005A4A45">
            <w:pPr>
              <w:spacing w:before="200"/>
              <w:ind w:firstLine="0"/>
              <w:jc w:val="center"/>
              <w:rPr>
                <w:color w:val="000000"/>
              </w:rPr>
            </w:pPr>
          </w:p>
        </w:tc>
      </w:tr>
      <w:tr w:rsidR="005311A7" w14:paraId="40F94739" w14:textId="77777777" w:rsidTr="004050DB">
        <w:tc>
          <w:tcPr>
            <w:tcW w:w="1843" w:type="dxa"/>
          </w:tcPr>
          <w:p w14:paraId="5E2528D3" w14:textId="77777777" w:rsidR="005311A7" w:rsidRDefault="005311A7" w:rsidP="005A4A45">
            <w:pPr>
              <w:ind w:firstLine="0"/>
              <w:rPr>
                <w:color w:val="000000"/>
              </w:rPr>
            </w:pPr>
          </w:p>
        </w:tc>
        <w:tc>
          <w:tcPr>
            <w:tcW w:w="3827" w:type="dxa"/>
          </w:tcPr>
          <w:p w14:paraId="529C0FB3" w14:textId="77777777" w:rsidR="005311A7" w:rsidRDefault="005311A7" w:rsidP="005A4A45">
            <w:pPr>
              <w:ind w:firstLine="0"/>
              <w:jc w:val="center"/>
              <w:rPr>
                <w:color w:val="000000"/>
              </w:rPr>
            </w:pPr>
            <w:r>
              <w:rPr>
                <w:color w:val="000000"/>
              </w:rPr>
              <w:t>Range</w:t>
            </w:r>
          </w:p>
        </w:tc>
        <w:tc>
          <w:tcPr>
            <w:tcW w:w="1500" w:type="dxa"/>
          </w:tcPr>
          <w:p w14:paraId="48133931" w14:textId="77777777" w:rsidR="005311A7" w:rsidRDefault="005311A7" w:rsidP="005A4A45">
            <w:pPr>
              <w:ind w:firstLine="0"/>
              <w:jc w:val="center"/>
              <w:rPr>
                <w:color w:val="000000"/>
              </w:rPr>
            </w:pPr>
            <w:r>
              <w:rPr>
                <w:color w:val="000000"/>
              </w:rPr>
              <w:t>18 - 87</w:t>
            </w:r>
          </w:p>
        </w:tc>
        <w:tc>
          <w:tcPr>
            <w:tcW w:w="2179" w:type="dxa"/>
          </w:tcPr>
          <w:p w14:paraId="2485ED9C" w14:textId="77777777" w:rsidR="005311A7" w:rsidRDefault="005311A7" w:rsidP="005A4A45">
            <w:pPr>
              <w:ind w:firstLine="0"/>
              <w:jc w:val="center"/>
              <w:rPr>
                <w:color w:val="000000"/>
              </w:rPr>
            </w:pPr>
          </w:p>
        </w:tc>
      </w:tr>
      <w:tr w:rsidR="005311A7" w14:paraId="42099CA0" w14:textId="77777777" w:rsidTr="004050DB">
        <w:tc>
          <w:tcPr>
            <w:tcW w:w="1843" w:type="dxa"/>
          </w:tcPr>
          <w:p w14:paraId="362E2F79" w14:textId="77777777" w:rsidR="005311A7" w:rsidRDefault="005311A7" w:rsidP="005A4A45">
            <w:pPr>
              <w:ind w:firstLine="0"/>
              <w:rPr>
                <w:color w:val="000000"/>
              </w:rPr>
            </w:pPr>
            <w:r>
              <w:rPr>
                <w:color w:val="000000"/>
              </w:rPr>
              <w:t xml:space="preserve">Gender </w:t>
            </w:r>
          </w:p>
        </w:tc>
        <w:tc>
          <w:tcPr>
            <w:tcW w:w="3827" w:type="dxa"/>
          </w:tcPr>
          <w:p w14:paraId="24DFFFAA" w14:textId="77777777" w:rsidR="005311A7" w:rsidRDefault="005311A7" w:rsidP="005A4A45">
            <w:pPr>
              <w:ind w:firstLine="0"/>
              <w:jc w:val="center"/>
              <w:rPr>
                <w:color w:val="000000"/>
              </w:rPr>
            </w:pPr>
            <w:r>
              <w:rPr>
                <w:color w:val="000000"/>
              </w:rPr>
              <w:t>Male</w:t>
            </w:r>
          </w:p>
        </w:tc>
        <w:tc>
          <w:tcPr>
            <w:tcW w:w="1500" w:type="dxa"/>
          </w:tcPr>
          <w:p w14:paraId="405FD3E8" w14:textId="77777777" w:rsidR="005311A7" w:rsidRDefault="005311A7" w:rsidP="005A4A45">
            <w:pPr>
              <w:ind w:firstLine="0"/>
              <w:jc w:val="center"/>
              <w:rPr>
                <w:color w:val="000000"/>
              </w:rPr>
            </w:pPr>
            <w:r>
              <w:rPr>
                <w:color w:val="000000"/>
              </w:rPr>
              <w:t>314</w:t>
            </w:r>
          </w:p>
        </w:tc>
        <w:tc>
          <w:tcPr>
            <w:tcW w:w="2179" w:type="dxa"/>
          </w:tcPr>
          <w:p w14:paraId="37513922" w14:textId="77777777" w:rsidR="005311A7" w:rsidRDefault="005311A7" w:rsidP="005A4A45">
            <w:pPr>
              <w:ind w:firstLine="0"/>
              <w:jc w:val="center"/>
              <w:rPr>
                <w:color w:val="000000"/>
              </w:rPr>
            </w:pPr>
            <w:r>
              <w:rPr>
                <w:color w:val="000000"/>
              </w:rPr>
              <w:t>43.9</w:t>
            </w:r>
          </w:p>
        </w:tc>
      </w:tr>
      <w:tr w:rsidR="005311A7" w14:paraId="4B0EDF8F" w14:textId="77777777" w:rsidTr="004050DB">
        <w:tc>
          <w:tcPr>
            <w:tcW w:w="1843" w:type="dxa"/>
          </w:tcPr>
          <w:p w14:paraId="05CA86B6" w14:textId="77777777" w:rsidR="005311A7" w:rsidRDefault="005311A7" w:rsidP="005A4A45">
            <w:pPr>
              <w:ind w:firstLine="0"/>
              <w:rPr>
                <w:color w:val="000000"/>
              </w:rPr>
            </w:pPr>
          </w:p>
        </w:tc>
        <w:tc>
          <w:tcPr>
            <w:tcW w:w="3827" w:type="dxa"/>
          </w:tcPr>
          <w:p w14:paraId="459EACC3" w14:textId="77777777" w:rsidR="005311A7" w:rsidRDefault="005311A7" w:rsidP="005A4A45">
            <w:pPr>
              <w:ind w:firstLine="0"/>
              <w:jc w:val="center"/>
              <w:rPr>
                <w:color w:val="000000"/>
              </w:rPr>
            </w:pPr>
            <w:r>
              <w:rPr>
                <w:color w:val="000000"/>
              </w:rPr>
              <w:t>Female</w:t>
            </w:r>
          </w:p>
        </w:tc>
        <w:tc>
          <w:tcPr>
            <w:tcW w:w="1500" w:type="dxa"/>
          </w:tcPr>
          <w:p w14:paraId="73569AF7" w14:textId="77777777" w:rsidR="005311A7" w:rsidRDefault="005311A7" w:rsidP="005A4A45">
            <w:pPr>
              <w:ind w:firstLine="0"/>
              <w:jc w:val="center"/>
              <w:rPr>
                <w:color w:val="000000"/>
              </w:rPr>
            </w:pPr>
            <w:r>
              <w:rPr>
                <w:color w:val="000000"/>
              </w:rPr>
              <w:t>401</w:t>
            </w:r>
          </w:p>
        </w:tc>
        <w:tc>
          <w:tcPr>
            <w:tcW w:w="2179" w:type="dxa"/>
          </w:tcPr>
          <w:p w14:paraId="5C83E5AC" w14:textId="77777777" w:rsidR="005311A7" w:rsidRDefault="005311A7" w:rsidP="005A4A45">
            <w:pPr>
              <w:ind w:firstLine="0"/>
              <w:jc w:val="center"/>
              <w:rPr>
                <w:color w:val="000000"/>
              </w:rPr>
            </w:pPr>
            <w:r>
              <w:rPr>
                <w:color w:val="000000"/>
              </w:rPr>
              <w:t>56.1</w:t>
            </w:r>
          </w:p>
        </w:tc>
      </w:tr>
      <w:tr w:rsidR="005311A7" w14:paraId="511C5B11" w14:textId="77777777" w:rsidTr="004050DB">
        <w:tc>
          <w:tcPr>
            <w:tcW w:w="1843" w:type="dxa"/>
          </w:tcPr>
          <w:p w14:paraId="14A35641" w14:textId="77777777" w:rsidR="005311A7" w:rsidRDefault="005311A7" w:rsidP="005A4A45">
            <w:pPr>
              <w:ind w:firstLine="0"/>
              <w:rPr>
                <w:color w:val="000000"/>
              </w:rPr>
            </w:pPr>
            <w:r>
              <w:rPr>
                <w:color w:val="000000"/>
              </w:rPr>
              <w:t xml:space="preserve">Education </w:t>
            </w:r>
          </w:p>
        </w:tc>
        <w:tc>
          <w:tcPr>
            <w:tcW w:w="3827" w:type="dxa"/>
          </w:tcPr>
          <w:p w14:paraId="5930C544" w14:textId="77777777" w:rsidR="005311A7" w:rsidRDefault="005311A7" w:rsidP="005A4A45">
            <w:pPr>
              <w:ind w:firstLine="0"/>
              <w:jc w:val="center"/>
              <w:rPr>
                <w:color w:val="000000"/>
              </w:rPr>
            </w:pPr>
            <w:r>
              <w:rPr>
                <w:color w:val="000000"/>
              </w:rPr>
              <w:t xml:space="preserve">Primary </w:t>
            </w:r>
          </w:p>
        </w:tc>
        <w:tc>
          <w:tcPr>
            <w:tcW w:w="1500" w:type="dxa"/>
          </w:tcPr>
          <w:p w14:paraId="3F0CB0BF" w14:textId="77777777" w:rsidR="005311A7" w:rsidRDefault="005311A7" w:rsidP="005A4A45">
            <w:pPr>
              <w:ind w:firstLine="0"/>
              <w:jc w:val="center"/>
              <w:rPr>
                <w:color w:val="000000"/>
              </w:rPr>
            </w:pPr>
            <w:r>
              <w:rPr>
                <w:color w:val="000000"/>
              </w:rPr>
              <w:t>14</w:t>
            </w:r>
          </w:p>
        </w:tc>
        <w:tc>
          <w:tcPr>
            <w:tcW w:w="2179" w:type="dxa"/>
          </w:tcPr>
          <w:p w14:paraId="64E57091" w14:textId="77777777" w:rsidR="005311A7" w:rsidRDefault="005311A7" w:rsidP="005A4A45">
            <w:pPr>
              <w:ind w:firstLine="0"/>
              <w:jc w:val="center"/>
              <w:rPr>
                <w:color w:val="000000"/>
              </w:rPr>
            </w:pPr>
            <w:r>
              <w:rPr>
                <w:color w:val="000000"/>
              </w:rPr>
              <w:t>2.0</w:t>
            </w:r>
          </w:p>
        </w:tc>
      </w:tr>
      <w:tr w:rsidR="005311A7" w14:paraId="6CCCFE0B" w14:textId="77777777" w:rsidTr="004050DB">
        <w:tc>
          <w:tcPr>
            <w:tcW w:w="1843" w:type="dxa"/>
          </w:tcPr>
          <w:p w14:paraId="47DE86B3" w14:textId="77777777" w:rsidR="005311A7" w:rsidRDefault="005311A7" w:rsidP="005A4A45">
            <w:pPr>
              <w:ind w:firstLine="0"/>
              <w:rPr>
                <w:color w:val="000000"/>
              </w:rPr>
            </w:pPr>
          </w:p>
        </w:tc>
        <w:tc>
          <w:tcPr>
            <w:tcW w:w="3827" w:type="dxa"/>
          </w:tcPr>
          <w:p w14:paraId="3EE24D9B" w14:textId="77777777" w:rsidR="005311A7" w:rsidRDefault="005311A7" w:rsidP="002E2C2A">
            <w:pPr>
              <w:ind w:firstLine="0"/>
              <w:jc w:val="center"/>
              <w:rPr>
                <w:color w:val="000000"/>
              </w:rPr>
            </w:pPr>
            <w:r>
              <w:rPr>
                <w:color w:val="000000"/>
              </w:rPr>
              <w:t>Secondary or equivalent</w:t>
            </w:r>
          </w:p>
        </w:tc>
        <w:tc>
          <w:tcPr>
            <w:tcW w:w="1500" w:type="dxa"/>
          </w:tcPr>
          <w:p w14:paraId="0AC7FF37" w14:textId="77777777" w:rsidR="005311A7" w:rsidRDefault="005311A7" w:rsidP="005A4A45">
            <w:pPr>
              <w:ind w:firstLine="0"/>
              <w:jc w:val="center"/>
              <w:rPr>
                <w:color w:val="000000"/>
              </w:rPr>
            </w:pPr>
            <w:r>
              <w:rPr>
                <w:color w:val="000000"/>
              </w:rPr>
              <w:t>153</w:t>
            </w:r>
          </w:p>
        </w:tc>
        <w:tc>
          <w:tcPr>
            <w:tcW w:w="2179" w:type="dxa"/>
          </w:tcPr>
          <w:p w14:paraId="35969488" w14:textId="77777777" w:rsidR="005311A7" w:rsidRDefault="005311A7" w:rsidP="005A4A45">
            <w:pPr>
              <w:ind w:firstLine="0"/>
              <w:jc w:val="center"/>
              <w:rPr>
                <w:color w:val="000000"/>
              </w:rPr>
            </w:pPr>
            <w:r>
              <w:rPr>
                <w:color w:val="000000"/>
              </w:rPr>
              <w:t>21.3</w:t>
            </w:r>
          </w:p>
        </w:tc>
      </w:tr>
      <w:tr w:rsidR="005311A7" w14:paraId="180457D4" w14:textId="77777777" w:rsidTr="004050DB">
        <w:tc>
          <w:tcPr>
            <w:tcW w:w="1843" w:type="dxa"/>
          </w:tcPr>
          <w:p w14:paraId="0F3AE7A2" w14:textId="77777777" w:rsidR="005311A7" w:rsidRDefault="005311A7" w:rsidP="005A4A45">
            <w:pPr>
              <w:ind w:firstLine="0"/>
              <w:rPr>
                <w:color w:val="000000"/>
              </w:rPr>
            </w:pPr>
          </w:p>
        </w:tc>
        <w:tc>
          <w:tcPr>
            <w:tcW w:w="3827" w:type="dxa"/>
          </w:tcPr>
          <w:p w14:paraId="61D4DA16" w14:textId="77777777" w:rsidR="005311A7" w:rsidRDefault="005311A7" w:rsidP="005A4A45">
            <w:pPr>
              <w:ind w:firstLine="0"/>
              <w:jc w:val="center"/>
              <w:rPr>
                <w:color w:val="000000"/>
              </w:rPr>
            </w:pPr>
            <w:r w:rsidRPr="002E2C2A">
              <w:rPr>
                <w:color w:val="000000"/>
              </w:rPr>
              <w:t xml:space="preserve">A-level </w:t>
            </w:r>
            <w:r>
              <w:rPr>
                <w:color w:val="000000"/>
              </w:rPr>
              <w:t>or equivalent</w:t>
            </w:r>
            <w:r w:rsidRPr="002E2C2A">
              <w:rPr>
                <w:color w:val="000000"/>
              </w:rPr>
              <w:t xml:space="preserve"> </w:t>
            </w:r>
          </w:p>
        </w:tc>
        <w:tc>
          <w:tcPr>
            <w:tcW w:w="1500" w:type="dxa"/>
          </w:tcPr>
          <w:p w14:paraId="3DBF6C96" w14:textId="77777777" w:rsidR="005311A7" w:rsidRDefault="005311A7" w:rsidP="005A4A45">
            <w:pPr>
              <w:ind w:firstLine="0"/>
              <w:jc w:val="center"/>
              <w:rPr>
                <w:color w:val="000000"/>
              </w:rPr>
            </w:pPr>
            <w:r>
              <w:rPr>
                <w:color w:val="000000"/>
              </w:rPr>
              <w:t>205</w:t>
            </w:r>
          </w:p>
        </w:tc>
        <w:tc>
          <w:tcPr>
            <w:tcW w:w="2179" w:type="dxa"/>
          </w:tcPr>
          <w:p w14:paraId="73B5943A" w14:textId="77777777" w:rsidR="005311A7" w:rsidRDefault="005311A7" w:rsidP="005A4A45">
            <w:pPr>
              <w:ind w:firstLine="0"/>
              <w:jc w:val="center"/>
              <w:rPr>
                <w:color w:val="000000"/>
              </w:rPr>
            </w:pPr>
            <w:r>
              <w:rPr>
                <w:color w:val="000000"/>
              </w:rPr>
              <w:t>28.7</w:t>
            </w:r>
          </w:p>
        </w:tc>
      </w:tr>
      <w:tr w:rsidR="005311A7" w14:paraId="36333894" w14:textId="77777777" w:rsidTr="004050DB">
        <w:tc>
          <w:tcPr>
            <w:tcW w:w="1843" w:type="dxa"/>
          </w:tcPr>
          <w:p w14:paraId="79AA22EC" w14:textId="77777777" w:rsidR="005311A7" w:rsidRDefault="005311A7" w:rsidP="005A4A45">
            <w:pPr>
              <w:ind w:firstLine="0"/>
              <w:rPr>
                <w:color w:val="000000"/>
              </w:rPr>
            </w:pPr>
          </w:p>
        </w:tc>
        <w:tc>
          <w:tcPr>
            <w:tcW w:w="3827" w:type="dxa"/>
          </w:tcPr>
          <w:p w14:paraId="0F0ABFCF" w14:textId="77777777" w:rsidR="005311A7" w:rsidRDefault="005311A7" w:rsidP="005A4A45">
            <w:pPr>
              <w:ind w:firstLine="0"/>
              <w:jc w:val="center"/>
              <w:rPr>
                <w:color w:val="000000"/>
              </w:rPr>
            </w:pPr>
            <w:r>
              <w:rPr>
                <w:color w:val="000000"/>
              </w:rPr>
              <w:t>Bachelor degree or equivalent</w:t>
            </w:r>
          </w:p>
        </w:tc>
        <w:tc>
          <w:tcPr>
            <w:tcW w:w="1500" w:type="dxa"/>
          </w:tcPr>
          <w:p w14:paraId="2A6D1648" w14:textId="77777777" w:rsidR="005311A7" w:rsidRDefault="005311A7" w:rsidP="005A4A45">
            <w:pPr>
              <w:ind w:firstLine="0"/>
              <w:jc w:val="center"/>
              <w:rPr>
                <w:color w:val="000000"/>
              </w:rPr>
            </w:pPr>
            <w:r>
              <w:rPr>
                <w:color w:val="000000"/>
              </w:rPr>
              <w:t>255</w:t>
            </w:r>
          </w:p>
        </w:tc>
        <w:tc>
          <w:tcPr>
            <w:tcW w:w="2179" w:type="dxa"/>
          </w:tcPr>
          <w:p w14:paraId="35FC96D5" w14:textId="77777777" w:rsidR="005311A7" w:rsidRDefault="005311A7" w:rsidP="005A4A45">
            <w:pPr>
              <w:ind w:firstLine="0"/>
              <w:jc w:val="center"/>
              <w:rPr>
                <w:color w:val="000000"/>
              </w:rPr>
            </w:pPr>
            <w:r>
              <w:rPr>
                <w:color w:val="000000"/>
              </w:rPr>
              <w:t>35.7</w:t>
            </w:r>
          </w:p>
        </w:tc>
      </w:tr>
      <w:tr w:rsidR="005311A7" w14:paraId="67F2B338" w14:textId="77777777" w:rsidTr="004050DB">
        <w:tc>
          <w:tcPr>
            <w:tcW w:w="1843" w:type="dxa"/>
          </w:tcPr>
          <w:p w14:paraId="660E5F61" w14:textId="77777777" w:rsidR="005311A7" w:rsidRDefault="005311A7" w:rsidP="005A4A45">
            <w:pPr>
              <w:ind w:firstLine="0"/>
              <w:rPr>
                <w:color w:val="000000"/>
              </w:rPr>
            </w:pPr>
          </w:p>
        </w:tc>
        <w:tc>
          <w:tcPr>
            <w:tcW w:w="3827" w:type="dxa"/>
          </w:tcPr>
          <w:p w14:paraId="506DEF5E" w14:textId="77777777" w:rsidR="005311A7" w:rsidRDefault="005311A7" w:rsidP="005A4A45">
            <w:pPr>
              <w:ind w:firstLine="0"/>
              <w:jc w:val="center"/>
              <w:rPr>
                <w:color w:val="000000"/>
              </w:rPr>
            </w:pPr>
            <w:proofErr w:type="spellStart"/>
            <w:r>
              <w:rPr>
                <w:color w:val="000000"/>
              </w:rPr>
              <w:t>Masters</w:t>
            </w:r>
            <w:proofErr w:type="spellEnd"/>
            <w:r>
              <w:rPr>
                <w:color w:val="000000"/>
              </w:rPr>
              <w:t xml:space="preserve"> degree or equivalent</w:t>
            </w:r>
          </w:p>
          <w:p w14:paraId="2484CEE7" w14:textId="77777777" w:rsidR="005311A7" w:rsidRDefault="005311A7" w:rsidP="005A4A45">
            <w:pPr>
              <w:ind w:firstLine="0"/>
              <w:jc w:val="center"/>
              <w:rPr>
                <w:color w:val="000000"/>
              </w:rPr>
            </w:pPr>
            <w:r>
              <w:rPr>
                <w:color w:val="000000"/>
              </w:rPr>
              <w:t>PhD or equivalent</w:t>
            </w:r>
          </w:p>
        </w:tc>
        <w:tc>
          <w:tcPr>
            <w:tcW w:w="1500" w:type="dxa"/>
          </w:tcPr>
          <w:p w14:paraId="16024106" w14:textId="77777777" w:rsidR="005311A7" w:rsidRDefault="005311A7" w:rsidP="005A4A45">
            <w:pPr>
              <w:ind w:firstLine="0"/>
              <w:jc w:val="center"/>
              <w:rPr>
                <w:color w:val="000000"/>
              </w:rPr>
            </w:pPr>
            <w:r>
              <w:rPr>
                <w:color w:val="000000"/>
              </w:rPr>
              <w:t>78</w:t>
            </w:r>
          </w:p>
          <w:p w14:paraId="6F853322" w14:textId="77777777" w:rsidR="005311A7" w:rsidRDefault="005311A7" w:rsidP="005A4A45">
            <w:pPr>
              <w:ind w:firstLine="0"/>
              <w:jc w:val="center"/>
              <w:rPr>
                <w:color w:val="000000"/>
              </w:rPr>
            </w:pPr>
            <w:r>
              <w:rPr>
                <w:color w:val="000000"/>
              </w:rPr>
              <w:t>11</w:t>
            </w:r>
          </w:p>
        </w:tc>
        <w:tc>
          <w:tcPr>
            <w:tcW w:w="2179" w:type="dxa"/>
          </w:tcPr>
          <w:p w14:paraId="640782C8" w14:textId="77777777" w:rsidR="005311A7" w:rsidRDefault="005311A7" w:rsidP="005A4A45">
            <w:pPr>
              <w:ind w:firstLine="0"/>
              <w:jc w:val="center"/>
              <w:rPr>
                <w:color w:val="000000"/>
              </w:rPr>
            </w:pPr>
            <w:r>
              <w:rPr>
                <w:color w:val="000000"/>
              </w:rPr>
              <w:t>10.9</w:t>
            </w:r>
          </w:p>
          <w:p w14:paraId="0F310DFF" w14:textId="77777777" w:rsidR="005311A7" w:rsidRDefault="005311A7" w:rsidP="005A4A45">
            <w:pPr>
              <w:ind w:firstLine="0"/>
              <w:jc w:val="center"/>
              <w:rPr>
                <w:color w:val="000000"/>
              </w:rPr>
            </w:pPr>
            <w:r>
              <w:rPr>
                <w:color w:val="000000"/>
              </w:rPr>
              <w:t>1.5</w:t>
            </w:r>
          </w:p>
        </w:tc>
      </w:tr>
      <w:tr w:rsidR="005311A7" w14:paraId="516153AF" w14:textId="77777777" w:rsidTr="004050DB">
        <w:tc>
          <w:tcPr>
            <w:tcW w:w="1843" w:type="dxa"/>
          </w:tcPr>
          <w:p w14:paraId="64D26566" w14:textId="77777777" w:rsidR="005311A7" w:rsidRDefault="005311A7" w:rsidP="00F040BB">
            <w:pPr>
              <w:ind w:firstLine="0"/>
              <w:rPr>
                <w:color w:val="000000"/>
              </w:rPr>
            </w:pPr>
            <w:r>
              <w:rPr>
                <w:color w:val="000000"/>
              </w:rPr>
              <w:t>Income</w:t>
            </w:r>
          </w:p>
        </w:tc>
        <w:tc>
          <w:tcPr>
            <w:tcW w:w="3827" w:type="dxa"/>
          </w:tcPr>
          <w:p w14:paraId="7688F622" w14:textId="77777777" w:rsidR="005311A7" w:rsidRDefault="005311A7" w:rsidP="00F040BB">
            <w:pPr>
              <w:ind w:firstLine="0"/>
              <w:jc w:val="center"/>
              <w:rPr>
                <w:color w:val="000000"/>
              </w:rPr>
            </w:pPr>
            <w:r>
              <w:rPr>
                <w:color w:val="000000"/>
              </w:rPr>
              <w:t xml:space="preserve">Under </w:t>
            </w:r>
            <w:r w:rsidRPr="004050DB">
              <w:rPr>
                <w:color w:val="000000"/>
              </w:rPr>
              <w:t>£18 500</w:t>
            </w:r>
          </w:p>
        </w:tc>
        <w:tc>
          <w:tcPr>
            <w:tcW w:w="1500" w:type="dxa"/>
          </w:tcPr>
          <w:p w14:paraId="7F576EC2" w14:textId="77777777" w:rsidR="005311A7" w:rsidRDefault="005311A7" w:rsidP="00F040BB">
            <w:pPr>
              <w:ind w:firstLine="0"/>
              <w:jc w:val="center"/>
              <w:rPr>
                <w:color w:val="000000"/>
              </w:rPr>
            </w:pPr>
            <w:r w:rsidRPr="00D9293C">
              <w:t>110</w:t>
            </w:r>
          </w:p>
        </w:tc>
        <w:tc>
          <w:tcPr>
            <w:tcW w:w="2179" w:type="dxa"/>
          </w:tcPr>
          <w:p w14:paraId="584104C8" w14:textId="77777777" w:rsidR="005311A7" w:rsidRDefault="005311A7" w:rsidP="00F040BB">
            <w:pPr>
              <w:ind w:firstLine="0"/>
              <w:jc w:val="center"/>
              <w:rPr>
                <w:color w:val="000000"/>
              </w:rPr>
            </w:pPr>
            <w:r w:rsidRPr="00D9293C">
              <w:t>15.4</w:t>
            </w:r>
          </w:p>
        </w:tc>
      </w:tr>
      <w:tr w:rsidR="005311A7" w14:paraId="13CF7C1E" w14:textId="77777777" w:rsidTr="004050DB">
        <w:tc>
          <w:tcPr>
            <w:tcW w:w="1843" w:type="dxa"/>
          </w:tcPr>
          <w:p w14:paraId="1DD4310D" w14:textId="77777777" w:rsidR="005311A7" w:rsidRDefault="005311A7" w:rsidP="00F040BB">
            <w:pPr>
              <w:ind w:firstLine="0"/>
              <w:rPr>
                <w:color w:val="000000"/>
              </w:rPr>
            </w:pPr>
          </w:p>
        </w:tc>
        <w:tc>
          <w:tcPr>
            <w:tcW w:w="3827" w:type="dxa"/>
          </w:tcPr>
          <w:p w14:paraId="706A7658" w14:textId="77777777" w:rsidR="005311A7" w:rsidRDefault="005311A7" w:rsidP="00F040BB">
            <w:pPr>
              <w:ind w:firstLine="0"/>
              <w:jc w:val="center"/>
              <w:rPr>
                <w:color w:val="000000"/>
              </w:rPr>
            </w:pPr>
            <w:r w:rsidRPr="001E0F23">
              <w:rPr>
                <w:color w:val="000000"/>
              </w:rPr>
              <w:t>£18 500</w:t>
            </w:r>
            <w:r>
              <w:rPr>
                <w:color w:val="000000"/>
              </w:rPr>
              <w:t xml:space="preserve"> – 36 999</w:t>
            </w:r>
          </w:p>
        </w:tc>
        <w:tc>
          <w:tcPr>
            <w:tcW w:w="1500" w:type="dxa"/>
          </w:tcPr>
          <w:p w14:paraId="3F4AF7C5" w14:textId="77777777" w:rsidR="005311A7" w:rsidRDefault="005311A7" w:rsidP="00F040BB">
            <w:pPr>
              <w:ind w:firstLine="0"/>
              <w:jc w:val="center"/>
              <w:rPr>
                <w:color w:val="000000"/>
              </w:rPr>
            </w:pPr>
            <w:r w:rsidRPr="00D9293C">
              <w:t>197</w:t>
            </w:r>
          </w:p>
        </w:tc>
        <w:tc>
          <w:tcPr>
            <w:tcW w:w="2179" w:type="dxa"/>
          </w:tcPr>
          <w:p w14:paraId="3A100653" w14:textId="77777777" w:rsidR="005311A7" w:rsidRDefault="005311A7" w:rsidP="00F040BB">
            <w:pPr>
              <w:ind w:firstLine="0"/>
              <w:jc w:val="center"/>
              <w:rPr>
                <w:color w:val="000000"/>
              </w:rPr>
            </w:pPr>
            <w:r w:rsidRPr="00D9293C">
              <w:t>27.6</w:t>
            </w:r>
          </w:p>
        </w:tc>
      </w:tr>
      <w:tr w:rsidR="005311A7" w14:paraId="2B28F302" w14:textId="77777777" w:rsidTr="002E2C2A">
        <w:tc>
          <w:tcPr>
            <w:tcW w:w="1843" w:type="dxa"/>
          </w:tcPr>
          <w:p w14:paraId="19D935D6" w14:textId="77777777" w:rsidR="005311A7" w:rsidRDefault="005311A7" w:rsidP="00F040BB">
            <w:pPr>
              <w:ind w:firstLine="0"/>
              <w:rPr>
                <w:color w:val="000000"/>
              </w:rPr>
            </w:pPr>
          </w:p>
        </w:tc>
        <w:tc>
          <w:tcPr>
            <w:tcW w:w="3827" w:type="dxa"/>
          </w:tcPr>
          <w:p w14:paraId="3CF3094A" w14:textId="77777777" w:rsidR="005311A7" w:rsidRPr="001E0F23" w:rsidRDefault="005311A7" w:rsidP="00F040BB">
            <w:pPr>
              <w:ind w:firstLine="0"/>
              <w:jc w:val="center"/>
              <w:rPr>
                <w:color w:val="000000"/>
              </w:rPr>
            </w:pPr>
            <w:r w:rsidRPr="001E0F23">
              <w:rPr>
                <w:color w:val="000000"/>
              </w:rPr>
              <w:t>£</w:t>
            </w:r>
            <w:r>
              <w:rPr>
                <w:color w:val="000000"/>
              </w:rPr>
              <w:t>37 0</w:t>
            </w:r>
            <w:r w:rsidRPr="001E0F23">
              <w:rPr>
                <w:color w:val="000000"/>
              </w:rPr>
              <w:t>00</w:t>
            </w:r>
            <w:r>
              <w:rPr>
                <w:color w:val="000000"/>
              </w:rPr>
              <w:t xml:space="preserve"> – 55 999</w:t>
            </w:r>
          </w:p>
        </w:tc>
        <w:tc>
          <w:tcPr>
            <w:tcW w:w="1500" w:type="dxa"/>
          </w:tcPr>
          <w:p w14:paraId="52B83EB6" w14:textId="77777777" w:rsidR="005311A7" w:rsidRDefault="005311A7" w:rsidP="00F040BB">
            <w:pPr>
              <w:ind w:firstLine="0"/>
              <w:jc w:val="center"/>
              <w:rPr>
                <w:color w:val="000000"/>
              </w:rPr>
            </w:pPr>
            <w:r w:rsidRPr="00D9293C">
              <w:t>170</w:t>
            </w:r>
          </w:p>
        </w:tc>
        <w:tc>
          <w:tcPr>
            <w:tcW w:w="2179" w:type="dxa"/>
          </w:tcPr>
          <w:p w14:paraId="014ABC5D" w14:textId="77777777" w:rsidR="005311A7" w:rsidRDefault="005311A7" w:rsidP="00F040BB">
            <w:pPr>
              <w:ind w:firstLine="0"/>
              <w:jc w:val="center"/>
              <w:rPr>
                <w:color w:val="000000"/>
              </w:rPr>
            </w:pPr>
            <w:r w:rsidRPr="00D9293C">
              <w:t>23.8</w:t>
            </w:r>
          </w:p>
        </w:tc>
      </w:tr>
      <w:tr w:rsidR="005311A7" w14:paraId="19DF076D" w14:textId="77777777" w:rsidTr="002E2C2A">
        <w:tc>
          <w:tcPr>
            <w:tcW w:w="1843" w:type="dxa"/>
          </w:tcPr>
          <w:p w14:paraId="5CFF688C" w14:textId="77777777" w:rsidR="005311A7" w:rsidRDefault="005311A7" w:rsidP="00F040BB">
            <w:pPr>
              <w:ind w:firstLine="0"/>
              <w:rPr>
                <w:color w:val="000000"/>
              </w:rPr>
            </w:pPr>
          </w:p>
        </w:tc>
        <w:tc>
          <w:tcPr>
            <w:tcW w:w="3827" w:type="dxa"/>
          </w:tcPr>
          <w:p w14:paraId="4D5A9983" w14:textId="77777777" w:rsidR="005311A7" w:rsidRPr="001E0F23" w:rsidRDefault="005311A7" w:rsidP="00F040BB">
            <w:pPr>
              <w:ind w:firstLine="0"/>
              <w:jc w:val="center"/>
              <w:rPr>
                <w:color w:val="000000"/>
              </w:rPr>
            </w:pPr>
            <w:r w:rsidRPr="001E0F23">
              <w:rPr>
                <w:color w:val="000000"/>
              </w:rPr>
              <w:t>£</w:t>
            </w:r>
            <w:r>
              <w:rPr>
                <w:color w:val="000000"/>
              </w:rPr>
              <w:t>56</w:t>
            </w:r>
            <w:r w:rsidRPr="001E0F23">
              <w:rPr>
                <w:color w:val="000000"/>
              </w:rPr>
              <w:t xml:space="preserve"> </w:t>
            </w:r>
            <w:r>
              <w:rPr>
                <w:color w:val="000000"/>
              </w:rPr>
              <w:t>00</w:t>
            </w:r>
            <w:r w:rsidRPr="001E0F23">
              <w:rPr>
                <w:color w:val="000000"/>
              </w:rPr>
              <w:t>0</w:t>
            </w:r>
            <w:r>
              <w:rPr>
                <w:color w:val="000000"/>
              </w:rPr>
              <w:t xml:space="preserve"> – 74 999</w:t>
            </w:r>
          </w:p>
        </w:tc>
        <w:tc>
          <w:tcPr>
            <w:tcW w:w="1500" w:type="dxa"/>
          </w:tcPr>
          <w:p w14:paraId="27C0263C" w14:textId="77777777" w:rsidR="005311A7" w:rsidRDefault="005311A7" w:rsidP="00F040BB">
            <w:pPr>
              <w:ind w:firstLine="0"/>
              <w:jc w:val="center"/>
              <w:rPr>
                <w:color w:val="000000"/>
              </w:rPr>
            </w:pPr>
            <w:r w:rsidRPr="00D9293C">
              <w:t>76</w:t>
            </w:r>
          </w:p>
        </w:tc>
        <w:tc>
          <w:tcPr>
            <w:tcW w:w="2179" w:type="dxa"/>
          </w:tcPr>
          <w:p w14:paraId="11879801" w14:textId="77777777" w:rsidR="005311A7" w:rsidRDefault="005311A7" w:rsidP="00F040BB">
            <w:pPr>
              <w:ind w:firstLine="0"/>
              <w:jc w:val="center"/>
              <w:rPr>
                <w:color w:val="000000"/>
              </w:rPr>
            </w:pPr>
            <w:r w:rsidRPr="00D9293C">
              <w:t>10.6</w:t>
            </w:r>
          </w:p>
        </w:tc>
      </w:tr>
      <w:tr w:rsidR="005311A7" w14:paraId="0997E8ED" w14:textId="77777777" w:rsidTr="002E2C2A">
        <w:tc>
          <w:tcPr>
            <w:tcW w:w="1843" w:type="dxa"/>
          </w:tcPr>
          <w:p w14:paraId="1C2CA8C2" w14:textId="77777777" w:rsidR="005311A7" w:rsidRDefault="005311A7" w:rsidP="00F040BB">
            <w:pPr>
              <w:ind w:firstLine="0"/>
              <w:rPr>
                <w:color w:val="000000"/>
              </w:rPr>
            </w:pPr>
          </w:p>
        </w:tc>
        <w:tc>
          <w:tcPr>
            <w:tcW w:w="3827" w:type="dxa"/>
          </w:tcPr>
          <w:p w14:paraId="7852CAE1" w14:textId="77777777" w:rsidR="005311A7" w:rsidRPr="001E0F23" w:rsidRDefault="005311A7" w:rsidP="00F040BB">
            <w:pPr>
              <w:ind w:firstLine="0"/>
              <w:jc w:val="center"/>
              <w:rPr>
                <w:color w:val="000000"/>
              </w:rPr>
            </w:pPr>
            <w:r w:rsidRPr="001E0F23">
              <w:rPr>
                <w:color w:val="000000"/>
              </w:rPr>
              <w:t>£</w:t>
            </w:r>
            <w:r>
              <w:rPr>
                <w:color w:val="000000"/>
              </w:rPr>
              <w:t>7</w:t>
            </w:r>
            <w:r w:rsidRPr="001E0F23">
              <w:rPr>
                <w:color w:val="000000"/>
              </w:rPr>
              <w:t>5</w:t>
            </w:r>
            <w:r>
              <w:rPr>
                <w:color w:val="000000"/>
              </w:rPr>
              <w:t xml:space="preserve"> 0</w:t>
            </w:r>
            <w:r w:rsidRPr="001E0F23">
              <w:rPr>
                <w:color w:val="000000"/>
              </w:rPr>
              <w:t>00</w:t>
            </w:r>
            <w:r>
              <w:rPr>
                <w:color w:val="000000"/>
              </w:rPr>
              <w:t xml:space="preserve"> – 92 999</w:t>
            </w:r>
          </w:p>
        </w:tc>
        <w:tc>
          <w:tcPr>
            <w:tcW w:w="1500" w:type="dxa"/>
          </w:tcPr>
          <w:p w14:paraId="1B3E009E" w14:textId="77777777" w:rsidR="005311A7" w:rsidRDefault="005311A7" w:rsidP="00F040BB">
            <w:pPr>
              <w:ind w:firstLine="0"/>
              <w:jc w:val="center"/>
              <w:rPr>
                <w:color w:val="000000"/>
              </w:rPr>
            </w:pPr>
            <w:r w:rsidRPr="00D9293C">
              <w:t>71</w:t>
            </w:r>
          </w:p>
        </w:tc>
        <w:tc>
          <w:tcPr>
            <w:tcW w:w="2179" w:type="dxa"/>
          </w:tcPr>
          <w:p w14:paraId="34AA7003" w14:textId="77777777" w:rsidR="005311A7" w:rsidRDefault="005311A7" w:rsidP="00F040BB">
            <w:pPr>
              <w:ind w:firstLine="0"/>
              <w:jc w:val="center"/>
              <w:rPr>
                <w:color w:val="000000"/>
              </w:rPr>
            </w:pPr>
            <w:r w:rsidRPr="00D9293C">
              <w:t>9.9</w:t>
            </w:r>
          </w:p>
        </w:tc>
      </w:tr>
      <w:tr w:rsidR="005311A7" w14:paraId="31EEFD45" w14:textId="77777777" w:rsidTr="002E2C2A">
        <w:tc>
          <w:tcPr>
            <w:tcW w:w="1843" w:type="dxa"/>
          </w:tcPr>
          <w:p w14:paraId="23CF8AAA" w14:textId="77777777" w:rsidR="005311A7" w:rsidRDefault="005311A7" w:rsidP="00F040BB">
            <w:pPr>
              <w:ind w:firstLine="0"/>
              <w:rPr>
                <w:color w:val="000000"/>
              </w:rPr>
            </w:pPr>
          </w:p>
        </w:tc>
        <w:tc>
          <w:tcPr>
            <w:tcW w:w="3827" w:type="dxa"/>
          </w:tcPr>
          <w:p w14:paraId="6C0768EE" w14:textId="77777777" w:rsidR="005311A7" w:rsidRPr="001E0F23" w:rsidRDefault="005311A7" w:rsidP="00F040BB">
            <w:pPr>
              <w:ind w:firstLine="0"/>
              <w:jc w:val="center"/>
              <w:rPr>
                <w:color w:val="000000"/>
              </w:rPr>
            </w:pPr>
            <w:r w:rsidRPr="001E0F23">
              <w:rPr>
                <w:color w:val="000000"/>
              </w:rPr>
              <w:t>£</w:t>
            </w:r>
            <w:r>
              <w:rPr>
                <w:color w:val="000000"/>
              </w:rPr>
              <w:t>93 000 – 111 999</w:t>
            </w:r>
          </w:p>
        </w:tc>
        <w:tc>
          <w:tcPr>
            <w:tcW w:w="1500" w:type="dxa"/>
          </w:tcPr>
          <w:p w14:paraId="7351761B" w14:textId="77777777" w:rsidR="005311A7" w:rsidRDefault="005311A7" w:rsidP="00F040BB">
            <w:pPr>
              <w:ind w:firstLine="0"/>
              <w:jc w:val="center"/>
              <w:rPr>
                <w:color w:val="000000"/>
              </w:rPr>
            </w:pPr>
            <w:r w:rsidRPr="00D9293C">
              <w:t>43</w:t>
            </w:r>
          </w:p>
        </w:tc>
        <w:tc>
          <w:tcPr>
            <w:tcW w:w="2179" w:type="dxa"/>
          </w:tcPr>
          <w:p w14:paraId="172CEF8F" w14:textId="77777777" w:rsidR="005311A7" w:rsidRDefault="005311A7" w:rsidP="00F040BB">
            <w:pPr>
              <w:ind w:firstLine="0"/>
              <w:jc w:val="center"/>
              <w:rPr>
                <w:color w:val="000000"/>
              </w:rPr>
            </w:pPr>
            <w:r w:rsidRPr="00D9293C">
              <w:t>6.0</w:t>
            </w:r>
          </w:p>
        </w:tc>
      </w:tr>
      <w:tr w:rsidR="005311A7" w14:paraId="414D20E0" w14:textId="77777777" w:rsidTr="002E2C2A">
        <w:tc>
          <w:tcPr>
            <w:tcW w:w="1843" w:type="dxa"/>
          </w:tcPr>
          <w:p w14:paraId="3876FC03" w14:textId="77777777" w:rsidR="005311A7" w:rsidRDefault="005311A7" w:rsidP="00F040BB">
            <w:pPr>
              <w:ind w:firstLine="0"/>
              <w:rPr>
                <w:color w:val="000000"/>
              </w:rPr>
            </w:pPr>
          </w:p>
        </w:tc>
        <w:tc>
          <w:tcPr>
            <w:tcW w:w="3827" w:type="dxa"/>
          </w:tcPr>
          <w:p w14:paraId="47AEBE8E" w14:textId="77777777" w:rsidR="005311A7" w:rsidRPr="001E0F23" w:rsidRDefault="005311A7" w:rsidP="00F040BB">
            <w:pPr>
              <w:ind w:firstLine="0"/>
              <w:jc w:val="center"/>
              <w:rPr>
                <w:color w:val="000000"/>
              </w:rPr>
            </w:pPr>
            <w:r w:rsidRPr="001E0F23">
              <w:rPr>
                <w:color w:val="000000"/>
              </w:rPr>
              <w:t>£</w:t>
            </w:r>
            <w:r>
              <w:rPr>
                <w:color w:val="000000"/>
              </w:rPr>
              <w:t>112 000+</w:t>
            </w:r>
          </w:p>
        </w:tc>
        <w:tc>
          <w:tcPr>
            <w:tcW w:w="1500" w:type="dxa"/>
          </w:tcPr>
          <w:p w14:paraId="15D121A9" w14:textId="77777777" w:rsidR="005311A7" w:rsidRDefault="005311A7" w:rsidP="00F040BB">
            <w:pPr>
              <w:ind w:firstLine="0"/>
              <w:jc w:val="center"/>
              <w:rPr>
                <w:color w:val="000000"/>
              </w:rPr>
            </w:pPr>
            <w:r w:rsidRPr="00D9293C">
              <w:t>48</w:t>
            </w:r>
          </w:p>
        </w:tc>
        <w:tc>
          <w:tcPr>
            <w:tcW w:w="2179" w:type="dxa"/>
          </w:tcPr>
          <w:p w14:paraId="1304FC3B" w14:textId="77777777" w:rsidR="005311A7" w:rsidRDefault="005311A7" w:rsidP="00F040BB">
            <w:pPr>
              <w:ind w:firstLine="0"/>
              <w:jc w:val="center"/>
              <w:rPr>
                <w:color w:val="000000"/>
              </w:rPr>
            </w:pPr>
            <w:r w:rsidRPr="00D9293C">
              <w:t>6.7</w:t>
            </w:r>
          </w:p>
        </w:tc>
      </w:tr>
      <w:tr w:rsidR="005311A7" w14:paraId="59D89A5F" w14:textId="77777777" w:rsidTr="004050DB">
        <w:tc>
          <w:tcPr>
            <w:tcW w:w="1843" w:type="dxa"/>
          </w:tcPr>
          <w:p w14:paraId="46F3091E" w14:textId="77777777" w:rsidR="005311A7" w:rsidRDefault="005311A7" w:rsidP="005A4A45">
            <w:pPr>
              <w:spacing w:before="200"/>
              <w:ind w:firstLine="0"/>
              <w:rPr>
                <w:color w:val="000000"/>
              </w:rPr>
            </w:pPr>
            <w:r>
              <w:rPr>
                <w:color w:val="000000"/>
              </w:rPr>
              <w:t>Employment</w:t>
            </w:r>
          </w:p>
        </w:tc>
        <w:tc>
          <w:tcPr>
            <w:tcW w:w="3827" w:type="dxa"/>
          </w:tcPr>
          <w:p w14:paraId="74B19245" w14:textId="77777777" w:rsidR="005311A7" w:rsidRPr="00F040BB" w:rsidRDefault="005311A7" w:rsidP="00F040BB">
            <w:pPr>
              <w:spacing w:before="200"/>
              <w:ind w:firstLine="0"/>
              <w:jc w:val="center"/>
              <w:rPr>
                <w:color w:val="000000"/>
              </w:rPr>
            </w:pPr>
            <w:r w:rsidRPr="00F040BB">
              <w:rPr>
                <w:color w:val="000000"/>
              </w:rPr>
              <w:t xml:space="preserve">Full-time </w:t>
            </w:r>
          </w:p>
          <w:p w14:paraId="5B45611E" w14:textId="77777777" w:rsidR="005311A7" w:rsidRPr="00F040BB" w:rsidRDefault="005311A7" w:rsidP="00F040BB">
            <w:pPr>
              <w:spacing w:before="200"/>
              <w:ind w:firstLine="0"/>
              <w:jc w:val="center"/>
              <w:rPr>
                <w:color w:val="000000"/>
              </w:rPr>
            </w:pPr>
            <w:r w:rsidRPr="00F040BB">
              <w:rPr>
                <w:color w:val="000000"/>
              </w:rPr>
              <w:t xml:space="preserve">Part-time </w:t>
            </w:r>
          </w:p>
          <w:p w14:paraId="0FABA613" w14:textId="77777777" w:rsidR="005311A7" w:rsidRPr="00F040BB" w:rsidRDefault="005311A7" w:rsidP="00F040BB">
            <w:pPr>
              <w:spacing w:before="200"/>
              <w:ind w:firstLine="0"/>
              <w:jc w:val="center"/>
              <w:rPr>
                <w:color w:val="000000"/>
              </w:rPr>
            </w:pPr>
            <w:r w:rsidRPr="00F040BB">
              <w:rPr>
                <w:color w:val="000000"/>
              </w:rPr>
              <w:t>Retired</w:t>
            </w:r>
          </w:p>
          <w:p w14:paraId="470EE924" w14:textId="77777777" w:rsidR="005311A7" w:rsidRPr="00F040BB" w:rsidRDefault="005311A7" w:rsidP="00F040BB">
            <w:pPr>
              <w:spacing w:before="200"/>
              <w:ind w:firstLine="0"/>
              <w:jc w:val="center"/>
              <w:rPr>
                <w:color w:val="000000"/>
              </w:rPr>
            </w:pPr>
            <w:r w:rsidRPr="00F040BB">
              <w:rPr>
                <w:color w:val="000000"/>
              </w:rPr>
              <w:lastRenderedPageBreak/>
              <w:t>Unemployed</w:t>
            </w:r>
            <w:r>
              <w:rPr>
                <w:color w:val="000000"/>
              </w:rPr>
              <w:t xml:space="preserve"> (</w:t>
            </w:r>
            <w:r w:rsidRPr="00F040BB">
              <w:rPr>
                <w:color w:val="000000"/>
              </w:rPr>
              <w:t>looking</w:t>
            </w:r>
            <w:r>
              <w:rPr>
                <w:color w:val="000000"/>
              </w:rPr>
              <w:t>)</w:t>
            </w:r>
            <w:r w:rsidRPr="00F040BB">
              <w:rPr>
                <w:color w:val="000000"/>
              </w:rPr>
              <w:t xml:space="preserve"> </w:t>
            </w:r>
          </w:p>
          <w:p w14:paraId="2212D36F" w14:textId="77777777" w:rsidR="005311A7" w:rsidRPr="00F040BB" w:rsidRDefault="005311A7" w:rsidP="00F040BB">
            <w:pPr>
              <w:spacing w:before="200"/>
              <w:ind w:firstLine="0"/>
              <w:jc w:val="center"/>
              <w:rPr>
                <w:color w:val="000000"/>
              </w:rPr>
            </w:pPr>
            <w:r w:rsidRPr="00F040BB">
              <w:rPr>
                <w:color w:val="000000"/>
              </w:rPr>
              <w:t>Unemployed</w:t>
            </w:r>
            <w:r>
              <w:rPr>
                <w:color w:val="000000"/>
              </w:rPr>
              <w:t xml:space="preserve"> (</w:t>
            </w:r>
            <w:r w:rsidRPr="00F040BB">
              <w:rPr>
                <w:color w:val="000000"/>
              </w:rPr>
              <w:t>not looking</w:t>
            </w:r>
            <w:r>
              <w:rPr>
                <w:color w:val="000000"/>
              </w:rPr>
              <w:t>)</w:t>
            </w:r>
          </w:p>
          <w:p w14:paraId="47461C7F" w14:textId="77777777" w:rsidR="005311A7" w:rsidRPr="00F040BB" w:rsidRDefault="005311A7" w:rsidP="00F040BB">
            <w:pPr>
              <w:spacing w:before="200"/>
              <w:ind w:firstLine="0"/>
              <w:jc w:val="center"/>
              <w:rPr>
                <w:color w:val="000000"/>
              </w:rPr>
            </w:pPr>
            <w:r>
              <w:rPr>
                <w:color w:val="000000"/>
              </w:rPr>
              <w:t>Home keeper/ carer</w:t>
            </w:r>
          </w:p>
          <w:p w14:paraId="67BFFF70" w14:textId="77777777" w:rsidR="005311A7" w:rsidRPr="00F040BB" w:rsidRDefault="005311A7" w:rsidP="00F040BB">
            <w:pPr>
              <w:spacing w:before="200"/>
              <w:ind w:firstLine="0"/>
              <w:jc w:val="center"/>
              <w:rPr>
                <w:color w:val="000000"/>
              </w:rPr>
            </w:pPr>
            <w:r w:rsidRPr="00F040BB">
              <w:rPr>
                <w:color w:val="000000"/>
              </w:rPr>
              <w:t>Disabled</w:t>
            </w:r>
          </w:p>
          <w:p w14:paraId="4BB75A95" w14:textId="77777777" w:rsidR="005311A7" w:rsidRDefault="005311A7" w:rsidP="00F040BB">
            <w:pPr>
              <w:spacing w:before="200"/>
              <w:ind w:firstLine="0"/>
              <w:jc w:val="center"/>
              <w:rPr>
                <w:color w:val="000000"/>
              </w:rPr>
            </w:pPr>
            <w:r>
              <w:rPr>
                <w:color w:val="000000"/>
              </w:rPr>
              <w:t>T</w:t>
            </w:r>
            <w:r w:rsidRPr="00F040BB">
              <w:rPr>
                <w:color w:val="000000"/>
              </w:rPr>
              <w:t>raining</w:t>
            </w:r>
            <w:r>
              <w:rPr>
                <w:color w:val="000000"/>
              </w:rPr>
              <w:t>/school</w:t>
            </w:r>
          </w:p>
        </w:tc>
        <w:tc>
          <w:tcPr>
            <w:tcW w:w="1500" w:type="dxa"/>
          </w:tcPr>
          <w:p w14:paraId="541AD960" w14:textId="77777777" w:rsidR="005311A7" w:rsidRPr="00F040BB" w:rsidRDefault="005311A7" w:rsidP="00F040BB">
            <w:pPr>
              <w:spacing w:before="200"/>
              <w:ind w:firstLine="0"/>
              <w:jc w:val="center"/>
              <w:rPr>
                <w:color w:val="000000"/>
              </w:rPr>
            </w:pPr>
            <w:r w:rsidRPr="00F040BB">
              <w:rPr>
                <w:color w:val="000000"/>
              </w:rPr>
              <w:lastRenderedPageBreak/>
              <w:t>374</w:t>
            </w:r>
          </w:p>
          <w:p w14:paraId="25120A26" w14:textId="77777777" w:rsidR="005311A7" w:rsidRPr="00F040BB" w:rsidRDefault="005311A7" w:rsidP="00F040BB">
            <w:pPr>
              <w:spacing w:before="200"/>
              <w:ind w:firstLine="0"/>
              <w:jc w:val="center"/>
              <w:rPr>
                <w:color w:val="000000"/>
              </w:rPr>
            </w:pPr>
            <w:r w:rsidRPr="00F040BB">
              <w:rPr>
                <w:color w:val="000000"/>
              </w:rPr>
              <w:t>89</w:t>
            </w:r>
          </w:p>
          <w:p w14:paraId="401C1837" w14:textId="77777777" w:rsidR="005311A7" w:rsidRPr="00F040BB" w:rsidRDefault="005311A7" w:rsidP="00F040BB">
            <w:pPr>
              <w:spacing w:before="200"/>
              <w:ind w:firstLine="0"/>
              <w:jc w:val="center"/>
              <w:rPr>
                <w:color w:val="000000"/>
              </w:rPr>
            </w:pPr>
            <w:r w:rsidRPr="00F040BB">
              <w:rPr>
                <w:color w:val="000000"/>
              </w:rPr>
              <w:t>63</w:t>
            </w:r>
          </w:p>
          <w:p w14:paraId="10D9C99B" w14:textId="77777777" w:rsidR="005311A7" w:rsidRPr="00F040BB" w:rsidRDefault="005311A7" w:rsidP="00F040BB">
            <w:pPr>
              <w:spacing w:before="200"/>
              <w:ind w:firstLine="0"/>
              <w:jc w:val="center"/>
              <w:rPr>
                <w:color w:val="000000"/>
              </w:rPr>
            </w:pPr>
            <w:r w:rsidRPr="00F040BB">
              <w:rPr>
                <w:color w:val="000000"/>
              </w:rPr>
              <w:lastRenderedPageBreak/>
              <w:t>23</w:t>
            </w:r>
          </w:p>
          <w:p w14:paraId="0E17E7B3" w14:textId="77777777" w:rsidR="005311A7" w:rsidRPr="00F040BB" w:rsidRDefault="005311A7" w:rsidP="00F040BB">
            <w:pPr>
              <w:spacing w:before="200"/>
              <w:ind w:firstLine="0"/>
              <w:jc w:val="center"/>
              <w:rPr>
                <w:color w:val="000000"/>
              </w:rPr>
            </w:pPr>
            <w:r w:rsidRPr="00F040BB">
              <w:rPr>
                <w:color w:val="000000"/>
              </w:rPr>
              <w:t>57</w:t>
            </w:r>
          </w:p>
          <w:p w14:paraId="46206DD5" w14:textId="77777777" w:rsidR="005311A7" w:rsidRPr="00F040BB" w:rsidRDefault="005311A7" w:rsidP="00F040BB">
            <w:pPr>
              <w:spacing w:before="200"/>
              <w:ind w:firstLine="0"/>
              <w:jc w:val="center"/>
              <w:rPr>
                <w:color w:val="000000"/>
              </w:rPr>
            </w:pPr>
            <w:r w:rsidRPr="00F040BB">
              <w:rPr>
                <w:color w:val="000000"/>
              </w:rPr>
              <w:t>31</w:t>
            </w:r>
          </w:p>
          <w:p w14:paraId="652259DF" w14:textId="77777777" w:rsidR="005311A7" w:rsidRPr="00F040BB" w:rsidRDefault="005311A7" w:rsidP="00F040BB">
            <w:pPr>
              <w:spacing w:before="200"/>
              <w:ind w:firstLine="0"/>
              <w:jc w:val="center"/>
              <w:rPr>
                <w:color w:val="000000"/>
              </w:rPr>
            </w:pPr>
            <w:r w:rsidRPr="00F040BB">
              <w:rPr>
                <w:color w:val="000000"/>
              </w:rPr>
              <w:t>26</w:t>
            </w:r>
          </w:p>
          <w:p w14:paraId="71DEA384" w14:textId="77777777" w:rsidR="005311A7" w:rsidRDefault="005311A7" w:rsidP="00F040BB">
            <w:pPr>
              <w:spacing w:before="200"/>
              <w:ind w:firstLine="0"/>
              <w:jc w:val="center"/>
              <w:rPr>
                <w:color w:val="000000"/>
              </w:rPr>
            </w:pPr>
            <w:r w:rsidRPr="00F040BB">
              <w:rPr>
                <w:color w:val="000000"/>
              </w:rPr>
              <w:t>52</w:t>
            </w:r>
          </w:p>
        </w:tc>
        <w:tc>
          <w:tcPr>
            <w:tcW w:w="2179" w:type="dxa"/>
          </w:tcPr>
          <w:p w14:paraId="0533E130" w14:textId="77777777" w:rsidR="005311A7" w:rsidRPr="00F040BB" w:rsidRDefault="005311A7" w:rsidP="00F040BB">
            <w:pPr>
              <w:spacing w:before="200"/>
              <w:ind w:firstLine="0"/>
              <w:jc w:val="center"/>
              <w:rPr>
                <w:color w:val="000000"/>
              </w:rPr>
            </w:pPr>
            <w:r w:rsidRPr="00F040BB">
              <w:rPr>
                <w:color w:val="000000"/>
              </w:rPr>
              <w:lastRenderedPageBreak/>
              <w:t>52.3</w:t>
            </w:r>
          </w:p>
          <w:p w14:paraId="3252A702" w14:textId="77777777" w:rsidR="005311A7" w:rsidRPr="00F040BB" w:rsidRDefault="005311A7" w:rsidP="00F040BB">
            <w:pPr>
              <w:spacing w:before="200"/>
              <w:ind w:firstLine="0"/>
              <w:jc w:val="center"/>
              <w:rPr>
                <w:color w:val="000000"/>
              </w:rPr>
            </w:pPr>
            <w:r w:rsidRPr="00F040BB">
              <w:rPr>
                <w:color w:val="000000"/>
              </w:rPr>
              <w:t>12.4</w:t>
            </w:r>
          </w:p>
          <w:p w14:paraId="27DDD6E3" w14:textId="77777777" w:rsidR="005311A7" w:rsidRPr="00F040BB" w:rsidRDefault="005311A7" w:rsidP="00F040BB">
            <w:pPr>
              <w:spacing w:before="200"/>
              <w:ind w:firstLine="0"/>
              <w:jc w:val="center"/>
              <w:rPr>
                <w:color w:val="000000"/>
              </w:rPr>
            </w:pPr>
            <w:r w:rsidRPr="00F040BB">
              <w:rPr>
                <w:color w:val="000000"/>
              </w:rPr>
              <w:t>8.8</w:t>
            </w:r>
          </w:p>
          <w:p w14:paraId="0489902B" w14:textId="77777777" w:rsidR="005311A7" w:rsidRPr="00F040BB" w:rsidRDefault="005311A7" w:rsidP="00F040BB">
            <w:pPr>
              <w:spacing w:before="200"/>
              <w:ind w:firstLine="0"/>
              <w:jc w:val="center"/>
              <w:rPr>
                <w:color w:val="000000"/>
              </w:rPr>
            </w:pPr>
            <w:r w:rsidRPr="00F040BB">
              <w:rPr>
                <w:color w:val="000000"/>
              </w:rPr>
              <w:lastRenderedPageBreak/>
              <w:t>3.2</w:t>
            </w:r>
          </w:p>
          <w:p w14:paraId="2C6C82F6" w14:textId="77777777" w:rsidR="005311A7" w:rsidRPr="00F040BB" w:rsidRDefault="005311A7" w:rsidP="00F040BB">
            <w:pPr>
              <w:spacing w:before="200"/>
              <w:ind w:firstLine="0"/>
              <w:jc w:val="center"/>
              <w:rPr>
                <w:color w:val="000000"/>
              </w:rPr>
            </w:pPr>
            <w:r w:rsidRPr="00F040BB">
              <w:rPr>
                <w:color w:val="000000"/>
              </w:rPr>
              <w:t>8.0</w:t>
            </w:r>
          </w:p>
          <w:p w14:paraId="59E8D9D4" w14:textId="77777777" w:rsidR="005311A7" w:rsidRPr="00F040BB" w:rsidRDefault="005311A7" w:rsidP="00F040BB">
            <w:pPr>
              <w:spacing w:before="200"/>
              <w:ind w:firstLine="0"/>
              <w:jc w:val="center"/>
              <w:rPr>
                <w:color w:val="000000"/>
              </w:rPr>
            </w:pPr>
            <w:r w:rsidRPr="00F040BB">
              <w:rPr>
                <w:color w:val="000000"/>
              </w:rPr>
              <w:t>4.3</w:t>
            </w:r>
          </w:p>
          <w:p w14:paraId="54F97846" w14:textId="77777777" w:rsidR="005311A7" w:rsidRPr="00F040BB" w:rsidRDefault="005311A7" w:rsidP="00F040BB">
            <w:pPr>
              <w:spacing w:before="200"/>
              <w:ind w:firstLine="0"/>
              <w:jc w:val="center"/>
              <w:rPr>
                <w:color w:val="000000"/>
              </w:rPr>
            </w:pPr>
            <w:r w:rsidRPr="00F040BB">
              <w:rPr>
                <w:color w:val="000000"/>
              </w:rPr>
              <w:t>3.6</w:t>
            </w:r>
          </w:p>
          <w:p w14:paraId="0188029B" w14:textId="77777777" w:rsidR="005311A7" w:rsidRDefault="005311A7" w:rsidP="00F040BB">
            <w:pPr>
              <w:spacing w:before="200"/>
              <w:ind w:firstLine="0"/>
              <w:jc w:val="center"/>
              <w:rPr>
                <w:color w:val="000000"/>
              </w:rPr>
            </w:pPr>
            <w:r w:rsidRPr="00F040BB">
              <w:rPr>
                <w:color w:val="000000"/>
              </w:rPr>
              <w:t>7.3</w:t>
            </w:r>
          </w:p>
        </w:tc>
      </w:tr>
    </w:tbl>
    <w:p w14:paraId="65A712D7" w14:textId="77777777" w:rsidR="005311A7" w:rsidRDefault="005311A7">
      <w:pPr>
        <w:sectPr w:rsidR="005311A7" w:rsidSect="00910A2C">
          <w:headerReference w:type="default" r:id="rId37"/>
          <w:headerReference w:type="first" r:id="rId38"/>
          <w:pgSz w:w="11906" w:h="16838"/>
          <w:pgMar w:top="1440" w:right="1440" w:bottom="1440" w:left="1440" w:header="708" w:footer="708" w:gutter="0"/>
          <w:pgNumType w:start="1"/>
          <w:cols w:space="708"/>
          <w:docGrid w:linePitch="360"/>
        </w:sectPr>
      </w:pPr>
    </w:p>
    <w:p w14:paraId="558AAFB9" w14:textId="77777777" w:rsidR="005311A7" w:rsidRPr="003D63FE" w:rsidRDefault="005311A7" w:rsidP="00D37E50">
      <w:pPr>
        <w:rPr>
          <w:color w:val="000000" w:themeColor="text1"/>
        </w:rPr>
      </w:pPr>
      <w:r w:rsidRPr="003D63FE">
        <w:rPr>
          <w:b/>
          <w:color w:val="000000" w:themeColor="text1"/>
        </w:rPr>
        <w:lastRenderedPageBreak/>
        <w:t xml:space="preserve">Table </w:t>
      </w:r>
      <w:r>
        <w:rPr>
          <w:b/>
          <w:color w:val="000000" w:themeColor="text1"/>
        </w:rPr>
        <w:t>2</w:t>
      </w:r>
    </w:p>
    <w:p w14:paraId="44844272" w14:textId="77777777" w:rsidR="005311A7" w:rsidRPr="003D63FE" w:rsidRDefault="005311A7" w:rsidP="00D37E50">
      <w:pPr>
        <w:rPr>
          <w:color w:val="000000" w:themeColor="text1"/>
        </w:rPr>
      </w:pPr>
      <w:r>
        <w:rPr>
          <w:i/>
          <w:color w:val="000000" w:themeColor="text1"/>
        </w:rPr>
        <w:t>Time 1</w:t>
      </w:r>
      <w:r w:rsidRPr="003D63FE">
        <w:rPr>
          <w:i/>
          <w:color w:val="000000" w:themeColor="text1"/>
        </w:rPr>
        <w:t xml:space="preserve"> and </w:t>
      </w:r>
      <w:r>
        <w:rPr>
          <w:i/>
          <w:color w:val="000000" w:themeColor="text1"/>
        </w:rPr>
        <w:t>Time 2</w:t>
      </w:r>
      <w:r w:rsidRPr="003D63FE">
        <w:rPr>
          <w:i/>
          <w:color w:val="000000" w:themeColor="text1"/>
        </w:rPr>
        <w:t xml:space="preserve"> Scores for Study Measures </w:t>
      </w:r>
    </w:p>
    <w:tbl>
      <w:tblPr>
        <w:tblW w:w="15380" w:type="dxa"/>
        <w:shd w:val="clear" w:color="auto" w:fill="FFFFFF"/>
        <w:tblCellMar>
          <w:top w:w="200" w:type="dxa"/>
          <w:left w:w="200" w:type="dxa"/>
          <w:right w:w="100" w:type="dxa"/>
        </w:tblCellMar>
        <w:tblLook w:val="04A0" w:firstRow="1" w:lastRow="0" w:firstColumn="1" w:lastColumn="0" w:noHBand="0" w:noVBand="1"/>
      </w:tblPr>
      <w:tblGrid>
        <w:gridCol w:w="2857"/>
        <w:gridCol w:w="1623"/>
        <w:gridCol w:w="1575"/>
        <w:gridCol w:w="1548"/>
        <w:gridCol w:w="1844"/>
        <w:gridCol w:w="1752"/>
        <w:gridCol w:w="1955"/>
        <w:gridCol w:w="2226"/>
      </w:tblGrid>
      <w:tr w:rsidR="005311A7" w:rsidRPr="003D63FE" w14:paraId="52BCE231" w14:textId="77777777" w:rsidTr="00E56351">
        <w:tc>
          <w:tcPr>
            <w:tcW w:w="2857" w:type="dxa"/>
            <w:tcBorders>
              <w:top w:val="single" w:sz="8" w:space="0" w:color="000000"/>
            </w:tcBorders>
            <w:vAlign w:val="bottom"/>
          </w:tcPr>
          <w:p w14:paraId="20F5DB05" w14:textId="77777777" w:rsidR="005311A7" w:rsidRPr="003D63FE" w:rsidRDefault="005311A7" w:rsidP="005A4A45">
            <w:pPr>
              <w:jc w:val="center"/>
              <w:rPr>
                <w:color w:val="000000" w:themeColor="text1"/>
              </w:rPr>
            </w:pPr>
            <w:r w:rsidRPr="003D63FE">
              <w:rPr>
                <w:color w:val="000000" w:themeColor="text1"/>
              </w:rPr>
              <w:t>Study Measure</w:t>
            </w:r>
          </w:p>
        </w:tc>
        <w:tc>
          <w:tcPr>
            <w:tcW w:w="3198" w:type="dxa"/>
            <w:gridSpan w:val="2"/>
            <w:tcBorders>
              <w:top w:val="single" w:sz="8" w:space="0" w:color="000000"/>
              <w:bottom w:val="single" w:sz="8" w:space="0" w:color="000000"/>
            </w:tcBorders>
            <w:vAlign w:val="bottom"/>
          </w:tcPr>
          <w:p w14:paraId="12E00CDC" w14:textId="77777777" w:rsidR="005311A7" w:rsidRPr="003D63FE" w:rsidRDefault="005311A7" w:rsidP="005A4A45">
            <w:pPr>
              <w:jc w:val="center"/>
              <w:rPr>
                <w:color w:val="000000" w:themeColor="text1"/>
              </w:rPr>
            </w:pPr>
            <w:r>
              <w:rPr>
                <w:color w:val="000000" w:themeColor="text1"/>
              </w:rPr>
              <w:t>Time 1</w:t>
            </w:r>
          </w:p>
        </w:tc>
        <w:tc>
          <w:tcPr>
            <w:tcW w:w="3392" w:type="dxa"/>
            <w:gridSpan w:val="2"/>
            <w:tcBorders>
              <w:top w:val="single" w:sz="8" w:space="0" w:color="000000"/>
              <w:bottom w:val="single" w:sz="8" w:space="0" w:color="000000"/>
            </w:tcBorders>
            <w:vAlign w:val="bottom"/>
          </w:tcPr>
          <w:p w14:paraId="385A16AF" w14:textId="77777777" w:rsidR="005311A7" w:rsidRPr="003D63FE" w:rsidRDefault="005311A7" w:rsidP="005A4A45">
            <w:pPr>
              <w:jc w:val="center"/>
              <w:rPr>
                <w:color w:val="000000" w:themeColor="text1"/>
              </w:rPr>
            </w:pPr>
            <w:r>
              <w:rPr>
                <w:color w:val="000000" w:themeColor="text1"/>
              </w:rPr>
              <w:t>Time 2</w:t>
            </w:r>
          </w:p>
        </w:tc>
        <w:tc>
          <w:tcPr>
            <w:tcW w:w="1752" w:type="dxa"/>
            <w:tcBorders>
              <w:top w:val="single" w:sz="8" w:space="0" w:color="000000"/>
            </w:tcBorders>
            <w:vAlign w:val="bottom"/>
          </w:tcPr>
          <w:p w14:paraId="73250B57" w14:textId="77777777" w:rsidR="005311A7" w:rsidRPr="003D63FE" w:rsidRDefault="005311A7" w:rsidP="005A4A45">
            <w:pPr>
              <w:jc w:val="center"/>
              <w:rPr>
                <w:color w:val="000000" w:themeColor="text1"/>
              </w:rPr>
            </w:pPr>
            <w:proofErr w:type="gramStart"/>
            <w:r w:rsidRPr="003D63FE">
              <w:rPr>
                <w:i/>
                <w:color w:val="000000" w:themeColor="text1"/>
              </w:rPr>
              <w:t>t</w:t>
            </w:r>
            <w:r w:rsidRPr="003D63FE">
              <w:rPr>
                <w:color w:val="000000" w:themeColor="text1"/>
              </w:rPr>
              <w:t>(</w:t>
            </w:r>
            <w:proofErr w:type="gramEnd"/>
            <w:r>
              <w:rPr>
                <w:color w:val="000000" w:themeColor="text1"/>
              </w:rPr>
              <w:t>714</w:t>
            </w:r>
            <w:r w:rsidRPr="003D63FE">
              <w:rPr>
                <w:color w:val="000000" w:themeColor="text1"/>
              </w:rPr>
              <w:t>)</w:t>
            </w:r>
          </w:p>
        </w:tc>
        <w:tc>
          <w:tcPr>
            <w:tcW w:w="1955" w:type="dxa"/>
            <w:tcBorders>
              <w:top w:val="single" w:sz="8" w:space="0" w:color="000000"/>
            </w:tcBorders>
            <w:vAlign w:val="bottom"/>
          </w:tcPr>
          <w:p w14:paraId="6F310BA7" w14:textId="77777777" w:rsidR="005311A7" w:rsidRPr="003D63FE" w:rsidRDefault="005311A7" w:rsidP="005A4A45">
            <w:pPr>
              <w:jc w:val="center"/>
              <w:rPr>
                <w:color w:val="000000" w:themeColor="text1"/>
              </w:rPr>
            </w:pPr>
            <w:r w:rsidRPr="003D63FE">
              <w:rPr>
                <w:i/>
                <w:color w:val="000000" w:themeColor="text1"/>
              </w:rPr>
              <w:t>p</w:t>
            </w:r>
          </w:p>
        </w:tc>
        <w:tc>
          <w:tcPr>
            <w:tcW w:w="2226" w:type="dxa"/>
            <w:tcBorders>
              <w:top w:val="single" w:sz="8" w:space="0" w:color="000000"/>
            </w:tcBorders>
            <w:vAlign w:val="bottom"/>
          </w:tcPr>
          <w:p w14:paraId="4798FA08" w14:textId="77777777" w:rsidR="005311A7" w:rsidRPr="003D63FE" w:rsidRDefault="005311A7" w:rsidP="00E56351">
            <w:pPr>
              <w:ind w:firstLine="0"/>
              <w:rPr>
                <w:color w:val="000000" w:themeColor="text1"/>
              </w:rPr>
            </w:pPr>
            <w:r w:rsidRPr="003D63FE">
              <w:rPr>
                <w:color w:val="000000" w:themeColor="text1"/>
              </w:rPr>
              <w:t>Cohen's </w:t>
            </w:r>
            <w:r w:rsidRPr="003D63FE">
              <w:rPr>
                <w:i/>
                <w:color w:val="000000" w:themeColor="text1"/>
              </w:rPr>
              <w:t>d</w:t>
            </w:r>
            <w:r>
              <w:rPr>
                <w:i/>
                <w:color w:val="000000" w:themeColor="text1"/>
              </w:rPr>
              <w:t xml:space="preserve"> </w:t>
            </w:r>
            <w:r w:rsidRPr="003D63FE">
              <w:rPr>
                <w:color w:val="000000" w:themeColor="text1"/>
              </w:rPr>
              <w:t>95%CI</w:t>
            </w:r>
          </w:p>
        </w:tc>
      </w:tr>
      <w:tr w:rsidR="005311A7" w:rsidRPr="003D63FE" w14:paraId="528C3DCE" w14:textId="77777777" w:rsidTr="00E56351">
        <w:tc>
          <w:tcPr>
            <w:tcW w:w="2857" w:type="dxa"/>
            <w:vAlign w:val="bottom"/>
          </w:tcPr>
          <w:p w14:paraId="333E511C" w14:textId="77777777" w:rsidR="005311A7" w:rsidRPr="003D63FE" w:rsidRDefault="005311A7" w:rsidP="005A4A45">
            <w:pPr>
              <w:rPr>
                <w:color w:val="000000" w:themeColor="text1"/>
              </w:rPr>
            </w:pPr>
            <w:r w:rsidRPr="003D63FE">
              <w:rPr>
                <w:color w:val="000000" w:themeColor="text1"/>
              </w:rPr>
              <w:t> </w:t>
            </w:r>
          </w:p>
        </w:tc>
        <w:tc>
          <w:tcPr>
            <w:tcW w:w="1623" w:type="dxa"/>
            <w:vAlign w:val="bottom"/>
          </w:tcPr>
          <w:p w14:paraId="78BA7ACE" w14:textId="77777777" w:rsidR="005311A7" w:rsidRPr="003D63FE" w:rsidRDefault="005311A7" w:rsidP="005A4A45">
            <w:pPr>
              <w:jc w:val="center"/>
              <w:rPr>
                <w:color w:val="000000" w:themeColor="text1"/>
              </w:rPr>
            </w:pPr>
            <w:r w:rsidRPr="003D63FE">
              <w:rPr>
                <w:i/>
                <w:color w:val="000000" w:themeColor="text1"/>
              </w:rPr>
              <w:t>M</w:t>
            </w:r>
          </w:p>
        </w:tc>
        <w:tc>
          <w:tcPr>
            <w:tcW w:w="1575" w:type="dxa"/>
            <w:vAlign w:val="bottom"/>
          </w:tcPr>
          <w:p w14:paraId="250636A9" w14:textId="77777777" w:rsidR="005311A7" w:rsidRPr="003D63FE" w:rsidRDefault="005311A7" w:rsidP="005A4A45">
            <w:pPr>
              <w:jc w:val="center"/>
              <w:rPr>
                <w:color w:val="000000" w:themeColor="text1"/>
              </w:rPr>
            </w:pPr>
            <w:r w:rsidRPr="003D63FE">
              <w:rPr>
                <w:i/>
                <w:color w:val="000000" w:themeColor="text1"/>
              </w:rPr>
              <w:t>SD</w:t>
            </w:r>
          </w:p>
        </w:tc>
        <w:tc>
          <w:tcPr>
            <w:tcW w:w="1548" w:type="dxa"/>
            <w:vAlign w:val="bottom"/>
          </w:tcPr>
          <w:p w14:paraId="7A6BB49A" w14:textId="77777777" w:rsidR="005311A7" w:rsidRPr="003D63FE" w:rsidRDefault="005311A7" w:rsidP="005A4A45">
            <w:pPr>
              <w:jc w:val="center"/>
              <w:rPr>
                <w:color w:val="000000" w:themeColor="text1"/>
              </w:rPr>
            </w:pPr>
            <w:r w:rsidRPr="003D63FE">
              <w:rPr>
                <w:i/>
                <w:color w:val="000000" w:themeColor="text1"/>
              </w:rPr>
              <w:t>M</w:t>
            </w:r>
          </w:p>
        </w:tc>
        <w:tc>
          <w:tcPr>
            <w:tcW w:w="1844" w:type="dxa"/>
            <w:vAlign w:val="bottom"/>
          </w:tcPr>
          <w:p w14:paraId="10FC7587" w14:textId="77777777" w:rsidR="005311A7" w:rsidRPr="003D63FE" w:rsidRDefault="005311A7" w:rsidP="005A4A45">
            <w:pPr>
              <w:jc w:val="center"/>
              <w:rPr>
                <w:color w:val="000000" w:themeColor="text1"/>
              </w:rPr>
            </w:pPr>
            <w:r w:rsidRPr="003D63FE">
              <w:rPr>
                <w:i/>
                <w:color w:val="000000" w:themeColor="text1"/>
              </w:rPr>
              <w:t>SD</w:t>
            </w:r>
          </w:p>
        </w:tc>
        <w:tc>
          <w:tcPr>
            <w:tcW w:w="1752" w:type="dxa"/>
            <w:vAlign w:val="bottom"/>
          </w:tcPr>
          <w:p w14:paraId="40358001" w14:textId="77777777" w:rsidR="005311A7" w:rsidRPr="003D63FE" w:rsidRDefault="005311A7" w:rsidP="005A4A45">
            <w:pPr>
              <w:jc w:val="center"/>
              <w:rPr>
                <w:color w:val="000000" w:themeColor="text1"/>
              </w:rPr>
            </w:pPr>
            <w:r w:rsidRPr="003D63FE">
              <w:rPr>
                <w:color w:val="000000" w:themeColor="text1"/>
              </w:rPr>
              <w:t> </w:t>
            </w:r>
          </w:p>
        </w:tc>
        <w:tc>
          <w:tcPr>
            <w:tcW w:w="1955" w:type="dxa"/>
            <w:vAlign w:val="bottom"/>
          </w:tcPr>
          <w:p w14:paraId="5F7C7689" w14:textId="77777777" w:rsidR="005311A7" w:rsidRPr="003D63FE" w:rsidRDefault="005311A7" w:rsidP="005A4A45">
            <w:pPr>
              <w:jc w:val="center"/>
              <w:rPr>
                <w:color w:val="000000" w:themeColor="text1"/>
              </w:rPr>
            </w:pPr>
            <w:r w:rsidRPr="003D63FE">
              <w:rPr>
                <w:color w:val="000000" w:themeColor="text1"/>
              </w:rPr>
              <w:t> </w:t>
            </w:r>
          </w:p>
        </w:tc>
        <w:tc>
          <w:tcPr>
            <w:tcW w:w="2226" w:type="dxa"/>
            <w:vAlign w:val="bottom"/>
          </w:tcPr>
          <w:p w14:paraId="44DC4D3F" w14:textId="77777777" w:rsidR="005311A7" w:rsidRPr="003D63FE" w:rsidRDefault="005311A7" w:rsidP="00E56351">
            <w:pPr>
              <w:ind w:firstLine="0"/>
              <w:rPr>
                <w:color w:val="000000" w:themeColor="text1"/>
              </w:rPr>
            </w:pPr>
            <w:r w:rsidRPr="003D63FE">
              <w:rPr>
                <w:color w:val="000000" w:themeColor="text1"/>
              </w:rPr>
              <w:t> </w:t>
            </w:r>
          </w:p>
        </w:tc>
      </w:tr>
      <w:tr w:rsidR="005311A7" w:rsidRPr="003D63FE" w14:paraId="527BBCF0" w14:textId="77777777" w:rsidTr="00E56351">
        <w:tc>
          <w:tcPr>
            <w:tcW w:w="2857" w:type="dxa"/>
            <w:tcBorders>
              <w:top w:val="single" w:sz="8" w:space="0" w:color="000000"/>
            </w:tcBorders>
            <w:vAlign w:val="bottom"/>
          </w:tcPr>
          <w:p w14:paraId="692BF275" w14:textId="77777777" w:rsidR="005311A7" w:rsidRPr="003D63FE" w:rsidRDefault="005311A7" w:rsidP="005A4A45">
            <w:pPr>
              <w:rPr>
                <w:color w:val="000000" w:themeColor="text1"/>
              </w:rPr>
            </w:pPr>
            <w:r>
              <w:rPr>
                <w:color w:val="000000" w:themeColor="text1"/>
              </w:rPr>
              <w:t>ISI</w:t>
            </w:r>
          </w:p>
        </w:tc>
        <w:tc>
          <w:tcPr>
            <w:tcW w:w="1623" w:type="dxa"/>
            <w:tcBorders>
              <w:top w:val="single" w:sz="8" w:space="0" w:color="000000"/>
            </w:tcBorders>
            <w:vAlign w:val="bottom"/>
          </w:tcPr>
          <w:p w14:paraId="56015E8D" w14:textId="77777777" w:rsidR="005311A7" w:rsidRPr="003D63FE" w:rsidRDefault="005311A7" w:rsidP="00E56351">
            <w:pPr>
              <w:rPr>
                <w:color w:val="000000" w:themeColor="text1"/>
              </w:rPr>
            </w:pPr>
            <w:r>
              <w:rPr>
                <w:color w:val="000000" w:themeColor="text1"/>
              </w:rPr>
              <w:t>8</w:t>
            </w:r>
            <w:r w:rsidRPr="003D63FE">
              <w:rPr>
                <w:color w:val="000000" w:themeColor="text1"/>
              </w:rPr>
              <w:t>.87</w:t>
            </w:r>
          </w:p>
        </w:tc>
        <w:tc>
          <w:tcPr>
            <w:tcW w:w="1575" w:type="dxa"/>
            <w:tcBorders>
              <w:top w:val="single" w:sz="8" w:space="0" w:color="000000"/>
            </w:tcBorders>
            <w:vAlign w:val="bottom"/>
          </w:tcPr>
          <w:p w14:paraId="0D951E38" w14:textId="77777777" w:rsidR="005311A7" w:rsidRPr="003D63FE" w:rsidRDefault="005311A7" w:rsidP="005A4A45">
            <w:pPr>
              <w:jc w:val="center"/>
              <w:rPr>
                <w:color w:val="000000" w:themeColor="text1"/>
              </w:rPr>
            </w:pPr>
            <w:r w:rsidRPr="003D63FE">
              <w:rPr>
                <w:color w:val="000000" w:themeColor="text1"/>
              </w:rPr>
              <w:t>6.</w:t>
            </w:r>
            <w:r>
              <w:rPr>
                <w:color w:val="000000" w:themeColor="text1"/>
              </w:rPr>
              <w:t>51</w:t>
            </w:r>
          </w:p>
        </w:tc>
        <w:tc>
          <w:tcPr>
            <w:tcW w:w="1548" w:type="dxa"/>
            <w:tcBorders>
              <w:top w:val="single" w:sz="8" w:space="0" w:color="000000"/>
            </w:tcBorders>
            <w:vAlign w:val="bottom"/>
          </w:tcPr>
          <w:p w14:paraId="2CB4F966" w14:textId="77777777" w:rsidR="005311A7" w:rsidRPr="003D63FE" w:rsidRDefault="005311A7" w:rsidP="005A4A45">
            <w:pPr>
              <w:jc w:val="center"/>
              <w:rPr>
                <w:color w:val="000000" w:themeColor="text1"/>
              </w:rPr>
            </w:pPr>
            <w:r>
              <w:rPr>
                <w:color w:val="000000" w:themeColor="text1"/>
              </w:rPr>
              <w:t>8</w:t>
            </w:r>
            <w:r w:rsidRPr="003D63FE">
              <w:rPr>
                <w:color w:val="000000" w:themeColor="text1"/>
              </w:rPr>
              <w:t>.5</w:t>
            </w:r>
            <w:r>
              <w:rPr>
                <w:color w:val="000000" w:themeColor="text1"/>
              </w:rPr>
              <w:t>9</w:t>
            </w:r>
          </w:p>
        </w:tc>
        <w:tc>
          <w:tcPr>
            <w:tcW w:w="1844" w:type="dxa"/>
            <w:tcBorders>
              <w:top w:val="single" w:sz="8" w:space="0" w:color="000000"/>
            </w:tcBorders>
            <w:vAlign w:val="bottom"/>
          </w:tcPr>
          <w:p w14:paraId="35D09A98" w14:textId="77777777" w:rsidR="005311A7" w:rsidRPr="003D63FE" w:rsidRDefault="005311A7" w:rsidP="005A4A45">
            <w:pPr>
              <w:jc w:val="center"/>
              <w:rPr>
                <w:color w:val="000000" w:themeColor="text1"/>
              </w:rPr>
            </w:pPr>
            <w:r w:rsidRPr="003D63FE">
              <w:rPr>
                <w:color w:val="000000" w:themeColor="text1"/>
              </w:rPr>
              <w:t>6.</w:t>
            </w:r>
            <w:r>
              <w:rPr>
                <w:color w:val="000000" w:themeColor="text1"/>
              </w:rPr>
              <w:t>43</w:t>
            </w:r>
          </w:p>
        </w:tc>
        <w:tc>
          <w:tcPr>
            <w:tcW w:w="1752" w:type="dxa"/>
            <w:tcBorders>
              <w:top w:val="single" w:sz="8" w:space="0" w:color="000000"/>
            </w:tcBorders>
            <w:vAlign w:val="bottom"/>
          </w:tcPr>
          <w:p w14:paraId="1EC77936" w14:textId="77777777" w:rsidR="005311A7" w:rsidRPr="003D63FE" w:rsidRDefault="005311A7" w:rsidP="005A4A45">
            <w:pPr>
              <w:jc w:val="center"/>
              <w:rPr>
                <w:color w:val="000000" w:themeColor="text1"/>
              </w:rPr>
            </w:pPr>
            <w:r w:rsidRPr="003D63FE">
              <w:rPr>
                <w:color w:val="000000" w:themeColor="text1"/>
              </w:rPr>
              <w:t>1.885</w:t>
            </w:r>
          </w:p>
        </w:tc>
        <w:tc>
          <w:tcPr>
            <w:tcW w:w="1955" w:type="dxa"/>
            <w:tcBorders>
              <w:top w:val="single" w:sz="8" w:space="0" w:color="000000"/>
            </w:tcBorders>
            <w:vAlign w:val="bottom"/>
          </w:tcPr>
          <w:p w14:paraId="6581C4BD"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88</w:t>
            </w:r>
          </w:p>
        </w:tc>
        <w:tc>
          <w:tcPr>
            <w:tcW w:w="2226" w:type="dxa"/>
            <w:tcBorders>
              <w:top w:val="single" w:sz="8" w:space="0" w:color="000000"/>
            </w:tcBorders>
            <w:vAlign w:val="bottom"/>
          </w:tcPr>
          <w:p w14:paraId="3E65625F" w14:textId="77777777" w:rsidR="005311A7" w:rsidRPr="003D63FE" w:rsidRDefault="005311A7" w:rsidP="00E56351">
            <w:pPr>
              <w:ind w:firstLine="0"/>
              <w:rPr>
                <w:color w:val="000000" w:themeColor="text1"/>
              </w:rPr>
            </w:pPr>
            <w:r w:rsidRPr="003D63FE">
              <w:rPr>
                <w:color w:val="000000" w:themeColor="text1"/>
              </w:rPr>
              <w:t>-.0</w:t>
            </w:r>
            <w:r>
              <w:rPr>
                <w:color w:val="000000" w:themeColor="text1"/>
              </w:rPr>
              <w:t>1</w:t>
            </w:r>
            <w:r w:rsidRPr="003D63FE">
              <w:rPr>
                <w:color w:val="000000" w:themeColor="text1"/>
              </w:rPr>
              <w:t>0, .1</w:t>
            </w:r>
            <w:r>
              <w:rPr>
                <w:color w:val="000000" w:themeColor="text1"/>
              </w:rPr>
              <w:t>37</w:t>
            </w:r>
          </w:p>
        </w:tc>
      </w:tr>
      <w:tr w:rsidR="005311A7" w:rsidRPr="003D63FE" w14:paraId="49E9D0A5" w14:textId="77777777" w:rsidTr="00E56351">
        <w:tc>
          <w:tcPr>
            <w:tcW w:w="2857" w:type="dxa"/>
            <w:vAlign w:val="bottom"/>
          </w:tcPr>
          <w:p w14:paraId="700C28A3" w14:textId="77777777" w:rsidR="005311A7" w:rsidRPr="003D63FE" w:rsidRDefault="005311A7" w:rsidP="005A4A45">
            <w:pPr>
              <w:rPr>
                <w:color w:val="000000" w:themeColor="text1"/>
              </w:rPr>
            </w:pPr>
            <w:r w:rsidRPr="003D63FE">
              <w:rPr>
                <w:color w:val="000000" w:themeColor="text1"/>
              </w:rPr>
              <w:t>DASS- Anxiety</w:t>
            </w:r>
          </w:p>
        </w:tc>
        <w:tc>
          <w:tcPr>
            <w:tcW w:w="1623" w:type="dxa"/>
            <w:vAlign w:val="bottom"/>
          </w:tcPr>
          <w:p w14:paraId="1D7FF32C" w14:textId="77777777" w:rsidR="005311A7" w:rsidRPr="003D63FE" w:rsidRDefault="005311A7" w:rsidP="00E56351">
            <w:pPr>
              <w:rPr>
                <w:color w:val="000000" w:themeColor="text1"/>
              </w:rPr>
            </w:pPr>
            <w:r w:rsidRPr="003D63FE">
              <w:rPr>
                <w:color w:val="000000" w:themeColor="text1"/>
              </w:rPr>
              <w:t>4.</w:t>
            </w:r>
            <w:r>
              <w:rPr>
                <w:color w:val="000000" w:themeColor="text1"/>
              </w:rPr>
              <w:t>69</w:t>
            </w:r>
          </w:p>
        </w:tc>
        <w:tc>
          <w:tcPr>
            <w:tcW w:w="1575" w:type="dxa"/>
            <w:vAlign w:val="bottom"/>
          </w:tcPr>
          <w:p w14:paraId="50A09F7F" w14:textId="77777777" w:rsidR="005311A7" w:rsidRPr="003D63FE" w:rsidRDefault="005311A7" w:rsidP="005A4A45">
            <w:pPr>
              <w:jc w:val="center"/>
              <w:rPr>
                <w:color w:val="000000" w:themeColor="text1"/>
              </w:rPr>
            </w:pPr>
            <w:r w:rsidRPr="003D63FE">
              <w:rPr>
                <w:color w:val="000000" w:themeColor="text1"/>
              </w:rPr>
              <w:t>4.</w:t>
            </w:r>
            <w:r>
              <w:rPr>
                <w:color w:val="000000" w:themeColor="text1"/>
              </w:rPr>
              <w:t>86</w:t>
            </w:r>
          </w:p>
        </w:tc>
        <w:tc>
          <w:tcPr>
            <w:tcW w:w="1548" w:type="dxa"/>
            <w:vAlign w:val="bottom"/>
          </w:tcPr>
          <w:p w14:paraId="3D13B409" w14:textId="77777777" w:rsidR="005311A7" w:rsidRPr="003D63FE" w:rsidRDefault="005311A7" w:rsidP="005A4A45">
            <w:pPr>
              <w:jc w:val="center"/>
              <w:rPr>
                <w:color w:val="000000" w:themeColor="text1"/>
              </w:rPr>
            </w:pPr>
            <w:r>
              <w:rPr>
                <w:color w:val="000000" w:themeColor="text1"/>
              </w:rPr>
              <w:t>5</w:t>
            </w:r>
            <w:r w:rsidRPr="003D63FE">
              <w:rPr>
                <w:color w:val="000000" w:themeColor="text1"/>
              </w:rPr>
              <w:t>.</w:t>
            </w:r>
            <w:r>
              <w:rPr>
                <w:color w:val="000000" w:themeColor="text1"/>
              </w:rPr>
              <w:t>20</w:t>
            </w:r>
          </w:p>
        </w:tc>
        <w:tc>
          <w:tcPr>
            <w:tcW w:w="1844" w:type="dxa"/>
            <w:vAlign w:val="bottom"/>
          </w:tcPr>
          <w:p w14:paraId="37EEA280" w14:textId="77777777" w:rsidR="005311A7" w:rsidRPr="003D63FE" w:rsidRDefault="005311A7" w:rsidP="005A4A45">
            <w:pPr>
              <w:jc w:val="center"/>
              <w:rPr>
                <w:color w:val="000000" w:themeColor="text1"/>
              </w:rPr>
            </w:pPr>
            <w:r>
              <w:rPr>
                <w:color w:val="000000" w:themeColor="text1"/>
              </w:rPr>
              <w:t>5</w:t>
            </w:r>
            <w:r w:rsidRPr="003D63FE">
              <w:rPr>
                <w:color w:val="000000" w:themeColor="text1"/>
              </w:rPr>
              <w:t>.</w:t>
            </w:r>
            <w:r>
              <w:rPr>
                <w:color w:val="000000" w:themeColor="text1"/>
              </w:rPr>
              <w:t>0</w:t>
            </w:r>
            <w:r w:rsidRPr="003D63FE">
              <w:rPr>
                <w:color w:val="000000" w:themeColor="text1"/>
              </w:rPr>
              <w:t>3</w:t>
            </w:r>
          </w:p>
        </w:tc>
        <w:tc>
          <w:tcPr>
            <w:tcW w:w="1752" w:type="dxa"/>
            <w:vAlign w:val="bottom"/>
          </w:tcPr>
          <w:p w14:paraId="58DCCB2F" w14:textId="77777777" w:rsidR="005311A7" w:rsidRPr="003D63FE" w:rsidRDefault="005311A7" w:rsidP="00E56351">
            <w:pPr>
              <w:jc w:val="both"/>
              <w:rPr>
                <w:color w:val="000000" w:themeColor="text1"/>
              </w:rPr>
            </w:pPr>
            <w:r>
              <w:rPr>
                <w:color w:val="000000" w:themeColor="text1"/>
              </w:rPr>
              <w:t>-2.580</w:t>
            </w:r>
          </w:p>
        </w:tc>
        <w:tc>
          <w:tcPr>
            <w:tcW w:w="1955" w:type="dxa"/>
            <w:vAlign w:val="bottom"/>
          </w:tcPr>
          <w:p w14:paraId="296BBD3E" w14:textId="77777777" w:rsidR="005311A7" w:rsidRPr="003D63FE" w:rsidRDefault="005311A7" w:rsidP="005A4A45">
            <w:pPr>
              <w:jc w:val="center"/>
              <w:rPr>
                <w:color w:val="000000" w:themeColor="text1"/>
              </w:rPr>
            </w:pPr>
            <w:r w:rsidRPr="003D63FE">
              <w:rPr>
                <w:color w:val="000000" w:themeColor="text1"/>
              </w:rPr>
              <w:t>.01</w:t>
            </w:r>
            <w:r>
              <w:rPr>
                <w:color w:val="000000" w:themeColor="text1"/>
              </w:rPr>
              <w:t>0</w:t>
            </w:r>
          </w:p>
        </w:tc>
        <w:tc>
          <w:tcPr>
            <w:tcW w:w="2226" w:type="dxa"/>
            <w:vAlign w:val="bottom"/>
          </w:tcPr>
          <w:p w14:paraId="2547ADF8" w14:textId="77777777" w:rsidR="005311A7" w:rsidRPr="003D63FE" w:rsidRDefault="005311A7" w:rsidP="00E56351">
            <w:pPr>
              <w:ind w:firstLine="0"/>
              <w:rPr>
                <w:color w:val="000000" w:themeColor="text1"/>
              </w:rPr>
            </w:pPr>
            <w:r>
              <w:rPr>
                <w:color w:val="000000" w:themeColor="text1"/>
              </w:rPr>
              <w:t>-.170</w:t>
            </w:r>
            <w:r w:rsidRPr="003D63FE">
              <w:rPr>
                <w:color w:val="000000" w:themeColor="text1"/>
              </w:rPr>
              <w:t xml:space="preserve">, </w:t>
            </w:r>
            <w:r>
              <w:rPr>
                <w:color w:val="000000" w:themeColor="text1"/>
              </w:rPr>
              <w:t>-.023</w:t>
            </w:r>
          </w:p>
        </w:tc>
      </w:tr>
      <w:tr w:rsidR="005311A7" w:rsidRPr="003D63FE" w14:paraId="11EAEBA0" w14:textId="77777777" w:rsidTr="00E56351">
        <w:tc>
          <w:tcPr>
            <w:tcW w:w="2857" w:type="dxa"/>
            <w:vAlign w:val="bottom"/>
          </w:tcPr>
          <w:p w14:paraId="29F623B5" w14:textId="77777777" w:rsidR="005311A7" w:rsidRPr="003D63FE" w:rsidRDefault="005311A7" w:rsidP="005A4A45">
            <w:pPr>
              <w:rPr>
                <w:color w:val="000000" w:themeColor="text1"/>
              </w:rPr>
            </w:pPr>
            <w:r w:rsidRPr="003D63FE">
              <w:rPr>
                <w:color w:val="000000" w:themeColor="text1"/>
              </w:rPr>
              <w:t>DASS-Depression</w:t>
            </w:r>
          </w:p>
        </w:tc>
        <w:tc>
          <w:tcPr>
            <w:tcW w:w="1623" w:type="dxa"/>
            <w:vAlign w:val="bottom"/>
          </w:tcPr>
          <w:p w14:paraId="62C4A175" w14:textId="77777777" w:rsidR="005311A7" w:rsidRPr="003D63FE" w:rsidRDefault="005311A7" w:rsidP="00E56351">
            <w:pPr>
              <w:rPr>
                <w:color w:val="000000" w:themeColor="text1"/>
              </w:rPr>
            </w:pPr>
            <w:r>
              <w:rPr>
                <w:color w:val="000000" w:themeColor="text1"/>
              </w:rPr>
              <w:t>6</w:t>
            </w:r>
            <w:r w:rsidRPr="003D63FE">
              <w:rPr>
                <w:color w:val="000000" w:themeColor="text1"/>
              </w:rPr>
              <w:t>.</w:t>
            </w:r>
            <w:r>
              <w:rPr>
                <w:color w:val="000000" w:themeColor="text1"/>
              </w:rPr>
              <w:t>1</w:t>
            </w:r>
            <w:r w:rsidRPr="003D63FE">
              <w:rPr>
                <w:color w:val="000000" w:themeColor="text1"/>
              </w:rPr>
              <w:t>5</w:t>
            </w:r>
          </w:p>
        </w:tc>
        <w:tc>
          <w:tcPr>
            <w:tcW w:w="1575" w:type="dxa"/>
            <w:vAlign w:val="bottom"/>
          </w:tcPr>
          <w:p w14:paraId="2C72E304" w14:textId="77777777" w:rsidR="005311A7" w:rsidRPr="003D63FE" w:rsidRDefault="005311A7" w:rsidP="005A4A45">
            <w:pPr>
              <w:jc w:val="center"/>
              <w:rPr>
                <w:color w:val="000000" w:themeColor="text1"/>
              </w:rPr>
            </w:pPr>
            <w:r>
              <w:rPr>
                <w:color w:val="000000" w:themeColor="text1"/>
              </w:rPr>
              <w:t>6</w:t>
            </w:r>
            <w:r w:rsidRPr="003D63FE">
              <w:rPr>
                <w:color w:val="000000" w:themeColor="text1"/>
              </w:rPr>
              <w:t>.</w:t>
            </w:r>
            <w:r>
              <w:rPr>
                <w:color w:val="000000" w:themeColor="text1"/>
              </w:rPr>
              <w:t>0</w:t>
            </w:r>
            <w:r w:rsidRPr="003D63FE">
              <w:rPr>
                <w:color w:val="000000" w:themeColor="text1"/>
              </w:rPr>
              <w:t>7</w:t>
            </w:r>
          </w:p>
        </w:tc>
        <w:tc>
          <w:tcPr>
            <w:tcW w:w="1548" w:type="dxa"/>
            <w:vAlign w:val="bottom"/>
          </w:tcPr>
          <w:p w14:paraId="4E7BDE4E" w14:textId="77777777" w:rsidR="005311A7" w:rsidRPr="003D63FE" w:rsidRDefault="005311A7" w:rsidP="005A4A45">
            <w:pPr>
              <w:jc w:val="center"/>
              <w:rPr>
                <w:color w:val="000000" w:themeColor="text1"/>
              </w:rPr>
            </w:pPr>
            <w:r>
              <w:rPr>
                <w:color w:val="000000" w:themeColor="text1"/>
              </w:rPr>
              <w:t>6</w:t>
            </w:r>
            <w:r w:rsidRPr="003D63FE">
              <w:rPr>
                <w:color w:val="000000" w:themeColor="text1"/>
              </w:rPr>
              <w:t>.</w:t>
            </w:r>
            <w:r>
              <w:rPr>
                <w:color w:val="000000" w:themeColor="text1"/>
              </w:rPr>
              <w:t>47</w:t>
            </w:r>
          </w:p>
        </w:tc>
        <w:tc>
          <w:tcPr>
            <w:tcW w:w="1844" w:type="dxa"/>
            <w:vAlign w:val="bottom"/>
          </w:tcPr>
          <w:p w14:paraId="010C259D" w14:textId="77777777" w:rsidR="005311A7" w:rsidRPr="003D63FE" w:rsidRDefault="005311A7" w:rsidP="005A4A45">
            <w:pPr>
              <w:jc w:val="center"/>
              <w:rPr>
                <w:color w:val="000000" w:themeColor="text1"/>
              </w:rPr>
            </w:pPr>
            <w:r w:rsidRPr="003D63FE">
              <w:rPr>
                <w:color w:val="000000" w:themeColor="text1"/>
              </w:rPr>
              <w:t>5.</w:t>
            </w:r>
            <w:r>
              <w:rPr>
                <w:color w:val="000000" w:themeColor="text1"/>
              </w:rPr>
              <w:t>88</w:t>
            </w:r>
          </w:p>
        </w:tc>
        <w:tc>
          <w:tcPr>
            <w:tcW w:w="1752" w:type="dxa"/>
            <w:vAlign w:val="bottom"/>
          </w:tcPr>
          <w:p w14:paraId="4A0BB241" w14:textId="77777777" w:rsidR="005311A7" w:rsidRPr="003D63FE" w:rsidRDefault="005311A7" w:rsidP="005A4A45">
            <w:pPr>
              <w:jc w:val="center"/>
              <w:rPr>
                <w:color w:val="000000" w:themeColor="text1"/>
              </w:rPr>
            </w:pPr>
            <w:r>
              <w:rPr>
                <w:color w:val="000000" w:themeColor="text1"/>
              </w:rPr>
              <w:t>-1.573</w:t>
            </w:r>
          </w:p>
        </w:tc>
        <w:tc>
          <w:tcPr>
            <w:tcW w:w="1955" w:type="dxa"/>
            <w:vAlign w:val="bottom"/>
          </w:tcPr>
          <w:p w14:paraId="3DC246A0" w14:textId="77777777" w:rsidR="005311A7" w:rsidRPr="003D63FE" w:rsidRDefault="005311A7" w:rsidP="005A4A45">
            <w:pPr>
              <w:jc w:val="center"/>
              <w:rPr>
                <w:color w:val="000000" w:themeColor="text1"/>
              </w:rPr>
            </w:pPr>
            <w:r>
              <w:rPr>
                <w:color w:val="000000" w:themeColor="text1"/>
              </w:rPr>
              <w:t>.116</w:t>
            </w:r>
          </w:p>
        </w:tc>
        <w:tc>
          <w:tcPr>
            <w:tcW w:w="2226" w:type="dxa"/>
            <w:vAlign w:val="bottom"/>
          </w:tcPr>
          <w:p w14:paraId="611C335A" w14:textId="77777777" w:rsidR="005311A7" w:rsidRPr="003D63FE" w:rsidRDefault="005311A7" w:rsidP="00E56351">
            <w:pPr>
              <w:ind w:firstLine="0"/>
              <w:rPr>
                <w:color w:val="000000" w:themeColor="text1"/>
              </w:rPr>
            </w:pPr>
            <w:r>
              <w:rPr>
                <w:color w:val="000000" w:themeColor="text1"/>
              </w:rPr>
              <w:t>-</w:t>
            </w:r>
            <w:r w:rsidRPr="003D63FE">
              <w:rPr>
                <w:color w:val="000000" w:themeColor="text1"/>
              </w:rPr>
              <w:t>.</w:t>
            </w:r>
            <w:r>
              <w:rPr>
                <w:color w:val="000000" w:themeColor="text1"/>
              </w:rPr>
              <w:t>023</w:t>
            </w:r>
            <w:r w:rsidRPr="003D63FE">
              <w:rPr>
                <w:color w:val="000000" w:themeColor="text1"/>
              </w:rPr>
              <w:t>, .</w:t>
            </w:r>
            <w:r>
              <w:rPr>
                <w:color w:val="000000" w:themeColor="text1"/>
              </w:rPr>
              <w:t>015</w:t>
            </w:r>
          </w:p>
        </w:tc>
      </w:tr>
      <w:tr w:rsidR="005311A7" w:rsidRPr="003D63FE" w14:paraId="61C4124E" w14:textId="77777777" w:rsidTr="00E56351">
        <w:tc>
          <w:tcPr>
            <w:tcW w:w="2857" w:type="dxa"/>
            <w:vAlign w:val="bottom"/>
          </w:tcPr>
          <w:p w14:paraId="7C5E0A20" w14:textId="77777777" w:rsidR="005311A7" w:rsidRPr="003D63FE" w:rsidRDefault="005311A7" w:rsidP="005A4A45">
            <w:pPr>
              <w:rPr>
                <w:color w:val="000000" w:themeColor="text1"/>
              </w:rPr>
            </w:pPr>
            <w:r w:rsidRPr="003D63FE">
              <w:rPr>
                <w:color w:val="000000" w:themeColor="text1"/>
              </w:rPr>
              <w:t>PSWQ-3</w:t>
            </w:r>
          </w:p>
        </w:tc>
        <w:tc>
          <w:tcPr>
            <w:tcW w:w="1623" w:type="dxa"/>
            <w:vAlign w:val="bottom"/>
          </w:tcPr>
          <w:p w14:paraId="3EB765E3" w14:textId="77777777" w:rsidR="005311A7" w:rsidRPr="003D63FE" w:rsidRDefault="005311A7" w:rsidP="00E56351">
            <w:pPr>
              <w:rPr>
                <w:color w:val="000000" w:themeColor="text1"/>
              </w:rPr>
            </w:pPr>
            <w:r w:rsidRPr="003D63FE">
              <w:rPr>
                <w:color w:val="000000" w:themeColor="text1"/>
              </w:rPr>
              <w:t>7.8</w:t>
            </w:r>
            <w:r>
              <w:rPr>
                <w:color w:val="000000" w:themeColor="text1"/>
              </w:rPr>
              <w:t>3</w:t>
            </w:r>
          </w:p>
        </w:tc>
        <w:tc>
          <w:tcPr>
            <w:tcW w:w="1575" w:type="dxa"/>
            <w:vAlign w:val="bottom"/>
          </w:tcPr>
          <w:p w14:paraId="1CCC7D79" w14:textId="77777777" w:rsidR="005311A7" w:rsidRPr="003D63FE" w:rsidRDefault="005311A7" w:rsidP="005A4A45">
            <w:pPr>
              <w:jc w:val="center"/>
              <w:rPr>
                <w:color w:val="000000" w:themeColor="text1"/>
              </w:rPr>
            </w:pPr>
            <w:r w:rsidRPr="003D63FE">
              <w:rPr>
                <w:color w:val="000000" w:themeColor="text1"/>
              </w:rPr>
              <w:t>3.51</w:t>
            </w:r>
          </w:p>
        </w:tc>
        <w:tc>
          <w:tcPr>
            <w:tcW w:w="1548" w:type="dxa"/>
            <w:vAlign w:val="bottom"/>
          </w:tcPr>
          <w:p w14:paraId="6BF653C9" w14:textId="77777777" w:rsidR="005311A7" w:rsidRPr="003D63FE" w:rsidRDefault="005311A7" w:rsidP="005A4A45">
            <w:pPr>
              <w:jc w:val="center"/>
              <w:rPr>
                <w:color w:val="000000" w:themeColor="text1"/>
              </w:rPr>
            </w:pPr>
            <w:r w:rsidRPr="003D63FE">
              <w:rPr>
                <w:color w:val="000000" w:themeColor="text1"/>
              </w:rPr>
              <w:t>7.</w:t>
            </w:r>
            <w:r>
              <w:rPr>
                <w:color w:val="000000" w:themeColor="text1"/>
              </w:rPr>
              <w:t>48</w:t>
            </w:r>
          </w:p>
        </w:tc>
        <w:tc>
          <w:tcPr>
            <w:tcW w:w="1844" w:type="dxa"/>
            <w:vAlign w:val="bottom"/>
          </w:tcPr>
          <w:p w14:paraId="63F93523" w14:textId="77777777" w:rsidR="005311A7" w:rsidRPr="003D63FE" w:rsidRDefault="005311A7" w:rsidP="005A4A45">
            <w:pPr>
              <w:jc w:val="center"/>
              <w:rPr>
                <w:color w:val="000000" w:themeColor="text1"/>
              </w:rPr>
            </w:pPr>
            <w:r w:rsidRPr="003D63FE">
              <w:rPr>
                <w:color w:val="000000" w:themeColor="text1"/>
              </w:rPr>
              <w:t>3.52</w:t>
            </w:r>
          </w:p>
        </w:tc>
        <w:tc>
          <w:tcPr>
            <w:tcW w:w="1752" w:type="dxa"/>
            <w:vAlign w:val="bottom"/>
          </w:tcPr>
          <w:p w14:paraId="6A7867F0" w14:textId="77777777" w:rsidR="005311A7" w:rsidRPr="003D63FE" w:rsidRDefault="005311A7" w:rsidP="005A4A45">
            <w:pPr>
              <w:jc w:val="center"/>
              <w:rPr>
                <w:color w:val="000000" w:themeColor="text1"/>
              </w:rPr>
            </w:pPr>
            <w:r w:rsidRPr="003D63FE">
              <w:rPr>
                <w:color w:val="000000" w:themeColor="text1"/>
              </w:rPr>
              <w:t>3.</w:t>
            </w:r>
            <w:r>
              <w:rPr>
                <w:color w:val="000000" w:themeColor="text1"/>
              </w:rPr>
              <w:t>770</w:t>
            </w:r>
          </w:p>
        </w:tc>
        <w:tc>
          <w:tcPr>
            <w:tcW w:w="1955" w:type="dxa"/>
            <w:vAlign w:val="bottom"/>
          </w:tcPr>
          <w:p w14:paraId="2838556E" w14:textId="77777777" w:rsidR="005311A7" w:rsidRPr="003D63FE" w:rsidRDefault="005311A7" w:rsidP="005A4A45">
            <w:pPr>
              <w:jc w:val="center"/>
              <w:rPr>
                <w:color w:val="000000" w:themeColor="text1"/>
              </w:rPr>
            </w:pPr>
            <w:r w:rsidRPr="003D63FE">
              <w:rPr>
                <w:color w:val="000000" w:themeColor="text1"/>
              </w:rPr>
              <w:t>&lt;.001</w:t>
            </w:r>
          </w:p>
        </w:tc>
        <w:tc>
          <w:tcPr>
            <w:tcW w:w="2226" w:type="dxa"/>
            <w:vAlign w:val="bottom"/>
          </w:tcPr>
          <w:p w14:paraId="14321E60" w14:textId="77777777" w:rsidR="005311A7" w:rsidRPr="003D63FE" w:rsidRDefault="005311A7" w:rsidP="00E56351">
            <w:pPr>
              <w:ind w:firstLine="0"/>
              <w:rPr>
                <w:color w:val="000000" w:themeColor="text1"/>
              </w:rPr>
            </w:pPr>
            <w:r w:rsidRPr="003D63FE">
              <w:rPr>
                <w:color w:val="000000" w:themeColor="text1"/>
              </w:rPr>
              <w:t>.0</w:t>
            </w:r>
            <w:r>
              <w:rPr>
                <w:color w:val="000000" w:themeColor="text1"/>
              </w:rPr>
              <w:t>6</w:t>
            </w:r>
            <w:r w:rsidRPr="003D63FE">
              <w:rPr>
                <w:color w:val="000000" w:themeColor="text1"/>
              </w:rPr>
              <w:t>7, .2</w:t>
            </w:r>
            <w:r>
              <w:rPr>
                <w:color w:val="000000" w:themeColor="text1"/>
              </w:rPr>
              <w:t>15</w:t>
            </w:r>
          </w:p>
        </w:tc>
      </w:tr>
      <w:tr w:rsidR="005311A7" w:rsidRPr="003D63FE" w14:paraId="789503EA" w14:textId="77777777" w:rsidTr="00E56351">
        <w:tc>
          <w:tcPr>
            <w:tcW w:w="2857" w:type="dxa"/>
            <w:vAlign w:val="bottom"/>
          </w:tcPr>
          <w:p w14:paraId="39FF147A" w14:textId="77777777" w:rsidR="005311A7" w:rsidRPr="003D63FE" w:rsidRDefault="005311A7" w:rsidP="005A4A45">
            <w:pPr>
              <w:rPr>
                <w:color w:val="000000" w:themeColor="text1"/>
              </w:rPr>
            </w:pPr>
            <w:r w:rsidRPr="003D63FE">
              <w:rPr>
                <w:color w:val="000000" w:themeColor="text1"/>
              </w:rPr>
              <w:t xml:space="preserve">RGPTS </w:t>
            </w:r>
            <w:r>
              <w:rPr>
                <w:color w:val="000000" w:themeColor="text1"/>
              </w:rPr>
              <w:t>-Persecution</w:t>
            </w:r>
          </w:p>
        </w:tc>
        <w:tc>
          <w:tcPr>
            <w:tcW w:w="1623" w:type="dxa"/>
            <w:vAlign w:val="bottom"/>
          </w:tcPr>
          <w:p w14:paraId="09C15381" w14:textId="77777777" w:rsidR="005311A7" w:rsidRPr="003D63FE" w:rsidRDefault="005311A7" w:rsidP="00E56351">
            <w:pPr>
              <w:rPr>
                <w:color w:val="000000" w:themeColor="text1"/>
              </w:rPr>
            </w:pPr>
            <w:r>
              <w:rPr>
                <w:color w:val="000000" w:themeColor="text1"/>
              </w:rPr>
              <w:t>6.35</w:t>
            </w:r>
          </w:p>
        </w:tc>
        <w:tc>
          <w:tcPr>
            <w:tcW w:w="1575" w:type="dxa"/>
            <w:vAlign w:val="bottom"/>
          </w:tcPr>
          <w:p w14:paraId="58AD44C4" w14:textId="77777777" w:rsidR="005311A7" w:rsidRPr="003D63FE" w:rsidRDefault="005311A7" w:rsidP="005A4A45">
            <w:pPr>
              <w:jc w:val="center"/>
              <w:rPr>
                <w:color w:val="000000" w:themeColor="text1"/>
              </w:rPr>
            </w:pPr>
            <w:r>
              <w:rPr>
                <w:color w:val="000000" w:themeColor="text1"/>
              </w:rPr>
              <w:t>9.16</w:t>
            </w:r>
          </w:p>
        </w:tc>
        <w:tc>
          <w:tcPr>
            <w:tcW w:w="1548" w:type="dxa"/>
            <w:vAlign w:val="bottom"/>
          </w:tcPr>
          <w:p w14:paraId="0A34094B" w14:textId="77777777" w:rsidR="005311A7" w:rsidRPr="003D63FE" w:rsidRDefault="005311A7" w:rsidP="005A4A45">
            <w:pPr>
              <w:jc w:val="center"/>
              <w:rPr>
                <w:color w:val="000000" w:themeColor="text1"/>
              </w:rPr>
            </w:pPr>
            <w:r>
              <w:rPr>
                <w:color w:val="000000" w:themeColor="text1"/>
              </w:rPr>
              <w:t>5.62</w:t>
            </w:r>
          </w:p>
        </w:tc>
        <w:tc>
          <w:tcPr>
            <w:tcW w:w="1844" w:type="dxa"/>
            <w:vAlign w:val="bottom"/>
          </w:tcPr>
          <w:p w14:paraId="09553FEA" w14:textId="77777777" w:rsidR="005311A7" w:rsidRPr="003D63FE" w:rsidRDefault="005311A7" w:rsidP="005A4A45">
            <w:pPr>
              <w:jc w:val="center"/>
              <w:rPr>
                <w:color w:val="000000" w:themeColor="text1"/>
              </w:rPr>
            </w:pPr>
            <w:r>
              <w:rPr>
                <w:color w:val="000000" w:themeColor="text1"/>
              </w:rPr>
              <w:t>8.54</w:t>
            </w:r>
          </w:p>
        </w:tc>
        <w:tc>
          <w:tcPr>
            <w:tcW w:w="1752" w:type="dxa"/>
            <w:vAlign w:val="bottom"/>
          </w:tcPr>
          <w:p w14:paraId="2681BA4B" w14:textId="77777777" w:rsidR="005311A7" w:rsidRPr="003D63FE" w:rsidRDefault="005311A7" w:rsidP="005A4A45">
            <w:pPr>
              <w:jc w:val="center"/>
              <w:rPr>
                <w:color w:val="000000" w:themeColor="text1"/>
              </w:rPr>
            </w:pPr>
            <w:r>
              <w:rPr>
                <w:color w:val="000000" w:themeColor="text1"/>
              </w:rPr>
              <w:t>2.924</w:t>
            </w:r>
          </w:p>
        </w:tc>
        <w:tc>
          <w:tcPr>
            <w:tcW w:w="1955" w:type="dxa"/>
            <w:vAlign w:val="bottom"/>
          </w:tcPr>
          <w:p w14:paraId="59D49142"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04</w:t>
            </w:r>
          </w:p>
        </w:tc>
        <w:tc>
          <w:tcPr>
            <w:tcW w:w="2226" w:type="dxa"/>
            <w:vAlign w:val="bottom"/>
          </w:tcPr>
          <w:p w14:paraId="4AD56BCA" w14:textId="77777777" w:rsidR="005311A7" w:rsidRPr="003D63FE" w:rsidRDefault="005311A7" w:rsidP="00E56351">
            <w:pPr>
              <w:ind w:firstLine="0"/>
              <w:rPr>
                <w:color w:val="000000" w:themeColor="text1"/>
              </w:rPr>
            </w:pPr>
            <w:r w:rsidRPr="003D63FE">
              <w:rPr>
                <w:color w:val="000000" w:themeColor="text1"/>
              </w:rPr>
              <w:t>.0</w:t>
            </w:r>
            <w:r>
              <w:rPr>
                <w:color w:val="000000" w:themeColor="text1"/>
              </w:rPr>
              <w:t>36</w:t>
            </w:r>
            <w:r w:rsidRPr="003D63FE">
              <w:rPr>
                <w:color w:val="000000" w:themeColor="text1"/>
              </w:rPr>
              <w:t>, .</w:t>
            </w:r>
            <w:r>
              <w:rPr>
                <w:color w:val="000000" w:themeColor="text1"/>
              </w:rPr>
              <w:t>183</w:t>
            </w:r>
          </w:p>
        </w:tc>
      </w:tr>
      <w:tr w:rsidR="005311A7" w:rsidRPr="003D63FE" w14:paraId="734402A3" w14:textId="77777777" w:rsidTr="005311A7">
        <w:trPr>
          <w:trHeight w:val="69"/>
        </w:trPr>
        <w:tc>
          <w:tcPr>
            <w:tcW w:w="2857" w:type="dxa"/>
            <w:vAlign w:val="bottom"/>
          </w:tcPr>
          <w:p w14:paraId="07C4188E" w14:textId="77777777" w:rsidR="005311A7" w:rsidRPr="003D63FE" w:rsidRDefault="005311A7" w:rsidP="005A4A45">
            <w:pPr>
              <w:rPr>
                <w:color w:val="000000" w:themeColor="text1"/>
              </w:rPr>
            </w:pPr>
            <w:r w:rsidRPr="003D63FE">
              <w:rPr>
                <w:color w:val="000000" w:themeColor="text1"/>
              </w:rPr>
              <w:t>PPS Total</w:t>
            </w:r>
          </w:p>
        </w:tc>
        <w:tc>
          <w:tcPr>
            <w:tcW w:w="1623" w:type="dxa"/>
            <w:vAlign w:val="bottom"/>
          </w:tcPr>
          <w:p w14:paraId="08EEAC52" w14:textId="77777777" w:rsidR="005311A7" w:rsidRPr="003D63FE" w:rsidRDefault="005311A7" w:rsidP="00E56351">
            <w:pPr>
              <w:rPr>
                <w:color w:val="000000" w:themeColor="text1"/>
              </w:rPr>
            </w:pPr>
            <w:r w:rsidRPr="003D63FE">
              <w:rPr>
                <w:color w:val="000000" w:themeColor="text1"/>
              </w:rPr>
              <w:t>13.</w:t>
            </w:r>
            <w:r>
              <w:rPr>
                <w:color w:val="000000" w:themeColor="text1"/>
              </w:rPr>
              <w:t>45</w:t>
            </w:r>
          </w:p>
        </w:tc>
        <w:tc>
          <w:tcPr>
            <w:tcW w:w="1575" w:type="dxa"/>
            <w:vAlign w:val="bottom"/>
          </w:tcPr>
          <w:p w14:paraId="47558A20" w14:textId="77777777" w:rsidR="005311A7" w:rsidRPr="003D63FE" w:rsidRDefault="005311A7" w:rsidP="005A4A45">
            <w:pPr>
              <w:jc w:val="center"/>
              <w:rPr>
                <w:color w:val="000000" w:themeColor="text1"/>
              </w:rPr>
            </w:pPr>
            <w:r w:rsidRPr="003D63FE">
              <w:rPr>
                <w:color w:val="000000" w:themeColor="text1"/>
              </w:rPr>
              <w:t>14.56</w:t>
            </w:r>
          </w:p>
        </w:tc>
        <w:tc>
          <w:tcPr>
            <w:tcW w:w="1548" w:type="dxa"/>
            <w:vAlign w:val="bottom"/>
          </w:tcPr>
          <w:p w14:paraId="37A0BA47" w14:textId="77777777" w:rsidR="005311A7" w:rsidRPr="003D63FE" w:rsidRDefault="005311A7" w:rsidP="005A4A45">
            <w:pPr>
              <w:jc w:val="center"/>
              <w:rPr>
                <w:color w:val="000000" w:themeColor="text1"/>
              </w:rPr>
            </w:pPr>
            <w:r w:rsidRPr="003D63FE">
              <w:rPr>
                <w:color w:val="000000" w:themeColor="text1"/>
              </w:rPr>
              <w:t>1</w:t>
            </w:r>
            <w:r>
              <w:rPr>
                <w:color w:val="000000" w:themeColor="text1"/>
              </w:rPr>
              <w:t>2</w:t>
            </w:r>
            <w:r w:rsidRPr="003D63FE">
              <w:rPr>
                <w:color w:val="000000" w:themeColor="text1"/>
              </w:rPr>
              <w:t>.</w:t>
            </w:r>
            <w:r>
              <w:rPr>
                <w:color w:val="000000" w:themeColor="text1"/>
              </w:rPr>
              <w:t>98</w:t>
            </w:r>
          </w:p>
        </w:tc>
        <w:tc>
          <w:tcPr>
            <w:tcW w:w="1844" w:type="dxa"/>
            <w:vAlign w:val="bottom"/>
          </w:tcPr>
          <w:p w14:paraId="2C1708AA" w14:textId="77777777" w:rsidR="005311A7" w:rsidRPr="003D63FE" w:rsidRDefault="005311A7" w:rsidP="005A4A45">
            <w:pPr>
              <w:jc w:val="center"/>
              <w:rPr>
                <w:color w:val="000000" w:themeColor="text1"/>
              </w:rPr>
            </w:pPr>
            <w:r w:rsidRPr="003D63FE">
              <w:rPr>
                <w:color w:val="000000" w:themeColor="text1"/>
              </w:rPr>
              <w:t>14.</w:t>
            </w:r>
            <w:r>
              <w:rPr>
                <w:color w:val="000000" w:themeColor="text1"/>
              </w:rPr>
              <w:t>58</w:t>
            </w:r>
          </w:p>
        </w:tc>
        <w:tc>
          <w:tcPr>
            <w:tcW w:w="1752" w:type="dxa"/>
            <w:vAlign w:val="bottom"/>
          </w:tcPr>
          <w:p w14:paraId="0AB4378E" w14:textId="77777777" w:rsidR="005311A7" w:rsidRPr="003D63FE" w:rsidRDefault="005311A7" w:rsidP="005A4A45">
            <w:pPr>
              <w:jc w:val="center"/>
              <w:rPr>
                <w:color w:val="000000" w:themeColor="text1"/>
              </w:rPr>
            </w:pPr>
            <w:r>
              <w:rPr>
                <w:color w:val="000000" w:themeColor="text1"/>
              </w:rPr>
              <w:t>1.145</w:t>
            </w:r>
          </w:p>
        </w:tc>
        <w:tc>
          <w:tcPr>
            <w:tcW w:w="1955" w:type="dxa"/>
            <w:vAlign w:val="bottom"/>
          </w:tcPr>
          <w:p w14:paraId="3EC3F53D"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253</w:t>
            </w:r>
          </w:p>
        </w:tc>
        <w:tc>
          <w:tcPr>
            <w:tcW w:w="2226" w:type="dxa"/>
            <w:vAlign w:val="bottom"/>
          </w:tcPr>
          <w:p w14:paraId="7EA3F6E7" w14:textId="77777777" w:rsidR="005311A7" w:rsidRPr="003D63FE" w:rsidRDefault="005311A7" w:rsidP="00E56351">
            <w:pPr>
              <w:ind w:firstLine="0"/>
              <w:rPr>
                <w:color w:val="000000" w:themeColor="text1"/>
              </w:rPr>
            </w:pPr>
            <w:r w:rsidRPr="003D63FE">
              <w:rPr>
                <w:color w:val="000000" w:themeColor="text1"/>
              </w:rPr>
              <w:t>-.0</w:t>
            </w:r>
            <w:r>
              <w:rPr>
                <w:color w:val="000000" w:themeColor="text1"/>
              </w:rPr>
              <w:t>3</w:t>
            </w:r>
            <w:r w:rsidRPr="003D63FE">
              <w:rPr>
                <w:color w:val="000000" w:themeColor="text1"/>
              </w:rPr>
              <w:t>1, .1</w:t>
            </w:r>
            <w:r>
              <w:rPr>
                <w:color w:val="000000" w:themeColor="text1"/>
              </w:rPr>
              <w:t>16</w:t>
            </w:r>
          </w:p>
        </w:tc>
      </w:tr>
      <w:tr w:rsidR="005311A7" w:rsidRPr="003D63FE" w14:paraId="225A0219" w14:textId="77777777" w:rsidTr="00E56351">
        <w:tc>
          <w:tcPr>
            <w:tcW w:w="2857" w:type="dxa"/>
            <w:tcBorders>
              <w:bottom w:val="single" w:sz="8" w:space="0" w:color="000000"/>
            </w:tcBorders>
            <w:vAlign w:val="bottom"/>
          </w:tcPr>
          <w:p w14:paraId="132617AF" w14:textId="77777777" w:rsidR="005311A7" w:rsidRPr="003D63FE" w:rsidRDefault="005311A7" w:rsidP="005A4A45">
            <w:pPr>
              <w:rPr>
                <w:rFonts w:ascii="Times Roman" w:hAnsi="Times Roman" w:cs="Times Roman"/>
                <w:color w:val="000000" w:themeColor="text1"/>
              </w:rPr>
            </w:pPr>
          </w:p>
        </w:tc>
        <w:tc>
          <w:tcPr>
            <w:tcW w:w="1623" w:type="dxa"/>
            <w:tcBorders>
              <w:bottom w:val="single" w:sz="8" w:space="0" w:color="000000"/>
            </w:tcBorders>
            <w:vAlign w:val="bottom"/>
          </w:tcPr>
          <w:p w14:paraId="376760C7" w14:textId="77777777" w:rsidR="005311A7" w:rsidRPr="003D63FE" w:rsidRDefault="005311A7" w:rsidP="005A4A45">
            <w:pPr>
              <w:rPr>
                <w:rFonts w:ascii="Times Roman" w:hAnsi="Times Roman" w:cs="Times Roman"/>
                <w:color w:val="000000" w:themeColor="text1"/>
              </w:rPr>
            </w:pPr>
          </w:p>
        </w:tc>
        <w:tc>
          <w:tcPr>
            <w:tcW w:w="1575" w:type="dxa"/>
            <w:tcBorders>
              <w:bottom w:val="single" w:sz="8" w:space="0" w:color="000000"/>
            </w:tcBorders>
            <w:vAlign w:val="bottom"/>
          </w:tcPr>
          <w:p w14:paraId="13F881B8" w14:textId="4C773C75" w:rsidR="005311A7" w:rsidRPr="003D63FE" w:rsidRDefault="005311A7" w:rsidP="005A4A45">
            <w:pPr>
              <w:jc w:val="center"/>
              <w:rPr>
                <w:color w:val="000000" w:themeColor="text1"/>
              </w:rPr>
            </w:pPr>
          </w:p>
        </w:tc>
        <w:tc>
          <w:tcPr>
            <w:tcW w:w="1548" w:type="dxa"/>
            <w:tcBorders>
              <w:bottom w:val="single" w:sz="8" w:space="0" w:color="000000"/>
            </w:tcBorders>
            <w:vAlign w:val="bottom"/>
          </w:tcPr>
          <w:p w14:paraId="3F953800" w14:textId="1557244E" w:rsidR="005311A7" w:rsidRPr="003D63FE" w:rsidRDefault="005311A7" w:rsidP="005A4A45">
            <w:pPr>
              <w:jc w:val="center"/>
              <w:rPr>
                <w:color w:val="000000" w:themeColor="text1"/>
              </w:rPr>
            </w:pPr>
          </w:p>
        </w:tc>
        <w:tc>
          <w:tcPr>
            <w:tcW w:w="1844" w:type="dxa"/>
            <w:tcBorders>
              <w:bottom w:val="single" w:sz="8" w:space="0" w:color="000000"/>
            </w:tcBorders>
            <w:vAlign w:val="bottom"/>
          </w:tcPr>
          <w:p w14:paraId="5A922EC4" w14:textId="4B1888F8" w:rsidR="005311A7" w:rsidRPr="003D63FE" w:rsidRDefault="005311A7" w:rsidP="005A4A45">
            <w:pPr>
              <w:jc w:val="center"/>
              <w:rPr>
                <w:color w:val="000000" w:themeColor="text1"/>
              </w:rPr>
            </w:pPr>
          </w:p>
        </w:tc>
        <w:tc>
          <w:tcPr>
            <w:tcW w:w="1752" w:type="dxa"/>
            <w:tcBorders>
              <w:bottom w:val="single" w:sz="8" w:space="0" w:color="000000"/>
            </w:tcBorders>
            <w:vAlign w:val="bottom"/>
          </w:tcPr>
          <w:p w14:paraId="3518FC15" w14:textId="074B7A9F" w:rsidR="005311A7" w:rsidRPr="003D63FE" w:rsidRDefault="005311A7" w:rsidP="005A4A45">
            <w:pPr>
              <w:jc w:val="center"/>
              <w:rPr>
                <w:color w:val="000000" w:themeColor="text1"/>
              </w:rPr>
            </w:pPr>
          </w:p>
        </w:tc>
        <w:tc>
          <w:tcPr>
            <w:tcW w:w="1955" w:type="dxa"/>
            <w:tcBorders>
              <w:bottom w:val="single" w:sz="8" w:space="0" w:color="000000"/>
            </w:tcBorders>
            <w:vAlign w:val="bottom"/>
          </w:tcPr>
          <w:p w14:paraId="1A8B742B" w14:textId="75ABE825" w:rsidR="005311A7" w:rsidRPr="003D63FE" w:rsidRDefault="005311A7" w:rsidP="005A4A45">
            <w:pPr>
              <w:jc w:val="center"/>
              <w:rPr>
                <w:color w:val="000000" w:themeColor="text1"/>
              </w:rPr>
            </w:pPr>
          </w:p>
        </w:tc>
        <w:tc>
          <w:tcPr>
            <w:tcW w:w="2226" w:type="dxa"/>
            <w:tcBorders>
              <w:bottom w:val="single" w:sz="8" w:space="0" w:color="000000"/>
            </w:tcBorders>
            <w:vAlign w:val="bottom"/>
          </w:tcPr>
          <w:p w14:paraId="72F4547C" w14:textId="5EF5D118" w:rsidR="005311A7" w:rsidRPr="003D63FE" w:rsidRDefault="005311A7" w:rsidP="005A4A45">
            <w:pPr>
              <w:jc w:val="center"/>
              <w:rPr>
                <w:color w:val="000000" w:themeColor="text1"/>
              </w:rPr>
            </w:pPr>
          </w:p>
        </w:tc>
      </w:tr>
    </w:tbl>
    <w:p w14:paraId="720F45E1" w14:textId="77777777" w:rsidR="005311A7" w:rsidRPr="003D63FE" w:rsidRDefault="005311A7" w:rsidP="00D37E50">
      <w:pPr>
        <w:rPr>
          <w:color w:val="000000" w:themeColor="text1"/>
        </w:rPr>
      </w:pPr>
      <w:r w:rsidRPr="003D63FE">
        <w:rPr>
          <w:color w:val="000000" w:themeColor="text1"/>
        </w:rPr>
        <w:lastRenderedPageBreak/>
        <w:t xml:space="preserve">Note. </w:t>
      </w:r>
      <w:r>
        <w:rPr>
          <w:color w:val="000000" w:themeColor="text1"/>
        </w:rPr>
        <w:t xml:space="preserve">ISI – Insomnia Severity Index; </w:t>
      </w:r>
      <w:r w:rsidRPr="003D63FE">
        <w:rPr>
          <w:color w:val="000000" w:themeColor="text1"/>
        </w:rPr>
        <w:t>DASS – Depression Anxiety Stress Scales-21; PSWQ-3 - Penn State Worry Questionnaire-3 item; R</w:t>
      </w:r>
      <w:r>
        <w:rPr>
          <w:color w:val="000000" w:themeColor="text1"/>
        </w:rPr>
        <w:t>-</w:t>
      </w:r>
      <w:r w:rsidRPr="003D63FE">
        <w:rPr>
          <w:color w:val="000000" w:themeColor="text1"/>
        </w:rPr>
        <w:t xml:space="preserve">GPTS – Revised Green Paranoid Thoughts Scale; PPS - Pandemic Paranoia Scale.  </w:t>
      </w:r>
    </w:p>
    <w:p w14:paraId="4EF8CFE9" w14:textId="77777777" w:rsidR="005311A7" w:rsidRDefault="005311A7">
      <w:pPr>
        <w:rPr>
          <w:b/>
          <w:color w:val="000000" w:themeColor="text1"/>
        </w:rPr>
      </w:pPr>
      <w:r>
        <w:rPr>
          <w:b/>
          <w:color w:val="000000" w:themeColor="text1"/>
        </w:rPr>
        <w:br w:type="page"/>
      </w:r>
    </w:p>
    <w:p w14:paraId="3A4CEB32" w14:textId="77777777" w:rsidR="005311A7" w:rsidRDefault="005311A7" w:rsidP="00D37E50">
      <w:pPr>
        <w:rPr>
          <w:b/>
          <w:color w:val="000000" w:themeColor="text1"/>
        </w:rPr>
      </w:pPr>
    </w:p>
    <w:p w14:paraId="33E7B6EE" w14:textId="77777777" w:rsidR="005311A7" w:rsidRPr="003D63FE" w:rsidRDefault="005311A7" w:rsidP="00D37E50">
      <w:pPr>
        <w:rPr>
          <w:color w:val="000000" w:themeColor="text1"/>
        </w:rPr>
      </w:pPr>
      <w:r w:rsidRPr="003D63FE">
        <w:rPr>
          <w:b/>
          <w:color w:val="000000" w:themeColor="text1"/>
        </w:rPr>
        <w:t xml:space="preserve"> Table </w:t>
      </w:r>
      <w:r>
        <w:rPr>
          <w:b/>
          <w:color w:val="000000" w:themeColor="text1"/>
        </w:rPr>
        <w:t>3</w:t>
      </w:r>
    </w:p>
    <w:p w14:paraId="5B61932A" w14:textId="77777777" w:rsidR="005311A7" w:rsidRPr="003D63FE" w:rsidRDefault="005311A7" w:rsidP="00D37E50">
      <w:pPr>
        <w:rPr>
          <w:color w:val="000000" w:themeColor="text1"/>
        </w:rPr>
      </w:pPr>
      <w:r w:rsidRPr="003D63FE">
        <w:rPr>
          <w:i/>
          <w:color w:val="000000" w:themeColor="text1"/>
        </w:rPr>
        <w:t xml:space="preserve">Regression results for the moderated mediation </w:t>
      </w:r>
      <w:r>
        <w:rPr>
          <w:i/>
          <w:color w:val="000000" w:themeColor="text1"/>
        </w:rPr>
        <w:t>model</w:t>
      </w:r>
    </w:p>
    <w:tbl>
      <w:tblPr>
        <w:tblW w:w="0" w:type="auto"/>
        <w:shd w:val="clear" w:color="auto" w:fill="FFFFFF"/>
        <w:tblCellMar>
          <w:left w:w="10" w:type="dxa"/>
          <w:right w:w="10" w:type="dxa"/>
        </w:tblCellMar>
        <w:tblLook w:val="04A0" w:firstRow="1" w:lastRow="0" w:firstColumn="1" w:lastColumn="0" w:noHBand="0" w:noVBand="1"/>
      </w:tblPr>
      <w:tblGrid>
        <w:gridCol w:w="4701"/>
        <w:gridCol w:w="1548"/>
        <w:gridCol w:w="1428"/>
        <w:gridCol w:w="812"/>
        <w:gridCol w:w="812"/>
        <w:gridCol w:w="1508"/>
        <w:gridCol w:w="1428"/>
        <w:gridCol w:w="9"/>
        <w:gridCol w:w="1419"/>
      </w:tblGrid>
      <w:tr w:rsidR="005311A7" w:rsidRPr="003D63FE" w14:paraId="6694F730" w14:textId="77777777" w:rsidTr="001F2447">
        <w:tc>
          <w:tcPr>
            <w:tcW w:w="0" w:type="auto"/>
            <w:tcBorders>
              <w:top w:val="single" w:sz="8" w:space="0" w:color="000000"/>
            </w:tcBorders>
            <w:tcMar>
              <w:top w:w="200" w:type="dxa"/>
              <w:left w:w="200" w:type="dxa"/>
              <w:bottom w:w="0" w:type="dxa"/>
              <w:right w:w="100" w:type="dxa"/>
            </w:tcMar>
            <w:vAlign w:val="bottom"/>
          </w:tcPr>
          <w:p w14:paraId="49578FC5" w14:textId="77777777" w:rsidR="005311A7" w:rsidRPr="003D63FE" w:rsidRDefault="005311A7" w:rsidP="005A4A45">
            <w:pPr>
              <w:jc w:val="center"/>
              <w:rPr>
                <w:color w:val="000000" w:themeColor="text1"/>
              </w:rPr>
            </w:pPr>
            <w:r w:rsidRPr="003D63FE">
              <w:rPr>
                <w:color w:val="000000" w:themeColor="text1"/>
              </w:rPr>
              <w:t>Variable</w:t>
            </w:r>
          </w:p>
        </w:tc>
        <w:tc>
          <w:tcPr>
            <w:tcW w:w="0" w:type="auto"/>
            <w:gridSpan w:val="3"/>
            <w:tcBorders>
              <w:top w:val="single" w:sz="8" w:space="0" w:color="000000"/>
              <w:bottom w:val="single" w:sz="8" w:space="0" w:color="000000"/>
            </w:tcBorders>
            <w:tcMar>
              <w:top w:w="200" w:type="dxa"/>
              <w:left w:w="200" w:type="dxa"/>
              <w:bottom w:w="0" w:type="dxa"/>
              <w:right w:w="100" w:type="dxa"/>
            </w:tcMar>
            <w:vAlign w:val="bottom"/>
          </w:tcPr>
          <w:p w14:paraId="3F33466B" w14:textId="77777777" w:rsidR="005311A7" w:rsidRPr="003D63FE" w:rsidRDefault="005311A7" w:rsidP="005A4A45">
            <w:pPr>
              <w:jc w:val="center"/>
              <w:rPr>
                <w:color w:val="000000" w:themeColor="text1"/>
              </w:rPr>
            </w:pPr>
            <w:r w:rsidRPr="003D63FE">
              <w:rPr>
                <w:color w:val="000000" w:themeColor="text1"/>
              </w:rPr>
              <w:t>Model a-path</w:t>
            </w:r>
          </w:p>
        </w:tc>
        <w:tc>
          <w:tcPr>
            <w:tcW w:w="0" w:type="auto"/>
            <w:gridSpan w:val="4"/>
            <w:tcBorders>
              <w:top w:val="single" w:sz="8" w:space="0" w:color="000000"/>
              <w:bottom w:val="single" w:sz="8" w:space="0" w:color="000000"/>
            </w:tcBorders>
            <w:tcMar>
              <w:top w:w="200" w:type="dxa"/>
              <w:left w:w="200" w:type="dxa"/>
              <w:bottom w:w="0" w:type="dxa"/>
              <w:right w:w="100" w:type="dxa"/>
            </w:tcMar>
            <w:vAlign w:val="bottom"/>
          </w:tcPr>
          <w:p w14:paraId="2D214626" w14:textId="77777777" w:rsidR="005311A7" w:rsidRPr="003D63FE" w:rsidRDefault="005311A7" w:rsidP="005A4A45">
            <w:pPr>
              <w:jc w:val="center"/>
              <w:rPr>
                <w:color w:val="000000" w:themeColor="text1"/>
              </w:rPr>
            </w:pPr>
            <w:r w:rsidRPr="003D63FE">
              <w:rPr>
                <w:color w:val="000000" w:themeColor="text1"/>
              </w:rPr>
              <w:t>Model b-path</w:t>
            </w:r>
          </w:p>
        </w:tc>
        <w:tc>
          <w:tcPr>
            <w:tcW w:w="0" w:type="auto"/>
            <w:tcBorders>
              <w:bottom w:val="single" w:sz="8" w:space="0" w:color="000000"/>
            </w:tcBorders>
            <w:tcMar>
              <w:top w:w="0" w:type="dxa"/>
              <w:left w:w="0" w:type="dxa"/>
              <w:bottom w:w="0" w:type="dxa"/>
              <w:right w:w="0" w:type="dxa"/>
            </w:tcMar>
            <w:vAlign w:val="center"/>
          </w:tcPr>
          <w:p w14:paraId="708CDA05" w14:textId="77777777" w:rsidR="005311A7" w:rsidRPr="003D63FE" w:rsidRDefault="005311A7" w:rsidP="005A4A45">
            <w:pPr>
              <w:ind w:firstLine="944"/>
              <w:rPr>
                <w:color w:val="000000" w:themeColor="text1"/>
              </w:rPr>
            </w:pPr>
            <w:r w:rsidRPr="003D63FE">
              <w:rPr>
                <w:color w:val="000000" w:themeColor="text1"/>
              </w:rPr>
              <w:t> </w:t>
            </w:r>
          </w:p>
        </w:tc>
      </w:tr>
      <w:tr w:rsidR="005311A7" w:rsidRPr="003D63FE" w14:paraId="6DB2219E" w14:textId="77777777" w:rsidTr="00C44F73">
        <w:tc>
          <w:tcPr>
            <w:tcW w:w="0" w:type="auto"/>
            <w:tcBorders>
              <w:bottom w:val="single" w:sz="8" w:space="0" w:color="000000"/>
            </w:tcBorders>
            <w:tcMar>
              <w:top w:w="200" w:type="dxa"/>
              <w:left w:w="200" w:type="dxa"/>
              <w:bottom w:w="0" w:type="dxa"/>
              <w:right w:w="100" w:type="dxa"/>
            </w:tcMar>
            <w:vAlign w:val="bottom"/>
          </w:tcPr>
          <w:p w14:paraId="7BDBD290" w14:textId="77777777" w:rsidR="005311A7" w:rsidRPr="003D63FE" w:rsidRDefault="005311A7" w:rsidP="005A4A45">
            <w:pPr>
              <w:rPr>
                <w:color w:val="000000" w:themeColor="text1"/>
              </w:rPr>
            </w:pPr>
            <w:r w:rsidRPr="003D63FE">
              <w:rPr>
                <w:color w:val="000000" w:themeColor="text1"/>
              </w:rPr>
              <w:t> </w:t>
            </w:r>
          </w:p>
        </w:tc>
        <w:tc>
          <w:tcPr>
            <w:tcW w:w="0" w:type="auto"/>
            <w:tcBorders>
              <w:bottom w:val="single" w:sz="8" w:space="0" w:color="000000"/>
            </w:tcBorders>
            <w:tcMar>
              <w:top w:w="200" w:type="dxa"/>
              <w:left w:w="200" w:type="dxa"/>
              <w:bottom w:w="0" w:type="dxa"/>
              <w:right w:w="100" w:type="dxa"/>
            </w:tcMar>
            <w:vAlign w:val="bottom"/>
          </w:tcPr>
          <w:p w14:paraId="3B29CE42" w14:textId="77777777" w:rsidR="005311A7" w:rsidRPr="003D63FE" w:rsidRDefault="005311A7" w:rsidP="005A4A45">
            <w:pPr>
              <w:jc w:val="center"/>
              <w:rPr>
                <w:color w:val="000000" w:themeColor="text1"/>
              </w:rPr>
            </w:pPr>
            <w:r w:rsidRPr="003D63FE">
              <w:rPr>
                <w:i/>
                <w:color w:val="000000" w:themeColor="text1"/>
              </w:rPr>
              <w:t>b</w:t>
            </w:r>
          </w:p>
        </w:tc>
        <w:tc>
          <w:tcPr>
            <w:tcW w:w="0" w:type="auto"/>
            <w:tcBorders>
              <w:bottom w:val="single" w:sz="8" w:space="0" w:color="000000"/>
            </w:tcBorders>
            <w:tcMar>
              <w:top w:w="200" w:type="dxa"/>
              <w:left w:w="200" w:type="dxa"/>
              <w:bottom w:w="0" w:type="dxa"/>
              <w:right w:w="100" w:type="dxa"/>
            </w:tcMar>
            <w:vAlign w:val="bottom"/>
          </w:tcPr>
          <w:p w14:paraId="4DDA7BB0" w14:textId="77777777" w:rsidR="005311A7" w:rsidRPr="003D63FE" w:rsidRDefault="005311A7" w:rsidP="005A4A45">
            <w:pPr>
              <w:jc w:val="center"/>
              <w:rPr>
                <w:color w:val="000000" w:themeColor="text1"/>
              </w:rPr>
            </w:pPr>
            <w:r w:rsidRPr="003D63FE">
              <w:rPr>
                <w:color w:val="000000" w:themeColor="text1"/>
              </w:rPr>
              <w:t>SE</w:t>
            </w:r>
          </w:p>
        </w:tc>
        <w:tc>
          <w:tcPr>
            <w:tcW w:w="0" w:type="auto"/>
            <w:gridSpan w:val="2"/>
            <w:tcBorders>
              <w:bottom w:val="single" w:sz="8" w:space="0" w:color="000000"/>
            </w:tcBorders>
            <w:tcMar>
              <w:top w:w="200" w:type="dxa"/>
              <w:left w:w="200" w:type="dxa"/>
              <w:bottom w:w="0" w:type="dxa"/>
              <w:right w:w="100" w:type="dxa"/>
            </w:tcMar>
            <w:vAlign w:val="bottom"/>
          </w:tcPr>
          <w:p w14:paraId="51C7F43D" w14:textId="77777777" w:rsidR="005311A7" w:rsidRPr="003D63FE" w:rsidRDefault="005311A7" w:rsidP="005A4A45">
            <w:pPr>
              <w:jc w:val="center"/>
              <w:rPr>
                <w:color w:val="000000" w:themeColor="text1"/>
              </w:rPr>
            </w:pPr>
            <w:r w:rsidRPr="003D63FE">
              <w:rPr>
                <w:i/>
                <w:color w:val="000000" w:themeColor="text1"/>
              </w:rPr>
              <w:t>p</w:t>
            </w:r>
          </w:p>
        </w:tc>
        <w:tc>
          <w:tcPr>
            <w:tcW w:w="0" w:type="auto"/>
            <w:tcBorders>
              <w:bottom w:val="single" w:sz="8" w:space="0" w:color="000000"/>
            </w:tcBorders>
            <w:tcMar>
              <w:top w:w="200" w:type="dxa"/>
              <w:left w:w="200" w:type="dxa"/>
              <w:bottom w:w="0" w:type="dxa"/>
              <w:right w:w="100" w:type="dxa"/>
            </w:tcMar>
            <w:vAlign w:val="bottom"/>
          </w:tcPr>
          <w:p w14:paraId="7EF1B82D" w14:textId="77777777" w:rsidR="005311A7" w:rsidRPr="003D63FE" w:rsidRDefault="005311A7" w:rsidP="005A4A45">
            <w:pPr>
              <w:jc w:val="center"/>
              <w:rPr>
                <w:color w:val="000000" w:themeColor="text1"/>
              </w:rPr>
            </w:pPr>
            <w:r w:rsidRPr="003D63FE">
              <w:rPr>
                <w:i/>
                <w:color w:val="000000" w:themeColor="text1"/>
              </w:rPr>
              <w:t>b</w:t>
            </w:r>
          </w:p>
        </w:tc>
        <w:tc>
          <w:tcPr>
            <w:tcW w:w="0" w:type="auto"/>
            <w:tcBorders>
              <w:bottom w:val="single" w:sz="8" w:space="0" w:color="000000"/>
            </w:tcBorders>
            <w:tcMar>
              <w:top w:w="200" w:type="dxa"/>
              <w:left w:w="200" w:type="dxa"/>
              <w:bottom w:w="0" w:type="dxa"/>
              <w:right w:w="100" w:type="dxa"/>
            </w:tcMar>
            <w:vAlign w:val="bottom"/>
          </w:tcPr>
          <w:p w14:paraId="1A338565" w14:textId="77777777" w:rsidR="005311A7" w:rsidRPr="003D63FE" w:rsidRDefault="005311A7" w:rsidP="005A4A45">
            <w:pPr>
              <w:jc w:val="center"/>
              <w:rPr>
                <w:color w:val="000000" w:themeColor="text1"/>
              </w:rPr>
            </w:pPr>
            <w:r w:rsidRPr="003D63FE">
              <w:rPr>
                <w:color w:val="000000" w:themeColor="text1"/>
              </w:rPr>
              <w:t>SE</w:t>
            </w:r>
          </w:p>
        </w:tc>
        <w:tc>
          <w:tcPr>
            <w:tcW w:w="0" w:type="auto"/>
            <w:gridSpan w:val="2"/>
            <w:tcBorders>
              <w:bottom w:val="single" w:sz="8" w:space="0" w:color="000000"/>
            </w:tcBorders>
            <w:tcMar>
              <w:top w:w="200" w:type="dxa"/>
              <w:left w:w="200" w:type="dxa"/>
              <w:bottom w:w="0" w:type="dxa"/>
              <w:right w:w="100" w:type="dxa"/>
            </w:tcMar>
            <w:vAlign w:val="bottom"/>
          </w:tcPr>
          <w:p w14:paraId="45912E83" w14:textId="77777777" w:rsidR="005311A7" w:rsidRPr="003D63FE" w:rsidRDefault="005311A7" w:rsidP="005A4A45">
            <w:pPr>
              <w:jc w:val="center"/>
              <w:rPr>
                <w:color w:val="000000" w:themeColor="text1"/>
              </w:rPr>
            </w:pPr>
            <w:r w:rsidRPr="003D63FE">
              <w:rPr>
                <w:i/>
                <w:color w:val="000000" w:themeColor="text1"/>
              </w:rPr>
              <w:t>p</w:t>
            </w:r>
          </w:p>
        </w:tc>
      </w:tr>
      <w:tr w:rsidR="005311A7" w:rsidRPr="003D63FE" w14:paraId="2C92036B" w14:textId="77777777" w:rsidTr="00C44F73">
        <w:trPr>
          <w:trHeight w:val="283"/>
        </w:trPr>
        <w:tc>
          <w:tcPr>
            <w:tcW w:w="0" w:type="auto"/>
            <w:tcMar>
              <w:top w:w="200" w:type="dxa"/>
              <w:left w:w="200" w:type="dxa"/>
              <w:bottom w:w="0" w:type="dxa"/>
              <w:right w:w="100" w:type="dxa"/>
            </w:tcMar>
            <w:vAlign w:val="bottom"/>
          </w:tcPr>
          <w:p w14:paraId="65C095EB" w14:textId="77777777" w:rsidR="005311A7" w:rsidRPr="003D63FE" w:rsidRDefault="005311A7" w:rsidP="005A4A45">
            <w:pPr>
              <w:rPr>
                <w:color w:val="000000" w:themeColor="text1"/>
              </w:rPr>
            </w:pPr>
            <w:r w:rsidRPr="003D63FE">
              <w:rPr>
                <w:b/>
                <w:color w:val="000000" w:themeColor="text1"/>
              </w:rPr>
              <w:t>Mediator: Anxiety</w:t>
            </w:r>
          </w:p>
        </w:tc>
        <w:tc>
          <w:tcPr>
            <w:tcW w:w="0" w:type="auto"/>
            <w:tcMar>
              <w:top w:w="200" w:type="dxa"/>
              <w:left w:w="200" w:type="dxa"/>
              <w:bottom w:w="0" w:type="dxa"/>
              <w:right w:w="100" w:type="dxa"/>
            </w:tcMar>
            <w:vAlign w:val="bottom"/>
          </w:tcPr>
          <w:p w14:paraId="28444B63"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5F0CE7D5"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0D26D28A"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2567AAC9"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390</w:t>
            </w:r>
          </w:p>
        </w:tc>
        <w:tc>
          <w:tcPr>
            <w:tcW w:w="0" w:type="auto"/>
            <w:tcMar>
              <w:top w:w="200" w:type="dxa"/>
              <w:left w:w="200" w:type="dxa"/>
              <w:bottom w:w="0" w:type="dxa"/>
              <w:right w:w="100" w:type="dxa"/>
            </w:tcMar>
            <w:vAlign w:val="bottom"/>
          </w:tcPr>
          <w:p w14:paraId="150FB2C5"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101</w:t>
            </w:r>
          </w:p>
        </w:tc>
        <w:tc>
          <w:tcPr>
            <w:tcW w:w="0" w:type="auto"/>
            <w:gridSpan w:val="2"/>
            <w:tcMar>
              <w:top w:w="200" w:type="dxa"/>
              <w:left w:w="200" w:type="dxa"/>
              <w:bottom w:w="0" w:type="dxa"/>
              <w:right w:w="100" w:type="dxa"/>
            </w:tcMar>
            <w:vAlign w:val="bottom"/>
          </w:tcPr>
          <w:p w14:paraId="1649E990"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03</w:t>
            </w:r>
          </w:p>
        </w:tc>
      </w:tr>
      <w:tr w:rsidR="005311A7" w:rsidRPr="003D63FE" w14:paraId="5218E334" w14:textId="77777777" w:rsidTr="00C44F73">
        <w:trPr>
          <w:trHeight w:val="283"/>
        </w:trPr>
        <w:tc>
          <w:tcPr>
            <w:tcW w:w="0" w:type="auto"/>
            <w:tcMar>
              <w:top w:w="200" w:type="dxa"/>
              <w:left w:w="200" w:type="dxa"/>
              <w:bottom w:w="0" w:type="dxa"/>
              <w:right w:w="100" w:type="dxa"/>
            </w:tcMar>
            <w:vAlign w:val="bottom"/>
          </w:tcPr>
          <w:p w14:paraId="7899EBFF" w14:textId="77777777" w:rsidR="005311A7" w:rsidRPr="003D63FE" w:rsidRDefault="005311A7" w:rsidP="005A4A45">
            <w:pPr>
              <w:rPr>
                <w:color w:val="000000" w:themeColor="text1"/>
              </w:rPr>
            </w:pPr>
            <w:r>
              <w:rPr>
                <w:color w:val="000000" w:themeColor="text1"/>
              </w:rPr>
              <w:t>Insomnia</w:t>
            </w:r>
            <w:r w:rsidRPr="003D63FE">
              <w:rPr>
                <w:color w:val="000000" w:themeColor="text1"/>
              </w:rPr>
              <w:t xml:space="preserve"> (IV)</w:t>
            </w:r>
          </w:p>
        </w:tc>
        <w:tc>
          <w:tcPr>
            <w:tcW w:w="0" w:type="auto"/>
            <w:tcMar>
              <w:top w:w="200" w:type="dxa"/>
              <w:left w:w="200" w:type="dxa"/>
              <w:bottom w:w="0" w:type="dxa"/>
              <w:right w:w="100" w:type="dxa"/>
            </w:tcMar>
            <w:vAlign w:val="bottom"/>
          </w:tcPr>
          <w:p w14:paraId="43FF8475"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191</w:t>
            </w:r>
          </w:p>
        </w:tc>
        <w:tc>
          <w:tcPr>
            <w:tcW w:w="0" w:type="auto"/>
            <w:tcMar>
              <w:top w:w="200" w:type="dxa"/>
              <w:left w:w="200" w:type="dxa"/>
              <w:bottom w:w="0" w:type="dxa"/>
              <w:right w:w="100" w:type="dxa"/>
            </w:tcMar>
            <w:vAlign w:val="bottom"/>
          </w:tcPr>
          <w:p w14:paraId="3C8948DB" w14:textId="77777777" w:rsidR="005311A7" w:rsidRPr="003D63FE" w:rsidRDefault="005311A7" w:rsidP="005A4A45">
            <w:pPr>
              <w:jc w:val="center"/>
              <w:rPr>
                <w:color w:val="000000" w:themeColor="text1"/>
              </w:rPr>
            </w:pPr>
            <w:r>
              <w:rPr>
                <w:color w:val="000000" w:themeColor="text1"/>
              </w:rPr>
              <w:t>.044</w:t>
            </w:r>
          </w:p>
        </w:tc>
        <w:tc>
          <w:tcPr>
            <w:tcW w:w="0" w:type="auto"/>
            <w:gridSpan w:val="2"/>
            <w:tcMar>
              <w:top w:w="200" w:type="dxa"/>
              <w:left w:w="200" w:type="dxa"/>
              <w:bottom w:w="0" w:type="dxa"/>
              <w:right w:w="100" w:type="dxa"/>
            </w:tcMar>
            <w:vAlign w:val="bottom"/>
          </w:tcPr>
          <w:p w14:paraId="79BCD6EB" w14:textId="77777777" w:rsidR="005311A7" w:rsidRPr="003D63FE" w:rsidRDefault="005311A7" w:rsidP="005A4A45">
            <w:pPr>
              <w:jc w:val="center"/>
              <w:rPr>
                <w:color w:val="000000" w:themeColor="text1"/>
              </w:rPr>
            </w:pPr>
            <w:r w:rsidRPr="003D63FE">
              <w:rPr>
                <w:color w:val="000000" w:themeColor="text1"/>
              </w:rPr>
              <w:t>&lt; .001</w:t>
            </w:r>
          </w:p>
        </w:tc>
        <w:tc>
          <w:tcPr>
            <w:tcW w:w="0" w:type="auto"/>
            <w:tcMar>
              <w:top w:w="200" w:type="dxa"/>
              <w:left w:w="200" w:type="dxa"/>
              <w:bottom w:w="0" w:type="dxa"/>
              <w:right w:w="100" w:type="dxa"/>
            </w:tcMar>
            <w:vAlign w:val="bottom"/>
          </w:tcPr>
          <w:p w14:paraId="5C8DDBA6"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493046E5"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5C1CA5FE"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7FD5DBB2" w14:textId="77777777" w:rsidTr="00C44F73">
        <w:trPr>
          <w:trHeight w:val="283"/>
        </w:trPr>
        <w:tc>
          <w:tcPr>
            <w:tcW w:w="0" w:type="auto"/>
            <w:tcMar>
              <w:top w:w="200" w:type="dxa"/>
              <w:left w:w="200" w:type="dxa"/>
              <w:bottom w:w="0" w:type="dxa"/>
              <w:right w:w="100" w:type="dxa"/>
            </w:tcMar>
            <w:vAlign w:val="bottom"/>
          </w:tcPr>
          <w:p w14:paraId="1FD12B3E" w14:textId="77777777" w:rsidR="005311A7" w:rsidRPr="003D63FE" w:rsidRDefault="005311A7" w:rsidP="005A4A45">
            <w:pPr>
              <w:rPr>
                <w:color w:val="000000" w:themeColor="text1"/>
              </w:rPr>
            </w:pPr>
            <w:r>
              <w:rPr>
                <w:color w:val="000000" w:themeColor="text1"/>
              </w:rPr>
              <w:t>Persecutory Thinking</w:t>
            </w:r>
            <w:r w:rsidRPr="003D63FE">
              <w:rPr>
                <w:color w:val="000000" w:themeColor="text1"/>
              </w:rPr>
              <w:t xml:space="preserve"> (Mod)</w:t>
            </w:r>
          </w:p>
        </w:tc>
        <w:tc>
          <w:tcPr>
            <w:tcW w:w="0" w:type="auto"/>
            <w:tcMar>
              <w:top w:w="200" w:type="dxa"/>
              <w:left w:w="200" w:type="dxa"/>
              <w:bottom w:w="0" w:type="dxa"/>
              <w:right w:w="100" w:type="dxa"/>
            </w:tcMar>
            <w:vAlign w:val="bottom"/>
          </w:tcPr>
          <w:p w14:paraId="3674ABD6"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71</w:t>
            </w:r>
          </w:p>
        </w:tc>
        <w:tc>
          <w:tcPr>
            <w:tcW w:w="0" w:type="auto"/>
            <w:tcMar>
              <w:top w:w="200" w:type="dxa"/>
              <w:left w:w="200" w:type="dxa"/>
              <w:bottom w:w="0" w:type="dxa"/>
              <w:right w:w="100" w:type="dxa"/>
            </w:tcMar>
            <w:vAlign w:val="bottom"/>
          </w:tcPr>
          <w:p w14:paraId="34F10111"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45</w:t>
            </w:r>
          </w:p>
        </w:tc>
        <w:tc>
          <w:tcPr>
            <w:tcW w:w="0" w:type="auto"/>
            <w:gridSpan w:val="2"/>
            <w:tcMar>
              <w:top w:w="200" w:type="dxa"/>
              <w:left w:w="200" w:type="dxa"/>
              <w:bottom w:w="0" w:type="dxa"/>
              <w:right w:w="100" w:type="dxa"/>
            </w:tcMar>
            <w:vAlign w:val="bottom"/>
          </w:tcPr>
          <w:p w14:paraId="1CC2B83A"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114</w:t>
            </w:r>
          </w:p>
        </w:tc>
        <w:tc>
          <w:tcPr>
            <w:tcW w:w="0" w:type="auto"/>
            <w:tcMar>
              <w:top w:w="200" w:type="dxa"/>
              <w:left w:w="200" w:type="dxa"/>
              <w:bottom w:w="0" w:type="dxa"/>
              <w:right w:w="100" w:type="dxa"/>
            </w:tcMar>
            <w:vAlign w:val="bottom"/>
          </w:tcPr>
          <w:p w14:paraId="752254BF"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411A0EC2"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1FB50D8F"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747E4C04" w14:textId="77777777" w:rsidTr="00C44F73">
        <w:trPr>
          <w:trHeight w:val="283"/>
        </w:trPr>
        <w:tc>
          <w:tcPr>
            <w:tcW w:w="0" w:type="auto"/>
            <w:tcMar>
              <w:top w:w="200" w:type="dxa"/>
              <w:left w:w="200" w:type="dxa"/>
              <w:bottom w:w="0" w:type="dxa"/>
              <w:right w:w="100" w:type="dxa"/>
            </w:tcMar>
            <w:vAlign w:val="bottom"/>
          </w:tcPr>
          <w:p w14:paraId="4A5A3712" w14:textId="77777777" w:rsidR="005311A7" w:rsidRPr="003D63FE" w:rsidRDefault="005311A7" w:rsidP="005A4A45">
            <w:pPr>
              <w:rPr>
                <w:color w:val="000000" w:themeColor="text1"/>
              </w:rPr>
            </w:pPr>
            <w:r>
              <w:rPr>
                <w:color w:val="000000" w:themeColor="text1"/>
              </w:rPr>
              <w:t>Insomnia</w:t>
            </w:r>
            <w:r w:rsidRPr="003D63FE">
              <w:rPr>
                <w:color w:val="000000" w:themeColor="text1"/>
              </w:rPr>
              <w:t xml:space="preserve"> x </w:t>
            </w:r>
            <w:r>
              <w:rPr>
                <w:color w:val="000000" w:themeColor="text1"/>
              </w:rPr>
              <w:t xml:space="preserve">Persecutory Thinking </w:t>
            </w:r>
            <w:r w:rsidRPr="003D63FE">
              <w:rPr>
                <w:color w:val="000000" w:themeColor="text1"/>
              </w:rPr>
              <w:t>(Int)</w:t>
            </w:r>
          </w:p>
        </w:tc>
        <w:tc>
          <w:tcPr>
            <w:tcW w:w="0" w:type="auto"/>
            <w:tcMar>
              <w:top w:w="200" w:type="dxa"/>
              <w:left w:w="200" w:type="dxa"/>
              <w:bottom w:w="0" w:type="dxa"/>
              <w:right w:w="100" w:type="dxa"/>
            </w:tcMar>
            <w:vAlign w:val="bottom"/>
          </w:tcPr>
          <w:p w14:paraId="01FF8DAD"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012</w:t>
            </w:r>
          </w:p>
        </w:tc>
        <w:tc>
          <w:tcPr>
            <w:tcW w:w="0" w:type="auto"/>
            <w:tcMar>
              <w:top w:w="200" w:type="dxa"/>
              <w:left w:w="200" w:type="dxa"/>
              <w:bottom w:w="0" w:type="dxa"/>
              <w:right w:w="100" w:type="dxa"/>
            </w:tcMar>
            <w:vAlign w:val="bottom"/>
          </w:tcPr>
          <w:p w14:paraId="43EADB0C"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03</w:t>
            </w:r>
          </w:p>
        </w:tc>
        <w:tc>
          <w:tcPr>
            <w:tcW w:w="0" w:type="auto"/>
            <w:gridSpan w:val="2"/>
            <w:tcMar>
              <w:top w:w="200" w:type="dxa"/>
              <w:left w:w="200" w:type="dxa"/>
              <w:bottom w:w="0" w:type="dxa"/>
              <w:right w:w="100" w:type="dxa"/>
            </w:tcMar>
            <w:vAlign w:val="bottom"/>
          </w:tcPr>
          <w:p w14:paraId="23E233DB" w14:textId="77777777" w:rsidR="005311A7" w:rsidRPr="003D63FE" w:rsidRDefault="005311A7" w:rsidP="005A4A45">
            <w:pPr>
              <w:jc w:val="center"/>
              <w:rPr>
                <w:color w:val="000000" w:themeColor="text1"/>
              </w:rPr>
            </w:pPr>
            <w:r w:rsidRPr="003D63FE">
              <w:rPr>
                <w:color w:val="000000" w:themeColor="text1"/>
              </w:rPr>
              <w:t>&lt; .001</w:t>
            </w:r>
          </w:p>
        </w:tc>
        <w:tc>
          <w:tcPr>
            <w:tcW w:w="0" w:type="auto"/>
            <w:tcMar>
              <w:top w:w="200" w:type="dxa"/>
              <w:left w:w="200" w:type="dxa"/>
              <w:bottom w:w="0" w:type="dxa"/>
              <w:right w:w="100" w:type="dxa"/>
            </w:tcMar>
            <w:vAlign w:val="bottom"/>
          </w:tcPr>
          <w:p w14:paraId="37EC1088"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7642FF2E"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03447662"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481A2FB2" w14:textId="77777777" w:rsidTr="00C44F73">
        <w:tc>
          <w:tcPr>
            <w:tcW w:w="0" w:type="auto"/>
            <w:tcMar>
              <w:top w:w="200" w:type="dxa"/>
              <w:left w:w="200" w:type="dxa"/>
              <w:bottom w:w="0" w:type="dxa"/>
              <w:right w:w="100" w:type="dxa"/>
            </w:tcMar>
            <w:vAlign w:val="bottom"/>
          </w:tcPr>
          <w:p w14:paraId="2C371B0F" w14:textId="77777777" w:rsidR="005311A7" w:rsidRPr="003D63FE" w:rsidRDefault="005311A7" w:rsidP="005A4A45">
            <w:pPr>
              <w:rPr>
                <w:color w:val="000000" w:themeColor="text1"/>
              </w:rPr>
            </w:pPr>
            <w:r w:rsidRPr="003D63FE">
              <w:rPr>
                <w:b/>
                <w:color w:val="000000" w:themeColor="text1"/>
              </w:rPr>
              <w:t>Mediator: Worry</w:t>
            </w:r>
          </w:p>
        </w:tc>
        <w:tc>
          <w:tcPr>
            <w:tcW w:w="0" w:type="auto"/>
            <w:tcMar>
              <w:top w:w="200" w:type="dxa"/>
              <w:left w:w="200" w:type="dxa"/>
              <w:bottom w:w="0" w:type="dxa"/>
              <w:right w:w="100" w:type="dxa"/>
            </w:tcMar>
            <w:vAlign w:val="bottom"/>
          </w:tcPr>
          <w:p w14:paraId="5915E48A"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37ED7706"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2BFBE272"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792AEAE7"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246</w:t>
            </w:r>
          </w:p>
        </w:tc>
        <w:tc>
          <w:tcPr>
            <w:tcW w:w="0" w:type="auto"/>
            <w:tcMar>
              <w:top w:w="200" w:type="dxa"/>
              <w:left w:w="200" w:type="dxa"/>
              <w:bottom w:w="0" w:type="dxa"/>
              <w:right w:w="100" w:type="dxa"/>
            </w:tcMar>
            <w:vAlign w:val="bottom"/>
          </w:tcPr>
          <w:p w14:paraId="7E82A8A9"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1</w:t>
            </w:r>
            <w:r w:rsidRPr="003D63FE">
              <w:rPr>
                <w:color w:val="000000" w:themeColor="text1"/>
              </w:rPr>
              <w:t>6</w:t>
            </w:r>
            <w:r>
              <w:rPr>
                <w:color w:val="000000" w:themeColor="text1"/>
              </w:rPr>
              <w:t>3</w:t>
            </w:r>
          </w:p>
        </w:tc>
        <w:tc>
          <w:tcPr>
            <w:tcW w:w="0" w:type="auto"/>
            <w:gridSpan w:val="2"/>
            <w:tcMar>
              <w:top w:w="200" w:type="dxa"/>
              <w:left w:w="200" w:type="dxa"/>
              <w:bottom w:w="0" w:type="dxa"/>
              <w:right w:w="100" w:type="dxa"/>
            </w:tcMar>
            <w:vAlign w:val="bottom"/>
          </w:tcPr>
          <w:p w14:paraId="758D4843"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132</w:t>
            </w:r>
          </w:p>
        </w:tc>
      </w:tr>
      <w:tr w:rsidR="005311A7" w:rsidRPr="003D63FE" w14:paraId="75C26672" w14:textId="77777777" w:rsidTr="00C44F73">
        <w:tc>
          <w:tcPr>
            <w:tcW w:w="0" w:type="auto"/>
            <w:tcMar>
              <w:top w:w="200" w:type="dxa"/>
              <w:left w:w="200" w:type="dxa"/>
              <w:bottom w:w="0" w:type="dxa"/>
              <w:right w:w="100" w:type="dxa"/>
            </w:tcMar>
            <w:vAlign w:val="bottom"/>
          </w:tcPr>
          <w:p w14:paraId="2FA49529" w14:textId="77777777" w:rsidR="005311A7" w:rsidRPr="003D63FE" w:rsidRDefault="005311A7" w:rsidP="005A4A45">
            <w:pPr>
              <w:rPr>
                <w:color w:val="000000" w:themeColor="text1"/>
              </w:rPr>
            </w:pPr>
            <w:r>
              <w:rPr>
                <w:color w:val="000000" w:themeColor="text1"/>
              </w:rPr>
              <w:t>Insomnia</w:t>
            </w:r>
            <w:r w:rsidRPr="003D63FE">
              <w:rPr>
                <w:color w:val="000000" w:themeColor="text1"/>
              </w:rPr>
              <w:t xml:space="preserve"> (IV)</w:t>
            </w:r>
          </w:p>
        </w:tc>
        <w:tc>
          <w:tcPr>
            <w:tcW w:w="0" w:type="auto"/>
            <w:tcMar>
              <w:top w:w="200" w:type="dxa"/>
              <w:left w:w="200" w:type="dxa"/>
              <w:bottom w:w="0" w:type="dxa"/>
              <w:right w:w="100" w:type="dxa"/>
            </w:tcMar>
            <w:vAlign w:val="bottom"/>
          </w:tcPr>
          <w:p w14:paraId="57FB0309" w14:textId="77777777" w:rsidR="005311A7" w:rsidRPr="003D63FE" w:rsidRDefault="005311A7" w:rsidP="005A4A45">
            <w:pPr>
              <w:jc w:val="center"/>
              <w:rPr>
                <w:color w:val="000000" w:themeColor="text1"/>
              </w:rPr>
            </w:pPr>
            <w:r w:rsidRPr="003D63FE">
              <w:rPr>
                <w:color w:val="000000" w:themeColor="text1"/>
              </w:rPr>
              <w:t>.1</w:t>
            </w:r>
            <w:r>
              <w:rPr>
                <w:color w:val="000000" w:themeColor="text1"/>
              </w:rPr>
              <w:t>26</w:t>
            </w:r>
          </w:p>
        </w:tc>
        <w:tc>
          <w:tcPr>
            <w:tcW w:w="0" w:type="auto"/>
            <w:tcMar>
              <w:top w:w="200" w:type="dxa"/>
              <w:left w:w="200" w:type="dxa"/>
              <w:bottom w:w="0" w:type="dxa"/>
              <w:right w:w="100" w:type="dxa"/>
            </w:tcMar>
            <w:vAlign w:val="bottom"/>
          </w:tcPr>
          <w:p w14:paraId="53B05280"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23</w:t>
            </w:r>
          </w:p>
        </w:tc>
        <w:tc>
          <w:tcPr>
            <w:tcW w:w="0" w:type="auto"/>
            <w:gridSpan w:val="2"/>
            <w:tcMar>
              <w:top w:w="200" w:type="dxa"/>
              <w:left w:w="200" w:type="dxa"/>
              <w:bottom w:w="0" w:type="dxa"/>
              <w:right w:w="100" w:type="dxa"/>
            </w:tcMar>
            <w:vAlign w:val="bottom"/>
          </w:tcPr>
          <w:p w14:paraId="2E59D75C" w14:textId="77777777" w:rsidR="005311A7" w:rsidRPr="003D63FE" w:rsidRDefault="005311A7" w:rsidP="005A4A45">
            <w:pPr>
              <w:jc w:val="center"/>
              <w:rPr>
                <w:color w:val="000000" w:themeColor="text1"/>
              </w:rPr>
            </w:pPr>
            <w:r w:rsidRPr="003D63FE">
              <w:rPr>
                <w:color w:val="000000" w:themeColor="text1"/>
              </w:rPr>
              <w:t>&lt; .001</w:t>
            </w:r>
          </w:p>
        </w:tc>
        <w:tc>
          <w:tcPr>
            <w:tcW w:w="0" w:type="auto"/>
            <w:tcMar>
              <w:top w:w="200" w:type="dxa"/>
              <w:left w:w="200" w:type="dxa"/>
              <w:bottom w:w="0" w:type="dxa"/>
              <w:right w:w="100" w:type="dxa"/>
            </w:tcMar>
            <w:vAlign w:val="bottom"/>
          </w:tcPr>
          <w:p w14:paraId="47A7BC9D"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08FBA4DC"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38F04CE3"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4E945F35" w14:textId="77777777" w:rsidTr="00C44F73">
        <w:tc>
          <w:tcPr>
            <w:tcW w:w="0" w:type="auto"/>
            <w:tcMar>
              <w:top w:w="200" w:type="dxa"/>
              <w:left w:w="200" w:type="dxa"/>
              <w:bottom w:w="0" w:type="dxa"/>
              <w:right w:w="100" w:type="dxa"/>
            </w:tcMar>
            <w:vAlign w:val="bottom"/>
          </w:tcPr>
          <w:p w14:paraId="3DE11648" w14:textId="77777777" w:rsidR="005311A7" w:rsidRPr="003D63FE" w:rsidRDefault="005311A7" w:rsidP="005A4A45">
            <w:pPr>
              <w:rPr>
                <w:color w:val="000000" w:themeColor="text1"/>
              </w:rPr>
            </w:pPr>
            <w:r>
              <w:rPr>
                <w:color w:val="000000" w:themeColor="text1"/>
              </w:rPr>
              <w:t>Persecutory Thinking</w:t>
            </w:r>
            <w:r w:rsidRPr="003D63FE">
              <w:rPr>
                <w:color w:val="000000" w:themeColor="text1"/>
              </w:rPr>
              <w:t xml:space="preserve"> (Mod)</w:t>
            </w:r>
          </w:p>
        </w:tc>
        <w:tc>
          <w:tcPr>
            <w:tcW w:w="0" w:type="auto"/>
            <w:tcMar>
              <w:top w:w="200" w:type="dxa"/>
              <w:left w:w="200" w:type="dxa"/>
              <w:bottom w:w="0" w:type="dxa"/>
              <w:right w:w="100" w:type="dxa"/>
            </w:tcMar>
            <w:vAlign w:val="bottom"/>
          </w:tcPr>
          <w:p w14:paraId="7F208D29"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59</w:t>
            </w:r>
          </w:p>
        </w:tc>
        <w:tc>
          <w:tcPr>
            <w:tcW w:w="0" w:type="auto"/>
            <w:tcMar>
              <w:top w:w="200" w:type="dxa"/>
              <w:left w:w="200" w:type="dxa"/>
              <w:bottom w:w="0" w:type="dxa"/>
              <w:right w:w="100" w:type="dxa"/>
            </w:tcMar>
            <w:vAlign w:val="bottom"/>
          </w:tcPr>
          <w:p w14:paraId="1ED46943"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24</w:t>
            </w:r>
          </w:p>
        </w:tc>
        <w:tc>
          <w:tcPr>
            <w:tcW w:w="0" w:type="auto"/>
            <w:gridSpan w:val="2"/>
            <w:tcMar>
              <w:top w:w="200" w:type="dxa"/>
              <w:left w:w="200" w:type="dxa"/>
              <w:bottom w:w="0" w:type="dxa"/>
              <w:right w:w="100" w:type="dxa"/>
            </w:tcMar>
            <w:vAlign w:val="bottom"/>
          </w:tcPr>
          <w:p w14:paraId="55D7037C"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013</w:t>
            </w:r>
          </w:p>
        </w:tc>
        <w:tc>
          <w:tcPr>
            <w:tcW w:w="0" w:type="auto"/>
            <w:tcMar>
              <w:top w:w="200" w:type="dxa"/>
              <w:left w:w="200" w:type="dxa"/>
              <w:bottom w:w="0" w:type="dxa"/>
              <w:right w:w="100" w:type="dxa"/>
            </w:tcMar>
            <w:vAlign w:val="bottom"/>
          </w:tcPr>
          <w:p w14:paraId="34AD8536"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7FDC484C"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40CE8A17"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6E790A81" w14:textId="77777777" w:rsidTr="00C44F73">
        <w:tc>
          <w:tcPr>
            <w:tcW w:w="0" w:type="auto"/>
            <w:tcMar>
              <w:top w:w="200" w:type="dxa"/>
              <w:left w:w="200" w:type="dxa"/>
              <w:bottom w:w="0" w:type="dxa"/>
              <w:right w:w="100" w:type="dxa"/>
            </w:tcMar>
            <w:vAlign w:val="bottom"/>
          </w:tcPr>
          <w:p w14:paraId="2D155FB4" w14:textId="77777777" w:rsidR="005311A7" w:rsidRPr="003D63FE" w:rsidRDefault="005311A7" w:rsidP="005A4A45">
            <w:pPr>
              <w:rPr>
                <w:color w:val="000000" w:themeColor="text1"/>
              </w:rPr>
            </w:pPr>
            <w:r>
              <w:rPr>
                <w:color w:val="000000" w:themeColor="text1"/>
              </w:rPr>
              <w:lastRenderedPageBreak/>
              <w:t>Insomnia</w:t>
            </w:r>
            <w:r w:rsidRPr="003D63FE">
              <w:rPr>
                <w:color w:val="000000" w:themeColor="text1"/>
              </w:rPr>
              <w:t xml:space="preserve"> x </w:t>
            </w:r>
            <w:r>
              <w:rPr>
                <w:color w:val="000000" w:themeColor="text1"/>
              </w:rPr>
              <w:t>Persecutory Thinking</w:t>
            </w:r>
            <w:r w:rsidRPr="003D63FE">
              <w:rPr>
                <w:color w:val="000000" w:themeColor="text1"/>
              </w:rPr>
              <w:t xml:space="preserve"> (Int)</w:t>
            </w:r>
          </w:p>
        </w:tc>
        <w:tc>
          <w:tcPr>
            <w:tcW w:w="0" w:type="auto"/>
            <w:tcMar>
              <w:top w:w="200" w:type="dxa"/>
              <w:left w:w="200" w:type="dxa"/>
              <w:bottom w:w="0" w:type="dxa"/>
              <w:right w:w="100" w:type="dxa"/>
            </w:tcMar>
            <w:vAlign w:val="bottom"/>
          </w:tcPr>
          <w:p w14:paraId="28054200" w14:textId="77777777" w:rsidR="005311A7" w:rsidRPr="003D63FE" w:rsidRDefault="005311A7" w:rsidP="005A4A45">
            <w:pPr>
              <w:jc w:val="center"/>
              <w:rPr>
                <w:color w:val="000000" w:themeColor="text1"/>
              </w:rPr>
            </w:pPr>
            <w:r w:rsidRPr="003D63FE">
              <w:rPr>
                <w:color w:val="000000" w:themeColor="text1"/>
              </w:rPr>
              <w:t>.00</w:t>
            </w:r>
            <w:r>
              <w:rPr>
                <w:color w:val="000000" w:themeColor="text1"/>
              </w:rPr>
              <w:t>01</w:t>
            </w:r>
          </w:p>
        </w:tc>
        <w:tc>
          <w:tcPr>
            <w:tcW w:w="0" w:type="auto"/>
            <w:tcMar>
              <w:top w:w="200" w:type="dxa"/>
              <w:left w:w="200" w:type="dxa"/>
              <w:bottom w:w="0" w:type="dxa"/>
              <w:right w:w="100" w:type="dxa"/>
            </w:tcMar>
            <w:vAlign w:val="bottom"/>
          </w:tcPr>
          <w:p w14:paraId="6CC1CA05" w14:textId="77777777" w:rsidR="005311A7" w:rsidRPr="003D63FE" w:rsidRDefault="005311A7" w:rsidP="005A4A45">
            <w:pPr>
              <w:jc w:val="center"/>
              <w:rPr>
                <w:color w:val="000000" w:themeColor="text1"/>
              </w:rPr>
            </w:pPr>
            <w:r w:rsidRPr="003D63FE">
              <w:rPr>
                <w:color w:val="000000" w:themeColor="text1"/>
              </w:rPr>
              <w:t>.001</w:t>
            </w:r>
          </w:p>
        </w:tc>
        <w:tc>
          <w:tcPr>
            <w:tcW w:w="0" w:type="auto"/>
            <w:gridSpan w:val="2"/>
            <w:tcMar>
              <w:top w:w="200" w:type="dxa"/>
              <w:left w:w="200" w:type="dxa"/>
              <w:bottom w:w="0" w:type="dxa"/>
              <w:right w:w="100" w:type="dxa"/>
            </w:tcMar>
            <w:vAlign w:val="bottom"/>
          </w:tcPr>
          <w:p w14:paraId="617021B8"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820</w:t>
            </w:r>
          </w:p>
        </w:tc>
        <w:tc>
          <w:tcPr>
            <w:tcW w:w="0" w:type="auto"/>
            <w:tcMar>
              <w:top w:w="200" w:type="dxa"/>
              <w:left w:w="200" w:type="dxa"/>
              <w:bottom w:w="0" w:type="dxa"/>
              <w:right w:w="100" w:type="dxa"/>
            </w:tcMar>
            <w:vAlign w:val="bottom"/>
          </w:tcPr>
          <w:p w14:paraId="25CA6C15"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61A12C1B"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7F25F6C6"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2170F0D3" w14:textId="77777777" w:rsidTr="00C44F73">
        <w:tc>
          <w:tcPr>
            <w:tcW w:w="0" w:type="auto"/>
            <w:tcMar>
              <w:top w:w="200" w:type="dxa"/>
              <w:left w:w="200" w:type="dxa"/>
              <w:bottom w:w="0" w:type="dxa"/>
              <w:right w:w="100" w:type="dxa"/>
            </w:tcMar>
            <w:vAlign w:val="bottom"/>
          </w:tcPr>
          <w:p w14:paraId="3494EB61" w14:textId="77777777" w:rsidR="005311A7" w:rsidRPr="003D63FE" w:rsidRDefault="005311A7" w:rsidP="005A4A45">
            <w:pPr>
              <w:rPr>
                <w:color w:val="000000" w:themeColor="text1"/>
              </w:rPr>
            </w:pPr>
            <w:r w:rsidRPr="003D63FE">
              <w:rPr>
                <w:b/>
                <w:color w:val="000000" w:themeColor="text1"/>
              </w:rPr>
              <w:t>Mediator: Depression</w:t>
            </w:r>
          </w:p>
        </w:tc>
        <w:tc>
          <w:tcPr>
            <w:tcW w:w="0" w:type="auto"/>
            <w:tcMar>
              <w:top w:w="200" w:type="dxa"/>
              <w:left w:w="200" w:type="dxa"/>
              <w:bottom w:w="0" w:type="dxa"/>
              <w:right w:w="100" w:type="dxa"/>
            </w:tcMar>
            <w:vAlign w:val="bottom"/>
          </w:tcPr>
          <w:p w14:paraId="5016AD19"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10FB6F27"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18E3E132"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7942ED37"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215</w:t>
            </w:r>
          </w:p>
        </w:tc>
        <w:tc>
          <w:tcPr>
            <w:tcW w:w="0" w:type="auto"/>
            <w:tcMar>
              <w:top w:w="200" w:type="dxa"/>
              <w:left w:w="200" w:type="dxa"/>
              <w:bottom w:w="0" w:type="dxa"/>
              <w:right w:w="100" w:type="dxa"/>
            </w:tcMar>
            <w:vAlign w:val="bottom"/>
          </w:tcPr>
          <w:p w14:paraId="17933DB6" w14:textId="77777777" w:rsidR="005311A7" w:rsidRPr="003D63FE" w:rsidRDefault="005311A7" w:rsidP="005A4A45">
            <w:pPr>
              <w:jc w:val="center"/>
              <w:rPr>
                <w:color w:val="000000" w:themeColor="text1"/>
              </w:rPr>
            </w:pPr>
            <w:r w:rsidRPr="003D63FE">
              <w:rPr>
                <w:color w:val="000000" w:themeColor="text1"/>
              </w:rPr>
              <w:t>.1</w:t>
            </w:r>
            <w:r>
              <w:rPr>
                <w:color w:val="000000" w:themeColor="text1"/>
              </w:rPr>
              <w:t>24</w:t>
            </w:r>
          </w:p>
        </w:tc>
        <w:tc>
          <w:tcPr>
            <w:tcW w:w="0" w:type="auto"/>
            <w:gridSpan w:val="2"/>
            <w:tcMar>
              <w:top w:w="200" w:type="dxa"/>
              <w:left w:w="200" w:type="dxa"/>
              <w:bottom w:w="0" w:type="dxa"/>
              <w:right w:w="100" w:type="dxa"/>
            </w:tcMar>
            <w:vAlign w:val="bottom"/>
          </w:tcPr>
          <w:p w14:paraId="06B323CC"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082</w:t>
            </w:r>
          </w:p>
        </w:tc>
      </w:tr>
      <w:tr w:rsidR="005311A7" w:rsidRPr="003D63FE" w14:paraId="54654081" w14:textId="77777777" w:rsidTr="00C44F73">
        <w:tc>
          <w:tcPr>
            <w:tcW w:w="0" w:type="auto"/>
            <w:tcMar>
              <w:top w:w="200" w:type="dxa"/>
              <w:left w:w="200" w:type="dxa"/>
              <w:bottom w:w="0" w:type="dxa"/>
              <w:right w:w="100" w:type="dxa"/>
            </w:tcMar>
            <w:vAlign w:val="bottom"/>
          </w:tcPr>
          <w:p w14:paraId="04D38C79" w14:textId="77777777" w:rsidR="005311A7" w:rsidRPr="003D63FE" w:rsidRDefault="005311A7" w:rsidP="005A4A45">
            <w:pPr>
              <w:rPr>
                <w:color w:val="000000" w:themeColor="text1"/>
              </w:rPr>
            </w:pPr>
            <w:r>
              <w:rPr>
                <w:color w:val="000000" w:themeColor="text1"/>
              </w:rPr>
              <w:t>Insomnia</w:t>
            </w:r>
            <w:r w:rsidRPr="003D63FE">
              <w:rPr>
                <w:color w:val="000000" w:themeColor="text1"/>
              </w:rPr>
              <w:t xml:space="preserve"> (IV)</w:t>
            </w:r>
          </w:p>
        </w:tc>
        <w:tc>
          <w:tcPr>
            <w:tcW w:w="0" w:type="auto"/>
            <w:tcMar>
              <w:top w:w="200" w:type="dxa"/>
              <w:left w:w="200" w:type="dxa"/>
              <w:bottom w:w="0" w:type="dxa"/>
              <w:right w:w="100" w:type="dxa"/>
            </w:tcMar>
            <w:vAlign w:val="bottom"/>
          </w:tcPr>
          <w:p w14:paraId="42C0ABD0" w14:textId="77777777" w:rsidR="005311A7" w:rsidRPr="003D63FE" w:rsidRDefault="005311A7" w:rsidP="005A4A45">
            <w:pPr>
              <w:jc w:val="center"/>
              <w:rPr>
                <w:color w:val="000000" w:themeColor="text1"/>
              </w:rPr>
            </w:pPr>
            <w:r w:rsidRPr="003D63FE">
              <w:rPr>
                <w:color w:val="000000" w:themeColor="text1"/>
              </w:rPr>
              <w:t>.1</w:t>
            </w:r>
            <w:r>
              <w:rPr>
                <w:color w:val="000000" w:themeColor="text1"/>
              </w:rPr>
              <w:t>82</w:t>
            </w:r>
          </w:p>
        </w:tc>
        <w:tc>
          <w:tcPr>
            <w:tcW w:w="0" w:type="auto"/>
            <w:tcMar>
              <w:top w:w="200" w:type="dxa"/>
              <w:left w:w="200" w:type="dxa"/>
              <w:bottom w:w="0" w:type="dxa"/>
              <w:right w:w="100" w:type="dxa"/>
            </w:tcMar>
            <w:vAlign w:val="bottom"/>
          </w:tcPr>
          <w:p w14:paraId="748C2AB1"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47</w:t>
            </w:r>
          </w:p>
        </w:tc>
        <w:tc>
          <w:tcPr>
            <w:tcW w:w="0" w:type="auto"/>
            <w:gridSpan w:val="2"/>
            <w:tcMar>
              <w:top w:w="200" w:type="dxa"/>
              <w:left w:w="200" w:type="dxa"/>
              <w:bottom w:w="0" w:type="dxa"/>
              <w:right w:w="100" w:type="dxa"/>
            </w:tcMar>
            <w:vAlign w:val="bottom"/>
          </w:tcPr>
          <w:p w14:paraId="404ECA3A" w14:textId="77777777" w:rsidR="005311A7" w:rsidRPr="003D63FE" w:rsidRDefault="005311A7" w:rsidP="005A4A45">
            <w:pPr>
              <w:jc w:val="center"/>
              <w:rPr>
                <w:color w:val="000000" w:themeColor="text1"/>
              </w:rPr>
            </w:pPr>
            <w:r w:rsidRPr="003D63FE">
              <w:rPr>
                <w:color w:val="000000" w:themeColor="text1"/>
              </w:rPr>
              <w:t>&lt; .001</w:t>
            </w:r>
          </w:p>
        </w:tc>
        <w:tc>
          <w:tcPr>
            <w:tcW w:w="0" w:type="auto"/>
            <w:tcMar>
              <w:top w:w="200" w:type="dxa"/>
              <w:left w:w="200" w:type="dxa"/>
              <w:bottom w:w="0" w:type="dxa"/>
              <w:right w:w="100" w:type="dxa"/>
            </w:tcMar>
            <w:vAlign w:val="bottom"/>
          </w:tcPr>
          <w:p w14:paraId="29B0EB90"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0349BAA6"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3E8A22C9"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250DF3B6" w14:textId="77777777" w:rsidTr="00C44F73">
        <w:tc>
          <w:tcPr>
            <w:tcW w:w="0" w:type="auto"/>
            <w:tcMar>
              <w:top w:w="200" w:type="dxa"/>
              <w:left w:w="200" w:type="dxa"/>
              <w:bottom w:w="0" w:type="dxa"/>
              <w:right w:w="100" w:type="dxa"/>
            </w:tcMar>
            <w:vAlign w:val="bottom"/>
          </w:tcPr>
          <w:p w14:paraId="4B686A48" w14:textId="77777777" w:rsidR="005311A7" w:rsidRPr="003D63FE" w:rsidRDefault="005311A7" w:rsidP="005A4A45">
            <w:pPr>
              <w:rPr>
                <w:color w:val="000000" w:themeColor="text1"/>
              </w:rPr>
            </w:pPr>
            <w:r>
              <w:rPr>
                <w:color w:val="000000" w:themeColor="text1"/>
              </w:rPr>
              <w:t>Persecutory Thinking</w:t>
            </w:r>
            <w:r w:rsidRPr="003D63FE">
              <w:rPr>
                <w:color w:val="000000" w:themeColor="text1"/>
              </w:rPr>
              <w:t xml:space="preserve"> (Mod)</w:t>
            </w:r>
          </w:p>
        </w:tc>
        <w:tc>
          <w:tcPr>
            <w:tcW w:w="0" w:type="auto"/>
            <w:tcMar>
              <w:top w:w="200" w:type="dxa"/>
              <w:left w:w="200" w:type="dxa"/>
              <w:bottom w:w="0" w:type="dxa"/>
              <w:right w:w="100" w:type="dxa"/>
            </w:tcMar>
            <w:vAlign w:val="bottom"/>
          </w:tcPr>
          <w:p w14:paraId="7FC228B0" w14:textId="77777777" w:rsidR="005311A7" w:rsidRPr="003D63FE" w:rsidRDefault="005311A7" w:rsidP="005A4A45">
            <w:pPr>
              <w:jc w:val="center"/>
              <w:rPr>
                <w:color w:val="000000" w:themeColor="text1"/>
              </w:rPr>
            </w:pPr>
            <w:r>
              <w:rPr>
                <w:color w:val="000000" w:themeColor="text1"/>
              </w:rPr>
              <w:t>-</w:t>
            </w:r>
            <w:r w:rsidRPr="003D63FE">
              <w:rPr>
                <w:color w:val="000000" w:themeColor="text1"/>
              </w:rPr>
              <w:t>.0</w:t>
            </w:r>
            <w:r>
              <w:rPr>
                <w:color w:val="000000" w:themeColor="text1"/>
              </w:rPr>
              <w:t>64</w:t>
            </w:r>
          </w:p>
        </w:tc>
        <w:tc>
          <w:tcPr>
            <w:tcW w:w="0" w:type="auto"/>
            <w:tcMar>
              <w:top w:w="200" w:type="dxa"/>
              <w:left w:w="200" w:type="dxa"/>
              <w:bottom w:w="0" w:type="dxa"/>
              <w:right w:w="100" w:type="dxa"/>
            </w:tcMar>
            <w:vAlign w:val="bottom"/>
          </w:tcPr>
          <w:p w14:paraId="569FF4A7"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48</w:t>
            </w:r>
          </w:p>
        </w:tc>
        <w:tc>
          <w:tcPr>
            <w:tcW w:w="0" w:type="auto"/>
            <w:gridSpan w:val="2"/>
            <w:tcMar>
              <w:top w:w="200" w:type="dxa"/>
              <w:left w:w="200" w:type="dxa"/>
              <w:bottom w:w="0" w:type="dxa"/>
              <w:right w:w="100" w:type="dxa"/>
            </w:tcMar>
            <w:vAlign w:val="bottom"/>
          </w:tcPr>
          <w:p w14:paraId="51798927" w14:textId="77777777" w:rsidR="005311A7" w:rsidRPr="003D63FE" w:rsidRDefault="005311A7" w:rsidP="005A4A45">
            <w:pPr>
              <w:jc w:val="center"/>
              <w:rPr>
                <w:color w:val="000000" w:themeColor="text1"/>
              </w:rPr>
            </w:pPr>
            <w:r w:rsidRPr="003D63FE">
              <w:rPr>
                <w:color w:val="000000" w:themeColor="text1"/>
              </w:rPr>
              <w:t>.</w:t>
            </w:r>
            <w:r>
              <w:rPr>
                <w:color w:val="000000" w:themeColor="text1"/>
              </w:rPr>
              <w:t>185</w:t>
            </w:r>
          </w:p>
        </w:tc>
        <w:tc>
          <w:tcPr>
            <w:tcW w:w="0" w:type="auto"/>
            <w:tcMar>
              <w:top w:w="200" w:type="dxa"/>
              <w:left w:w="200" w:type="dxa"/>
              <w:bottom w:w="0" w:type="dxa"/>
              <w:right w:w="100" w:type="dxa"/>
            </w:tcMar>
            <w:vAlign w:val="bottom"/>
          </w:tcPr>
          <w:p w14:paraId="3E8F78E1"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211D362B"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78B3CEB5"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0EF95464" w14:textId="77777777" w:rsidTr="00C44F73">
        <w:tc>
          <w:tcPr>
            <w:tcW w:w="0" w:type="auto"/>
            <w:tcMar>
              <w:top w:w="200" w:type="dxa"/>
              <w:left w:w="200" w:type="dxa"/>
              <w:bottom w:w="0" w:type="dxa"/>
              <w:right w:w="100" w:type="dxa"/>
            </w:tcMar>
            <w:vAlign w:val="bottom"/>
          </w:tcPr>
          <w:p w14:paraId="234B4DA2" w14:textId="77777777" w:rsidR="005311A7" w:rsidRPr="003D63FE" w:rsidRDefault="005311A7" w:rsidP="005A4A45">
            <w:pPr>
              <w:rPr>
                <w:color w:val="000000" w:themeColor="text1"/>
              </w:rPr>
            </w:pPr>
            <w:r>
              <w:rPr>
                <w:color w:val="000000" w:themeColor="text1"/>
              </w:rPr>
              <w:t>Insomnia</w:t>
            </w:r>
            <w:r w:rsidRPr="003D63FE">
              <w:rPr>
                <w:color w:val="000000" w:themeColor="text1"/>
              </w:rPr>
              <w:t xml:space="preserve"> x </w:t>
            </w:r>
            <w:r>
              <w:rPr>
                <w:color w:val="000000" w:themeColor="text1"/>
              </w:rPr>
              <w:t>Persecutory Thinking</w:t>
            </w:r>
            <w:r w:rsidRPr="003D63FE">
              <w:rPr>
                <w:color w:val="000000" w:themeColor="text1"/>
              </w:rPr>
              <w:t xml:space="preserve"> (Int)</w:t>
            </w:r>
          </w:p>
        </w:tc>
        <w:tc>
          <w:tcPr>
            <w:tcW w:w="0" w:type="auto"/>
            <w:tcMar>
              <w:top w:w="200" w:type="dxa"/>
              <w:left w:w="200" w:type="dxa"/>
              <w:bottom w:w="0" w:type="dxa"/>
              <w:right w:w="100" w:type="dxa"/>
            </w:tcMar>
            <w:vAlign w:val="bottom"/>
          </w:tcPr>
          <w:p w14:paraId="1AEE0264" w14:textId="77777777" w:rsidR="005311A7" w:rsidRPr="003D63FE" w:rsidRDefault="005311A7" w:rsidP="005A4A45">
            <w:pPr>
              <w:jc w:val="center"/>
              <w:rPr>
                <w:color w:val="000000" w:themeColor="text1"/>
              </w:rPr>
            </w:pPr>
            <w:r w:rsidRPr="003D63FE">
              <w:rPr>
                <w:color w:val="000000" w:themeColor="text1"/>
              </w:rPr>
              <w:t>.0</w:t>
            </w:r>
            <w:r>
              <w:rPr>
                <w:color w:val="000000" w:themeColor="text1"/>
              </w:rPr>
              <w:t>12</w:t>
            </w:r>
          </w:p>
        </w:tc>
        <w:tc>
          <w:tcPr>
            <w:tcW w:w="0" w:type="auto"/>
            <w:tcMar>
              <w:top w:w="200" w:type="dxa"/>
              <w:left w:w="200" w:type="dxa"/>
              <w:bottom w:w="0" w:type="dxa"/>
              <w:right w:w="100" w:type="dxa"/>
            </w:tcMar>
            <w:vAlign w:val="bottom"/>
          </w:tcPr>
          <w:p w14:paraId="37DE7532" w14:textId="77777777" w:rsidR="005311A7" w:rsidRPr="003D63FE" w:rsidRDefault="005311A7" w:rsidP="005A4A45">
            <w:pPr>
              <w:jc w:val="center"/>
              <w:rPr>
                <w:color w:val="000000" w:themeColor="text1"/>
              </w:rPr>
            </w:pPr>
            <w:r w:rsidRPr="003D63FE">
              <w:rPr>
                <w:color w:val="000000" w:themeColor="text1"/>
              </w:rPr>
              <w:t>.00</w:t>
            </w:r>
            <w:r>
              <w:rPr>
                <w:color w:val="000000" w:themeColor="text1"/>
              </w:rPr>
              <w:t>3</w:t>
            </w:r>
          </w:p>
        </w:tc>
        <w:tc>
          <w:tcPr>
            <w:tcW w:w="0" w:type="auto"/>
            <w:gridSpan w:val="2"/>
            <w:tcMar>
              <w:top w:w="200" w:type="dxa"/>
              <w:left w:w="200" w:type="dxa"/>
              <w:bottom w:w="0" w:type="dxa"/>
              <w:right w:w="100" w:type="dxa"/>
            </w:tcMar>
            <w:vAlign w:val="bottom"/>
          </w:tcPr>
          <w:p w14:paraId="6C42C1D9" w14:textId="77777777" w:rsidR="005311A7" w:rsidRPr="003D63FE" w:rsidRDefault="005311A7" w:rsidP="005A4A45">
            <w:pPr>
              <w:jc w:val="center"/>
              <w:rPr>
                <w:color w:val="000000" w:themeColor="text1"/>
              </w:rPr>
            </w:pPr>
            <w:r w:rsidRPr="003D63FE">
              <w:rPr>
                <w:color w:val="000000" w:themeColor="text1"/>
              </w:rPr>
              <w:t>&lt;.0</w:t>
            </w:r>
            <w:r>
              <w:rPr>
                <w:color w:val="000000" w:themeColor="text1"/>
              </w:rPr>
              <w:t>01</w:t>
            </w:r>
          </w:p>
        </w:tc>
        <w:tc>
          <w:tcPr>
            <w:tcW w:w="0" w:type="auto"/>
            <w:tcMar>
              <w:top w:w="200" w:type="dxa"/>
              <w:left w:w="200" w:type="dxa"/>
              <w:bottom w:w="0" w:type="dxa"/>
              <w:right w:w="100" w:type="dxa"/>
            </w:tcMar>
            <w:vAlign w:val="bottom"/>
          </w:tcPr>
          <w:p w14:paraId="581394FF" w14:textId="77777777" w:rsidR="005311A7" w:rsidRPr="003D63FE" w:rsidRDefault="005311A7" w:rsidP="005A4A45">
            <w:pPr>
              <w:jc w:val="center"/>
              <w:rPr>
                <w:color w:val="000000" w:themeColor="text1"/>
              </w:rPr>
            </w:pPr>
            <w:r w:rsidRPr="003D63FE">
              <w:rPr>
                <w:color w:val="000000" w:themeColor="text1"/>
              </w:rPr>
              <w:t> </w:t>
            </w:r>
          </w:p>
        </w:tc>
        <w:tc>
          <w:tcPr>
            <w:tcW w:w="0" w:type="auto"/>
            <w:tcMar>
              <w:top w:w="200" w:type="dxa"/>
              <w:left w:w="200" w:type="dxa"/>
              <w:bottom w:w="0" w:type="dxa"/>
              <w:right w:w="100" w:type="dxa"/>
            </w:tcMar>
            <w:vAlign w:val="bottom"/>
          </w:tcPr>
          <w:p w14:paraId="0247DB86"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Mar>
              <w:top w:w="200" w:type="dxa"/>
              <w:left w:w="200" w:type="dxa"/>
              <w:bottom w:w="0" w:type="dxa"/>
              <w:right w:w="100" w:type="dxa"/>
            </w:tcMar>
            <w:vAlign w:val="bottom"/>
          </w:tcPr>
          <w:p w14:paraId="19BD51D7"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454FE546" w14:textId="77777777" w:rsidTr="00C44F73">
        <w:tc>
          <w:tcPr>
            <w:tcW w:w="0" w:type="auto"/>
            <w:tcBorders>
              <w:bottom w:val="single" w:sz="8" w:space="0" w:color="000000"/>
            </w:tcBorders>
            <w:tcMar>
              <w:top w:w="200" w:type="dxa"/>
              <w:left w:w="200" w:type="dxa"/>
              <w:bottom w:w="0" w:type="dxa"/>
              <w:right w:w="100" w:type="dxa"/>
            </w:tcMar>
            <w:vAlign w:val="bottom"/>
          </w:tcPr>
          <w:p w14:paraId="0E273C0D" w14:textId="77777777" w:rsidR="005311A7" w:rsidRPr="003D63FE" w:rsidRDefault="005311A7" w:rsidP="005A4A45">
            <w:pPr>
              <w:rPr>
                <w:rFonts w:ascii="Times Roman" w:hAnsi="Times Roman" w:cs="Times Roman"/>
                <w:color w:val="000000" w:themeColor="text1"/>
              </w:rPr>
            </w:pPr>
          </w:p>
        </w:tc>
        <w:tc>
          <w:tcPr>
            <w:tcW w:w="0" w:type="auto"/>
            <w:tcBorders>
              <w:bottom w:val="single" w:sz="8" w:space="0" w:color="000000"/>
            </w:tcBorders>
            <w:tcMar>
              <w:top w:w="200" w:type="dxa"/>
              <w:left w:w="200" w:type="dxa"/>
              <w:bottom w:w="0" w:type="dxa"/>
              <w:right w:w="100" w:type="dxa"/>
            </w:tcMar>
            <w:vAlign w:val="bottom"/>
          </w:tcPr>
          <w:p w14:paraId="12376949" w14:textId="77777777" w:rsidR="005311A7" w:rsidRPr="003D63FE" w:rsidRDefault="005311A7" w:rsidP="005A4A45">
            <w:pPr>
              <w:rPr>
                <w:rFonts w:ascii="Times Roman" w:hAnsi="Times Roman" w:cs="Times Roman"/>
                <w:color w:val="000000" w:themeColor="text1"/>
              </w:rPr>
            </w:pPr>
          </w:p>
        </w:tc>
        <w:tc>
          <w:tcPr>
            <w:tcW w:w="0" w:type="auto"/>
            <w:tcBorders>
              <w:bottom w:val="single" w:sz="8" w:space="0" w:color="000000"/>
            </w:tcBorders>
            <w:tcMar>
              <w:top w:w="200" w:type="dxa"/>
              <w:left w:w="200" w:type="dxa"/>
              <w:bottom w:w="0" w:type="dxa"/>
              <w:right w:w="100" w:type="dxa"/>
            </w:tcMar>
            <w:vAlign w:val="bottom"/>
          </w:tcPr>
          <w:p w14:paraId="72CECF96"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Borders>
              <w:bottom w:val="single" w:sz="8" w:space="0" w:color="000000"/>
            </w:tcBorders>
            <w:tcMar>
              <w:top w:w="200" w:type="dxa"/>
              <w:left w:w="200" w:type="dxa"/>
              <w:bottom w:w="0" w:type="dxa"/>
              <w:right w:w="100" w:type="dxa"/>
            </w:tcMar>
            <w:vAlign w:val="bottom"/>
          </w:tcPr>
          <w:p w14:paraId="02FEA4EF" w14:textId="77777777" w:rsidR="005311A7" w:rsidRPr="003D63FE" w:rsidRDefault="005311A7" w:rsidP="005A4A45">
            <w:pPr>
              <w:jc w:val="center"/>
              <w:rPr>
                <w:color w:val="000000" w:themeColor="text1"/>
              </w:rPr>
            </w:pPr>
            <w:r w:rsidRPr="003D63FE">
              <w:rPr>
                <w:color w:val="000000" w:themeColor="text1"/>
              </w:rPr>
              <w:t> </w:t>
            </w:r>
          </w:p>
        </w:tc>
        <w:tc>
          <w:tcPr>
            <w:tcW w:w="0" w:type="auto"/>
            <w:tcBorders>
              <w:bottom w:val="single" w:sz="8" w:space="0" w:color="000000"/>
            </w:tcBorders>
            <w:tcMar>
              <w:top w:w="200" w:type="dxa"/>
              <w:left w:w="200" w:type="dxa"/>
              <w:bottom w:w="0" w:type="dxa"/>
              <w:right w:w="100" w:type="dxa"/>
            </w:tcMar>
            <w:vAlign w:val="bottom"/>
          </w:tcPr>
          <w:p w14:paraId="7E0A0677" w14:textId="77777777" w:rsidR="005311A7" w:rsidRPr="003D63FE" w:rsidRDefault="005311A7" w:rsidP="005A4A45">
            <w:pPr>
              <w:jc w:val="center"/>
              <w:rPr>
                <w:color w:val="000000" w:themeColor="text1"/>
              </w:rPr>
            </w:pPr>
            <w:r w:rsidRPr="003D63FE">
              <w:rPr>
                <w:color w:val="000000" w:themeColor="text1"/>
              </w:rPr>
              <w:t> </w:t>
            </w:r>
          </w:p>
        </w:tc>
        <w:tc>
          <w:tcPr>
            <w:tcW w:w="0" w:type="auto"/>
            <w:tcBorders>
              <w:bottom w:val="single" w:sz="8" w:space="0" w:color="000000"/>
            </w:tcBorders>
            <w:tcMar>
              <w:top w:w="200" w:type="dxa"/>
              <w:left w:w="200" w:type="dxa"/>
              <w:bottom w:w="0" w:type="dxa"/>
              <w:right w:w="100" w:type="dxa"/>
            </w:tcMar>
            <w:vAlign w:val="bottom"/>
          </w:tcPr>
          <w:p w14:paraId="61A6F26D" w14:textId="77777777" w:rsidR="005311A7" w:rsidRPr="003D63FE" w:rsidRDefault="005311A7" w:rsidP="005A4A45">
            <w:pPr>
              <w:jc w:val="center"/>
              <w:rPr>
                <w:color w:val="000000" w:themeColor="text1"/>
              </w:rPr>
            </w:pPr>
            <w:r w:rsidRPr="003D63FE">
              <w:rPr>
                <w:color w:val="000000" w:themeColor="text1"/>
              </w:rPr>
              <w:t> </w:t>
            </w:r>
          </w:p>
        </w:tc>
        <w:tc>
          <w:tcPr>
            <w:tcW w:w="0" w:type="auto"/>
            <w:gridSpan w:val="2"/>
            <w:tcBorders>
              <w:bottom w:val="single" w:sz="8" w:space="0" w:color="000000"/>
            </w:tcBorders>
            <w:tcMar>
              <w:top w:w="200" w:type="dxa"/>
              <w:left w:w="200" w:type="dxa"/>
              <w:bottom w:w="0" w:type="dxa"/>
              <w:right w:w="100" w:type="dxa"/>
            </w:tcMar>
            <w:vAlign w:val="bottom"/>
          </w:tcPr>
          <w:p w14:paraId="5CAF1F48" w14:textId="77777777" w:rsidR="005311A7" w:rsidRPr="003D63FE" w:rsidRDefault="005311A7" w:rsidP="005A4A45">
            <w:pPr>
              <w:jc w:val="center"/>
              <w:rPr>
                <w:color w:val="000000" w:themeColor="text1"/>
              </w:rPr>
            </w:pPr>
            <w:r w:rsidRPr="003D63FE">
              <w:rPr>
                <w:color w:val="000000" w:themeColor="text1"/>
              </w:rPr>
              <w:t> </w:t>
            </w:r>
          </w:p>
        </w:tc>
      </w:tr>
      <w:tr w:rsidR="005311A7" w:rsidRPr="003D63FE" w14:paraId="0D78175D" w14:textId="77777777" w:rsidTr="00C44F73">
        <w:tc>
          <w:tcPr>
            <w:tcW w:w="0" w:type="auto"/>
            <w:tcMar>
              <w:top w:w="0" w:type="dxa"/>
              <w:left w:w="0" w:type="dxa"/>
              <w:bottom w:w="0" w:type="dxa"/>
              <w:right w:w="0" w:type="dxa"/>
            </w:tcMar>
            <w:vAlign w:val="center"/>
          </w:tcPr>
          <w:p w14:paraId="251B7949"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2A08AA9B"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2985C1EB"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0B6D2466"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751A103A"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03ED8399"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49DE4818"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6F808D71" w14:textId="77777777" w:rsidR="005311A7" w:rsidRPr="003D63FE" w:rsidRDefault="005311A7" w:rsidP="005A4A45">
            <w:pPr>
              <w:rPr>
                <w:rFonts w:ascii="Times Roman" w:hAnsi="Times Roman" w:cs="Times Roman"/>
                <w:color w:val="000000" w:themeColor="text1"/>
              </w:rPr>
            </w:pPr>
          </w:p>
        </w:tc>
        <w:tc>
          <w:tcPr>
            <w:tcW w:w="0" w:type="auto"/>
            <w:tcMar>
              <w:top w:w="0" w:type="dxa"/>
              <w:left w:w="0" w:type="dxa"/>
              <w:bottom w:w="0" w:type="dxa"/>
              <w:right w:w="0" w:type="dxa"/>
            </w:tcMar>
            <w:vAlign w:val="center"/>
          </w:tcPr>
          <w:p w14:paraId="31BF2841" w14:textId="77777777" w:rsidR="005311A7" w:rsidRPr="003D63FE" w:rsidRDefault="005311A7" w:rsidP="005A4A45">
            <w:pPr>
              <w:rPr>
                <w:rFonts w:ascii="Times Roman" w:hAnsi="Times Roman" w:cs="Times Roman"/>
                <w:color w:val="000000" w:themeColor="text1"/>
              </w:rPr>
            </w:pPr>
          </w:p>
        </w:tc>
      </w:tr>
    </w:tbl>
    <w:p w14:paraId="532504C7" w14:textId="2331C0B6" w:rsidR="005311A7" w:rsidRPr="003D63FE" w:rsidRDefault="005311A7" w:rsidP="00D37E50">
      <w:pPr>
        <w:ind w:firstLine="944"/>
        <w:rPr>
          <w:color w:val="000000" w:themeColor="text1"/>
        </w:rPr>
      </w:pPr>
      <w:r w:rsidRPr="003D63FE">
        <w:rPr>
          <w:color w:val="000000" w:themeColor="text1"/>
        </w:rPr>
        <w:t xml:space="preserve">N = </w:t>
      </w:r>
      <w:r>
        <w:rPr>
          <w:color w:val="000000" w:themeColor="text1"/>
        </w:rPr>
        <w:t>715</w:t>
      </w:r>
      <w:r w:rsidRPr="003D63FE">
        <w:rPr>
          <w:color w:val="000000" w:themeColor="text1"/>
        </w:rPr>
        <w:t>. Model c` path R</w:t>
      </w:r>
      <w:r w:rsidRPr="003D63FE">
        <w:rPr>
          <w:color w:val="000000" w:themeColor="text1"/>
          <w:vertAlign w:val="superscript"/>
        </w:rPr>
        <w:t>2</w:t>
      </w:r>
      <w:r w:rsidRPr="003D63FE">
        <w:rPr>
          <w:color w:val="000000" w:themeColor="text1"/>
        </w:rPr>
        <w:t xml:space="preserve"> = .</w:t>
      </w:r>
      <w:proofErr w:type="gramStart"/>
      <w:r>
        <w:rPr>
          <w:color w:val="000000" w:themeColor="text1"/>
        </w:rPr>
        <w:t>612</w:t>
      </w:r>
      <w:r w:rsidRPr="003D63FE">
        <w:rPr>
          <w:color w:val="000000" w:themeColor="text1"/>
        </w:rPr>
        <w:t>,  F</w:t>
      </w:r>
      <w:proofErr w:type="gramEnd"/>
      <w:r w:rsidRPr="003D63FE">
        <w:rPr>
          <w:color w:val="000000" w:themeColor="text1"/>
        </w:rPr>
        <w:t>(1</w:t>
      </w:r>
      <w:r>
        <w:rPr>
          <w:color w:val="000000" w:themeColor="text1"/>
        </w:rPr>
        <w:t>2</w:t>
      </w:r>
      <w:r w:rsidRPr="003D63FE">
        <w:rPr>
          <w:color w:val="000000" w:themeColor="text1"/>
        </w:rPr>
        <w:t xml:space="preserve">, </w:t>
      </w:r>
      <w:r>
        <w:rPr>
          <w:color w:val="000000" w:themeColor="text1"/>
        </w:rPr>
        <w:t>702</w:t>
      </w:r>
      <w:r w:rsidRPr="003D63FE">
        <w:rPr>
          <w:color w:val="000000" w:themeColor="text1"/>
        </w:rPr>
        <w:t xml:space="preserve">) = </w:t>
      </w:r>
      <w:r>
        <w:rPr>
          <w:color w:val="000000" w:themeColor="text1"/>
        </w:rPr>
        <w:t>92.316</w:t>
      </w:r>
      <w:r w:rsidRPr="003D63FE">
        <w:rPr>
          <w:color w:val="000000" w:themeColor="text1"/>
        </w:rPr>
        <w:t xml:space="preserve">, p &lt; .001.  </w:t>
      </w:r>
    </w:p>
    <w:p w14:paraId="4E3536C3" w14:textId="77777777" w:rsidR="005311A7" w:rsidRDefault="005311A7" w:rsidP="005A10B7">
      <w:pPr>
        <w:ind w:firstLine="944"/>
      </w:pPr>
      <w:r w:rsidRPr="003D63FE">
        <w:rPr>
          <w:color w:val="000000" w:themeColor="text1"/>
        </w:rPr>
        <w:t xml:space="preserve">Direct effect, </w:t>
      </w:r>
      <w:r w:rsidRPr="003D63FE">
        <w:rPr>
          <w:i/>
          <w:color w:val="000000" w:themeColor="text1"/>
        </w:rPr>
        <w:t>b</w:t>
      </w:r>
      <w:r w:rsidRPr="003D63FE">
        <w:rPr>
          <w:color w:val="000000" w:themeColor="text1"/>
        </w:rPr>
        <w:t xml:space="preserve"> = .</w:t>
      </w:r>
      <w:r>
        <w:rPr>
          <w:color w:val="000000" w:themeColor="text1"/>
        </w:rPr>
        <w:t>194</w:t>
      </w:r>
      <w:r w:rsidRPr="003D63FE">
        <w:rPr>
          <w:color w:val="000000" w:themeColor="text1"/>
        </w:rPr>
        <w:t>, SE = .1</w:t>
      </w:r>
      <w:r>
        <w:rPr>
          <w:color w:val="000000" w:themeColor="text1"/>
        </w:rPr>
        <w:t>01</w:t>
      </w:r>
      <w:r w:rsidRPr="003D63FE">
        <w:rPr>
          <w:color w:val="000000" w:themeColor="text1"/>
        </w:rPr>
        <w:t xml:space="preserve">, p </w:t>
      </w:r>
      <w:r>
        <w:rPr>
          <w:color w:val="000000" w:themeColor="text1"/>
        </w:rPr>
        <w:t>=</w:t>
      </w:r>
      <w:r w:rsidRPr="003D63FE">
        <w:rPr>
          <w:color w:val="000000" w:themeColor="text1"/>
        </w:rPr>
        <w:t xml:space="preserve"> .</w:t>
      </w:r>
      <w:r>
        <w:rPr>
          <w:color w:val="000000" w:themeColor="text1"/>
        </w:rPr>
        <w:t>055</w:t>
      </w:r>
      <w:r w:rsidRPr="003D63FE">
        <w:rPr>
          <w:color w:val="000000" w:themeColor="text1"/>
        </w:rPr>
        <w:t>, 95%</w:t>
      </w:r>
      <w:proofErr w:type="gramStart"/>
      <w:r w:rsidRPr="003D63FE">
        <w:rPr>
          <w:color w:val="000000" w:themeColor="text1"/>
        </w:rPr>
        <w:t>CI[</w:t>
      </w:r>
      <w:proofErr w:type="gramEnd"/>
      <w:r>
        <w:rPr>
          <w:color w:val="000000" w:themeColor="text1"/>
        </w:rPr>
        <w:t>-</w:t>
      </w:r>
      <w:r w:rsidRPr="003D63FE">
        <w:rPr>
          <w:color w:val="000000" w:themeColor="text1"/>
        </w:rPr>
        <w:t>.</w:t>
      </w:r>
      <w:r>
        <w:rPr>
          <w:color w:val="000000" w:themeColor="text1"/>
        </w:rPr>
        <w:t>0046</w:t>
      </w:r>
      <w:r w:rsidRPr="003D63FE">
        <w:rPr>
          <w:color w:val="000000" w:themeColor="text1"/>
        </w:rPr>
        <w:t xml:space="preserve">, </w:t>
      </w:r>
      <w:r>
        <w:rPr>
          <w:color w:val="000000" w:themeColor="text1"/>
        </w:rPr>
        <w:t>.392</w:t>
      </w:r>
      <w:r w:rsidRPr="003D63FE">
        <w:rPr>
          <w:color w:val="000000" w:themeColor="text1"/>
        </w:rPr>
        <w:t xml:space="preserve">]. </w:t>
      </w:r>
    </w:p>
    <w:p w14:paraId="6A82A2F7" w14:textId="77777777" w:rsidR="00C467FF" w:rsidRDefault="00C467FF"/>
    <w:sectPr w:rsidR="00C467FF" w:rsidSect="005311A7">
      <w:pgSz w:w="16834" w:h="11909" w:orient="landscape"/>
      <w:pgMar w:top="1440" w:right="1080" w:bottom="1440" w:left="10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8128" w14:textId="77777777" w:rsidR="009F7F2F" w:rsidRDefault="009F7F2F" w:rsidP="005311A7">
      <w:pPr>
        <w:spacing w:line="240" w:lineRule="auto"/>
      </w:pPr>
      <w:r>
        <w:separator/>
      </w:r>
    </w:p>
  </w:endnote>
  <w:endnote w:type="continuationSeparator" w:id="0">
    <w:p w14:paraId="6242F25C" w14:textId="77777777" w:rsidR="009F7F2F" w:rsidRDefault="009F7F2F" w:rsidP="00531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9D1A" w14:textId="77777777" w:rsidR="009F7F2F" w:rsidRDefault="009F7F2F" w:rsidP="005311A7">
      <w:pPr>
        <w:spacing w:line="240" w:lineRule="auto"/>
      </w:pPr>
      <w:r>
        <w:separator/>
      </w:r>
    </w:p>
  </w:footnote>
  <w:footnote w:type="continuationSeparator" w:id="0">
    <w:p w14:paraId="0A842EFF" w14:textId="77777777" w:rsidR="009F7F2F" w:rsidRDefault="009F7F2F" w:rsidP="00531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AA5D" w14:textId="77777777" w:rsidR="007961E2" w:rsidRDefault="00F5645E">
    <w:pPr>
      <w:ind w:firstLine="0"/>
    </w:pPr>
    <w:r>
      <w:t xml:space="preserve">CHANGES IN INSOMNIA AND PANDEMIC PARANOIA </w:t>
    </w:r>
    <w:r>
      <w:tab/>
    </w:r>
    <w:r>
      <w:tab/>
    </w:r>
    <w:r>
      <w:tab/>
    </w:r>
    <w:r>
      <w:tab/>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80C4" w14:textId="77777777" w:rsidR="007961E2" w:rsidRDefault="00F5645E">
    <w:r>
      <w:t>RUNNING HEAD</w:t>
    </w:r>
    <w:r>
      <w:tab/>
    </w:r>
    <w:r>
      <w:tab/>
    </w:r>
    <w:r>
      <w:tab/>
    </w:r>
    <w:r>
      <w:tab/>
    </w:r>
    <w:r>
      <w:tab/>
    </w:r>
    <w:r>
      <w:tab/>
    </w:r>
    <w:r>
      <w:tab/>
    </w:r>
    <w:r>
      <w:tab/>
    </w:r>
    <w:r>
      <w:tab/>
    </w:r>
    <w:r>
      <w:tab/>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81F76"/>
    <w:multiLevelType w:val="hybridMultilevel"/>
    <w:tmpl w:val="70D4F8D8"/>
    <w:lvl w:ilvl="0" w:tplc="3ED282AC">
      <w:start w:val="1"/>
      <w:numFmt w:val="bullet"/>
      <w:lvlText w:val=""/>
      <w:lvlJc w:val="left"/>
      <w:pPr>
        <w:ind w:left="1020" w:hanging="360"/>
      </w:pPr>
      <w:rPr>
        <w:rFonts w:ascii="Symbol" w:hAnsi="Symbol"/>
      </w:rPr>
    </w:lvl>
    <w:lvl w:ilvl="1" w:tplc="80FCB094">
      <w:start w:val="1"/>
      <w:numFmt w:val="bullet"/>
      <w:lvlText w:val=""/>
      <w:lvlJc w:val="left"/>
      <w:pPr>
        <w:ind w:left="1020" w:hanging="360"/>
      </w:pPr>
      <w:rPr>
        <w:rFonts w:ascii="Symbol" w:hAnsi="Symbol"/>
      </w:rPr>
    </w:lvl>
    <w:lvl w:ilvl="2" w:tplc="CE82F142">
      <w:start w:val="1"/>
      <w:numFmt w:val="bullet"/>
      <w:lvlText w:val=""/>
      <w:lvlJc w:val="left"/>
      <w:pPr>
        <w:ind w:left="1020" w:hanging="360"/>
      </w:pPr>
      <w:rPr>
        <w:rFonts w:ascii="Symbol" w:hAnsi="Symbol"/>
      </w:rPr>
    </w:lvl>
    <w:lvl w:ilvl="3" w:tplc="01A2048E">
      <w:start w:val="1"/>
      <w:numFmt w:val="bullet"/>
      <w:lvlText w:val=""/>
      <w:lvlJc w:val="left"/>
      <w:pPr>
        <w:ind w:left="1020" w:hanging="360"/>
      </w:pPr>
      <w:rPr>
        <w:rFonts w:ascii="Symbol" w:hAnsi="Symbol"/>
      </w:rPr>
    </w:lvl>
    <w:lvl w:ilvl="4" w:tplc="F30CA7CC">
      <w:start w:val="1"/>
      <w:numFmt w:val="bullet"/>
      <w:lvlText w:val=""/>
      <w:lvlJc w:val="left"/>
      <w:pPr>
        <w:ind w:left="1020" w:hanging="360"/>
      </w:pPr>
      <w:rPr>
        <w:rFonts w:ascii="Symbol" w:hAnsi="Symbol"/>
      </w:rPr>
    </w:lvl>
    <w:lvl w:ilvl="5" w:tplc="D9CE5420">
      <w:start w:val="1"/>
      <w:numFmt w:val="bullet"/>
      <w:lvlText w:val=""/>
      <w:lvlJc w:val="left"/>
      <w:pPr>
        <w:ind w:left="1020" w:hanging="360"/>
      </w:pPr>
      <w:rPr>
        <w:rFonts w:ascii="Symbol" w:hAnsi="Symbol"/>
      </w:rPr>
    </w:lvl>
    <w:lvl w:ilvl="6" w:tplc="E20EC3E6">
      <w:start w:val="1"/>
      <w:numFmt w:val="bullet"/>
      <w:lvlText w:val=""/>
      <w:lvlJc w:val="left"/>
      <w:pPr>
        <w:ind w:left="1020" w:hanging="360"/>
      </w:pPr>
      <w:rPr>
        <w:rFonts w:ascii="Symbol" w:hAnsi="Symbol"/>
      </w:rPr>
    </w:lvl>
    <w:lvl w:ilvl="7" w:tplc="E5488084">
      <w:start w:val="1"/>
      <w:numFmt w:val="bullet"/>
      <w:lvlText w:val=""/>
      <w:lvlJc w:val="left"/>
      <w:pPr>
        <w:ind w:left="1020" w:hanging="360"/>
      </w:pPr>
      <w:rPr>
        <w:rFonts w:ascii="Symbol" w:hAnsi="Symbol"/>
      </w:rPr>
    </w:lvl>
    <w:lvl w:ilvl="8" w:tplc="B546AFE2">
      <w:start w:val="1"/>
      <w:numFmt w:val="bullet"/>
      <w:lvlText w:val=""/>
      <w:lvlJc w:val="left"/>
      <w:pPr>
        <w:ind w:left="1020" w:hanging="360"/>
      </w:pPr>
      <w:rPr>
        <w:rFonts w:ascii="Symbol" w:hAnsi="Symbol"/>
      </w:rPr>
    </w:lvl>
  </w:abstractNum>
  <w:abstractNum w:abstractNumId="1" w15:restartNumberingAfterBreak="0">
    <w:nsid w:val="2D7C264C"/>
    <w:multiLevelType w:val="hybridMultilevel"/>
    <w:tmpl w:val="17B01210"/>
    <w:lvl w:ilvl="0" w:tplc="752A47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64C367D1"/>
    <w:multiLevelType w:val="hybridMultilevel"/>
    <w:tmpl w:val="1F3453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2A0141"/>
    <w:multiLevelType w:val="hybridMultilevel"/>
    <w:tmpl w:val="A93031F6"/>
    <w:lvl w:ilvl="0" w:tplc="165AF2E4">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452672450">
    <w:abstractNumId w:val="1"/>
  </w:num>
  <w:num w:numId="2" w16cid:durableId="1032338579">
    <w:abstractNumId w:val="3"/>
  </w:num>
  <w:num w:numId="3" w16cid:durableId="373893903">
    <w:abstractNumId w:val="2"/>
  </w:num>
  <w:num w:numId="4" w16cid:durableId="124159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311A7"/>
    <w:rsid w:val="00004ED2"/>
    <w:rsid w:val="0001223D"/>
    <w:rsid w:val="00014D1E"/>
    <w:rsid w:val="00016B4E"/>
    <w:rsid w:val="00021CC7"/>
    <w:rsid w:val="0002524E"/>
    <w:rsid w:val="000273F2"/>
    <w:rsid w:val="00030B66"/>
    <w:rsid w:val="0004278C"/>
    <w:rsid w:val="000427F2"/>
    <w:rsid w:val="0004586E"/>
    <w:rsid w:val="000625F1"/>
    <w:rsid w:val="00071C5C"/>
    <w:rsid w:val="0007731D"/>
    <w:rsid w:val="00092B95"/>
    <w:rsid w:val="000A42A2"/>
    <w:rsid w:val="000A434A"/>
    <w:rsid w:val="000A6949"/>
    <w:rsid w:val="000C09A3"/>
    <w:rsid w:val="000D4182"/>
    <w:rsid w:val="000E0958"/>
    <w:rsid w:val="000E0F7C"/>
    <w:rsid w:val="000E44BE"/>
    <w:rsid w:val="000E583A"/>
    <w:rsid w:val="00102284"/>
    <w:rsid w:val="00134F53"/>
    <w:rsid w:val="00142FD9"/>
    <w:rsid w:val="00145413"/>
    <w:rsid w:val="00157F5E"/>
    <w:rsid w:val="00160368"/>
    <w:rsid w:val="00160A05"/>
    <w:rsid w:val="001631D0"/>
    <w:rsid w:val="00166570"/>
    <w:rsid w:val="00196D8C"/>
    <w:rsid w:val="001B351D"/>
    <w:rsid w:val="001E3DFC"/>
    <w:rsid w:val="00203319"/>
    <w:rsid w:val="00203D1C"/>
    <w:rsid w:val="0021302A"/>
    <w:rsid w:val="00217060"/>
    <w:rsid w:val="00220FE2"/>
    <w:rsid w:val="002321BD"/>
    <w:rsid w:val="00235673"/>
    <w:rsid w:val="00236D18"/>
    <w:rsid w:val="00240FF3"/>
    <w:rsid w:val="00246C29"/>
    <w:rsid w:val="002526CC"/>
    <w:rsid w:val="002606C0"/>
    <w:rsid w:val="002615CD"/>
    <w:rsid w:val="00271D65"/>
    <w:rsid w:val="00273CCA"/>
    <w:rsid w:val="00277907"/>
    <w:rsid w:val="00293022"/>
    <w:rsid w:val="00294435"/>
    <w:rsid w:val="00296410"/>
    <w:rsid w:val="002A0254"/>
    <w:rsid w:val="002B3FC4"/>
    <w:rsid w:val="002B417A"/>
    <w:rsid w:val="002D19B5"/>
    <w:rsid w:val="002D1C2C"/>
    <w:rsid w:val="002D5503"/>
    <w:rsid w:val="002E03D9"/>
    <w:rsid w:val="002E0B49"/>
    <w:rsid w:val="002E1907"/>
    <w:rsid w:val="002E5309"/>
    <w:rsid w:val="002E7853"/>
    <w:rsid w:val="002F2A52"/>
    <w:rsid w:val="002F32DA"/>
    <w:rsid w:val="002F7788"/>
    <w:rsid w:val="00302A34"/>
    <w:rsid w:val="00311FF8"/>
    <w:rsid w:val="00315AA5"/>
    <w:rsid w:val="003166FE"/>
    <w:rsid w:val="003236B2"/>
    <w:rsid w:val="00341F36"/>
    <w:rsid w:val="00352D33"/>
    <w:rsid w:val="00354AD0"/>
    <w:rsid w:val="00355709"/>
    <w:rsid w:val="00372ACE"/>
    <w:rsid w:val="00387FD1"/>
    <w:rsid w:val="00395B45"/>
    <w:rsid w:val="00396E12"/>
    <w:rsid w:val="003A5203"/>
    <w:rsid w:val="003C3E8C"/>
    <w:rsid w:val="003E1B7E"/>
    <w:rsid w:val="003E6B53"/>
    <w:rsid w:val="004037CF"/>
    <w:rsid w:val="004048C2"/>
    <w:rsid w:val="004051C3"/>
    <w:rsid w:val="00405A8C"/>
    <w:rsid w:val="00405F93"/>
    <w:rsid w:val="00413243"/>
    <w:rsid w:val="004208D8"/>
    <w:rsid w:val="00424FB6"/>
    <w:rsid w:val="00434520"/>
    <w:rsid w:val="004515F3"/>
    <w:rsid w:val="004527E0"/>
    <w:rsid w:val="00456AAB"/>
    <w:rsid w:val="00465405"/>
    <w:rsid w:val="0048103A"/>
    <w:rsid w:val="00481152"/>
    <w:rsid w:val="00484979"/>
    <w:rsid w:val="0049134B"/>
    <w:rsid w:val="004A1750"/>
    <w:rsid w:val="004B16D3"/>
    <w:rsid w:val="004B3177"/>
    <w:rsid w:val="004B3EB0"/>
    <w:rsid w:val="004D650B"/>
    <w:rsid w:val="00523BBD"/>
    <w:rsid w:val="005311A7"/>
    <w:rsid w:val="00542B8F"/>
    <w:rsid w:val="00550386"/>
    <w:rsid w:val="0058220A"/>
    <w:rsid w:val="00582E09"/>
    <w:rsid w:val="005A6C6D"/>
    <w:rsid w:val="005C0D2A"/>
    <w:rsid w:val="005C6836"/>
    <w:rsid w:val="005D5FA8"/>
    <w:rsid w:val="005E02E0"/>
    <w:rsid w:val="005E160A"/>
    <w:rsid w:val="005F65EF"/>
    <w:rsid w:val="00605A11"/>
    <w:rsid w:val="00605F58"/>
    <w:rsid w:val="006200C2"/>
    <w:rsid w:val="00623649"/>
    <w:rsid w:val="006455AF"/>
    <w:rsid w:val="0064606C"/>
    <w:rsid w:val="00652B56"/>
    <w:rsid w:val="00663879"/>
    <w:rsid w:val="00665BE6"/>
    <w:rsid w:val="00682084"/>
    <w:rsid w:val="00691EFC"/>
    <w:rsid w:val="006A716A"/>
    <w:rsid w:val="006B0432"/>
    <w:rsid w:val="006B10C4"/>
    <w:rsid w:val="006B5275"/>
    <w:rsid w:val="006C3B43"/>
    <w:rsid w:val="006E40E4"/>
    <w:rsid w:val="006F2044"/>
    <w:rsid w:val="00704DC5"/>
    <w:rsid w:val="007105FB"/>
    <w:rsid w:val="0071086A"/>
    <w:rsid w:val="007145A9"/>
    <w:rsid w:val="00722FA5"/>
    <w:rsid w:val="0073101D"/>
    <w:rsid w:val="00755BB6"/>
    <w:rsid w:val="00761C25"/>
    <w:rsid w:val="0076355E"/>
    <w:rsid w:val="0076381C"/>
    <w:rsid w:val="007720E9"/>
    <w:rsid w:val="00774ACF"/>
    <w:rsid w:val="00777670"/>
    <w:rsid w:val="00781052"/>
    <w:rsid w:val="00781E9D"/>
    <w:rsid w:val="007961E2"/>
    <w:rsid w:val="007A5FA2"/>
    <w:rsid w:val="007A61C0"/>
    <w:rsid w:val="007B12BC"/>
    <w:rsid w:val="007C37EC"/>
    <w:rsid w:val="007C5AE8"/>
    <w:rsid w:val="007D3A50"/>
    <w:rsid w:val="007E3C09"/>
    <w:rsid w:val="00820501"/>
    <w:rsid w:val="00822622"/>
    <w:rsid w:val="008244B9"/>
    <w:rsid w:val="00840B30"/>
    <w:rsid w:val="00860D3C"/>
    <w:rsid w:val="00862628"/>
    <w:rsid w:val="0087180C"/>
    <w:rsid w:val="008852D9"/>
    <w:rsid w:val="00893EB5"/>
    <w:rsid w:val="008A033A"/>
    <w:rsid w:val="008B3469"/>
    <w:rsid w:val="008C089F"/>
    <w:rsid w:val="008C0EDF"/>
    <w:rsid w:val="008C66AF"/>
    <w:rsid w:val="008D0B59"/>
    <w:rsid w:val="008D43D2"/>
    <w:rsid w:val="008E61A3"/>
    <w:rsid w:val="008E64F8"/>
    <w:rsid w:val="008E7566"/>
    <w:rsid w:val="008F17F7"/>
    <w:rsid w:val="008F3DC8"/>
    <w:rsid w:val="008F6DE0"/>
    <w:rsid w:val="00910A2C"/>
    <w:rsid w:val="00935932"/>
    <w:rsid w:val="00945C15"/>
    <w:rsid w:val="00965CE3"/>
    <w:rsid w:val="00972603"/>
    <w:rsid w:val="009742DD"/>
    <w:rsid w:val="009762EB"/>
    <w:rsid w:val="00977BA3"/>
    <w:rsid w:val="00991214"/>
    <w:rsid w:val="00991A48"/>
    <w:rsid w:val="0099410A"/>
    <w:rsid w:val="009A1CAC"/>
    <w:rsid w:val="009A2161"/>
    <w:rsid w:val="009A50F0"/>
    <w:rsid w:val="009C2C98"/>
    <w:rsid w:val="009E0EA3"/>
    <w:rsid w:val="009F7F2F"/>
    <w:rsid w:val="00A013C9"/>
    <w:rsid w:val="00A028A6"/>
    <w:rsid w:val="00A078D4"/>
    <w:rsid w:val="00A07E64"/>
    <w:rsid w:val="00A12E7E"/>
    <w:rsid w:val="00A13528"/>
    <w:rsid w:val="00A32CED"/>
    <w:rsid w:val="00A344E6"/>
    <w:rsid w:val="00A427AF"/>
    <w:rsid w:val="00A46696"/>
    <w:rsid w:val="00A546A8"/>
    <w:rsid w:val="00A555EA"/>
    <w:rsid w:val="00A8386E"/>
    <w:rsid w:val="00A91017"/>
    <w:rsid w:val="00A93C58"/>
    <w:rsid w:val="00AA1998"/>
    <w:rsid w:val="00AA4542"/>
    <w:rsid w:val="00AA5B74"/>
    <w:rsid w:val="00AC4A17"/>
    <w:rsid w:val="00AD040E"/>
    <w:rsid w:val="00AD19C7"/>
    <w:rsid w:val="00AE2BAD"/>
    <w:rsid w:val="00B0005B"/>
    <w:rsid w:val="00B32B48"/>
    <w:rsid w:val="00B427A7"/>
    <w:rsid w:val="00B46D3A"/>
    <w:rsid w:val="00B5661B"/>
    <w:rsid w:val="00B6042C"/>
    <w:rsid w:val="00B63155"/>
    <w:rsid w:val="00B63FEB"/>
    <w:rsid w:val="00B74301"/>
    <w:rsid w:val="00B746AA"/>
    <w:rsid w:val="00B76326"/>
    <w:rsid w:val="00B81DDF"/>
    <w:rsid w:val="00B86798"/>
    <w:rsid w:val="00B873F4"/>
    <w:rsid w:val="00BA38DC"/>
    <w:rsid w:val="00BB4F8E"/>
    <w:rsid w:val="00BB4FE9"/>
    <w:rsid w:val="00BC5721"/>
    <w:rsid w:val="00BD39B6"/>
    <w:rsid w:val="00C02C31"/>
    <w:rsid w:val="00C06A63"/>
    <w:rsid w:val="00C12510"/>
    <w:rsid w:val="00C24FD8"/>
    <w:rsid w:val="00C467FF"/>
    <w:rsid w:val="00C566B9"/>
    <w:rsid w:val="00C757F0"/>
    <w:rsid w:val="00C759F9"/>
    <w:rsid w:val="00C76E0C"/>
    <w:rsid w:val="00C85E7D"/>
    <w:rsid w:val="00C926AC"/>
    <w:rsid w:val="00CA32B0"/>
    <w:rsid w:val="00CB0536"/>
    <w:rsid w:val="00CB3AFE"/>
    <w:rsid w:val="00CB52C7"/>
    <w:rsid w:val="00CB6E25"/>
    <w:rsid w:val="00CD4697"/>
    <w:rsid w:val="00CD75EE"/>
    <w:rsid w:val="00CF0187"/>
    <w:rsid w:val="00D20ED3"/>
    <w:rsid w:val="00D27CDF"/>
    <w:rsid w:val="00D36282"/>
    <w:rsid w:val="00D60154"/>
    <w:rsid w:val="00D62AB2"/>
    <w:rsid w:val="00D6497E"/>
    <w:rsid w:val="00D72122"/>
    <w:rsid w:val="00D73E9B"/>
    <w:rsid w:val="00D7532D"/>
    <w:rsid w:val="00D777D3"/>
    <w:rsid w:val="00D81155"/>
    <w:rsid w:val="00D84218"/>
    <w:rsid w:val="00D9249C"/>
    <w:rsid w:val="00DA6DDC"/>
    <w:rsid w:val="00DB2ED6"/>
    <w:rsid w:val="00DC4EAB"/>
    <w:rsid w:val="00DD5C3F"/>
    <w:rsid w:val="00DF44A6"/>
    <w:rsid w:val="00DF73DA"/>
    <w:rsid w:val="00E22472"/>
    <w:rsid w:val="00E25E22"/>
    <w:rsid w:val="00E26C2C"/>
    <w:rsid w:val="00E26D1C"/>
    <w:rsid w:val="00E31AC2"/>
    <w:rsid w:val="00E402BA"/>
    <w:rsid w:val="00E4471D"/>
    <w:rsid w:val="00E56661"/>
    <w:rsid w:val="00E56FC4"/>
    <w:rsid w:val="00E61F7F"/>
    <w:rsid w:val="00E62D83"/>
    <w:rsid w:val="00E73B9B"/>
    <w:rsid w:val="00E77D7F"/>
    <w:rsid w:val="00E8144E"/>
    <w:rsid w:val="00E857D0"/>
    <w:rsid w:val="00E86619"/>
    <w:rsid w:val="00E92AC6"/>
    <w:rsid w:val="00E945B3"/>
    <w:rsid w:val="00E966A9"/>
    <w:rsid w:val="00EA116A"/>
    <w:rsid w:val="00EA2B70"/>
    <w:rsid w:val="00EC1CF8"/>
    <w:rsid w:val="00EF07C8"/>
    <w:rsid w:val="00EF1E69"/>
    <w:rsid w:val="00EF3D77"/>
    <w:rsid w:val="00EF777B"/>
    <w:rsid w:val="00F04FFD"/>
    <w:rsid w:val="00F15233"/>
    <w:rsid w:val="00F20B84"/>
    <w:rsid w:val="00F52B57"/>
    <w:rsid w:val="00F53F91"/>
    <w:rsid w:val="00F55EF2"/>
    <w:rsid w:val="00F5645E"/>
    <w:rsid w:val="00F5674E"/>
    <w:rsid w:val="00F56DCD"/>
    <w:rsid w:val="00F579F4"/>
    <w:rsid w:val="00F62424"/>
    <w:rsid w:val="00F643FC"/>
    <w:rsid w:val="00F832EC"/>
    <w:rsid w:val="00F83E17"/>
    <w:rsid w:val="00FA7A85"/>
    <w:rsid w:val="00FB5163"/>
    <w:rsid w:val="00FC282C"/>
    <w:rsid w:val="00FD4DBA"/>
    <w:rsid w:val="00FD5590"/>
    <w:rsid w:val="00FD5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C5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A7"/>
    <w:pPr>
      <w:spacing w:line="480" w:lineRule="auto"/>
      <w:ind w:firstLine="708"/>
    </w:pPr>
    <w:rPr>
      <w:rFonts w:ascii="Times New Roman" w:eastAsia="Times New Roman" w:hAnsi="Times New Roman" w:cs="Times New Roman"/>
      <w:kern w:val="0"/>
      <w:lang w:val="en-GB" w:eastAsia="nl-NL"/>
      <w14:ligatures w14:val="none"/>
    </w:rPr>
  </w:style>
  <w:style w:type="paragraph" w:styleId="Heading1">
    <w:name w:val="heading 1"/>
    <w:basedOn w:val="Normal"/>
    <w:next w:val="Normal"/>
    <w:link w:val="Heading1Char"/>
    <w:uiPriority w:val="9"/>
    <w:qFormat/>
    <w:rsid w:val="005311A7"/>
    <w:pPr>
      <w:keepNext/>
      <w:keepLines/>
      <w:ind w:firstLine="0"/>
      <w:jc w:val="center"/>
      <w:outlineLvl w:val="0"/>
    </w:pPr>
    <w:rPr>
      <w:b/>
    </w:rPr>
  </w:style>
  <w:style w:type="paragraph" w:styleId="Heading2">
    <w:name w:val="heading 2"/>
    <w:basedOn w:val="Normal"/>
    <w:next w:val="Normal"/>
    <w:link w:val="Heading2Char"/>
    <w:uiPriority w:val="9"/>
    <w:unhideWhenUsed/>
    <w:qFormat/>
    <w:rsid w:val="005311A7"/>
    <w:pPr>
      <w:keepNext/>
      <w:keepLines/>
      <w:ind w:firstLine="0"/>
      <w:outlineLvl w:val="1"/>
    </w:pPr>
    <w:rPr>
      <w:b/>
    </w:rPr>
  </w:style>
  <w:style w:type="paragraph" w:styleId="Heading3">
    <w:name w:val="heading 3"/>
    <w:basedOn w:val="Normal"/>
    <w:next w:val="Normal"/>
    <w:link w:val="Heading3Char"/>
    <w:uiPriority w:val="9"/>
    <w:unhideWhenUsed/>
    <w:qFormat/>
    <w:rsid w:val="005311A7"/>
    <w:pPr>
      <w:keepNext/>
      <w:keepLines/>
      <w:ind w:firstLine="0"/>
      <w:outlineLvl w:val="2"/>
    </w:pPr>
    <w:rPr>
      <w:b/>
      <w:i/>
    </w:rPr>
  </w:style>
  <w:style w:type="paragraph" w:styleId="Heading4">
    <w:name w:val="heading 4"/>
    <w:basedOn w:val="Normal"/>
    <w:next w:val="Normal"/>
    <w:link w:val="Heading4Char"/>
    <w:uiPriority w:val="9"/>
    <w:semiHidden/>
    <w:unhideWhenUsed/>
    <w:qFormat/>
    <w:rsid w:val="005311A7"/>
    <w:pPr>
      <w:keepNext/>
      <w:keepLines/>
      <w:outlineLvl w:val="3"/>
    </w:pPr>
    <w:rPr>
      <w:b/>
    </w:rPr>
  </w:style>
  <w:style w:type="paragraph" w:styleId="Heading5">
    <w:name w:val="heading 5"/>
    <w:basedOn w:val="Normal"/>
    <w:next w:val="Normal"/>
    <w:link w:val="Heading5Char"/>
    <w:uiPriority w:val="9"/>
    <w:semiHidden/>
    <w:unhideWhenUsed/>
    <w:qFormat/>
    <w:rsid w:val="005311A7"/>
    <w:pPr>
      <w:keepNext/>
      <w:keepLines/>
      <w:outlineLvl w:val="4"/>
    </w:pPr>
    <w:rPr>
      <w:b/>
      <w:i/>
    </w:rPr>
  </w:style>
  <w:style w:type="paragraph" w:styleId="Heading6">
    <w:name w:val="heading 6"/>
    <w:basedOn w:val="Normal"/>
    <w:next w:val="Normal"/>
    <w:link w:val="Heading6Char"/>
    <w:uiPriority w:val="9"/>
    <w:semiHidden/>
    <w:unhideWhenUsed/>
    <w:qFormat/>
    <w:rsid w:val="005311A7"/>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Uhighlight">
    <w:name w:val="LTU highlight"/>
    <w:basedOn w:val="Normal"/>
    <w:link w:val="LTUhighlightChar"/>
    <w:uiPriority w:val="99"/>
    <w:rsid w:val="00FB5163"/>
    <w:pPr>
      <w:spacing w:after="120" w:line="280" w:lineRule="exact"/>
      <w:ind w:left="720" w:hanging="720"/>
    </w:pPr>
    <w:rPr>
      <w:rFonts w:cs="Arial"/>
      <w:szCs w:val="18"/>
      <w:lang w:eastAsia="ja-JP"/>
    </w:rPr>
  </w:style>
  <w:style w:type="character" w:customStyle="1" w:styleId="LTUhighlightChar">
    <w:name w:val="LTU highlight Char"/>
    <w:basedOn w:val="DefaultParagraphFont"/>
    <w:link w:val="LTUhighlight"/>
    <w:uiPriority w:val="99"/>
    <w:rsid w:val="00FB5163"/>
    <w:rPr>
      <w:rFonts w:cs="Arial"/>
      <w:szCs w:val="18"/>
      <w:lang w:eastAsia="ja-JP"/>
    </w:rPr>
  </w:style>
  <w:style w:type="paragraph" w:styleId="Revision">
    <w:name w:val="Revision"/>
    <w:hidden/>
    <w:uiPriority w:val="99"/>
    <w:semiHidden/>
    <w:rsid w:val="005311A7"/>
    <w:rPr>
      <w:rFonts w:ascii="Times New Roman" w:eastAsia="Times New Roman" w:hAnsi="Times New Roman" w:cs="Times New Roman"/>
      <w:kern w:val="0"/>
      <w:lang w:val="en-GB" w:eastAsia="nl-NL"/>
      <w14:ligatures w14:val="none"/>
    </w:rPr>
  </w:style>
  <w:style w:type="character" w:customStyle="1" w:styleId="Heading1Char">
    <w:name w:val="Heading 1 Char"/>
    <w:basedOn w:val="DefaultParagraphFont"/>
    <w:link w:val="Heading1"/>
    <w:uiPriority w:val="9"/>
    <w:rsid w:val="005311A7"/>
    <w:rPr>
      <w:rFonts w:ascii="Times New Roman" w:eastAsia="Times New Roman" w:hAnsi="Times New Roman" w:cs="Times New Roman"/>
      <w:b/>
      <w:kern w:val="0"/>
      <w:lang w:val="en-GB" w:eastAsia="nl-NL"/>
      <w14:ligatures w14:val="none"/>
    </w:rPr>
  </w:style>
  <w:style w:type="character" w:customStyle="1" w:styleId="Heading2Char">
    <w:name w:val="Heading 2 Char"/>
    <w:basedOn w:val="DefaultParagraphFont"/>
    <w:link w:val="Heading2"/>
    <w:uiPriority w:val="9"/>
    <w:rsid w:val="005311A7"/>
    <w:rPr>
      <w:rFonts w:ascii="Times New Roman" w:eastAsia="Times New Roman" w:hAnsi="Times New Roman" w:cs="Times New Roman"/>
      <w:b/>
      <w:kern w:val="0"/>
      <w:lang w:val="en-GB" w:eastAsia="nl-NL"/>
      <w14:ligatures w14:val="none"/>
    </w:rPr>
  </w:style>
  <w:style w:type="character" w:customStyle="1" w:styleId="Heading3Char">
    <w:name w:val="Heading 3 Char"/>
    <w:basedOn w:val="DefaultParagraphFont"/>
    <w:link w:val="Heading3"/>
    <w:uiPriority w:val="9"/>
    <w:rsid w:val="005311A7"/>
    <w:rPr>
      <w:rFonts w:ascii="Times New Roman" w:eastAsia="Times New Roman" w:hAnsi="Times New Roman" w:cs="Times New Roman"/>
      <w:b/>
      <w:i/>
      <w:kern w:val="0"/>
      <w:lang w:val="en-GB" w:eastAsia="nl-NL"/>
      <w14:ligatures w14:val="none"/>
    </w:rPr>
  </w:style>
  <w:style w:type="character" w:customStyle="1" w:styleId="Heading4Char">
    <w:name w:val="Heading 4 Char"/>
    <w:basedOn w:val="DefaultParagraphFont"/>
    <w:link w:val="Heading4"/>
    <w:uiPriority w:val="9"/>
    <w:semiHidden/>
    <w:rsid w:val="005311A7"/>
    <w:rPr>
      <w:rFonts w:ascii="Times New Roman" w:eastAsia="Times New Roman" w:hAnsi="Times New Roman" w:cs="Times New Roman"/>
      <w:b/>
      <w:kern w:val="0"/>
      <w:lang w:val="en-GB" w:eastAsia="nl-NL"/>
      <w14:ligatures w14:val="none"/>
    </w:rPr>
  </w:style>
  <w:style w:type="character" w:customStyle="1" w:styleId="Heading5Char">
    <w:name w:val="Heading 5 Char"/>
    <w:basedOn w:val="DefaultParagraphFont"/>
    <w:link w:val="Heading5"/>
    <w:uiPriority w:val="9"/>
    <w:semiHidden/>
    <w:rsid w:val="005311A7"/>
    <w:rPr>
      <w:rFonts w:ascii="Times New Roman" w:eastAsia="Times New Roman" w:hAnsi="Times New Roman" w:cs="Times New Roman"/>
      <w:b/>
      <w:i/>
      <w:kern w:val="0"/>
      <w:lang w:val="en-GB" w:eastAsia="nl-NL"/>
      <w14:ligatures w14:val="none"/>
    </w:rPr>
  </w:style>
  <w:style w:type="character" w:customStyle="1" w:styleId="Heading6Char">
    <w:name w:val="Heading 6 Char"/>
    <w:basedOn w:val="DefaultParagraphFont"/>
    <w:link w:val="Heading6"/>
    <w:uiPriority w:val="9"/>
    <w:semiHidden/>
    <w:rsid w:val="005311A7"/>
    <w:rPr>
      <w:rFonts w:ascii="Times New Roman" w:eastAsia="Times New Roman" w:hAnsi="Times New Roman" w:cs="Times New Roman"/>
      <w:i/>
      <w:color w:val="666666"/>
      <w:kern w:val="0"/>
      <w:sz w:val="22"/>
      <w:szCs w:val="22"/>
      <w:lang w:val="en-GB" w:eastAsia="nl-NL"/>
      <w14:ligatures w14:val="none"/>
    </w:rPr>
  </w:style>
  <w:style w:type="table" w:customStyle="1" w:styleId="TableNormal1">
    <w:name w:val="Table Normal1"/>
    <w:rsid w:val="005311A7"/>
    <w:pPr>
      <w:spacing w:line="480" w:lineRule="auto"/>
      <w:ind w:firstLine="708"/>
    </w:pPr>
    <w:rPr>
      <w:rFonts w:ascii="Times New Roman" w:eastAsia="Times New Roman" w:hAnsi="Times New Roman" w:cs="Times New Roman"/>
      <w:kern w:val="0"/>
      <w:lang w:val="en-GB" w:eastAsia="nl-NL"/>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5311A7"/>
    <w:pPr>
      <w:keepNext/>
      <w:keepLines/>
      <w:ind w:firstLine="0"/>
      <w:jc w:val="center"/>
    </w:pPr>
    <w:rPr>
      <w:b/>
    </w:rPr>
  </w:style>
  <w:style w:type="character" w:customStyle="1" w:styleId="TitleChar">
    <w:name w:val="Title Char"/>
    <w:basedOn w:val="DefaultParagraphFont"/>
    <w:link w:val="Title"/>
    <w:uiPriority w:val="10"/>
    <w:rsid w:val="005311A7"/>
    <w:rPr>
      <w:rFonts w:ascii="Times New Roman" w:eastAsia="Times New Roman" w:hAnsi="Times New Roman" w:cs="Times New Roman"/>
      <w:b/>
      <w:kern w:val="0"/>
      <w:lang w:val="en-GB" w:eastAsia="nl-NL"/>
      <w14:ligatures w14:val="none"/>
    </w:rPr>
  </w:style>
  <w:style w:type="paragraph" w:styleId="Subtitle">
    <w:name w:val="Subtitle"/>
    <w:basedOn w:val="Normal"/>
    <w:next w:val="Normal"/>
    <w:link w:val="SubtitleChar"/>
    <w:uiPriority w:val="11"/>
    <w:qFormat/>
    <w:rsid w:val="005311A7"/>
    <w:pPr>
      <w:keepNext/>
      <w:keepLines/>
      <w:ind w:firstLine="0"/>
      <w:jc w:val="center"/>
    </w:pPr>
    <w:rPr>
      <w:b/>
    </w:rPr>
  </w:style>
  <w:style w:type="character" w:customStyle="1" w:styleId="SubtitleChar">
    <w:name w:val="Subtitle Char"/>
    <w:basedOn w:val="DefaultParagraphFont"/>
    <w:link w:val="Subtitle"/>
    <w:uiPriority w:val="11"/>
    <w:rsid w:val="005311A7"/>
    <w:rPr>
      <w:rFonts w:ascii="Times New Roman" w:eastAsia="Times New Roman" w:hAnsi="Times New Roman" w:cs="Times New Roman"/>
      <w:b/>
      <w:kern w:val="0"/>
      <w:lang w:val="en-GB" w:eastAsia="nl-NL"/>
      <w14:ligatures w14:val="none"/>
    </w:rPr>
  </w:style>
  <w:style w:type="paragraph" w:styleId="Header">
    <w:name w:val="header"/>
    <w:basedOn w:val="Normal"/>
    <w:link w:val="HeaderChar"/>
    <w:uiPriority w:val="99"/>
    <w:unhideWhenUsed/>
    <w:rsid w:val="005311A7"/>
    <w:pPr>
      <w:tabs>
        <w:tab w:val="center" w:pos="4513"/>
        <w:tab w:val="right" w:pos="9026"/>
      </w:tabs>
      <w:spacing w:line="240" w:lineRule="auto"/>
    </w:pPr>
  </w:style>
  <w:style w:type="character" w:customStyle="1" w:styleId="HeaderChar">
    <w:name w:val="Header Char"/>
    <w:basedOn w:val="DefaultParagraphFont"/>
    <w:link w:val="Header"/>
    <w:uiPriority w:val="99"/>
    <w:rsid w:val="005311A7"/>
    <w:rPr>
      <w:rFonts w:ascii="Times New Roman" w:eastAsia="Times New Roman" w:hAnsi="Times New Roman" w:cs="Times New Roman"/>
      <w:kern w:val="0"/>
      <w:lang w:val="en-GB" w:eastAsia="nl-NL"/>
      <w14:ligatures w14:val="none"/>
    </w:rPr>
  </w:style>
  <w:style w:type="paragraph" w:styleId="Footer">
    <w:name w:val="footer"/>
    <w:basedOn w:val="Normal"/>
    <w:link w:val="FooterChar"/>
    <w:uiPriority w:val="99"/>
    <w:unhideWhenUsed/>
    <w:rsid w:val="005311A7"/>
    <w:pPr>
      <w:tabs>
        <w:tab w:val="center" w:pos="4513"/>
        <w:tab w:val="right" w:pos="9026"/>
      </w:tabs>
      <w:spacing w:line="240" w:lineRule="auto"/>
    </w:pPr>
  </w:style>
  <w:style w:type="character" w:customStyle="1" w:styleId="FooterChar">
    <w:name w:val="Footer Char"/>
    <w:basedOn w:val="DefaultParagraphFont"/>
    <w:link w:val="Footer"/>
    <w:uiPriority w:val="99"/>
    <w:rsid w:val="005311A7"/>
    <w:rPr>
      <w:rFonts w:ascii="Times New Roman" w:eastAsia="Times New Roman" w:hAnsi="Times New Roman" w:cs="Times New Roman"/>
      <w:kern w:val="0"/>
      <w:lang w:val="en-GB" w:eastAsia="nl-NL"/>
      <w14:ligatures w14:val="none"/>
    </w:rPr>
  </w:style>
  <w:style w:type="paragraph" w:customStyle="1" w:styleId="Paragraph">
    <w:name w:val="Paragraph"/>
    <w:rsid w:val="005311A7"/>
    <w:pPr>
      <w:widowControl w:val="0"/>
      <w:ind w:firstLine="944"/>
    </w:pPr>
    <w:rPr>
      <w:rFonts w:ascii="Times New Roman" w:eastAsia="Times New Roman" w:hAnsi="Times New Roman" w:cs="Times New Roman"/>
      <w:color w:val="000000"/>
      <w:kern w:val="0"/>
      <w:szCs w:val="20"/>
      <w:lang w:eastAsia="en-GB"/>
      <w14:ligatures w14:val="none"/>
    </w:rPr>
  </w:style>
  <w:style w:type="paragraph" w:styleId="NoSpacing">
    <w:name w:val="No Spacing"/>
    <w:uiPriority w:val="1"/>
    <w:qFormat/>
    <w:rsid w:val="005311A7"/>
    <w:pPr>
      <w:ind w:firstLine="708"/>
    </w:pPr>
    <w:rPr>
      <w:rFonts w:ascii="Times New Roman" w:eastAsia="Times New Roman" w:hAnsi="Times New Roman" w:cs="Times New Roman"/>
      <w:kern w:val="0"/>
      <w:lang w:val="en-GB" w:eastAsia="nl-NL"/>
      <w14:ligatures w14:val="none"/>
    </w:rPr>
  </w:style>
  <w:style w:type="paragraph" w:customStyle="1" w:styleId="EndNoteBibliography">
    <w:name w:val="EndNote Bibliography"/>
    <w:basedOn w:val="Normal"/>
    <w:link w:val="EndNoteBibliographyChar"/>
    <w:rsid w:val="005311A7"/>
    <w:pPr>
      <w:widowControl w:val="0"/>
      <w:spacing w:line="240" w:lineRule="auto"/>
      <w:ind w:firstLine="0"/>
    </w:pPr>
    <w:rPr>
      <w:szCs w:val="20"/>
      <w:lang w:eastAsia="en-GB"/>
    </w:rPr>
  </w:style>
  <w:style w:type="character" w:customStyle="1" w:styleId="EndNoteBibliographyChar">
    <w:name w:val="EndNote Bibliography Char"/>
    <w:basedOn w:val="DefaultParagraphFont"/>
    <w:link w:val="EndNoteBibliography"/>
    <w:rsid w:val="005311A7"/>
    <w:rPr>
      <w:rFonts w:ascii="Times New Roman" w:eastAsia="Times New Roman" w:hAnsi="Times New Roman" w:cs="Times New Roman"/>
      <w:kern w:val="0"/>
      <w:szCs w:val="20"/>
      <w:lang w:val="en-GB" w:eastAsia="en-GB"/>
      <w14:ligatures w14:val="none"/>
    </w:rPr>
  </w:style>
  <w:style w:type="character" w:styleId="Hyperlink">
    <w:name w:val="Hyperlink"/>
    <w:basedOn w:val="DefaultParagraphFont"/>
    <w:uiPriority w:val="99"/>
    <w:unhideWhenUsed/>
    <w:rsid w:val="005311A7"/>
    <w:rPr>
      <w:color w:val="467886" w:themeColor="hyperlink"/>
      <w:u w:val="single"/>
    </w:rPr>
  </w:style>
  <w:style w:type="paragraph" w:styleId="BalloonText">
    <w:name w:val="Balloon Text"/>
    <w:basedOn w:val="Normal"/>
    <w:link w:val="BalloonTextChar"/>
    <w:uiPriority w:val="99"/>
    <w:semiHidden/>
    <w:unhideWhenUsed/>
    <w:rsid w:val="005311A7"/>
    <w:pPr>
      <w:spacing w:line="240" w:lineRule="auto"/>
    </w:pPr>
    <w:rPr>
      <w:sz w:val="18"/>
      <w:szCs w:val="18"/>
    </w:rPr>
  </w:style>
  <w:style w:type="character" w:customStyle="1" w:styleId="BalloonTextChar">
    <w:name w:val="Balloon Text Char"/>
    <w:basedOn w:val="DefaultParagraphFont"/>
    <w:link w:val="BalloonText"/>
    <w:uiPriority w:val="99"/>
    <w:semiHidden/>
    <w:rsid w:val="005311A7"/>
    <w:rPr>
      <w:rFonts w:ascii="Times New Roman" w:eastAsia="Times New Roman" w:hAnsi="Times New Roman" w:cs="Times New Roman"/>
      <w:kern w:val="0"/>
      <w:sz w:val="18"/>
      <w:szCs w:val="18"/>
      <w:lang w:val="en-GB" w:eastAsia="nl-NL"/>
      <w14:ligatures w14:val="none"/>
    </w:rPr>
  </w:style>
  <w:style w:type="character" w:styleId="CommentReference">
    <w:name w:val="annotation reference"/>
    <w:basedOn w:val="DefaultParagraphFont"/>
    <w:uiPriority w:val="99"/>
    <w:semiHidden/>
    <w:unhideWhenUsed/>
    <w:rsid w:val="005311A7"/>
    <w:rPr>
      <w:sz w:val="16"/>
      <w:szCs w:val="16"/>
    </w:rPr>
  </w:style>
  <w:style w:type="paragraph" w:styleId="CommentText">
    <w:name w:val="annotation text"/>
    <w:basedOn w:val="Normal"/>
    <w:link w:val="CommentTextChar"/>
    <w:uiPriority w:val="99"/>
    <w:unhideWhenUsed/>
    <w:rsid w:val="005311A7"/>
    <w:pPr>
      <w:spacing w:line="240" w:lineRule="auto"/>
    </w:pPr>
    <w:rPr>
      <w:sz w:val="20"/>
      <w:szCs w:val="20"/>
    </w:rPr>
  </w:style>
  <w:style w:type="character" w:customStyle="1" w:styleId="CommentTextChar">
    <w:name w:val="Comment Text Char"/>
    <w:basedOn w:val="DefaultParagraphFont"/>
    <w:link w:val="CommentText"/>
    <w:uiPriority w:val="99"/>
    <w:rsid w:val="005311A7"/>
    <w:rPr>
      <w:rFonts w:ascii="Times New Roman" w:eastAsia="Times New Roman" w:hAnsi="Times New Roman" w:cs="Times New Roman"/>
      <w:kern w:val="0"/>
      <w:sz w:val="20"/>
      <w:szCs w:val="20"/>
      <w:lang w:val="en-GB" w:eastAsia="nl-NL"/>
      <w14:ligatures w14:val="none"/>
    </w:rPr>
  </w:style>
  <w:style w:type="paragraph" w:styleId="CommentSubject">
    <w:name w:val="annotation subject"/>
    <w:basedOn w:val="CommentText"/>
    <w:next w:val="CommentText"/>
    <w:link w:val="CommentSubjectChar"/>
    <w:uiPriority w:val="99"/>
    <w:semiHidden/>
    <w:unhideWhenUsed/>
    <w:rsid w:val="005311A7"/>
    <w:rPr>
      <w:b/>
      <w:bCs/>
    </w:rPr>
  </w:style>
  <w:style w:type="character" w:customStyle="1" w:styleId="CommentSubjectChar">
    <w:name w:val="Comment Subject Char"/>
    <w:basedOn w:val="CommentTextChar"/>
    <w:link w:val="CommentSubject"/>
    <w:uiPriority w:val="99"/>
    <w:semiHidden/>
    <w:rsid w:val="005311A7"/>
    <w:rPr>
      <w:rFonts w:ascii="Times New Roman" w:eastAsia="Times New Roman" w:hAnsi="Times New Roman" w:cs="Times New Roman"/>
      <w:b/>
      <w:bCs/>
      <w:kern w:val="0"/>
      <w:sz w:val="20"/>
      <w:szCs w:val="20"/>
      <w:lang w:val="en-GB" w:eastAsia="nl-NL"/>
      <w14:ligatures w14:val="none"/>
    </w:rPr>
  </w:style>
  <w:style w:type="character" w:styleId="UnresolvedMention">
    <w:name w:val="Unresolved Mention"/>
    <w:basedOn w:val="DefaultParagraphFont"/>
    <w:uiPriority w:val="99"/>
    <w:semiHidden/>
    <w:unhideWhenUsed/>
    <w:rsid w:val="005311A7"/>
    <w:rPr>
      <w:color w:val="605E5C"/>
      <w:shd w:val="clear" w:color="auto" w:fill="E1DFDD"/>
    </w:rPr>
  </w:style>
  <w:style w:type="paragraph" w:styleId="ListParagraph">
    <w:name w:val="List Paragraph"/>
    <w:basedOn w:val="Normal"/>
    <w:uiPriority w:val="34"/>
    <w:qFormat/>
    <w:rsid w:val="005311A7"/>
    <w:pPr>
      <w:spacing w:line="240" w:lineRule="auto"/>
      <w:ind w:left="720" w:firstLine="0"/>
      <w:contextualSpacing/>
    </w:pPr>
    <w:rPr>
      <w:rFonts w:asciiTheme="minorHAnsi" w:eastAsiaTheme="minorHAnsi" w:hAnsiTheme="minorHAnsi" w:cstheme="minorBidi"/>
      <w:kern w:val="2"/>
      <w:lang w:val="en-AU" w:eastAsia="en-US"/>
      <w14:ligatures w14:val="standardContextual"/>
    </w:rPr>
  </w:style>
  <w:style w:type="character" w:styleId="Emphasis">
    <w:name w:val="Emphasis"/>
    <w:basedOn w:val="DefaultParagraphFont"/>
    <w:uiPriority w:val="20"/>
    <w:qFormat/>
    <w:rsid w:val="00F55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406-021-01278-4" TargetMode="External"/><Relationship Id="rId18" Type="http://schemas.openxmlformats.org/officeDocument/2006/relationships/hyperlink" Target="https://doi.org/10.1007/s00127-011-0433-1" TargetMode="External"/><Relationship Id="rId26" Type="http://schemas.openxmlformats.org/officeDocument/2006/relationships/hyperlink" Target="https://doi.org/10.3389/fpsyt.2021.698147" TargetMode="External"/><Relationship Id="rId39" Type="http://schemas.openxmlformats.org/officeDocument/2006/relationships/fontTable" Target="fontTable.xml"/><Relationship Id="rId21" Type="http://schemas.openxmlformats.org/officeDocument/2006/relationships/hyperlink" Target="https://doi.org/10.1016/j.schres.2019.09.012" TargetMode="External"/><Relationship Id="rId34" Type="http://schemas.openxmlformats.org/officeDocument/2006/relationships/hyperlink" Target="https://doi.org/10.1016/j.jbtep.2017.04.001" TargetMode="External"/><Relationship Id="rId7" Type="http://schemas.openxmlformats.org/officeDocument/2006/relationships/hyperlink" Target="mailto:Eric.Morris@latrobe.edu.au" TargetMode="External"/><Relationship Id="rId12" Type="http://schemas.openxmlformats.org/officeDocument/2006/relationships/hyperlink" Target="https://doi.org/10.1017/S0033291722002975" TargetMode="External"/><Relationship Id="rId17" Type="http://schemas.openxmlformats.org/officeDocument/2006/relationships/hyperlink" Target="https://doi.org/10.1016/s2215-0366(17)30328-0" TargetMode="External"/><Relationship Id="rId25" Type="http://schemas.openxmlformats.org/officeDocument/2006/relationships/hyperlink" Target="https://www.ncbi.nlm.nih.gov/pmc/articles/PMC3932075/pdf/sbs194.pdf" TargetMode="External"/><Relationship Id="rId33" Type="http://schemas.openxmlformats.org/officeDocument/2006/relationships/hyperlink" Target="https://doi.org/10.1016/j.schres.2022.01.045"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schres.2008.12.001" TargetMode="External"/><Relationship Id="rId20" Type="http://schemas.openxmlformats.org/officeDocument/2006/relationships/hyperlink" Target="https://doi.org/10.1007/s10578-017-0729-9" TargetMode="External"/><Relationship Id="rId29" Type="http://schemas.openxmlformats.org/officeDocument/2006/relationships/hyperlink" Target="https://www.ncbi.nlm.nih.gov/pmc/articles/PMC5890488/pdf/sbx10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hres.2017.03.022" TargetMode="External"/><Relationship Id="rId24" Type="http://schemas.openxmlformats.org/officeDocument/2006/relationships/hyperlink" Target="https://doi.org/10.1017/S0033291721004633" TargetMode="External"/><Relationship Id="rId32" Type="http://schemas.openxmlformats.org/officeDocument/2006/relationships/hyperlink" Target="https://doi.org/10.1186/s12992-020-00589-w"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7/S0033291719003155" TargetMode="External"/><Relationship Id="rId23" Type="http://schemas.openxmlformats.org/officeDocument/2006/relationships/hyperlink" Target="https://doi.org/10.1037/abn0000453" TargetMode="External"/><Relationship Id="rId28" Type="http://schemas.openxmlformats.org/officeDocument/2006/relationships/hyperlink" Target="https://www.sleep.theclinics.com/article/S1556-407X(22)00022-4/fulltext" TargetMode="External"/><Relationship Id="rId36" Type="http://schemas.openxmlformats.org/officeDocument/2006/relationships/hyperlink" Target="https://doi.org/10.1093/isq/sqac015" TargetMode="External"/><Relationship Id="rId10" Type="http://schemas.openxmlformats.org/officeDocument/2006/relationships/hyperlink" Target="https://doi.org/10.1192/bjp.bp.112.119032" TargetMode="External"/><Relationship Id="rId19" Type="http://schemas.openxmlformats.org/officeDocument/2006/relationships/hyperlink" Target="https://doi.org/10.1371/journal.pone.0244809" TargetMode="External"/><Relationship Id="rId31" Type="http://schemas.openxmlformats.org/officeDocument/2006/relationships/hyperlink" Target="https://doi.org/10.1016/j.cpr.2015.09.00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92/bjp.186.5.427" TargetMode="External"/><Relationship Id="rId22" Type="http://schemas.openxmlformats.org/officeDocument/2006/relationships/hyperlink" Target="https://doi.org/10.1037/abn0000645" TargetMode="External"/><Relationship Id="rId27" Type="http://schemas.openxmlformats.org/officeDocument/2006/relationships/hyperlink" Target="https://doi.org/10.1038/s41598-022-05915-3" TargetMode="External"/><Relationship Id="rId30" Type="http://schemas.openxmlformats.org/officeDocument/2006/relationships/hyperlink" Target="https://doi.org/10.1016/j.psychres.2018.08.090" TargetMode="External"/><Relationship Id="rId35" Type="http://schemas.openxmlformats.org/officeDocument/2006/relationships/hyperlink" Target="https://doi.org/10.1016/j.psychres.2021.113773"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7573</Words>
  <Characters>43168</Characters>
  <Application>Microsoft Office Word</Application>
  <DocSecurity>4</DocSecurity>
  <Lines>359</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2025-03-14T01:42:00Z</cp:lastPrinted>
  <dcterms:created xsi:type="dcterms:W3CDTF">2025-04-24T07:32:00Z</dcterms:created>
  <dcterms:modified xsi:type="dcterms:W3CDTF">2025-04-24T07:32:00Z</dcterms:modified>
</cp:coreProperties>
</file>