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BFBC3" w14:textId="0124AE84" w:rsidR="007E1BD7" w:rsidRPr="007E1BD7" w:rsidRDefault="007E1BD7" w:rsidP="007E1BD7">
      <w:pPr>
        <w:spacing w:after="0" w:line="480" w:lineRule="auto"/>
        <w:jc w:val="center"/>
        <w:rPr>
          <w:rFonts w:ascii="Aptos" w:eastAsia="Aptos" w:hAnsi="Aptos" w:cs="Aptos"/>
          <w:b/>
          <w:bCs/>
          <w:color w:val="000000" w:themeColor="text1"/>
        </w:rPr>
      </w:pPr>
      <w:r w:rsidRPr="007E1BD7">
        <w:rPr>
          <w:rFonts w:ascii="Aptos" w:eastAsia="Aptos" w:hAnsi="Aptos" w:cs="Aptos"/>
          <w:b/>
          <w:bCs/>
          <w:color w:val="000000" w:themeColor="text1"/>
        </w:rPr>
        <w:t>Intolerance of uncertainty, paranoia, and prodromal symptoms: Comparisons between a schizophrenia-spectrum disorder, anxiety</w:t>
      </w:r>
      <w:r>
        <w:rPr>
          <w:rFonts w:ascii="Aptos" w:eastAsia="Aptos" w:hAnsi="Aptos" w:cs="Aptos"/>
          <w:b/>
          <w:bCs/>
          <w:color w:val="000000" w:themeColor="text1"/>
        </w:rPr>
        <w:t xml:space="preserve"> </w:t>
      </w:r>
      <w:r w:rsidRPr="007E1BD7">
        <w:rPr>
          <w:rFonts w:ascii="Aptos" w:eastAsia="Aptos" w:hAnsi="Aptos" w:cs="Aptos"/>
          <w:b/>
          <w:bCs/>
          <w:color w:val="000000" w:themeColor="text1"/>
        </w:rPr>
        <w:t>disorder, and non-clinical sample</w:t>
      </w:r>
    </w:p>
    <w:p w14:paraId="730558FC" w14:textId="77777777" w:rsidR="007E1BD7" w:rsidRDefault="007E1BD7" w:rsidP="007E1BD7">
      <w:pPr>
        <w:spacing w:after="0" w:line="480" w:lineRule="auto"/>
        <w:rPr>
          <w:rFonts w:ascii="Aptos" w:eastAsia="Aptos" w:hAnsi="Aptos" w:cs="Aptos"/>
          <w:b/>
          <w:bCs/>
          <w:color w:val="000000" w:themeColor="text1"/>
        </w:rPr>
      </w:pPr>
    </w:p>
    <w:p w14:paraId="614AEFE6" w14:textId="13605E10" w:rsidR="00DD040A" w:rsidRPr="005C5084" w:rsidRDefault="00DD040A" w:rsidP="006D62B8">
      <w:pPr>
        <w:spacing w:after="0" w:line="480" w:lineRule="auto"/>
        <w:jc w:val="center"/>
        <w:rPr>
          <w:rFonts w:ascii="Aptos" w:eastAsia="Aptos" w:hAnsi="Aptos" w:cs="Aptos"/>
          <w:b/>
          <w:bCs/>
          <w:color w:val="000000"/>
        </w:rPr>
      </w:pPr>
      <w:r w:rsidRPr="0540D428">
        <w:rPr>
          <w:rFonts w:ascii="Aptos" w:eastAsia="Aptos" w:hAnsi="Aptos" w:cs="Aptos"/>
          <w:b/>
          <w:bCs/>
          <w:color w:val="000000" w:themeColor="text1"/>
        </w:rPr>
        <w:t>Abstract</w:t>
      </w:r>
    </w:p>
    <w:p w14:paraId="06326169" w14:textId="246DCCAC" w:rsidR="3575A292" w:rsidRDefault="7E7AF34F" w:rsidP="001B3723">
      <w:pPr>
        <w:spacing w:after="0" w:line="480" w:lineRule="auto"/>
        <w:rPr>
          <w:rFonts w:ascii="Aptos" w:eastAsia="Aptos" w:hAnsi="Aptos" w:cs="Aptos"/>
          <w:color w:val="000000" w:themeColor="text1"/>
        </w:rPr>
      </w:pPr>
      <w:r w:rsidRPr="03E8BD2E">
        <w:rPr>
          <w:rFonts w:ascii="Aptos" w:eastAsia="Aptos" w:hAnsi="Aptos" w:cs="Aptos"/>
          <w:color w:val="000000" w:themeColor="text1"/>
        </w:rPr>
        <w:t>G</w:t>
      </w:r>
      <w:r w:rsidR="5A36A6FE" w:rsidRPr="03E8BD2E">
        <w:rPr>
          <w:rFonts w:ascii="Aptos" w:eastAsia="Aptos" w:hAnsi="Aptos" w:cs="Aptos"/>
          <w:color w:val="000000" w:themeColor="text1"/>
        </w:rPr>
        <w:t>reater Intolerance of Uncertainty (IU: the tendency to find uncertainty negative) is associated with greater paranoia (</w:t>
      </w:r>
      <w:r w:rsidR="75CC80EE" w:rsidRPr="03E8BD2E">
        <w:rPr>
          <w:rFonts w:ascii="Aptos" w:eastAsia="Aptos" w:hAnsi="Aptos" w:cs="Aptos"/>
          <w:color w:val="000000" w:themeColor="text1"/>
        </w:rPr>
        <w:t>mistrust of others</w:t>
      </w:r>
      <w:r w:rsidR="5A36A6FE" w:rsidRPr="03E8BD2E">
        <w:rPr>
          <w:rFonts w:ascii="Aptos" w:eastAsia="Aptos" w:hAnsi="Aptos" w:cs="Aptos"/>
          <w:color w:val="000000" w:themeColor="text1"/>
        </w:rPr>
        <w:t>) in clinical samples with schizophrenia-spectrum disorders (SSDs). Questions remain on</w:t>
      </w:r>
      <w:r w:rsidR="6765279C" w:rsidRPr="03E8BD2E">
        <w:rPr>
          <w:rFonts w:ascii="Aptos" w:eastAsia="Aptos" w:hAnsi="Aptos" w:cs="Aptos"/>
          <w:color w:val="000000" w:themeColor="text1"/>
        </w:rPr>
        <w:t xml:space="preserve"> whether the relationship between IU and paranoia</w:t>
      </w:r>
      <w:r w:rsidR="09DBAE7E" w:rsidRPr="03E8BD2E">
        <w:rPr>
          <w:rFonts w:ascii="Aptos" w:eastAsia="Aptos" w:hAnsi="Aptos" w:cs="Aptos"/>
          <w:color w:val="000000" w:themeColor="text1"/>
        </w:rPr>
        <w:t xml:space="preserve"> / prodromal symptoms</w:t>
      </w:r>
      <w:r w:rsidR="5A36A6FE" w:rsidRPr="03E8BD2E">
        <w:rPr>
          <w:rFonts w:ascii="Aptos" w:eastAsia="Aptos" w:hAnsi="Aptos" w:cs="Aptos"/>
          <w:color w:val="000000" w:themeColor="text1"/>
        </w:rPr>
        <w:t xml:space="preserve"> is</w:t>
      </w:r>
      <w:r w:rsidR="17359338" w:rsidRPr="03E8BD2E">
        <w:rPr>
          <w:rFonts w:ascii="Aptos" w:eastAsia="Aptos" w:hAnsi="Aptos" w:cs="Aptos"/>
          <w:color w:val="000000" w:themeColor="text1"/>
        </w:rPr>
        <w:t>: (1)</w:t>
      </w:r>
      <w:r w:rsidR="16E7FE3B" w:rsidRPr="03E8BD2E">
        <w:rPr>
          <w:rFonts w:ascii="Aptos" w:eastAsia="Aptos" w:hAnsi="Aptos" w:cs="Aptos"/>
          <w:color w:val="000000" w:themeColor="text1"/>
        </w:rPr>
        <w:t xml:space="preserve"> </w:t>
      </w:r>
      <w:r w:rsidR="0A9772A6" w:rsidRPr="03E8BD2E">
        <w:rPr>
          <w:rFonts w:ascii="Aptos" w:eastAsia="Aptos" w:hAnsi="Aptos" w:cs="Aptos"/>
          <w:color w:val="000000" w:themeColor="text1"/>
        </w:rPr>
        <w:t>specific o</w:t>
      </w:r>
      <w:r w:rsidR="1FB26CC7" w:rsidRPr="03E8BD2E">
        <w:rPr>
          <w:rFonts w:ascii="Aptos" w:eastAsia="Aptos" w:hAnsi="Aptos" w:cs="Aptos"/>
          <w:color w:val="000000" w:themeColor="text1"/>
        </w:rPr>
        <w:t>ver other related negative affective traits and cognitive biases</w:t>
      </w:r>
      <w:r w:rsidR="0052223D">
        <w:rPr>
          <w:rFonts w:ascii="Aptos" w:eastAsia="Aptos" w:hAnsi="Aptos" w:cs="Aptos"/>
          <w:color w:val="000000" w:themeColor="text1"/>
        </w:rPr>
        <w:t xml:space="preserve">, and (2) </w:t>
      </w:r>
      <w:r w:rsidR="0052223D" w:rsidRPr="03E8BD2E">
        <w:rPr>
          <w:rFonts w:ascii="Aptos" w:eastAsia="Aptos" w:hAnsi="Aptos" w:cs="Aptos"/>
          <w:color w:val="000000" w:themeColor="text1"/>
        </w:rPr>
        <w:t>specific to SSDs or is transdiagnostic</w:t>
      </w:r>
      <w:r w:rsidR="0052223D">
        <w:rPr>
          <w:rFonts w:ascii="Aptos" w:eastAsia="Aptos" w:hAnsi="Aptos" w:cs="Aptos"/>
          <w:color w:val="000000" w:themeColor="text1"/>
        </w:rPr>
        <w:t>.</w:t>
      </w:r>
      <w:r w:rsidR="4BCB5D45" w:rsidRPr="03E8BD2E">
        <w:rPr>
          <w:rFonts w:ascii="Aptos" w:eastAsia="Aptos" w:hAnsi="Aptos" w:cs="Aptos"/>
          <w:color w:val="000000" w:themeColor="text1"/>
        </w:rPr>
        <w:t xml:space="preserve"> </w:t>
      </w:r>
      <w:r w:rsidR="082B6628" w:rsidRPr="77A8D69F">
        <w:rPr>
          <w:rFonts w:ascii="Aptos" w:eastAsia="Aptos" w:hAnsi="Aptos" w:cs="Aptos"/>
          <w:color w:val="000000" w:themeColor="text1"/>
        </w:rPr>
        <w:t xml:space="preserve">To examine these research questions, we conducted a survey </w:t>
      </w:r>
      <w:r w:rsidR="2C8C9D2E" w:rsidRPr="77A8D69F">
        <w:rPr>
          <w:rFonts w:ascii="Aptos" w:eastAsia="Aptos" w:hAnsi="Aptos" w:cs="Aptos"/>
          <w:color w:val="000000" w:themeColor="text1"/>
        </w:rPr>
        <w:t xml:space="preserve">in those </w:t>
      </w:r>
      <w:r w:rsidR="082B6628" w:rsidRPr="77A8D69F">
        <w:rPr>
          <w:rFonts w:ascii="Aptos" w:eastAsia="Aptos" w:hAnsi="Aptos" w:cs="Aptos"/>
          <w:color w:val="000000" w:themeColor="text1"/>
        </w:rPr>
        <w:t xml:space="preserve">with SSDs (n = 103), anxiety disorders (n = 102) a non-clinical sample (n = 102). Questionnaires included: IU, paranoia, prodromal symptoms of </w:t>
      </w:r>
      <w:r w:rsidR="64F3C7D2" w:rsidRPr="77A8D69F">
        <w:rPr>
          <w:rFonts w:ascii="Aptos" w:eastAsia="Aptos" w:hAnsi="Aptos" w:cs="Aptos"/>
          <w:color w:val="000000" w:themeColor="text1"/>
        </w:rPr>
        <w:t>schizophrenia</w:t>
      </w:r>
      <w:r w:rsidR="082B6628" w:rsidRPr="77A8D69F">
        <w:rPr>
          <w:rFonts w:ascii="Aptos" w:eastAsia="Aptos" w:hAnsi="Aptos" w:cs="Aptos"/>
          <w:color w:val="000000" w:themeColor="text1"/>
        </w:rPr>
        <w:t>, neuroticism, and jumping to conclusions bias. IU</w:t>
      </w:r>
      <w:r w:rsidR="2110D1D7" w:rsidRPr="77A8D69F">
        <w:rPr>
          <w:rFonts w:ascii="Aptos" w:eastAsia="Aptos" w:hAnsi="Aptos" w:cs="Aptos"/>
          <w:color w:val="000000" w:themeColor="text1"/>
        </w:rPr>
        <w:t>, neuroticism, and jumping to conclusion bias</w:t>
      </w:r>
      <w:r w:rsidR="082B6628" w:rsidRPr="77A8D69F">
        <w:rPr>
          <w:rFonts w:ascii="Aptos" w:eastAsia="Aptos" w:hAnsi="Aptos" w:cs="Aptos"/>
          <w:color w:val="000000" w:themeColor="text1"/>
        </w:rPr>
        <w:t xml:space="preserve"> was elevated in those with SSDs and anxiety disorders, compared to the non-clinical group</w:t>
      </w:r>
      <w:r w:rsidR="207249A4" w:rsidRPr="77A8D69F">
        <w:rPr>
          <w:rFonts w:ascii="Aptos" w:eastAsia="Aptos" w:hAnsi="Aptos" w:cs="Aptos"/>
          <w:color w:val="000000" w:themeColor="text1"/>
        </w:rPr>
        <w:t>. B</w:t>
      </w:r>
      <w:r w:rsidR="5982395B" w:rsidRPr="77A8D69F">
        <w:rPr>
          <w:rFonts w:ascii="Aptos" w:eastAsia="Aptos" w:hAnsi="Aptos" w:cs="Aptos"/>
          <w:color w:val="000000" w:themeColor="text1"/>
        </w:rPr>
        <w:t>oth paranoia and</w:t>
      </w:r>
      <w:r w:rsidR="082B6628" w:rsidRPr="77A8D69F">
        <w:rPr>
          <w:rFonts w:ascii="Aptos" w:eastAsia="Aptos" w:hAnsi="Aptos" w:cs="Aptos"/>
          <w:color w:val="000000" w:themeColor="text1"/>
        </w:rPr>
        <w:t xml:space="preserve"> prodromal symptoms were highest in those with SSDs, then anxiety disorders, and lowest in the non-clinical group. </w:t>
      </w:r>
      <w:r w:rsidR="00B63A3C">
        <w:rPr>
          <w:rFonts w:ascii="Aptos" w:eastAsia="Aptos" w:hAnsi="Aptos" w:cs="Aptos"/>
          <w:color w:val="000000" w:themeColor="text1"/>
        </w:rPr>
        <w:t>G</w:t>
      </w:r>
      <w:r w:rsidR="082B6628" w:rsidRPr="77A8D69F">
        <w:rPr>
          <w:rFonts w:ascii="Aptos" w:eastAsia="Aptos" w:hAnsi="Aptos" w:cs="Aptos"/>
          <w:color w:val="000000" w:themeColor="text1"/>
        </w:rPr>
        <w:t xml:space="preserve">reater IU was associated with greater paranoia and prodromal symptoms across SSDs, anxiety disorders, and a non-clinical sample. </w:t>
      </w:r>
      <w:proofErr w:type="gramStart"/>
      <w:r w:rsidR="082B6628" w:rsidRPr="77A8D69F">
        <w:rPr>
          <w:rFonts w:ascii="Aptos" w:eastAsia="Aptos" w:hAnsi="Aptos" w:cs="Aptos"/>
          <w:color w:val="000000" w:themeColor="text1"/>
        </w:rPr>
        <w:t>The</w:t>
      </w:r>
      <w:r w:rsidR="6FAF9A5A" w:rsidRPr="77A8D69F">
        <w:rPr>
          <w:rFonts w:ascii="Aptos" w:eastAsia="Aptos" w:hAnsi="Aptos" w:cs="Aptos"/>
          <w:color w:val="000000" w:themeColor="text1"/>
        </w:rPr>
        <w:t xml:space="preserve"> </w:t>
      </w:r>
      <w:r w:rsidR="6D7D078E" w:rsidRPr="77A8D69F">
        <w:rPr>
          <w:rFonts w:ascii="Aptos" w:eastAsia="Aptos" w:hAnsi="Aptos" w:cs="Aptos"/>
          <w:color w:val="000000" w:themeColor="text1"/>
        </w:rPr>
        <w:t>majority of</w:t>
      </w:r>
      <w:proofErr w:type="gramEnd"/>
      <w:r w:rsidR="6D7D078E" w:rsidRPr="77A8D69F">
        <w:rPr>
          <w:rFonts w:ascii="Aptos" w:eastAsia="Aptos" w:hAnsi="Aptos" w:cs="Aptos"/>
          <w:color w:val="000000" w:themeColor="text1"/>
        </w:rPr>
        <w:t xml:space="preserve"> the </w:t>
      </w:r>
      <w:r w:rsidR="6FAF9A5A" w:rsidRPr="77A8D69F">
        <w:rPr>
          <w:rFonts w:ascii="Aptos" w:eastAsia="Aptos" w:hAnsi="Aptos" w:cs="Aptos"/>
          <w:color w:val="000000" w:themeColor="text1"/>
        </w:rPr>
        <w:t xml:space="preserve">relationships between IU and paranoia /prodromal symptoms </w:t>
      </w:r>
      <w:r w:rsidR="082B6628" w:rsidRPr="77A8D69F">
        <w:rPr>
          <w:rFonts w:ascii="Aptos" w:eastAsia="Aptos" w:hAnsi="Aptos" w:cs="Aptos"/>
          <w:color w:val="000000" w:themeColor="text1"/>
        </w:rPr>
        <w:t>remained</w:t>
      </w:r>
      <w:r w:rsidR="0F0FE51E" w:rsidRPr="77A8D69F">
        <w:rPr>
          <w:rFonts w:ascii="Aptos" w:eastAsia="Aptos" w:hAnsi="Aptos" w:cs="Aptos"/>
          <w:color w:val="000000" w:themeColor="text1"/>
        </w:rPr>
        <w:t xml:space="preserve"> </w:t>
      </w:r>
      <w:r w:rsidR="474BCC09" w:rsidRPr="77A8D69F">
        <w:rPr>
          <w:rFonts w:ascii="Aptos" w:eastAsia="Aptos" w:hAnsi="Aptos" w:cs="Aptos"/>
          <w:color w:val="000000" w:themeColor="text1"/>
        </w:rPr>
        <w:t>significant when</w:t>
      </w:r>
      <w:r w:rsidR="082B6628" w:rsidRPr="77A8D69F">
        <w:rPr>
          <w:rFonts w:ascii="Aptos" w:eastAsia="Aptos" w:hAnsi="Aptos" w:cs="Aptos"/>
          <w:color w:val="000000" w:themeColor="text1"/>
        </w:rPr>
        <w:t xml:space="preserve"> controlling for</w:t>
      </w:r>
      <w:r w:rsidR="2842E90F" w:rsidRPr="77A8D69F">
        <w:rPr>
          <w:rFonts w:ascii="Aptos" w:eastAsia="Aptos" w:hAnsi="Aptos" w:cs="Aptos"/>
          <w:color w:val="000000" w:themeColor="text1"/>
        </w:rPr>
        <w:t xml:space="preserve"> </w:t>
      </w:r>
      <w:r w:rsidR="082B6628" w:rsidRPr="77A8D69F">
        <w:rPr>
          <w:rFonts w:ascii="Aptos" w:eastAsia="Aptos" w:hAnsi="Aptos" w:cs="Aptos"/>
          <w:color w:val="000000" w:themeColor="text1"/>
        </w:rPr>
        <w:t>neuroticism</w:t>
      </w:r>
      <w:r w:rsidR="44815431" w:rsidRPr="77A8D69F">
        <w:rPr>
          <w:rFonts w:ascii="Aptos" w:eastAsia="Aptos" w:hAnsi="Aptos" w:cs="Aptos"/>
          <w:color w:val="000000" w:themeColor="text1"/>
        </w:rPr>
        <w:t xml:space="preserve"> and the jumping to conclusions bias</w:t>
      </w:r>
      <w:r w:rsidR="117005B7" w:rsidRPr="77A8D69F">
        <w:rPr>
          <w:rFonts w:ascii="Aptos" w:eastAsia="Aptos" w:hAnsi="Aptos" w:cs="Aptos"/>
          <w:color w:val="000000" w:themeColor="text1"/>
        </w:rPr>
        <w:t>.</w:t>
      </w:r>
      <w:r w:rsidR="07AC6C0B" w:rsidRPr="77A8D69F">
        <w:rPr>
          <w:rFonts w:ascii="Aptos" w:eastAsia="Aptos" w:hAnsi="Aptos" w:cs="Aptos"/>
          <w:color w:val="000000" w:themeColor="text1"/>
        </w:rPr>
        <w:t xml:space="preserve"> </w:t>
      </w:r>
      <w:r w:rsidR="117005B7" w:rsidRPr="77A8D69F">
        <w:rPr>
          <w:rFonts w:ascii="Aptos" w:eastAsia="Aptos" w:hAnsi="Aptos" w:cs="Aptos"/>
          <w:color w:val="000000" w:themeColor="text1"/>
        </w:rPr>
        <w:t>However, the relationship between IU and pa</w:t>
      </w:r>
      <w:r w:rsidR="2941A5FE" w:rsidRPr="77A8D69F">
        <w:rPr>
          <w:rFonts w:ascii="Aptos" w:eastAsia="Aptos" w:hAnsi="Aptos" w:cs="Aptos"/>
          <w:color w:val="000000" w:themeColor="text1"/>
        </w:rPr>
        <w:t>ranoia</w:t>
      </w:r>
      <w:r w:rsidR="65052FD7" w:rsidRPr="77A8D69F">
        <w:rPr>
          <w:rFonts w:ascii="Aptos" w:eastAsia="Aptos" w:hAnsi="Aptos" w:cs="Aptos"/>
          <w:color w:val="000000" w:themeColor="text1"/>
        </w:rPr>
        <w:t xml:space="preserve"> in the SSD group was not specific over the jumping to conclusions bias.</w:t>
      </w:r>
      <w:r w:rsidR="082B6628" w:rsidRPr="77A8D69F">
        <w:rPr>
          <w:rFonts w:ascii="Aptos" w:eastAsia="Aptos" w:hAnsi="Aptos" w:cs="Aptos"/>
          <w:color w:val="000000" w:themeColor="text1"/>
        </w:rPr>
        <w:t xml:space="preserve"> </w:t>
      </w:r>
      <w:r w:rsidR="38CEE623" w:rsidRPr="77A8D69F">
        <w:rPr>
          <w:rFonts w:ascii="Aptos" w:eastAsia="Aptos" w:hAnsi="Aptos" w:cs="Aptos"/>
          <w:color w:val="000000" w:themeColor="text1"/>
        </w:rPr>
        <w:t>T</w:t>
      </w:r>
      <w:r w:rsidR="082B6628" w:rsidRPr="77A8D69F">
        <w:rPr>
          <w:rFonts w:ascii="Aptos" w:eastAsia="Aptos" w:hAnsi="Aptos" w:cs="Aptos"/>
          <w:color w:val="000000" w:themeColor="text1"/>
        </w:rPr>
        <w:t xml:space="preserve">hese findings highlight the </w:t>
      </w:r>
      <w:r w:rsidR="1241509F" w:rsidRPr="77A8D69F">
        <w:rPr>
          <w:rFonts w:ascii="Aptos" w:eastAsia="Aptos" w:hAnsi="Aptos" w:cs="Aptos"/>
          <w:color w:val="000000" w:themeColor="text1"/>
        </w:rPr>
        <w:t xml:space="preserve">potentially </w:t>
      </w:r>
      <w:r w:rsidR="082B6628" w:rsidRPr="77A8D69F">
        <w:rPr>
          <w:rFonts w:ascii="Aptos" w:eastAsia="Aptos" w:hAnsi="Aptos" w:cs="Aptos"/>
          <w:color w:val="000000" w:themeColor="text1"/>
        </w:rPr>
        <w:t>transdiagnostic r</w:t>
      </w:r>
      <w:r w:rsidR="7C43F6C0" w:rsidRPr="77A8D69F">
        <w:rPr>
          <w:rFonts w:ascii="Aptos" w:eastAsia="Aptos" w:hAnsi="Aptos" w:cs="Aptos"/>
          <w:color w:val="000000" w:themeColor="text1"/>
        </w:rPr>
        <w:t>ole of</w:t>
      </w:r>
      <w:r w:rsidR="082B6628" w:rsidRPr="77A8D69F">
        <w:rPr>
          <w:rFonts w:ascii="Aptos" w:eastAsia="Aptos" w:hAnsi="Aptos" w:cs="Aptos"/>
          <w:color w:val="000000" w:themeColor="text1"/>
        </w:rPr>
        <w:t xml:space="preserve"> IU </w:t>
      </w:r>
      <w:r w:rsidR="70047952" w:rsidRPr="77A8D69F">
        <w:rPr>
          <w:rFonts w:ascii="Aptos" w:eastAsia="Aptos" w:hAnsi="Aptos" w:cs="Aptos"/>
          <w:color w:val="000000" w:themeColor="text1"/>
        </w:rPr>
        <w:t>in</w:t>
      </w:r>
      <w:r w:rsidR="082B6628" w:rsidRPr="77A8D69F">
        <w:rPr>
          <w:rFonts w:ascii="Aptos" w:eastAsia="Aptos" w:hAnsi="Aptos" w:cs="Aptos"/>
          <w:color w:val="000000" w:themeColor="text1"/>
        </w:rPr>
        <w:t xml:space="preserve"> paranoia</w:t>
      </w:r>
      <w:r w:rsidR="58754F46" w:rsidRPr="77A8D69F">
        <w:rPr>
          <w:rFonts w:ascii="Aptos" w:eastAsia="Aptos" w:hAnsi="Aptos" w:cs="Aptos"/>
          <w:color w:val="000000" w:themeColor="text1"/>
        </w:rPr>
        <w:t xml:space="preserve"> </w:t>
      </w:r>
      <w:r w:rsidR="082B6628" w:rsidRPr="77A8D69F">
        <w:rPr>
          <w:rFonts w:ascii="Aptos" w:eastAsia="Aptos" w:hAnsi="Aptos" w:cs="Aptos"/>
          <w:color w:val="000000" w:themeColor="text1"/>
        </w:rPr>
        <w:t>/</w:t>
      </w:r>
      <w:r w:rsidR="1B4BA85C" w:rsidRPr="77A8D69F">
        <w:rPr>
          <w:rFonts w:ascii="Aptos" w:eastAsia="Aptos" w:hAnsi="Aptos" w:cs="Aptos"/>
          <w:color w:val="000000" w:themeColor="text1"/>
        </w:rPr>
        <w:t xml:space="preserve"> </w:t>
      </w:r>
      <w:r w:rsidR="082B6628" w:rsidRPr="77A8D69F">
        <w:rPr>
          <w:rFonts w:ascii="Aptos" w:eastAsia="Aptos" w:hAnsi="Aptos" w:cs="Aptos"/>
          <w:color w:val="000000" w:themeColor="text1"/>
        </w:rPr>
        <w:t>prodromal symptoms across SSDs and anxiety disorders, which has implications for the development of transdiagnostic treatment interventions for SSDs and anxiety disorders.</w:t>
      </w:r>
    </w:p>
    <w:p w14:paraId="5DF07077" w14:textId="77777777" w:rsidR="00B63A3C" w:rsidRDefault="00B63A3C" w:rsidP="001B3723">
      <w:pPr>
        <w:spacing w:after="0" w:line="480" w:lineRule="auto"/>
        <w:rPr>
          <w:rFonts w:ascii="Aptos" w:eastAsia="Aptos" w:hAnsi="Aptos" w:cs="Aptos"/>
          <w:i/>
          <w:iCs/>
          <w:color w:val="000000" w:themeColor="text1"/>
        </w:rPr>
      </w:pPr>
    </w:p>
    <w:p w14:paraId="0DA88E2C" w14:textId="2610649C" w:rsidR="00DD040A" w:rsidRPr="005C5084" w:rsidRDefault="144A5A59" w:rsidP="001B3723">
      <w:pPr>
        <w:spacing w:after="0" w:line="480" w:lineRule="auto"/>
        <w:rPr>
          <w:rFonts w:ascii="Aptos" w:eastAsia="Aptos" w:hAnsi="Aptos" w:cs="Aptos"/>
          <w:color w:val="000000"/>
        </w:rPr>
      </w:pPr>
      <w:r w:rsidRPr="77A8D69F">
        <w:rPr>
          <w:rFonts w:ascii="Aptos" w:eastAsia="Aptos" w:hAnsi="Aptos" w:cs="Aptos"/>
          <w:i/>
          <w:iCs/>
          <w:color w:val="000000" w:themeColor="text1"/>
        </w:rPr>
        <w:t>Keywords.</w:t>
      </w:r>
      <w:r w:rsidRPr="77A8D69F">
        <w:rPr>
          <w:rFonts w:ascii="Aptos" w:eastAsia="Aptos" w:hAnsi="Aptos" w:cs="Aptos"/>
          <w:color w:val="000000" w:themeColor="text1"/>
        </w:rPr>
        <w:t xml:space="preserve"> Intolerance of Uncertainty, Paranoia, </w:t>
      </w:r>
      <w:r w:rsidR="2A7CFC3C" w:rsidRPr="77A8D69F">
        <w:rPr>
          <w:rFonts w:ascii="Aptos" w:eastAsia="Aptos" w:hAnsi="Aptos" w:cs="Aptos"/>
          <w:color w:val="000000" w:themeColor="text1"/>
        </w:rPr>
        <w:t>Prodromal Symptoms</w:t>
      </w:r>
      <w:r w:rsidR="44F07CEF" w:rsidRPr="77A8D69F">
        <w:rPr>
          <w:rFonts w:ascii="Aptos" w:eastAsia="Aptos" w:hAnsi="Aptos" w:cs="Aptos"/>
          <w:color w:val="000000" w:themeColor="text1"/>
        </w:rPr>
        <w:t xml:space="preserve"> of </w:t>
      </w:r>
      <w:r w:rsidR="50424727" w:rsidRPr="77A8D69F">
        <w:rPr>
          <w:rFonts w:ascii="Aptos" w:eastAsia="Aptos" w:hAnsi="Aptos" w:cs="Aptos"/>
          <w:color w:val="000000" w:themeColor="text1"/>
        </w:rPr>
        <w:t xml:space="preserve">Schizophrenia, </w:t>
      </w:r>
      <w:r w:rsidR="7B572129" w:rsidRPr="77A8D69F">
        <w:rPr>
          <w:rFonts w:ascii="Aptos" w:eastAsia="Aptos" w:hAnsi="Aptos" w:cs="Aptos"/>
          <w:color w:val="000000" w:themeColor="text1"/>
        </w:rPr>
        <w:t>Schizophrenia, Anxiety</w:t>
      </w:r>
    </w:p>
    <w:p w14:paraId="421E80D7" w14:textId="5531A2C5" w:rsidR="00DD040A" w:rsidRPr="00101D2B" w:rsidRDefault="00DD040A" w:rsidP="001B3723">
      <w:pPr>
        <w:spacing w:after="0" w:line="480" w:lineRule="auto"/>
        <w:rPr>
          <w:rFonts w:ascii="Aptos" w:eastAsia="Aptos" w:hAnsi="Aptos" w:cs="Aptos"/>
          <w:b/>
          <w:bCs/>
        </w:rPr>
      </w:pPr>
    </w:p>
    <w:p w14:paraId="29284BEA" w14:textId="28745EA5" w:rsidR="00C00108" w:rsidRPr="00C00108" w:rsidRDefault="00C00108" w:rsidP="00C00108">
      <w:pPr>
        <w:spacing w:after="0" w:line="480" w:lineRule="auto"/>
        <w:jc w:val="center"/>
        <w:rPr>
          <w:rFonts w:ascii="Aptos" w:hAnsi="Aptos" w:cs="Arial"/>
          <w:b/>
          <w:bCs/>
        </w:rPr>
      </w:pPr>
      <w:r w:rsidRPr="00C00108">
        <w:rPr>
          <w:rFonts w:ascii="Aptos" w:hAnsi="Aptos" w:cs="Arial"/>
          <w:b/>
          <w:bCs/>
        </w:rPr>
        <w:lastRenderedPageBreak/>
        <w:t>Practitioner Points</w:t>
      </w:r>
    </w:p>
    <w:p w14:paraId="5C2B2B38" w14:textId="2741319C" w:rsidR="00C00108" w:rsidRPr="00C00108" w:rsidRDefault="00C00108" w:rsidP="00C00108">
      <w:pPr>
        <w:pStyle w:val="ListParagraph"/>
        <w:numPr>
          <w:ilvl w:val="0"/>
          <w:numId w:val="6"/>
        </w:numPr>
        <w:spacing w:after="0" w:line="480" w:lineRule="auto"/>
        <w:rPr>
          <w:rFonts w:ascii="Aptos" w:hAnsi="Aptos" w:cs="Arial"/>
        </w:rPr>
      </w:pPr>
      <w:r w:rsidRPr="00C00108">
        <w:rPr>
          <w:rFonts w:ascii="Aptos" w:hAnsi="Aptos" w:cs="Arial"/>
        </w:rPr>
        <w:t xml:space="preserve">Intolerance of Uncertainty (IU) is the tendency to find uncertainty aversive. The following study examined relationships between IU, paranoia, and prodromal symptoms in a Schizophrenia Spectrum Disorder (SSD), Anxiety Disorder (AD), and control populations. </w:t>
      </w:r>
    </w:p>
    <w:p w14:paraId="766EE19F" w14:textId="77777777" w:rsidR="00C00108" w:rsidRPr="00C00108" w:rsidRDefault="00C00108" w:rsidP="00C00108">
      <w:pPr>
        <w:pStyle w:val="ListParagraph"/>
        <w:numPr>
          <w:ilvl w:val="0"/>
          <w:numId w:val="6"/>
        </w:numPr>
        <w:spacing w:after="0" w:line="480" w:lineRule="auto"/>
        <w:rPr>
          <w:rFonts w:ascii="Aptos" w:hAnsi="Aptos" w:cs="Arial"/>
        </w:rPr>
      </w:pPr>
      <w:r w:rsidRPr="00C00108">
        <w:rPr>
          <w:rFonts w:ascii="Aptos" w:hAnsi="Aptos" w:cs="Arial"/>
        </w:rPr>
        <w:t>IU is associated with paranoia and prodromal symptoms across SSDs, ADs, and control. Most effects remained when controlling for other anxious traits and biases.</w:t>
      </w:r>
    </w:p>
    <w:p w14:paraId="135C5AA9" w14:textId="42C44CB7" w:rsidR="00C00108" w:rsidRPr="00C00108" w:rsidRDefault="00C00108" w:rsidP="00C00108">
      <w:pPr>
        <w:pStyle w:val="ListParagraph"/>
        <w:numPr>
          <w:ilvl w:val="0"/>
          <w:numId w:val="6"/>
        </w:numPr>
        <w:spacing w:after="0" w:line="480" w:lineRule="auto"/>
        <w:rPr>
          <w:rFonts w:ascii="Aptos" w:hAnsi="Aptos" w:cs="Arial"/>
        </w:rPr>
      </w:pPr>
      <w:r w:rsidRPr="00C00108">
        <w:rPr>
          <w:rFonts w:ascii="Aptos" w:hAnsi="Aptos" w:cs="Arial"/>
        </w:rPr>
        <w:t xml:space="preserve">IU may serve as a useful transdiagnostic treatment target for paranoia and prodromal symptoms of psychosis in both SSDs and ADs.  </w:t>
      </w:r>
    </w:p>
    <w:p w14:paraId="0829FBBB" w14:textId="77777777" w:rsidR="00C00108" w:rsidRPr="00C00108" w:rsidRDefault="00C00108" w:rsidP="00C00108">
      <w:pPr>
        <w:spacing w:after="0" w:line="480" w:lineRule="auto"/>
        <w:rPr>
          <w:rFonts w:ascii="Aptos" w:eastAsia="Aptos" w:hAnsi="Aptos" w:cs="Aptos"/>
          <w:color w:val="000000" w:themeColor="text1"/>
        </w:rPr>
      </w:pPr>
    </w:p>
    <w:p w14:paraId="0CFB6262" w14:textId="77777777" w:rsidR="00C00108" w:rsidRPr="00C00108" w:rsidRDefault="00C00108" w:rsidP="00C00108">
      <w:pPr>
        <w:spacing w:after="0" w:line="480" w:lineRule="auto"/>
        <w:rPr>
          <w:rFonts w:ascii="Aptos" w:eastAsia="Aptos" w:hAnsi="Aptos" w:cs="Aptos"/>
          <w:color w:val="000000" w:themeColor="text1"/>
        </w:rPr>
      </w:pPr>
    </w:p>
    <w:p w14:paraId="6C09F2F4" w14:textId="77777777" w:rsidR="00C00108" w:rsidRDefault="00C00108" w:rsidP="001B3723">
      <w:pPr>
        <w:spacing w:after="0" w:line="480" w:lineRule="auto"/>
        <w:rPr>
          <w:rFonts w:ascii="Aptos" w:eastAsia="Aptos" w:hAnsi="Aptos" w:cs="Aptos"/>
          <w:color w:val="000000" w:themeColor="text1"/>
        </w:rPr>
      </w:pPr>
    </w:p>
    <w:p w14:paraId="0C5BB805" w14:textId="77777777" w:rsidR="00C00108" w:rsidRDefault="00C00108" w:rsidP="001B3723">
      <w:pPr>
        <w:spacing w:after="0" w:line="480" w:lineRule="auto"/>
        <w:rPr>
          <w:rFonts w:ascii="Aptos" w:eastAsia="Aptos" w:hAnsi="Aptos" w:cs="Aptos"/>
          <w:color w:val="000000" w:themeColor="text1"/>
        </w:rPr>
      </w:pPr>
    </w:p>
    <w:p w14:paraId="2016775C" w14:textId="77777777" w:rsidR="00C00108" w:rsidRDefault="00C00108" w:rsidP="001B3723">
      <w:pPr>
        <w:spacing w:after="0" w:line="480" w:lineRule="auto"/>
        <w:rPr>
          <w:rFonts w:ascii="Aptos" w:eastAsia="Aptos" w:hAnsi="Aptos" w:cs="Aptos"/>
          <w:color w:val="000000" w:themeColor="text1"/>
        </w:rPr>
      </w:pPr>
    </w:p>
    <w:p w14:paraId="777A6D43" w14:textId="77777777" w:rsidR="00C00108" w:rsidRDefault="00C00108" w:rsidP="001B3723">
      <w:pPr>
        <w:spacing w:after="0" w:line="480" w:lineRule="auto"/>
        <w:rPr>
          <w:rFonts w:ascii="Aptos" w:eastAsia="Aptos" w:hAnsi="Aptos" w:cs="Aptos"/>
          <w:color w:val="000000" w:themeColor="text1"/>
        </w:rPr>
      </w:pPr>
    </w:p>
    <w:p w14:paraId="5EC0A96B" w14:textId="77777777" w:rsidR="00C00108" w:rsidRDefault="00C00108" w:rsidP="001B3723">
      <w:pPr>
        <w:spacing w:after="0" w:line="480" w:lineRule="auto"/>
        <w:rPr>
          <w:rFonts w:ascii="Aptos" w:eastAsia="Aptos" w:hAnsi="Aptos" w:cs="Aptos"/>
          <w:color w:val="000000" w:themeColor="text1"/>
        </w:rPr>
      </w:pPr>
    </w:p>
    <w:p w14:paraId="772203F3" w14:textId="77777777" w:rsidR="00C00108" w:rsidRDefault="00C00108" w:rsidP="001B3723">
      <w:pPr>
        <w:spacing w:after="0" w:line="480" w:lineRule="auto"/>
        <w:rPr>
          <w:rFonts w:ascii="Aptos" w:eastAsia="Aptos" w:hAnsi="Aptos" w:cs="Aptos"/>
          <w:color w:val="000000" w:themeColor="text1"/>
        </w:rPr>
      </w:pPr>
    </w:p>
    <w:p w14:paraId="34780055" w14:textId="77777777" w:rsidR="00C00108" w:rsidRDefault="00C00108" w:rsidP="001B3723">
      <w:pPr>
        <w:spacing w:after="0" w:line="480" w:lineRule="auto"/>
        <w:rPr>
          <w:rFonts w:ascii="Aptos" w:eastAsia="Aptos" w:hAnsi="Aptos" w:cs="Aptos"/>
          <w:color w:val="000000" w:themeColor="text1"/>
        </w:rPr>
      </w:pPr>
    </w:p>
    <w:p w14:paraId="06D68637" w14:textId="77777777" w:rsidR="00C00108" w:rsidRDefault="00C00108" w:rsidP="001B3723">
      <w:pPr>
        <w:spacing w:after="0" w:line="480" w:lineRule="auto"/>
        <w:rPr>
          <w:rFonts w:ascii="Aptos" w:eastAsia="Aptos" w:hAnsi="Aptos" w:cs="Aptos"/>
          <w:color w:val="000000" w:themeColor="text1"/>
        </w:rPr>
      </w:pPr>
    </w:p>
    <w:p w14:paraId="44CC34F9" w14:textId="77777777" w:rsidR="00C00108" w:rsidRDefault="00C00108" w:rsidP="001B3723">
      <w:pPr>
        <w:spacing w:after="0" w:line="480" w:lineRule="auto"/>
        <w:rPr>
          <w:rFonts w:ascii="Aptos" w:eastAsia="Aptos" w:hAnsi="Aptos" w:cs="Aptos"/>
          <w:color w:val="000000" w:themeColor="text1"/>
        </w:rPr>
      </w:pPr>
    </w:p>
    <w:p w14:paraId="7FE1DB50" w14:textId="77777777" w:rsidR="00C00108" w:rsidRDefault="00C00108" w:rsidP="001B3723">
      <w:pPr>
        <w:spacing w:after="0" w:line="480" w:lineRule="auto"/>
        <w:rPr>
          <w:rFonts w:ascii="Aptos" w:eastAsia="Aptos" w:hAnsi="Aptos" w:cs="Aptos"/>
          <w:color w:val="000000" w:themeColor="text1"/>
        </w:rPr>
      </w:pPr>
    </w:p>
    <w:p w14:paraId="36830A04" w14:textId="77777777" w:rsidR="00C00108" w:rsidRDefault="00C00108" w:rsidP="001B3723">
      <w:pPr>
        <w:spacing w:after="0" w:line="480" w:lineRule="auto"/>
        <w:rPr>
          <w:rFonts w:ascii="Aptos" w:eastAsia="Aptos" w:hAnsi="Aptos" w:cs="Aptos"/>
          <w:color w:val="000000" w:themeColor="text1"/>
        </w:rPr>
      </w:pPr>
    </w:p>
    <w:p w14:paraId="0BF88FC9" w14:textId="77777777" w:rsidR="00D7007A" w:rsidRDefault="00D7007A" w:rsidP="001B3723">
      <w:pPr>
        <w:spacing w:after="0" w:line="480" w:lineRule="auto"/>
        <w:rPr>
          <w:rFonts w:ascii="Aptos" w:eastAsia="Aptos" w:hAnsi="Aptos" w:cs="Aptos"/>
          <w:color w:val="000000" w:themeColor="text1"/>
        </w:rPr>
      </w:pPr>
    </w:p>
    <w:p w14:paraId="6C47F9CF" w14:textId="77777777" w:rsidR="00D7007A" w:rsidRDefault="00D7007A" w:rsidP="001B3723">
      <w:pPr>
        <w:spacing w:after="0" w:line="480" w:lineRule="auto"/>
        <w:rPr>
          <w:rFonts w:ascii="Aptos" w:eastAsia="Aptos" w:hAnsi="Aptos" w:cs="Aptos"/>
          <w:color w:val="000000" w:themeColor="text1"/>
        </w:rPr>
      </w:pPr>
    </w:p>
    <w:p w14:paraId="6E04F7A2" w14:textId="77777777" w:rsidR="00D7007A" w:rsidRDefault="00D7007A" w:rsidP="001B3723">
      <w:pPr>
        <w:spacing w:after="0" w:line="480" w:lineRule="auto"/>
        <w:rPr>
          <w:rFonts w:ascii="Aptos" w:eastAsia="Aptos" w:hAnsi="Aptos" w:cs="Aptos"/>
          <w:color w:val="000000" w:themeColor="text1"/>
        </w:rPr>
      </w:pPr>
    </w:p>
    <w:p w14:paraId="2BE6AE2D" w14:textId="77777777" w:rsidR="00C00108" w:rsidRDefault="00C00108" w:rsidP="001B3723">
      <w:pPr>
        <w:spacing w:after="0" w:line="480" w:lineRule="auto"/>
        <w:rPr>
          <w:rFonts w:ascii="Aptos" w:eastAsia="Aptos" w:hAnsi="Aptos" w:cs="Aptos"/>
          <w:color w:val="000000" w:themeColor="text1"/>
        </w:rPr>
      </w:pPr>
    </w:p>
    <w:p w14:paraId="187907C0" w14:textId="3899AA8A" w:rsidR="3F54EFAA" w:rsidRDefault="3DEEE694" w:rsidP="001B3723">
      <w:pPr>
        <w:spacing w:after="0" w:line="480" w:lineRule="auto"/>
        <w:rPr>
          <w:rFonts w:ascii="Aptos" w:eastAsia="Aptos" w:hAnsi="Aptos" w:cs="Aptos"/>
          <w:color w:val="000000" w:themeColor="text1"/>
        </w:rPr>
      </w:pPr>
      <w:r w:rsidRPr="03E8BD2E">
        <w:rPr>
          <w:rFonts w:ascii="Aptos" w:eastAsia="Aptos" w:hAnsi="Aptos" w:cs="Aptos"/>
          <w:color w:val="000000" w:themeColor="text1"/>
        </w:rPr>
        <w:lastRenderedPageBreak/>
        <w:t xml:space="preserve">Intolerance of Uncertainty (IU) refers to the tendency </w:t>
      </w:r>
      <w:r w:rsidR="36AC842F" w:rsidRPr="03E8BD2E">
        <w:rPr>
          <w:rFonts w:ascii="Aptos" w:eastAsia="Aptos" w:hAnsi="Aptos" w:cs="Aptos"/>
          <w:color w:val="000000" w:themeColor="text1"/>
        </w:rPr>
        <w:t xml:space="preserve">to </w:t>
      </w:r>
      <w:r w:rsidRPr="03E8BD2E">
        <w:rPr>
          <w:rFonts w:ascii="Aptos" w:eastAsia="Aptos" w:hAnsi="Aptos" w:cs="Aptos"/>
          <w:color w:val="000000" w:themeColor="text1"/>
        </w:rPr>
        <w:t xml:space="preserve">find uncertainty negative (Carleton, 2016a; </w:t>
      </w:r>
      <w:r w:rsidR="6A91F56F" w:rsidRPr="03E8BD2E">
        <w:rPr>
          <w:rFonts w:ascii="Aptos" w:eastAsia="Aptos" w:hAnsi="Aptos" w:cs="Aptos"/>
          <w:color w:val="000000" w:themeColor="text1"/>
        </w:rPr>
        <w:t xml:space="preserve">Carleton, 2016b; </w:t>
      </w:r>
      <w:r w:rsidRPr="03E8BD2E">
        <w:rPr>
          <w:rFonts w:ascii="Aptos" w:eastAsia="Aptos" w:hAnsi="Aptos" w:cs="Aptos"/>
          <w:color w:val="000000" w:themeColor="text1"/>
        </w:rPr>
        <w:t>Freeston</w:t>
      </w:r>
      <w:r w:rsidR="453681E3" w:rsidRPr="03E8BD2E">
        <w:rPr>
          <w:rFonts w:ascii="Aptos" w:eastAsia="Aptos" w:hAnsi="Aptos" w:cs="Aptos"/>
          <w:color w:val="000000" w:themeColor="text1"/>
        </w:rPr>
        <w:t xml:space="preserve"> et al.</w:t>
      </w:r>
      <w:r w:rsidRPr="03E8BD2E">
        <w:rPr>
          <w:rFonts w:ascii="Aptos" w:eastAsia="Aptos" w:hAnsi="Aptos" w:cs="Aptos"/>
          <w:color w:val="000000" w:themeColor="text1"/>
        </w:rPr>
        <w:t>, 1994). A wealth of research has shown that individuals with higher levels of IU perceive uncertain situations as more threatening and unsafe (Cupid</w:t>
      </w:r>
      <w:r w:rsidR="7D5B2BAC" w:rsidRPr="03E8BD2E">
        <w:rPr>
          <w:rFonts w:ascii="Aptos" w:eastAsia="Aptos" w:hAnsi="Aptos" w:cs="Aptos"/>
          <w:color w:val="000000" w:themeColor="text1"/>
        </w:rPr>
        <w:t xml:space="preserve"> et al., </w:t>
      </w:r>
      <w:r w:rsidRPr="03E8BD2E">
        <w:rPr>
          <w:rFonts w:ascii="Aptos" w:eastAsia="Aptos" w:hAnsi="Aptos" w:cs="Aptos"/>
          <w:color w:val="000000" w:themeColor="text1"/>
        </w:rPr>
        <w:t>2021; Pepperdine</w:t>
      </w:r>
      <w:r w:rsidR="084DE34C" w:rsidRPr="03E8BD2E">
        <w:rPr>
          <w:rFonts w:ascii="Aptos" w:eastAsia="Aptos" w:hAnsi="Aptos" w:cs="Aptos"/>
          <w:color w:val="000000" w:themeColor="text1"/>
        </w:rPr>
        <w:t xml:space="preserve"> et al.,</w:t>
      </w:r>
      <w:r w:rsidRPr="03E8BD2E">
        <w:rPr>
          <w:rFonts w:ascii="Aptos" w:eastAsia="Aptos" w:hAnsi="Aptos" w:cs="Aptos"/>
          <w:color w:val="000000" w:themeColor="text1"/>
        </w:rPr>
        <w:t xml:space="preserve"> 2018), and under such conditions, they tend to experience heightened negative emotions (Morriss</w:t>
      </w:r>
      <w:r w:rsidR="52616303" w:rsidRPr="03E8BD2E">
        <w:rPr>
          <w:rFonts w:ascii="Aptos" w:eastAsia="Aptos" w:hAnsi="Aptos" w:cs="Aptos"/>
          <w:color w:val="000000" w:themeColor="text1"/>
        </w:rPr>
        <w:t>, Goh,</w:t>
      </w:r>
      <w:r w:rsidRPr="03E8BD2E">
        <w:rPr>
          <w:rFonts w:ascii="Aptos" w:eastAsia="Aptos" w:hAnsi="Aptos" w:cs="Aptos"/>
          <w:color w:val="000000" w:themeColor="text1"/>
        </w:rPr>
        <w:t xml:space="preserve"> </w:t>
      </w:r>
      <w:r w:rsidR="6436B03B" w:rsidRPr="03E8BD2E">
        <w:rPr>
          <w:rFonts w:ascii="Aptos" w:eastAsia="Aptos" w:hAnsi="Aptos" w:cs="Aptos"/>
          <w:color w:val="000000" w:themeColor="text1"/>
        </w:rPr>
        <w:t>et al.,</w:t>
      </w:r>
      <w:r w:rsidRPr="03E8BD2E">
        <w:rPr>
          <w:rFonts w:ascii="Aptos" w:eastAsia="Aptos" w:hAnsi="Aptos" w:cs="Aptos"/>
          <w:color w:val="000000" w:themeColor="text1"/>
        </w:rPr>
        <w:t xml:space="preserve"> 2023) and increased physiological arousal (Morriss</w:t>
      </w:r>
      <w:r w:rsidR="7CF26C49" w:rsidRPr="03E8BD2E">
        <w:rPr>
          <w:rFonts w:ascii="Aptos" w:eastAsia="Aptos" w:hAnsi="Aptos" w:cs="Aptos"/>
          <w:color w:val="000000" w:themeColor="text1"/>
        </w:rPr>
        <w:t>, Abend,</w:t>
      </w:r>
      <w:r w:rsidR="49D3BD75" w:rsidRPr="03E8BD2E">
        <w:rPr>
          <w:rFonts w:ascii="Aptos" w:eastAsia="Aptos" w:hAnsi="Aptos" w:cs="Aptos"/>
          <w:color w:val="000000" w:themeColor="text1"/>
        </w:rPr>
        <w:t xml:space="preserve"> et al., 2023</w:t>
      </w:r>
      <w:r w:rsidRPr="03E8BD2E">
        <w:rPr>
          <w:rFonts w:ascii="Aptos" w:eastAsia="Aptos" w:hAnsi="Aptos" w:cs="Aptos"/>
          <w:color w:val="000000" w:themeColor="text1"/>
        </w:rPr>
        <w:t>; Tanovic</w:t>
      </w:r>
      <w:r w:rsidR="2C3D1598" w:rsidRPr="03E8BD2E">
        <w:rPr>
          <w:rFonts w:ascii="Aptos" w:eastAsia="Aptos" w:hAnsi="Aptos" w:cs="Aptos"/>
          <w:color w:val="000000" w:themeColor="text1"/>
        </w:rPr>
        <w:t xml:space="preserve"> et al., </w:t>
      </w:r>
      <w:r w:rsidRPr="03E8BD2E">
        <w:rPr>
          <w:rFonts w:ascii="Aptos" w:eastAsia="Aptos" w:hAnsi="Aptos" w:cs="Aptos"/>
          <w:color w:val="000000" w:themeColor="text1"/>
        </w:rPr>
        <w:t xml:space="preserve">2018). IU </w:t>
      </w:r>
      <w:r w:rsidR="76055440" w:rsidRPr="03E8BD2E">
        <w:rPr>
          <w:rFonts w:ascii="Aptos" w:eastAsia="Aptos" w:hAnsi="Aptos" w:cs="Aptos"/>
          <w:color w:val="000000" w:themeColor="text1"/>
        </w:rPr>
        <w:t>is</w:t>
      </w:r>
      <w:r w:rsidR="11224D80" w:rsidRPr="03E8BD2E">
        <w:rPr>
          <w:rFonts w:ascii="Aptos" w:eastAsia="Aptos" w:hAnsi="Aptos" w:cs="Aptos"/>
          <w:color w:val="000000" w:themeColor="text1"/>
        </w:rPr>
        <w:t xml:space="preserve"> </w:t>
      </w:r>
      <w:r w:rsidRPr="03E8BD2E">
        <w:rPr>
          <w:rFonts w:ascii="Aptos" w:eastAsia="Aptos" w:hAnsi="Aptos" w:cs="Aptos"/>
          <w:color w:val="000000" w:themeColor="text1"/>
        </w:rPr>
        <w:t>normal</w:t>
      </w:r>
      <w:r w:rsidR="1C54D1BA" w:rsidRPr="03E8BD2E">
        <w:rPr>
          <w:rFonts w:ascii="Aptos" w:eastAsia="Aptos" w:hAnsi="Aptos" w:cs="Aptos"/>
          <w:color w:val="000000" w:themeColor="text1"/>
        </w:rPr>
        <w:t>ly</w:t>
      </w:r>
      <w:r w:rsidRPr="03E8BD2E">
        <w:rPr>
          <w:rFonts w:ascii="Aptos" w:eastAsia="Aptos" w:hAnsi="Aptos" w:cs="Aptos"/>
          <w:color w:val="000000" w:themeColor="text1"/>
        </w:rPr>
        <w:t xml:space="preserve"> distribut</w:t>
      </w:r>
      <w:r w:rsidR="3C86FC52" w:rsidRPr="03E8BD2E">
        <w:rPr>
          <w:rFonts w:ascii="Aptos" w:eastAsia="Aptos" w:hAnsi="Aptos" w:cs="Aptos"/>
          <w:color w:val="000000" w:themeColor="text1"/>
        </w:rPr>
        <w:t xml:space="preserve">ed </w:t>
      </w:r>
      <w:r w:rsidR="335D7108" w:rsidRPr="03E8BD2E">
        <w:rPr>
          <w:rFonts w:ascii="Aptos" w:eastAsia="Aptos" w:hAnsi="Aptos" w:cs="Aptos"/>
          <w:color w:val="000000" w:themeColor="text1"/>
        </w:rPr>
        <w:t>across</w:t>
      </w:r>
      <w:r w:rsidR="3C86FC52" w:rsidRPr="03E8BD2E">
        <w:rPr>
          <w:rFonts w:ascii="Aptos" w:eastAsia="Aptos" w:hAnsi="Aptos" w:cs="Aptos"/>
          <w:color w:val="000000" w:themeColor="text1"/>
        </w:rPr>
        <w:t xml:space="preserve"> community samples</w:t>
      </w:r>
      <w:r w:rsidRPr="03E8BD2E">
        <w:rPr>
          <w:rFonts w:ascii="Aptos" w:eastAsia="Aptos" w:hAnsi="Aptos" w:cs="Aptos"/>
          <w:color w:val="000000" w:themeColor="text1"/>
        </w:rPr>
        <w:t xml:space="preserve"> (Carleton et al., 2012; Hong &amp; Lee, 2015).</w:t>
      </w:r>
      <w:r w:rsidR="3D7E8B2E" w:rsidRPr="03E8BD2E">
        <w:rPr>
          <w:rFonts w:ascii="Aptos" w:eastAsia="Aptos" w:hAnsi="Aptos" w:cs="Aptos"/>
          <w:color w:val="000000" w:themeColor="text1"/>
        </w:rPr>
        <w:t xml:space="preserve"> Moreover, </w:t>
      </w:r>
      <w:r w:rsidR="7037AC48" w:rsidRPr="03E8BD2E">
        <w:rPr>
          <w:rFonts w:ascii="Aptos" w:eastAsia="Aptos" w:hAnsi="Aptos" w:cs="Aptos"/>
          <w:color w:val="000000" w:themeColor="text1"/>
        </w:rPr>
        <w:t xml:space="preserve">IU is a transdiagnostic dimension, as </w:t>
      </w:r>
      <w:r w:rsidR="386CA0E4" w:rsidRPr="03E8BD2E">
        <w:rPr>
          <w:rFonts w:ascii="Aptos" w:eastAsia="Aptos" w:hAnsi="Aptos" w:cs="Aptos"/>
          <w:color w:val="000000" w:themeColor="text1"/>
        </w:rPr>
        <w:t xml:space="preserve">the </w:t>
      </w:r>
      <w:r w:rsidR="3D7E8B2E" w:rsidRPr="03E8BD2E">
        <w:rPr>
          <w:rFonts w:ascii="Aptos" w:eastAsia="Aptos" w:hAnsi="Aptos" w:cs="Aptos"/>
          <w:color w:val="000000" w:themeColor="text1"/>
        </w:rPr>
        <w:t xml:space="preserve">IU </w:t>
      </w:r>
      <w:r w:rsidR="0A76E1EF" w:rsidRPr="03E8BD2E">
        <w:rPr>
          <w:rFonts w:ascii="Aptos" w:eastAsia="Aptos" w:hAnsi="Aptos" w:cs="Aptos"/>
          <w:color w:val="000000" w:themeColor="text1"/>
        </w:rPr>
        <w:t xml:space="preserve">total score </w:t>
      </w:r>
      <w:r w:rsidR="1A40B63B" w:rsidRPr="03E8BD2E">
        <w:rPr>
          <w:rFonts w:ascii="Aptos" w:eastAsia="Aptos" w:hAnsi="Aptos" w:cs="Aptos"/>
          <w:color w:val="000000" w:themeColor="text1"/>
        </w:rPr>
        <w:t>is</w:t>
      </w:r>
      <w:r w:rsidR="08973FEA" w:rsidRPr="03E8BD2E">
        <w:rPr>
          <w:rFonts w:ascii="Aptos" w:eastAsia="Aptos" w:hAnsi="Aptos" w:cs="Aptos"/>
          <w:color w:val="000000" w:themeColor="text1"/>
        </w:rPr>
        <w:t xml:space="preserve"> higher </w:t>
      </w:r>
      <w:r w:rsidR="026B63A5" w:rsidRPr="03E8BD2E">
        <w:rPr>
          <w:rFonts w:ascii="Aptos" w:eastAsia="Aptos" w:hAnsi="Aptos" w:cs="Aptos"/>
          <w:color w:val="000000" w:themeColor="text1"/>
        </w:rPr>
        <w:t>across a variety of mental health conditions, including anxiety, mood</w:t>
      </w:r>
      <w:r w:rsidR="106EFB9B" w:rsidRPr="03E8BD2E">
        <w:rPr>
          <w:rFonts w:ascii="Aptos" w:eastAsia="Aptos" w:hAnsi="Aptos" w:cs="Aptos"/>
          <w:color w:val="000000" w:themeColor="text1"/>
        </w:rPr>
        <w:t xml:space="preserve">, eating, and schizophrenia-spectrum disorders (McEvoy et al., 2019; Morriss et al., </w:t>
      </w:r>
      <w:r w:rsidR="0A6BF488" w:rsidRPr="03E8BD2E">
        <w:rPr>
          <w:rFonts w:ascii="Aptos" w:eastAsia="Aptos" w:hAnsi="Aptos" w:cs="Aptos"/>
          <w:color w:val="000000" w:themeColor="text1"/>
        </w:rPr>
        <w:t>2024</w:t>
      </w:r>
      <w:r w:rsidR="106EFB9B" w:rsidRPr="03E8BD2E">
        <w:rPr>
          <w:rFonts w:ascii="Aptos" w:eastAsia="Aptos" w:hAnsi="Aptos" w:cs="Aptos"/>
          <w:color w:val="000000" w:themeColor="text1"/>
        </w:rPr>
        <w:t xml:space="preserve">). </w:t>
      </w:r>
    </w:p>
    <w:p w14:paraId="5B0F23BF" w14:textId="08316F5A" w:rsidR="3F54EFAA" w:rsidRDefault="3F54EFAA" w:rsidP="001B3723">
      <w:pPr>
        <w:spacing w:after="0" w:line="480" w:lineRule="auto"/>
        <w:ind w:firstLine="720"/>
        <w:rPr>
          <w:rFonts w:ascii="Aptos" w:eastAsia="Aptos" w:hAnsi="Aptos" w:cs="Aptos"/>
          <w:color w:val="000000" w:themeColor="text1"/>
        </w:rPr>
      </w:pPr>
      <w:r w:rsidRPr="0540D428">
        <w:rPr>
          <w:rFonts w:ascii="Aptos" w:eastAsia="Aptos" w:hAnsi="Aptos" w:cs="Aptos"/>
          <w:color w:val="000000" w:themeColor="text1"/>
        </w:rPr>
        <w:t>T</w:t>
      </w:r>
      <w:r w:rsidR="288228FD" w:rsidRPr="0540D428">
        <w:rPr>
          <w:rFonts w:ascii="Aptos" w:eastAsia="Aptos" w:hAnsi="Aptos" w:cs="Aptos"/>
          <w:color w:val="000000" w:themeColor="text1"/>
        </w:rPr>
        <w:t xml:space="preserve">here is growing evidence that IU can be modified through </w:t>
      </w:r>
      <w:r w:rsidR="417C312C" w:rsidRPr="0540D428">
        <w:rPr>
          <w:rFonts w:ascii="Aptos" w:eastAsia="Aptos" w:hAnsi="Aptos" w:cs="Aptos"/>
          <w:color w:val="000000" w:themeColor="text1"/>
        </w:rPr>
        <w:t>gold-standard</w:t>
      </w:r>
      <w:r w:rsidR="288228FD" w:rsidRPr="0540D428">
        <w:rPr>
          <w:rFonts w:ascii="Aptos" w:eastAsia="Aptos" w:hAnsi="Aptos" w:cs="Aptos"/>
          <w:color w:val="000000" w:themeColor="text1"/>
        </w:rPr>
        <w:t xml:space="preserve"> treatments</w:t>
      </w:r>
      <w:r w:rsidR="47FD6263" w:rsidRPr="0540D428">
        <w:rPr>
          <w:rFonts w:ascii="Aptos" w:eastAsia="Aptos" w:hAnsi="Aptos" w:cs="Aptos"/>
          <w:color w:val="000000" w:themeColor="text1"/>
        </w:rPr>
        <w:t>, including transdiagnostic treatments</w:t>
      </w:r>
      <w:r w:rsidR="288228FD" w:rsidRPr="0540D428">
        <w:rPr>
          <w:rFonts w:ascii="Aptos" w:eastAsia="Aptos" w:hAnsi="Aptos" w:cs="Aptos"/>
          <w:color w:val="000000" w:themeColor="text1"/>
        </w:rPr>
        <w:t xml:space="preserve"> for anxiety-related disorders</w:t>
      </w:r>
      <w:r w:rsidR="4468D12E" w:rsidRPr="0540D428">
        <w:rPr>
          <w:rFonts w:ascii="Aptos" w:eastAsia="Aptos" w:hAnsi="Aptos" w:cs="Aptos"/>
          <w:color w:val="000000" w:themeColor="text1"/>
        </w:rPr>
        <w:t xml:space="preserve"> (for meta-analysis, see Miller &amp; McGuire, 2023)</w:t>
      </w:r>
      <w:r w:rsidR="4ED3965A" w:rsidRPr="0540D428">
        <w:rPr>
          <w:rFonts w:ascii="Aptos" w:eastAsia="Aptos" w:hAnsi="Aptos" w:cs="Aptos"/>
          <w:color w:val="000000" w:themeColor="text1"/>
        </w:rPr>
        <w:t xml:space="preserve">. </w:t>
      </w:r>
      <w:r w:rsidR="288228FD" w:rsidRPr="0540D428">
        <w:rPr>
          <w:rFonts w:ascii="Aptos" w:eastAsia="Aptos" w:hAnsi="Aptos" w:cs="Aptos"/>
          <w:color w:val="000000" w:themeColor="text1"/>
        </w:rPr>
        <w:t>B</w:t>
      </w:r>
      <w:r w:rsidR="6C8B0676" w:rsidRPr="0540D428">
        <w:rPr>
          <w:rFonts w:ascii="Aptos" w:eastAsia="Aptos" w:hAnsi="Aptos" w:cs="Aptos"/>
          <w:color w:val="000000" w:themeColor="text1"/>
        </w:rPr>
        <w:t>ased on th</w:t>
      </w:r>
      <w:r w:rsidR="18DAC5A2" w:rsidRPr="0540D428">
        <w:rPr>
          <w:rFonts w:ascii="Aptos" w:eastAsia="Aptos" w:hAnsi="Aptos" w:cs="Aptos"/>
          <w:color w:val="000000" w:themeColor="text1"/>
        </w:rPr>
        <w:t>ese advancements</w:t>
      </w:r>
      <w:r w:rsidR="288228FD" w:rsidRPr="0540D428">
        <w:rPr>
          <w:rFonts w:ascii="Aptos" w:eastAsia="Aptos" w:hAnsi="Aptos" w:cs="Aptos"/>
          <w:color w:val="000000" w:themeColor="text1"/>
        </w:rPr>
        <w:t xml:space="preserve">, </w:t>
      </w:r>
      <w:r w:rsidR="25DE38A4" w:rsidRPr="0540D428">
        <w:rPr>
          <w:rFonts w:ascii="Aptos" w:eastAsia="Aptos" w:hAnsi="Aptos" w:cs="Aptos"/>
          <w:color w:val="000000" w:themeColor="text1"/>
        </w:rPr>
        <w:t xml:space="preserve">the examination of IU from </w:t>
      </w:r>
      <w:r w:rsidR="288228FD" w:rsidRPr="0540D428">
        <w:rPr>
          <w:rFonts w:ascii="Aptos" w:eastAsia="Aptos" w:hAnsi="Aptos" w:cs="Aptos"/>
          <w:color w:val="000000" w:themeColor="text1"/>
        </w:rPr>
        <w:t>both basic and clinical r</w:t>
      </w:r>
      <w:r w:rsidR="060AAC12" w:rsidRPr="0540D428">
        <w:rPr>
          <w:rFonts w:ascii="Aptos" w:eastAsia="Aptos" w:hAnsi="Aptos" w:cs="Aptos"/>
          <w:color w:val="000000" w:themeColor="text1"/>
        </w:rPr>
        <w:t xml:space="preserve">esearch </w:t>
      </w:r>
      <w:r w:rsidR="6D1B398B" w:rsidRPr="0540D428">
        <w:rPr>
          <w:rFonts w:ascii="Aptos" w:eastAsia="Aptos" w:hAnsi="Aptos" w:cs="Aptos"/>
          <w:color w:val="000000" w:themeColor="text1"/>
        </w:rPr>
        <w:t xml:space="preserve">perspectives </w:t>
      </w:r>
      <w:r w:rsidR="060AAC12" w:rsidRPr="0540D428">
        <w:rPr>
          <w:rFonts w:ascii="Aptos" w:eastAsia="Aptos" w:hAnsi="Aptos" w:cs="Aptos"/>
          <w:color w:val="000000" w:themeColor="text1"/>
        </w:rPr>
        <w:t>has become popular over the last decade</w:t>
      </w:r>
      <w:r w:rsidR="3B93EB02" w:rsidRPr="0540D428">
        <w:rPr>
          <w:rFonts w:ascii="Aptos" w:eastAsia="Aptos" w:hAnsi="Aptos" w:cs="Aptos"/>
          <w:color w:val="000000" w:themeColor="text1"/>
        </w:rPr>
        <w:t xml:space="preserve"> (</w:t>
      </w:r>
      <w:r w:rsidR="4BBE0B72" w:rsidRPr="0540D428">
        <w:rPr>
          <w:rFonts w:ascii="Aptos" w:eastAsia="Aptos" w:hAnsi="Aptos" w:cs="Aptos"/>
          <w:color w:val="000000" w:themeColor="text1"/>
        </w:rPr>
        <w:t xml:space="preserve">Morriss, Abend, et al., 2023; </w:t>
      </w:r>
      <w:proofErr w:type="spellStart"/>
      <w:r w:rsidR="3B93EB02" w:rsidRPr="0540D428">
        <w:rPr>
          <w:rFonts w:ascii="Aptos" w:eastAsia="Aptos" w:hAnsi="Aptos" w:cs="Aptos"/>
          <w:color w:val="000000" w:themeColor="text1"/>
        </w:rPr>
        <w:t>Shihata</w:t>
      </w:r>
      <w:proofErr w:type="spellEnd"/>
      <w:r w:rsidR="3B93EB02" w:rsidRPr="0540D428">
        <w:rPr>
          <w:rFonts w:ascii="Aptos" w:eastAsia="Aptos" w:hAnsi="Aptos" w:cs="Aptos"/>
          <w:color w:val="000000" w:themeColor="text1"/>
        </w:rPr>
        <w:t xml:space="preserve"> et al., 2016</w:t>
      </w:r>
      <w:r w:rsidR="64A4EC4D" w:rsidRPr="0540D428">
        <w:rPr>
          <w:rFonts w:ascii="Aptos" w:eastAsia="Aptos" w:hAnsi="Aptos" w:cs="Aptos"/>
          <w:color w:val="000000" w:themeColor="text1"/>
        </w:rPr>
        <w:t>; Tanovic et al., 2018</w:t>
      </w:r>
      <w:r w:rsidR="3B93EB02" w:rsidRPr="0540D428">
        <w:rPr>
          <w:rFonts w:ascii="Aptos" w:eastAsia="Aptos" w:hAnsi="Aptos" w:cs="Aptos"/>
          <w:color w:val="000000" w:themeColor="text1"/>
        </w:rPr>
        <w:t>)</w:t>
      </w:r>
      <w:r w:rsidR="7C728A5C" w:rsidRPr="0540D428">
        <w:rPr>
          <w:rFonts w:ascii="Aptos" w:eastAsia="Aptos" w:hAnsi="Aptos" w:cs="Aptos"/>
          <w:color w:val="000000" w:themeColor="text1"/>
        </w:rPr>
        <w:t xml:space="preserve">. The focus of this research has been </w:t>
      </w:r>
      <w:r w:rsidR="20179D3E" w:rsidRPr="0540D428">
        <w:rPr>
          <w:rFonts w:ascii="Aptos" w:eastAsia="Aptos" w:hAnsi="Aptos" w:cs="Aptos"/>
          <w:color w:val="000000" w:themeColor="text1"/>
        </w:rPr>
        <w:t>to identify how IU</w:t>
      </w:r>
      <w:r w:rsidR="4E226149" w:rsidRPr="0540D428">
        <w:rPr>
          <w:rFonts w:ascii="Aptos" w:eastAsia="Aptos" w:hAnsi="Aptos" w:cs="Aptos"/>
          <w:color w:val="000000" w:themeColor="text1"/>
        </w:rPr>
        <w:t xml:space="preserve"> </w:t>
      </w:r>
      <w:r w:rsidR="20179D3E" w:rsidRPr="0540D428">
        <w:rPr>
          <w:rFonts w:ascii="Aptos" w:eastAsia="Aptos" w:hAnsi="Aptos" w:cs="Aptos"/>
          <w:color w:val="000000" w:themeColor="text1"/>
        </w:rPr>
        <w:t>contributes to</w:t>
      </w:r>
      <w:r w:rsidR="22F12203" w:rsidRPr="0540D428">
        <w:rPr>
          <w:rFonts w:ascii="Aptos" w:eastAsia="Aptos" w:hAnsi="Aptos" w:cs="Aptos"/>
          <w:color w:val="000000" w:themeColor="text1"/>
        </w:rPr>
        <w:t xml:space="preserve"> </w:t>
      </w:r>
      <w:r w:rsidR="04384FB8" w:rsidRPr="0540D428">
        <w:rPr>
          <w:rFonts w:ascii="Aptos" w:eastAsia="Aptos" w:hAnsi="Aptos" w:cs="Aptos"/>
          <w:color w:val="000000" w:themeColor="text1"/>
        </w:rPr>
        <w:t xml:space="preserve">anxiety </w:t>
      </w:r>
      <w:r w:rsidR="305D8A44" w:rsidRPr="0540D428">
        <w:rPr>
          <w:rFonts w:ascii="Aptos" w:eastAsia="Aptos" w:hAnsi="Aptos" w:cs="Aptos"/>
          <w:color w:val="000000" w:themeColor="text1"/>
        </w:rPr>
        <w:t xml:space="preserve">(e.g. physiological arousal, worry) </w:t>
      </w:r>
      <w:r w:rsidR="04384FB8" w:rsidRPr="0540D428">
        <w:rPr>
          <w:rFonts w:ascii="Aptos" w:eastAsia="Aptos" w:hAnsi="Aptos" w:cs="Aptos"/>
          <w:color w:val="000000" w:themeColor="text1"/>
        </w:rPr>
        <w:t xml:space="preserve">and </w:t>
      </w:r>
      <w:r w:rsidR="663A79E9" w:rsidRPr="0540D428">
        <w:rPr>
          <w:rFonts w:ascii="Aptos" w:eastAsia="Aptos" w:hAnsi="Aptos" w:cs="Aptos"/>
          <w:color w:val="000000" w:themeColor="text1"/>
        </w:rPr>
        <w:t>depression (e.g. anhedonia, rumination) symptoms</w:t>
      </w:r>
      <w:r w:rsidR="04384FB8" w:rsidRPr="0540D428">
        <w:rPr>
          <w:rFonts w:ascii="Aptos" w:eastAsia="Aptos" w:hAnsi="Aptos" w:cs="Aptos"/>
          <w:color w:val="000000" w:themeColor="text1"/>
        </w:rPr>
        <w:t xml:space="preserve"> within </w:t>
      </w:r>
      <w:r w:rsidR="4D7FE7F5" w:rsidRPr="0540D428">
        <w:rPr>
          <w:rFonts w:ascii="Aptos" w:eastAsia="Aptos" w:hAnsi="Aptos" w:cs="Aptos"/>
          <w:color w:val="000000" w:themeColor="text1"/>
        </w:rPr>
        <w:t xml:space="preserve">community samples (e.g. </w:t>
      </w:r>
      <w:r w:rsidR="301DD243" w:rsidRPr="0540D428">
        <w:rPr>
          <w:rFonts w:ascii="Aptos" w:eastAsia="Aptos" w:hAnsi="Aptos" w:cs="Aptos"/>
          <w:color w:val="000000" w:themeColor="text1"/>
        </w:rPr>
        <w:t>Hong &amp; Lee, 2015</w:t>
      </w:r>
      <w:r w:rsidR="4D7FE7F5" w:rsidRPr="0540D428">
        <w:rPr>
          <w:rFonts w:ascii="Aptos" w:eastAsia="Aptos" w:hAnsi="Aptos" w:cs="Aptos"/>
          <w:color w:val="000000" w:themeColor="text1"/>
        </w:rPr>
        <w:t xml:space="preserve">) and those with </w:t>
      </w:r>
      <w:r w:rsidR="04384FB8" w:rsidRPr="0540D428">
        <w:rPr>
          <w:rFonts w:ascii="Aptos" w:eastAsia="Aptos" w:hAnsi="Aptos" w:cs="Aptos"/>
          <w:color w:val="000000" w:themeColor="text1"/>
        </w:rPr>
        <w:t xml:space="preserve">anxiety and mood-related disorders </w:t>
      </w:r>
      <w:r w:rsidR="05A40E7B" w:rsidRPr="0540D428">
        <w:rPr>
          <w:rFonts w:ascii="Aptos" w:eastAsia="Aptos" w:hAnsi="Aptos" w:cs="Aptos"/>
          <w:color w:val="000000" w:themeColor="text1"/>
        </w:rPr>
        <w:t>(</w:t>
      </w:r>
      <w:r w:rsidR="051038DD" w:rsidRPr="0540D428">
        <w:rPr>
          <w:rFonts w:ascii="Aptos" w:eastAsia="Aptos" w:hAnsi="Aptos" w:cs="Aptos"/>
          <w:color w:val="000000" w:themeColor="text1"/>
        </w:rPr>
        <w:t>e.g.</w:t>
      </w:r>
      <w:r w:rsidR="05A40E7B" w:rsidRPr="0540D428">
        <w:rPr>
          <w:rFonts w:ascii="Aptos" w:eastAsia="Aptos" w:hAnsi="Aptos" w:cs="Aptos"/>
          <w:color w:val="000000" w:themeColor="text1"/>
        </w:rPr>
        <w:t xml:space="preserve"> </w:t>
      </w:r>
      <w:r w:rsidR="4BB88F7A" w:rsidRPr="0540D428">
        <w:rPr>
          <w:rFonts w:ascii="Aptos" w:eastAsia="Aptos" w:hAnsi="Aptos" w:cs="Aptos"/>
          <w:color w:val="000000" w:themeColor="text1"/>
        </w:rPr>
        <w:t>Mahoney &amp; McEvoy, 2012</w:t>
      </w:r>
      <w:r w:rsidR="05A40E7B" w:rsidRPr="0540D428">
        <w:rPr>
          <w:rFonts w:ascii="Aptos" w:eastAsia="Aptos" w:hAnsi="Aptos" w:cs="Aptos"/>
          <w:color w:val="000000" w:themeColor="text1"/>
        </w:rPr>
        <w:t>)</w:t>
      </w:r>
      <w:r w:rsidR="1DE6752D" w:rsidRPr="0540D428">
        <w:rPr>
          <w:rFonts w:ascii="Aptos" w:eastAsia="Aptos" w:hAnsi="Aptos" w:cs="Aptos"/>
          <w:color w:val="000000" w:themeColor="text1"/>
        </w:rPr>
        <w:t>. Furthermore, research has begun to investigate</w:t>
      </w:r>
      <w:r w:rsidR="796C2B26" w:rsidRPr="0540D428">
        <w:rPr>
          <w:rFonts w:ascii="Aptos" w:eastAsia="Aptos" w:hAnsi="Aptos" w:cs="Aptos"/>
          <w:color w:val="000000" w:themeColor="text1"/>
        </w:rPr>
        <w:t xml:space="preserve"> how </w:t>
      </w:r>
      <w:r w:rsidR="54A8C4E9" w:rsidRPr="0540D428">
        <w:rPr>
          <w:rFonts w:ascii="Aptos" w:eastAsia="Aptos" w:hAnsi="Aptos" w:cs="Aptos"/>
          <w:color w:val="000000" w:themeColor="text1"/>
        </w:rPr>
        <w:t xml:space="preserve">therapeutic principles can be leveraged to target </w:t>
      </w:r>
      <w:r w:rsidR="796C2B26" w:rsidRPr="0540D428">
        <w:rPr>
          <w:rFonts w:ascii="Aptos" w:eastAsia="Aptos" w:hAnsi="Aptos" w:cs="Aptos"/>
          <w:color w:val="000000" w:themeColor="text1"/>
        </w:rPr>
        <w:t>IU</w:t>
      </w:r>
      <w:r w:rsidR="356109C1" w:rsidRPr="0540D428">
        <w:rPr>
          <w:rFonts w:ascii="Aptos" w:eastAsia="Aptos" w:hAnsi="Aptos" w:cs="Aptos"/>
          <w:color w:val="000000" w:themeColor="text1"/>
        </w:rPr>
        <w:t xml:space="preserve"> </w:t>
      </w:r>
      <w:r w:rsidR="0F398DE1" w:rsidRPr="0540D428">
        <w:rPr>
          <w:rFonts w:ascii="Aptos" w:eastAsia="Aptos" w:hAnsi="Aptos" w:cs="Aptos"/>
          <w:color w:val="000000" w:themeColor="text1"/>
        </w:rPr>
        <w:t xml:space="preserve">and associated </w:t>
      </w:r>
      <w:r w:rsidR="796C2B26" w:rsidRPr="0540D428">
        <w:rPr>
          <w:rFonts w:ascii="Aptos" w:eastAsia="Aptos" w:hAnsi="Aptos" w:cs="Aptos"/>
          <w:color w:val="000000" w:themeColor="text1"/>
        </w:rPr>
        <w:t>symptoms</w:t>
      </w:r>
      <w:r w:rsidR="3C9410BD" w:rsidRPr="0540D428">
        <w:rPr>
          <w:rFonts w:ascii="Aptos" w:eastAsia="Aptos" w:hAnsi="Aptos" w:cs="Aptos"/>
          <w:color w:val="000000" w:themeColor="text1"/>
        </w:rPr>
        <w:t xml:space="preserve"> such as anxiety</w:t>
      </w:r>
      <w:r w:rsidR="796C2B26" w:rsidRPr="0540D428">
        <w:rPr>
          <w:rFonts w:ascii="Aptos" w:eastAsia="Aptos" w:hAnsi="Aptos" w:cs="Aptos"/>
          <w:color w:val="000000" w:themeColor="text1"/>
        </w:rPr>
        <w:t xml:space="preserve"> </w:t>
      </w:r>
      <w:r w:rsidR="691A017D" w:rsidRPr="0540D428">
        <w:rPr>
          <w:rFonts w:ascii="Aptos" w:eastAsia="Aptos" w:hAnsi="Aptos" w:cs="Aptos"/>
          <w:color w:val="000000" w:themeColor="text1"/>
        </w:rPr>
        <w:t>(</w:t>
      </w:r>
      <w:r w:rsidR="2253738C" w:rsidRPr="0540D428">
        <w:rPr>
          <w:rFonts w:ascii="Aptos" w:eastAsia="Aptos" w:hAnsi="Aptos" w:cs="Aptos"/>
          <w:color w:val="000000" w:themeColor="text1"/>
        </w:rPr>
        <w:t>e.g.</w:t>
      </w:r>
      <w:r w:rsidR="691A017D" w:rsidRPr="0540D428">
        <w:rPr>
          <w:rFonts w:ascii="Aptos" w:eastAsia="Aptos" w:hAnsi="Aptos" w:cs="Aptos"/>
          <w:color w:val="000000" w:themeColor="text1"/>
        </w:rPr>
        <w:t xml:space="preserve"> </w:t>
      </w:r>
      <w:r w:rsidR="54E367E5" w:rsidRPr="0540D428">
        <w:rPr>
          <w:rFonts w:ascii="Aptos" w:eastAsia="Aptos" w:hAnsi="Aptos" w:cs="Aptos"/>
          <w:color w:val="000000" w:themeColor="text1"/>
        </w:rPr>
        <w:t>Li et al., 2021)</w:t>
      </w:r>
      <w:r w:rsidR="20179D3E" w:rsidRPr="0540D428">
        <w:rPr>
          <w:rFonts w:ascii="Aptos" w:eastAsia="Aptos" w:hAnsi="Aptos" w:cs="Aptos"/>
          <w:color w:val="000000" w:themeColor="text1"/>
        </w:rPr>
        <w:t xml:space="preserve">. </w:t>
      </w:r>
    </w:p>
    <w:p w14:paraId="5759D877" w14:textId="353ACAD2" w:rsidR="1FBC279C" w:rsidRDefault="7B8CDE57" w:rsidP="001B3723">
      <w:pPr>
        <w:spacing w:after="0" w:line="480" w:lineRule="auto"/>
        <w:ind w:firstLine="720"/>
        <w:rPr>
          <w:rFonts w:ascii="Aptos" w:eastAsia="Aptos" w:hAnsi="Aptos" w:cs="Aptos"/>
          <w:color w:val="000000" w:themeColor="text1"/>
        </w:rPr>
      </w:pPr>
      <w:r w:rsidRPr="03E8BD2E">
        <w:rPr>
          <w:rFonts w:ascii="Aptos" w:eastAsia="Aptos" w:hAnsi="Aptos" w:cs="Aptos"/>
          <w:color w:val="000000" w:themeColor="text1"/>
        </w:rPr>
        <w:t>A recent</w:t>
      </w:r>
      <w:r w:rsidR="7E7C526D" w:rsidRPr="03E8BD2E">
        <w:rPr>
          <w:rFonts w:ascii="Aptos" w:eastAsia="Aptos" w:hAnsi="Aptos" w:cs="Aptos"/>
          <w:color w:val="000000" w:themeColor="text1"/>
        </w:rPr>
        <w:t xml:space="preserve"> emerging trend </w:t>
      </w:r>
      <w:r w:rsidR="1A2BCD7C" w:rsidRPr="03E8BD2E">
        <w:rPr>
          <w:rFonts w:ascii="Aptos" w:eastAsia="Aptos" w:hAnsi="Aptos" w:cs="Aptos"/>
          <w:color w:val="000000" w:themeColor="text1"/>
        </w:rPr>
        <w:t xml:space="preserve">is </w:t>
      </w:r>
      <w:r w:rsidR="7E7C526D" w:rsidRPr="03E8BD2E">
        <w:rPr>
          <w:rFonts w:ascii="Aptos" w:eastAsia="Aptos" w:hAnsi="Aptos" w:cs="Aptos"/>
          <w:color w:val="000000" w:themeColor="text1"/>
        </w:rPr>
        <w:t xml:space="preserve">to examine </w:t>
      </w:r>
      <w:r w:rsidR="0C8DEDE3" w:rsidRPr="03E8BD2E">
        <w:rPr>
          <w:rFonts w:ascii="Aptos" w:eastAsia="Aptos" w:hAnsi="Aptos" w:cs="Aptos"/>
          <w:color w:val="000000" w:themeColor="text1"/>
        </w:rPr>
        <w:t xml:space="preserve">how IU </w:t>
      </w:r>
      <w:r w:rsidR="58E2115C" w:rsidRPr="03E8BD2E">
        <w:rPr>
          <w:rFonts w:ascii="Aptos" w:eastAsia="Aptos" w:hAnsi="Aptos" w:cs="Aptos"/>
          <w:color w:val="000000" w:themeColor="text1"/>
        </w:rPr>
        <w:t>modulates key symptoms</w:t>
      </w:r>
      <w:r w:rsidR="0C8DEDE3" w:rsidRPr="03E8BD2E">
        <w:rPr>
          <w:rFonts w:ascii="Aptos" w:eastAsia="Aptos" w:hAnsi="Aptos" w:cs="Aptos"/>
          <w:color w:val="000000" w:themeColor="text1"/>
        </w:rPr>
        <w:t xml:space="preserve"> within </w:t>
      </w:r>
      <w:r w:rsidR="16DA66B0" w:rsidRPr="03E8BD2E">
        <w:rPr>
          <w:rFonts w:ascii="Aptos" w:eastAsia="Aptos" w:hAnsi="Aptos" w:cs="Aptos"/>
          <w:color w:val="000000" w:themeColor="text1"/>
        </w:rPr>
        <w:t>s</w:t>
      </w:r>
      <w:r w:rsidR="0C8DEDE3" w:rsidRPr="03E8BD2E">
        <w:rPr>
          <w:rFonts w:ascii="Aptos" w:eastAsia="Aptos" w:hAnsi="Aptos" w:cs="Aptos"/>
          <w:color w:val="000000" w:themeColor="text1"/>
        </w:rPr>
        <w:t>chizophrenia-spectrum disorders (SSDs)</w:t>
      </w:r>
      <w:r w:rsidR="346920F3" w:rsidRPr="03E8BD2E">
        <w:rPr>
          <w:rFonts w:ascii="Aptos" w:eastAsia="Aptos" w:hAnsi="Aptos" w:cs="Aptos"/>
          <w:color w:val="000000" w:themeColor="text1"/>
        </w:rPr>
        <w:t xml:space="preserve"> </w:t>
      </w:r>
      <w:r w:rsidR="49551F6D" w:rsidRPr="03E8BD2E">
        <w:rPr>
          <w:rFonts w:ascii="Aptos" w:eastAsia="Aptos" w:hAnsi="Aptos" w:cs="Aptos"/>
          <w:color w:val="000000" w:themeColor="text1"/>
        </w:rPr>
        <w:t>such as delusions</w:t>
      </w:r>
      <w:r w:rsidR="72034F42" w:rsidRPr="03E8BD2E">
        <w:rPr>
          <w:rFonts w:ascii="Aptos" w:eastAsia="Aptos" w:hAnsi="Aptos" w:cs="Aptos"/>
          <w:color w:val="000000" w:themeColor="text1"/>
        </w:rPr>
        <w:t xml:space="preserve"> and</w:t>
      </w:r>
      <w:r w:rsidR="49551F6D" w:rsidRPr="03E8BD2E">
        <w:rPr>
          <w:rFonts w:ascii="Aptos" w:eastAsia="Aptos" w:hAnsi="Aptos" w:cs="Aptos"/>
          <w:color w:val="000000" w:themeColor="text1"/>
        </w:rPr>
        <w:t xml:space="preserve"> paranoia </w:t>
      </w:r>
      <w:r w:rsidR="346920F3" w:rsidRPr="03E8BD2E">
        <w:rPr>
          <w:rFonts w:ascii="Aptos" w:eastAsia="Aptos" w:hAnsi="Aptos" w:cs="Aptos"/>
          <w:color w:val="000000" w:themeColor="text1"/>
        </w:rPr>
        <w:t>(</w:t>
      </w:r>
      <w:r w:rsidR="2D31193C" w:rsidRPr="03E8BD2E">
        <w:rPr>
          <w:rFonts w:ascii="Aptos" w:eastAsia="Aptos" w:hAnsi="Aptos" w:cs="Aptos"/>
          <w:lang w:val="en-US"/>
        </w:rPr>
        <w:t>Bredemeier</w:t>
      </w:r>
      <w:r w:rsidR="2D31193C" w:rsidRPr="03E8BD2E">
        <w:rPr>
          <w:rFonts w:ascii="Aptos" w:eastAsia="Aptos" w:hAnsi="Aptos" w:cs="Aptos"/>
          <w:color w:val="000000" w:themeColor="text1"/>
        </w:rPr>
        <w:t xml:space="preserve"> et al., 2019; </w:t>
      </w:r>
      <w:r w:rsidR="71052929" w:rsidRPr="03E8BD2E">
        <w:rPr>
          <w:rFonts w:ascii="Aptos" w:eastAsia="Aptos" w:hAnsi="Aptos" w:cs="Aptos"/>
          <w:color w:val="000000" w:themeColor="text1"/>
        </w:rPr>
        <w:t xml:space="preserve">Lebert et al., 2021; </w:t>
      </w:r>
      <w:r w:rsidR="4073B91B" w:rsidRPr="03E8BD2E">
        <w:rPr>
          <w:rFonts w:ascii="Aptos" w:eastAsia="Aptos" w:hAnsi="Aptos" w:cs="Aptos"/>
          <w:color w:val="000000" w:themeColor="text1"/>
        </w:rPr>
        <w:t xml:space="preserve">White &amp; </w:t>
      </w:r>
      <w:proofErr w:type="spellStart"/>
      <w:r w:rsidR="4073B91B" w:rsidRPr="03E8BD2E">
        <w:rPr>
          <w:rFonts w:ascii="Aptos" w:eastAsia="Aptos" w:hAnsi="Aptos" w:cs="Aptos"/>
          <w:color w:val="000000" w:themeColor="text1"/>
        </w:rPr>
        <w:t>Gumley</w:t>
      </w:r>
      <w:proofErr w:type="spellEnd"/>
      <w:r w:rsidR="4073B91B" w:rsidRPr="03E8BD2E">
        <w:rPr>
          <w:rFonts w:ascii="Aptos" w:eastAsia="Aptos" w:hAnsi="Aptos" w:cs="Aptos"/>
          <w:color w:val="000000" w:themeColor="text1"/>
        </w:rPr>
        <w:t>, 2010)</w:t>
      </w:r>
      <w:r w:rsidR="66DA3232" w:rsidRPr="03E8BD2E">
        <w:rPr>
          <w:rFonts w:ascii="Aptos" w:eastAsia="Aptos" w:hAnsi="Aptos" w:cs="Aptos"/>
          <w:color w:val="000000" w:themeColor="text1"/>
        </w:rPr>
        <w:t>.</w:t>
      </w:r>
      <w:r w:rsidR="5E1C0E03" w:rsidRPr="03E8BD2E">
        <w:rPr>
          <w:rFonts w:ascii="Aptos" w:eastAsia="Aptos" w:hAnsi="Aptos" w:cs="Aptos"/>
          <w:color w:val="000000" w:themeColor="text1"/>
        </w:rPr>
        <w:t xml:space="preserve"> A systematic review </w:t>
      </w:r>
      <w:r w:rsidR="1E574629" w:rsidRPr="03E8BD2E">
        <w:rPr>
          <w:rFonts w:ascii="Aptos" w:eastAsia="Aptos" w:hAnsi="Aptos" w:cs="Aptos"/>
          <w:color w:val="000000" w:themeColor="text1"/>
        </w:rPr>
        <w:t>of ten studies within communit</w:t>
      </w:r>
      <w:r w:rsidR="1E572E1E" w:rsidRPr="03E8BD2E">
        <w:rPr>
          <w:rFonts w:ascii="Aptos" w:eastAsia="Aptos" w:hAnsi="Aptos" w:cs="Aptos"/>
          <w:color w:val="000000" w:themeColor="text1"/>
        </w:rPr>
        <w:t>y, at-risk,</w:t>
      </w:r>
      <w:r w:rsidR="1E574629" w:rsidRPr="03E8BD2E">
        <w:rPr>
          <w:rFonts w:ascii="Aptos" w:eastAsia="Aptos" w:hAnsi="Aptos" w:cs="Aptos"/>
          <w:color w:val="000000" w:themeColor="text1"/>
        </w:rPr>
        <w:t xml:space="preserve"> and SSD</w:t>
      </w:r>
      <w:r w:rsidR="20B6E609" w:rsidRPr="03E8BD2E">
        <w:rPr>
          <w:rFonts w:ascii="Aptos" w:eastAsia="Aptos" w:hAnsi="Aptos" w:cs="Aptos"/>
          <w:color w:val="000000" w:themeColor="text1"/>
        </w:rPr>
        <w:t xml:space="preserve"> samples</w:t>
      </w:r>
      <w:r w:rsidR="1E574629" w:rsidRPr="03E8BD2E">
        <w:rPr>
          <w:rFonts w:ascii="Aptos" w:eastAsia="Aptos" w:hAnsi="Aptos" w:cs="Aptos"/>
          <w:color w:val="000000" w:themeColor="text1"/>
        </w:rPr>
        <w:t xml:space="preserve"> </w:t>
      </w:r>
      <w:r w:rsidR="54936951" w:rsidRPr="03E8BD2E">
        <w:rPr>
          <w:rFonts w:ascii="Aptos" w:eastAsia="Aptos" w:hAnsi="Aptos" w:cs="Aptos"/>
          <w:color w:val="000000" w:themeColor="text1"/>
        </w:rPr>
        <w:t xml:space="preserve">highlighted how IU is positively associated with </w:t>
      </w:r>
      <w:r w:rsidR="53A18670" w:rsidRPr="03E8BD2E">
        <w:rPr>
          <w:rFonts w:ascii="Aptos" w:eastAsia="Aptos" w:hAnsi="Aptos" w:cs="Aptos"/>
          <w:color w:val="000000" w:themeColor="text1"/>
        </w:rPr>
        <w:t xml:space="preserve">delusions and </w:t>
      </w:r>
      <w:r w:rsidR="54936951" w:rsidRPr="03E8BD2E">
        <w:rPr>
          <w:rFonts w:ascii="Aptos" w:eastAsia="Aptos" w:hAnsi="Aptos" w:cs="Aptos"/>
          <w:color w:val="000000" w:themeColor="text1"/>
        </w:rPr>
        <w:t xml:space="preserve">paranoia </w:t>
      </w:r>
      <w:r w:rsidR="4D9E6D18" w:rsidRPr="03E8BD2E">
        <w:rPr>
          <w:rFonts w:ascii="Aptos" w:eastAsia="Aptos" w:hAnsi="Aptos" w:cs="Aptos"/>
          <w:color w:val="000000" w:themeColor="text1"/>
        </w:rPr>
        <w:t xml:space="preserve">symptoms </w:t>
      </w:r>
      <w:r w:rsidR="54936951" w:rsidRPr="03E8BD2E">
        <w:rPr>
          <w:rFonts w:ascii="Aptos" w:eastAsia="Aptos" w:hAnsi="Aptos" w:cs="Aptos"/>
          <w:color w:val="000000" w:themeColor="text1"/>
        </w:rPr>
        <w:t xml:space="preserve">(e.g. </w:t>
      </w:r>
      <w:r w:rsidR="6E4F3379" w:rsidRPr="03E8BD2E">
        <w:rPr>
          <w:rFonts w:ascii="Aptos" w:eastAsia="Aptos" w:hAnsi="Aptos" w:cs="Aptos"/>
          <w:color w:val="000000" w:themeColor="text1"/>
        </w:rPr>
        <w:t>beliefs that others are intending to harm, mistrust of others</w:t>
      </w:r>
      <w:r w:rsidR="54936951" w:rsidRPr="03E8BD2E">
        <w:rPr>
          <w:rFonts w:ascii="Aptos" w:eastAsia="Aptos" w:hAnsi="Aptos" w:cs="Aptos"/>
          <w:color w:val="000000" w:themeColor="text1"/>
        </w:rPr>
        <w:t>)</w:t>
      </w:r>
      <w:r w:rsidR="3D21CC0C" w:rsidRPr="03E8BD2E">
        <w:rPr>
          <w:rFonts w:ascii="Aptos" w:eastAsia="Aptos" w:hAnsi="Aptos" w:cs="Aptos"/>
          <w:color w:val="000000" w:themeColor="text1"/>
        </w:rPr>
        <w:t xml:space="preserve"> (Morriss, Butler, &amp; Ellett, 2024)</w:t>
      </w:r>
      <w:r w:rsidR="548891A3" w:rsidRPr="03E8BD2E">
        <w:rPr>
          <w:rFonts w:ascii="Aptos" w:eastAsia="Aptos" w:hAnsi="Aptos" w:cs="Aptos"/>
          <w:color w:val="000000" w:themeColor="text1"/>
        </w:rPr>
        <w:t xml:space="preserve">. </w:t>
      </w:r>
      <w:r w:rsidR="7B247130" w:rsidRPr="03E8BD2E">
        <w:rPr>
          <w:rFonts w:ascii="Aptos" w:eastAsia="Aptos" w:hAnsi="Aptos" w:cs="Aptos"/>
          <w:color w:val="000000" w:themeColor="text1"/>
        </w:rPr>
        <w:t>As far as we are aware, only one study to date, has examined the specificity of the relationship between IU and paranoia</w:t>
      </w:r>
      <w:r w:rsidR="589F66BB" w:rsidRPr="03E8BD2E">
        <w:rPr>
          <w:rFonts w:ascii="Aptos" w:eastAsia="Aptos" w:hAnsi="Aptos" w:cs="Aptos"/>
          <w:color w:val="000000" w:themeColor="text1"/>
        </w:rPr>
        <w:t xml:space="preserve"> symptoms</w:t>
      </w:r>
      <w:r w:rsidR="7B247130" w:rsidRPr="03E8BD2E">
        <w:rPr>
          <w:rFonts w:ascii="Aptos" w:eastAsia="Aptos" w:hAnsi="Aptos" w:cs="Aptos"/>
          <w:color w:val="000000" w:themeColor="text1"/>
        </w:rPr>
        <w:t xml:space="preserve">, over other broader negative </w:t>
      </w:r>
      <w:r w:rsidR="7B247130" w:rsidRPr="03E8BD2E">
        <w:rPr>
          <w:rFonts w:ascii="Aptos" w:eastAsia="Aptos" w:hAnsi="Aptos" w:cs="Aptos"/>
          <w:color w:val="000000" w:themeColor="text1"/>
        </w:rPr>
        <w:lastRenderedPageBreak/>
        <w:t>affective traits</w:t>
      </w:r>
      <w:r w:rsidR="241C4237" w:rsidRPr="03E8BD2E">
        <w:rPr>
          <w:rFonts w:ascii="Aptos" w:eastAsia="Aptos" w:hAnsi="Aptos" w:cs="Aptos"/>
          <w:color w:val="000000" w:themeColor="text1"/>
        </w:rPr>
        <w:t xml:space="preserve"> (Morriss, Gaudi</w:t>
      </w:r>
      <w:r w:rsidR="66FDCAB8" w:rsidRPr="03E8BD2E">
        <w:rPr>
          <w:rFonts w:ascii="Aptos" w:eastAsia="Aptos" w:hAnsi="Aptos" w:cs="Aptos"/>
          <w:color w:val="000000" w:themeColor="text1"/>
        </w:rPr>
        <w:t>a</w:t>
      </w:r>
      <w:r w:rsidR="241C4237" w:rsidRPr="03E8BD2E">
        <w:rPr>
          <w:rFonts w:ascii="Aptos" w:eastAsia="Aptos" w:hAnsi="Aptos" w:cs="Aptos"/>
          <w:color w:val="000000" w:themeColor="text1"/>
        </w:rPr>
        <w:t>no, et al., 2024)</w:t>
      </w:r>
      <w:r w:rsidR="7A4EA9FA" w:rsidRPr="03E8BD2E">
        <w:rPr>
          <w:rFonts w:ascii="Aptos" w:eastAsia="Aptos" w:hAnsi="Aptos" w:cs="Aptos"/>
          <w:color w:val="000000" w:themeColor="text1"/>
        </w:rPr>
        <w:t xml:space="preserve">. </w:t>
      </w:r>
      <w:r w:rsidR="18E94BE0" w:rsidRPr="03E8BD2E">
        <w:rPr>
          <w:rFonts w:ascii="Aptos" w:eastAsia="Aptos" w:hAnsi="Aptos" w:cs="Aptos"/>
          <w:color w:val="000000" w:themeColor="text1"/>
        </w:rPr>
        <w:t>In a</w:t>
      </w:r>
      <w:r w:rsidR="4403C20A" w:rsidRPr="03E8BD2E">
        <w:rPr>
          <w:rFonts w:ascii="Aptos" w:eastAsia="Aptos" w:hAnsi="Aptos" w:cs="Aptos"/>
          <w:color w:val="000000" w:themeColor="text1"/>
        </w:rPr>
        <w:t>n international</w:t>
      </w:r>
      <w:r w:rsidR="18E94BE0" w:rsidRPr="03E8BD2E">
        <w:rPr>
          <w:rFonts w:ascii="Aptos" w:eastAsia="Aptos" w:hAnsi="Aptos" w:cs="Aptos"/>
          <w:color w:val="000000" w:themeColor="text1"/>
        </w:rPr>
        <w:t xml:space="preserve"> community sample across five sites (n = </w:t>
      </w:r>
      <w:r w:rsidR="1F6088E8" w:rsidRPr="03E8BD2E">
        <w:rPr>
          <w:rFonts w:ascii="Aptos" w:eastAsia="Aptos" w:hAnsi="Aptos" w:cs="Aptos"/>
          <w:color w:val="000000" w:themeColor="text1"/>
        </w:rPr>
        <w:t>2510)</w:t>
      </w:r>
      <w:r w:rsidR="43A920D9" w:rsidRPr="03E8BD2E">
        <w:rPr>
          <w:rFonts w:ascii="Aptos" w:eastAsia="Aptos" w:hAnsi="Aptos" w:cs="Aptos"/>
          <w:color w:val="000000" w:themeColor="text1"/>
        </w:rPr>
        <w:t>, it was observed that IU</w:t>
      </w:r>
      <w:r w:rsidR="582B07BE" w:rsidRPr="03E8BD2E">
        <w:rPr>
          <w:rFonts w:ascii="Aptos" w:eastAsia="Aptos" w:hAnsi="Aptos" w:cs="Aptos"/>
          <w:color w:val="000000" w:themeColor="text1"/>
        </w:rPr>
        <w:t xml:space="preserve"> </w:t>
      </w:r>
      <w:r w:rsidR="43A920D9" w:rsidRPr="03E8BD2E">
        <w:rPr>
          <w:rFonts w:ascii="Aptos" w:eastAsia="Aptos" w:hAnsi="Aptos" w:cs="Aptos"/>
          <w:color w:val="000000" w:themeColor="text1"/>
        </w:rPr>
        <w:t>was positively associated with paranoia, even when controlling for negative beliefs about the self and others.</w:t>
      </w:r>
      <w:r w:rsidR="746B7B9B" w:rsidRPr="03E8BD2E">
        <w:rPr>
          <w:rFonts w:ascii="Aptos" w:eastAsia="Aptos" w:hAnsi="Aptos" w:cs="Aptos"/>
          <w:color w:val="000000" w:themeColor="text1"/>
        </w:rPr>
        <w:t xml:space="preserve"> </w:t>
      </w:r>
      <w:r w:rsidR="15126717" w:rsidRPr="03E8BD2E">
        <w:rPr>
          <w:rFonts w:ascii="Aptos" w:eastAsia="Aptos" w:hAnsi="Aptos" w:cs="Aptos"/>
          <w:color w:val="000000" w:themeColor="text1"/>
        </w:rPr>
        <w:t xml:space="preserve">Despite this progress, there </w:t>
      </w:r>
      <w:r w:rsidR="6BB86D19" w:rsidRPr="03E8BD2E">
        <w:rPr>
          <w:rFonts w:ascii="Aptos" w:eastAsia="Aptos" w:hAnsi="Aptos" w:cs="Aptos"/>
          <w:color w:val="000000" w:themeColor="text1"/>
        </w:rPr>
        <w:t>remain questions about the specificity of the relationship between IU and paranoia</w:t>
      </w:r>
      <w:r w:rsidR="6D548B89" w:rsidRPr="03E8BD2E">
        <w:rPr>
          <w:rFonts w:ascii="Aptos" w:eastAsia="Aptos" w:hAnsi="Aptos" w:cs="Aptos"/>
          <w:color w:val="000000" w:themeColor="text1"/>
        </w:rPr>
        <w:t>. Firstl</w:t>
      </w:r>
      <w:r w:rsidR="0052223D">
        <w:rPr>
          <w:rFonts w:ascii="Aptos" w:eastAsia="Aptos" w:hAnsi="Aptos" w:cs="Aptos"/>
          <w:color w:val="000000" w:themeColor="text1"/>
        </w:rPr>
        <w:t>y</w:t>
      </w:r>
      <w:r w:rsidR="408706AD" w:rsidRPr="03E8BD2E">
        <w:rPr>
          <w:rFonts w:ascii="Aptos" w:eastAsia="Aptos" w:hAnsi="Aptos" w:cs="Aptos"/>
          <w:color w:val="000000" w:themeColor="text1"/>
        </w:rPr>
        <w:t>, it is yet to be established whether the relationship between IU and paranoia is specific over other transdiagnostic higher-order negative affective traits such as neuroticism, and lower-order cognitive biases such as jumping to conclusions, both of which have been linked to paranoia symptoms in the general population (</w:t>
      </w:r>
      <w:r w:rsidR="408706AD" w:rsidRPr="03E8BD2E">
        <w:rPr>
          <w:rFonts w:ascii="Aptos" w:eastAsia="Aptos" w:hAnsi="Aptos" w:cs="Aptos"/>
          <w:lang w:val="en-US"/>
        </w:rPr>
        <w:t xml:space="preserve">Barrantes-Vidal et al., 2009; Freeman et al., 2008) and </w:t>
      </w:r>
      <w:r w:rsidR="408706AD" w:rsidRPr="03E8BD2E">
        <w:rPr>
          <w:rFonts w:ascii="Aptos" w:eastAsia="Aptos" w:hAnsi="Aptos" w:cs="Aptos"/>
          <w:color w:val="000000" w:themeColor="text1"/>
        </w:rPr>
        <w:t xml:space="preserve">those with SSDs (Freeman et al., 2013; </w:t>
      </w:r>
      <w:proofErr w:type="spellStart"/>
      <w:r w:rsidR="408706AD" w:rsidRPr="03E8BD2E">
        <w:rPr>
          <w:rFonts w:ascii="Aptos" w:eastAsia="Aptos" w:hAnsi="Aptos" w:cs="Aptos"/>
          <w:lang w:val="en-US"/>
        </w:rPr>
        <w:t>Krabbendam</w:t>
      </w:r>
      <w:proofErr w:type="spellEnd"/>
      <w:r w:rsidR="408706AD" w:rsidRPr="03E8BD2E">
        <w:rPr>
          <w:rFonts w:ascii="Aptos" w:eastAsia="Aptos" w:hAnsi="Aptos" w:cs="Aptos"/>
          <w:lang w:val="en-US"/>
        </w:rPr>
        <w:t xml:space="preserve"> et al., 2002</w:t>
      </w:r>
      <w:r w:rsidR="408706AD" w:rsidRPr="03E8BD2E">
        <w:rPr>
          <w:rFonts w:ascii="Aptos" w:eastAsia="Aptos" w:hAnsi="Aptos" w:cs="Aptos"/>
          <w:color w:val="000000" w:themeColor="text1"/>
        </w:rPr>
        <w:t>).</w:t>
      </w:r>
      <w:r w:rsidR="75311447" w:rsidRPr="03E8BD2E">
        <w:rPr>
          <w:rFonts w:ascii="Aptos" w:eastAsia="Aptos" w:hAnsi="Aptos" w:cs="Aptos"/>
          <w:color w:val="000000" w:themeColor="text1"/>
        </w:rPr>
        <w:t xml:space="preserve"> </w:t>
      </w:r>
      <w:r w:rsidR="0052223D">
        <w:rPr>
          <w:rFonts w:ascii="Aptos" w:eastAsia="Aptos" w:hAnsi="Aptos" w:cs="Aptos"/>
          <w:color w:val="000000" w:themeColor="text1"/>
        </w:rPr>
        <w:t>Secondly,</w:t>
      </w:r>
      <w:r w:rsidR="0052223D" w:rsidRPr="03E8BD2E">
        <w:rPr>
          <w:rFonts w:ascii="Aptos" w:eastAsia="Aptos" w:hAnsi="Aptos" w:cs="Aptos"/>
          <w:color w:val="000000" w:themeColor="text1"/>
        </w:rPr>
        <w:t xml:space="preserve"> it is unknown whether the relationship between IU and paranoia is transdiagnostic across SSDs and highly comorbid mental health conditions such as anxiety disorders (for review of comorbidity see, Braga et al., 2013), or whether the strength of the relationship between IU and paranoia is stronger in SSDs, compared to anxiety disorders.</w:t>
      </w:r>
      <w:r w:rsidR="0052223D">
        <w:rPr>
          <w:rFonts w:ascii="Aptos" w:eastAsia="Aptos" w:hAnsi="Aptos" w:cs="Aptos"/>
          <w:color w:val="000000" w:themeColor="text1"/>
        </w:rPr>
        <w:t xml:space="preserve"> </w:t>
      </w:r>
      <w:r w:rsidR="666E9B9C" w:rsidRPr="03E8BD2E">
        <w:rPr>
          <w:rFonts w:ascii="Aptos" w:eastAsia="Aptos" w:hAnsi="Aptos" w:cs="Aptos"/>
          <w:color w:val="000000" w:themeColor="text1"/>
        </w:rPr>
        <w:t xml:space="preserve">Addressing these questions </w:t>
      </w:r>
      <w:r w:rsidR="2DC0E062" w:rsidRPr="03E8BD2E">
        <w:rPr>
          <w:rFonts w:ascii="Aptos" w:eastAsia="Aptos" w:hAnsi="Aptos" w:cs="Aptos"/>
          <w:color w:val="000000" w:themeColor="text1"/>
        </w:rPr>
        <w:t xml:space="preserve">will </w:t>
      </w:r>
      <w:r w:rsidR="7DFEFED2" w:rsidRPr="03E8BD2E">
        <w:rPr>
          <w:rFonts w:ascii="Aptos" w:eastAsia="Aptos" w:hAnsi="Aptos" w:cs="Aptos"/>
          <w:color w:val="000000" w:themeColor="text1"/>
        </w:rPr>
        <w:t xml:space="preserve">clarify </w:t>
      </w:r>
      <w:r w:rsidR="2DC0E062" w:rsidRPr="03E8BD2E">
        <w:rPr>
          <w:rFonts w:ascii="Aptos" w:eastAsia="Aptos" w:hAnsi="Aptos" w:cs="Aptos"/>
          <w:color w:val="000000" w:themeColor="text1"/>
        </w:rPr>
        <w:t xml:space="preserve">whether </w:t>
      </w:r>
      <w:r w:rsidR="46F8308F" w:rsidRPr="03E8BD2E">
        <w:rPr>
          <w:rFonts w:ascii="Aptos" w:eastAsia="Aptos" w:hAnsi="Aptos" w:cs="Aptos"/>
          <w:color w:val="000000" w:themeColor="text1"/>
        </w:rPr>
        <w:t xml:space="preserve">IU and paranoia interactions are unique, over other related and overlapping </w:t>
      </w:r>
      <w:r w:rsidR="13FB161F" w:rsidRPr="03E8BD2E">
        <w:rPr>
          <w:rFonts w:ascii="Aptos" w:eastAsia="Aptos" w:hAnsi="Aptos" w:cs="Aptos"/>
          <w:color w:val="000000" w:themeColor="text1"/>
        </w:rPr>
        <w:t>transdiagnostic</w:t>
      </w:r>
      <w:r w:rsidR="46F8308F" w:rsidRPr="03E8BD2E">
        <w:rPr>
          <w:rFonts w:ascii="Aptos" w:eastAsia="Aptos" w:hAnsi="Aptos" w:cs="Aptos"/>
          <w:color w:val="000000" w:themeColor="text1"/>
        </w:rPr>
        <w:t xml:space="preserve"> dimension</w:t>
      </w:r>
      <w:r w:rsidR="7DFDE807" w:rsidRPr="03E8BD2E">
        <w:rPr>
          <w:rFonts w:ascii="Aptos" w:eastAsia="Aptos" w:hAnsi="Aptos" w:cs="Aptos"/>
          <w:color w:val="000000" w:themeColor="text1"/>
        </w:rPr>
        <w:t>s</w:t>
      </w:r>
      <w:r w:rsidR="4F613E37" w:rsidRPr="03E8BD2E">
        <w:rPr>
          <w:rFonts w:ascii="Aptos" w:eastAsia="Aptos" w:hAnsi="Aptos" w:cs="Aptos"/>
          <w:color w:val="000000" w:themeColor="text1"/>
        </w:rPr>
        <w:t xml:space="preserve">. Such findings </w:t>
      </w:r>
      <w:r w:rsidR="41ED2BF9" w:rsidRPr="03E8BD2E">
        <w:rPr>
          <w:rFonts w:ascii="Aptos" w:eastAsia="Aptos" w:hAnsi="Aptos" w:cs="Aptos"/>
          <w:color w:val="000000" w:themeColor="text1"/>
        </w:rPr>
        <w:t xml:space="preserve">will </w:t>
      </w:r>
      <w:r w:rsidR="13D9BEE2" w:rsidRPr="03E8BD2E">
        <w:rPr>
          <w:rFonts w:ascii="Aptos" w:eastAsia="Aptos" w:hAnsi="Aptos" w:cs="Aptos"/>
          <w:color w:val="000000" w:themeColor="text1"/>
        </w:rPr>
        <w:t xml:space="preserve">inform us about the relevance and benefit of IU as </w:t>
      </w:r>
      <w:r w:rsidR="192189DD" w:rsidRPr="03E8BD2E">
        <w:rPr>
          <w:rFonts w:ascii="Aptos" w:eastAsia="Aptos" w:hAnsi="Aptos" w:cs="Aptos"/>
          <w:color w:val="000000" w:themeColor="text1"/>
        </w:rPr>
        <w:t>a potential</w:t>
      </w:r>
      <w:r w:rsidR="2DC0E062" w:rsidRPr="03E8BD2E">
        <w:rPr>
          <w:rFonts w:ascii="Aptos" w:eastAsia="Aptos" w:hAnsi="Aptos" w:cs="Aptos"/>
          <w:color w:val="000000" w:themeColor="text1"/>
        </w:rPr>
        <w:t xml:space="preserve"> </w:t>
      </w:r>
      <w:r w:rsidR="35660B88" w:rsidRPr="03E8BD2E">
        <w:rPr>
          <w:rFonts w:ascii="Aptos" w:eastAsia="Aptos" w:hAnsi="Aptos" w:cs="Aptos"/>
          <w:color w:val="000000" w:themeColor="text1"/>
        </w:rPr>
        <w:t>t</w:t>
      </w:r>
      <w:r w:rsidR="555B7C30" w:rsidRPr="03E8BD2E">
        <w:rPr>
          <w:rFonts w:ascii="Aptos" w:eastAsia="Aptos" w:hAnsi="Aptos" w:cs="Aptos"/>
          <w:color w:val="000000" w:themeColor="text1"/>
        </w:rPr>
        <w:t>reatment target</w:t>
      </w:r>
      <w:r w:rsidR="35660B88" w:rsidRPr="03E8BD2E">
        <w:rPr>
          <w:rFonts w:ascii="Aptos" w:eastAsia="Aptos" w:hAnsi="Aptos" w:cs="Aptos"/>
          <w:color w:val="000000" w:themeColor="text1"/>
        </w:rPr>
        <w:t xml:space="preserve"> </w:t>
      </w:r>
      <w:r w:rsidR="61B09022" w:rsidRPr="03E8BD2E">
        <w:rPr>
          <w:rFonts w:ascii="Aptos" w:eastAsia="Aptos" w:hAnsi="Aptos" w:cs="Aptos"/>
          <w:color w:val="000000" w:themeColor="text1"/>
        </w:rPr>
        <w:t>for alleviating</w:t>
      </w:r>
      <w:r w:rsidR="4175B0CB" w:rsidRPr="03E8BD2E">
        <w:rPr>
          <w:rFonts w:ascii="Aptos" w:eastAsia="Aptos" w:hAnsi="Aptos" w:cs="Aptos"/>
          <w:color w:val="000000" w:themeColor="text1"/>
        </w:rPr>
        <w:t xml:space="preserve"> </w:t>
      </w:r>
      <w:r w:rsidR="35660B88" w:rsidRPr="03E8BD2E">
        <w:rPr>
          <w:rFonts w:ascii="Aptos" w:eastAsia="Aptos" w:hAnsi="Aptos" w:cs="Aptos"/>
          <w:color w:val="000000" w:themeColor="text1"/>
        </w:rPr>
        <w:t>paranoia symptoms in SSDs</w:t>
      </w:r>
      <w:r w:rsidR="4CF86D62" w:rsidRPr="03E8BD2E">
        <w:rPr>
          <w:rFonts w:ascii="Aptos" w:eastAsia="Aptos" w:hAnsi="Aptos" w:cs="Aptos"/>
          <w:color w:val="000000" w:themeColor="text1"/>
        </w:rPr>
        <w:t xml:space="preserve"> and/or anxiety disorders. </w:t>
      </w:r>
      <w:r w:rsidR="505C3082" w:rsidRPr="03E8BD2E">
        <w:rPr>
          <w:rFonts w:ascii="Aptos" w:eastAsia="Aptos" w:hAnsi="Aptos" w:cs="Aptos"/>
          <w:color w:val="000000" w:themeColor="text1"/>
        </w:rPr>
        <w:t xml:space="preserve"> </w:t>
      </w:r>
    </w:p>
    <w:p w14:paraId="767C5912" w14:textId="653DA993" w:rsidR="7E80BDFC" w:rsidRDefault="01B51D70" w:rsidP="001B3723">
      <w:pPr>
        <w:spacing w:after="0" w:line="480" w:lineRule="auto"/>
        <w:ind w:firstLine="720"/>
        <w:rPr>
          <w:rFonts w:ascii="Aptos" w:eastAsia="Aptos" w:hAnsi="Aptos" w:cs="Aptos"/>
          <w:color w:val="000000" w:themeColor="text1"/>
        </w:rPr>
      </w:pPr>
      <w:r w:rsidRPr="77A8D69F">
        <w:rPr>
          <w:rFonts w:ascii="Aptos" w:eastAsia="Aptos" w:hAnsi="Aptos" w:cs="Aptos"/>
          <w:color w:val="000000" w:themeColor="text1"/>
        </w:rPr>
        <w:t xml:space="preserve">Prodromal symptoms </w:t>
      </w:r>
      <w:r w:rsidR="01048190" w:rsidRPr="77A8D69F">
        <w:rPr>
          <w:rFonts w:ascii="Aptos" w:eastAsia="Aptos" w:hAnsi="Aptos" w:cs="Aptos"/>
          <w:color w:val="000000" w:themeColor="text1"/>
        </w:rPr>
        <w:t>related to schizophrenia</w:t>
      </w:r>
      <w:r w:rsidR="04113530" w:rsidRPr="77A8D69F">
        <w:rPr>
          <w:rFonts w:ascii="Aptos" w:eastAsia="Aptos" w:hAnsi="Aptos" w:cs="Aptos"/>
          <w:color w:val="000000" w:themeColor="text1"/>
        </w:rPr>
        <w:t xml:space="preserve"> </w:t>
      </w:r>
      <w:r w:rsidR="3BF09016" w:rsidRPr="77A8D69F">
        <w:rPr>
          <w:rFonts w:ascii="Aptos" w:eastAsia="Aptos" w:hAnsi="Aptos" w:cs="Aptos"/>
          <w:color w:val="000000" w:themeColor="text1"/>
        </w:rPr>
        <w:t xml:space="preserve">consist of </w:t>
      </w:r>
      <w:r w:rsidR="592A3C13" w:rsidRPr="77A8D69F">
        <w:rPr>
          <w:rFonts w:ascii="Aptos" w:eastAsia="Aptos" w:hAnsi="Aptos" w:cs="Aptos"/>
          <w:color w:val="000000" w:themeColor="text1"/>
        </w:rPr>
        <w:t xml:space="preserve">changes in emotional experiences, </w:t>
      </w:r>
      <w:r w:rsidR="6C0CEF42" w:rsidRPr="77A8D69F">
        <w:rPr>
          <w:rFonts w:ascii="Aptos" w:eastAsia="Aptos" w:hAnsi="Aptos" w:cs="Aptos"/>
          <w:color w:val="000000" w:themeColor="text1"/>
        </w:rPr>
        <w:t xml:space="preserve">perceptual abnormalities, </w:t>
      </w:r>
      <w:r w:rsidR="18C0F72F" w:rsidRPr="77A8D69F">
        <w:rPr>
          <w:rFonts w:ascii="Aptos" w:eastAsia="Aptos" w:hAnsi="Aptos" w:cs="Aptos"/>
          <w:color w:val="000000" w:themeColor="text1"/>
        </w:rPr>
        <w:t xml:space="preserve">and </w:t>
      </w:r>
      <w:r w:rsidR="6C0CEF42" w:rsidRPr="77A8D69F">
        <w:rPr>
          <w:rFonts w:ascii="Aptos" w:eastAsia="Aptos" w:hAnsi="Aptos" w:cs="Aptos"/>
          <w:color w:val="000000" w:themeColor="text1"/>
        </w:rPr>
        <w:t>unusual thought content</w:t>
      </w:r>
      <w:r w:rsidR="3E1A439C" w:rsidRPr="77A8D69F">
        <w:rPr>
          <w:rFonts w:ascii="Aptos" w:eastAsia="Aptos" w:hAnsi="Aptos" w:cs="Aptos"/>
          <w:color w:val="000000" w:themeColor="text1"/>
        </w:rPr>
        <w:t xml:space="preserve">. </w:t>
      </w:r>
      <w:r w:rsidR="14EB9791" w:rsidRPr="77A8D69F">
        <w:rPr>
          <w:rFonts w:ascii="Aptos" w:eastAsia="Aptos" w:hAnsi="Aptos" w:cs="Aptos"/>
          <w:color w:val="000000" w:themeColor="text1"/>
        </w:rPr>
        <w:t>P</w:t>
      </w:r>
      <w:r w:rsidR="043FA389" w:rsidRPr="77A8D69F">
        <w:rPr>
          <w:rFonts w:ascii="Aptos" w:eastAsia="Aptos" w:hAnsi="Aptos" w:cs="Aptos"/>
          <w:color w:val="000000" w:themeColor="text1"/>
        </w:rPr>
        <w:t>rod</w:t>
      </w:r>
      <w:r w:rsidR="2BEFF056" w:rsidRPr="77A8D69F">
        <w:rPr>
          <w:rFonts w:ascii="Aptos" w:eastAsia="Aptos" w:hAnsi="Aptos" w:cs="Aptos"/>
          <w:color w:val="000000" w:themeColor="text1"/>
        </w:rPr>
        <w:t xml:space="preserve">romal </w:t>
      </w:r>
      <w:r w:rsidR="043FA389" w:rsidRPr="77A8D69F">
        <w:rPr>
          <w:rFonts w:ascii="Aptos" w:eastAsia="Aptos" w:hAnsi="Aptos" w:cs="Aptos"/>
          <w:color w:val="000000" w:themeColor="text1"/>
        </w:rPr>
        <w:t xml:space="preserve">symptoms </w:t>
      </w:r>
      <w:r w:rsidR="6C74E7EA" w:rsidRPr="77A8D69F">
        <w:rPr>
          <w:rFonts w:ascii="Aptos" w:eastAsia="Aptos" w:hAnsi="Aptos" w:cs="Aptos"/>
          <w:color w:val="000000" w:themeColor="text1"/>
        </w:rPr>
        <w:t xml:space="preserve">in schizophrenia </w:t>
      </w:r>
      <w:r w:rsidR="043FA389" w:rsidRPr="77A8D69F">
        <w:rPr>
          <w:rFonts w:ascii="Aptos" w:eastAsia="Aptos" w:hAnsi="Aptos" w:cs="Aptos"/>
          <w:color w:val="000000" w:themeColor="text1"/>
        </w:rPr>
        <w:t>have been shown t</w:t>
      </w:r>
      <w:r w:rsidR="09FB0063" w:rsidRPr="77A8D69F">
        <w:rPr>
          <w:rFonts w:ascii="Aptos" w:eastAsia="Aptos" w:hAnsi="Aptos" w:cs="Aptos"/>
          <w:color w:val="000000" w:themeColor="text1"/>
        </w:rPr>
        <w:t>o</w:t>
      </w:r>
      <w:r w:rsidR="043FA389" w:rsidRPr="77A8D69F">
        <w:rPr>
          <w:rFonts w:ascii="Aptos" w:eastAsia="Aptos" w:hAnsi="Aptos" w:cs="Aptos"/>
          <w:color w:val="000000" w:themeColor="text1"/>
        </w:rPr>
        <w:t xml:space="preserve"> predict psychotic episodes </w:t>
      </w:r>
      <w:r w:rsidR="493737CC" w:rsidRPr="77A8D69F">
        <w:rPr>
          <w:rFonts w:ascii="Aptos" w:eastAsia="Aptos" w:hAnsi="Aptos" w:cs="Aptos"/>
          <w:color w:val="000000" w:themeColor="text1"/>
        </w:rPr>
        <w:t>within</w:t>
      </w:r>
      <w:r w:rsidR="043FA389" w:rsidRPr="77A8D69F">
        <w:rPr>
          <w:rFonts w:ascii="Aptos" w:eastAsia="Aptos" w:hAnsi="Aptos" w:cs="Aptos"/>
          <w:color w:val="000000" w:themeColor="text1"/>
        </w:rPr>
        <w:t xml:space="preserve"> </w:t>
      </w:r>
      <w:r w:rsidR="01AEDDC0" w:rsidRPr="77A8D69F">
        <w:rPr>
          <w:rFonts w:ascii="Aptos" w:eastAsia="Aptos" w:hAnsi="Aptos" w:cs="Aptos"/>
          <w:color w:val="000000" w:themeColor="text1"/>
        </w:rPr>
        <w:t>6–12 months</w:t>
      </w:r>
      <w:r w:rsidR="6729A12A" w:rsidRPr="77A8D69F">
        <w:rPr>
          <w:rFonts w:ascii="Aptos" w:eastAsia="Aptos" w:hAnsi="Aptos" w:cs="Aptos"/>
          <w:color w:val="000000" w:themeColor="text1"/>
        </w:rPr>
        <w:t xml:space="preserve"> (Yung et al., </w:t>
      </w:r>
      <w:r w:rsidR="018B8D3C" w:rsidRPr="77A8D69F">
        <w:rPr>
          <w:rFonts w:ascii="Aptos" w:eastAsia="Aptos" w:hAnsi="Aptos" w:cs="Aptos"/>
          <w:color w:val="000000" w:themeColor="text1"/>
        </w:rPr>
        <w:t xml:space="preserve">1998; </w:t>
      </w:r>
      <w:r w:rsidR="6729A12A" w:rsidRPr="77A8D69F">
        <w:rPr>
          <w:rFonts w:ascii="Aptos" w:eastAsia="Aptos" w:hAnsi="Aptos" w:cs="Aptos"/>
          <w:color w:val="000000" w:themeColor="text1"/>
        </w:rPr>
        <w:t>2003)</w:t>
      </w:r>
      <w:r w:rsidR="043FA389" w:rsidRPr="77A8D69F">
        <w:rPr>
          <w:rFonts w:ascii="Aptos" w:eastAsia="Aptos" w:hAnsi="Aptos" w:cs="Aptos"/>
          <w:color w:val="000000" w:themeColor="text1"/>
        </w:rPr>
        <w:t xml:space="preserve">. </w:t>
      </w:r>
      <w:r w:rsidR="3E1A439C" w:rsidRPr="77A8D69F">
        <w:rPr>
          <w:rFonts w:ascii="Aptos" w:eastAsia="Aptos" w:hAnsi="Aptos" w:cs="Aptos"/>
          <w:color w:val="000000" w:themeColor="text1"/>
        </w:rPr>
        <w:t>Th</w:t>
      </w:r>
      <w:r w:rsidR="1EFDACFB" w:rsidRPr="77A8D69F">
        <w:rPr>
          <w:rFonts w:ascii="Aptos" w:eastAsia="Aptos" w:hAnsi="Aptos" w:cs="Aptos"/>
          <w:color w:val="000000" w:themeColor="text1"/>
        </w:rPr>
        <w:t>us,</w:t>
      </w:r>
      <w:r w:rsidR="3E1A439C" w:rsidRPr="77A8D69F">
        <w:rPr>
          <w:rFonts w:ascii="Aptos" w:eastAsia="Aptos" w:hAnsi="Aptos" w:cs="Aptos"/>
          <w:color w:val="000000" w:themeColor="text1"/>
        </w:rPr>
        <w:t xml:space="preserve"> prodromal symptoms</w:t>
      </w:r>
      <w:r w:rsidR="4837E6BC" w:rsidRPr="77A8D69F">
        <w:rPr>
          <w:rFonts w:ascii="Aptos" w:eastAsia="Aptos" w:hAnsi="Aptos" w:cs="Aptos"/>
          <w:color w:val="000000" w:themeColor="text1"/>
        </w:rPr>
        <w:t xml:space="preserve"> </w:t>
      </w:r>
      <w:r w:rsidR="6A85395C" w:rsidRPr="77A8D69F">
        <w:rPr>
          <w:rFonts w:ascii="Aptos" w:eastAsia="Aptos" w:hAnsi="Aptos" w:cs="Aptos"/>
          <w:color w:val="000000" w:themeColor="text1"/>
        </w:rPr>
        <w:t>may be</w:t>
      </w:r>
      <w:r w:rsidR="5DEF10F0" w:rsidRPr="77A8D69F">
        <w:rPr>
          <w:rFonts w:ascii="Aptos" w:eastAsia="Aptos" w:hAnsi="Aptos" w:cs="Aptos"/>
          <w:color w:val="000000" w:themeColor="text1"/>
        </w:rPr>
        <w:t xml:space="preserve"> </w:t>
      </w:r>
      <w:r w:rsidR="43675FF6" w:rsidRPr="77A8D69F">
        <w:rPr>
          <w:rFonts w:ascii="Aptos" w:eastAsia="Aptos" w:hAnsi="Aptos" w:cs="Aptos"/>
          <w:color w:val="000000" w:themeColor="text1"/>
        </w:rPr>
        <w:t>useful for identifying</w:t>
      </w:r>
      <w:r w:rsidR="69FE9497" w:rsidRPr="77A8D69F">
        <w:rPr>
          <w:rFonts w:ascii="Aptos" w:eastAsia="Aptos" w:hAnsi="Aptos" w:cs="Aptos"/>
          <w:color w:val="000000" w:themeColor="text1"/>
        </w:rPr>
        <w:t xml:space="preserve"> </w:t>
      </w:r>
      <w:r w:rsidR="78F9E116" w:rsidRPr="77A8D69F">
        <w:rPr>
          <w:rFonts w:ascii="Aptos" w:eastAsia="Aptos" w:hAnsi="Aptos" w:cs="Aptos"/>
          <w:color w:val="000000" w:themeColor="text1"/>
        </w:rPr>
        <w:t xml:space="preserve">who may be at risk of </w:t>
      </w:r>
      <w:r w:rsidR="1722CFB2" w:rsidRPr="77A8D69F">
        <w:rPr>
          <w:rFonts w:ascii="Aptos" w:eastAsia="Aptos" w:hAnsi="Aptos" w:cs="Aptos"/>
          <w:color w:val="000000" w:themeColor="text1"/>
        </w:rPr>
        <w:t xml:space="preserve">experiencing </w:t>
      </w:r>
      <w:r w:rsidR="78F9E116" w:rsidRPr="77A8D69F">
        <w:rPr>
          <w:rFonts w:ascii="Aptos" w:eastAsia="Aptos" w:hAnsi="Aptos" w:cs="Aptos"/>
          <w:color w:val="000000" w:themeColor="text1"/>
        </w:rPr>
        <w:t>psycho</w:t>
      </w:r>
      <w:r w:rsidR="03862614" w:rsidRPr="77A8D69F">
        <w:rPr>
          <w:rFonts w:ascii="Aptos" w:eastAsia="Aptos" w:hAnsi="Aptos" w:cs="Aptos"/>
          <w:color w:val="000000" w:themeColor="text1"/>
        </w:rPr>
        <w:t>tic episodes</w:t>
      </w:r>
      <w:r w:rsidR="78F9E116" w:rsidRPr="77A8D69F">
        <w:rPr>
          <w:rFonts w:ascii="Aptos" w:eastAsia="Aptos" w:hAnsi="Aptos" w:cs="Aptos"/>
          <w:color w:val="000000" w:themeColor="text1"/>
        </w:rPr>
        <w:t xml:space="preserve">, </w:t>
      </w:r>
      <w:r w:rsidR="3AFA04F9" w:rsidRPr="77A8D69F">
        <w:rPr>
          <w:rFonts w:ascii="Aptos" w:eastAsia="Aptos" w:hAnsi="Aptos" w:cs="Aptos"/>
          <w:color w:val="000000" w:themeColor="text1"/>
        </w:rPr>
        <w:t xml:space="preserve">and </w:t>
      </w:r>
      <w:r w:rsidR="69FE9497" w:rsidRPr="77A8D69F">
        <w:rPr>
          <w:rFonts w:ascii="Aptos" w:eastAsia="Aptos" w:hAnsi="Aptos" w:cs="Aptos"/>
          <w:color w:val="000000" w:themeColor="text1"/>
        </w:rPr>
        <w:t>how psychotic e</w:t>
      </w:r>
      <w:r w:rsidR="1EFE7A0D" w:rsidRPr="77A8D69F">
        <w:rPr>
          <w:rFonts w:ascii="Aptos" w:eastAsia="Aptos" w:hAnsi="Aptos" w:cs="Aptos"/>
          <w:color w:val="000000" w:themeColor="text1"/>
        </w:rPr>
        <w:t>pisodes</w:t>
      </w:r>
      <w:r w:rsidR="69FE9497" w:rsidRPr="77A8D69F">
        <w:rPr>
          <w:rFonts w:ascii="Aptos" w:eastAsia="Aptos" w:hAnsi="Aptos" w:cs="Aptos"/>
          <w:color w:val="000000" w:themeColor="text1"/>
        </w:rPr>
        <w:t xml:space="preserve"> </w:t>
      </w:r>
      <w:r w:rsidR="64910935" w:rsidRPr="77A8D69F">
        <w:rPr>
          <w:rFonts w:ascii="Aptos" w:eastAsia="Aptos" w:hAnsi="Aptos" w:cs="Aptos"/>
          <w:color w:val="000000" w:themeColor="text1"/>
        </w:rPr>
        <w:t xml:space="preserve">may </w:t>
      </w:r>
      <w:r w:rsidR="272D24A9" w:rsidRPr="77A8D69F">
        <w:rPr>
          <w:rFonts w:ascii="Aptos" w:eastAsia="Aptos" w:hAnsi="Aptos" w:cs="Aptos"/>
          <w:color w:val="000000" w:themeColor="text1"/>
        </w:rPr>
        <w:t xml:space="preserve">develop </w:t>
      </w:r>
      <w:r w:rsidR="0B12700C" w:rsidRPr="77A8D69F">
        <w:rPr>
          <w:rFonts w:ascii="Aptos" w:eastAsia="Aptos" w:hAnsi="Aptos" w:cs="Aptos"/>
          <w:color w:val="000000" w:themeColor="text1"/>
        </w:rPr>
        <w:t>in</w:t>
      </w:r>
      <w:r w:rsidRPr="77A8D69F">
        <w:rPr>
          <w:rFonts w:ascii="Aptos" w:eastAsia="Aptos" w:hAnsi="Aptos" w:cs="Aptos"/>
          <w:color w:val="000000" w:themeColor="text1"/>
        </w:rPr>
        <w:t xml:space="preserve"> SSDs</w:t>
      </w:r>
      <w:r w:rsidR="37231612" w:rsidRPr="77A8D69F">
        <w:rPr>
          <w:rFonts w:ascii="Aptos" w:eastAsia="Aptos" w:hAnsi="Aptos" w:cs="Aptos"/>
          <w:color w:val="000000" w:themeColor="text1"/>
        </w:rPr>
        <w:t xml:space="preserve"> (</w:t>
      </w:r>
      <w:r w:rsidR="3FAD828E" w:rsidRPr="77A8D69F">
        <w:rPr>
          <w:rFonts w:ascii="Aptos" w:eastAsia="Aptos" w:hAnsi="Aptos" w:cs="Aptos"/>
          <w:color w:val="000000" w:themeColor="text1"/>
        </w:rPr>
        <w:t>Hall, 2018</w:t>
      </w:r>
      <w:r w:rsidR="37231612" w:rsidRPr="77A8D69F">
        <w:rPr>
          <w:rFonts w:ascii="Aptos" w:eastAsia="Aptos" w:hAnsi="Aptos" w:cs="Aptos"/>
          <w:color w:val="000000" w:themeColor="text1"/>
        </w:rPr>
        <w:t>)</w:t>
      </w:r>
      <w:r w:rsidR="5CFA660A" w:rsidRPr="77A8D69F">
        <w:rPr>
          <w:rFonts w:ascii="Aptos" w:eastAsia="Aptos" w:hAnsi="Aptos" w:cs="Aptos"/>
          <w:color w:val="000000" w:themeColor="text1"/>
        </w:rPr>
        <w:t xml:space="preserve">. </w:t>
      </w:r>
      <w:r w:rsidR="07E97944" w:rsidRPr="77A8D69F">
        <w:rPr>
          <w:rFonts w:ascii="Aptos" w:eastAsia="Aptos" w:hAnsi="Aptos" w:cs="Aptos"/>
          <w:color w:val="000000" w:themeColor="text1"/>
        </w:rPr>
        <w:t>Notably</w:t>
      </w:r>
      <w:r w:rsidR="243A9090" w:rsidRPr="77A8D69F">
        <w:rPr>
          <w:rFonts w:ascii="Aptos" w:eastAsia="Aptos" w:hAnsi="Aptos" w:cs="Aptos"/>
          <w:color w:val="000000" w:themeColor="text1"/>
        </w:rPr>
        <w:t>, b</w:t>
      </w:r>
      <w:r w:rsidR="1C6FDA36" w:rsidRPr="77A8D69F">
        <w:rPr>
          <w:rFonts w:ascii="Aptos" w:eastAsia="Aptos" w:hAnsi="Aptos" w:cs="Aptos"/>
          <w:color w:val="000000" w:themeColor="text1"/>
        </w:rPr>
        <w:t>oth a</w:t>
      </w:r>
      <w:r w:rsidR="45E8CF93" w:rsidRPr="77A8D69F">
        <w:rPr>
          <w:rFonts w:ascii="Aptos" w:eastAsia="Aptos" w:hAnsi="Aptos" w:cs="Aptos"/>
          <w:color w:val="000000" w:themeColor="text1"/>
        </w:rPr>
        <w:t>nxi</w:t>
      </w:r>
      <w:r w:rsidR="2A326934" w:rsidRPr="77A8D69F">
        <w:rPr>
          <w:rFonts w:ascii="Aptos" w:eastAsia="Aptos" w:hAnsi="Aptos" w:cs="Aptos"/>
          <w:color w:val="000000" w:themeColor="text1"/>
        </w:rPr>
        <w:t>ous</w:t>
      </w:r>
      <w:r w:rsidR="45E8CF93" w:rsidRPr="77A8D69F">
        <w:rPr>
          <w:rFonts w:ascii="Aptos" w:eastAsia="Aptos" w:hAnsi="Aptos" w:cs="Aptos"/>
          <w:color w:val="000000" w:themeColor="text1"/>
        </w:rPr>
        <w:t xml:space="preserve"> </w:t>
      </w:r>
      <w:r w:rsidR="5DBB9EC3" w:rsidRPr="77A8D69F">
        <w:rPr>
          <w:rFonts w:ascii="Aptos" w:eastAsia="Aptos" w:hAnsi="Aptos" w:cs="Aptos"/>
          <w:color w:val="000000" w:themeColor="text1"/>
        </w:rPr>
        <w:t>and paranoi</w:t>
      </w:r>
      <w:r w:rsidR="6B8CE595" w:rsidRPr="77A8D69F">
        <w:rPr>
          <w:rFonts w:ascii="Aptos" w:eastAsia="Aptos" w:hAnsi="Aptos" w:cs="Aptos"/>
          <w:color w:val="000000" w:themeColor="text1"/>
        </w:rPr>
        <w:t>d states</w:t>
      </w:r>
      <w:r w:rsidR="45E8CF93" w:rsidRPr="77A8D69F">
        <w:rPr>
          <w:rFonts w:ascii="Aptos" w:eastAsia="Aptos" w:hAnsi="Aptos" w:cs="Aptos"/>
          <w:color w:val="000000" w:themeColor="text1"/>
        </w:rPr>
        <w:t xml:space="preserve"> </w:t>
      </w:r>
      <w:r w:rsidR="0A8E65AF" w:rsidRPr="77A8D69F">
        <w:rPr>
          <w:rFonts w:ascii="Aptos" w:eastAsia="Aptos" w:hAnsi="Aptos" w:cs="Aptos"/>
          <w:color w:val="000000" w:themeColor="text1"/>
        </w:rPr>
        <w:t>are</w:t>
      </w:r>
      <w:r w:rsidR="45E8CF93" w:rsidRPr="77A8D69F">
        <w:rPr>
          <w:rFonts w:ascii="Aptos" w:eastAsia="Aptos" w:hAnsi="Aptos" w:cs="Aptos"/>
          <w:color w:val="000000" w:themeColor="text1"/>
        </w:rPr>
        <w:t xml:space="preserve"> common prodromal symptom</w:t>
      </w:r>
      <w:r w:rsidR="42F23E28" w:rsidRPr="77A8D69F">
        <w:rPr>
          <w:rFonts w:ascii="Aptos" w:eastAsia="Aptos" w:hAnsi="Aptos" w:cs="Aptos"/>
          <w:color w:val="000000" w:themeColor="text1"/>
        </w:rPr>
        <w:t>s</w:t>
      </w:r>
      <w:r w:rsidR="45E8CF93" w:rsidRPr="77A8D69F">
        <w:rPr>
          <w:rFonts w:ascii="Aptos" w:eastAsia="Aptos" w:hAnsi="Aptos" w:cs="Aptos"/>
          <w:color w:val="000000" w:themeColor="text1"/>
        </w:rPr>
        <w:t xml:space="preserve"> in schizophrenia</w:t>
      </w:r>
      <w:r w:rsidR="38485524" w:rsidRPr="77A8D69F">
        <w:rPr>
          <w:rFonts w:ascii="Aptos" w:eastAsia="Aptos" w:hAnsi="Aptos" w:cs="Aptos"/>
          <w:color w:val="000000" w:themeColor="text1"/>
        </w:rPr>
        <w:t xml:space="preserve"> (for review see, Yung &amp; McGorry, 1996</w:t>
      </w:r>
      <w:r w:rsidR="5444B1F3" w:rsidRPr="77A8D69F">
        <w:rPr>
          <w:rFonts w:ascii="Aptos" w:eastAsia="Aptos" w:hAnsi="Aptos" w:cs="Aptos"/>
          <w:color w:val="000000" w:themeColor="text1"/>
        </w:rPr>
        <w:t>)</w:t>
      </w:r>
      <w:r w:rsidR="7AD283A5" w:rsidRPr="77A8D69F">
        <w:rPr>
          <w:rFonts w:ascii="Aptos" w:eastAsia="Aptos" w:hAnsi="Aptos" w:cs="Aptos"/>
          <w:color w:val="000000" w:themeColor="text1"/>
        </w:rPr>
        <w:t xml:space="preserve">. </w:t>
      </w:r>
      <w:r w:rsidR="6AC432CC" w:rsidRPr="77A8D69F">
        <w:rPr>
          <w:rFonts w:ascii="Aptos" w:eastAsia="Aptos" w:hAnsi="Aptos" w:cs="Aptos"/>
          <w:color w:val="000000" w:themeColor="text1"/>
        </w:rPr>
        <w:t xml:space="preserve">Given that higher IU is associated with both </w:t>
      </w:r>
      <w:r w:rsidR="1DE00660" w:rsidRPr="77A8D69F">
        <w:rPr>
          <w:rFonts w:ascii="Aptos" w:eastAsia="Aptos" w:hAnsi="Aptos" w:cs="Aptos"/>
          <w:color w:val="000000" w:themeColor="text1"/>
        </w:rPr>
        <w:t xml:space="preserve">greater </w:t>
      </w:r>
      <w:r w:rsidR="6AC432CC" w:rsidRPr="77A8D69F">
        <w:rPr>
          <w:rFonts w:ascii="Aptos" w:eastAsia="Aptos" w:hAnsi="Aptos" w:cs="Aptos"/>
          <w:color w:val="000000" w:themeColor="text1"/>
        </w:rPr>
        <w:t>anxiety and paranoia symptoms</w:t>
      </w:r>
      <w:r w:rsidR="36EDDBF3" w:rsidRPr="77A8D69F">
        <w:rPr>
          <w:rFonts w:ascii="Aptos" w:eastAsia="Aptos" w:hAnsi="Aptos" w:cs="Aptos"/>
          <w:color w:val="000000" w:themeColor="text1"/>
        </w:rPr>
        <w:t xml:space="preserve"> in community samples </w:t>
      </w:r>
      <w:r w:rsidR="1D32FE7F" w:rsidRPr="77A8D69F">
        <w:rPr>
          <w:rFonts w:ascii="Aptos" w:eastAsia="Aptos" w:hAnsi="Aptos" w:cs="Aptos"/>
          <w:color w:val="000000" w:themeColor="text1"/>
        </w:rPr>
        <w:t xml:space="preserve">(Morriss et al., 2024) </w:t>
      </w:r>
      <w:r w:rsidR="36EDDBF3" w:rsidRPr="77A8D69F">
        <w:rPr>
          <w:rFonts w:ascii="Aptos" w:eastAsia="Aptos" w:hAnsi="Aptos" w:cs="Aptos"/>
          <w:color w:val="000000" w:themeColor="text1"/>
        </w:rPr>
        <w:t>and clinical samples with SSDs (</w:t>
      </w:r>
      <w:r w:rsidR="19BACA44" w:rsidRPr="77A8D69F">
        <w:rPr>
          <w:rFonts w:ascii="Aptos" w:eastAsia="Aptos" w:hAnsi="Aptos" w:cs="Aptos"/>
          <w:color w:val="000000" w:themeColor="text1"/>
        </w:rPr>
        <w:t xml:space="preserve">for review see, </w:t>
      </w:r>
      <w:r w:rsidR="36EDDBF3" w:rsidRPr="77A8D69F">
        <w:rPr>
          <w:rFonts w:ascii="Aptos" w:eastAsia="Aptos" w:hAnsi="Aptos" w:cs="Aptos"/>
          <w:color w:val="000000" w:themeColor="text1"/>
        </w:rPr>
        <w:t>Morriss, Butler, &amp; Ellett, 2024)</w:t>
      </w:r>
      <w:r w:rsidR="6AC432CC" w:rsidRPr="77A8D69F">
        <w:rPr>
          <w:rFonts w:ascii="Aptos" w:eastAsia="Aptos" w:hAnsi="Aptos" w:cs="Aptos"/>
          <w:color w:val="000000" w:themeColor="text1"/>
        </w:rPr>
        <w:t xml:space="preserve">, it is possible that IU </w:t>
      </w:r>
      <w:r w:rsidR="6AC432CC" w:rsidRPr="77A8D69F">
        <w:rPr>
          <w:rFonts w:ascii="Aptos" w:eastAsia="Aptos" w:hAnsi="Aptos" w:cs="Aptos"/>
          <w:color w:val="000000" w:themeColor="text1"/>
        </w:rPr>
        <w:lastRenderedPageBreak/>
        <w:t>may represent a risk factor for</w:t>
      </w:r>
      <w:r w:rsidR="43433516" w:rsidRPr="77A8D69F">
        <w:rPr>
          <w:rFonts w:ascii="Aptos" w:eastAsia="Aptos" w:hAnsi="Aptos" w:cs="Aptos"/>
          <w:color w:val="000000" w:themeColor="text1"/>
        </w:rPr>
        <w:t xml:space="preserve"> </w:t>
      </w:r>
      <w:r w:rsidR="6AC432CC" w:rsidRPr="77A8D69F">
        <w:rPr>
          <w:rFonts w:ascii="Aptos" w:eastAsia="Aptos" w:hAnsi="Aptos" w:cs="Aptos"/>
          <w:color w:val="000000" w:themeColor="text1"/>
        </w:rPr>
        <w:t>prodromal symptom</w:t>
      </w:r>
      <w:r w:rsidR="009206C6">
        <w:rPr>
          <w:rFonts w:ascii="Aptos" w:eastAsia="Aptos" w:hAnsi="Aptos" w:cs="Aptos"/>
          <w:color w:val="000000" w:themeColor="text1"/>
        </w:rPr>
        <w:t>s</w:t>
      </w:r>
      <w:r w:rsidR="08EFE86C" w:rsidRPr="77A8D69F">
        <w:rPr>
          <w:rFonts w:ascii="Aptos" w:eastAsia="Aptos" w:hAnsi="Aptos" w:cs="Aptos"/>
          <w:color w:val="000000" w:themeColor="text1"/>
        </w:rPr>
        <w:t xml:space="preserve"> </w:t>
      </w:r>
      <w:r w:rsidR="6AC432CC" w:rsidRPr="77A8D69F">
        <w:rPr>
          <w:rFonts w:ascii="Aptos" w:eastAsia="Aptos" w:hAnsi="Aptos" w:cs="Aptos"/>
          <w:color w:val="000000" w:themeColor="text1"/>
        </w:rPr>
        <w:t>as well</w:t>
      </w:r>
      <w:r w:rsidR="017A86F7" w:rsidRPr="77A8D69F">
        <w:rPr>
          <w:rFonts w:ascii="Aptos" w:eastAsia="Aptos" w:hAnsi="Aptos" w:cs="Aptos"/>
          <w:color w:val="000000" w:themeColor="text1"/>
        </w:rPr>
        <w:t>.</w:t>
      </w:r>
      <w:r w:rsidR="45E8CF93" w:rsidRPr="77A8D69F">
        <w:rPr>
          <w:rFonts w:ascii="Aptos" w:eastAsia="Aptos" w:hAnsi="Aptos" w:cs="Aptos"/>
          <w:color w:val="000000" w:themeColor="text1"/>
        </w:rPr>
        <w:t xml:space="preserve"> </w:t>
      </w:r>
      <w:r w:rsidR="78726885" w:rsidRPr="77A8D69F">
        <w:rPr>
          <w:rFonts w:ascii="Aptos" w:eastAsia="Aptos" w:hAnsi="Aptos" w:cs="Aptos"/>
          <w:color w:val="000000" w:themeColor="text1"/>
        </w:rPr>
        <w:t>Indeed, o</w:t>
      </w:r>
      <w:r w:rsidR="69721797" w:rsidRPr="77A8D69F">
        <w:rPr>
          <w:rFonts w:ascii="Aptos" w:eastAsia="Aptos" w:hAnsi="Aptos" w:cs="Aptos"/>
          <w:color w:val="000000" w:themeColor="text1"/>
        </w:rPr>
        <w:t xml:space="preserve">ne study has shown that </w:t>
      </w:r>
      <w:r w:rsidR="62BD617A" w:rsidRPr="77A8D69F">
        <w:rPr>
          <w:rFonts w:ascii="Aptos" w:eastAsia="Aptos" w:hAnsi="Aptos" w:cs="Aptos"/>
          <w:color w:val="000000" w:themeColor="text1"/>
        </w:rPr>
        <w:t xml:space="preserve">IU is elevated in </w:t>
      </w:r>
      <w:r w:rsidR="266F18E9" w:rsidRPr="77A8D69F">
        <w:rPr>
          <w:rFonts w:ascii="Aptos" w:eastAsia="Aptos" w:hAnsi="Aptos" w:cs="Aptos"/>
          <w:color w:val="000000" w:themeColor="text1"/>
        </w:rPr>
        <w:t xml:space="preserve">those </w:t>
      </w:r>
      <w:r w:rsidR="54523175" w:rsidRPr="77A8D69F">
        <w:rPr>
          <w:rFonts w:ascii="Aptos" w:eastAsia="Aptos" w:hAnsi="Aptos" w:cs="Aptos"/>
          <w:color w:val="000000" w:themeColor="text1"/>
        </w:rPr>
        <w:t xml:space="preserve">with an </w:t>
      </w:r>
      <w:r w:rsidR="5AB46EE3" w:rsidRPr="77A8D69F">
        <w:rPr>
          <w:rFonts w:ascii="Aptos" w:eastAsia="Aptos" w:hAnsi="Aptos" w:cs="Aptos"/>
          <w:color w:val="000000" w:themeColor="text1"/>
        </w:rPr>
        <w:t>at-risk</w:t>
      </w:r>
      <w:r w:rsidR="69721797" w:rsidRPr="77A8D69F">
        <w:rPr>
          <w:rFonts w:ascii="Aptos" w:eastAsia="Aptos" w:hAnsi="Aptos" w:cs="Aptos"/>
          <w:color w:val="000000" w:themeColor="text1"/>
        </w:rPr>
        <w:t xml:space="preserve"> state</w:t>
      </w:r>
      <w:r w:rsidR="113B9B41" w:rsidRPr="77A8D69F">
        <w:rPr>
          <w:rFonts w:ascii="Aptos" w:eastAsia="Aptos" w:hAnsi="Aptos" w:cs="Aptos"/>
          <w:color w:val="000000" w:themeColor="text1"/>
        </w:rPr>
        <w:t xml:space="preserve"> </w:t>
      </w:r>
      <w:r w:rsidR="7376DB3A" w:rsidRPr="77A8D69F">
        <w:rPr>
          <w:rFonts w:ascii="Aptos" w:eastAsia="Aptos" w:hAnsi="Aptos" w:cs="Aptos"/>
          <w:color w:val="000000" w:themeColor="text1"/>
        </w:rPr>
        <w:t>of psychosis</w:t>
      </w:r>
      <w:r w:rsidR="4654EFF7" w:rsidRPr="77A8D69F">
        <w:rPr>
          <w:rFonts w:ascii="Aptos" w:eastAsia="Aptos" w:hAnsi="Aptos" w:cs="Aptos"/>
          <w:color w:val="000000" w:themeColor="text1"/>
        </w:rPr>
        <w:t>, compared to controls</w:t>
      </w:r>
      <w:r w:rsidR="7C02A516" w:rsidRPr="77A8D69F">
        <w:rPr>
          <w:rFonts w:ascii="Aptos" w:eastAsia="Aptos" w:hAnsi="Aptos" w:cs="Aptos"/>
          <w:color w:val="000000" w:themeColor="text1"/>
        </w:rPr>
        <w:t xml:space="preserve"> (Broome et al., 2018)</w:t>
      </w:r>
      <w:r w:rsidR="271F8C95" w:rsidRPr="77A8D69F">
        <w:rPr>
          <w:rFonts w:ascii="Aptos" w:eastAsia="Aptos" w:hAnsi="Aptos" w:cs="Aptos"/>
          <w:color w:val="000000" w:themeColor="text1"/>
        </w:rPr>
        <w:t xml:space="preserve">. </w:t>
      </w:r>
      <w:r w:rsidR="358A5B26" w:rsidRPr="77A8D69F">
        <w:rPr>
          <w:rFonts w:ascii="Aptos" w:eastAsia="Aptos" w:hAnsi="Aptos" w:cs="Aptos"/>
          <w:color w:val="000000" w:themeColor="text1"/>
        </w:rPr>
        <w:t>It is important to</w:t>
      </w:r>
      <w:r w:rsidR="5C5D106D" w:rsidRPr="77A8D69F">
        <w:rPr>
          <w:rFonts w:ascii="Aptos" w:eastAsia="Aptos" w:hAnsi="Aptos" w:cs="Aptos"/>
          <w:color w:val="000000" w:themeColor="text1"/>
        </w:rPr>
        <w:t xml:space="preserve"> examine</w:t>
      </w:r>
      <w:r w:rsidR="358A5B26" w:rsidRPr="77A8D69F">
        <w:rPr>
          <w:rFonts w:ascii="Aptos" w:eastAsia="Aptos" w:hAnsi="Aptos" w:cs="Aptos"/>
          <w:color w:val="000000" w:themeColor="text1"/>
        </w:rPr>
        <w:t xml:space="preserve"> </w:t>
      </w:r>
      <w:r w:rsidR="73F3E3E7" w:rsidRPr="77A8D69F">
        <w:rPr>
          <w:rFonts w:ascii="Aptos" w:eastAsia="Aptos" w:hAnsi="Aptos" w:cs="Aptos"/>
          <w:color w:val="000000" w:themeColor="text1"/>
        </w:rPr>
        <w:t xml:space="preserve">whether </w:t>
      </w:r>
      <w:r w:rsidR="358A5B26" w:rsidRPr="77A8D69F">
        <w:rPr>
          <w:rFonts w:ascii="Aptos" w:eastAsia="Aptos" w:hAnsi="Aptos" w:cs="Aptos"/>
          <w:color w:val="000000" w:themeColor="text1"/>
        </w:rPr>
        <w:t>this effect</w:t>
      </w:r>
      <w:r w:rsidR="6A8E7DD2" w:rsidRPr="77A8D69F">
        <w:rPr>
          <w:rFonts w:ascii="Aptos" w:eastAsia="Aptos" w:hAnsi="Aptos" w:cs="Aptos"/>
          <w:color w:val="000000" w:themeColor="text1"/>
        </w:rPr>
        <w:t xml:space="preserve"> can be replicated</w:t>
      </w:r>
      <w:r w:rsidR="358A5B26" w:rsidRPr="77A8D69F">
        <w:rPr>
          <w:rFonts w:ascii="Aptos" w:eastAsia="Aptos" w:hAnsi="Aptos" w:cs="Aptos"/>
          <w:color w:val="000000" w:themeColor="text1"/>
        </w:rPr>
        <w:t xml:space="preserve"> in lar</w:t>
      </w:r>
      <w:r w:rsidR="364ED616" w:rsidRPr="77A8D69F">
        <w:rPr>
          <w:rFonts w:ascii="Aptos" w:eastAsia="Aptos" w:hAnsi="Aptos" w:cs="Aptos"/>
          <w:color w:val="000000" w:themeColor="text1"/>
        </w:rPr>
        <w:t xml:space="preserve">ger </w:t>
      </w:r>
      <w:r w:rsidR="2E3E87A4" w:rsidRPr="77A8D69F">
        <w:rPr>
          <w:rFonts w:ascii="Aptos" w:eastAsia="Aptos" w:hAnsi="Aptos" w:cs="Aptos"/>
          <w:color w:val="000000" w:themeColor="text1"/>
        </w:rPr>
        <w:t>non-clinical</w:t>
      </w:r>
      <w:r w:rsidR="2D45C7D2" w:rsidRPr="77A8D69F">
        <w:rPr>
          <w:rFonts w:ascii="Aptos" w:eastAsia="Aptos" w:hAnsi="Aptos" w:cs="Aptos"/>
          <w:color w:val="000000" w:themeColor="text1"/>
        </w:rPr>
        <w:t xml:space="preserve"> samples and </w:t>
      </w:r>
      <w:r w:rsidR="358A5B26" w:rsidRPr="77A8D69F">
        <w:rPr>
          <w:rFonts w:ascii="Aptos" w:eastAsia="Aptos" w:hAnsi="Aptos" w:cs="Aptos"/>
          <w:color w:val="000000" w:themeColor="text1"/>
        </w:rPr>
        <w:t xml:space="preserve">clinical </w:t>
      </w:r>
      <w:r w:rsidR="1E49FFA6" w:rsidRPr="77A8D69F">
        <w:rPr>
          <w:rFonts w:ascii="Aptos" w:eastAsia="Aptos" w:hAnsi="Aptos" w:cs="Aptos"/>
          <w:color w:val="000000" w:themeColor="text1"/>
        </w:rPr>
        <w:t>samples</w:t>
      </w:r>
      <w:r w:rsidR="5CE03C54" w:rsidRPr="77A8D69F">
        <w:rPr>
          <w:rFonts w:ascii="Aptos" w:eastAsia="Aptos" w:hAnsi="Aptos" w:cs="Aptos"/>
          <w:color w:val="000000" w:themeColor="text1"/>
        </w:rPr>
        <w:t xml:space="preserve"> with anxiety disorders</w:t>
      </w:r>
      <w:r w:rsidR="0CA87EE9" w:rsidRPr="77A8D69F">
        <w:rPr>
          <w:rFonts w:ascii="Aptos" w:eastAsia="Aptos" w:hAnsi="Aptos" w:cs="Aptos"/>
          <w:color w:val="000000" w:themeColor="text1"/>
        </w:rPr>
        <w:t xml:space="preserve"> and/or SSDs, </w:t>
      </w:r>
      <w:r w:rsidR="4EA44A18" w:rsidRPr="77A8D69F">
        <w:rPr>
          <w:rFonts w:ascii="Aptos" w:eastAsia="Aptos" w:hAnsi="Aptos" w:cs="Aptos"/>
          <w:color w:val="000000" w:themeColor="text1"/>
        </w:rPr>
        <w:t xml:space="preserve">in order to </w:t>
      </w:r>
      <w:r w:rsidR="49C35CDB" w:rsidRPr="77A8D69F">
        <w:rPr>
          <w:rFonts w:ascii="Aptos" w:eastAsia="Aptos" w:hAnsi="Aptos" w:cs="Aptos"/>
          <w:color w:val="000000" w:themeColor="text1"/>
        </w:rPr>
        <w:t xml:space="preserve">address whether </w:t>
      </w:r>
      <w:r w:rsidR="18E878DE" w:rsidRPr="77A8D69F">
        <w:rPr>
          <w:rFonts w:ascii="Aptos" w:eastAsia="Aptos" w:hAnsi="Aptos" w:cs="Aptos"/>
          <w:color w:val="000000" w:themeColor="text1"/>
        </w:rPr>
        <w:t xml:space="preserve">higher IU is associated with greater </w:t>
      </w:r>
      <w:r w:rsidR="49C35CDB" w:rsidRPr="77A8D69F">
        <w:rPr>
          <w:rFonts w:ascii="Aptos" w:eastAsia="Aptos" w:hAnsi="Aptos" w:cs="Aptos"/>
          <w:color w:val="000000" w:themeColor="text1"/>
        </w:rPr>
        <w:t xml:space="preserve">prodromal symptoms </w:t>
      </w:r>
      <w:r w:rsidR="57BCCB42" w:rsidRPr="77A8D69F">
        <w:rPr>
          <w:rFonts w:ascii="Aptos" w:eastAsia="Aptos" w:hAnsi="Aptos" w:cs="Aptos"/>
          <w:color w:val="000000" w:themeColor="text1"/>
        </w:rPr>
        <w:t xml:space="preserve">in general and whether this relationship becomes stronger based on </w:t>
      </w:r>
      <w:r w:rsidR="3A8609F1" w:rsidRPr="77A8D69F">
        <w:rPr>
          <w:rFonts w:ascii="Aptos" w:eastAsia="Aptos" w:hAnsi="Aptos" w:cs="Aptos"/>
          <w:color w:val="000000" w:themeColor="text1"/>
        </w:rPr>
        <w:t>disorder</w:t>
      </w:r>
      <w:r w:rsidR="71342EEF" w:rsidRPr="77A8D69F">
        <w:rPr>
          <w:rFonts w:ascii="Aptos" w:eastAsia="Aptos" w:hAnsi="Aptos" w:cs="Aptos"/>
          <w:color w:val="000000" w:themeColor="text1"/>
        </w:rPr>
        <w:t xml:space="preserve"> status</w:t>
      </w:r>
      <w:r w:rsidR="57BCCB42" w:rsidRPr="77A8D69F">
        <w:rPr>
          <w:rFonts w:ascii="Aptos" w:eastAsia="Aptos" w:hAnsi="Aptos" w:cs="Aptos"/>
          <w:color w:val="000000" w:themeColor="text1"/>
        </w:rPr>
        <w:t xml:space="preserve"> </w:t>
      </w:r>
      <w:r w:rsidR="49C35CDB" w:rsidRPr="77A8D69F">
        <w:rPr>
          <w:rFonts w:ascii="Aptos" w:eastAsia="Aptos" w:hAnsi="Aptos" w:cs="Aptos"/>
          <w:color w:val="000000" w:themeColor="text1"/>
        </w:rPr>
        <w:t xml:space="preserve">e.g. </w:t>
      </w:r>
      <w:r w:rsidR="01842E84" w:rsidRPr="77A8D69F">
        <w:rPr>
          <w:rFonts w:ascii="Aptos" w:eastAsia="Aptos" w:hAnsi="Aptos" w:cs="Aptos"/>
          <w:color w:val="000000" w:themeColor="text1"/>
        </w:rPr>
        <w:t xml:space="preserve">higher IU is associated with greater prodromal symptoms in SSDs, versus anxiety disorders, and </w:t>
      </w:r>
      <w:r w:rsidR="1BEB7A51" w:rsidRPr="77A8D69F">
        <w:rPr>
          <w:rFonts w:ascii="Aptos" w:eastAsia="Aptos" w:hAnsi="Aptos" w:cs="Aptos"/>
          <w:color w:val="000000" w:themeColor="text1"/>
        </w:rPr>
        <w:t xml:space="preserve">non-clinical </w:t>
      </w:r>
      <w:r w:rsidR="01842E84" w:rsidRPr="77A8D69F">
        <w:rPr>
          <w:rFonts w:ascii="Aptos" w:eastAsia="Aptos" w:hAnsi="Aptos" w:cs="Aptos"/>
          <w:color w:val="000000" w:themeColor="text1"/>
        </w:rPr>
        <w:t>samples</w:t>
      </w:r>
      <w:r w:rsidR="5CE03C54" w:rsidRPr="77A8D69F">
        <w:rPr>
          <w:rFonts w:ascii="Aptos" w:eastAsia="Aptos" w:hAnsi="Aptos" w:cs="Aptos"/>
          <w:color w:val="000000" w:themeColor="text1"/>
        </w:rPr>
        <w:t>.</w:t>
      </w:r>
      <w:r w:rsidRPr="77A8D69F">
        <w:rPr>
          <w:rFonts w:ascii="Aptos" w:eastAsia="Aptos" w:hAnsi="Aptos" w:cs="Aptos"/>
          <w:color w:val="000000" w:themeColor="text1"/>
        </w:rPr>
        <w:t xml:space="preserve"> </w:t>
      </w:r>
      <w:r w:rsidR="612C5BC3" w:rsidRPr="77A8D69F">
        <w:rPr>
          <w:rFonts w:ascii="Aptos" w:eastAsia="Aptos" w:hAnsi="Aptos" w:cs="Aptos"/>
          <w:color w:val="000000" w:themeColor="text1"/>
        </w:rPr>
        <w:t xml:space="preserve">Examining this relationship </w:t>
      </w:r>
      <w:r w:rsidR="1B80FE65" w:rsidRPr="77A8D69F">
        <w:rPr>
          <w:rFonts w:ascii="Aptos" w:eastAsia="Aptos" w:hAnsi="Aptos" w:cs="Aptos"/>
          <w:color w:val="000000" w:themeColor="text1"/>
        </w:rPr>
        <w:t xml:space="preserve">will provide insights into the robustness of the relationship between IU and prodromal symptoms, which will </w:t>
      </w:r>
      <w:r w:rsidR="2EC196E8" w:rsidRPr="77A8D69F">
        <w:rPr>
          <w:rFonts w:ascii="Aptos" w:eastAsia="Aptos" w:hAnsi="Aptos" w:cs="Aptos"/>
          <w:color w:val="000000" w:themeColor="text1"/>
        </w:rPr>
        <w:t xml:space="preserve">have implications for potential avenues for preventive medicine. For instance, </w:t>
      </w:r>
      <w:r w:rsidR="1AA84BA9" w:rsidRPr="77A8D69F">
        <w:rPr>
          <w:rFonts w:ascii="Aptos" w:eastAsia="Aptos" w:hAnsi="Aptos" w:cs="Aptos"/>
          <w:color w:val="000000" w:themeColor="text1"/>
        </w:rPr>
        <w:t xml:space="preserve">targeting IU at the earlier stages of the prodrome may prevent the development of </w:t>
      </w:r>
      <w:r w:rsidR="1C291E04" w:rsidRPr="77A8D69F">
        <w:rPr>
          <w:rFonts w:ascii="Aptos" w:eastAsia="Aptos" w:hAnsi="Aptos" w:cs="Aptos"/>
          <w:color w:val="000000" w:themeColor="text1"/>
        </w:rPr>
        <w:t>psychotic episodes</w:t>
      </w:r>
      <w:r w:rsidR="1AA84BA9" w:rsidRPr="77A8D69F">
        <w:rPr>
          <w:rFonts w:ascii="Aptos" w:eastAsia="Aptos" w:hAnsi="Aptos" w:cs="Aptos"/>
          <w:color w:val="000000" w:themeColor="text1"/>
        </w:rPr>
        <w:t xml:space="preserve"> (</w:t>
      </w:r>
      <w:r w:rsidR="085F013D" w:rsidRPr="77A8D69F">
        <w:rPr>
          <w:rFonts w:ascii="Aptos" w:eastAsia="Aptos" w:hAnsi="Aptos" w:cs="Aptos"/>
          <w:color w:val="000000" w:themeColor="text1"/>
        </w:rPr>
        <w:t xml:space="preserve">for discussion </w:t>
      </w:r>
      <w:r w:rsidR="7E5A2E38" w:rsidRPr="77A8D69F">
        <w:rPr>
          <w:rFonts w:ascii="Aptos" w:eastAsia="Aptos" w:hAnsi="Aptos" w:cs="Aptos"/>
          <w:color w:val="000000" w:themeColor="text1"/>
        </w:rPr>
        <w:t xml:space="preserve">about prevention </w:t>
      </w:r>
      <w:r w:rsidR="085F013D" w:rsidRPr="77A8D69F">
        <w:rPr>
          <w:rFonts w:ascii="Aptos" w:eastAsia="Aptos" w:hAnsi="Aptos" w:cs="Aptos"/>
          <w:color w:val="000000" w:themeColor="text1"/>
        </w:rPr>
        <w:t>see Hall, 2018)</w:t>
      </w:r>
      <w:r w:rsidR="1AA84BA9" w:rsidRPr="77A8D69F">
        <w:rPr>
          <w:rFonts w:ascii="Aptos" w:eastAsia="Aptos" w:hAnsi="Aptos" w:cs="Aptos"/>
          <w:color w:val="000000" w:themeColor="text1"/>
        </w:rPr>
        <w:t>.</w:t>
      </w:r>
    </w:p>
    <w:p w14:paraId="207BA66A" w14:textId="0792D58C" w:rsidR="5959D559" w:rsidRDefault="2B7A9518" w:rsidP="001B3723">
      <w:pPr>
        <w:spacing w:after="0" w:line="480" w:lineRule="auto"/>
        <w:ind w:firstLine="720"/>
        <w:rPr>
          <w:rFonts w:ascii="Aptos" w:eastAsia="Aptos" w:hAnsi="Aptos" w:cs="Aptos"/>
          <w:color w:val="000000" w:themeColor="text1"/>
        </w:rPr>
      </w:pPr>
      <w:r w:rsidRPr="77A8D69F">
        <w:rPr>
          <w:rFonts w:ascii="Aptos" w:eastAsia="Aptos" w:hAnsi="Aptos" w:cs="Aptos"/>
          <w:color w:val="000000" w:themeColor="text1"/>
        </w:rPr>
        <w:t xml:space="preserve">The following study aimed to </w:t>
      </w:r>
      <w:r w:rsidR="05713ADD" w:rsidRPr="77A8D69F">
        <w:rPr>
          <w:rFonts w:ascii="Aptos" w:eastAsia="Aptos" w:hAnsi="Aptos" w:cs="Aptos"/>
          <w:color w:val="000000" w:themeColor="text1"/>
        </w:rPr>
        <w:t>examine</w:t>
      </w:r>
      <w:r w:rsidR="348219EF" w:rsidRPr="77A8D69F">
        <w:rPr>
          <w:rFonts w:ascii="Aptos" w:eastAsia="Aptos" w:hAnsi="Aptos" w:cs="Aptos"/>
          <w:color w:val="000000" w:themeColor="text1"/>
        </w:rPr>
        <w:t xml:space="preserve">: </w:t>
      </w:r>
    </w:p>
    <w:p w14:paraId="381870D4" w14:textId="6B7CC5F8" w:rsidR="5959D559" w:rsidRDefault="5959D559" w:rsidP="001B3723">
      <w:pPr>
        <w:spacing w:after="0" w:line="480" w:lineRule="auto"/>
        <w:ind w:firstLine="720"/>
        <w:rPr>
          <w:rFonts w:ascii="Aptos" w:eastAsia="Aptos" w:hAnsi="Aptos" w:cs="Aptos"/>
          <w:color w:val="000000" w:themeColor="text1"/>
        </w:rPr>
      </w:pPr>
    </w:p>
    <w:p w14:paraId="1FD53B3B" w14:textId="497FDFF3" w:rsidR="5959D559" w:rsidRDefault="2718533D" w:rsidP="001B3723">
      <w:pPr>
        <w:pStyle w:val="ListParagraph"/>
        <w:numPr>
          <w:ilvl w:val="0"/>
          <w:numId w:val="2"/>
        </w:numPr>
        <w:spacing w:after="0" w:line="480" w:lineRule="auto"/>
        <w:rPr>
          <w:rFonts w:ascii="Aptos" w:eastAsia="Aptos" w:hAnsi="Aptos" w:cs="Aptos"/>
          <w:color w:val="000000" w:themeColor="text1"/>
        </w:rPr>
      </w:pPr>
      <w:r w:rsidRPr="03E8BD2E">
        <w:rPr>
          <w:rFonts w:ascii="Aptos" w:eastAsia="Aptos" w:hAnsi="Aptos" w:cs="Aptos"/>
          <w:color w:val="000000" w:themeColor="text1"/>
        </w:rPr>
        <w:t>the extent to which IU, paranoia</w:t>
      </w:r>
      <w:r w:rsidR="34916D91" w:rsidRPr="03E8BD2E">
        <w:rPr>
          <w:rFonts w:ascii="Aptos" w:eastAsia="Aptos" w:hAnsi="Aptos" w:cs="Aptos"/>
          <w:color w:val="000000" w:themeColor="text1"/>
        </w:rPr>
        <w:t xml:space="preserve">, </w:t>
      </w:r>
      <w:r w:rsidRPr="03E8BD2E">
        <w:rPr>
          <w:rFonts w:ascii="Aptos" w:eastAsia="Aptos" w:hAnsi="Aptos" w:cs="Aptos"/>
          <w:color w:val="000000" w:themeColor="text1"/>
        </w:rPr>
        <w:t>prodromal</w:t>
      </w:r>
      <w:r w:rsidR="7ECB89B6" w:rsidRPr="03E8BD2E">
        <w:rPr>
          <w:rFonts w:ascii="Aptos" w:eastAsia="Aptos" w:hAnsi="Aptos" w:cs="Aptos"/>
          <w:color w:val="000000" w:themeColor="text1"/>
        </w:rPr>
        <w:t xml:space="preserve"> symptoms, neuroticism, and jumping to conclusions bias</w:t>
      </w:r>
      <w:r w:rsidRPr="03E8BD2E">
        <w:rPr>
          <w:rFonts w:ascii="Aptos" w:eastAsia="Aptos" w:hAnsi="Aptos" w:cs="Aptos"/>
          <w:color w:val="000000" w:themeColor="text1"/>
        </w:rPr>
        <w:t xml:space="preserve"> vary by disorder group status i.e. SSD, anxiety disorder, and non-clinical sample. </w:t>
      </w:r>
    </w:p>
    <w:p w14:paraId="76C6A5A4" w14:textId="7B8C1F7F" w:rsidR="39C656DA" w:rsidRDefault="39C656DA" w:rsidP="001B3723">
      <w:pPr>
        <w:pStyle w:val="ListParagraph"/>
        <w:numPr>
          <w:ilvl w:val="0"/>
          <w:numId w:val="2"/>
        </w:numPr>
        <w:spacing w:after="0" w:line="480" w:lineRule="auto"/>
        <w:rPr>
          <w:rFonts w:ascii="Aptos" w:eastAsia="Aptos" w:hAnsi="Aptos" w:cs="Aptos"/>
          <w:color w:val="000000" w:themeColor="text1"/>
        </w:rPr>
      </w:pPr>
      <w:r w:rsidRPr="03E8BD2E">
        <w:rPr>
          <w:rFonts w:ascii="Aptos" w:eastAsia="Aptos" w:hAnsi="Aptos" w:cs="Aptos"/>
          <w:color w:val="000000" w:themeColor="text1"/>
        </w:rPr>
        <w:t xml:space="preserve">whether the relationship between IU and paranoia / prodromal symptoms is specific over the higher-order broader negative affective trait, neuroticism (John, 2021), and the lower-order cognitive bias, jumping to conclusions (Peters et al., 2014) within those with SSDs, anxiety disorders, and without any mental health conditions.  </w:t>
      </w:r>
    </w:p>
    <w:p w14:paraId="5F5243B7" w14:textId="03527969" w:rsidR="0052223D" w:rsidRPr="0052223D" w:rsidRDefault="0052223D" w:rsidP="001B3723">
      <w:pPr>
        <w:pStyle w:val="ListParagraph"/>
        <w:numPr>
          <w:ilvl w:val="0"/>
          <w:numId w:val="2"/>
        </w:numPr>
        <w:spacing w:after="0" w:line="480" w:lineRule="auto"/>
        <w:rPr>
          <w:rFonts w:ascii="Aptos" w:eastAsia="Aptos" w:hAnsi="Aptos" w:cs="Aptos"/>
          <w:color w:val="000000" w:themeColor="text1"/>
        </w:rPr>
      </w:pPr>
      <w:r w:rsidRPr="03E8BD2E">
        <w:rPr>
          <w:rFonts w:ascii="Aptos" w:eastAsia="Aptos" w:hAnsi="Aptos" w:cs="Aptos"/>
          <w:color w:val="000000" w:themeColor="text1"/>
        </w:rPr>
        <w:t xml:space="preserve">whether the relationship between IU and paranoia / prodromal symptoms of schizophrenia is unique to SSDs or transdiagnostic across SSDs, anxiety disorders, and those without any mental health conditions. </w:t>
      </w:r>
    </w:p>
    <w:p w14:paraId="7145EE90" w14:textId="2931A24F" w:rsidR="5959D559" w:rsidRDefault="5959D559" w:rsidP="001B3723">
      <w:pPr>
        <w:spacing w:after="0" w:line="480" w:lineRule="auto"/>
        <w:rPr>
          <w:rFonts w:ascii="Aptos" w:eastAsia="Aptos" w:hAnsi="Aptos" w:cs="Aptos"/>
          <w:color w:val="000000" w:themeColor="text1"/>
        </w:rPr>
      </w:pPr>
    </w:p>
    <w:p w14:paraId="54A3EBF2" w14:textId="6445B5FF" w:rsidR="5959D559" w:rsidRDefault="66BD8666" w:rsidP="001B3723">
      <w:pPr>
        <w:spacing w:after="0" w:line="480" w:lineRule="auto"/>
        <w:ind w:firstLine="720"/>
        <w:rPr>
          <w:rFonts w:ascii="Aptos" w:eastAsia="Aptos" w:hAnsi="Aptos" w:cs="Aptos"/>
          <w:color w:val="000000" w:themeColor="text1"/>
        </w:rPr>
      </w:pPr>
      <w:r w:rsidRPr="77A8D69F">
        <w:rPr>
          <w:rFonts w:ascii="Aptos" w:eastAsia="Aptos" w:hAnsi="Aptos" w:cs="Aptos"/>
          <w:color w:val="000000" w:themeColor="text1"/>
        </w:rPr>
        <w:t>To address these research questions, we conducted a survey on a sample</w:t>
      </w:r>
      <w:r w:rsidR="009206C6">
        <w:rPr>
          <w:rFonts w:ascii="Aptos" w:eastAsia="Aptos" w:hAnsi="Aptos" w:cs="Aptos"/>
          <w:color w:val="000000" w:themeColor="text1"/>
        </w:rPr>
        <w:t xml:space="preserve"> of individuals</w:t>
      </w:r>
      <w:r w:rsidRPr="77A8D69F">
        <w:rPr>
          <w:rFonts w:ascii="Aptos" w:eastAsia="Aptos" w:hAnsi="Aptos" w:cs="Aptos"/>
          <w:color w:val="000000" w:themeColor="text1"/>
        </w:rPr>
        <w:t xml:space="preserve"> with SSDs (n = 103), anxiety disorders (n = 102) </w:t>
      </w:r>
      <w:r w:rsidR="426E74EB" w:rsidRPr="77A8D69F">
        <w:rPr>
          <w:rFonts w:ascii="Aptos" w:eastAsia="Aptos" w:hAnsi="Aptos" w:cs="Aptos"/>
          <w:color w:val="000000" w:themeColor="text1"/>
        </w:rPr>
        <w:t xml:space="preserve">and </w:t>
      </w:r>
      <w:r w:rsidRPr="77A8D69F">
        <w:rPr>
          <w:rFonts w:ascii="Aptos" w:eastAsia="Aptos" w:hAnsi="Aptos" w:cs="Aptos"/>
          <w:color w:val="000000" w:themeColor="text1"/>
        </w:rPr>
        <w:t xml:space="preserve">a non-clinical sample (n = 102). </w:t>
      </w:r>
      <w:r w:rsidR="77C12D19" w:rsidRPr="77A8D69F">
        <w:rPr>
          <w:rFonts w:ascii="Aptos" w:eastAsia="Aptos" w:hAnsi="Aptos" w:cs="Aptos"/>
          <w:color w:val="000000" w:themeColor="text1"/>
        </w:rPr>
        <w:t xml:space="preserve">We </w:t>
      </w:r>
      <w:r w:rsidR="77C12D19" w:rsidRPr="77A8D69F">
        <w:rPr>
          <w:rFonts w:ascii="Aptos" w:eastAsia="Aptos" w:hAnsi="Aptos" w:cs="Aptos"/>
          <w:color w:val="000000" w:themeColor="text1"/>
        </w:rPr>
        <w:lastRenderedPageBreak/>
        <w:t>measured IU, paranoia, prodromal symptoms of schizophrenia, neuroticism, and jumping to conclusions bias</w:t>
      </w:r>
      <w:r w:rsidR="5C1C8434" w:rsidRPr="77A8D69F">
        <w:rPr>
          <w:rFonts w:ascii="Aptos" w:eastAsia="Aptos" w:hAnsi="Aptos" w:cs="Aptos"/>
          <w:color w:val="000000" w:themeColor="text1"/>
        </w:rPr>
        <w:t xml:space="preserve"> via questionnaires</w:t>
      </w:r>
      <w:r w:rsidR="77C12D19" w:rsidRPr="77A8D69F">
        <w:rPr>
          <w:rFonts w:ascii="Aptos" w:eastAsia="Aptos" w:hAnsi="Aptos" w:cs="Aptos"/>
          <w:color w:val="000000" w:themeColor="text1"/>
        </w:rPr>
        <w:t xml:space="preserve">. </w:t>
      </w:r>
      <w:r w:rsidR="5959D559" w:rsidRPr="77A8D69F">
        <w:rPr>
          <w:rFonts w:ascii="Aptos" w:eastAsia="Aptos" w:hAnsi="Aptos" w:cs="Aptos"/>
          <w:color w:val="000000" w:themeColor="text1"/>
        </w:rPr>
        <w:t xml:space="preserve">We </w:t>
      </w:r>
      <w:r w:rsidR="009206C6">
        <w:rPr>
          <w:rFonts w:ascii="Aptos" w:eastAsia="Aptos" w:hAnsi="Aptos" w:cs="Aptos"/>
          <w:color w:val="000000" w:themeColor="text1"/>
        </w:rPr>
        <w:t xml:space="preserve">tested </w:t>
      </w:r>
      <w:r w:rsidR="0DCE7290" w:rsidRPr="77A8D69F">
        <w:rPr>
          <w:rFonts w:ascii="Aptos" w:eastAsia="Aptos" w:hAnsi="Aptos" w:cs="Aptos"/>
          <w:color w:val="000000" w:themeColor="text1"/>
        </w:rPr>
        <w:t xml:space="preserve">the following </w:t>
      </w:r>
      <w:r w:rsidR="5959D559" w:rsidRPr="77A8D69F">
        <w:rPr>
          <w:rFonts w:ascii="Aptos" w:eastAsia="Aptos" w:hAnsi="Aptos" w:cs="Aptos"/>
          <w:color w:val="000000" w:themeColor="text1"/>
        </w:rPr>
        <w:t>hypothes</w:t>
      </w:r>
      <w:r w:rsidR="2C9DE101" w:rsidRPr="77A8D69F">
        <w:rPr>
          <w:rFonts w:ascii="Aptos" w:eastAsia="Aptos" w:hAnsi="Aptos" w:cs="Aptos"/>
          <w:color w:val="000000" w:themeColor="text1"/>
        </w:rPr>
        <w:t>es</w:t>
      </w:r>
      <w:r w:rsidR="5959D559" w:rsidRPr="77A8D69F">
        <w:rPr>
          <w:rFonts w:ascii="Aptos" w:eastAsia="Aptos" w:hAnsi="Aptos" w:cs="Aptos"/>
          <w:color w:val="000000" w:themeColor="text1"/>
        </w:rPr>
        <w:t>:</w:t>
      </w:r>
    </w:p>
    <w:p w14:paraId="239D839E" w14:textId="6D9F6680" w:rsidR="28D42152" w:rsidRDefault="28D42152" w:rsidP="001B3723">
      <w:pPr>
        <w:spacing w:after="0" w:line="480" w:lineRule="auto"/>
        <w:ind w:firstLine="720"/>
        <w:rPr>
          <w:rFonts w:ascii="Aptos" w:eastAsia="Aptos" w:hAnsi="Aptos" w:cs="Aptos"/>
          <w:color w:val="000000" w:themeColor="text1"/>
        </w:rPr>
      </w:pPr>
    </w:p>
    <w:p w14:paraId="18D37FEF" w14:textId="2E2EA7B8" w:rsidR="5959D559" w:rsidRDefault="16FE6543" w:rsidP="001B3723">
      <w:pPr>
        <w:pStyle w:val="ListParagraph"/>
        <w:numPr>
          <w:ilvl w:val="0"/>
          <w:numId w:val="1"/>
        </w:numPr>
        <w:spacing w:after="0" w:line="480" w:lineRule="auto"/>
        <w:rPr>
          <w:rFonts w:ascii="Aptos" w:eastAsia="Aptos" w:hAnsi="Aptos" w:cs="Aptos"/>
          <w:color w:val="000000" w:themeColor="text1"/>
        </w:rPr>
      </w:pPr>
      <w:r w:rsidRPr="77A8D69F">
        <w:rPr>
          <w:rFonts w:ascii="Aptos" w:eastAsia="Aptos" w:hAnsi="Aptos" w:cs="Aptos"/>
          <w:color w:val="000000" w:themeColor="text1"/>
        </w:rPr>
        <w:t>Hi</w:t>
      </w:r>
      <w:r w:rsidR="0A820B8A" w:rsidRPr="77A8D69F">
        <w:rPr>
          <w:rFonts w:ascii="Aptos" w:eastAsia="Aptos" w:hAnsi="Aptos" w:cs="Aptos"/>
          <w:color w:val="000000" w:themeColor="text1"/>
        </w:rPr>
        <w:t>gher IU</w:t>
      </w:r>
      <w:r w:rsidR="1EB49B6B" w:rsidRPr="77A8D69F">
        <w:rPr>
          <w:rFonts w:ascii="Aptos" w:eastAsia="Aptos" w:hAnsi="Aptos" w:cs="Aptos"/>
          <w:color w:val="000000" w:themeColor="text1"/>
        </w:rPr>
        <w:t>, neuroticism, and jumping to conclusions bias</w:t>
      </w:r>
      <w:r w:rsidR="0A820B8A" w:rsidRPr="77A8D69F">
        <w:rPr>
          <w:rFonts w:ascii="Aptos" w:eastAsia="Aptos" w:hAnsi="Aptos" w:cs="Aptos"/>
          <w:color w:val="000000" w:themeColor="text1"/>
        </w:rPr>
        <w:t xml:space="preserve"> would be observed in </w:t>
      </w:r>
      <w:r w:rsidR="7A024778" w:rsidRPr="77A8D69F">
        <w:rPr>
          <w:rFonts w:ascii="Aptos" w:eastAsia="Aptos" w:hAnsi="Aptos" w:cs="Aptos"/>
          <w:color w:val="000000" w:themeColor="text1"/>
        </w:rPr>
        <w:t>the</w:t>
      </w:r>
      <w:r w:rsidR="0A820B8A" w:rsidRPr="77A8D69F">
        <w:rPr>
          <w:rFonts w:ascii="Aptos" w:eastAsia="Aptos" w:hAnsi="Aptos" w:cs="Aptos"/>
          <w:color w:val="000000" w:themeColor="text1"/>
        </w:rPr>
        <w:t xml:space="preserve"> SSD</w:t>
      </w:r>
      <w:r w:rsidR="5942DD22" w:rsidRPr="77A8D69F">
        <w:rPr>
          <w:rFonts w:ascii="Aptos" w:eastAsia="Aptos" w:hAnsi="Aptos" w:cs="Aptos"/>
          <w:color w:val="000000" w:themeColor="text1"/>
        </w:rPr>
        <w:t xml:space="preserve"> </w:t>
      </w:r>
      <w:r w:rsidR="0A820B8A" w:rsidRPr="77A8D69F">
        <w:rPr>
          <w:rFonts w:ascii="Aptos" w:eastAsia="Aptos" w:hAnsi="Aptos" w:cs="Aptos"/>
          <w:color w:val="000000" w:themeColor="text1"/>
        </w:rPr>
        <w:t>and anxiety disorder</w:t>
      </w:r>
      <w:r w:rsidR="1A983122" w:rsidRPr="77A8D69F">
        <w:rPr>
          <w:rFonts w:ascii="Aptos" w:eastAsia="Aptos" w:hAnsi="Aptos" w:cs="Aptos"/>
          <w:color w:val="000000" w:themeColor="text1"/>
        </w:rPr>
        <w:t xml:space="preserve"> groups</w:t>
      </w:r>
      <w:r w:rsidR="0A820B8A" w:rsidRPr="77A8D69F">
        <w:rPr>
          <w:rFonts w:ascii="Aptos" w:eastAsia="Aptos" w:hAnsi="Aptos" w:cs="Aptos"/>
          <w:color w:val="000000" w:themeColor="text1"/>
        </w:rPr>
        <w:t>, compared to</w:t>
      </w:r>
      <w:r w:rsidR="45922FBC" w:rsidRPr="77A8D69F">
        <w:rPr>
          <w:rFonts w:ascii="Aptos" w:eastAsia="Aptos" w:hAnsi="Aptos" w:cs="Aptos"/>
          <w:color w:val="000000" w:themeColor="text1"/>
        </w:rPr>
        <w:t xml:space="preserve"> a</w:t>
      </w:r>
      <w:r w:rsidR="0A820B8A" w:rsidRPr="77A8D69F">
        <w:rPr>
          <w:rFonts w:ascii="Aptos" w:eastAsia="Aptos" w:hAnsi="Aptos" w:cs="Aptos"/>
          <w:color w:val="000000" w:themeColor="text1"/>
        </w:rPr>
        <w:t xml:space="preserve"> non-clinical sample.</w:t>
      </w:r>
      <w:r w:rsidR="1101D1C8" w:rsidRPr="77A8D69F">
        <w:rPr>
          <w:rFonts w:ascii="Aptos" w:eastAsia="Aptos" w:hAnsi="Aptos" w:cs="Aptos"/>
          <w:color w:val="000000" w:themeColor="text1"/>
        </w:rPr>
        <w:t xml:space="preserve"> </w:t>
      </w:r>
      <w:r w:rsidR="1A29BE42" w:rsidRPr="77A8D69F">
        <w:rPr>
          <w:rFonts w:ascii="Aptos" w:eastAsia="Aptos" w:hAnsi="Aptos" w:cs="Aptos"/>
          <w:color w:val="000000" w:themeColor="text1"/>
        </w:rPr>
        <w:t>We based th</w:t>
      </w:r>
      <w:r w:rsidR="751ECB2B" w:rsidRPr="77A8D69F">
        <w:rPr>
          <w:rFonts w:ascii="Aptos" w:eastAsia="Aptos" w:hAnsi="Aptos" w:cs="Aptos"/>
          <w:color w:val="000000" w:themeColor="text1"/>
        </w:rPr>
        <w:t>ese</w:t>
      </w:r>
      <w:r w:rsidR="1A29BE42" w:rsidRPr="77A8D69F">
        <w:rPr>
          <w:rFonts w:ascii="Aptos" w:eastAsia="Aptos" w:hAnsi="Aptos" w:cs="Aptos"/>
          <w:color w:val="000000" w:themeColor="text1"/>
        </w:rPr>
        <w:t xml:space="preserve"> hypothes</w:t>
      </w:r>
      <w:r w:rsidR="4E02F2FF" w:rsidRPr="77A8D69F">
        <w:rPr>
          <w:rFonts w:ascii="Aptos" w:eastAsia="Aptos" w:hAnsi="Aptos" w:cs="Aptos"/>
          <w:color w:val="000000" w:themeColor="text1"/>
        </w:rPr>
        <w:t>e</w:t>
      </w:r>
      <w:r w:rsidR="1A29BE42" w:rsidRPr="77A8D69F">
        <w:rPr>
          <w:rFonts w:ascii="Aptos" w:eastAsia="Aptos" w:hAnsi="Aptos" w:cs="Aptos"/>
          <w:color w:val="000000" w:themeColor="text1"/>
        </w:rPr>
        <w:t>s on prior research</w:t>
      </w:r>
      <w:r w:rsidR="506CD2FD" w:rsidRPr="77A8D69F">
        <w:rPr>
          <w:rFonts w:ascii="Aptos" w:eastAsia="Aptos" w:hAnsi="Aptos" w:cs="Aptos"/>
          <w:color w:val="000000" w:themeColor="text1"/>
        </w:rPr>
        <w:t xml:space="preserve"> (</w:t>
      </w:r>
      <w:r w:rsidR="564F1BFD" w:rsidRPr="77A8D69F">
        <w:rPr>
          <w:rFonts w:ascii="Aptos" w:eastAsia="Aptos" w:hAnsi="Aptos" w:cs="Aptos"/>
          <w:color w:val="000000" w:themeColor="text1"/>
        </w:rPr>
        <w:t>Barrantes-Vidal et a</w:t>
      </w:r>
      <w:r w:rsidR="597D29EB" w:rsidRPr="77A8D69F">
        <w:rPr>
          <w:rFonts w:ascii="Aptos" w:eastAsia="Aptos" w:hAnsi="Aptos" w:cs="Aptos"/>
          <w:color w:val="000000" w:themeColor="text1"/>
        </w:rPr>
        <w:t>l</w:t>
      </w:r>
      <w:r w:rsidR="564F1BFD" w:rsidRPr="77A8D69F">
        <w:rPr>
          <w:rFonts w:ascii="Aptos" w:eastAsia="Aptos" w:hAnsi="Aptos" w:cs="Aptos"/>
          <w:color w:val="000000" w:themeColor="text1"/>
        </w:rPr>
        <w:t>., 2009; Freeman et al., 2013</w:t>
      </w:r>
      <w:r w:rsidR="0EC2D31D" w:rsidRPr="77A8D69F">
        <w:rPr>
          <w:rFonts w:ascii="Aptos" w:eastAsia="Aptos" w:hAnsi="Aptos" w:cs="Aptos"/>
          <w:color w:val="000000" w:themeColor="text1"/>
        </w:rPr>
        <w:t xml:space="preserve">; </w:t>
      </w:r>
      <w:r w:rsidR="545A3DAB" w:rsidRPr="77A8D69F">
        <w:rPr>
          <w:rFonts w:ascii="Aptos" w:eastAsia="Aptos" w:hAnsi="Aptos" w:cs="Aptos"/>
          <w:color w:val="000000" w:themeColor="text1"/>
        </w:rPr>
        <w:t xml:space="preserve">Morriss, Butler et al., 2024; </w:t>
      </w:r>
      <w:r w:rsidR="0EC2D31D" w:rsidRPr="77A8D69F">
        <w:rPr>
          <w:rFonts w:ascii="Aptos" w:eastAsia="Aptos" w:hAnsi="Aptos" w:cs="Aptos"/>
          <w:color w:val="000000" w:themeColor="text1"/>
        </w:rPr>
        <w:t>So et al., 2016</w:t>
      </w:r>
      <w:r w:rsidR="506CD2FD" w:rsidRPr="77A8D69F">
        <w:rPr>
          <w:rFonts w:ascii="Aptos" w:eastAsia="Aptos" w:hAnsi="Aptos" w:cs="Aptos"/>
          <w:color w:val="000000" w:themeColor="text1"/>
        </w:rPr>
        <w:t>)</w:t>
      </w:r>
      <w:r w:rsidR="0AFE5060" w:rsidRPr="77A8D69F">
        <w:rPr>
          <w:rFonts w:ascii="Aptos" w:eastAsia="Aptos" w:hAnsi="Aptos" w:cs="Aptos"/>
          <w:color w:val="000000" w:themeColor="text1"/>
        </w:rPr>
        <w:t>. However,</w:t>
      </w:r>
      <w:r w:rsidR="1A29BE42" w:rsidRPr="77A8D69F">
        <w:rPr>
          <w:rFonts w:ascii="Aptos" w:eastAsia="Aptos" w:hAnsi="Aptos" w:cs="Aptos"/>
          <w:color w:val="000000" w:themeColor="text1"/>
        </w:rPr>
        <w:t xml:space="preserve"> as far as we are aware there </w:t>
      </w:r>
      <w:r w:rsidR="63CE0B37" w:rsidRPr="77A8D69F">
        <w:rPr>
          <w:rFonts w:ascii="Aptos" w:eastAsia="Aptos" w:hAnsi="Aptos" w:cs="Aptos"/>
          <w:color w:val="000000" w:themeColor="text1"/>
        </w:rPr>
        <w:t xml:space="preserve">have </w:t>
      </w:r>
      <w:r w:rsidR="1A29BE42" w:rsidRPr="77A8D69F">
        <w:rPr>
          <w:rFonts w:ascii="Aptos" w:eastAsia="Aptos" w:hAnsi="Aptos" w:cs="Aptos"/>
          <w:color w:val="000000" w:themeColor="text1"/>
        </w:rPr>
        <w:t xml:space="preserve">not </w:t>
      </w:r>
      <w:r w:rsidR="55E5E7A9" w:rsidRPr="77A8D69F">
        <w:rPr>
          <w:rFonts w:ascii="Aptos" w:eastAsia="Aptos" w:hAnsi="Aptos" w:cs="Aptos"/>
          <w:color w:val="000000" w:themeColor="text1"/>
        </w:rPr>
        <w:t xml:space="preserve">been </w:t>
      </w:r>
      <w:r w:rsidR="1A29BE42" w:rsidRPr="77A8D69F">
        <w:rPr>
          <w:rFonts w:ascii="Aptos" w:eastAsia="Aptos" w:hAnsi="Aptos" w:cs="Aptos"/>
          <w:color w:val="000000" w:themeColor="text1"/>
        </w:rPr>
        <w:t xml:space="preserve">any direct comparisons </w:t>
      </w:r>
      <w:r w:rsidR="048E1C47" w:rsidRPr="77A8D69F">
        <w:rPr>
          <w:rFonts w:ascii="Aptos" w:eastAsia="Aptos" w:hAnsi="Aptos" w:cs="Aptos"/>
          <w:color w:val="000000" w:themeColor="text1"/>
        </w:rPr>
        <w:t>between</w:t>
      </w:r>
      <w:r w:rsidR="3D6AA5EF" w:rsidRPr="77A8D69F">
        <w:rPr>
          <w:rFonts w:ascii="Aptos" w:eastAsia="Aptos" w:hAnsi="Aptos" w:cs="Aptos"/>
          <w:color w:val="000000" w:themeColor="text1"/>
        </w:rPr>
        <w:t xml:space="preserve"> those with</w:t>
      </w:r>
      <w:r w:rsidR="048E1C47" w:rsidRPr="77A8D69F">
        <w:rPr>
          <w:rFonts w:ascii="Aptos" w:eastAsia="Aptos" w:hAnsi="Aptos" w:cs="Aptos"/>
          <w:color w:val="000000" w:themeColor="text1"/>
        </w:rPr>
        <w:t xml:space="preserve"> SSD</w:t>
      </w:r>
      <w:r w:rsidR="2D9CD1FD" w:rsidRPr="77A8D69F">
        <w:rPr>
          <w:rFonts w:ascii="Aptos" w:eastAsia="Aptos" w:hAnsi="Aptos" w:cs="Aptos"/>
          <w:color w:val="000000" w:themeColor="text1"/>
        </w:rPr>
        <w:t>s</w:t>
      </w:r>
      <w:r w:rsidR="048E1C47" w:rsidRPr="77A8D69F">
        <w:rPr>
          <w:rFonts w:ascii="Aptos" w:eastAsia="Aptos" w:hAnsi="Aptos" w:cs="Aptos"/>
          <w:color w:val="000000" w:themeColor="text1"/>
        </w:rPr>
        <w:t xml:space="preserve"> and </w:t>
      </w:r>
      <w:r w:rsidR="1C433D5E" w:rsidRPr="77A8D69F">
        <w:rPr>
          <w:rFonts w:ascii="Aptos" w:eastAsia="Aptos" w:hAnsi="Aptos" w:cs="Aptos"/>
          <w:color w:val="000000" w:themeColor="text1"/>
        </w:rPr>
        <w:t xml:space="preserve">anxiety disorders for IU, neuroticism, and jumping to conclusions bias. </w:t>
      </w:r>
      <w:r w:rsidR="1A29BE42" w:rsidRPr="77A8D69F">
        <w:rPr>
          <w:rFonts w:ascii="Aptos" w:eastAsia="Aptos" w:hAnsi="Aptos" w:cs="Aptos"/>
          <w:color w:val="000000" w:themeColor="text1"/>
        </w:rPr>
        <w:t xml:space="preserve"> </w:t>
      </w:r>
    </w:p>
    <w:p w14:paraId="7B9B4496" w14:textId="0B1652D3" w:rsidR="5959D559" w:rsidRDefault="4DB56EDC" w:rsidP="001B3723">
      <w:pPr>
        <w:pStyle w:val="ListParagraph"/>
        <w:numPr>
          <w:ilvl w:val="0"/>
          <w:numId w:val="1"/>
        </w:numPr>
        <w:spacing w:after="0" w:line="480" w:lineRule="auto"/>
        <w:rPr>
          <w:rFonts w:ascii="Aptos" w:eastAsia="Aptos" w:hAnsi="Aptos" w:cs="Aptos"/>
          <w:color w:val="000000" w:themeColor="text1"/>
        </w:rPr>
      </w:pPr>
      <w:r w:rsidRPr="03E8BD2E">
        <w:rPr>
          <w:rFonts w:ascii="Aptos" w:eastAsia="Aptos" w:hAnsi="Aptos" w:cs="Aptos"/>
          <w:color w:val="000000" w:themeColor="text1"/>
        </w:rPr>
        <w:t>P</w:t>
      </w:r>
      <w:r w:rsidR="61D0B299" w:rsidRPr="03E8BD2E">
        <w:rPr>
          <w:rFonts w:ascii="Aptos" w:eastAsia="Aptos" w:hAnsi="Aptos" w:cs="Aptos"/>
          <w:color w:val="000000" w:themeColor="text1"/>
        </w:rPr>
        <w:t>a</w:t>
      </w:r>
      <w:r w:rsidR="299D1215" w:rsidRPr="03E8BD2E">
        <w:rPr>
          <w:rFonts w:ascii="Aptos" w:eastAsia="Aptos" w:hAnsi="Aptos" w:cs="Aptos"/>
          <w:color w:val="000000" w:themeColor="text1"/>
        </w:rPr>
        <w:t>ranoia symptoms</w:t>
      </w:r>
      <w:r w:rsidR="7BA7E3A4" w:rsidRPr="03E8BD2E">
        <w:rPr>
          <w:rFonts w:ascii="Aptos" w:eastAsia="Aptos" w:hAnsi="Aptos" w:cs="Aptos"/>
          <w:color w:val="000000" w:themeColor="text1"/>
        </w:rPr>
        <w:t xml:space="preserve"> and prodromal symptoms</w:t>
      </w:r>
      <w:r w:rsidR="299D1215" w:rsidRPr="03E8BD2E">
        <w:rPr>
          <w:rFonts w:ascii="Aptos" w:eastAsia="Aptos" w:hAnsi="Aptos" w:cs="Aptos"/>
          <w:color w:val="000000" w:themeColor="text1"/>
        </w:rPr>
        <w:t xml:space="preserve"> would be highest in SSD, then anxiety disorders, and then a non-clinical sample.</w:t>
      </w:r>
      <w:r w:rsidR="05111A71" w:rsidRPr="03E8BD2E">
        <w:rPr>
          <w:rFonts w:ascii="Aptos" w:eastAsia="Aptos" w:hAnsi="Aptos" w:cs="Aptos"/>
          <w:color w:val="000000" w:themeColor="text1"/>
        </w:rPr>
        <w:t xml:space="preserve"> </w:t>
      </w:r>
      <w:r w:rsidR="76654AFB" w:rsidRPr="03E8BD2E">
        <w:rPr>
          <w:rFonts w:ascii="Aptos" w:eastAsia="Aptos" w:hAnsi="Aptos" w:cs="Aptos"/>
          <w:color w:val="000000" w:themeColor="text1"/>
        </w:rPr>
        <w:t>We based these</w:t>
      </w:r>
      <w:r w:rsidR="0AC3B8C8" w:rsidRPr="03E8BD2E">
        <w:rPr>
          <w:rFonts w:ascii="Aptos" w:eastAsia="Aptos" w:hAnsi="Aptos" w:cs="Aptos"/>
          <w:color w:val="000000" w:themeColor="text1"/>
        </w:rPr>
        <w:t xml:space="preserve"> hypotheses </w:t>
      </w:r>
      <w:r w:rsidR="48111C89" w:rsidRPr="03E8BD2E">
        <w:rPr>
          <w:rFonts w:ascii="Aptos" w:eastAsia="Aptos" w:hAnsi="Aptos" w:cs="Aptos"/>
          <w:color w:val="000000" w:themeColor="text1"/>
        </w:rPr>
        <w:t xml:space="preserve">on a wealth of research </w:t>
      </w:r>
      <w:r w:rsidR="525A577E" w:rsidRPr="03E8BD2E">
        <w:rPr>
          <w:rFonts w:ascii="Aptos" w:eastAsia="Aptos" w:hAnsi="Aptos" w:cs="Aptos"/>
          <w:color w:val="000000" w:themeColor="text1"/>
        </w:rPr>
        <w:t>that</w:t>
      </w:r>
      <w:r w:rsidR="032A84C3" w:rsidRPr="03E8BD2E">
        <w:rPr>
          <w:rFonts w:ascii="Aptos" w:eastAsia="Aptos" w:hAnsi="Aptos" w:cs="Aptos"/>
          <w:color w:val="000000" w:themeColor="text1"/>
        </w:rPr>
        <w:t xml:space="preserve"> have</w:t>
      </w:r>
      <w:r w:rsidR="0AC3B8C8" w:rsidRPr="03E8BD2E">
        <w:rPr>
          <w:rFonts w:ascii="Aptos" w:eastAsia="Aptos" w:hAnsi="Aptos" w:cs="Aptos"/>
          <w:color w:val="000000" w:themeColor="text1"/>
        </w:rPr>
        <w:t xml:space="preserve"> </w:t>
      </w:r>
      <w:r w:rsidR="61B6DA97" w:rsidRPr="03E8BD2E">
        <w:rPr>
          <w:rFonts w:ascii="Aptos" w:eastAsia="Aptos" w:hAnsi="Aptos" w:cs="Aptos"/>
          <w:color w:val="000000" w:themeColor="text1"/>
        </w:rPr>
        <w:t>demonstrate</w:t>
      </w:r>
      <w:r w:rsidR="2D2A8002" w:rsidRPr="03E8BD2E">
        <w:rPr>
          <w:rFonts w:ascii="Aptos" w:eastAsia="Aptos" w:hAnsi="Aptos" w:cs="Aptos"/>
          <w:color w:val="000000" w:themeColor="text1"/>
        </w:rPr>
        <w:t>d</w:t>
      </w:r>
      <w:r w:rsidR="61B6DA97" w:rsidRPr="03E8BD2E">
        <w:rPr>
          <w:rFonts w:ascii="Aptos" w:eastAsia="Aptos" w:hAnsi="Aptos" w:cs="Aptos"/>
          <w:color w:val="000000" w:themeColor="text1"/>
        </w:rPr>
        <w:t xml:space="preserve"> </w:t>
      </w:r>
      <w:r w:rsidR="0AC3B8C8" w:rsidRPr="03E8BD2E">
        <w:rPr>
          <w:rFonts w:ascii="Aptos" w:eastAsia="Aptos" w:hAnsi="Aptos" w:cs="Aptos"/>
          <w:color w:val="000000" w:themeColor="text1"/>
        </w:rPr>
        <w:t xml:space="preserve">paranoia </w:t>
      </w:r>
      <w:r w:rsidR="1D50C5A7" w:rsidRPr="03E8BD2E">
        <w:rPr>
          <w:rFonts w:ascii="Aptos" w:eastAsia="Aptos" w:hAnsi="Aptos" w:cs="Aptos"/>
          <w:color w:val="000000" w:themeColor="text1"/>
        </w:rPr>
        <w:t xml:space="preserve">(e.g. Freeman, 2016) </w:t>
      </w:r>
      <w:r w:rsidR="0AC3B8C8" w:rsidRPr="03E8BD2E">
        <w:rPr>
          <w:rFonts w:ascii="Aptos" w:eastAsia="Aptos" w:hAnsi="Aptos" w:cs="Aptos"/>
          <w:color w:val="000000" w:themeColor="text1"/>
        </w:rPr>
        <w:t xml:space="preserve">and prodromal symptoms of schizophrenia </w:t>
      </w:r>
      <w:r w:rsidR="2234FD20" w:rsidRPr="03E8BD2E">
        <w:rPr>
          <w:rFonts w:ascii="Aptos" w:eastAsia="Aptos" w:hAnsi="Aptos" w:cs="Aptos"/>
          <w:color w:val="000000" w:themeColor="text1"/>
        </w:rPr>
        <w:t xml:space="preserve">(Yung et al., 1998; 2003) </w:t>
      </w:r>
      <w:r w:rsidR="2CE8483C" w:rsidRPr="03E8BD2E">
        <w:rPr>
          <w:rFonts w:ascii="Aptos" w:eastAsia="Aptos" w:hAnsi="Aptos" w:cs="Aptos"/>
          <w:color w:val="000000" w:themeColor="text1"/>
        </w:rPr>
        <w:t>to be</w:t>
      </w:r>
      <w:r w:rsidR="0AC3B8C8" w:rsidRPr="03E8BD2E">
        <w:rPr>
          <w:rFonts w:ascii="Aptos" w:eastAsia="Aptos" w:hAnsi="Aptos" w:cs="Aptos"/>
          <w:color w:val="000000" w:themeColor="text1"/>
        </w:rPr>
        <w:t xml:space="preserve"> central to SSDs</w:t>
      </w:r>
      <w:r w:rsidR="12D99768" w:rsidRPr="03E8BD2E">
        <w:rPr>
          <w:rFonts w:ascii="Aptos" w:eastAsia="Aptos" w:hAnsi="Aptos" w:cs="Aptos"/>
          <w:color w:val="000000" w:themeColor="text1"/>
        </w:rPr>
        <w:t xml:space="preserve">. However, both paranoia </w:t>
      </w:r>
      <w:r w:rsidR="551D622F" w:rsidRPr="03E8BD2E">
        <w:rPr>
          <w:rFonts w:ascii="Aptos" w:eastAsia="Aptos" w:hAnsi="Aptos" w:cs="Aptos"/>
          <w:color w:val="000000" w:themeColor="text1"/>
        </w:rPr>
        <w:t>(</w:t>
      </w:r>
      <w:r w:rsidR="0BD3158F" w:rsidRPr="03E8BD2E">
        <w:rPr>
          <w:rFonts w:ascii="Aptos" w:eastAsia="Aptos" w:hAnsi="Aptos" w:cs="Aptos"/>
          <w:lang w:val="en-US"/>
        </w:rPr>
        <w:t>Reich &amp; Braginsky, 1994;</w:t>
      </w:r>
      <w:r w:rsidR="0BD3158F" w:rsidRPr="03E8BD2E">
        <w:rPr>
          <w:rFonts w:ascii="Aptos" w:eastAsia="Aptos" w:hAnsi="Aptos" w:cs="Aptos"/>
          <w:color w:val="000000" w:themeColor="text1"/>
        </w:rPr>
        <w:t xml:space="preserve"> </w:t>
      </w:r>
      <w:r w:rsidR="551D622F" w:rsidRPr="03E8BD2E">
        <w:rPr>
          <w:rFonts w:ascii="Aptos" w:eastAsia="Aptos" w:hAnsi="Aptos" w:cs="Aptos"/>
          <w:color w:val="000000" w:themeColor="text1"/>
        </w:rPr>
        <w:t>Taylor &amp; Stopa, 2013</w:t>
      </w:r>
      <w:r w:rsidR="7B0A8DC8" w:rsidRPr="03E8BD2E">
        <w:rPr>
          <w:rFonts w:ascii="Aptos" w:eastAsia="Aptos" w:hAnsi="Aptos" w:cs="Aptos"/>
          <w:color w:val="000000" w:themeColor="text1"/>
        </w:rPr>
        <w:t>)</w:t>
      </w:r>
      <w:r w:rsidR="551D622F" w:rsidRPr="03E8BD2E">
        <w:rPr>
          <w:rFonts w:ascii="Aptos" w:eastAsia="Aptos" w:hAnsi="Aptos" w:cs="Aptos"/>
          <w:color w:val="000000" w:themeColor="text1"/>
        </w:rPr>
        <w:t xml:space="preserve"> </w:t>
      </w:r>
      <w:r w:rsidR="12D99768" w:rsidRPr="03E8BD2E">
        <w:rPr>
          <w:rFonts w:ascii="Aptos" w:eastAsia="Aptos" w:hAnsi="Aptos" w:cs="Aptos"/>
          <w:color w:val="000000" w:themeColor="text1"/>
        </w:rPr>
        <w:t>and prodromal symptoms</w:t>
      </w:r>
      <w:r w:rsidR="0AC3B8C8" w:rsidRPr="03E8BD2E">
        <w:rPr>
          <w:rFonts w:ascii="Aptos" w:eastAsia="Aptos" w:hAnsi="Aptos" w:cs="Aptos"/>
          <w:color w:val="000000" w:themeColor="text1"/>
        </w:rPr>
        <w:t xml:space="preserve"> </w:t>
      </w:r>
      <w:r w:rsidR="59622393" w:rsidRPr="03E8BD2E">
        <w:rPr>
          <w:rFonts w:ascii="Aptos" w:eastAsia="Aptos" w:hAnsi="Aptos" w:cs="Aptos"/>
          <w:color w:val="000000" w:themeColor="text1"/>
        </w:rPr>
        <w:t>(</w:t>
      </w:r>
      <w:proofErr w:type="spellStart"/>
      <w:r w:rsidR="094947FB" w:rsidRPr="03E8BD2E">
        <w:rPr>
          <w:rFonts w:ascii="Aptos" w:eastAsia="Aptos" w:hAnsi="Aptos" w:cs="Aptos"/>
          <w:color w:val="000000" w:themeColor="text1"/>
        </w:rPr>
        <w:t>Rietdijk</w:t>
      </w:r>
      <w:proofErr w:type="spellEnd"/>
      <w:r w:rsidR="094947FB" w:rsidRPr="03E8BD2E">
        <w:rPr>
          <w:rFonts w:ascii="Aptos" w:eastAsia="Aptos" w:hAnsi="Aptos" w:cs="Aptos"/>
          <w:color w:val="000000" w:themeColor="text1"/>
        </w:rPr>
        <w:t xml:space="preserve"> et al., 2011; </w:t>
      </w:r>
      <w:proofErr w:type="spellStart"/>
      <w:r w:rsidR="59622393" w:rsidRPr="03E8BD2E">
        <w:rPr>
          <w:rFonts w:ascii="Aptos" w:eastAsia="Aptos" w:hAnsi="Aptos" w:cs="Aptos"/>
          <w:lang w:val="en-US"/>
        </w:rPr>
        <w:t>Shioiri</w:t>
      </w:r>
      <w:proofErr w:type="spellEnd"/>
      <w:r w:rsidR="59622393" w:rsidRPr="03E8BD2E">
        <w:rPr>
          <w:rFonts w:ascii="Aptos" w:eastAsia="Aptos" w:hAnsi="Aptos" w:cs="Aptos"/>
          <w:lang w:val="en-US"/>
        </w:rPr>
        <w:t xml:space="preserve"> et al., 2007</w:t>
      </w:r>
      <w:r w:rsidR="59622393" w:rsidRPr="03E8BD2E">
        <w:rPr>
          <w:rFonts w:ascii="Aptos" w:eastAsia="Aptos" w:hAnsi="Aptos" w:cs="Aptos"/>
          <w:color w:val="000000" w:themeColor="text1"/>
        </w:rPr>
        <w:t xml:space="preserve">) </w:t>
      </w:r>
      <w:r w:rsidR="55FD331E" w:rsidRPr="03E8BD2E">
        <w:rPr>
          <w:rFonts w:ascii="Aptos" w:eastAsia="Aptos" w:hAnsi="Aptos" w:cs="Aptos"/>
          <w:color w:val="000000" w:themeColor="text1"/>
        </w:rPr>
        <w:t>can</w:t>
      </w:r>
      <w:r w:rsidR="0AC3B8C8" w:rsidRPr="03E8BD2E">
        <w:rPr>
          <w:rFonts w:ascii="Aptos" w:eastAsia="Aptos" w:hAnsi="Aptos" w:cs="Aptos"/>
          <w:color w:val="000000" w:themeColor="text1"/>
        </w:rPr>
        <w:t xml:space="preserve"> occur in </w:t>
      </w:r>
      <w:r w:rsidR="20F7DCB7" w:rsidRPr="03E8BD2E">
        <w:rPr>
          <w:rFonts w:ascii="Aptos" w:eastAsia="Aptos" w:hAnsi="Aptos" w:cs="Aptos"/>
          <w:color w:val="000000" w:themeColor="text1"/>
        </w:rPr>
        <w:t xml:space="preserve">those with </w:t>
      </w:r>
      <w:r w:rsidR="0AC3B8C8" w:rsidRPr="03E8BD2E">
        <w:rPr>
          <w:rFonts w:ascii="Aptos" w:eastAsia="Aptos" w:hAnsi="Aptos" w:cs="Aptos"/>
          <w:color w:val="000000" w:themeColor="text1"/>
        </w:rPr>
        <w:t>anxiety di</w:t>
      </w:r>
      <w:r w:rsidR="15958880" w:rsidRPr="03E8BD2E">
        <w:rPr>
          <w:rFonts w:ascii="Aptos" w:eastAsia="Aptos" w:hAnsi="Aptos" w:cs="Aptos"/>
          <w:color w:val="000000" w:themeColor="text1"/>
        </w:rPr>
        <w:t>sorders</w:t>
      </w:r>
      <w:r w:rsidR="612AA70B" w:rsidRPr="03E8BD2E">
        <w:rPr>
          <w:rFonts w:ascii="Aptos" w:eastAsia="Aptos" w:hAnsi="Aptos" w:cs="Aptos"/>
          <w:color w:val="000000" w:themeColor="text1"/>
        </w:rPr>
        <w:t xml:space="preserve"> as well</w:t>
      </w:r>
      <w:r w:rsidR="15958880" w:rsidRPr="03E8BD2E">
        <w:rPr>
          <w:rFonts w:ascii="Aptos" w:eastAsia="Aptos" w:hAnsi="Aptos" w:cs="Aptos"/>
          <w:color w:val="000000" w:themeColor="text1"/>
        </w:rPr>
        <w:t xml:space="preserve">. </w:t>
      </w:r>
    </w:p>
    <w:p w14:paraId="09030B5E" w14:textId="382D0BCA" w:rsidR="0980DA71" w:rsidRDefault="0980DA71" w:rsidP="001B3723">
      <w:pPr>
        <w:pStyle w:val="ListParagraph"/>
        <w:numPr>
          <w:ilvl w:val="0"/>
          <w:numId w:val="1"/>
        </w:numPr>
        <w:spacing w:after="0" w:line="480" w:lineRule="auto"/>
        <w:rPr>
          <w:rFonts w:ascii="Aptos" w:eastAsia="Aptos" w:hAnsi="Aptos" w:cs="Aptos"/>
          <w:color w:val="000000" w:themeColor="text1"/>
        </w:rPr>
      </w:pPr>
      <w:r w:rsidRPr="03E8BD2E">
        <w:rPr>
          <w:rFonts w:ascii="Aptos" w:eastAsia="Aptos" w:hAnsi="Aptos" w:cs="Aptos"/>
          <w:color w:val="000000" w:themeColor="text1"/>
        </w:rPr>
        <w:t>Higher IU may be associated with higher paranoia / prodromal symptoms, over neuroticism and jumping to conclusions bias. This hypothesis was based on a previous study suggesting specificity for IU in relation to paranoia symptoms (Morriss et al., 2024).</w:t>
      </w:r>
    </w:p>
    <w:p w14:paraId="37D6F754" w14:textId="77777777" w:rsidR="0052223D" w:rsidRDefault="0052223D" w:rsidP="001B3723">
      <w:pPr>
        <w:pStyle w:val="ListParagraph"/>
        <w:numPr>
          <w:ilvl w:val="0"/>
          <w:numId w:val="1"/>
        </w:numPr>
        <w:spacing w:after="0" w:line="480" w:lineRule="auto"/>
        <w:rPr>
          <w:rFonts w:ascii="Aptos" w:eastAsia="Aptos" w:hAnsi="Aptos" w:cs="Aptos"/>
          <w:color w:val="000000" w:themeColor="text1"/>
        </w:rPr>
      </w:pPr>
      <w:r w:rsidRPr="03E8BD2E">
        <w:rPr>
          <w:rFonts w:ascii="Aptos" w:eastAsia="Aptos" w:hAnsi="Aptos" w:cs="Aptos"/>
          <w:color w:val="000000" w:themeColor="text1"/>
        </w:rPr>
        <w:t xml:space="preserve">The strength of the relationships between IU and paranoia / prodromal symptoms may be more pronounced in SSDs, compared to anxiety disorders and a non-clinical sample. Alternatively, the relationship between IU and paranoia / prodromal symptoms may be similar across the different groups, suggesting it to be transdiagnostic. This exploratory hypothesis reflects the lack of prior research findings on this topic. </w:t>
      </w:r>
    </w:p>
    <w:p w14:paraId="77C41142" w14:textId="77777777" w:rsidR="0052223D" w:rsidRPr="0052223D" w:rsidRDefault="0052223D" w:rsidP="001B3723">
      <w:pPr>
        <w:spacing w:after="0" w:line="480" w:lineRule="auto"/>
        <w:rPr>
          <w:rFonts w:ascii="Aptos" w:eastAsia="Aptos" w:hAnsi="Aptos" w:cs="Aptos"/>
          <w:color w:val="000000" w:themeColor="text1"/>
        </w:rPr>
      </w:pPr>
    </w:p>
    <w:p w14:paraId="70BECE60" w14:textId="15C06DEE" w:rsidR="77A8D69F" w:rsidRDefault="77A8D69F" w:rsidP="001B3723">
      <w:pPr>
        <w:spacing w:after="0" w:line="480" w:lineRule="auto"/>
        <w:rPr>
          <w:rFonts w:ascii="Aptos" w:eastAsia="Aptos" w:hAnsi="Aptos" w:cs="Aptos"/>
          <w:color w:val="000000" w:themeColor="text1"/>
        </w:rPr>
      </w:pPr>
    </w:p>
    <w:p w14:paraId="19E2E9CD" w14:textId="73748FEE" w:rsidR="00DD040A" w:rsidRPr="00441D96" w:rsidRDefault="00DD040A" w:rsidP="001B3723">
      <w:pPr>
        <w:spacing w:after="0" w:line="480" w:lineRule="auto"/>
        <w:jc w:val="center"/>
        <w:rPr>
          <w:rFonts w:ascii="Aptos" w:eastAsia="Aptos" w:hAnsi="Aptos" w:cs="Aptos"/>
          <w:b/>
          <w:bCs/>
        </w:rPr>
      </w:pPr>
      <w:r w:rsidRPr="30EC08DA">
        <w:rPr>
          <w:rFonts w:ascii="Aptos" w:eastAsia="Aptos" w:hAnsi="Aptos" w:cs="Aptos"/>
          <w:b/>
          <w:bCs/>
        </w:rPr>
        <w:t>Method</w:t>
      </w:r>
    </w:p>
    <w:p w14:paraId="2F6CA0DA" w14:textId="38299D47" w:rsidR="00DD040A" w:rsidRPr="00441D96" w:rsidRDefault="00DD040A" w:rsidP="001B3723">
      <w:pPr>
        <w:spacing w:after="0" w:line="480" w:lineRule="auto"/>
        <w:rPr>
          <w:rFonts w:ascii="Aptos" w:eastAsia="Aptos" w:hAnsi="Aptos" w:cs="Aptos"/>
          <w:b/>
          <w:bCs/>
        </w:rPr>
      </w:pPr>
      <w:r w:rsidRPr="30EC08DA">
        <w:rPr>
          <w:rFonts w:ascii="Aptos" w:eastAsia="Aptos" w:hAnsi="Aptos" w:cs="Aptos"/>
          <w:b/>
          <w:bCs/>
        </w:rPr>
        <w:t>Participants</w:t>
      </w:r>
    </w:p>
    <w:p w14:paraId="75639359" w14:textId="303D8E84" w:rsidR="00DD040A" w:rsidRDefault="003A6F4D" w:rsidP="001B3723">
      <w:pPr>
        <w:spacing w:after="0" w:line="480" w:lineRule="auto"/>
        <w:ind w:firstLine="720"/>
        <w:rPr>
          <w:rFonts w:ascii="Aptos" w:eastAsia="Aptos" w:hAnsi="Aptos" w:cs="Aptos"/>
        </w:rPr>
      </w:pPr>
      <w:r>
        <w:rPr>
          <w:rFonts w:ascii="Aptos" w:eastAsia="Aptos" w:hAnsi="Aptos" w:cs="Aptos"/>
        </w:rPr>
        <w:t>P</w:t>
      </w:r>
      <w:r w:rsidRPr="77A8D69F">
        <w:rPr>
          <w:rFonts w:ascii="Aptos" w:eastAsia="Aptos" w:hAnsi="Aptos" w:cs="Aptos"/>
        </w:rPr>
        <w:t xml:space="preserve">articipants </w:t>
      </w:r>
      <w:r w:rsidR="00D61D18">
        <w:rPr>
          <w:rFonts w:ascii="Aptos" w:eastAsia="Aptos" w:hAnsi="Aptos" w:cs="Aptos"/>
        </w:rPr>
        <w:t>took</w:t>
      </w:r>
      <w:r>
        <w:rPr>
          <w:rFonts w:ascii="Aptos" w:eastAsia="Aptos" w:hAnsi="Aptos" w:cs="Aptos"/>
        </w:rPr>
        <w:t xml:space="preserve"> part in the study </w:t>
      </w:r>
      <w:r w:rsidRPr="77A8D69F">
        <w:rPr>
          <w:rFonts w:ascii="Aptos" w:eastAsia="Aptos" w:hAnsi="Aptos" w:cs="Aptos"/>
        </w:rPr>
        <w:t xml:space="preserve">if they had a primary diagnosis of </w:t>
      </w:r>
      <w:r w:rsidR="00A36974">
        <w:rPr>
          <w:rFonts w:ascii="Aptos" w:eastAsia="Aptos" w:hAnsi="Aptos" w:cs="Aptos"/>
        </w:rPr>
        <w:t xml:space="preserve">a </w:t>
      </w:r>
      <w:r w:rsidRPr="77A8D69F">
        <w:rPr>
          <w:rFonts w:ascii="Aptos" w:eastAsia="Aptos" w:hAnsi="Aptos" w:cs="Aptos"/>
        </w:rPr>
        <w:t>schizophrenia-spectrum disorder</w:t>
      </w:r>
      <w:r w:rsidR="00B63A3C">
        <w:rPr>
          <w:rFonts w:ascii="Aptos" w:eastAsia="Aptos" w:hAnsi="Aptos" w:cs="Aptos"/>
        </w:rPr>
        <w:t xml:space="preserve"> (including psychosis symptoms related to a bipolar disorder, personality disorder, or post-traumatic stress disorder) </w:t>
      </w:r>
      <w:r w:rsidRPr="77A8D69F">
        <w:rPr>
          <w:rFonts w:ascii="Aptos" w:eastAsia="Aptos" w:hAnsi="Aptos" w:cs="Aptos"/>
        </w:rPr>
        <w:t xml:space="preserve">(n = 103), an anxiety disorder (n = 102), or no existing or past diagnoses of mental health conditions (n = 102). </w:t>
      </w:r>
      <w:r w:rsidR="00DD040A" w:rsidRPr="77A8D69F">
        <w:rPr>
          <w:rFonts w:ascii="Aptos" w:eastAsia="Aptos" w:hAnsi="Aptos" w:cs="Aptos"/>
        </w:rPr>
        <w:t>Participants were recruited via the</w:t>
      </w:r>
      <w:r w:rsidR="0043174E" w:rsidRPr="77A8D69F">
        <w:rPr>
          <w:rFonts w:ascii="Aptos" w:eastAsia="Aptos" w:hAnsi="Aptos" w:cs="Aptos"/>
        </w:rPr>
        <w:t xml:space="preserve"> Prolific platform</w:t>
      </w:r>
      <w:r w:rsidR="002B22AE" w:rsidRPr="77A8D69F">
        <w:rPr>
          <w:rFonts w:ascii="Aptos" w:eastAsia="Aptos" w:hAnsi="Aptos" w:cs="Aptos"/>
        </w:rPr>
        <w:t>.</w:t>
      </w:r>
      <w:r w:rsidR="00DD040A" w:rsidRPr="77A8D69F">
        <w:rPr>
          <w:rFonts w:ascii="Aptos" w:eastAsia="Aptos" w:hAnsi="Aptos" w:cs="Aptos"/>
        </w:rPr>
        <w:t xml:space="preserve"> </w:t>
      </w:r>
      <w:r w:rsidR="0044796C" w:rsidRPr="77A8D69F">
        <w:rPr>
          <w:rFonts w:ascii="Aptos" w:eastAsia="Aptos" w:hAnsi="Aptos" w:cs="Aptos"/>
        </w:rPr>
        <w:t xml:space="preserve">For demographic characteristics of each group, see Table 1. </w:t>
      </w:r>
      <w:r w:rsidR="00DD040A" w:rsidRPr="77A8D69F">
        <w:rPr>
          <w:rFonts w:ascii="Aptos" w:eastAsia="Aptos" w:hAnsi="Aptos" w:cs="Aptos"/>
        </w:rPr>
        <w:t xml:space="preserve"> </w:t>
      </w:r>
    </w:p>
    <w:p w14:paraId="37B627E5" w14:textId="2F5B9BFF" w:rsidR="00DD040A" w:rsidRPr="00441D96" w:rsidRDefault="2CB4AB4C" w:rsidP="001B3723">
      <w:pPr>
        <w:spacing w:after="0" w:line="480" w:lineRule="auto"/>
        <w:ind w:firstLine="720"/>
        <w:rPr>
          <w:rFonts w:ascii="Aptos" w:eastAsia="Aptos" w:hAnsi="Aptos" w:cs="Aptos"/>
        </w:rPr>
      </w:pPr>
      <w:r w:rsidRPr="77A8D69F">
        <w:rPr>
          <w:rFonts w:ascii="Aptos" w:eastAsia="Aptos" w:hAnsi="Aptos" w:cs="Aptos"/>
        </w:rPr>
        <w:t xml:space="preserve">Ethical approval was obtained from </w:t>
      </w:r>
      <w:r w:rsidR="00A01C9A">
        <w:rPr>
          <w:rFonts w:ascii="Aptos" w:eastAsia="Aptos" w:hAnsi="Aptos" w:cs="Aptos"/>
        </w:rPr>
        <w:t>XXX</w:t>
      </w:r>
      <w:r w:rsidRPr="77A8D69F">
        <w:rPr>
          <w:rFonts w:ascii="Aptos" w:eastAsia="Aptos" w:hAnsi="Aptos" w:cs="Aptos"/>
        </w:rPr>
        <w:t xml:space="preserve"> Ethics Committee (ERGO: </w:t>
      </w:r>
      <w:r w:rsidR="009206C6">
        <w:rPr>
          <w:rFonts w:ascii="Aptos" w:eastAsia="Aptos" w:hAnsi="Aptos" w:cs="Aptos"/>
        </w:rPr>
        <w:t>92265</w:t>
      </w:r>
      <w:r w:rsidRPr="77A8D69F">
        <w:rPr>
          <w:rFonts w:ascii="Aptos" w:eastAsia="Aptos" w:hAnsi="Aptos" w:cs="Aptos"/>
        </w:rPr>
        <w:t>)</w:t>
      </w:r>
      <w:r w:rsidR="00A01C9A">
        <w:rPr>
          <w:rFonts w:ascii="Aptos" w:eastAsia="Aptos" w:hAnsi="Aptos" w:cs="Aptos"/>
        </w:rPr>
        <w:t xml:space="preserve"> in the UK</w:t>
      </w:r>
      <w:r w:rsidRPr="77A8D69F">
        <w:rPr>
          <w:rFonts w:ascii="Aptos" w:eastAsia="Aptos" w:hAnsi="Aptos" w:cs="Aptos"/>
        </w:rPr>
        <w:t>.</w:t>
      </w:r>
    </w:p>
    <w:p w14:paraId="74375A0C" w14:textId="6444B6E5" w:rsidR="28D42152" w:rsidRDefault="28D42152" w:rsidP="001B3723">
      <w:pPr>
        <w:spacing w:after="0" w:line="480" w:lineRule="auto"/>
        <w:rPr>
          <w:rFonts w:ascii="Aptos" w:eastAsia="Aptos" w:hAnsi="Aptos" w:cs="Aptos"/>
        </w:rPr>
      </w:pPr>
    </w:p>
    <w:tbl>
      <w:tblPr>
        <w:tblW w:w="0" w:type="auto"/>
        <w:tblLayout w:type="fixed"/>
        <w:tblLook w:val="06A0" w:firstRow="1" w:lastRow="0" w:firstColumn="1" w:lastColumn="0" w:noHBand="1" w:noVBand="1"/>
      </w:tblPr>
      <w:tblGrid>
        <w:gridCol w:w="3654"/>
        <w:gridCol w:w="1795"/>
        <w:gridCol w:w="1785"/>
        <w:gridCol w:w="1781"/>
      </w:tblGrid>
      <w:tr w:rsidR="77A8D69F" w14:paraId="2DC06345" w14:textId="77777777" w:rsidTr="77A8D69F">
        <w:trPr>
          <w:trHeight w:val="315"/>
        </w:trPr>
        <w:tc>
          <w:tcPr>
            <w:tcW w:w="3654" w:type="dxa"/>
            <w:tcBorders>
              <w:top w:val="nil"/>
              <w:left w:val="nil"/>
              <w:bottom w:val="nil"/>
              <w:right w:val="nil"/>
            </w:tcBorders>
            <w:tcMar>
              <w:top w:w="15" w:type="dxa"/>
              <w:left w:w="15" w:type="dxa"/>
              <w:right w:w="15" w:type="dxa"/>
            </w:tcMar>
            <w:vAlign w:val="bottom"/>
          </w:tcPr>
          <w:p w14:paraId="187AE252" w14:textId="7DCF704A" w:rsidR="77A8D69F" w:rsidRDefault="77A8D69F" w:rsidP="001B3723">
            <w:pPr>
              <w:spacing w:after="0" w:line="480" w:lineRule="auto"/>
            </w:pPr>
            <w:r w:rsidRPr="77A8D69F">
              <w:rPr>
                <w:rFonts w:ascii="Aptos" w:eastAsia="Aptos" w:hAnsi="Aptos" w:cs="Aptos"/>
                <w:b/>
                <w:bCs/>
              </w:rPr>
              <w:t>Table 1.</w:t>
            </w:r>
          </w:p>
        </w:tc>
        <w:tc>
          <w:tcPr>
            <w:tcW w:w="1795" w:type="dxa"/>
            <w:tcBorders>
              <w:top w:val="nil"/>
              <w:left w:val="nil"/>
              <w:bottom w:val="nil"/>
              <w:right w:val="nil"/>
            </w:tcBorders>
            <w:tcMar>
              <w:top w:w="15" w:type="dxa"/>
              <w:left w:w="15" w:type="dxa"/>
              <w:right w:w="15" w:type="dxa"/>
            </w:tcMar>
            <w:vAlign w:val="bottom"/>
          </w:tcPr>
          <w:p w14:paraId="57E9F6D4" w14:textId="226E8F52" w:rsidR="77A8D69F" w:rsidRDefault="77A8D69F" w:rsidP="001B3723">
            <w:pPr>
              <w:spacing w:after="0" w:line="480" w:lineRule="auto"/>
            </w:pPr>
          </w:p>
        </w:tc>
        <w:tc>
          <w:tcPr>
            <w:tcW w:w="1785" w:type="dxa"/>
            <w:tcBorders>
              <w:top w:val="nil"/>
              <w:left w:val="nil"/>
              <w:bottom w:val="nil"/>
              <w:right w:val="nil"/>
            </w:tcBorders>
            <w:tcMar>
              <w:top w:w="15" w:type="dxa"/>
              <w:left w:w="15" w:type="dxa"/>
              <w:right w:w="15" w:type="dxa"/>
            </w:tcMar>
            <w:vAlign w:val="bottom"/>
          </w:tcPr>
          <w:p w14:paraId="3DC12D1C" w14:textId="01732D5E" w:rsidR="77A8D69F" w:rsidRDefault="77A8D69F" w:rsidP="001B3723">
            <w:pPr>
              <w:spacing w:after="0" w:line="480" w:lineRule="auto"/>
            </w:pPr>
          </w:p>
        </w:tc>
        <w:tc>
          <w:tcPr>
            <w:tcW w:w="1781" w:type="dxa"/>
            <w:tcBorders>
              <w:top w:val="nil"/>
              <w:left w:val="nil"/>
              <w:bottom w:val="nil"/>
              <w:right w:val="nil"/>
            </w:tcBorders>
            <w:tcMar>
              <w:top w:w="15" w:type="dxa"/>
              <w:left w:w="15" w:type="dxa"/>
              <w:right w:w="15" w:type="dxa"/>
            </w:tcMar>
            <w:vAlign w:val="bottom"/>
          </w:tcPr>
          <w:p w14:paraId="2805C98D" w14:textId="00A31EAD" w:rsidR="77A8D69F" w:rsidRDefault="77A8D69F" w:rsidP="001B3723">
            <w:pPr>
              <w:spacing w:after="0" w:line="480" w:lineRule="auto"/>
            </w:pPr>
          </w:p>
        </w:tc>
      </w:tr>
      <w:tr w:rsidR="77A8D69F" w14:paraId="008328DD" w14:textId="77777777" w:rsidTr="77A8D69F">
        <w:trPr>
          <w:trHeight w:val="390"/>
        </w:trPr>
        <w:tc>
          <w:tcPr>
            <w:tcW w:w="9015" w:type="dxa"/>
            <w:gridSpan w:val="4"/>
            <w:tcBorders>
              <w:top w:val="nil"/>
              <w:left w:val="nil"/>
              <w:bottom w:val="double" w:sz="5" w:space="0" w:color="auto"/>
              <w:right w:val="nil"/>
            </w:tcBorders>
            <w:tcMar>
              <w:top w:w="15" w:type="dxa"/>
              <w:left w:w="15" w:type="dxa"/>
              <w:right w:w="15" w:type="dxa"/>
            </w:tcMar>
            <w:vAlign w:val="bottom"/>
          </w:tcPr>
          <w:p w14:paraId="65E0A036" w14:textId="539D149D" w:rsidR="77A8D69F" w:rsidRDefault="77A8D69F" w:rsidP="001B3723">
            <w:pPr>
              <w:spacing w:after="0" w:line="480" w:lineRule="auto"/>
            </w:pPr>
            <w:r w:rsidRPr="77A8D69F">
              <w:rPr>
                <w:rFonts w:ascii="Aptos" w:eastAsia="Aptos" w:hAnsi="Aptos" w:cs="Aptos"/>
                <w:color w:val="000000" w:themeColor="text1"/>
              </w:rPr>
              <w:t>Demographic information per group</w:t>
            </w:r>
          </w:p>
        </w:tc>
      </w:tr>
      <w:tr w:rsidR="77A8D69F" w14:paraId="6FD76F85" w14:textId="77777777" w:rsidTr="77A8D69F">
        <w:trPr>
          <w:trHeight w:val="1170"/>
        </w:trPr>
        <w:tc>
          <w:tcPr>
            <w:tcW w:w="3654" w:type="dxa"/>
            <w:tcBorders>
              <w:top w:val="double" w:sz="5" w:space="0" w:color="auto"/>
              <w:left w:val="nil"/>
              <w:bottom w:val="single" w:sz="4" w:space="0" w:color="auto"/>
              <w:right w:val="nil"/>
            </w:tcBorders>
            <w:tcMar>
              <w:top w:w="15" w:type="dxa"/>
              <w:left w:w="15" w:type="dxa"/>
              <w:right w:w="15" w:type="dxa"/>
            </w:tcMar>
            <w:vAlign w:val="bottom"/>
          </w:tcPr>
          <w:p w14:paraId="2294DF58" w14:textId="66B7F337" w:rsidR="77A8D69F" w:rsidRDefault="77A8D69F" w:rsidP="001B3723">
            <w:pPr>
              <w:spacing w:after="0" w:line="480" w:lineRule="auto"/>
            </w:pPr>
            <w:r w:rsidRPr="77A8D69F">
              <w:rPr>
                <w:rFonts w:ascii="Aptos" w:eastAsia="Aptos" w:hAnsi="Aptos" w:cs="Aptos"/>
              </w:rPr>
              <w:t xml:space="preserve"> </w:t>
            </w:r>
          </w:p>
        </w:tc>
        <w:tc>
          <w:tcPr>
            <w:tcW w:w="1795" w:type="dxa"/>
            <w:tcBorders>
              <w:top w:val="nil"/>
              <w:left w:val="nil"/>
              <w:bottom w:val="single" w:sz="4" w:space="0" w:color="000000" w:themeColor="text1"/>
              <w:right w:val="nil"/>
            </w:tcBorders>
            <w:tcMar>
              <w:top w:w="15" w:type="dxa"/>
              <w:left w:w="15" w:type="dxa"/>
              <w:right w:w="15" w:type="dxa"/>
            </w:tcMar>
            <w:vAlign w:val="bottom"/>
          </w:tcPr>
          <w:p w14:paraId="0939D413" w14:textId="68719E53" w:rsidR="77A8D69F" w:rsidRDefault="77A8D69F" w:rsidP="001B3723">
            <w:pPr>
              <w:spacing w:after="0" w:line="480" w:lineRule="auto"/>
              <w:jc w:val="center"/>
            </w:pPr>
            <w:r w:rsidRPr="77A8D69F">
              <w:rPr>
                <w:rFonts w:ascii="Aptos" w:eastAsia="Aptos" w:hAnsi="Aptos" w:cs="Aptos"/>
                <w:color w:val="000000" w:themeColor="text1"/>
              </w:rPr>
              <w:t xml:space="preserve">Schizophrenia Spectrum Disorders </w:t>
            </w:r>
            <w:r>
              <w:br/>
            </w:r>
            <w:r w:rsidRPr="77A8D69F">
              <w:rPr>
                <w:rFonts w:ascii="Aptos" w:eastAsia="Aptos" w:hAnsi="Aptos" w:cs="Aptos"/>
                <w:color w:val="000000" w:themeColor="text1"/>
              </w:rPr>
              <w:t>(n = 103)</w:t>
            </w:r>
          </w:p>
        </w:tc>
        <w:tc>
          <w:tcPr>
            <w:tcW w:w="1785" w:type="dxa"/>
            <w:tcBorders>
              <w:top w:val="nil"/>
              <w:left w:val="nil"/>
              <w:bottom w:val="single" w:sz="4" w:space="0" w:color="000000" w:themeColor="text1"/>
              <w:right w:val="nil"/>
            </w:tcBorders>
            <w:tcMar>
              <w:top w:w="15" w:type="dxa"/>
              <w:left w:w="15" w:type="dxa"/>
              <w:right w:w="15" w:type="dxa"/>
            </w:tcMar>
            <w:vAlign w:val="bottom"/>
          </w:tcPr>
          <w:p w14:paraId="7DD10ED3" w14:textId="1E5783CD" w:rsidR="77A8D69F" w:rsidRDefault="77A8D69F" w:rsidP="001B3723">
            <w:pPr>
              <w:spacing w:after="0" w:line="480" w:lineRule="auto"/>
              <w:jc w:val="center"/>
            </w:pPr>
            <w:r w:rsidRPr="77A8D69F">
              <w:rPr>
                <w:rFonts w:ascii="Aptos" w:eastAsia="Aptos" w:hAnsi="Aptos" w:cs="Aptos"/>
                <w:color w:val="000000" w:themeColor="text1"/>
              </w:rPr>
              <w:t xml:space="preserve">Anxiety </w:t>
            </w:r>
            <w:r>
              <w:br/>
            </w:r>
            <w:r w:rsidRPr="77A8D69F">
              <w:rPr>
                <w:rFonts w:ascii="Aptos" w:eastAsia="Aptos" w:hAnsi="Aptos" w:cs="Aptos"/>
                <w:color w:val="000000" w:themeColor="text1"/>
              </w:rPr>
              <w:t xml:space="preserve">Disorders </w:t>
            </w:r>
            <w:r>
              <w:br/>
            </w:r>
            <w:r w:rsidRPr="77A8D69F">
              <w:rPr>
                <w:rFonts w:ascii="Aptos" w:eastAsia="Aptos" w:hAnsi="Aptos" w:cs="Aptos"/>
                <w:color w:val="000000" w:themeColor="text1"/>
              </w:rPr>
              <w:t>(n = 102)</w:t>
            </w:r>
          </w:p>
        </w:tc>
        <w:tc>
          <w:tcPr>
            <w:tcW w:w="1781" w:type="dxa"/>
            <w:tcBorders>
              <w:top w:val="nil"/>
              <w:left w:val="nil"/>
              <w:bottom w:val="single" w:sz="4" w:space="0" w:color="000000" w:themeColor="text1"/>
              <w:right w:val="nil"/>
            </w:tcBorders>
            <w:tcMar>
              <w:top w:w="15" w:type="dxa"/>
              <w:left w:w="15" w:type="dxa"/>
              <w:right w:w="15" w:type="dxa"/>
            </w:tcMar>
            <w:vAlign w:val="bottom"/>
          </w:tcPr>
          <w:p w14:paraId="15D43350" w14:textId="40F7408B" w:rsidR="77A8D69F" w:rsidRDefault="77A8D69F" w:rsidP="001B3723">
            <w:pPr>
              <w:spacing w:after="0" w:line="480" w:lineRule="auto"/>
              <w:jc w:val="center"/>
            </w:pPr>
            <w:r w:rsidRPr="77A8D69F">
              <w:rPr>
                <w:rFonts w:ascii="Aptos" w:eastAsia="Aptos" w:hAnsi="Aptos" w:cs="Aptos"/>
                <w:color w:val="000000" w:themeColor="text1"/>
              </w:rPr>
              <w:t xml:space="preserve">Non-Clinical Sample </w:t>
            </w:r>
            <w:r>
              <w:br/>
            </w:r>
            <w:r w:rsidRPr="77A8D69F">
              <w:rPr>
                <w:rFonts w:ascii="Aptos" w:eastAsia="Aptos" w:hAnsi="Aptos" w:cs="Aptos"/>
                <w:color w:val="000000" w:themeColor="text1"/>
              </w:rPr>
              <w:t>(n =102)</w:t>
            </w:r>
          </w:p>
        </w:tc>
      </w:tr>
      <w:tr w:rsidR="77A8D69F" w14:paraId="0689C3D4" w14:textId="77777777" w:rsidTr="77A8D69F">
        <w:trPr>
          <w:trHeight w:val="300"/>
        </w:trPr>
        <w:tc>
          <w:tcPr>
            <w:tcW w:w="3654" w:type="dxa"/>
            <w:tcBorders>
              <w:top w:val="single" w:sz="4" w:space="0" w:color="auto"/>
              <w:left w:val="nil"/>
              <w:bottom w:val="nil"/>
              <w:right w:val="nil"/>
            </w:tcBorders>
            <w:tcMar>
              <w:top w:w="15" w:type="dxa"/>
              <w:left w:w="15" w:type="dxa"/>
              <w:right w:w="15" w:type="dxa"/>
            </w:tcMar>
            <w:vAlign w:val="bottom"/>
          </w:tcPr>
          <w:p w14:paraId="249EA14D" w14:textId="4A2714FE" w:rsidR="77A8D69F" w:rsidRDefault="77A8D69F" w:rsidP="001B3723">
            <w:pPr>
              <w:spacing w:after="0" w:line="480" w:lineRule="auto"/>
            </w:pPr>
          </w:p>
        </w:tc>
        <w:tc>
          <w:tcPr>
            <w:tcW w:w="1795" w:type="dxa"/>
            <w:tcBorders>
              <w:top w:val="single" w:sz="4" w:space="0" w:color="000000" w:themeColor="text1"/>
              <w:left w:val="nil"/>
              <w:bottom w:val="nil"/>
              <w:right w:val="nil"/>
            </w:tcBorders>
            <w:tcMar>
              <w:top w:w="15" w:type="dxa"/>
              <w:left w:w="15" w:type="dxa"/>
              <w:right w:w="15" w:type="dxa"/>
            </w:tcMar>
            <w:vAlign w:val="bottom"/>
          </w:tcPr>
          <w:p w14:paraId="7AF91E03" w14:textId="7F350C69" w:rsidR="77A8D69F" w:rsidRDefault="77A8D69F" w:rsidP="001B3723">
            <w:pPr>
              <w:spacing w:after="0" w:line="480" w:lineRule="auto"/>
            </w:pPr>
          </w:p>
        </w:tc>
        <w:tc>
          <w:tcPr>
            <w:tcW w:w="1785" w:type="dxa"/>
            <w:tcBorders>
              <w:top w:val="single" w:sz="4" w:space="0" w:color="000000" w:themeColor="text1"/>
              <w:left w:val="nil"/>
              <w:bottom w:val="nil"/>
              <w:right w:val="nil"/>
            </w:tcBorders>
            <w:tcMar>
              <w:top w:w="15" w:type="dxa"/>
              <w:left w:w="15" w:type="dxa"/>
              <w:right w:w="15" w:type="dxa"/>
            </w:tcMar>
            <w:vAlign w:val="bottom"/>
          </w:tcPr>
          <w:p w14:paraId="131B3ADC" w14:textId="0BC0CA36" w:rsidR="77A8D69F" w:rsidRDefault="77A8D69F" w:rsidP="001B3723">
            <w:pPr>
              <w:spacing w:after="0" w:line="480" w:lineRule="auto"/>
            </w:pPr>
          </w:p>
        </w:tc>
        <w:tc>
          <w:tcPr>
            <w:tcW w:w="1781" w:type="dxa"/>
            <w:tcBorders>
              <w:top w:val="single" w:sz="4" w:space="0" w:color="000000" w:themeColor="text1"/>
              <w:left w:val="nil"/>
              <w:bottom w:val="nil"/>
              <w:right w:val="nil"/>
            </w:tcBorders>
            <w:tcMar>
              <w:top w:w="15" w:type="dxa"/>
              <w:left w:w="15" w:type="dxa"/>
              <w:right w:w="15" w:type="dxa"/>
            </w:tcMar>
            <w:vAlign w:val="bottom"/>
          </w:tcPr>
          <w:p w14:paraId="755E33FA" w14:textId="48BFB27D" w:rsidR="77A8D69F" w:rsidRDefault="77A8D69F" w:rsidP="001B3723">
            <w:pPr>
              <w:spacing w:after="0" w:line="480" w:lineRule="auto"/>
            </w:pPr>
          </w:p>
        </w:tc>
      </w:tr>
      <w:tr w:rsidR="77A8D69F" w14:paraId="6467FF1A"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2D0D5FBF" w14:textId="7D45EF04" w:rsidR="77A8D69F" w:rsidRDefault="77A8D69F" w:rsidP="001B3723">
            <w:pPr>
              <w:spacing w:after="0" w:line="480" w:lineRule="auto"/>
            </w:pPr>
            <w:r w:rsidRPr="77A8D69F">
              <w:rPr>
                <w:rFonts w:ascii="Aptos" w:eastAsia="Aptos" w:hAnsi="Aptos" w:cs="Aptos"/>
                <w:b/>
                <w:bCs/>
                <w:color w:val="000000" w:themeColor="text1"/>
              </w:rPr>
              <w:t>Age in Years (SD)</w:t>
            </w:r>
          </w:p>
        </w:tc>
        <w:tc>
          <w:tcPr>
            <w:tcW w:w="1795" w:type="dxa"/>
            <w:tcBorders>
              <w:top w:val="nil"/>
              <w:left w:val="nil"/>
              <w:bottom w:val="nil"/>
              <w:right w:val="nil"/>
            </w:tcBorders>
            <w:tcMar>
              <w:top w:w="15" w:type="dxa"/>
              <w:left w:w="15" w:type="dxa"/>
              <w:right w:w="15" w:type="dxa"/>
            </w:tcMar>
            <w:vAlign w:val="bottom"/>
          </w:tcPr>
          <w:p w14:paraId="5C425D8C" w14:textId="239F48D7" w:rsidR="77A8D69F" w:rsidRDefault="77A8D69F" w:rsidP="001B3723">
            <w:pPr>
              <w:spacing w:after="0" w:line="480" w:lineRule="auto"/>
              <w:jc w:val="center"/>
            </w:pPr>
            <w:r w:rsidRPr="77A8D69F">
              <w:rPr>
                <w:rFonts w:ascii="Aptos" w:eastAsia="Aptos" w:hAnsi="Aptos" w:cs="Aptos"/>
                <w:color w:val="000000" w:themeColor="text1"/>
              </w:rPr>
              <w:t>33.04 (10.57)</w:t>
            </w:r>
          </w:p>
        </w:tc>
        <w:tc>
          <w:tcPr>
            <w:tcW w:w="1785" w:type="dxa"/>
            <w:tcBorders>
              <w:top w:val="nil"/>
              <w:left w:val="nil"/>
              <w:bottom w:val="nil"/>
              <w:right w:val="nil"/>
            </w:tcBorders>
            <w:tcMar>
              <w:top w:w="15" w:type="dxa"/>
              <w:left w:w="15" w:type="dxa"/>
              <w:right w:w="15" w:type="dxa"/>
            </w:tcMar>
            <w:vAlign w:val="bottom"/>
          </w:tcPr>
          <w:p w14:paraId="6A3C9738" w14:textId="622C702D" w:rsidR="77A8D69F" w:rsidRDefault="77A8D69F" w:rsidP="001B3723">
            <w:pPr>
              <w:spacing w:after="0" w:line="480" w:lineRule="auto"/>
              <w:jc w:val="center"/>
            </w:pPr>
            <w:r w:rsidRPr="77A8D69F">
              <w:rPr>
                <w:rFonts w:ascii="Aptos" w:eastAsia="Aptos" w:hAnsi="Aptos" w:cs="Aptos"/>
                <w:color w:val="000000" w:themeColor="text1"/>
              </w:rPr>
              <w:t>42.17 (11.37)</w:t>
            </w:r>
          </w:p>
        </w:tc>
        <w:tc>
          <w:tcPr>
            <w:tcW w:w="1781" w:type="dxa"/>
            <w:tcBorders>
              <w:top w:val="nil"/>
              <w:left w:val="nil"/>
              <w:bottom w:val="nil"/>
              <w:right w:val="nil"/>
            </w:tcBorders>
            <w:tcMar>
              <w:top w:w="15" w:type="dxa"/>
              <w:left w:w="15" w:type="dxa"/>
              <w:right w:w="15" w:type="dxa"/>
            </w:tcMar>
            <w:vAlign w:val="bottom"/>
          </w:tcPr>
          <w:p w14:paraId="7DC6A1D7" w14:textId="0723B979" w:rsidR="77A8D69F" w:rsidRDefault="77A8D69F" w:rsidP="001B3723">
            <w:pPr>
              <w:spacing w:after="0" w:line="480" w:lineRule="auto"/>
              <w:jc w:val="center"/>
            </w:pPr>
            <w:r w:rsidRPr="77A8D69F">
              <w:rPr>
                <w:rFonts w:ascii="Aptos" w:eastAsia="Aptos" w:hAnsi="Aptos" w:cs="Aptos"/>
                <w:color w:val="000000" w:themeColor="text1"/>
              </w:rPr>
              <w:t>41.06 (13.34)</w:t>
            </w:r>
          </w:p>
        </w:tc>
      </w:tr>
      <w:tr w:rsidR="77A8D69F" w14:paraId="56EC4F68"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246FDD8F" w14:textId="3B14FE99" w:rsidR="77A8D69F" w:rsidRDefault="77A8D69F" w:rsidP="001B3723">
            <w:pPr>
              <w:spacing w:after="0" w:line="480" w:lineRule="auto"/>
            </w:pPr>
            <w:r w:rsidRPr="77A8D69F">
              <w:rPr>
                <w:rFonts w:ascii="Aptos" w:eastAsia="Aptos" w:hAnsi="Aptos" w:cs="Aptos"/>
                <w:b/>
                <w:bCs/>
                <w:color w:val="000000" w:themeColor="text1"/>
              </w:rPr>
              <w:t>Country of Residence (%)</w:t>
            </w:r>
          </w:p>
        </w:tc>
        <w:tc>
          <w:tcPr>
            <w:tcW w:w="1795" w:type="dxa"/>
            <w:tcBorders>
              <w:top w:val="nil"/>
              <w:left w:val="nil"/>
              <w:bottom w:val="nil"/>
              <w:right w:val="nil"/>
            </w:tcBorders>
            <w:tcMar>
              <w:top w:w="15" w:type="dxa"/>
              <w:left w:w="15" w:type="dxa"/>
              <w:right w:w="15" w:type="dxa"/>
            </w:tcMar>
            <w:vAlign w:val="bottom"/>
          </w:tcPr>
          <w:p w14:paraId="0545D386" w14:textId="1485D147" w:rsidR="77A8D69F" w:rsidRDefault="77A8D69F" w:rsidP="001B3723">
            <w:pPr>
              <w:spacing w:after="0" w:line="480" w:lineRule="auto"/>
            </w:pPr>
          </w:p>
        </w:tc>
        <w:tc>
          <w:tcPr>
            <w:tcW w:w="1785" w:type="dxa"/>
            <w:tcBorders>
              <w:top w:val="nil"/>
              <w:left w:val="nil"/>
              <w:bottom w:val="nil"/>
              <w:right w:val="nil"/>
            </w:tcBorders>
            <w:tcMar>
              <w:top w:w="15" w:type="dxa"/>
              <w:left w:w="15" w:type="dxa"/>
              <w:right w:w="15" w:type="dxa"/>
            </w:tcMar>
            <w:vAlign w:val="bottom"/>
          </w:tcPr>
          <w:p w14:paraId="1C3E3A6E" w14:textId="750056AD" w:rsidR="77A8D69F" w:rsidRDefault="77A8D69F" w:rsidP="001B3723">
            <w:pPr>
              <w:spacing w:after="0" w:line="480" w:lineRule="auto"/>
            </w:pPr>
          </w:p>
        </w:tc>
        <w:tc>
          <w:tcPr>
            <w:tcW w:w="1781" w:type="dxa"/>
            <w:tcBorders>
              <w:top w:val="nil"/>
              <w:left w:val="nil"/>
              <w:bottom w:val="nil"/>
              <w:right w:val="nil"/>
            </w:tcBorders>
            <w:tcMar>
              <w:top w:w="15" w:type="dxa"/>
              <w:left w:w="15" w:type="dxa"/>
              <w:right w:w="15" w:type="dxa"/>
            </w:tcMar>
            <w:vAlign w:val="bottom"/>
          </w:tcPr>
          <w:p w14:paraId="6DA3DC91" w14:textId="00AAE97C" w:rsidR="77A8D69F" w:rsidRDefault="77A8D69F" w:rsidP="001B3723">
            <w:pPr>
              <w:spacing w:after="0" w:line="480" w:lineRule="auto"/>
            </w:pPr>
          </w:p>
        </w:tc>
      </w:tr>
      <w:tr w:rsidR="77A8D69F" w14:paraId="00D0ED65"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62352E39" w14:textId="0561FE5F" w:rsidR="77A8D69F" w:rsidRDefault="77A8D69F" w:rsidP="001B3723">
            <w:pPr>
              <w:spacing w:after="0" w:line="480" w:lineRule="auto"/>
            </w:pPr>
            <w:r w:rsidRPr="77A8D69F">
              <w:rPr>
                <w:rFonts w:ascii="Aptos" w:eastAsia="Aptos" w:hAnsi="Aptos" w:cs="Aptos"/>
                <w:color w:val="000000" w:themeColor="text1"/>
              </w:rPr>
              <w:t xml:space="preserve">   UK</w:t>
            </w:r>
          </w:p>
        </w:tc>
        <w:tc>
          <w:tcPr>
            <w:tcW w:w="1795" w:type="dxa"/>
            <w:tcBorders>
              <w:top w:val="nil"/>
              <w:left w:val="nil"/>
              <w:bottom w:val="nil"/>
              <w:right w:val="nil"/>
            </w:tcBorders>
            <w:tcMar>
              <w:top w:w="15" w:type="dxa"/>
              <w:left w:w="15" w:type="dxa"/>
              <w:right w:w="15" w:type="dxa"/>
            </w:tcMar>
            <w:vAlign w:val="bottom"/>
          </w:tcPr>
          <w:p w14:paraId="121725D0" w14:textId="3733E22E" w:rsidR="77A8D69F" w:rsidRDefault="77A8D69F" w:rsidP="001B3723">
            <w:pPr>
              <w:spacing w:after="0" w:line="480" w:lineRule="auto"/>
              <w:jc w:val="center"/>
            </w:pPr>
            <w:r w:rsidRPr="77A8D69F">
              <w:rPr>
                <w:rFonts w:ascii="Aptos" w:eastAsia="Aptos" w:hAnsi="Aptos" w:cs="Aptos"/>
                <w:color w:val="000000" w:themeColor="text1"/>
              </w:rPr>
              <w:t>44.66</w:t>
            </w:r>
          </w:p>
        </w:tc>
        <w:tc>
          <w:tcPr>
            <w:tcW w:w="1785" w:type="dxa"/>
            <w:tcBorders>
              <w:top w:val="nil"/>
              <w:left w:val="nil"/>
              <w:bottom w:val="nil"/>
              <w:right w:val="nil"/>
            </w:tcBorders>
            <w:tcMar>
              <w:top w:w="15" w:type="dxa"/>
              <w:left w:w="15" w:type="dxa"/>
              <w:right w:w="15" w:type="dxa"/>
            </w:tcMar>
            <w:vAlign w:val="bottom"/>
          </w:tcPr>
          <w:p w14:paraId="566E48A7" w14:textId="75453106" w:rsidR="77A8D69F" w:rsidRDefault="77A8D69F" w:rsidP="001B3723">
            <w:pPr>
              <w:spacing w:after="0" w:line="480" w:lineRule="auto"/>
              <w:jc w:val="center"/>
            </w:pPr>
            <w:r w:rsidRPr="77A8D69F">
              <w:rPr>
                <w:rFonts w:ascii="Aptos" w:eastAsia="Aptos" w:hAnsi="Aptos" w:cs="Aptos"/>
                <w:color w:val="000000" w:themeColor="text1"/>
              </w:rPr>
              <w:t>100.00</w:t>
            </w:r>
          </w:p>
        </w:tc>
        <w:tc>
          <w:tcPr>
            <w:tcW w:w="1781" w:type="dxa"/>
            <w:tcBorders>
              <w:top w:val="nil"/>
              <w:left w:val="nil"/>
              <w:bottom w:val="nil"/>
              <w:right w:val="nil"/>
            </w:tcBorders>
            <w:tcMar>
              <w:top w:w="15" w:type="dxa"/>
              <w:left w:w="15" w:type="dxa"/>
              <w:right w:w="15" w:type="dxa"/>
            </w:tcMar>
            <w:vAlign w:val="bottom"/>
          </w:tcPr>
          <w:p w14:paraId="695D5DE7" w14:textId="7A34AD5F" w:rsidR="77A8D69F" w:rsidRDefault="77A8D69F" w:rsidP="001B3723">
            <w:pPr>
              <w:spacing w:after="0" w:line="480" w:lineRule="auto"/>
              <w:jc w:val="center"/>
            </w:pPr>
            <w:r w:rsidRPr="77A8D69F">
              <w:rPr>
                <w:rFonts w:ascii="Aptos" w:eastAsia="Aptos" w:hAnsi="Aptos" w:cs="Aptos"/>
                <w:color w:val="000000" w:themeColor="text1"/>
              </w:rPr>
              <w:t>100.00</w:t>
            </w:r>
          </w:p>
        </w:tc>
      </w:tr>
      <w:tr w:rsidR="77A8D69F" w14:paraId="15FFF688"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4FC95C37" w14:textId="1084BC20" w:rsidR="77A8D69F" w:rsidRDefault="77A8D69F" w:rsidP="001B3723">
            <w:pPr>
              <w:spacing w:after="0" w:line="480" w:lineRule="auto"/>
            </w:pPr>
            <w:r w:rsidRPr="77A8D69F">
              <w:rPr>
                <w:rFonts w:ascii="Aptos" w:eastAsia="Aptos" w:hAnsi="Aptos" w:cs="Aptos"/>
                <w:color w:val="000000" w:themeColor="text1"/>
              </w:rPr>
              <w:t xml:space="preserve">   USA</w:t>
            </w:r>
          </w:p>
        </w:tc>
        <w:tc>
          <w:tcPr>
            <w:tcW w:w="1795" w:type="dxa"/>
            <w:tcBorders>
              <w:top w:val="nil"/>
              <w:left w:val="nil"/>
              <w:bottom w:val="nil"/>
              <w:right w:val="nil"/>
            </w:tcBorders>
            <w:tcMar>
              <w:top w:w="15" w:type="dxa"/>
              <w:left w:w="15" w:type="dxa"/>
              <w:right w:w="15" w:type="dxa"/>
            </w:tcMar>
            <w:vAlign w:val="bottom"/>
          </w:tcPr>
          <w:p w14:paraId="4E163F6C" w14:textId="7855F555" w:rsidR="77A8D69F" w:rsidRDefault="77A8D69F" w:rsidP="001B3723">
            <w:pPr>
              <w:spacing w:after="0" w:line="480" w:lineRule="auto"/>
              <w:jc w:val="center"/>
            </w:pPr>
            <w:r w:rsidRPr="77A8D69F">
              <w:rPr>
                <w:rFonts w:ascii="Aptos" w:eastAsia="Aptos" w:hAnsi="Aptos" w:cs="Aptos"/>
                <w:color w:val="000000" w:themeColor="text1"/>
              </w:rPr>
              <w:t>55.33</w:t>
            </w:r>
          </w:p>
        </w:tc>
        <w:tc>
          <w:tcPr>
            <w:tcW w:w="1785" w:type="dxa"/>
            <w:tcBorders>
              <w:top w:val="nil"/>
              <w:left w:val="nil"/>
              <w:bottom w:val="nil"/>
              <w:right w:val="nil"/>
            </w:tcBorders>
            <w:tcMar>
              <w:top w:w="15" w:type="dxa"/>
              <w:left w:w="15" w:type="dxa"/>
              <w:right w:w="15" w:type="dxa"/>
            </w:tcMar>
            <w:vAlign w:val="bottom"/>
          </w:tcPr>
          <w:p w14:paraId="3B357798" w14:textId="166C5C74" w:rsidR="77A8D69F" w:rsidRDefault="77A8D69F" w:rsidP="001B3723">
            <w:pPr>
              <w:spacing w:after="0" w:line="480" w:lineRule="auto"/>
              <w:jc w:val="center"/>
            </w:pPr>
            <w:r w:rsidRPr="77A8D69F">
              <w:rPr>
                <w:rFonts w:ascii="Aptos" w:eastAsia="Aptos" w:hAnsi="Aptos" w:cs="Aptos"/>
                <w:color w:val="000000" w:themeColor="text1"/>
              </w:rPr>
              <w:t>0.00</w:t>
            </w:r>
          </w:p>
        </w:tc>
        <w:tc>
          <w:tcPr>
            <w:tcW w:w="1781" w:type="dxa"/>
            <w:tcBorders>
              <w:top w:val="nil"/>
              <w:left w:val="nil"/>
              <w:bottom w:val="nil"/>
              <w:right w:val="nil"/>
            </w:tcBorders>
            <w:tcMar>
              <w:top w:w="15" w:type="dxa"/>
              <w:left w:w="15" w:type="dxa"/>
              <w:right w:w="15" w:type="dxa"/>
            </w:tcMar>
            <w:vAlign w:val="bottom"/>
          </w:tcPr>
          <w:p w14:paraId="1699AECC" w14:textId="62542DD0" w:rsidR="77A8D69F" w:rsidRDefault="77A8D69F" w:rsidP="001B3723">
            <w:pPr>
              <w:spacing w:after="0" w:line="480" w:lineRule="auto"/>
              <w:jc w:val="center"/>
            </w:pPr>
            <w:r w:rsidRPr="77A8D69F">
              <w:rPr>
                <w:rFonts w:ascii="Aptos" w:eastAsia="Aptos" w:hAnsi="Aptos" w:cs="Aptos"/>
                <w:color w:val="000000" w:themeColor="text1"/>
              </w:rPr>
              <w:t>0.00</w:t>
            </w:r>
          </w:p>
        </w:tc>
      </w:tr>
      <w:tr w:rsidR="77A8D69F" w14:paraId="14A72803"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777C9448" w14:textId="71AF6718" w:rsidR="77A8D69F" w:rsidRDefault="77A8D69F" w:rsidP="001B3723">
            <w:pPr>
              <w:spacing w:after="0" w:line="480" w:lineRule="auto"/>
            </w:pPr>
            <w:r w:rsidRPr="77A8D69F">
              <w:rPr>
                <w:rFonts w:ascii="Aptos" w:eastAsia="Aptos" w:hAnsi="Aptos" w:cs="Aptos"/>
                <w:b/>
                <w:bCs/>
                <w:color w:val="000000" w:themeColor="text1"/>
              </w:rPr>
              <w:t>Education (%)</w:t>
            </w:r>
          </w:p>
        </w:tc>
        <w:tc>
          <w:tcPr>
            <w:tcW w:w="1795" w:type="dxa"/>
            <w:tcBorders>
              <w:top w:val="nil"/>
              <w:left w:val="nil"/>
              <w:bottom w:val="nil"/>
              <w:right w:val="nil"/>
            </w:tcBorders>
            <w:tcMar>
              <w:top w:w="15" w:type="dxa"/>
              <w:left w:w="15" w:type="dxa"/>
              <w:right w:w="15" w:type="dxa"/>
            </w:tcMar>
            <w:vAlign w:val="bottom"/>
          </w:tcPr>
          <w:p w14:paraId="4D296850" w14:textId="1DD83333" w:rsidR="77A8D69F" w:rsidRDefault="77A8D69F" w:rsidP="001B3723">
            <w:pPr>
              <w:spacing w:after="0" w:line="480" w:lineRule="auto"/>
            </w:pPr>
          </w:p>
        </w:tc>
        <w:tc>
          <w:tcPr>
            <w:tcW w:w="1785" w:type="dxa"/>
            <w:tcBorders>
              <w:top w:val="nil"/>
              <w:left w:val="nil"/>
              <w:bottom w:val="nil"/>
              <w:right w:val="nil"/>
            </w:tcBorders>
            <w:tcMar>
              <w:top w:w="15" w:type="dxa"/>
              <w:left w:w="15" w:type="dxa"/>
              <w:right w:w="15" w:type="dxa"/>
            </w:tcMar>
            <w:vAlign w:val="bottom"/>
          </w:tcPr>
          <w:p w14:paraId="1959FB89" w14:textId="296D5EE1" w:rsidR="77A8D69F" w:rsidRDefault="77A8D69F" w:rsidP="001B3723">
            <w:pPr>
              <w:spacing w:after="0" w:line="480" w:lineRule="auto"/>
            </w:pPr>
          </w:p>
        </w:tc>
        <w:tc>
          <w:tcPr>
            <w:tcW w:w="1781" w:type="dxa"/>
            <w:tcBorders>
              <w:top w:val="nil"/>
              <w:left w:val="nil"/>
              <w:bottom w:val="nil"/>
              <w:right w:val="nil"/>
            </w:tcBorders>
            <w:tcMar>
              <w:top w:w="15" w:type="dxa"/>
              <w:left w:w="15" w:type="dxa"/>
              <w:right w:w="15" w:type="dxa"/>
            </w:tcMar>
            <w:vAlign w:val="bottom"/>
          </w:tcPr>
          <w:p w14:paraId="20C50009" w14:textId="2DE09E02" w:rsidR="77A8D69F" w:rsidRDefault="77A8D69F" w:rsidP="001B3723">
            <w:pPr>
              <w:spacing w:after="0" w:line="480" w:lineRule="auto"/>
            </w:pPr>
          </w:p>
        </w:tc>
      </w:tr>
      <w:tr w:rsidR="77A8D69F" w14:paraId="5E4256BE"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0F49296B" w14:textId="29080066" w:rsidR="77A8D69F" w:rsidRDefault="77A8D69F" w:rsidP="001B3723">
            <w:pPr>
              <w:spacing w:after="0" w:line="480" w:lineRule="auto"/>
            </w:pPr>
            <w:r w:rsidRPr="77A8D69F">
              <w:rPr>
                <w:rFonts w:ascii="Aptos" w:eastAsia="Aptos" w:hAnsi="Aptos" w:cs="Aptos"/>
                <w:b/>
                <w:bCs/>
                <w:color w:val="000000" w:themeColor="text1"/>
              </w:rPr>
              <w:t xml:space="preserve">   </w:t>
            </w:r>
            <w:r w:rsidRPr="77A8D69F">
              <w:rPr>
                <w:rFonts w:ascii="Aptos" w:eastAsia="Aptos" w:hAnsi="Aptos" w:cs="Aptos"/>
                <w:color w:val="000000" w:themeColor="text1"/>
              </w:rPr>
              <w:t>Primary</w:t>
            </w:r>
          </w:p>
        </w:tc>
        <w:tc>
          <w:tcPr>
            <w:tcW w:w="1795" w:type="dxa"/>
            <w:tcBorders>
              <w:top w:val="nil"/>
              <w:left w:val="nil"/>
              <w:bottom w:val="nil"/>
              <w:right w:val="nil"/>
            </w:tcBorders>
            <w:tcMar>
              <w:top w:w="15" w:type="dxa"/>
              <w:left w:w="15" w:type="dxa"/>
              <w:right w:w="15" w:type="dxa"/>
            </w:tcMar>
            <w:vAlign w:val="bottom"/>
          </w:tcPr>
          <w:p w14:paraId="0CEB02AC" w14:textId="0D008E4B" w:rsidR="77A8D69F" w:rsidRDefault="77A8D69F" w:rsidP="001B3723">
            <w:pPr>
              <w:spacing w:after="0" w:line="480" w:lineRule="auto"/>
              <w:jc w:val="center"/>
            </w:pPr>
            <w:r w:rsidRPr="77A8D69F">
              <w:rPr>
                <w:rFonts w:ascii="Aptos" w:eastAsia="Aptos" w:hAnsi="Aptos" w:cs="Aptos"/>
                <w:color w:val="000000" w:themeColor="text1"/>
              </w:rPr>
              <w:t>1.00</w:t>
            </w:r>
          </w:p>
        </w:tc>
        <w:tc>
          <w:tcPr>
            <w:tcW w:w="1785" w:type="dxa"/>
            <w:tcBorders>
              <w:top w:val="nil"/>
              <w:left w:val="nil"/>
              <w:bottom w:val="nil"/>
              <w:right w:val="nil"/>
            </w:tcBorders>
            <w:tcMar>
              <w:top w:w="15" w:type="dxa"/>
              <w:left w:w="15" w:type="dxa"/>
              <w:right w:w="15" w:type="dxa"/>
            </w:tcMar>
            <w:vAlign w:val="bottom"/>
          </w:tcPr>
          <w:p w14:paraId="62893B3D" w14:textId="208B89FB" w:rsidR="77A8D69F" w:rsidRDefault="77A8D69F" w:rsidP="001B3723">
            <w:pPr>
              <w:spacing w:after="0" w:line="480" w:lineRule="auto"/>
              <w:jc w:val="center"/>
            </w:pPr>
            <w:r w:rsidRPr="77A8D69F">
              <w:rPr>
                <w:rFonts w:ascii="Aptos" w:eastAsia="Aptos" w:hAnsi="Aptos" w:cs="Aptos"/>
                <w:color w:val="000000" w:themeColor="text1"/>
              </w:rPr>
              <w:t>0.00</w:t>
            </w:r>
          </w:p>
        </w:tc>
        <w:tc>
          <w:tcPr>
            <w:tcW w:w="1781" w:type="dxa"/>
            <w:tcBorders>
              <w:top w:val="nil"/>
              <w:left w:val="nil"/>
              <w:bottom w:val="nil"/>
              <w:right w:val="nil"/>
            </w:tcBorders>
            <w:tcMar>
              <w:top w:w="15" w:type="dxa"/>
              <w:left w:w="15" w:type="dxa"/>
              <w:right w:w="15" w:type="dxa"/>
            </w:tcMar>
            <w:vAlign w:val="bottom"/>
          </w:tcPr>
          <w:p w14:paraId="7B58D619" w14:textId="71392A38" w:rsidR="77A8D69F" w:rsidRDefault="77A8D69F" w:rsidP="001B3723">
            <w:pPr>
              <w:spacing w:after="0" w:line="480" w:lineRule="auto"/>
              <w:jc w:val="center"/>
            </w:pPr>
            <w:r w:rsidRPr="77A8D69F">
              <w:rPr>
                <w:rFonts w:ascii="Aptos" w:eastAsia="Aptos" w:hAnsi="Aptos" w:cs="Aptos"/>
                <w:color w:val="000000" w:themeColor="text1"/>
              </w:rPr>
              <w:t>0.00</w:t>
            </w:r>
          </w:p>
        </w:tc>
      </w:tr>
      <w:tr w:rsidR="77A8D69F" w14:paraId="3E9056E9"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398365D9" w14:textId="44C8101A" w:rsidR="77A8D69F" w:rsidRDefault="77A8D69F" w:rsidP="001B3723">
            <w:pPr>
              <w:spacing w:after="0" w:line="480" w:lineRule="auto"/>
            </w:pPr>
            <w:r w:rsidRPr="77A8D69F">
              <w:rPr>
                <w:rFonts w:ascii="Aptos" w:eastAsia="Aptos" w:hAnsi="Aptos" w:cs="Aptos"/>
                <w:color w:val="000000" w:themeColor="text1"/>
              </w:rPr>
              <w:t xml:space="preserve">   Partial Secondary</w:t>
            </w:r>
          </w:p>
        </w:tc>
        <w:tc>
          <w:tcPr>
            <w:tcW w:w="1795" w:type="dxa"/>
            <w:tcBorders>
              <w:top w:val="nil"/>
              <w:left w:val="nil"/>
              <w:bottom w:val="nil"/>
              <w:right w:val="nil"/>
            </w:tcBorders>
            <w:tcMar>
              <w:top w:w="15" w:type="dxa"/>
              <w:left w:w="15" w:type="dxa"/>
              <w:right w:w="15" w:type="dxa"/>
            </w:tcMar>
            <w:vAlign w:val="bottom"/>
          </w:tcPr>
          <w:p w14:paraId="26284EEC" w14:textId="3BA657C8" w:rsidR="77A8D69F" w:rsidRDefault="77A8D69F" w:rsidP="001B3723">
            <w:pPr>
              <w:spacing w:after="0" w:line="480" w:lineRule="auto"/>
              <w:jc w:val="center"/>
            </w:pPr>
            <w:r w:rsidRPr="77A8D69F">
              <w:rPr>
                <w:rFonts w:ascii="Aptos" w:eastAsia="Aptos" w:hAnsi="Aptos" w:cs="Aptos"/>
                <w:color w:val="000000" w:themeColor="text1"/>
              </w:rPr>
              <w:t>1.90</w:t>
            </w:r>
          </w:p>
        </w:tc>
        <w:tc>
          <w:tcPr>
            <w:tcW w:w="1785" w:type="dxa"/>
            <w:tcBorders>
              <w:top w:val="nil"/>
              <w:left w:val="nil"/>
              <w:bottom w:val="nil"/>
              <w:right w:val="nil"/>
            </w:tcBorders>
            <w:tcMar>
              <w:top w:w="15" w:type="dxa"/>
              <w:left w:w="15" w:type="dxa"/>
              <w:right w:w="15" w:type="dxa"/>
            </w:tcMar>
            <w:vAlign w:val="bottom"/>
          </w:tcPr>
          <w:p w14:paraId="67ECB8A3" w14:textId="5318AC1E" w:rsidR="77A8D69F" w:rsidRDefault="77A8D69F" w:rsidP="001B3723">
            <w:pPr>
              <w:spacing w:after="0" w:line="480" w:lineRule="auto"/>
              <w:jc w:val="center"/>
            </w:pPr>
            <w:r w:rsidRPr="77A8D69F">
              <w:rPr>
                <w:rFonts w:ascii="Aptos" w:eastAsia="Aptos" w:hAnsi="Aptos" w:cs="Aptos"/>
                <w:color w:val="000000" w:themeColor="text1"/>
              </w:rPr>
              <w:t>1.00</w:t>
            </w:r>
          </w:p>
        </w:tc>
        <w:tc>
          <w:tcPr>
            <w:tcW w:w="1781" w:type="dxa"/>
            <w:tcBorders>
              <w:top w:val="nil"/>
              <w:left w:val="nil"/>
              <w:bottom w:val="nil"/>
              <w:right w:val="nil"/>
            </w:tcBorders>
            <w:tcMar>
              <w:top w:w="15" w:type="dxa"/>
              <w:left w:w="15" w:type="dxa"/>
              <w:right w:w="15" w:type="dxa"/>
            </w:tcMar>
            <w:vAlign w:val="bottom"/>
          </w:tcPr>
          <w:p w14:paraId="768B52DE" w14:textId="79E99D82" w:rsidR="77A8D69F" w:rsidRDefault="77A8D69F" w:rsidP="001B3723">
            <w:pPr>
              <w:spacing w:after="0" w:line="480" w:lineRule="auto"/>
              <w:jc w:val="center"/>
            </w:pPr>
            <w:r w:rsidRPr="77A8D69F">
              <w:rPr>
                <w:rFonts w:ascii="Aptos" w:eastAsia="Aptos" w:hAnsi="Aptos" w:cs="Aptos"/>
                <w:color w:val="000000" w:themeColor="text1"/>
              </w:rPr>
              <w:t>1.00</w:t>
            </w:r>
          </w:p>
        </w:tc>
      </w:tr>
      <w:tr w:rsidR="77A8D69F" w14:paraId="4B867357"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440DFEA0" w14:textId="381F94DB" w:rsidR="77A8D69F" w:rsidRDefault="77A8D69F" w:rsidP="001B3723">
            <w:pPr>
              <w:spacing w:after="0" w:line="480" w:lineRule="auto"/>
            </w:pPr>
            <w:r w:rsidRPr="77A8D69F">
              <w:rPr>
                <w:rFonts w:ascii="Aptos" w:eastAsia="Aptos" w:hAnsi="Aptos" w:cs="Aptos"/>
                <w:color w:val="000000" w:themeColor="text1"/>
              </w:rPr>
              <w:t xml:space="preserve">   Secondary</w:t>
            </w:r>
          </w:p>
        </w:tc>
        <w:tc>
          <w:tcPr>
            <w:tcW w:w="1795" w:type="dxa"/>
            <w:tcBorders>
              <w:top w:val="nil"/>
              <w:left w:val="nil"/>
              <w:bottom w:val="nil"/>
              <w:right w:val="nil"/>
            </w:tcBorders>
            <w:tcMar>
              <w:top w:w="15" w:type="dxa"/>
              <w:left w:w="15" w:type="dxa"/>
              <w:right w:w="15" w:type="dxa"/>
            </w:tcMar>
            <w:vAlign w:val="bottom"/>
          </w:tcPr>
          <w:p w14:paraId="0E2BE4B9" w14:textId="5DA7E12E" w:rsidR="77A8D69F" w:rsidRDefault="77A8D69F" w:rsidP="001B3723">
            <w:pPr>
              <w:spacing w:after="0" w:line="480" w:lineRule="auto"/>
              <w:jc w:val="center"/>
            </w:pPr>
            <w:r w:rsidRPr="77A8D69F">
              <w:rPr>
                <w:rFonts w:ascii="Aptos" w:eastAsia="Aptos" w:hAnsi="Aptos" w:cs="Aptos"/>
                <w:color w:val="000000" w:themeColor="text1"/>
              </w:rPr>
              <w:t>33.00</w:t>
            </w:r>
          </w:p>
        </w:tc>
        <w:tc>
          <w:tcPr>
            <w:tcW w:w="1785" w:type="dxa"/>
            <w:tcBorders>
              <w:top w:val="nil"/>
              <w:left w:val="nil"/>
              <w:bottom w:val="nil"/>
              <w:right w:val="nil"/>
            </w:tcBorders>
            <w:tcMar>
              <w:top w:w="15" w:type="dxa"/>
              <w:left w:w="15" w:type="dxa"/>
              <w:right w:w="15" w:type="dxa"/>
            </w:tcMar>
            <w:vAlign w:val="bottom"/>
          </w:tcPr>
          <w:p w14:paraId="324FBDCD" w14:textId="21455D3D" w:rsidR="77A8D69F" w:rsidRDefault="77A8D69F" w:rsidP="001B3723">
            <w:pPr>
              <w:spacing w:after="0" w:line="480" w:lineRule="auto"/>
              <w:jc w:val="center"/>
            </w:pPr>
            <w:r w:rsidRPr="77A8D69F">
              <w:rPr>
                <w:rFonts w:ascii="Aptos" w:eastAsia="Aptos" w:hAnsi="Aptos" w:cs="Aptos"/>
                <w:color w:val="000000" w:themeColor="text1"/>
              </w:rPr>
              <w:t>10.80</w:t>
            </w:r>
          </w:p>
        </w:tc>
        <w:tc>
          <w:tcPr>
            <w:tcW w:w="1781" w:type="dxa"/>
            <w:tcBorders>
              <w:top w:val="nil"/>
              <w:left w:val="nil"/>
              <w:bottom w:val="nil"/>
              <w:right w:val="nil"/>
            </w:tcBorders>
            <w:tcMar>
              <w:top w:w="15" w:type="dxa"/>
              <w:left w:w="15" w:type="dxa"/>
              <w:right w:w="15" w:type="dxa"/>
            </w:tcMar>
            <w:vAlign w:val="bottom"/>
          </w:tcPr>
          <w:p w14:paraId="7117004D" w14:textId="0B504B1F" w:rsidR="77A8D69F" w:rsidRDefault="77A8D69F" w:rsidP="001B3723">
            <w:pPr>
              <w:spacing w:after="0" w:line="480" w:lineRule="auto"/>
              <w:jc w:val="center"/>
            </w:pPr>
            <w:r w:rsidRPr="77A8D69F">
              <w:rPr>
                <w:rFonts w:ascii="Aptos" w:eastAsia="Aptos" w:hAnsi="Aptos" w:cs="Aptos"/>
                <w:color w:val="000000" w:themeColor="text1"/>
              </w:rPr>
              <w:t>15.70</w:t>
            </w:r>
          </w:p>
        </w:tc>
      </w:tr>
      <w:tr w:rsidR="77A8D69F" w14:paraId="0D2476F1"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3CFF0DE8" w14:textId="7E18C7F4" w:rsidR="77A8D69F" w:rsidRDefault="77A8D69F" w:rsidP="001B3723">
            <w:pPr>
              <w:spacing w:after="0" w:line="480" w:lineRule="auto"/>
            </w:pPr>
            <w:r w:rsidRPr="77A8D69F">
              <w:rPr>
                <w:rFonts w:ascii="Aptos" w:eastAsia="Aptos" w:hAnsi="Aptos" w:cs="Aptos"/>
                <w:color w:val="000000" w:themeColor="text1"/>
              </w:rPr>
              <w:lastRenderedPageBreak/>
              <w:t xml:space="preserve">   Post Secondary</w:t>
            </w:r>
          </w:p>
        </w:tc>
        <w:tc>
          <w:tcPr>
            <w:tcW w:w="1795" w:type="dxa"/>
            <w:tcBorders>
              <w:top w:val="nil"/>
              <w:left w:val="nil"/>
              <w:bottom w:val="nil"/>
              <w:right w:val="nil"/>
            </w:tcBorders>
            <w:tcMar>
              <w:top w:w="15" w:type="dxa"/>
              <w:left w:w="15" w:type="dxa"/>
              <w:right w:w="15" w:type="dxa"/>
            </w:tcMar>
            <w:vAlign w:val="bottom"/>
          </w:tcPr>
          <w:p w14:paraId="4DFE5F4F" w14:textId="47409F34" w:rsidR="77A8D69F" w:rsidRDefault="77A8D69F" w:rsidP="001B3723">
            <w:pPr>
              <w:spacing w:after="0" w:line="480" w:lineRule="auto"/>
              <w:jc w:val="center"/>
            </w:pPr>
            <w:r w:rsidRPr="77A8D69F">
              <w:rPr>
                <w:rFonts w:ascii="Aptos" w:eastAsia="Aptos" w:hAnsi="Aptos" w:cs="Aptos"/>
                <w:color w:val="000000" w:themeColor="text1"/>
              </w:rPr>
              <w:t>17.50</w:t>
            </w:r>
          </w:p>
        </w:tc>
        <w:tc>
          <w:tcPr>
            <w:tcW w:w="1785" w:type="dxa"/>
            <w:tcBorders>
              <w:top w:val="nil"/>
              <w:left w:val="nil"/>
              <w:bottom w:val="nil"/>
              <w:right w:val="nil"/>
            </w:tcBorders>
            <w:tcMar>
              <w:top w:w="15" w:type="dxa"/>
              <w:left w:w="15" w:type="dxa"/>
              <w:right w:w="15" w:type="dxa"/>
            </w:tcMar>
            <w:vAlign w:val="bottom"/>
          </w:tcPr>
          <w:p w14:paraId="023641C9" w14:textId="6376BEC5" w:rsidR="77A8D69F" w:rsidRDefault="77A8D69F" w:rsidP="001B3723">
            <w:pPr>
              <w:spacing w:after="0" w:line="480" w:lineRule="auto"/>
              <w:jc w:val="center"/>
            </w:pPr>
            <w:r w:rsidRPr="77A8D69F">
              <w:rPr>
                <w:rFonts w:ascii="Aptos" w:eastAsia="Aptos" w:hAnsi="Aptos" w:cs="Aptos"/>
                <w:color w:val="000000" w:themeColor="text1"/>
              </w:rPr>
              <w:t>28.40</w:t>
            </w:r>
          </w:p>
        </w:tc>
        <w:tc>
          <w:tcPr>
            <w:tcW w:w="1781" w:type="dxa"/>
            <w:tcBorders>
              <w:top w:val="nil"/>
              <w:left w:val="nil"/>
              <w:bottom w:val="nil"/>
              <w:right w:val="nil"/>
            </w:tcBorders>
            <w:tcMar>
              <w:top w:w="15" w:type="dxa"/>
              <w:left w:w="15" w:type="dxa"/>
              <w:right w:w="15" w:type="dxa"/>
            </w:tcMar>
            <w:vAlign w:val="bottom"/>
          </w:tcPr>
          <w:p w14:paraId="0084D739" w14:textId="48E68D2B" w:rsidR="77A8D69F" w:rsidRDefault="77A8D69F" w:rsidP="001B3723">
            <w:pPr>
              <w:spacing w:after="0" w:line="480" w:lineRule="auto"/>
              <w:jc w:val="center"/>
            </w:pPr>
            <w:r w:rsidRPr="77A8D69F">
              <w:rPr>
                <w:rFonts w:ascii="Aptos" w:eastAsia="Aptos" w:hAnsi="Aptos" w:cs="Aptos"/>
                <w:color w:val="000000" w:themeColor="text1"/>
              </w:rPr>
              <w:t>17.60</w:t>
            </w:r>
          </w:p>
        </w:tc>
      </w:tr>
      <w:tr w:rsidR="77A8D69F" w14:paraId="19A8DFBE"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09B9EFF0" w14:textId="503A233A" w:rsidR="77A8D69F" w:rsidRDefault="77A8D69F" w:rsidP="001B3723">
            <w:pPr>
              <w:spacing w:after="0" w:line="480" w:lineRule="auto"/>
            </w:pPr>
            <w:r w:rsidRPr="77A8D69F">
              <w:rPr>
                <w:rFonts w:ascii="Aptos" w:eastAsia="Aptos" w:hAnsi="Aptos" w:cs="Aptos"/>
                <w:color w:val="000000" w:themeColor="text1"/>
              </w:rPr>
              <w:t xml:space="preserve">   University Undergraduate</w:t>
            </w:r>
          </w:p>
        </w:tc>
        <w:tc>
          <w:tcPr>
            <w:tcW w:w="1795" w:type="dxa"/>
            <w:tcBorders>
              <w:top w:val="nil"/>
              <w:left w:val="nil"/>
              <w:bottom w:val="nil"/>
              <w:right w:val="nil"/>
            </w:tcBorders>
            <w:tcMar>
              <w:top w:w="15" w:type="dxa"/>
              <w:left w:w="15" w:type="dxa"/>
              <w:right w:w="15" w:type="dxa"/>
            </w:tcMar>
            <w:vAlign w:val="bottom"/>
          </w:tcPr>
          <w:p w14:paraId="646A4A2B" w14:textId="38D37CF9" w:rsidR="77A8D69F" w:rsidRDefault="77A8D69F" w:rsidP="001B3723">
            <w:pPr>
              <w:spacing w:after="0" w:line="480" w:lineRule="auto"/>
              <w:jc w:val="center"/>
            </w:pPr>
            <w:r w:rsidRPr="77A8D69F">
              <w:rPr>
                <w:rFonts w:ascii="Aptos" w:eastAsia="Aptos" w:hAnsi="Aptos" w:cs="Aptos"/>
                <w:color w:val="000000" w:themeColor="text1"/>
              </w:rPr>
              <w:t>35.00</w:t>
            </w:r>
          </w:p>
        </w:tc>
        <w:tc>
          <w:tcPr>
            <w:tcW w:w="1785" w:type="dxa"/>
            <w:tcBorders>
              <w:top w:val="nil"/>
              <w:left w:val="nil"/>
              <w:bottom w:val="nil"/>
              <w:right w:val="nil"/>
            </w:tcBorders>
            <w:tcMar>
              <w:top w:w="15" w:type="dxa"/>
              <w:left w:w="15" w:type="dxa"/>
              <w:right w:w="15" w:type="dxa"/>
            </w:tcMar>
            <w:vAlign w:val="bottom"/>
          </w:tcPr>
          <w:p w14:paraId="32F7AF28" w14:textId="71731279" w:rsidR="77A8D69F" w:rsidRDefault="77A8D69F" w:rsidP="001B3723">
            <w:pPr>
              <w:spacing w:after="0" w:line="480" w:lineRule="auto"/>
              <w:jc w:val="center"/>
            </w:pPr>
            <w:r w:rsidRPr="77A8D69F">
              <w:rPr>
                <w:rFonts w:ascii="Aptos" w:eastAsia="Aptos" w:hAnsi="Aptos" w:cs="Aptos"/>
                <w:color w:val="000000" w:themeColor="text1"/>
              </w:rPr>
              <w:t>41.20</w:t>
            </w:r>
          </w:p>
        </w:tc>
        <w:tc>
          <w:tcPr>
            <w:tcW w:w="1781" w:type="dxa"/>
            <w:tcBorders>
              <w:top w:val="nil"/>
              <w:left w:val="nil"/>
              <w:bottom w:val="nil"/>
              <w:right w:val="nil"/>
            </w:tcBorders>
            <w:tcMar>
              <w:top w:w="15" w:type="dxa"/>
              <w:left w:w="15" w:type="dxa"/>
              <w:right w:w="15" w:type="dxa"/>
            </w:tcMar>
            <w:vAlign w:val="bottom"/>
          </w:tcPr>
          <w:p w14:paraId="0C888C0B" w14:textId="300AE3F3" w:rsidR="77A8D69F" w:rsidRDefault="77A8D69F" w:rsidP="001B3723">
            <w:pPr>
              <w:spacing w:after="0" w:line="480" w:lineRule="auto"/>
              <w:jc w:val="center"/>
            </w:pPr>
            <w:r w:rsidRPr="77A8D69F">
              <w:rPr>
                <w:rFonts w:ascii="Aptos" w:eastAsia="Aptos" w:hAnsi="Aptos" w:cs="Aptos"/>
                <w:color w:val="000000" w:themeColor="text1"/>
              </w:rPr>
              <w:t>49.00</w:t>
            </w:r>
          </w:p>
        </w:tc>
      </w:tr>
      <w:tr w:rsidR="77A8D69F" w14:paraId="6FBF4BF6"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533C7594" w14:textId="6C25A73A" w:rsidR="77A8D69F" w:rsidRDefault="77A8D69F" w:rsidP="001B3723">
            <w:pPr>
              <w:spacing w:after="0" w:line="480" w:lineRule="auto"/>
            </w:pPr>
            <w:r w:rsidRPr="77A8D69F">
              <w:rPr>
                <w:rFonts w:ascii="Aptos" w:eastAsia="Aptos" w:hAnsi="Aptos" w:cs="Aptos"/>
                <w:color w:val="000000" w:themeColor="text1"/>
              </w:rPr>
              <w:t xml:space="preserve">   University Postgraduate</w:t>
            </w:r>
          </w:p>
        </w:tc>
        <w:tc>
          <w:tcPr>
            <w:tcW w:w="1795" w:type="dxa"/>
            <w:tcBorders>
              <w:top w:val="nil"/>
              <w:left w:val="nil"/>
              <w:bottom w:val="nil"/>
              <w:right w:val="nil"/>
            </w:tcBorders>
            <w:tcMar>
              <w:top w:w="15" w:type="dxa"/>
              <w:left w:w="15" w:type="dxa"/>
              <w:right w:w="15" w:type="dxa"/>
            </w:tcMar>
            <w:vAlign w:val="bottom"/>
          </w:tcPr>
          <w:p w14:paraId="648668E5" w14:textId="559AE59D" w:rsidR="77A8D69F" w:rsidRDefault="77A8D69F" w:rsidP="001B3723">
            <w:pPr>
              <w:spacing w:after="0" w:line="480" w:lineRule="auto"/>
              <w:jc w:val="center"/>
            </w:pPr>
            <w:r w:rsidRPr="77A8D69F">
              <w:rPr>
                <w:rFonts w:ascii="Aptos" w:eastAsia="Aptos" w:hAnsi="Aptos" w:cs="Aptos"/>
                <w:color w:val="000000" w:themeColor="text1"/>
              </w:rPr>
              <w:t>9.70</w:t>
            </w:r>
          </w:p>
        </w:tc>
        <w:tc>
          <w:tcPr>
            <w:tcW w:w="1785" w:type="dxa"/>
            <w:tcBorders>
              <w:top w:val="nil"/>
              <w:left w:val="nil"/>
              <w:bottom w:val="nil"/>
              <w:right w:val="nil"/>
            </w:tcBorders>
            <w:tcMar>
              <w:top w:w="15" w:type="dxa"/>
              <w:left w:w="15" w:type="dxa"/>
              <w:right w:w="15" w:type="dxa"/>
            </w:tcMar>
            <w:vAlign w:val="bottom"/>
          </w:tcPr>
          <w:p w14:paraId="3CAC4A81" w14:textId="3CA4A99D" w:rsidR="77A8D69F" w:rsidRDefault="77A8D69F" w:rsidP="001B3723">
            <w:pPr>
              <w:spacing w:after="0" w:line="480" w:lineRule="auto"/>
              <w:jc w:val="center"/>
            </w:pPr>
            <w:r w:rsidRPr="77A8D69F">
              <w:rPr>
                <w:rFonts w:ascii="Aptos" w:eastAsia="Aptos" w:hAnsi="Aptos" w:cs="Aptos"/>
                <w:color w:val="000000" w:themeColor="text1"/>
              </w:rPr>
              <w:t>18.60</w:t>
            </w:r>
          </w:p>
        </w:tc>
        <w:tc>
          <w:tcPr>
            <w:tcW w:w="1781" w:type="dxa"/>
            <w:tcBorders>
              <w:top w:val="nil"/>
              <w:left w:val="nil"/>
              <w:bottom w:val="nil"/>
              <w:right w:val="nil"/>
            </w:tcBorders>
            <w:tcMar>
              <w:top w:w="15" w:type="dxa"/>
              <w:left w:w="15" w:type="dxa"/>
              <w:right w:w="15" w:type="dxa"/>
            </w:tcMar>
            <w:vAlign w:val="bottom"/>
          </w:tcPr>
          <w:p w14:paraId="4274A27B" w14:textId="67B009A6" w:rsidR="77A8D69F" w:rsidRDefault="77A8D69F" w:rsidP="001B3723">
            <w:pPr>
              <w:spacing w:after="0" w:line="480" w:lineRule="auto"/>
              <w:jc w:val="center"/>
            </w:pPr>
            <w:r w:rsidRPr="77A8D69F">
              <w:rPr>
                <w:rFonts w:ascii="Aptos" w:eastAsia="Aptos" w:hAnsi="Aptos" w:cs="Aptos"/>
                <w:color w:val="000000" w:themeColor="text1"/>
              </w:rPr>
              <w:t>16.70</w:t>
            </w:r>
          </w:p>
        </w:tc>
      </w:tr>
      <w:tr w:rsidR="77A8D69F" w14:paraId="35480187"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3D696F6D" w14:textId="0A801420" w:rsidR="77A8D69F" w:rsidRDefault="77A8D69F" w:rsidP="001B3723">
            <w:pPr>
              <w:spacing w:after="0" w:line="480" w:lineRule="auto"/>
            </w:pPr>
            <w:r w:rsidRPr="77A8D69F">
              <w:rPr>
                <w:rFonts w:ascii="Aptos" w:eastAsia="Aptos" w:hAnsi="Aptos" w:cs="Aptos"/>
                <w:color w:val="000000" w:themeColor="text1"/>
              </w:rPr>
              <w:t xml:space="preserve">   Prefer Not to Say</w:t>
            </w:r>
          </w:p>
        </w:tc>
        <w:tc>
          <w:tcPr>
            <w:tcW w:w="1795" w:type="dxa"/>
            <w:tcBorders>
              <w:top w:val="nil"/>
              <w:left w:val="nil"/>
              <w:bottom w:val="nil"/>
              <w:right w:val="nil"/>
            </w:tcBorders>
            <w:tcMar>
              <w:top w:w="15" w:type="dxa"/>
              <w:left w:w="15" w:type="dxa"/>
              <w:right w:w="15" w:type="dxa"/>
            </w:tcMar>
            <w:vAlign w:val="bottom"/>
          </w:tcPr>
          <w:p w14:paraId="4A5A656A" w14:textId="5A355D61" w:rsidR="77A8D69F" w:rsidRDefault="77A8D69F" w:rsidP="001B3723">
            <w:pPr>
              <w:spacing w:after="0" w:line="480" w:lineRule="auto"/>
              <w:jc w:val="center"/>
            </w:pPr>
            <w:r w:rsidRPr="77A8D69F">
              <w:rPr>
                <w:rFonts w:ascii="Aptos" w:eastAsia="Aptos" w:hAnsi="Aptos" w:cs="Aptos"/>
                <w:color w:val="000000" w:themeColor="text1"/>
              </w:rPr>
              <w:t>1.90</w:t>
            </w:r>
          </w:p>
        </w:tc>
        <w:tc>
          <w:tcPr>
            <w:tcW w:w="1785" w:type="dxa"/>
            <w:tcBorders>
              <w:top w:val="nil"/>
              <w:left w:val="nil"/>
              <w:bottom w:val="nil"/>
              <w:right w:val="nil"/>
            </w:tcBorders>
            <w:tcMar>
              <w:top w:w="15" w:type="dxa"/>
              <w:left w:w="15" w:type="dxa"/>
              <w:right w:w="15" w:type="dxa"/>
            </w:tcMar>
            <w:vAlign w:val="bottom"/>
          </w:tcPr>
          <w:p w14:paraId="5D4620D0" w14:textId="06063DCD" w:rsidR="77A8D69F" w:rsidRDefault="77A8D69F" w:rsidP="001B3723">
            <w:pPr>
              <w:spacing w:after="0" w:line="480" w:lineRule="auto"/>
              <w:jc w:val="center"/>
            </w:pPr>
            <w:r w:rsidRPr="77A8D69F">
              <w:rPr>
                <w:rFonts w:ascii="Aptos" w:eastAsia="Aptos" w:hAnsi="Aptos" w:cs="Aptos"/>
                <w:color w:val="000000" w:themeColor="text1"/>
              </w:rPr>
              <w:t>0.00</w:t>
            </w:r>
          </w:p>
        </w:tc>
        <w:tc>
          <w:tcPr>
            <w:tcW w:w="1781" w:type="dxa"/>
            <w:tcBorders>
              <w:top w:val="nil"/>
              <w:left w:val="nil"/>
              <w:bottom w:val="nil"/>
              <w:right w:val="nil"/>
            </w:tcBorders>
            <w:tcMar>
              <w:top w:w="15" w:type="dxa"/>
              <w:left w:w="15" w:type="dxa"/>
              <w:right w:w="15" w:type="dxa"/>
            </w:tcMar>
            <w:vAlign w:val="bottom"/>
          </w:tcPr>
          <w:p w14:paraId="2687FFE0" w14:textId="6748C489" w:rsidR="77A8D69F" w:rsidRDefault="77A8D69F" w:rsidP="001B3723">
            <w:pPr>
              <w:spacing w:after="0" w:line="480" w:lineRule="auto"/>
              <w:jc w:val="center"/>
            </w:pPr>
            <w:r w:rsidRPr="77A8D69F">
              <w:rPr>
                <w:rFonts w:ascii="Aptos" w:eastAsia="Aptos" w:hAnsi="Aptos" w:cs="Aptos"/>
                <w:color w:val="000000" w:themeColor="text1"/>
              </w:rPr>
              <w:t>0.00</w:t>
            </w:r>
          </w:p>
        </w:tc>
      </w:tr>
      <w:tr w:rsidR="77A8D69F" w14:paraId="15CDC09F"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6C3FA83F" w14:textId="36F108CD" w:rsidR="77A8D69F" w:rsidRDefault="77A8D69F" w:rsidP="001B3723">
            <w:pPr>
              <w:spacing w:after="0" w:line="480" w:lineRule="auto"/>
            </w:pPr>
            <w:r w:rsidRPr="77A8D69F">
              <w:rPr>
                <w:rFonts w:ascii="Aptos" w:eastAsia="Aptos" w:hAnsi="Aptos" w:cs="Aptos"/>
                <w:b/>
                <w:bCs/>
                <w:color w:val="000000" w:themeColor="text1"/>
              </w:rPr>
              <w:t>Employment Status (%)</w:t>
            </w:r>
          </w:p>
        </w:tc>
        <w:tc>
          <w:tcPr>
            <w:tcW w:w="1795" w:type="dxa"/>
            <w:tcBorders>
              <w:top w:val="nil"/>
              <w:left w:val="nil"/>
              <w:bottom w:val="nil"/>
              <w:right w:val="nil"/>
            </w:tcBorders>
            <w:tcMar>
              <w:top w:w="15" w:type="dxa"/>
              <w:left w:w="15" w:type="dxa"/>
              <w:right w:w="15" w:type="dxa"/>
            </w:tcMar>
            <w:vAlign w:val="bottom"/>
          </w:tcPr>
          <w:p w14:paraId="34B0CA86" w14:textId="415FBE4E" w:rsidR="77A8D69F" w:rsidRDefault="77A8D69F" w:rsidP="001B3723">
            <w:pPr>
              <w:spacing w:after="0" w:line="480" w:lineRule="auto"/>
            </w:pPr>
          </w:p>
        </w:tc>
        <w:tc>
          <w:tcPr>
            <w:tcW w:w="1785" w:type="dxa"/>
            <w:tcBorders>
              <w:top w:val="nil"/>
              <w:left w:val="nil"/>
              <w:bottom w:val="nil"/>
              <w:right w:val="nil"/>
            </w:tcBorders>
            <w:tcMar>
              <w:top w:w="15" w:type="dxa"/>
              <w:left w:w="15" w:type="dxa"/>
              <w:right w:w="15" w:type="dxa"/>
            </w:tcMar>
            <w:vAlign w:val="bottom"/>
          </w:tcPr>
          <w:p w14:paraId="19807105" w14:textId="4B15B511" w:rsidR="77A8D69F" w:rsidRDefault="77A8D69F" w:rsidP="001B3723">
            <w:pPr>
              <w:spacing w:after="0" w:line="480" w:lineRule="auto"/>
            </w:pPr>
          </w:p>
        </w:tc>
        <w:tc>
          <w:tcPr>
            <w:tcW w:w="1781" w:type="dxa"/>
            <w:tcBorders>
              <w:top w:val="nil"/>
              <w:left w:val="nil"/>
              <w:bottom w:val="nil"/>
              <w:right w:val="nil"/>
            </w:tcBorders>
            <w:tcMar>
              <w:top w:w="15" w:type="dxa"/>
              <w:left w:w="15" w:type="dxa"/>
              <w:right w:w="15" w:type="dxa"/>
            </w:tcMar>
            <w:vAlign w:val="bottom"/>
          </w:tcPr>
          <w:p w14:paraId="367D0AEB" w14:textId="7BE511EA" w:rsidR="77A8D69F" w:rsidRDefault="77A8D69F" w:rsidP="001B3723">
            <w:pPr>
              <w:spacing w:after="0" w:line="480" w:lineRule="auto"/>
            </w:pPr>
          </w:p>
        </w:tc>
      </w:tr>
      <w:tr w:rsidR="77A8D69F" w14:paraId="4FAF77DE"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775793BC" w14:textId="63B7ECE3" w:rsidR="77A8D69F" w:rsidRDefault="77A8D69F" w:rsidP="001B3723">
            <w:pPr>
              <w:spacing w:after="0" w:line="480" w:lineRule="auto"/>
            </w:pPr>
            <w:r w:rsidRPr="77A8D69F">
              <w:rPr>
                <w:rFonts w:ascii="Aptos" w:eastAsia="Aptos" w:hAnsi="Aptos" w:cs="Aptos"/>
                <w:color w:val="000000" w:themeColor="text1"/>
              </w:rPr>
              <w:t xml:space="preserve">   Full Time</w:t>
            </w:r>
          </w:p>
        </w:tc>
        <w:tc>
          <w:tcPr>
            <w:tcW w:w="1795" w:type="dxa"/>
            <w:tcBorders>
              <w:top w:val="nil"/>
              <w:left w:val="nil"/>
              <w:bottom w:val="nil"/>
              <w:right w:val="nil"/>
            </w:tcBorders>
            <w:tcMar>
              <w:top w:w="15" w:type="dxa"/>
              <w:left w:w="15" w:type="dxa"/>
              <w:right w:w="15" w:type="dxa"/>
            </w:tcMar>
            <w:vAlign w:val="bottom"/>
          </w:tcPr>
          <w:p w14:paraId="0F02A84F" w14:textId="67671655" w:rsidR="77A8D69F" w:rsidRDefault="77A8D69F" w:rsidP="001B3723">
            <w:pPr>
              <w:spacing w:after="0" w:line="480" w:lineRule="auto"/>
              <w:jc w:val="center"/>
            </w:pPr>
            <w:r w:rsidRPr="77A8D69F">
              <w:rPr>
                <w:rFonts w:ascii="Aptos" w:eastAsia="Aptos" w:hAnsi="Aptos" w:cs="Aptos"/>
                <w:color w:val="000000" w:themeColor="text1"/>
              </w:rPr>
              <w:t>34.00</w:t>
            </w:r>
          </w:p>
        </w:tc>
        <w:tc>
          <w:tcPr>
            <w:tcW w:w="1785" w:type="dxa"/>
            <w:tcBorders>
              <w:top w:val="nil"/>
              <w:left w:val="nil"/>
              <w:bottom w:val="nil"/>
              <w:right w:val="nil"/>
            </w:tcBorders>
            <w:tcMar>
              <w:top w:w="15" w:type="dxa"/>
              <w:left w:w="15" w:type="dxa"/>
              <w:right w:w="15" w:type="dxa"/>
            </w:tcMar>
            <w:vAlign w:val="bottom"/>
          </w:tcPr>
          <w:p w14:paraId="619C00AA" w14:textId="7A3BDF99" w:rsidR="77A8D69F" w:rsidRDefault="77A8D69F" w:rsidP="001B3723">
            <w:pPr>
              <w:spacing w:after="0" w:line="480" w:lineRule="auto"/>
              <w:jc w:val="center"/>
            </w:pPr>
            <w:r w:rsidRPr="77A8D69F">
              <w:rPr>
                <w:rFonts w:ascii="Aptos" w:eastAsia="Aptos" w:hAnsi="Aptos" w:cs="Aptos"/>
                <w:color w:val="000000" w:themeColor="text1"/>
              </w:rPr>
              <w:t>52.00</w:t>
            </w:r>
          </w:p>
        </w:tc>
        <w:tc>
          <w:tcPr>
            <w:tcW w:w="1781" w:type="dxa"/>
            <w:tcBorders>
              <w:top w:val="nil"/>
              <w:left w:val="nil"/>
              <w:bottom w:val="nil"/>
              <w:right w:val="nil"/>
            </w:tcBorders>
            <w:tcMar>
              <w:top w:w="15" w:type="dxa"/>
              <w:left w:w="15" w:type="dxa"/>
              <w:right w:w="15" w:type="dxa"/>
            </w:tcMar>
            <w:vAlign w:val="bottom"/>
          </w:tcPr>
          <w:p w14:paraId="45DA54D4" w14:textId="09C79F2F" w:rsidR="77A8D69F" w:rsidRDefault="77A8D69F" w:rsidP="001B3723">
            <w:pPr>
              <w:spacing w:after="0" w:line="480" w:lineRule="auto"/>
              <w:jc w:val="center"/>
            </w:pPr>
            <w:r w:rsidRPr="77A8D69F">
              <w:rPr>
                <w:rFonts w:ascii="Aptos" w:eastAsia="Aptos" w:hAnsi="Aptos" w:cs="Aptos"/>
                <w:color w:val="000000" w:themeColor="text1"/>
              </w:rPr>
              <w:t>61.80</w:t>
            </w:r>
          </w:p>
        </w:tc>
      </w:tr>
      <w:tr w:rsidR="77A8D69F" w14:paraId="4ABD0D22"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5109A64E" w14:textId="6AF7A811" w:rsidR="77A8D69F" w:rsidRDefault="77A8D69F" w:rsidP="001B3723">
            <w:pPr>
              <w:spacing w:after="0" w:line="480" w:lineRule="auto"/>
            </w:pPr>
            <w:r w:rsidRPr="77A8D69F">
              <w:rPr>
                <w:rFonts w:ascii="Aptos" w:eastAsia="Aptos" w:hAnsi="Aptos" w:cs="Aptos"/>
                <w:color w:val="000000" w:themeColor="text1"/>
              </w:rPr>
              <w:t xml:space="preserve">   Part Time</w:t>
            </w:r>
          </w:p>
        </w:tc>
        <w:tc>
          <w:tcPr>
            <w:tcW w:w="1795" w:type="dxa"/>
            <w:tcBorders>
              <w:top w:val="nil"/>
              <w:left w:val="nil"/>
              <w:bottom w:val="nil"/>
              <w:right w:val="nil"/>
            </w:tcBorders>
            <w:tcMar>
              <w:top w:w="15" w:type="dxa"/>
              <w:left w:w="15" w:type="dxa"/>
              <w:right w:w="15" w:type="dxa"/>
            </w:tcMar>
            <w:vAlign w:val="bottom"/>
          </w:tcPr>
          <w:p w14:paraId="544A6F65" w14:textId="18CED154" w:rsidR="77A8D69F" w:rsidRDefault="77A8D69F" w:rsidP="001B3723">
            <w:pPr>
              <w:spacing w:after="0" w:line="480" w:lineRule="auto"/>
              <w:jc w:val="center"/>
            </w:pPr>
            <w:r w:rsidRPr="77A8D69F">
              <w:rPr>
                <w:rFonts w:ascii="Aptos" w:eastAsia="Aptos" w:hAnsi="Aptos" w:cs="Aptos"/>
                <w:color w:val="000000" w:themeColor="text1"/>
              </w:rPr>
              <w:t>24.30</w:t>
            </w:r>
          </w:p>
        </w:tc>
        <w:tc>
          <w:tcPr>
            <w:tcW w:w="1785" w:type="dxa"/>
            <w:tcBorders>
              <w:top w:val="nil"/>
              <w:left w:val="nil"/>
              <w:bottom w:val="nil"/>
              <w:right w:val="nil"/>
            </w:tcBorders>
            <w:tcMar>
              <w:top w:w="15" w:type="dxa"/>
              <w:left w:w="15" w:type="dxa"/>
              <w:right w:w="15" w:type="dxa"/>
            </w:tcMar>
            <w:vAlign w:val="bottom"/>
          </w:tcPr>
          <w:p w14:paraId="48F77B00" w14:textId="097A761D" w:rsidR="77A8D69F" w:rsidRDefault="77A8D69F" w:rsidP="001B3723">
            <w:pPr>
              <w:spacing w:after="0" w:line="480" w:lineRule="auto"/>
              <w:jc w:val="center"/>
            </w:pPr>
            <w:r w:rsidRPr="77A8D69F">
              <w:rPr>
                <w:rFonts w:ascii="Aptos" w:eastAsia="Aptos" w:hAnsi="Aptos" w:cs="Aptos"/>
                <w:color w:val="000000" w:themeColor="text1"/>
              </w:rPr>
              <w:t>19.60</w:t>
            </w:r>
          </w:p>
        </w:tc>
        <w:tc>
          <w:tcPr>
            <w:tcW w:w="1781" w:type="dxa"/>
            <w:tcBorders>
              <w:top w:val="nil"/>
              <w:left w:val="nil"/>
              <w:bottom w:val="nil"/>
              <w:right w:val="nil"/>
            </w:tcBorders>
            <w:tcMar>
              <w:top w:w="15" w:type="dxa"/>
              <w:left w:w="15" w:type="dxa"/>
              <w:right w:w="15" w:type="dxa"/>
            </w:tcMar>
            <w:vAlign w:val="bottom"/>
          </w:tcPr>
          <w:p w14:paraId="707FE41F" w14:textId="382E850D" w:rsidR="77A8D69F" w:rsidRDefault="77A8D69F" w:rsidP="001B3723">
            <w:pPr>
              <w:spacing w:after="0" w:line="480" w:lineRule="auto"/>
              <w:jc w:val="center"/>
            </w:pPr>
            <w:r w:rsidRPr="77A8D69F">
              <w:rPr>
                <w:rFonts w:ascii="Aptos" w:eastAsia="Aptos" w:hAnsi="Aptos" w:cs="Aptos"/>
                <w:color w:val="000000" w:themeColor="text1"/>
              </w:rPr>
              <w:t>15.70</w:t>
            </w:r>
          </w:p>
        </w:tc>
      </w:tr>
      <w:tr w:rsidR="77A8D69F" w14:paraId="0B09F11D"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5F918709" w14:textId="37167A05" w:rsidR="77A8D69F" w:rsidRDefault="77A8D69F" w:rsidP="001B3723">
            <w:pPr>
              <w:spacing w:after="0" w:line="480" w:lineRule="auto"/>
            </w:pPr>
            <w:r w:rsidRPr="77A8D69F">
              <w:rPr>
                <w:rFonts w:ascii="Aptos" w:eastAsia="Aptos" w:hAnsi="Aptos" w:cs="Aptos"/>
                <w:color w:val="000000" w:themeColor="text1"/>
              </w:rPr>
              <w:t xml:space="preserve">   Retired</w:t>
            </w:r>
          </w:p>
        </w:tc>
        <w:tc>
          <w:tcPr>
            <w:tcW w:w="1795" w:type="dxa"/>
            <w:tcBorders>
              <w:top w:val="nil"/>
              <w:left w:val="nil"/>
              <w:bottom w:val="nil"/>
              <w:right w:val="nil"/>
            </w:tcBorders>
            <w:tcMar>
              <w:top w:w="15" w:type="dxa"/>
              <w:left w:w="15" w:type="dxa"/>
              <w:right w:w="15" w:type="dxa"/>
            </w:tcMar>
            <w:vAlign w:val="bottom"/>
          </w:tcPr>
          <w:p w14:paraId="2B75E38A" w14:textId="0471584F" w:rsidR="77A8D69F" w:rsidRDefault="77A8D69F" w:rsidP="001B3723">
            <w:pPr>
              <w:spacing w:after="0" w:line="480" w:lineRule="auto"/>
              <w:jc w:val="center"/>
            </w:pPr>
            <w:r w:rsidRPr="77A8D69F">
              <w:rPr>
                <w:rFonts w:ascii="Aptos" w:eastAsia="Aptos" w:hAnsi="Aptos" w:cs="Aptos"/>
                <w:color w:val="000000" w:themeColor="text1"/>
              </w:rPr>
              <w:t>3.90</w:t>
            </w:r>
          </w:p>
        </w:tc>
        <w:tc>
          <w:tcPr>
            <w:tcW w:w="1785" w:type="dxa"/>
            <w:tcBorders>
              <w:top w:val="nil"/>
              <w:left w:val="nil"/>
              <w:bottom w:val="nil"/>
              <w:right w:val="nil"/>
            </w:tcBorders>
            <w:tcMar>
              <w:top w:w="15" w:type="dxa"/>
              <w:left w:w="15" w:type="dxa"/>
              <w:right w:w="15" w:type="dxa"/>
            </w:tcMar>
            <w:vAlign w:val="bottom"/>
          </w:tcPr>
          <w:p w14:paraId="5167B864" w14:textId="176D2AE4" w:rsidR="77A8D69F" w:rsidRDefault="77A8D69F" w:rsidP="001B3723">
            <w:pPr>
              <w:spacing w:after="0" w:line="480" w:lineRule="auto"/>
              <w:jc w:val="center"/>
            </w:pPr>
            <w:r w:rsidRPr="77A8D69F">
              <w:rPr>
                <w:rFonts w:ascii="Aptos" w:eastAsia="Aptos" w:hAnsi="Aptos" w:cs="Aptos"/>
                <w:color w:val="000000" w:themeColor="text1"/>
              </w:rPr>
              <w:t>7.80</w:t>
            </w:r>
          </w:p>
        </w:tc>
        <w:tc>
          <w:tcPr>
            <w:tcW w:w="1781" w:type="dxa"/>
            <w:tcBorders>
              <w:top w:val="nil"/>
              <w:left w:val="nil"/>
              <w:bottom w:val="nil"/>
              <w:right w:val="nil"/>
            </w:tcBorders>
            <w:tcMar>
              <w:top w:w="15" w:type="dxa"/>
              <w:left w:w="15" w:type="dxa"/>
              <w:right w:w="15" w:type="dxa"/>
            </w:tcMar>
            <w:vAlign w:val="bottom"/>
          </w:tcPr>
          <w:p w14:paraId="515EE0DD" w14:textId="5CCF222F" w:rsidR="77A8D69F" w:rsidRDefault="77A8D69F" w:rsidP="001B3723">
            <w:pPr>
              <w:spacing w:after="0" w:line="480" w:lineRule="auto"/>
              <w:jc w:val="center"/>
            </w:pPr>
            <w:r w:rsidRPr="77A8D69F">
              <w:rPr>
                <w:rFonts w:ascii="Aptos" w:eastAsia="Aptos" w:hAnsi="Aptos" w:cs="Aptos"/>
                <w:color w:val="000000" w:themeColor="text1"/>
              </w:rPr>
              <w:t>10.80</w:t>
            </w:r>
          </w:p>
        </w:tc>
      </w:tr>
      <w:tr w:rsidR="77A8D69F" w14:paraId="1BD805B5"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27033D52" w14:textId="5DCF73AE" w:rsidR="77A8D69F" w:rsidRDefault="77A8D69F" w:rsidP="001B3723">
            <w:pPr>
              <w:spacing w:after="0" w:line="480" w:lineRule="auto"/>
            </w:pPr>
            <w:r w:rsidRPr="77A8D69F">
              <w:rPr>
                <w:rFonts w:ascii="Aptos" w:eastAsia="Aptos" w:hAnsi="Aptos" w:cs="Aptos"/>
                <w:color w:val="000000" w:themeColor="text1"/>
              </w:rPr>
              <w:t xml:space="preserve">   Student</w:t>
            </w:r>
          </w:p>
        </w:tc>
        <w:tc>
          <w:tcPr>
            <w:tcW w:w="1795" w:type="dxa"/>
            <w:tcBorders>
              <w:top w:val="nil"/>
              <w:left w:val="nil"/>
              <w:bottom w:val="nil"/>
              <w:right w:val="nil"/>
            </w:tcBorders>
            <w:tcMar>
              <w:top w:w="15" w:type="dxa"/>
              <w:left w:w="15" w:type="dxa"/>
              <w:right w:w="15" w:type="dxa"/>
            </w:tcMar>
            <w:vAlign w:val="bottom"/>
          </w:tcPr>
          <w:p w14:paraId="02CB07A9" w14:textId="64D6ED04" w:rsidR="77A8D69F" w:rsidRDefault="77A8D69F" w:rsidP="001B3723">
            <w:pPr>
              <w:spacing w:after="0" w:line="480" w:lineRule="auto"/>
              <w:jc w:val="center"/>
            </w:pPr>
            <w:r w:rsidRPr="77A8D69F">
              <w:rPr>
                <w:rFonts w:ascii="Aptos" w:eastAsia="Aptos" w:hAnsi="Aptos" w:cs="Aptos"/>
                <w:color w:val="000000" w:themeColor="text1"/>
              </w:rPr>
              <w:t>5.80</w:t>
            </w:r>
          </w:p>
        </w:tc>
        <w:tc>
          <w:tcPr>
            <w:tcW w:w="1785" w:type="dxa"/>
            <w:tcBorders>
              <w:top w:val="nil"/>
              <w:left w:val="nil"/>
              <w:bottom w:val="nil"/>
              <w:right w:val="nil"/>
            </w:tcBorders>
            <w:tcMar>
              <w:top w:w="15" w:type="dxa"/>
              <w:left w:w="15" w:type="dxa"/>
              <w:right w:w="15" w:type="dxa"/>
            </w:tcMar>
            <w:vAlign w:val="bottom"/>
          </w:tcPr>
          <w:p w14:paraId="179ADB02" w14:textId="79CDC404" w:rsidR="77A8D69F" w:rsidRDefault="77A8D69F" w:rsidP="001B3723">
            <w:pPr>
              <w:spacing w:after="0" w:line="480" w:lineRule="auto"/>
              <w:jc w:val="center"/>
            </w:pPr>
            <w:r w:rsidRPr="77A8D69F">
              <w:rPr>
                <w:rFonts w:ascii="Aptos" w:eastAsia="Aptos" w:hAnsi="Aptos" w:cs="Aptos"/>
                <w:color w:val="000000" w:themeColor="text1"/>
              </w:rPr>
              <w:t>2.90</w:t>
            </w:r>
          </w:p>
        </w:tc>
        <w:tc>
          <w:tcPr>
            <w:tcW w:w="1781" w:type="dxa"/>
            <w:tcBorders>
              <w:top w:val="nil"/>
              <w:left w:val="nil"/>
              <w:bottom w:val="nil"/>
              <w:right w:val="nil"/>
            </w:tcBorders>
            <w:tcMar>
              <w:top w:w="15" w:type="dxa"/>
              <w:left w:w="15" w:type="dxa"/>
              <w:right w:w="15" w:type="dxa"/>
            </w:tcMar>
            <w:vAlign w:val="bottom"/>
          </w:tcPr>
          <w:p w14:paraId="07E152E6" w14:textId="50181091" w:rsidR="77A8D69F" w:rsidRDefault="77A8D69F" w:rsidP="001B3723">
            <w:pPr>
              <w:spacing w:after="0" w:line="480" w:lineRule="auto"/>
              <w:jc w:val="center"/>
            </w:pPr>
            <w:r w:rsidRPr="77A8D69F">
              <w:rPr>
                <w:rFonts w:ascii="Aptos" w:eastAsia="Aptos" w:hAnsi="Aptos" w:cs="Aptos"/>
                <w:color w:val="000000" w:themeColor="text1"/>
              </w:rPr>
              <w:t>4.90</w:t>
            </w:r>
          </w:p>
        </w:tc>
      </w:tr>
      <w:tr w:rsidR="77A8D69F" w14:paraId="60EE9DE0"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555BDB61" w14:textId="382F9B95" w:rsidR="77A8D69F" w:rsidRDefault="77A8D69F" w:rsidP="001B3723">
            <w:pPr>
              <w:spacing w:after="0" w:line="480" w:lineRule="auto"/>
            </w:pPr>
            <w:r w:rsidRPr="77A8D69F">
              <w:rPr>
                <w:rFonts w:ascii="Aptos" w:eastAsia="Aptos" w:hAnsi="Aptos" w:cs="Aptos"/>
                <w:color w:val="000000" w:themeColor="text1"/>
              </w:rPr>
              <w:t xml:space="preserve">   Other</w:t>
            </w:r>
          </w:p>
        </w:tc>
        <w:tc>
          <w:tcPr>
            <w:tcW w:w="1795" w:type="dxa"/>
            <w:tcBorders>
              <w:top w:val="nil"/>
              <w:left w:val="nil"/>
              <w:bottom w:val="nil"/>
              <w:right w:val="nil"/>
            </w:tcBorders>
            <w:tcMar>
              <w:top w:w="15" w:type="dxa"/>
              <w:left w:w="15" w:type="dxa"/>
              <w:right w:w="15" w:type="dxa"/>
            </w:tcMar>
            <w:vAlign w:val="bottom"/>
          </w:tcPr>
          <w:p w14:paraId="340B84E0" w14:textId="54FE1F46" w:rsidR="77A8D69F" w:rsidRDefault="77A8D69F" w:rsidP="001B3723">
            <w:pPr>
              <w:spacing w:after="0" w:line="480" w:lineRule="auto"/>
              <w:jc w:val="center"/>
            </w:pPr>
            <w:r w:rsidRPr="77A8D69F">
              <w:rPr>
                <w:rFonts w:ascii="Aptos" w:eastAsia="Aptos" w:hAnsi="Aptos" w:cs="Aptos"/>
                <w:color w:val="000000" w:themeColor="text1"/>
              </w:rPr>
              <w:t>28.20</w:t>
            </w:r>
          </w:p>
        </w:tc>
        <w:tc>
          <w:tcPr>
            <w:tcW w:w="1785" w:type="dxa"/>
            <w:tcBorders>
              <w:top w:val="nil"/>
              <w:left w:val="nil"/>
              <w:bottom w:val="nil"/>
              <w:right w:val="nil"/>
            </w:tcBorders>
            <w:tcMar>
              <w:top w:w="15" w:type="dxa"/>
              <w:left w:w="15" w:type="dxa"/>
              <w:right w:w="15" w:type="dxa"/>
            </w:tcMar>
            <w:vAlign w:val="bottom"/>
          </w:tcPr>
          <w:p w14:paraId="5081B7D4" w14:textId="264183B9" w:rsidR="77A8D69F" w:rsidRDefault="77A8D69F" w:rsidP="001B3723">
            <w:pPr>
              <w:spacing w:after="0" w:line="480" w:lineRule="auto"/>
              <w:jc w:val="center"/>
            </w:pPr>
            <w:r w:rsidRPr="77A8D69F">
              <w:rPr>
                <w:rFonts w:ascii="Aptos" w:eastAsia="Aptos" w:hAnsi="Aptos" w:cs="Aptos"/>
                <w:color w:val="000000" w:themeColor="text1"/>
              </w:rPr>
              <w:t>17.60</w:t>
            </w:r>
          </w:p>
        </w:tc>
        <w:tc>
          <w:tcPr>
            <w:tcW w:w="1781" w:type="dxa"/>
            <w:tcBorders>
              <w:top w:val="nil"/>
              <w:left w:val="nil"/>
              <w:bottom w:val="nil"/>
              <w:right w:val="nil"/>
            </w:tcBorders>
            <w:tcMar>
              <w:top w:w="15" w:type="dxa"/>
              <w:left w:w="15" w:type="dxa"/>
              <w:right w:w="15" w:type="dxa"/>
            </w:tcMar>
            <w:vAlign w:val="bottom"/>
          </w:tcPr>
          <w:p w14:paraId="77FC3828" w14:textId="483DD17D" w:rsidR="77A8D69F" w:rsidRDefault="77A8D69F" w:rsidP="001B3723">
            <w:pPr>
              <w:spacing w:after="0" w:line="480" w:lineRule="auto"/>
              <w:jc w:val="center"/>
            </w:pPr>
            <w:r w:rsidRPr="77A8D69F">
              <w:rPr>
                <w:rFonts w:ascii="Aptos" w:eastAsia="Aptos" w:hAnsi="Aptos" w:cs="Aptos"/>
                <w:color w:val="000000" w:themeColor="text1"/>
              </w:rPr>
              <w:t>5.90</w:t>
            </w:r>
          </w:p>
        </w:tc>
      </w:tr>
      <w:tr w:rsidR="77A8D69F" w14:paraId="0CA31BF0"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1C0684E5" w14:textId="63F99029" w:rsidR="77A8D69F" w:rsidRDefault="77A8D69F" w:rsidP="001B3723">
            <w:pPr>
              <w:spacing w:after="0" w:line="480" w:lineRule="auto"/>
            </w:pPr>
            <w:r w:rsidRPr="77A8D69F">
              <w:rPr>
                <w:rFonts w:ascii="Aptos" w:eastAsia="Aptos" w:hAnsi="Aptos" w:cs="Aptos"/>
                <w:color w:val="000000" w:themeColor="text1"/>
              </w:rPr>
              <w:t xml:space="preserve">   Prefer Not to Say</w:t>
            </w:r>
          </w:p>
        </w:tc>
        <w:tc>
          <w:tcPr>
            <w:tcW w:w="1795" w:type="dxa"/>
            <w:tcBorders>
              <w:top w:val="nil"/>
              <w:left w:val="nil"/>
              <w:bottom w:val="nil"/>
              <w:right w:val="nil"/>
            </w:tcBorders>
            <w:tcMar>
              <w:top w:w="15" w:type="dxa"/>
              <w:left w:w="15" w:type="dxa"/>
              <w:right w:w="15" w:type="dxa"/>
            </w:tcMar>
            <w:vAlign w:val="bottom"/>
          </w:tcPr>
          <w:p w14:paraId="211B9B1A" w14:textId="64B26218" w:rsidR="77A8D69F" w:rsidRDefault="77A8D69F" w:rsidP="001B3723">
            <w:pPr>
              <w:spacing w:after="0" w:line="480" w:lineRule="auto"/>
              <w:jc w:val="center"/>
            </w:pPr>
            <w:r w:rsidRPr="77A8D69F">
              <w:rPr>
                <w:rFonts w:ascii="Aptos" w:eastAsia="Aptos" w:hAnsi="Aptos" w:cs="Aptos"/>
                <w:color w:val="000000" w:themeColor="text1"/>
              </w:rPr>
              <w:t>3.90</w:t>
            </w:r>
          </w:p>
        </w:tc>
        <w:tc>
          <w:tcPr>
            <w:tcW w:w="1785" w:type="dxa"/>
            <w:tcBorders>
              <w:top w:val="nil"/>
              <w:left w:val="nil"/>
              <w:bottom w:val="nil"/>
              <w:right w:val="nil"/>
            </w:tcBorders>
            <w:tcMar>
              <w:top w:w="15" w:type="dxa"/>
              <w:left w:w="15" w:type="dxa"/>
              <w:right w:w="15" w:type="dxa"/>
            </w:tcMar>
            <w:vAlign w:val="bottom"/>
          </w:tcPr>
          <w:p w14:paraId="74A1019F" w14:textId="3F98CA7F" w:rsidR="77A8D69F" w:rsidRDefault="77A8D69F" w:rsidP="001B3723">
            <w:pPr>
              <w:spacing w:after="0" w:line="480" w:lineRule="auto"/>
              <w:jc w:val="center"/>
            </w:pPr>
            <w:r w:rsidRPr="77A8D69F">
              <w:rPr>
                <w:rFonts w:ascii="Aptos" w:eastAsia="Aptos" w:hAnsi="Aptos" w:cs="Aptos"/>
                <w:color w:val="000000" w:themeColor="text1"/>
              </w:rPr>
              <w:t>0.00</w:t>
            </w:r>
          </w:p>
        </w:tc>
        <w:tc>
          <w:tcPr>
            <w:tcW w:w="1781" w:type="dxa"/>
            <w:tcBorders>
              <w:top w:val="nil"/>
              <w:left w:val="nil"/>
              <w:bottom w:val="nil"/>
              <w:right w:val="nil"/>
            </w:tcBorders>
            <w:tcMar>
              <w:top w:w="15" w:type="dxa"/>
              <w:left w:w="15" w:type="dxa"/>
              <w:right w:w="15" w:type="dxa"/>
            </w:tcMar>
            <w:vAlign w:val="bottom"/>
          </w:tcPr>
          <w:p w14:paraId="61D1D344" w14:textId="1FE50259" w:rsidR="77A8D69F" w:rsidRDefault="77A8D69F" w:rsidP="001B3723">
            <w:pPr>
              <w:spacing w:after="0" w:line="480" w:lineRule="auto"/>
              <w:jc w:val="center"/>
            </w:pPr>
            <w:r w:rsidRPr="77A8D69F">
              <w:rPr>
                <w:rFonts w:ascii="Aptos" w:eastAsia="Aptos" w:hAnsi="Aptos" w:cs="Aptos"/>
                <w:color w:val="000000" w:themeColor="text1"/>
              </w:rPr>
              <w:t>1.00</w:t>
            </w:r>
          </w:p>
        </w:tc>
      </w:tr>
      <w:tr w:rsidR="77A8D69F" w14:paraId="1C7EA6E1"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6AE17ACA" w14:textId="16027B47" w:rsidR="77A8D69F" w:rsidRDefault="77A8D69F" w:rsidP="001B3723">
            <w:pPr>
              <w:spacing w:after="0" w:line="480" w:lineRule="auto"/>
            </w:pPr>
            <w:r w:rsidRPr="77A8D69F">
              <w:rPr>
                <w:rFonts w:ascii="Aptos" w:eastAsia="Aptos" w:hAnsi="Aptos" w:cs="Aptos"/>
                <w:b/>
                <w:bCs/>
                <w:color w:val="000000" w:themeColor="text1"/>
              </w:rPr>
              <w:t>Ethnicity (%)</w:t>
            </w:r>
          </w:p>
        </w:tc>
        <w:tc>
          <w:tcPr>
            <w:tcW w:w="1795" w:type="dxa"/>
            <w:tcBorders>
              <w:top w:val="nil"/>
              <w:left w:val="nil"/>
              <w:bottom w:val="nil"/>
              <w:right w:val="nil"/>
            </w:tcBorders>
            <w:tcMar>
              <w:top w:w="15" w:type="dxa"/>
              <w:left w:w="15" w:type="dxa"/>
              <w:right w:w="15" w:type="dxa"/>
            </w:tcMar>
            <w:vAlign w:val="bottom"/>
          </w:tcPr>
          <w:p w14:paraId="691704C0" w14:textId="3E6A6802" w:rsidR="77A8D69F" w:rsidRDefault="77A8D69F" w:rsidP="001B3723">
            <w:pPr>
              <w:spacing w:after="0" w:line="480" w:lineRule="auto"/>
            </w:pPr>
          </w:p>
        </w:tc>
        <w:tc>
          <w:tcPr>
            <w:tcW w:w="1785" w:type="dxa"/>
            <w:tcBorders>
              <w:top w:val="nil"/>
              <w:left w:val="nil"/>
              <w:bottom w:val="nil"/>
              <w:right w:val="nil"/>
            </w:tcBorders>
            <w:tcMar>
              <w:top w:w="15" w:type="dxa"/>
              <w:left w:w="15" w:type="dxa"/>
              <w:right w:w="15" w:type="dxa"/>
            </w:tcMar>
            <w:vAlign w:val="bottom"/>
          </w:tcPr>
          <w:p w14:paraId="30A90CAC" w14:textId="4A1A7B45" w:rsidR="77A8D69F" w:rsidRDefault="77A8D69F" w:rsidP="001B3723">
            <w:pPr>
              <w:spacing w:after="0" w:line="480" w:lineRule="auto"/>
            </w:pPr>
          </w:p>
        </w:tc>
        <w:tc>
          <w:tcPr>
            <w:tcW w:w="1781" w:type="dxa"/>
            <w:tcBorders>
              <w:top w:val="nil"/>
              <w:left w:val="nil"/>
              <w:bottom w:val="nil"/>
              <w:right w:val="nil"/>
            </w:tcBorders>
            <w:tcMar>
              <w:top w:w="15" w:type="dxa"/>
              <w:left w:w="15" w:type="dxa"/>
              <w:right w:w="15" w:type="dxa"/>
            </w:tcMar>
            <w:vAlign w:val="bottom"/>
          </w:tcPr>
          <w:p w14:paraId="1FA2435B" w14:textId="2EB44F92" w:rsidR="77A8D69F" w:rsidRDefault="77A8D69F" w:rsidP="001B3723">
            <w:pPr>
              <w:spacing w:after="0" w:line="480" w:lineRule="auto"/>
            </w:pPr>
          </w:p>
        </w:tc>
      </w:tr>
      <w:tr w:rsidR="77A8D69F" w14:paraId="658590EA"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6016C9A9" w14:textId="4D3D780A" w:rsidR="77A8D69F" w:rsidRDefault="77A8D69F" w:rsidP="001B3723">
            <w:pPr>
              <w:spacing w:after="0" w:line="480" w:lineRule="auto"/>
            </w:pPr>
            <w:r w:rsidRPr="77A8D69F">
              <w:rPr>
                <w:rFonts w:ascii="Aptos" w:eastAsia="Aptos" w:hAnsi="Aptos" w:cs="Aptos"/>
                <w:color w:val="000000" w:themeColor="text1"/>
              </w:rPr>
              <w:t xml:space="preserve">   Black</w:t>
            </w:r>
          </w:p>
        </w:tc>
        <w:tc>
          <w:tcPr>
            <w:tcW w:w="1795" w:type="dxa"/>
            <w:tcBorders>
              <w:top w:val="nil"/>
              <w:left w:val="nil"/>
              <w:bottom w:val="nil"/>
              <w:right w:val="nil"/>
            </w:tcBorders>
            <w:tcMar>
              <w:top w:w="15" w:type="dxa"/>
              <w:left w:w="15" w:type="dxa"/>
              <w:right w:w="15" w:type="dxa"/>
            </w:tcMar>
            <w:vAlign w:val="bottom"/>
          </w:tcPr>
          <w:p w14:paraId="606E8109" w14:textId="7BDEC680" w:rsidR="77A8D69F" w:rsidRDefault="77A8D69F" w:rsidP="001B3723">
            <w:pPr>
              <w:spacing w:after="0" w:line="480" w:lineRule="auto"/>
              <w:jc w:val="center"/>
            </w:pPr>
            <w:r w:rsidRPr="77A8D69F">
              <w:rPr>
                <w:rFonts w:ascii="Aptos" w:eastAsia="Aptos" w:hAnsi="Aptos" w:cs="Aptos"/>
                <w:color w:val="000000" w:themeColor="text1"/>
              </w:rPr>
              <w:t>7.80</w:t>
            </w:r>
          </w:p>
        </w:tc>
        <w:tc>
          <w:tcPr>
            <w:tcW w:w="1785" w:type="dxa"/>
            <w:tcBorders>
              <w:top w:val="nil"/>
              <w:left w:val="nil"/>
              <w:bottom w:val="nil"/>
              <w:right w:val="nil"/>
            </w:tcBorders>
            <w:tcMar>
              <w:top w:w="15" w:type="dxa"/>
              <w:left w:w="15" w:type="dxa"/>
              <w:right w:w="15" w:type="dxa"/>
            </w:tcMar>
            <w:vAlign w:val="bottom"/>
          </w:tcPr>
          <w:p w14:paraId="5A7FD2E3" w14:textId="451336FB" w:rsidR="77A8D69F" w:rsidRDefault="77A8D69F" w:rsidP="001B3723">
            <w:pPr>
              <w:spacing w:after="0" w:line="480" w:lineRule="auto"/>
              <w:jc w:val="center"/>
            </w:pPr>
            <w:r w:rsidRPr="77A8D69F">
              <w:rPr>
                <w:rFonts w:ascii="Aptos" w:eastAsia="Aptos" w:hAnsi="Aptos" w:cs="Aptos"/>
                <w:color w:val="000000" w:themeColor="text1"/>
              </w:rPr>
              <w:t>0.00</w:t>
            </w:r>
          </w:p>
        </w:tc>
        <w:tc>
          <w:tcPr>
            <w:tcW w:w="1781" w:type="dxa"/>
            <w:tcBorders>
              <w:top w:val="nil"/>
              <w:left w:val="nil"/>
              <w:bottom w:val="nil"/>
              <w:right w:val="nil"/>
            </w:tcBorders>
            <w:tcMar>
              <w:top w:w="15" w:type="dxa"/>
              <w:left w:w="15" w:type="dxa"/>
              <w:right w:w="15" w:type="dxa"/>
            </w:tcMar>
            <w:vAlign w:val="bottom"/>
          </w:tcPr>
          <w:p w14:paraId="29946B22" w14:textId="2176B85B" w:rsidR="77A8D69F" w:rsidRDefault="77A8D69F" w:rsidP="001B3723">
            <w:pPr>
              <w:spacing w:after="0" w:line="480" w:lineRule="auto"/>
              <w:jc w:val="center"/>
            </w:pPr>
            <w:r w:rsidRPr="77A8D69F">
              <w:rPr>
                <w:rFonts w:ascii="Aptos" w:eastAsia="Aptos" w:hAnsi="Aptos" w:cs="Aptos"/>
                <w:color w:val="000000" w:themeColor="text1"/>
              </w:rPr>
              <w:t>6.90</w:t>
            </w:r>
          </w:p>
        </w:tc>
      </w:tr>
      <w:tr w:rsidR="77A8D69F" w14:paraId="657A3039"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42A58822" w14:textId="4C4C28E1" w:rsidR="77A8D69F" w:rsidRDefault="77A8D69F" w:rsidP="001B3723">
            <w:pPr>
              <w:spacing w:after="0" w:line="480" w:lineRule="auto"/>
            </w:pPr>
            <w:r w:rsidRPr="77A8D69F">
              <w:rPr>
                <w:rFonts w:ascii="Aptos" w:eastAsia="Aptos" w:hAnsi="Aptos" w:cs="Aptos"/>
                <w:color w:val="000000" w:themeColor="text1"/>
              </w:rPr>
              <w:t xml:space="preserve">   East Asian</w:t>
            </w:r>
          </w:p>
        </w:tc>
        <w:tc>
          <w:tcPr>
            <w:tcW w:w="1795" w:type="dxa"/>
            <w:tcBorders>
              <w:top w:val="nil"/>
              <w:left w:val="nil"/>
              <w:bottom w:val="nil"/>
              <w:right w:val="nil"/>
            </w:tcBorders>
            <w:tcMar>
              <w:top w:w="15" w:type="dxa"/>
              <w:left w:w="15" w:type="dxa"/>
              <w:right w:w="15" w:type="dxa"/>
            </w:tcMar>
            <w:vAlign w:val="bottom"/>
          </w:tcPr>
          <w:p w14:paraId="183ED3B4" w14:textId="645E0D12" w:rsidR="77A8D69F" w:rsidRDefault="77A8D69F" w:rsidP="001B3723">
            <w:pPr>
              <w:spacing w:after="0" w:line="480" w:lineRule="auto"/>
              <w:jc w:val="center"/>
            </w:pPr>
            <w:r w:rsidRPr="77A8D69F">
              <w:rPr>
                <w:rFonts w:ascii="Aptos" w:eastAsia="Aptos" w:hAnsi="Aptos" w:cs="Aptos"/>
                <w:color w:val="000000" w:themeColor="text1"/>
              </w:rPr>
              <w:t>1.90</w:t>
            </w:r>
          </w:p>
        </w:tc>
        <w:tc>
          <w:tcPr>
            <w:tcW w:w="1785" w:type="dxa"/>
            <w:tcBorders>
              <w:top w:val="nil"/>
              <w:left w:val="nil"/>
              <w:bottom w:val="nil"/>
              <w:right w:val="nil"/>
            </w:tcBorders>
            <w:tcMar>
              <w:top w:w="15" w:type="dxa"/>
              <w:left w:w="15" w:type="dxa"/>
              <w:right w:w="15" w:type="dxa"/>
            </w:tcMar>
            <w:vAlign w:val="bottom"/>
          </w:tcPr>
          <w:p w14:paraId="37E5289A" w14:textId="04B4964B" w:rsidR="77A8D69F" w:rsidRDefault="77A8D69F" w:rsidP="001B3723">
            <w:pPr>
              <w:spacing w:after="0" w:line="480" w:lineRule="auto"/>
              <w:jc w:val="center"/>
            </w:pPr>
            <w:r w:rsidRPr="77A8D69F">
              <w:rPr>
                <w:rFonts w:ascii="Aptos" w:eastAsia="Aptos" w:hAnsi="Aptos" w:cs="Aptos"/>
                <w:color w:val="000000" w:themeColor="text1"/>
              </w:rPr>
              <w:t>1.00</w:t>
            </w:r>
          </w:p>
        </w:tc>
        <w:tc>
          <w:tcPr>
            <w:tcW w:w="1781" w:type="dxa"/>
            <w:tcBorders>
              <w:top w:val="nil"/>
              <w:left w:val="nil"/>
              <w:bottom w:val="nil"/>
              <w:right w:val="nil"/>
            </w:tcBorders>
            <w:tcMar>
              <w:top w:w="15" w:type="dxa"/>
              <w:left w:w="15" w:type="dxa"/>
              <w:right w:w="15" w:type="dxa"/>
            </w:tcMar>
            <w:vAlign w:val="bottom"/>
          </w:tcPr>
          <w:p w14:paraId="3CA2BBD5" w14:textId="289BDD1B" w:rsidR="77A8D69F" w:rsidRDefault="77A8D69F" w:rsidP="001B3723">
            <w:pPr>
              <w:spacing w:after="0" w:line="480" w:lineRule="auto"/>
              <w:jc w:val="center"/>
            </w:pPr>
            <w:r w:rsidRPr="77A8D69F">
              <w:rPr>
                <w:rFonts w:ascii="Aptos" w:eastAsia="Aptos" w:hAnsi="Aptos" w:cs="Aptos"/>
                <w:color w:val="000000" w:themeColor="text1"/>
              </w:rPr>
              <w:t>2.90</w:t>
            </w:r>
          </w:p>
        </w:tc>
      </w:tr>
      <w:tr w:rsidR="77A8D69F" w14:paraId="53E8F4A6"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61C1BECF" w14:textId="37313F17" w:rsidR="77A8D69F" w:rsidRDefault="77A8D69F" w:rsidP="001B3723">
            <w:pPr>
              <w:spacing w:after="0" w:line="480" w:lineRule="auto"/>
            </w:pPr>
            <w:r w:rsidRPr="77A8D69F">
              <w:rPr>
                <w:rFonts w:ascii="Aptos" w:eastAsia="Aptos" w:hAnsi="Aptos" w:cs="Aptos"/>
                <w:color w:val="000000" w:themeColor="text1"/>
              </w:rPr>
              <w:t xml:space="preserve">   Hispanic</w:t>
            </w:r>
          </w:p>
        </w:tc>
        <w:tc>
          <w:tcPr>
            <w:tcW w:w="1795" w:type="dxa"/>
            <w:tcBorders>
              <w:top w:val="nil"/>
              <w:left w:val="nil"/>
              <w:bottom w:val="nil"/>
              <w:right w:val="nil"/>
            </w:tcBorders>
            <w:tcMar>
              <w:top w:w="15" w:type="dxa"/>
              <w:left w:w="15" w:type="dxa"/>
              <w:right w:w="15" w:type="dxa"/>
            </w:tcMar>
            <w:vAlign w:val="bottom"/>
          </w:tcPr>
          <w:p w14:paraId="628A1840" w14:textId="14487F68" w:rsidR="77A8D69F" w:rsidRDefault="77A8D69F" w:rsidP="001B3723">
            <w:pPr>
              <w:spacing w:after="0" w:line="480" w:lineRule="auto"/>
              <w:jc w:val="center"/>
            </w:pPr>
            <w:r w:rsidRPr="77A8D69F">
              <w:rPr>
                <w:rFonts w:ascii="Aptos" w:eastAsia="Aptos" w:hAnsi="Aptos" w:cs="Aptos"/>
                <w:color w:val="000000" w:themeColor="text1"/>
              </w:rPr>
              <w:t>8.70</w:t>
            </w:r>
          </w:p>
        </w:tc>
        <w:tc>
          <w:tcPr>
            <w:tcW w:w="1785" w:type="dxa"/>
            <w:tcBorders>
              <w:top w:val="nil"/>
              <w:left w:val="nil"/>
              <w:bottom w:val="nil"/>
              <w:right w:val="nil"/>
            </w:tcBorders>
            <w:tcMar>
              <w:top w:w="15" w:type="dxa"/>
              <w:left w:w="15" w:type="dxa"/>
              <w:right w:w="15" w:type="dxa"/>
            </w:tcMar>
            <w:vAlign w:val="bottom"/>
          </w:tcPr>
          <w:p w14:paraId="3A23B0C3" w14:textId="1D9FE26D" w:rsidR="77A8D69F" w:rsidRDefault="77A8D69F" w:rsidP="001B3723">
            <w:pPr>
              <w:spacing w:after="0" w:line="480" w:lineRule="auto"/>
              <w:jc w:val="center"/>
            </w:pPr>
            <w:r w:rsidRPr="77A8D69F">
              <w:rPr>
                <w:rFonts w:ascii="Aptos" w:eastAsia="Aptos" w:hAnsi="Aptos" w:cs="Aptos"/>
                <w:color w:val="000000" w:themeColor="text1"/>
              </w:rPr>
              <w:t>0.00</w:t>
            </w:r>
          </w:p>
        </w:tc>
        <w:tc>
          <w:tcPr>
            <w:tcW w:w="1781" w:type="dxa"/>
            <w:tcBorders>
              <w:top w:val="nil"/>
              <w:left w:val="nil"/>
              <w:bottom w:val="nil"/>
              <w:right w:val="nil"/>
            </w:tcBorders>
            <w:tcMar>
              <w:top w:w="15" w:type="dxa"/>
              <w:left w:w="15" w:type="dxa"/>
              <w:right w:w="15" w:type="dxa"/>
            </w:tcMar>
            <w:vAlign w:val="bottom"/>
          </w:tcPr>
          <w:p w14:paraId="0D7BE2EF" w14:textId="79796FE6" w:rsidR="77A8D69F" w:rsidRDefault="77A8D69F" w:rsidP="001B3723">
            <w:pPr>
              <w:spacing w:after="0" w:line="480" w:lineRule="auto"/>
              <w:jc w:val="center"/>
            </w:pPr>
            <w:r w:rsidRPr="77A8D69F">
              <w:rPr>
                <w:rFonts w:ascii="Aptos" w:eastAsia="Aptos" w:hAnsi="Aptos" w:cs="Aptos"/>
                <w:color w:val="000000" w:themeColor="text1"/>
              </w:rPr>
              <w:t>1.00</w:t>
            </w:r>
          </w:p>
        </w:tc>
      </w:tr>
      <w:tr w:rsidR="77A8D69F" w14:paraId="289DBF3C"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76EF3A37" w14:textId="5C0B4262" w:rsidR="77A8D69F" w:rsidRDefault="77A8D69F" w:rsidP="001B3723">
            <w:pPr>
              <w:spacing w:after="0" w:line="480" w:lineRule="auto"/>
            </w:pPr>
            <w:r w:rsidRPr="77A8D69F">
              <w:rPr>
                <w:rFonts w:ascii="Aptos" w:eastAsia="Aptos" w:hAnsi="Aptos" w:cs="Aptos"/>
                <w:color w:val="000000" w:themeColor="text1"/>
              </w:rPr>
              <w:t xml:space="preserve">   Subcontinental Asian</w:t>
            </w:r>
          </w:p>
        </w:tc>
        <w:tc>
          <w:tcPr>
            <w:tcW w:w="1795" w:type="dxa"/>
            <w:tcBorders>
              <w:top w:val="nil"/>
              <w:left w:val="nil"/>
              <w:bottom w:val="nil"/>
              <w:right w:val="nil"/>
            </w:tcBorders>
            <w:tcMar>
              <w:top w:w="15" w:type="dxa"/>
              <w:left w:w="15" w:type="dxa"/>
              <w:right w:w="15" w:type="dxa"/>
            </w:tcMar>
            <w:vAlign w:val="bottom"/>
          </w:tcPr>
          <w:p w14:paraId="1C57B20F" w14:textId="6C3EB9F6" w:rsidR="77A8D69F" w:rsidRDefault="77A8D69F" w:rsidP="001B3723">
            <w:pPr>
              <w:spacing w:after="0" w:line="480" w:lineRule="auto"/>
              <w:jc w:val="center"/>
            </w:pPr>
            <w:r w:rsidRPr="77A8D69F">
              <w:rPr>
                <w:rFonts w:ascii="Aptos" w:eastAsia="Aptos" w:hAnsi="Aptos" w:cs="Aptos"/>
                <w:color w:val="000000" w:themeColor="text1"/>
              </w:rPr>
              <w:t>1.00</w:t>
            </w:r>
          </w:p>
        </w:tc>
        <w:tc>
          <w:tcPr>
            <w:tcW w:w="1785" w:type="dxa"/>
            <w:tcBorders>
              <w:top w:val="nil"/>
              <w:left w:val="nil"/>
              <w:bottom w:val="nil"/>
              <w:right w:val="nil"/>
            </w:tcBorders>
            <w:tcMar>
              <w:top w:w="15" w:type="dxa"/>
              <w:left w:w="15" w:type="dxa"/>
              <w:right w:w="15" w:type="dxa"/>
            </w:tcMar>
            <w:vAlign w:val="bottom"/>
          </w:tcPr>
          <w:p w14:paraId="25A21639" w14:textId="765F7F94" w:rsidR="77A8D69F" w:rsidRDefault="77A8D69F" w:rsidP="001B3723">
            <w:pPr>
              <w:spacing w:after="0" w:line="480" w:lineRule="auto"/>
              <w:jc w:val="center"/>
            </w:pPr>
            <w:r w:rsidRPr="77A8D69F">
              <w:rPr>
                <w:rFonts w:ascii="Aptos" w:eastAsia="Aptos" w:hAnsi="Aptos" w:cs="Aptos"/>
                <w:color w:val="000000" w:themeColor="text1"/>
              </w:rPr>
              <w:t>2.90</w:t>
            </w:r>
          </w:p>
        </w:tc>
        <w:tc>
          <w:tcPr>
            <w:tcW w:w="1781" w:type="dxa"/>
            <w:tcBorders>
              <w:top w:val="nil"/>
              <w:left w:val="nil"/>
              <w:bottom w:val="nil"/>
              <w:right w:val="nil"/>
            </w:tcBorders>
            <w:tcMar>
              <w:top w:w="15" w:type="dxa"/>
              <w:left w:w="15" w:type="dxa"/>
              <w:right w:w="15" w:type="dxa"/>
            </w:tcMar>
            <w:vAlign w:val="bottom"/>
          </w:tcPr>
          <w:p w14:paraId="3DC2E385" w14:textId="1D02BBE7" w:rsidR="77A8D69F" w:rsidRDefault="77A8D69F" w:rsidP="001B3723">
            <w:pPr>
              <w:spacing w:after="0" w:line="480" w:lineRule="auto"/>
              <w:jc w:val="center"/>
            </w:pPr>
            <w:r w:rsidRPr="77A8D69F">
              <w:rPr>
                <w:rFonts w:ascii="Aptos" w:eastAsia="Aptos" w:hAnsi="Aptos" w:cs="Aptos"/>
                <w:color w:val="000000" w:themeColor="text1"/>
              </w:rPr>
              <w:t>4.90</w:t>
            </w:r>
          </w:p>
        </w:tc>
      </w:tr>
      <w:tr w:rsidR="77A8D69F" w14:paraId="3EBA3F8C"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141F9D40" w14:textId="321A9ABC" w:rsidR="77A8D69F" w:rsidRDefault="77A8D69F" w:rsidP="001B3723">
            <w:pPr>
              <w:spacing w:after="0" w:line="480" w:lineRule="auto"/>
            </w:pPr>
            <w:r w:rsidRPr="77A8D69F">
              <w:rPr>
                <w:rFonts w:ascii="Aptos" w:eastAsia="Aptos" w:hAnsi="Aptos" w:cs="Aptos"/>
                <w:color w:val="000000" w:themeColor="text1"/>
              </w:rPr>
              <w:t xml:space="preserve">   White</w:t>
            </w:r>
          </w:p>
        </w:tc>
        <w:tc>
          <w:tcPr>
            <w:tcW w:w="1795" w:type="dxa"/>
            <w:tcBorders>
              <w:top w:val="nil"/>
              <w:left w:val="nil"/>
              <w:bottom w:val="nil"/>
              <w:right w:val="nil"/>
            </w:tcBorders>
            <w:tcMar>
              <w:top w:w="15" w:type="dxa"/>
              <w:left w:w="15" w:type="dxa"/>
              <w:right w:w="15" w:type="dxa"/>
            </w:tcMar>
            <w:vAlign w:val="bottom"/>
          </w:tcPr>
          <w:p w14:paraId="25D6D5C0" w14:textId="4EBE3261" w:rsidR="77A8D69F" w:rsidRDefault="77A8D69F" w:rsidP="001B3723">
            <w:pPr>
              <w:spacing w:after="0" w:line="480" w:lineRule="auto"/>
              <w:jc w:val="center"/>
            </w:pPr>
            <w:r w:rsidRPr="77A8D69F">
              <w:rPr>
                <w:rFonts w:ascii="Aptos" w:eastAsia="Aptos" w:hAnsi="Aptos" w:cs="Aptos"/>
                <w:color w:val="000000" w:themeColor="text1"/>
              </w:rPr>
              <w:t>75.70</w:t>
            </w:r>
          </w:p>
        </w:tc>
        <w:tc>
          <w:tcPr>
            <w:tcW w:w="1785" w:type="dxa"/>
            <w:tcBorders>
              <w:top w:val="nil"/>
              <w:left w:val="nil"/>
              <w:bottom w:val="nil"/>
              <w:right w:val="nil"/>
            </w:tcBorders>
            <w:tcMar>
              <w:top w:w="15" w:type="dxa"/>
              <w:left w:w="15" w:type="dxa"/>
              <w:right w:w="15" w:type="dxa"/>
            </w:tcMar>
            <w:vAlign w:val="bottom"/>
          </w:tcPr>
          <w:p w14:paraId="2181B873" w14:textId="50D8150E" w:rsidR="77A8D69F" w:rsidRDefault="77A8D69F" w:rsidP="001B3723">
            <w:pPr>
              <w:spacing w:after="0" w:line="480" w:lineRule="auto"/>
              <w:jc w:val="center"/>
            </w:pPr>
            <w:r w:rsidRPr="77A8D69F">
              <w:rPr>
                <w:rFonts w:ascii="Aptos" w:eastAsia="Aptos" w:hAnsi="Aptos" w:cs="Aptos"/>
                <w:color w:val="000000" w:themeColor="text1"/>
              </w:rPr>
              <w:t>92.20</w:t>
            </w:r>
          </w:p>
        </w:tc>
        <w:tc>
          <w:tcPr>
            <w:tcW w:w="1781" w:type="dxa"/>
            <w:tcBorders>
              <w:top w:val="nil"/>
              <w:left w:val="nil"/>
              <w:bottom w:val="nil"/>
              <w:right w:val="nil"/>
            </w:tcBorders>
            <w:tcMar>
              <w:top w:w="15" w:type="dxa"/>
              <w:left w:w="15" w:type="dxa"/>
              <w:right w:w="15" w:type="dxa"/>
            </w:tcMar>
            <w:vAlign w:val="bottom"/>
          </w:tcPr>
          <w:p w14:paraId="649BCEE8" w14:textId="20701FB2" w:rsidR="77A8D69F" w:rsidRDefault="77A8D69F" w:rsidP="001B3723">
            <w:pPr>
              <w:spacing w:after="0" w:line="480" w:lineRule="auto"/>
              <w:jc w:val="center"/>
            </w:pPr>
            <w:r w:rsidRPr="77A8D69F">
              <w:rPr>
                <w:rFonts w:ascii="Aptos" w:eastAsia="Aptos" w:hAnsi="Aptos" w:cs="Aptos"/>
                <w:color w:val="000000" w:themeColor="text1"/>
              </w:rPr>
              <w:t>80.00</w:t>
            </w:r>
          </w:p>
        </w:tc>
      </w:tr>
      <w:tr w:rsidR="77A8D69F" w14:paraId="69C04FFF"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0C62FFD0" w14:textId="7506D9FE" w:rsidR="77A8D69F" w:rsidRDefault="77A8D69F" w:rsidP="001B3723">
            <w:pPr>
              <w:spacing w:after="0" w:line="480" w:lineRule="auto"/>
            </w:pPr>
            <w:r w:rsidRPr="77A8D69F">
              <w:rPr>
                <w:rFonts w:ascii="Aptos" w:eastAsia="Aptos" w:hAnsi="Aptos" w:cs="Aptos"/>
                <w:color w:val="000000" w:themeColor="text1"/>
              </w:rPr>
              <w:t xml:space="preserve">   Other</w:t>
            </w:r>
          </w:p>
        </w:tc>
        <w:tc>
          <w:tcPr>
            <w:tcW w:w="1795" w:type="dxa"/>
            <w:tcBorders>
              <w:top w:val="nil"/>
              <w:left w:val="nil"/>
              <w:bottom w:val="nil"/>
              <w:right w:val="nil"/>
            </w:tcBorders>
            <w:tcMar>
              <w:top w:w="15" w:type="dxa"/>
              <w:left w:w="15" w:type="dxa"/>
              <w:right w:w="15" w:type="dxa"/>
            </w:tcMar>
            <w:vAlign w:val="bottom"/>
          </w:tcPr>
          <w:p w14:paraId="158CB2B9" w14:textId="76655D06" w:rsidR="77A8D69F" w:rsidRDefault="77A8D69F" w:rsidP="001B3723">
            <w:pPr>
              <w:spacing w:after="0" w:line="480" w:lineRule="auto"/>
              <w:jc w:val="center"/>
            </w:pPr>
            <w:r w:rsidRPr="77A8D69F">
              <w:rPr>
                <w:rFonts w:ascii="Aptos" w:eastAsia="Aptos" w:hAnsi="Aptos" w:cs="Aptos"/>
                <w:color w:val="000000" w:themeColor="text1"/>
              </w:rPr>
              <w:t>4.90</w:t>
            </w:r>
          </w:p>
        </w:tc>
        <w:tc>
          <w:tcPr>
            <w:tcW w:w="1785" w:type="dxa"/>
            <w:tcBorders>
              <w:top w:val="nil"/>
              <w:left w:val="nil"/>
              <w:bottom w:val="nil"/>
              <w:right w:val="nil"/>
            </w:tcBorders>
            <w:tcMar>
              <w:top w:w="15" w:type="dxa"/>
              <w:left w:w="15" w:type="dxa"/>
              <w:right w:w="15" w:type="dxa"/>
            </w:tcMar>
            <w:vAlign w:val="bottom"/>
          </w:tcPr>
          <w:p w14:paraId="50544C23" w14:textId="03152B83" w:rsidR="77A8D69F" w:rsidRDefault="77A8D69F" w:rsidP="001B3723">
            <w:pPr>
              <w:spacing w:after="0" w:line="480" w:lineRule="auto"/>
              <w:jc w:val="center"/>
            </w:pPr>
            <w:r w:rsidRPr="77A8D69F">
              <w:rPr>
                <w:rFonts w:ascii="Aptos" w:eastAsia="Aptos" w:hAnsi="Aptos" w:cs="Aptos"/>
                <w:color w:val="000000" w:themeColor="text1"/>
              </w:rPr>
              <w:t>3.90</w:t>
            </w:r>
          </w:p>
        </w:tc>
        <w:tc>
          <w:tcPr>
            <w:tcW w:w="1781" w:type="dxa"/>
            <w:tcBorders>
              <w:top w:val="nil"/>
              <w:left w:val="nil"/>
              <w:bottom w:val="nil"/>
              <w:right w:val="nil"/>
            </w:tcBorders>
            <w:tcMar>
              <w:top w:w="15" w:type="dxa"/>
              <w:left w:w="15" w:type="dxa"/>
              <w:right w:w="15" w:type="dxa"/>
            </w:tcMar>
            <w:vAlign w:val="bottom"/>
          </w:tcPr>
          <w:p w14:paraId="5B9C779F" w14:textId="07E7209F" w:rsidR="77A8D69F" w:rsidRDefault="77A8D69F" w:rsidP="001B3723">
            <w:pPr>
              <w:spacing w:after="0" w:line="480" w:lineRule="auto"/>
              <w:jc w:val="center"/>
            </w:pPr>
            <w:r w:rsidRPr="77A8D69F">
              <w:rPr>
                <w:rFonts w:ascii="Aptos" w:eastAsia="Aptos" w:hAnsi="Aptos" w:cs="Aptos"/>
                <w:color w:val="000000" w:themeColor="text1"/>
              </w:rPr>
              <w:t>3.90</w:t>
            </w:r>
          </w:p>
        </w:tc>
      </w:tr>
      <w:tr w:rsidR="77A8D69F" w14:paraId="5A17EB1B"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34A79954" w14:textId="530200BD" w:rsidR="77A8D69F" w:rsidRDefault="77A8D69F" w:rsidP="001B3723">
            <w:pPr>
              <w:spacing w:after="0" w:line="480" w:lineRule="auto"/>
            </w:pPr>
            <w:r w:rsidRPr="77A8D69F">
              <w:rPr>
                <w:rFonts w:ascii="Aptos" w:eastAsia="Aptos" w:hAnsi="Aptos" w:cs="Aptos"/>
                <w:color w:val="000000" w:themeColor="text1"/>
              </w:rPr>
              <w:t xml:space="preserve">   Prefer Not to Say</w:t>
            </w:r>
          </w:p>
        </w:tc>
        <w:tc>
          <w:tcPr>
            <w:tcW w:w="1795" w:type="dxa"/>
            <w:tcBorders>
              <w:top w:val="nil"/>
              <w:left w:val="nil"/>
              <w:bottom w:val="nil"/>
              <w:right w:val="nil"/>
            </w:tcBorders>
            <w:tcMar>
              <w:top w:w="15" w:type="dxa"/>
              <w:left w:w="15" w:type="dxa"/>
              <w:right w:w="15" w:type="dxa"/>
            </w:tcMar>
            <w:vAlign w:val="bottom"/>
          </w:tcPr>
          <w:p w14:paraId="721D56F0" w14:textId="7E7EA8A5" w:rsidR="77A8D69F" w:rsidRDefault="77A8D69F" w:rsidP="001B3723">
            <w:pPr>
              <w:spacing w:after="0" w:line="480" w:lineRule="auto"/>
              <w:jc w:val="center"/>
            </w:pPr>
            <w:r w:rsidRPr="77A8D69F">
              <w:rPr>
                <w:rFonts w:ascii="Aptos" w:eastAsia="Aptos" w:hAnsi="Aptos" w:cs="Aptos"/>
                <w:color w:val="000000" w:themeColor="text1"/>
              </w:rPr>
              <w:t>0.00</w:t>
            </w:r>
          </w:p>
        </w:tc>
        <w:tc>
          <w:tcPr>
            <w:tcW w:w="1785" w:type="dxa"/>
            <w:tcBorders>
              <w:top w:val="nil"/>
              <w:left w:val="nil"/>
              <w:bottom w:val="nil"/>
              <w:right w:val="nil"/>
            </w:tcBorders>
            <w:tcMar>
              <w:top w:w="15" w:type="dxa"/>
              <w:left w:w="15" w:type="dxa"/>
              <w:right w:w="15" w:type="dxa"/>
            </w:tcMar>
            <w:vAlign w:val="bottom"/>
          </w:tcPr>
          <w:p w14:paraId="20977147" w14:textId="6F821140" w:rsidR="77A8D69F" w:rsidRDefault="77A8D69F" w:rsidP="001B3723">
            <w:pPr>
              <w:spacing w:after="0" w:line="480" w:lineRule="auto"/>
              <w:jc w:val="center"/>
            </w:pPr>
            <w:r w:rsidRPr="77A8D69F">
              <w:rPr>
                <w:rFonts w:ascii="Aptos" w:eastAsia="Aptos" w:hAnsi="Aptos" w:cs="Aptos"/>
                <w:color w:val="000000" w:themeColor="text1"/>
              </w:rPr>
              <w:t>0.00</w:t>
            </w:r>
          </w:p>
        </w:tc>
        <w:tc>
          <w:tcPr>
            <w:tcW w:w="1781" w:type="dxa"/>
            <w:tcBorders>
              <w:top w:val="nil"/>
              <w:left w:val="nil"/>
              <w:bottom w:val="nil"/>
              <w:right w:val="nil"/>
            </w:tcBorders>
            <w:tcMar>
              <w:top w:w="15" w:type="dxa"/>
              <w:left w:w="15" w:type="dxa"/>
              <w:right w:w="15" w:type="dxa"/>
            </w:tcMar>
            <w:vAlign w:val="bottom"/>
          </w:tcPr>
          <w:p w14:paraId="47A0F8EA" w14:textId="70FC88B4" w:rsidR="77A8D69F" w:rsidRDefault="77A8D69F" w:rsidP="001B3723">
            <w:pPr>
              <w:spacing w:after="0" w:line="480" w:lineRule="auto"/>
              <w:jc w:val="center"/>
            </w:pPr>
            <w:r w:rsidRPr="77A8D69F">
              <w:rPr>
                <w:rFonts w:ascii="Aptos" w:eastAsia="Aptos" w:hAnsi="Aptos" w:cs="Aptos"/>
                <w:color w:val="000000" w:themeColor="text1"/>
              </w:rPr>
              <w:t>2.00</w:t>
            </w:r>
          </w:p>
        </w:tc>
      </w:tr>
      <w:tr w:rsidR="77A8D69F" w14:paraId="4957B2F5"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1B967E8C" w14:textId="1E8429B3" w:rsidR="77A8D69F" w:rsidRDefault="77A8D69F" w:rsidP="001B3723">
            <w:pPr>
              <w:spacing w:after="0" w:line="480" w:lineRule="auto"/>
            </w:pPr>
            <w:r w:rsidRPr="77A8D69F">
              <w:rPr>
                <w:rFonts w:ascii="Aptos" w:eastAsia="Aptos" w:hAnsi="Aptos" w:cs="Aptos"/>
                <w:b/>
                <w:bCs/>
                <w:color w:val="000000" w:themeColor="text1"/>
              </w:rPr>
              <w:t>Gender (%)</w:t>
            </w:r>
          </w:p>
        </w:tc>
        <w:tc>
          <w:tcPr>
            <w:tcW w:w="1795" w:type="dxa"/>
            <w:tcBorders>
              <w:top w:val="nil"/>
              <w:left w:val="nil"/>
              <w:bottom w:val="nil"/>
              <w:right w:val="nil"/>
            </w:tcBorders>
            <w:tcMar>
              <w:top w:w="15" w:type="dxa"/>
              <w:left w:w="15" w:type="dxa"/>
              <w:right w:w="15" w:type="dxa"/>
            </w:tcMar>
            <w:vAlign w:val="bottom"/>
          </w:tcPr>
          <w:p w14:paraId="19294777" w14:textId="71C4CAC5" w:rsidR="77A8D69F" w:rsidRDefault="77A8D69F" w:rsidP="001B3723">
            <w:pPr>
              <w:spacing w:after="0" w:line="480" w:lineRule="auto"/>
            </w:pPr>
          </w:p>
        </w:tc>
        <w:tc>
          <w:tcPr>
            <w:tcW w:w="1785" w:type="dxa"/>
            <w:tcBorders>
              <w:top w:val="nil"/>
              <w:left w:val="nil"/>
              <w:bottom w:val="nil"/>
              <w:right w:val="nil"/>
            </w:tcBorders>
            <w:tcMar>
              <w:top w:w="15" w:type="dxa"/>
              <w:left w:w="15" w:type="dxa"/>
              <w:right w:w="15" w:type="dxa"/>
            </w:tcMar>
            <w:vAlign w:val="bottom"/>
          </w:tcPr>
          <w:p w14:paraId="1DDC413E" w14:textId="4BC1A149" w:rsidR="77A8D69F" w:rsidRDefault="77A8D69F" w:rsidP="001B3723">
            <w:pPr>
              <w:spacing w:after="0" w:line="480" w:lineRule="auto"/>
            </w:pPr>
          </w:p>
        </w:tc>
        <w:tc>
          <w:tcPr>
            <w:tcW w:w="1781" w:type="dxa"/>
            <w:tcBorders>
              <w:top w:val="nil"/>
              <w:left w:val="nil"/>
              <w:bottom w:val="nil"/>
              <w:right w:val="nil"/>
            </w:tcBorders>
            <w:tcMar>
              <w:top w:w="15" w:type="dxa"/>
              <w:left w:w="15" w:type="dxa"/>
              <w:right w:w="15" w:type="dxa"/>
            </w:tcMar>
            <w:vAlign w:val="bottom"/>
          </w:tcPr>
          <w:p w14:paraId="658AEE2D" w14:textId="3AE42ACF" w:rsidR="77A8D69F" w:rsidRDefault="77A8D69F" w:rsidP="001B3723">
            <w:pPr>
              <w:spacing w:after="0" w:line="480" w:lineRule="auto"/>
            </w:pPr>
          </w:p>
        </w:tc>
      </w:tr>
      <w:tr w:rsidR="77A8D69F" w14:paraId="34588E4E"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62D7B96C" w14:textId="50D886B6" w:rsidR="77A8D69F" w:rsidRDefault="77A8D69F" w:rsidP="001B3723">
            <w:pPr>
              <w:spacing w:after="0" w:line="480" w:lineRule="auto"/>
            </w:pPr>
            <w:r w:rsidRPr="77A8D69F">
              <w:rPr>
                <w:rFonts w:ascii="Aptos" w:eastAsia="Aptos" w:hAnsi="Aptos" w:cs="Aptos"/>
                <w:color w:val="000000" w:themeColor="text1"/>
              </w:rPr>
              <w:t xml:space="preserve">   Female</w:t>
            </w:r>
          </w:p>
        </w:tc>
        <w:tc>
          <w:tcPr>
            <w:tcW w:w="1795" w:type="dxa"/>
            <w:tcBorders>
              <w:top w:val="nil"/>
              <w:left w:val="nil"/>
              <w:bottom w:val="nil"/>
              <w:right w:val="nil"/>
            </w:tcBorders>
            <w:tcMar>
              <w:top w:w="15" w:type="dxa"/>
              <w:left w:w="15" w:type="dxa"/>
              <w:right w:w="15" w:type="dxa"/>
            </w:tcMar>
            <w:vAlign w:val="bottom"/>
          </w:tcPr>
          <w:p w14:paraId="353FFCD1" w14:textId="072586F7" w:rsidR="77A8D69F" w:rsidRDefault="77A8D69F" w:rsidP="001B3723">
            <w:pPr>
              <w:spacing w:after="0" w:line="480" w:lineRule="auto"/>
              <w:jc w:val="center"/>
            </w:pPr>
            <w:r w:rsidRPr="77A8D69F">
              <w:rPr>
                <w:rFonts w:ascii="Aptos" w:eastAsia="Aptos" w:hAnsi="Aptos" w:cs="Aptos"/>
                <w:color w:val="000000" w:themeColor="text1"/>
              </w:rPr>
              <w:t>44.70</w:t>
            </w:r>
          </w:p>
        </w:tc>
        <w:tc>
          <w:tcPr>
            <w:tcW w:w="1785" w:type="dxa"/>
            <w:tcBorders>
              <w:top w:val="nil"/>
              <w:left w:val="nil"/>
              <w:bottom w:val="nil"/>
              <w:right w:val="nil"/>
            </w:tcBorders>
            <w:tcMar>
              <w:top w:w="15" w:type="dxa"/>
              <w:left w:w="15" w:type="dxa"/>
              <w:right w:w="15" w:type="dxa"/>
            </w:tcMar>
            <w:vAlign w:val="bottom"/>
          </w:tcPr>
          <w:p w14:paraId="275BDDCA" w14:textId="228430BE" w:rsidR="77A8D69F" w:rsidRDefault="77A8D69F" w:rsidP="001B3723">
            <w:pPr>
              <w:spacing w:after="0" w:line="480" w:lineRule="auto"/>
              <w:jc w:val="center"/>
            </w:pPr>
            <w:r w:rsidRPr="77A8D69F">
              <w:rPr>
                <w:rFonts w:ascii="Aptos" w:eastAsia="Aptos" w:hAnsi="Aptos" w:cs="Aptos"/>
                <w:color w:val="000000" w:themeColor="text1"/>
              </w:rPr>
              <w:t>79.40</w:t>
            </w:r>
          </w:p>
        </w:tc>
        <w:tc>
          <w:tcPr>
            <w:tcW w:w="1781" w:type="dxa"/>
            <w:tcBorders>
              <w:top w:val="nil"/>
              <w:left w:val="nil"/>
              <w:bottom w:val="nil"/>
              <w:right w:val="nil"/>
            </w:tcBorders>
            <w:tcMar>
              <w:top w:w="15" w:type="dxa"/>
              <w:left w:w="15" w:type="dxa"/>
              <w:right w:w="15" w:type="dxa"/>
            </w:tcMar>
            <w:vAlign w:val="bottom"/>
          </w:tcPr>
          <w:p w14:paraId="44143626" w14:textId="6E3056B4" w:rsidR="77A8D69F" w:rsidRDefault="77A8D69F" w:rsidP="001B3723">
            <w:pPr>
              <w:spacing w:after="0" w:line="480" w:lineRule="auto"/>
              <w:jc w:val="center"/>
            </w:pPr>
            <w:r w:rsidRPr="77A8D69F">
              <w:rPr>
                <w:rFonts w:ascii="Aptos" w:eastAsia="Aptos" w:hAnsi="Aptos" w:cs="Aptos"/>
                <w:color w:val="000000" w:themeColor="text1"/>
              </w:rPr>
              <w:t>47.10</w:t>
            </w:r>
          </w:p>
        </w:tc>
      </w:tr>
      <w:tr w:rsidR="77A8D69F" w14:paraId="4A800E6F"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5B67EBA1" w14:textId="1BC1CF76" w:rsidR="77A8D69F" w:rsidRDefault="77A8D69F" w:rsidP="001B3723">
            <w:pPr>
              <w:spacing w:after="0" w:line="480" w:lineRule="auto"/>
            </w:pPr>
            <w:r w:rsidRPr="77A8D69F">
              <w:rPr>
                <w:rFonts w:ascii="Aptos" w:eastAsia="Aptos" w:hAnsi="Aptos" w:cs="Aptos"/>
                <w:color w:val="000000" w:themeColor="text1"/>
              </w:rPr>
              <w:t xml:space="preserve">   Male</w:t>
            </w:r>
          </w:p>
        </w:tc>
        <w:tc>
          <w:tcPr>
            <w:tcW w:w="1795" w:type="dxa"/>
            <w:tcBorders>
              <w:top w:val="nil"/>
              <w:left w:val="nil"/>
              <w:bottom w:val="nil"/>
              <w:right w:val="nil"/>
            </w:tcBorders>
            <w:tcMar>
              <w:top w:w="15" w:type="dxa"/>
              <w:left w:w="15" w:type="dxa"/>
              <w:right w:w="15" w:type="dxa"/>
            </w:tcMar>
            <w:vAlign w:val="bottom"/>
          </w:tcPr>
          <w:p w14:paraId="3A934D1C" w14:textId="1B6210D3" w:rsidR="77A8D69F" w:rsidRDefault="77A8D69F" w:rsidP="001B3723">
            <w:pPr>
              <w:spacing w:after="0" w:line="480" w:lineRule="auto"/>
              <w:jc w:val="center"/>
            </w:pPr>
            <w:r w:rsidRPr="77A8D69F">
              <w:rPr>
                <w:rFonts w:ascii="Aptos" w:eastAsia="Aptos" w:hAnsi="Aptos" w:cs="Aptos"/>
                <w:color w:val="000000" w:themeColor="text1"/>
              </w:rPr>
              <w:t>44.70</w:t>
            </w:r>
          </w:p>
        </w:tc>
        <w:tc>
          <w:tcPr>
            <w:tcW w:w="1785" w:type="dxa"/>
            <w:tcBorders>
              <w:top w:val="nil"/>
              <w:left w:val="nil"/>
              <w:bottom w:val="nil"/>
              <w:right w:val="nil"/>
            </w:tcBorders>
            <w:tcMar>
              <w:top w:w="15" w:type="dxa"/>
              <w:left w:w="15" w:type="dxa"/>
              <w:right w:w="15" w:type="dxa"/>
            </w:tcMar>
            <w:vAlign w:val="bottom"/>
          </w:tcPr>
          <w:p w14:paraId="6D395F5B" w14:textId="0015592B" w:rsidR="77A8D69F" w:rsidRDefault="77A8D69F" w:rsidP="001B3723">
            <w:pPr>
              <w:spacing w:after="0" w:line="480" w:lineRule="auto"/>
              <w:jc w:val="center"/>
            </w:pPr>
            <w:r w:rsidRPr="77A8D69F">
              <w:rPr>
                <w:rFonts w:ascii="Aptos" w:eastAsia="Aptos" w:hAnsi="Aptos" w:cs="Aptos"/>
                <w:color w:val="000000" w:themeColor="text1"/>
              </w:rPr>
              <w:t>20.60</w:t>
            </w:r>
          </w:p>
        </w:tc>
        <w:tc>
          <w:tcPr>
            <w:tcW w:w="1781" w:type="dxa"/>
            <w:tcBorders>
              <w:top w:val="nil"/>
              <w:left w:val="nil"/>
              <w:bottom w:val="nil"/>
              <w:right w:val="nil"/>
            </w:tcBorders>
            <w:tcMar>
              <w:top w:w="15" w:type="dxa"/>
              <w:left w:w="15" w:type="dxa"/>
              <w:right w:w="15" w:type="dxa"/>
            </w:tcMar>
            <w:vAlign w:val="bottom"/>
          </w:tcPr>
          <w:p w14:paraId="0C73C641" w14:textId="2E2A18FD" w:rsidR="77A8D69F" w:rsidRDefault="77A8D69F" w:rsidP="001B3723">
            <w:pPr>
              <w:spacing w:after="0" w:line="480" w:lineRule="auto"/>
              <w:jc w:val="center"/>
            </w:pPr>
            <w:r w:rsidRPr="77A8D69F">
              <w:rPr>
                <w:rFonts w:ascii="Aptos" w:eastAsia="Aptos" w:hAnsi="Aptos" w:cs="Aptos"/>
                <w:color w:val="000000" w:themeColor="text1"/>
              </w:rPr>
              <w:t>52.90</w:t>
            </w:r>
          </w:p>
        </w:tc>
      </w:tr>
      <w:tr w:rsidR="77A8D69F" w14:paraId="6B579B2B"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7C63A47C" w14:textId="34628513" w:rsidR="77A8D69F" w:rsidRDefault="77A8D69F" w:rsidP="001B3723">
            <w:pPr>
              <w:spacing w:after="0" w:line="480" w:lineRule="auto"/>
            </w:pPr>
            <w:r w:rsidRPr="77A8D69F">
              <w:rPr>
                <w:rFonts w:ascii="Aptos" w:eastAsia="Aptos" w:hAnsi="Aptos" w:cs="Aptos"/>
                <w:color w:val="000000" w:themeColor="text1"/>
              </w:rPr>
              <w:t xml:space="preserve">   Non Binary</w:t>
            </w:r>
          </w:p>
        </w:tc>
        <w:tc>
          <w:tcPr>
            <w:tcW w:w="1795" w:type="dxa"/>
            <w:tcBorders>
              <w:top w:val="nil"/>
              <w:left w:val="nil"/>
              <w:bottom w:val="nil"/>
              <w:right w:val="nil"/>
            </w:tcBorders>
            <w:tcMar>
              <w:top w:w="15" w:type="dxa"/>
              <w:left w:w="15" w:type="dxa"/>
              <w:right w:w="15" w:type="dxa"/>
            </w:tcMar>
            <w:vAlign w:val="bottom"/>
          </w:tcPr>
          <w:p w14:paraId="50435F0C" w14:textId="06D18FEC" w:rsidR="77A8D69F" w:rsidRDefault="77A8D69F" w:rsidP="001B3723">
            <w:pPr>
              <w:spacing w:after="0" w:line="480" w:lineRule="auto"/>
              <w:jc w:val="center"/>
            </w:pPr>
            <w:r w:rsidRPr="77A8D69F">
              <w:rPr>
                <w:rFonts w:ascii="Aptos" w:eastAsia="Aptos" w:hAnsi="Aptos" w:cs="Aptos"/>
                <w:color w:val="000000" w:themeColor="text1"/>
              </w:rPr>
              <w:t>5.80</w:t>
            </w:r>
          </w:p>
        </w:tc>
        <w:tc>
          <w:tcPr>
            <w:tcW w:w="1785" w:type="dxa"/>
            <w:tcBorders>
              <w:top w:val="nil"/>
              <w:left w:val="nil"/>
              <w:bottom w:val="nil"/>
              <w:right w:val="nil"/>
            </w:tcBorders>
            <w:tcMar>
              <w:top w:w="15" w:type="dxa"/>
              <w:left w:w="15" w:type="dxa"/>
              <w:right w:w="15" w:type="dxa"/>
            </w:tcMar>
            <w:vAlign w:val="bottom"/>
          </w:tcPr>
          <w:p w14:paraId="76475B0E" w14:textId="3E4F3992" w:rsidR="77A8D69F" w:rsidRDefault="77A8D69F" w:rsidP="001B3723">
            <w:pPr>
              <w:spacing w:after="0" w:line="480" w:lineRule="auto"/>
              <w:jc w:val="center"/>
            </w:pPr>
            <w:r w:rsidRPr="77A8D69F">
              <w:rPr>
                <w:rFonts w:ascii="Aptos" w:eastAsia="Aptos" w:hAnsi="Aptos" w:cs="Aptos"/>
                <w:color w:val="000000" w:themeColor="text1"/>
              </w:rPr>
              <w:t>0.00</w:t>
            </w:r>
          </w:p>
        </w:tc>
        <w:tc>
          <w:tcPr>
            <w:tcW w:w="1781" w:type="dxa"/>
            <w:tcBorders>
              <w:top w:val="nil"/>
              <w:left w:val="nil"/>
              <w:bottom w:val="nil"/>
              <w:right w:val="nil"/>
            </w:tcBorders>
            <w:tcMar>
              <w:top w:w="15" w:type="dxa"/>
              <w:left w:w="15" w:type="dxa"/>
              <w:right w:w="15" w:type="dxa"/>
            </w:tcMar>
            <w:vAlign w:val="bottom"/>
          </w:tcPr>
          <w:p w14:paraId="3A5EA1F5" w14:textId="64001FA5" w:rsidR="77A8D69F" w:rsidRDefault="77A8D69F" w:rsidP="001B3723">
            <w:pPr>
              <w:spacing w:after="0" w:line="480" w:lineRule="auto"/>
              <w:jc w:val="center"/>
            </w:pPr>
            <w:r w:rsidRPr="77A8D69F">
              <w:rPr>
                <w:rFonts w:ascii="Aptos" w:eastAsia="Aptos" w:hAnsi="Aptos" w:cs="Aptos"/>
                <w:color w:val="000000" w:themeColor="text1"/>
              </w:rPr>
              <w:t>0.00</w:t>
            </w:r>
          </w:p>
        </w:tc>
      </w:tr>
      <w:tr w:rsidR="77A8D69F" w14:paraId="7E3B33BF"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63506BBD" w14:textId="212CD3B5" w:rsidR="77A8D69F" w:rsidRDefault="77A8D69F" w:rsidP="001B3723">
            <w:pPr>
              <w:spacing w:after="0" w:line="480" w:lineRule="auto"/>
            </w:pPr>
            <w:r w:rsidRPr="77A8D69F">
              <w:rPr>
                <w:rFonts w:ascii="Aptos" w:eastAsia="Aptos" w:hAnsi="Aptos" w:cs="Aptos"/>
                <w:color w:val="000000" w:themeColor="text1"/>
              </w:rPr>
              <w:t xml:space="preserve">   Transgender</w:t>
            </w:r>
          </w:p>
        </w:tc>
        <w:tc>
          <w:tcPr>
            <w:tcW w:w="1795" w:type="dxa"/>
            <w:tcBorders>
              <w:top w:val="nil"/>
              <w:left w:val="nil"/>
              <w:bottom w:val="nil"/>
              <w:right w:val="nil"/>
            </w:tcBorders>
            <w:tcMar>
              <w:top w:w="15" w:type="dxa"/>
              <w:left w:w="15" w:type="dxa"/>
              <w:right w:w="15" w:type="dxa"/>
            </w:tcMar>
            <w:vAlign w:val="bottom"/>
          </w:tcPr>
          <w:p w14:paraId="6E88E183" w14:textId="2BAC5474" w:rsidR="77A8D69F" w:rsidRDefault="77A8D69F" w:rsidP="001B3723">
            <w:pPr>
              <w:spacing w:after="0" w:line="480" w:lineRule="auto"/>
              <w:jc w:val="center"/>
            </w:pPr>
            <w:r w:rsidRPr="77A8D69F">
              <w:rPr>
                <w:rFonts w:ascii="Aptos" w:eastAsia="Aptos" w:hAnsi="Aptos" w:cs="Aptos"/>
                <w:color w:val="000000" w:themeColor="text1"/>
              </w:rPr>
              <w:t>2.90</w:t>
            </w:r>
          </w:p>
        </w:tc>
        <w:tc>
          <w:tcPr>
            <w:tcW w:w="1785" w:type="dxa"/>
            <w:tcBorders>
              <w:top w:val="nil"/>
              <w:left w:val="nil"/>
              <w:bottom w:val="nil"/>
              <w:right w:val="nil"/>
            </w:tcBorders>
            <w:tcMar>
              <w:top w:w="15" w:type="dxa"/>
              <w:left w:w="15" w:type="dxa"/>
              <w:right w:w="15" w:type="dxa"/>
            </w:tcMar>
            <w:vAlign w:val="bottom"/>
          </w:tcPr>
          <w:p w14:paraId="63956959" w14:textId="639A1CF3" w:rsidR="77A8D69F" w:rsidRDefault="77A8D69F" w:rsidP="001B3723">
            <w:pPr>
              <w:spacing w:after="0" w:line="480" w:lineRule="auto"/>
              <w:jc w:val="center"/>
            </w:pPr>
            <w:r w:rsidRPr="77A8D69F">
              <w:rPr>
                <w:rFonts w:ascii="Aptos" w:eastAsia="Aptos" w:hAnsi="Aptos" w:cs="Aptos"/>
                <w:color w:val="000000" w:themeColor="text1"/>
              </w:rPr>
              <w:t>0.00</w:t>
            </w:r>
          </w:p>
        </w:tc>
        <w:tc>
          <w:tcPr>
            <w:tcW w:w="1781" w:type="dxa"/>
            <w:tcBorders>
              <w:top w:val="nil"/>
              <w:left w:val="nil"/>
              <w:bottom w:val="nil"/>
              <w:right w:val="nil"/>
            </w:tcBorders>
            <w:tcMar>
              <w:top w:w="15" w:type="dxa"/>
              <w:left w:w="15" w:type="dxa"/>
              <w:right w:w="15" w:type="dxa"/>
            </w:tcMar>
            <w:vAlign w:val="bottom"/>
          </w:tcPr>
          <w:p w14:paraId="71C4FBBA" w14:textId="63855161" w:rsidR="77A8D69F" w:rsidRDefault="77A8D69F" w:rsidP="001B3723">
            <w:pPr>
              <w:spacing w:after="0" w:line="480" w:lineRule="auto"/>
              <w:jc w:val="center"/>
            </w:pPr>
            <w:r w:rsidRPr="77A8D69F">
              <w:rPr>
                <w:rFonts w:ascii="Aptos" w:eastAsia="Aptos" w:hAnsi="Aptos" w:cs="Aptos"/>
                <w:color w:val="000000" w:themeColor="text1"/>
              </w:rPr>
              <w:t>0.00</w:t>
            </w:r>
          </w:p>
        </w:tc>
      </w:tr>
      <w:tr w:rsidR="77A8D69F" w14:paraId="2C03B973"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6DAC3BF6" w14:textId="5B66F5A1" w:rsidR="77A8D69F" w:rsidRDefault="77A8D69F" w:rsidP="001B3723">
            <w:pPr>
              <w:spacing w:after="0" w:line="480" w:lineRule="auto"/>
              <w:rPr>
                <w:rFonts w:ascii="Aptos" w:eastAsia="Aptos" w:hAnsi="Aptos" w:cs="Aptos"/>
                <w:color w:val="000000" w:themeColor="text1"/>
              </w:rPr>
            </w:pPr>
            <w:r w:rsidRPr="77A8D69F">
              <w:rPr>
                <w:rFonts w:ascii="Aptos" w:eastAsia="Aptos" w:hAnsi="Aptos" w:cs="Aptos"/>
                <w:color w:val="000000" w:themeColor="text1"/>
              </w:rPr>
              <w:lastRenderedPageBreak/>
              <w:t xml:space="preserve">   Use Another Term to Describe </w:t>
            </w:r>
            <w:r w:rsidR="01BE2B1E" w:rsidRPr="77A8D69F">
              <w:rPr>
                <w:rFonts w:ascii="Aptos" w:eastAsia="Aptos" w:hAnsi="Aptos" w:cs="Aptos"/>
                <w:color w:val="000000" w:themeColor="text1"/>
              </w:rPr>
              <w:t xml:space="preserve">  </w:t>
            </w:r>
            <w:r w:rsidRPr="77A8D69F">
              <w:rPr>
                <w:rFonts w:ascii="Aptos" w:eastAsia="Aptos" w:hAnsi="Aptos" w:cs="Aptos"/>
                <w:color w:val="000000" w:themeColor="text1"/>
              </w:rPr>
              <w:t>Gender</w:t>
            </w:r>
          </w:p>
        </w:tc>
        <w:tc>
          <w:tcPr>
            <w:tcW w:w="1795" w:type="dxa"/>
            <w:tcBorders>
              <w:top w:val="nil"/>
              <w:left w:val="nil"/>
              <w:bottom w:val="nil"/>
              <w:right w:val="nil"/>
            </w:tcBorders>
            <w:tcMar>
              <w:top w:w="15" w:type="dxa"/>
              <w:left w:w="15" w:type="dxa"/>
              <w:right w:w="15" w:type="dxa"/>
            </w:tcMar>
            <w:vAlign w:val="bottom"/>
          </w:tcPr>
          <w:p w14:paraId="2B2917FA" w14:textId="15AE1387" w:rsidR="77A8D69F" w:rsidRDefault="77A8D69F" w:rsidP="001B3723">
            <w:pPr>
              <w:spacing w:after="0" w:line="480" w:lineRule="auto"/>
              <w:jc w:val="center"/>
            </w:pPr>
            <w:r w:rsidRPr="77A8D69F">
              <w:rPr>
                <w:rFonts w:ascii="Aptos" w:eastAsia="Aptos" w:hAnsi="Aptos" w:cs="Aptos"/>
                <w:color w:val="000000" w:themeColor="text1"/>
              </w:rPr>
              <w:t>1.90</w:t>
            </w:r>
          </w:p>
        </w:tc>
        <w:tc>
          <w:tcPr>
            <w:tcW w:w="1785" w:type="dxa"/>
            <w:tcBorders>
              <w:top w:val="nil"/>
              <w:left w:val="nil"/>
              <w:bottom w:val="nil"/>
              <w:right w:val="nil"/>
            </w:tcBorders>
            <w:tcMar>
              <w:top w:w="15" w:type="dxa"/>
              <w:left w:w="15" w:type="dxa"/>
              <w:right w:w="15" w:type="dxa"/>
            </w:tcMar>
            <w:vAlign w:val="bottom"/>
          </w:tcPr>
          <w:p w14:paraId="33699840" w14:textId="6BC2A18E" w:rsidR="77A8D69F" w:rsidRDefault="77A8D69F" w:rsidP="001B3723">
            <w:pPr>
              <w:spacing w:after="0" w:line="480" w:lineRule="auto"/>
              <w:jc w:val="center"/>
            </w:pPr>
            <w:r w:rsidRPr="77A8D69F">
              <w:rPr>
                <w:rFonts w:ascii="Aptos" w:eastAsia="Aptos" w:hAnsi="Aptos" w:cs="Aptos"/>
                <w:color w:val="000000" w:themeColor="text1"/>
              </w:rPr>
              <w:t>0.00</w:t>
            </w:r>
          </w:p>
        </w:tc>
        <w:tc>
          <w:tcPr>
            <w:tcW w:w="1781" w:type="dxa"/>
            <w:tcBorders>
              <w:top w:val="nil"/>
              <w:left w:val="nil"/>
              <w:bottom w:val="nil"/>
              <w:right w:val="nil"/>
            </w:tcBorders>
            <w:tcMar>
              <w:top w:w="15" w:type="dxa"/>
              <w:left w:w="15" w:type="dxa"/>
              <w:right w:w="15" w:type="dxa"/>
            </w:tcMar>
            <w:vAlign w:val="bottom"/>
          </w:tcPr>
          <w:p w14:paraId="5384E8FC" w14:textId="158D29CF" w:rsidR="77A8D69F" w:rsidRDefault="77A8D69F" w:rsidP="001B3723">
            <w:pPr>
              <w:spacing w:after="0" w:line="480" w:lineRule="auto"/>
              <w:jc w:val="center"/>
            </w:pPr>
            <w:r w:rsidRPr="77A8D69F">
              <w:rPr>
                <w:rFonts w:ascii="Aptos" w:eastAsia="Aptos" w:hAnsi="Aptos" w:cs="Aptos"/>
                <w:color w:val="000000" w:themeColor="text1"/>
              </w:rPr>
              <w:t>0.00</w:t>
            </w:r>
          </w:p>
        </w:tc>
      </w:tr>
      <w:tr w:rsidR="77A8D69F" w14:paraId="40712F25"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6464D593" w14:textId="7E01F175" w:rsidR="77A8D69F" w:rsidRDefault="77A8D69F" w:rsidP="001B3723">
            <w:pPr>
              <w:spacing w:after="0" w:line="480" w:lineRule="auto"/>
            </w:pPr>
            <w:r w:rsidRPr="77A8D69F">
              <w:rPr>
                <w:rFonts w:ascii="Aptos" w:eastAsia="Aptos" w:hAnsi="Aptos" w:cs="Aptos"/>
                <w:b/>
                <w:bCs/>
                <w:color w:val="000000" w:themeColor="text1"/>
              </w:rPr>
              <w:t>Mental Health Conditions (%)</w:t>
            </w:r>
          </w:p>
        </w:tc>
        <w:tc>
          <w:tcPr>
            <w:tcW w:w="1795" w:type="dxa"/>
            <w:tcBorders>
              <w:top w:val="nil"/>
              <w:left w:val="nil"/>
              <w:bottom w:val="nil"/>
              <w:right w:val="nil"/>
            </w:tcBorders>
            <w:tcMar>
              <w:top w:w="15" w:type="dxa"/>
              <w:left w:w="15" w:type="dxa"/>
              <w:right w:w="15" w:type="dxa"/>
            </w:tcMar>
            <w:vAlign w:val="bottom"/>
          </w:tcPr>
          <w:p w14:paraId="14864779" w14:textId="340A65E6" w:rsidR="77A8D69F" w:rsidRDefault="77A8D69F" w:rsidP="001B3723">
            <w:pPr>
              <w:spacing w:after="0" w:line="480" w:lineRule="auto"/>
            </w:pPr>
          </w:p>
        </w:tc>
        <w:tc>
          <w:tcPr>
            <w:tcW w:w="1785" w:type="dxa"/>
            <w:tcBorders>
              <w:top w:val="nil"/>
              <w:left w:val="nil"/>
              <w:bottom w:val="nil"/>
              <w:right w:val="nil"/>
            </w:tcBorders>
            <w:tcMar>
              <w:top w:w="15" w:type="dxa"/>
              <w:left w:w="15" w:type="dxa"/>
              <w:right w:w="15" w:type="dxa"/>
            </w:tcMar>
            <w:vAlign w:val="bottom"/>
          </w:tcPr>
          <w:p w14:paraId="0DCF69C7" w14:textId="1D2B0894" w:rsidR="77A8D69F" w:rsidRDefault="77A8D69F" w:rsidP="001B3723">
            <w:pPr>
              <w:spacing w:after="0" w:line="480" w:lineRule="auto"/>
            </w:pPr>
          </w:p>
        </w:tc>
        <w:tc>
          <w:tcPr>
            <w:tcW w:w="1781" w:type="dxa"/>
            <w:tcBorders>
              <w:top w:val="nil"/>
              <w:left w:val="nil"/>
              <w:bottom w:val="nil"/>
              <w:right w:val="nil"/>
            </w:tcBorders>
            <w:tcMar>
              <w:top w:w="15" w:type="dxa"/>
              <w:left w:w="15" w:type="dxa"/>
              <w:right w:w="15" w:type="dxa"/>
            </w:tcMar>
            <w:vAlign w:val="bottom"/>
          </w:tcPr>
          <w:p w14:paraId="425E7BE1" w14:textId="7EBB1927" w:rsidR="77A8D69F" w:rsidRDefault="77A8D69F" w:rsidP="001B3723">
            <w:pPr>
              <w:spacing w:after="0" w:line="480" w:lineRule="auto"/>
            </w:pPr>
          </w:p>
        </w:tc>
      </w:tr>
      <w:tr w:rsidR="77A8D69F" w14:paraId="19118DEB"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12DF6248" w14:textId="27424D55" w:rsidR="77A8D69F" w:rsidRDefault="77A8D69F" w:rsidP="001B3723">
            <w:pPr>
              <w:spacing w:after="0" w:line="480" w:lineRule="auto"/>
            </w:pPr>
            <w:r w:rsidRPr="77A8D69F">
              <w:rPr>
                <w:rFonts w:ascii="Aptos" w:eastAsia="Aptos" w:hAnsi="Aptos" w:cs="Aptos"/>
                <w:color w:val="000000" w:themeColor="text1"/>
              </w:rPr>
              <w:t xml:space="preserve">  Anxiety Disorder (General)</w:t>
            </w:r>
          </w:p>
        </w:tc>
        <w:tc>
          <w:tcPr>
            <w:tcW w:w="1795" w:type="dxa"/>
            <w:tcBorders>
              <w:top w:val="nil"/>
              <w:left w:val="nil"/>
              <w:bottom w:val="nil"/>
              <w:right w:val="nil"/>
            </w:tcBorders>
            <w:tcMar>
              <w:top w:w="15" w:type="dxa"/>
              <w:left w:w="15" w:type="dxa"/>
              <w:right w:w="15" w:type="dxa"/>
            </w:tcMar>
            <w:vAlign w:val="bottom"/>
          </w:tcPr>
          <w:p w14:paraId="403051AB" w14:textId="23C0CD4A" w:rsidR="77A8D69F" w:rsidRDefault="77A8D69F" w:rsidP="001B3723">
            <w:pPr>
              <w:spacing w:after="0" w:line="480" w:lineRule="auto"/>
              <w:jc w:val="center"/>
            </w:pPr>
            <w:r w:rsidRPr="77A8D69F">
              <w:rPr>
                <w:rFonts w:ascii="Aptos" w:eastAsia="Aptos" w:hAnsi="Aptos" w:cs="Aptos"/>
                <w:color w:val="000000" w:themeColor="text1"/>
              </w:rPr>
              <w:t>83.49</w:t>
            </w:r>
          </w:p>
        </w:tc>
        <w:tc>
          <w:tcPr>
            <w:tcW w:w="1785" w:type="dxa"/>
            <w:tcBorders>
              <w:top w:val="nil"/>
              <w:left w:val="nil"/>
              <w:bottom w:val="nil"/>
              <w:right w:val="nil"/>
            </w:tcBorders>
            <w:tcMar>
              <w:top w:w="15" w:type="dxa"/>
              <w:left w:w="15" w:type="dxa"/>
              <w:right w:w="15" w:type="dxa"/>
            </w:tcMar>
            <w:vAlign w:val="bottom"/>
          </w:tcPr>
          <w:p w14:paraId="5D630DB4" w14:textId="4DFAC88A" w:rsidR="77A8D69F" w:rsidRDefault="77A8D69F" w:rsidP="001B3723">
            <w:pPr>
              <w:spacing w:after="0" w:line="480" w:lineRule="auto"/>
              <w:jc w:val="center"/>
            </w:pPr>
            <w:r w:rsidRPr="77A8D69F">
              <w:rPr>
                <w:rFonts w:ascii="Aptos" w:eastAsia="Aptos" w:hAnsi="Aptos" w:cs="Aptos"/>
                <w:color w:val="000000" w:themeColor="text1"/>
              </w:rPr>
              <w:t>94.11</w:t>
            </w:r>
          </w:p>
        </w:tc>
        <w:tc>
          <w:tcPr>
            <w:tcW w:w="1781" w:type="dxa"/>
            <w:tcBorders>
              <w:top w:val="nil"/>
              <w:left w:val="nil"/>
              <w:bottom w:val="nil"/>
              <w:right w:val="nil"/>
            </w:tcBorders>
            <w:tcMar>
              <w:top w:w="15" w:type="dxa"/>
              <w:left w:w="15" w:type="dxa"/>
              <w:right w:w="15" w:type="dxa"/>
            </w:tcMar>
            <w:vAlign w:val="bottom"/>
          </w:tcPr>
          <w:p w14:paraId="0830C0AF" w14:textId="26994BF6" w:rsidR="77A8D69F" w:rsidRDefault="77A8D69F" w:rsidP="001B3723">
            <w:pPr>
              <w:spacing w:after="0" w:line="480" w:lineRule="auto"/>
              <w:jc w:val="center"/>
            </w:pPr>
            <w:r w:rsidRPr="77A8D69F">
              <w:rPr>
                <w:rFonts w:ascii="Aptos" w:eastAsia="Aptos" w:hAnsi="Aptos" w:cs="Aptos"/>
                <w:color w:val="000000" w:themeColor="text1"/>
              </w:rPr>
              <w:t>0.00</w:t>
            </w:r>
          </w:p>
        </w:tc>
      </w:tr>
      <w:tr w:rsidR="77A8D69F" w14:paraId="04A560BC"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34B1B892" w14:textId="63DF5B95" w:rsidR="77A8D69F" w:rsidRDefault="77A8D69F" w:rsidP="001B3723">
            <w:pPr>
              <w:spacing w:after="0" w:line="480" w:lineRule="auto"/>
            </w:pPr>
            <w:r w:rsidRPr="77A8D69F">
              <w:rPr>
                <w:rFonts w:ascii="Aptos" w:eastAsia="Aptos" w:hAnsi="Aptos" w:cs="Aptos"/>
                <w:color w:val="000000" w:themeColor="text1"/>
              </w:rPr>
              <w:t xml:space="preserve">  Bipolar Disorder</w:t>
            </w:r>
          </w:p>
        </w:tc>
        <w:tc>
          <w:tcPr>
            <w:tcW w:w="1795" w:type="dxa"/>
            <w:tcBorders>
              <w:top w:val="nil"/>
              <w:left w:val="nil"/>
              <w:bottom w:val="nil"/>
              <w:right w:val="nil"/>
            </w:tcBorders>
            <w:tcMar>
              <w:top w:w="15" w:type="dxa"/>
              <w:left w:w="15" w:type="dxa"/>
              <w:right w:w="15" w:type="dxa"/>
            </w:tcMar>
            <w:vAlign w:val="bottom"/>
          </w:tcPr>
          <w:p w14:paraId="0149C4A3" w14:textId="455E3BE7" w:rsidR="77A8D69F" w:rsidRDefault="77A8D69F" w:rsidP="001B3723">
            <w:pPr>
              <w:spacing w:after="0" w:line="480" w:lineRule="auto"/>
              <w:jc w:val="center"/>
            </w:pPr>
            <w:r w:rsidRPr="77A8D69F">
              <w:rPr>
                <w:rFonts w:ascii="Aptos" w:eastAsia="Aptos" w:hAnsi="Aptos" w:cs="Aptos"/>
                <w:color w:val="000000" w:themeColor="text1"/>
              </w:rPr>
              <w:t>24.27</w:t>
            </w:r>
          </w:p>
        </w:tc>
        <w:tc>
          <w:tcPr>
            <w:tcW w:w="1785" w:type="dxa"/>
            <w:tcBorders>
              <w:top w:val="nil"/>
              <w:left w:val="nil"/>
              <w:bottom w:val="nil"/>
              <w:right w:val="nil"/>
            </w:tcBorders>
            <w:tcMar>
              <w:top w:w="15" w:type="dxa"/>
              <w:left w:w="15" w:type="dxa"/>
              <w:right w:w="15" w:type="dxa"/>
            </w:tcMar>
            <w:vAlign w:val="bottom"/>
          </w:tcPr>
          <w:p w14:paraId="77506A46" w14:textId="4A665F2C" w:rsidR="77A8D69F" w:rsidRDefault="77A8D69F" w:rsidP="001B3723">
            <w:pPr>
              <w:spacing w:after="0" w:line="480" w:lineRule="auto"/>
              <w:jc w:val="center"/>
            </w:pPr>
            <w:r w:rsidRPr="77A8D69F">
              <w:rPr>
                <w:rFonts w:ascii="Aptos" w:eastAsia="Aptos" w:hAnsi="Aptos" w:cs="Aptos"/>
                <w:color w:val="000000" w:themeColor="text1"/>
              </w:rPr>
              <w:t>0.00</w:t>
            </w:r>
          </w:p>
        </w:tc>
        <w:tc>
          <w:tcPr>
            <w:tcW w:w="1781" w:type="dxa"/>
            <w:tcBorders>
              <w:top w:val="nil"/>
              <w:left w:val="nil"/>
              <w:bottom w:val="nil"/>
              <w:right w:val="nil"/>
            </w:tcBorders>
            <w:tcMar>
              <w:top w:w="15" w:type="dxa"/>
              <w:left w:w="15" w:type="dxa"/>
              <w:right w:w="15" w:type="dxa"/>
            </w:tcMar>
            <w:vAlign w:val="bottom"/>
          </w:tcPr>
          <w:p w14:paraId="64601AB9" w14:textId="559ECBDB" w:rsidR="77A8D69F" w:rsidRDefault="77A8D69F" w:rsidP="001B3723">
            <w:pPr>
              <w:spacing w:after="0" w:line="480" w:lineRule="auto"/>
              <w:jc w:val="center"/>
            </w:pPr>
            <w:r w:rsidRPr="77A8D69F">
              <w:rPr>
                <w:rFonts w:ascii="Aptos" w:eastAsia="Aptos" w:hAnsi="Aptos" w:cs="Aptos"/>
                <w:color w:val="000000" w:themeColor="text1"/>
              </w:rPr>
              <w:t>0.00</w:t>
            </w:r>
          </w:p>
        </w:tc>
      </w:tr>
      <w:tr w:rsidR="77A8D69F" w14:paraId="3AA8CE4E"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4AED0FBA" w14:textId="2D75CDFD" w:rsidR="77A8D69F" w:rsidRDefault="77A8D69F" w:rsidP="001B3723">
            <w:pPr>
              <w:spacing w:after="0" w:line="480" w:lineRule="auto"/>
            </w:pPr>
            <w:r w:rsidRPr="77A8D69F">
              <w:rPr>
                <w:rFonts w:ascii="Aptos" w:eastAsia="Aptos" w:hAnsi="Aptos" w:cs="Aptos"/>
                <w:color w:val="000000" w:themeColor="text1"/>
              </w:rPr>
              <w:t xml:space="preserve">  Major Depressive Disorder</w:t>
            </w:r>
          </w:p>
        </w:tc>
        <w:tc>
          <w:tcPr>
            <w:tcW w:w="1795" w:type="dxa"/>
            <w:tcBorders>
              <w:top w:val="nil"/>
              <w:left w:val="nil"/>
              <w:bottom w:val="nil"/>
              <w:right w:val="nil"/>
            </w:tcBorders>
            <w:tcMar>
              <w:top w:w="15" w:type="dxa"/>
              <w:left w:w="15" w:type="dxa"/>
              <w:right w:w="15" w:type="dxa"/>
            </w:tcMar>
            <w:vAlign w:val="bottom"/>
          </w:tcPr>
          <w:p w14:paraId="1134334F" w14:textId="351B3F0A" w:rsidR="77A8D69F" w:rsidRDefault="77A8D69F" w:rsidP="001B3723">
            <w:pPr>
              <w:spacing w:after="0" w:line="480" w:lineRule="auto"/>
              <w:jc w:val="center"/>
            </w:pPr>
            <w:r w:rsidRPr="77A8D69F">
              <w:rPr>
                <w:rFonts w:ascii="Aptos" w:eastAsia="Aptos" w:hAnsi="Aptos" w:cs="Aptos"/>
                <w:color w:val="000000" w:themeColor="text1"/>
              </w:rPr>
              <w:t>77.66</w:t>
            </w:r>
          </w:p>
        </w:tc>
        <w:tc>
          <w:tcPr>
            <w:tcW w:w="1785" w:type="dxa"/>
            <w:tcBorders>
              <w:top w:val="nil"/>
              <w:left w:val="nil"/>
              <w:bottom w:val="nil"/>
              <w:right w:val="nil"/>
            </w:tcBorders>
            <w:tcMar>
              <w:top w:w="15" w:type="dxa"/>
              <w:left w:w="15" w:type="dxa"/>
              <w:right w:w="15" w:type="dxa"/>
            </w:tcMar>
            <w:vAlign w:val="bottom"/>
          </w:tcPr>
          <w:p w14:paraId="4B470929" w14:textId="3105A228" w:rsidR="77A8D69F" w:rsidRDefault="77A8D69F" w:rsidP="001B3723">
            <w:pPr>
              <w:spacing w:after="0" w:line="480" w:lineRule="auto"/>
              <w:jc w:val="center"/>
            </w:pPr>
            <w:r w:rsidRPr="77A8D69F">
              <w:rPr>
                <w:rFonts w:ascii="Aptos" w:eastAsia="Aptos" w:hAnsi="Aptos" w:cs="Aptos"/>
                <w:color w:val="000000" w:themeColor="text1"/>
              </w:rPr>
              <w:t>50.98</w:t>
            </w:r>
          </w:p>
        </w:tc>
        <w:tc>
          <w:tcPr>
            <w:tcW w:w="1781" w:type="dxa"/>
            <w:tcBorders>
              <w:top w:val="nil"/>
              <w:left w:val="nil"/>
              <w:bottom w:val="nil"/>
              <w:right w:val="nil"/>
            </w:tcBorders>
            <w:tcMar>
              <w:top w:w="15" w:type="dxa"/>
              <w:left w:w="15" w:type="dxa"/>
              <w:right w:w="15" w:type="dxa"/>
            </w:tcMar>
            <w:vAlign w:val="bottom"/>
          </w:tcPr>
          <w:p w14:paraId="536639A0" w14:textId="268010E1" w:rsidR="77A8D69F" w:rsidRDefault="77A8D69F" w:rsidP="001B3723">
            <w:pPr>
              <w:spacing w:after="0" w:line="480" w:lineRule="auto"/>
              <w:jc w:val="center"/>
            </w:pPr>
            <w:r w:rsidRPr="77A8D69F">
              <w:rPr>
                <w:rFonts w:ascii="Aptos" w:eastAsia="Aptos" w:hAnsi="Aptos" w:cs="Aptos"/>
                <w:color w:val="000000" w:themeColor="text1"/>
              </w:rPr>
              <w:t>0.00</w:t>
            </w:r>
          </w:p>
        </w:tc>
      </w:tr>
      <w:tr w:rsidR="77A8D69F" w14:paraId="1FDFB444"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0B0812AC" w14:textId="7BC14E49" w:rsidR="77A8D69F" w:rsidRDefault="77A8D69F" w:rsidP="001B3723">
            <w:pPr>
              <w:spacing w:after="0" w:line="480" w:lineRule="auto"/>
            </w:pPr>
            <w:r w:rsidRPr="77A8D69F">
              <w:rPr>
                <w:rFonts w:ascii="Aptos" w:eastAsia="Aptos" w:hAnsi="Aptos" w:cs="Aptos"/>
                <w:color w:val="000000" w:themeColor="text1"/>
              </w:rPr>
              <w:t xml:space="preserve">  Obsessive-Compulsive Disorder</w:t>
            </w:r>
          </w:p>
        </w:tc>
        <w:tc>
          <w:tcPr>
            <w:tcW w:w="1795" w:type="dxa"/>
            <w:tcBorders>
              <w:top w:val="nil"/>
              <w:left w:val="nil"/>
              <w:bottom w:val="nil"/>
              <w:right w:val="nil"/>
            </w:tcBorders>
            <w:tcMar>
              <w:top w:w="15" w:type="dxa"/>
              <w:left w:w="15" w:type="dxa"/>
              <w:right w:w="15" w:type="dxa"/>
            </w:tcMar>
            <w:vAlign w:val="bottom"/>
          </w:tcPr>
          <w:p w14:paraId="36063843" w14:textId="026A6A1F" w:rsidR="77A8D69F" w:rsidRDefault="77A8D69F" w:rsidP="001B3723">
            <w:pPr>
              <w:spacing w:after="0" w:line="480" w:lineRule="auto"/>
              <w:jc w:val="center"/>
            </w:pPr>
            <w:r w:rsidRPr="77A8D69F">
              <w:rPr>
                <w:rFonts w:ascii="Aptos" w:eastAsia="Aptos" w:hAnsi="Aptos" w:cs="Aptos"/>
                <w:color w:val="000000" w:themeColor="text1"/>
              </w:rPr>
              <w:t>23.30</w:t>
            </w:r>
          </w:p>
        </w:tc>
        <w:tc>
          <w:tcPr>
            <w:tcW w:w="1785" w:type="dxa"/>
            <w:tcBorders>
              <w:top w:val="nil"/>
              <w:left w:val="nil"/>
              <w:bottom w:val="nil"/>
              <w:right w:val="nil"/>
            </w:tcBorders>
            <w:tcMar>
              <w:top w:w="15" w:type="dxa"/>
              <w:left w:w="15" w:type="dxa"/>
              <w:right w:w="15" w:type="dxa"/>
            </w:tcMar>
            <w:vAlign w:val="bottom"/>
          </w:tcPr>
          <w:p w14:paraId="7313A601" w14:textId="49256AA5" w:rsidR="77A8D69F" w:rsidRDefault="77A8D69F" w:rsidP="001B3723">
            <w:pPr>
              <w:spacing w:after="0" w:line="480" w:lineRule="auto"/>
              <w:jc w:val="center"/>
            </w:pPr>
            <w:r w:rsidRPr="77A8D69F">
              <w:rPr>
                <w:rFonts w:ascii="Aptos" w:eastAsia="Aptos" w:hAnsi="Aptos" w:cs="Aptos"/>
                <w:color w:val="000000" w:themeColor="text1"/>
              </w:rPr>
              <w:t>5.88</w:t>
            </w:r>
          </w:p>
        </w:tc>
        <w:tc>
          <w:tcPr>
            <w:tcW w:w="1781" w:type="dxa"/>
            <w:tcBorders>
              <w:top w:val="nil"/>
              <w:left w:val="nil"/>
              <w:bottom w:val="nil"/>
              <w:right w:val="nil"/>
            </w:tcBorders>
            <w:tcMar>
              <w:top w:w="15" w:type="dxa"/>
              <w:left w:w="15" w:type="dxa"/>
              <w:right w:w="15" w:type="dxa"/>
            </w:tcMar>
            <w:vAlign w:val="bottom"/>
          </w:tcPr>
          <w:p w14:paraId="2A4617A2" w14:textId="009A8C18" w:rsidR="77A8D69F" w:rsidRDefault="77A8D69F" w:rsidP="001B3723">
            <w:pPr>
              <w:spacing w:after="0" w:line="480" w:lineRule="auto"/>
              <w:jc w:val="center"/>
            </w:pPr>
            <w:r w:rsidRPr="77A8D69F">
              <w:rPr>
                <w:rFonts w:ascii="Aptos" w:eastAsia="Aptos" w:hAnsi="Aptos" w:cs="Aptos"/>
                <w:color w:val="000000" w:themeColor="text1"/>
              </w:rPr>
              <w:t>0.00</w:t>
            </w:r>
          </w:p>
        </w:tc>
      </w:tr>
      <w:tr w:rsidR="77A8D69F" w14:paraId="3F7A7A34"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1F5654D5" w14:textId="0F6C887F" w:rsidR="77A8D69F" w:rsidRDefault="77A8D69F" w:rsidP="001B3723">
            <w:pPr>
              <w:spacing w:after="0" w:line="480" w:lineRule="auto"/>
            </w:pPr>
            <w:r w:rsidRPr="77A8D69F">
              <w:rPr>
                <w:rFonts w:ascii="Aptos" w:eastAsia="Aptos" w:hAnsi="Aptos" w:cs="Aptos"/>
                <w:color w:val="000000" w:themeColor="text1"/>
              </w:rPr>
              <w:t xml:space="preserve">  Panic Disorder</w:t>
            </w:r>
          </w:p>
        </w:tc>
        <w:tc>
          <w:tcPr>
            <w:tcW w:w="1795" w:type="dxa"/>
            <w:tcBorders>
              <w:top w:val="nil"/>
              <w:left w:val="nil"/>
              <w:bottom w:val="nil"/>
              <w:right w:val="nil"/>
            </w:tcBorders>
            <w:tcMar>
              <w:top w:w="15" w:type="dxa"/>
              <w:left w:w="15" w:type="dxa"/>
              <w:right w:w="15" w:type="dxa"/>
            </w:tcMar>
            <w:vAlign w:val="bottom"/>
          </w:tcPr>
          <w:p w14:paraId="30A9048C" w14:textId="1A7487E1" w:rsidR="77A8D69F" w:rsidRDefault="77A8D69F" w:rsidP="001B3723">
            <w:pPr>
              <w:spacing w:after="0" w:line="480" w:lineRule="auto"/>
              <w:jc w:val="center"/>
            </w:pPr>
            <w:r w:rsidRPr="77A8D69F">
              <w:rPr>
                <w:rFonts w:ascii="Aptos" w:eastAsia="Aptos" w:hAnsi="Aptos" w:cs="Aptos"/>
                <w:color w:val="000000" w:themeColor="text1"/>
              </w:rPr>
              <w:t>22.33</w:t>
            </w:r>
          </w:p>
        </w:tc>
        <w:tc>
          <w:tcPr>
            <w:tcW w:w="1785" w:type="dxa"/>
            <w:tcBorders>
              <w:top w:val="nil"/>
              <w:left w:val="nil"/>
              <w:bottom w:val="nil"/>
              <w:right w:val="nil"/>
            </w:tcBorders>
            <w:tcMar>
              <w:top w:w="15" w:type="dxa"/>
              <w:left w:w="15" w:type="dxa"/>
              <w:right w:w="15" w:type="dxa"/>
            </w:tcMar>
            <w:vAlign w:val="bottom"/>
          </w:tcPr>
          <w:p w14:paraId="43CD4709" w14:textId="19B7D1E0" w:rsidR="77A8D69F" w:rsidRDefault="77A8D69F" w:rsidP="001B3723">
            <w:pPr>
              <w:spacing w:after="0" w:line="480" w:lineRule="auto"/>
              <w:jc w:val="center"/>
            </w:pPr>
            <w:r w:rsidRPr="77A8D69F">
              <w:rPr>
                <w:rFonts w:ascii="Aptos" w:eastAsia="Aptos" w:hAnsi="Aptos" w:cs="Aptos"/>
                <w:color w:val="000000" w:themeColor="text1"/>
              </w:rPr>
              <w:t>10.78</w:t>
            </w:r>
          </w:p>
        </w:tc>
        <w:tc>
          <w:tcPr>
            <w:tcW w:w="1781" w:type="dxa"/>
            <w:tcBorders>
              <w:top w:val="nil"/>
              <w:left w:val="nil"/>
              <w:bottom w:val="nil"/>
              <w:right w:val="nil"/>
            </w:tcBorders>
            <w:tcMar>
              <w:top w:w="15" w:type="dxa"/>
              <w:left w:w="15" w:type="dxa"/>
              <w:right w:w="15" w:type="dxa"/>
            </w:tcMar>
            <w:vAlign w:val="bottom"/>
          </w:tcPr>
          <w:p w14:paraId="58B373F4" w14:textId="547C50D8" w:rsidR="77A8D69F" w:rsidRDefault="77A8D69F" w:rsidP="001B3723">
            <w:pPr>
              <w:spacing w:after="0" w:line="480" w:lineRule="auto"/>
              <w:jc w:val="center"/>
            </w:pPr>
            <w:r w:rsidRPr="77A8D69F">
              <w:rPr>
                <w:rFonts w:ascii="Aptos" w:eastAsia="Aptos" w:hAnsi="Aptos" w:cs="Aptos"/>
                <w:color w:val="000000" w:themeColor="text1"/>
              </w:rPr>
              <w:t>0.00</w:t>
            </w:r>
          </w:p>
        </w:tc>
      </w:tr>
      <w:tr w:rsidR="77A8D69F" w14:paraId="5A874CF4"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362844B3" w14:textId="65B3A637" w:rsidR="77A8D69F" w:rsidRDefault="77A8D69F" w:rsidP="001B3723">
            <w:pPr>
              <w:spacing w:after="0" w:line="480" w:lineRule="auto"/>
            </w:pPr>
            <w:r w:rsidRPr="77A8D69F">
              <w:rPr>
                <w:rFonts w:ascii="Aptos" w:eastAsia="Aptos" w:hAnsi="Aptos" w:cs="Aptos"/>
                <w:color w:val="000000" w:themeColor="text1"/>
              </w:rPr>
              <w:t xml:space="preserve">  Personality Disorder</w:t>
            </w:r>
          </w:p>
        </w:tc>
        <w:tc>
          <w:tcPr>
            <w:tcW w:w="1795" w:type="dxa"/>
            <w:tcBorders>
              <w:top w:val="nil"/>
              <w:left w:val="nil"/>
              <w:bottom w:val="nil"/>
              <w:right w:val="nil"/>
            </w:tcBorders>
            <w:tcMar>
              <w:top w:w="15" w:type="dxa"/>
              <w:left w:w="15" w:type="dxa"/>
              <w:right w:w="15" w:type="dxa"/>
            </w:tcMar>
            <w:vAlign w:val="bottom"/>
          </w:tcPr>
          <w:p w14:paraId="25C87050" w14:textId="639F9193" w:rsidR="77A8D69F" w:rsidRDefault="77A8D69F" w:rsidP="001B3723">
            <w:pPr>
              <w:spacing w:after="0" w:line="480" w:lineRule="auto"/>
              <w:jc w:val="center"/>
            </w:pPr>
            <w:r w:rsidRPr="77A8D69F">
              <w:rPr>
                <w:rFonts w:ascii="Aptos" w:eastAsia="Aptos" w:hAnsi="Aptos" w:cs="Aptos"/>
                <w:color w:val="000000" w:themeColor="text1"/>
              </w:rPr>
              <w:t>10.67</w:t>
            </w:r>
          </w:p>
        </w:tc>
        <w:tc>
          <w:tcPr>
            <w:tcW w:w="1785" w:type="dxa"/>
            <w:tcBorders>
              <w:top w:val="nil"/>
              <w:left w:val="nil"/>
              <w:bottom w:val="nil"/>
              <w:right w:val="nil"/>
            </w:tcBorders>
            <w:tcMar>
              <w:top w:w="15" w:type="dxa"/>
              <w:left w:w="15" w:type="dxa"/>
              <w:right w:w="15" w:type="dxa"/>
            </w:tcMar>
            <w:vAlign w:val="bottom"/>
          </w:tcPr>
          <w:p w14:paraId="144F1AC8" w14:textId="109A671B" w:rsidR="77A8D69F" w:rsidRDefault="77A8D69F" w:rsidP="001B3723">
            <w:pPr>
              <w:spacing w:after="0" w:line="480" w:lineRule="auto"/>
              <w:jc w:val="center"/>
            </w:pPr>
            <w:r w:rsidRPr="77A8D69F">
              <w:rPr>
                <w:rFonts w:ascii="Aptos" w:eastAsia="Aptos" w:hAnsi="Aptos" w:cs="Aptos"/>
                <w:color w:val="000000" w:themeColor="text1"/>
              </w:rPr>
              <w:t>0.00</w:t>
            </w:r>
          </w:p>
        </w:tc>
        <w:tc>
          <w:tcPr>
            <w:tcW w:w="1781" w:type="dxa"/>
            <w:tcBorders>
              <w:top w:val="nil"/>
              <w:left w:val="nil"/>
              <w:bottom w:val="nil"/>
              <w:right w:val="nil"/>
            </w:tcBorders>
            <w:tcMar>
              <w:top w:w="15" w:type="dxa"/>
              <w:left w:w="15" w:type="dxa"/>
              <w:right w:w="15" w:type="dxa"/>
            </w:tcMar>
            <w:vAlign w:val="bottom"/>
          </w:tcPr>
          <w:p w14:paraId="68BCA2F1" w14:textId="69780D66" w:rsidR="77A8D69F" w:rsidRDefault="77A8D69F" w:rsidP="001B3723">
            <w:pPr>
              <w:spacing w:after="0" w:line="480" w:lineRule="auto"/>
              <w:jc w:val="center"/>
            </w:pPr>
            <w:r w:rsidRPr="77A8D69F">
              <w:rPr>
                <w:rFonts w:ascii="Aptos" w:eastAsia="Aptos" w:hAnsi="Aptos" w:cs="Aptos"/>
                <w:color w:val="000000" w:themeColor="text1"/>
              </w:rPr>
              <w:t>0.00</w:t>
            </w:r>
          </w:p>
        </w:tc>
      </w:tr>
      <w:tr w:rsidR="77A8D69F" w14:paraId="1C9867F3"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6F2B2B93" w14:textId="0526DB74" w:rsidR="77A8D69F" w:rsidRDefault="77A8D69F" w:rsidP="001B3723">
            <w:pPr>
              <w:spacing w:after="0" w:line="480" w:lineRule="auto"/>
            </w:pPr>
            <w:r w:rsidRPr="77A8D69F">
              <w:rPr>
                <w:rFonts w:ascii="Aptos" w:eastAsia="Aptos" w:hAnsi="Aptos" w:cs="Aptos"/>
                <w:color w:val="000000" w:themeColor="text1"/>
              </w:rPr>
              <w:t xml:space="preserve">  Post-Traumatic Stress Disorder</w:t>
            </w:r>
          </w:p>
        </w:tc>
        <w:tc>
          <w:tcPr>
            <w:tcW w:w="1795" w:type="dxa"/>
            <w:tcBorders>
              <w:top w:val="nil"/>
              <w:left w:val="nil"/>
              <w:bottom w:val="nil"/>
              <w:right w:val="nil"/>
            </w:tcBorders>
            <w:tcMar>
              <w:top w:w="15" w:type="dxa"/>
              <w:left w:w="15" w:type="dxa"/>
              <w:right w:w="15" w:type="dxa"/>
            </w:tcMar>
            <w:vAlign w:val="bottom"/>
          </w:tcPr>
          <w:p w14:paraId="1C59EE08" w14:textId="0B5A44DC" w:rsidR="77A8D69F" w:rsidRDefault="77A8D69F" w:rsidP="001B3723">
            <w:pPr>
              <w:spacing w:after="0" w:line="480" w:lineRule="auto"/>
              <w:jc w:val="center"/>
            </w:pPr>
            <w:r w:rsidRPr="77A8D69F">
              <w:rPr>
                <w:rFonts w:ascii="Aptos" w:eastAsia="Aptos" w:hAnsi="Aptos" w:cs="Aptos"/>
                <w:color w:val="000000" w:themeColor="text1"/>
              </w:rPr>
              <w:t>45.63</w:t>
            </w:r>
          </w:p>
        </w:tc>
        <w:tc>
          <w:tcPr>
            <w:tcW w:w="1785" w:type="dxa"/>
            <w:tcBorders>
              <w:top w:val="nil"/>
              <w:left w:val="nil"/>
              <w:bottom w:val="nil"/>
              <w:right w:val="nil"/>
            </w:tcBorders>
            <w:tcMar>
              <w:top w:w="15" w:type="dxa"/>
              <w:left w:w="15" w:type="dxa"/>
              <w:right w:w="15" w:type="dxa"/>
            </w:tcMar>
            <w:vAlign w:val="bottom"/>
          </w:tcPr>
          <w:p w14:paraId="4934C830" w14:textId="0209BB8E" w:rsidR="77A8D69F" w:rsidRDefault="77A8D69F" w:rsidP="001B3723">
            <w:pPr>
              <w:spacing w:after="0" w:line="480" w:lineRule="auto"/>
              <w:jc w:val="center"/>
            </w:pPr>
            <w:r w:rsidRPr="77A8D69F">
              <w:rPr>
                <w:rFonts w:ascii="Aptos" w:eastAsia="Aptos" w:hAnsi="Aptos" w:cs="Aptos"/>
                <w:color w:val="000000" w:themeColor="text1"/>
              </w:rPr>
              <w:t>7.84</w:t>
            </w:r>
          </w:p>
        </w:tc>
        <w:tc>
          <w:tcPr>
            <w:tcW w:w="1781" w:type="dxa"/>
            <w:tcBorders>
              <w:top w:val="nil"/>
              <w:left w:val="nil"/>
              <w:bottom w:val="nil"/>
              <w:right w:val="nil"/>
            </w:tcBorders>
            <w:tcMar>
              <w:top w:w="15" w:type="dxa"/>
              <w:left w:w="15" w:type="dxa"/>
              <w:right w:w="15" w:type="dxa"/>
            </w:tcMar>
            <w:vAlign w:val="bottom"/>
          </w:tcPr>
          <w:p w14:paraId="054C7AD6" w14:textId="1750CE29" w:rsidR="77A8D69F" w:rsidRDefault="77A8D69F" w:rsidP="001B3723">
            <w:pPr>
              <w:spacing w:after="0" w:line="480" w:lineRule="auto"/>
              <w:jc w:val="center"/>
            </w:pPr>
            <w:r w:rsidRPr="77A8D69F">
              <w:rPr>
                <w:rFonts w:ascii="Aptos" w:eastAsia="Aptos" w:hAnsi="Aptos" w:cs="Aptos"/>
                <w:color w:val="000000" w:themeColor="text1"/>
              </w:rPr>
              <w:t>0.00</w:t>
            </w:r>
          </w:p>
        </w:tc>
      </w:tr>
      <w:tr w:rsidR="77A8D69F" w14:paraId="79A4967F"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44F9C258" w14:textId="6907CF09" w:rsidR="77A8D69F" w:rsidRDefault="77A8D69F" w:rsidP="001B3723">
            <w:pPr>
              <w:spacing w:after="0" w:line="480" w:lineRule="auto"/>
            </w:pPr>
            <w:r w:rsidRPr="77A8D69F">
              <w:rPr>
                <w:rFonts w:ascii="Aptos" w:eastAsia="Aptos" w:hAnsi="Aptos" w:cs="Aptos"/>
                <w:color w:val="000000" w:themeColor="text1"/>
              </w:rPr>
              <w:t xml:space="preserve">  Psychosis (including Schizophrenia)</w:t>
            </w:r>
          </w:p>
        </w:tc>
        <w:tc>
          <w:tcPr>
            <w:tcW w:w="1795" w:type="dxa"/>
            <w:tcBorders>
              <w:top w:val="nil"/>
              <w:left w:val="nil"/>
              <w:bottom w:val="nil"/>
              <w:right w:val="nil"/>
            </w:tcBorders>
            <w:tcMar>
              <w:top w:w="15" w:type="dxa"/>
              <w:left w:w="15" w:type="dxa"/>
              <w:right w:w="15" w:type="dxa"/>
            </w:tcMar>
            <w:vAlign w:val="bottom"/>
          </w:tcPr>
          <w:p w14:paraId="097EDC59" w14:textId="1A0E2091" w:rsidR="77A8D69F" w:rsidRDefault="77A8D69F" w:rsidP="001B3723">
            <w:pPr>
              <w:spacing w:after="0" w:line="480" w:lineRule="auto"/>
              <w:jc w:val="center"/>
            </w:pPr>
            <w:r w:rsidRPr="77A8D69F">
              <w:rPr>
                <w:rFonts w:ascii="Aptos" w:eastAsia="Aptos" w:hAnsi="Aptos" w:cs="Aptos"/>
                <w:color w:val="000000" w:themeColor="text1"/>
              </w:rPr>
              <w:t>73.78</w:t>
            </w:r>
          </w:p>
        </w:tc>
        <w:tc>
          <w:tcPr>
            <w:tcW w:w="1785" w:type="dxa"/>
            <w:tcBorders>
              <w:top w:val="nil"/>
              <w:left w:val="nil"/>
              <w:bottom w:val="nil"/>
              <w:right w:val="nil"/>
            </w:tcBorders>
            <w:tcMar>
              <w:top w:w="15" w:type="dxa"/>
              <w:left w:w="15" w:type="dxa"/>
              <w:right w:w="15" w:type="dxa"/>
            </w:tcMar>
            <w:vAlign w:val="bottom"/>
          </w:tcPr>
          <w:p w14:paraId="4C40596C" w14:textId="64E321BA" w:rsidR="77A8D69F" w:rsidRDefault="77A8D69F" w:rsidP="001B3723">
            <w:pPr>
              <w:spacing w:after="0" w:line="480" w:lineRule="auto"/>
              <w:jc w:val="center"/>
            </w:pPr>
            <w:r w:rsidRPr="77A8D69F">
              <w:rPr>
                <w:rFonts w:ascii="Aptos" w:eastAsia="Aptos" w:hAnsi="Aptos" w:cs="Aptos"/>
                <w:color w:val="000000" w:themeColor="text1"/>
              </w:rPr>
              <w:t>1.96</w:t>
            </w:r>
          </w:p>
        </w:tc>
        <w:tc>
          <w:tcPr>
            <w:tcW w:w="1781" w:type="dxa"/>
            <w:tcBorders>
              <w:top w:val="nil"/>
              <w:left w:val="nil"/>
              <w:bottom w:val="nil"/>
              <w:right w:val="nil"/>
            </w:tcBorders>
            <w:tcMar>
              <w:top w:w="15" w:type="dxa"/>
              <w:left w:w="15" w:type="dxa"/>
              <w:right w:w="15" w:type="dxa"/>
            </w:tcMar>
            <w:vAlign w:val="bottom"/>
          </w:tcPr>
          <w:p w14:paraId="58F2C4BA" w14:textId="23C40810" w:rsidR="77A8D69F" w:rsidRDefault="77A8D69F" w:rsidP="001B3723">
            <w:pPr>
              <w:spacing w:after="0" w:line="480" w:lineRule="auto"/>
              <w:jc w:val="center"/>
            </w:pPr>
            <w:r w:rsidRPr="77A8D69F">
              <w:rPr>
                <w:rFonts w:ascii="Aptos" w:eastAsia="Aptos" w:hAnsi="Aptos" w:cs="Aptos"/>
                <w:color w:val="000000" w:themeColor="text1"/>
              </w:rPr>
              <w:t>0.00</w:t>
            </w:r>
          </w:p>
        </w:tc>
      </w:tr>
      <w:tr w:rsidR="77A8D69F" w14:paraId="674C6F05" w14:textId="77777777" w:rsidTr="77A8D69F">
        <w:trPr>
          <w:trHeight w:val="300"/>
        </w:trPr>
        <w:tc>
          <w:tcPr>
            <w:tcW w:w="3654" w:type="dxa"/>
            <w:tcBorders>
              <w:top w:val="nil"/>
              <w:left w:val="nil"/>
              <w:bottom w:val="nil"/>
              <w:right w:val="nil"/>
            </w:tcBorders>
            <w:tcMar>
              <w:top w:w="15" w:type="dxa"/>
              <w:left w:w="15" w:type="dxa"/>
              <w:right w:w="15" w:type="dxa"/>
            </w:tcMar>
            <w:vAlign w:val="bottom"/>
          </w:tcPr>
          <w:p w14:paraId="34F98E89" w14:textId="69E94C54" w:rsidR="77A8D69F" w:rsidRDefault="77A8D69F" w:rsidP="001B3723">
            <w:pPr>
              <w:spacing w:after="0" w:line="480" w:lineRule="auto"/>
            </w:pPr>
            <w:r w:rsidRPr="77A8D69F">
              <w:rPr>
                <w:rFonts w:ascii="Aptos" w:eastAsia="Aptos" w:hAnsi="Aptos" w:cs="Aptos"/>
                <w:color w:val="000000" w:themeColor="text1"/>
              </w:rPr>
              <w:t xml:space="preserve">  Specific Phobia</w:t>
            </w:r>
          </w:p>
        </w:tc>
        <w:tc>
          <w:tcPr>
            <w:tcW w:w="1795" w:type="dxa"/>
            <w:tcBorders>
              <w:top w:val="nil"/>
              <w:left w:val="nil"/>
              <w:bottom w:val="nil"/>
              <w:right w:val="nil"/>
            </w:tcBorders>
            <w:tcMar>
              <w:top w:w="15" w:type="dxa"/>
              <w:left w:w="15" w:type="dxa"/>
              <w:right w:w="15" w:type="dxa"/>
            </w:tcMar>
            <w:vAlign w:val="bottom"/>
          </w:tcPr>
          <w:p w14:paraId="44EA913B" w14:textId="669738C5" w:rsidR="77A8D69F" w:rsidRDefault="77A8D69F" w:rsidP="001B3723">
            <w:pPr>
              <w:spacing w:after="0" w:line="480" w:lineRule="auto"/>
              <w:jc w:val="center"/>
            </w:pPr>
            <w:r w:rsidRPr="77A8D69F">
              <w:rPr>
                <w:rFonts w:ascii="Aptos" w:eastAsia="Aptos" w:hAnsi="Aptos" w:cs="Aptos"/>
                <w:color w:val="000000" w:themeColor="text1"/>
              </w:rPr>
              <w:t>8.73</w:t>
            </w:r>
          </w:p>
        </w:tc>
        <w:tc>
          <w:tcPr>
            <w:tcW w:w="1785" w:type="dxa"/>
            <w:tcBorders>
              <w:top w:val="nil"/>
              <w:left w:val="nil"/>
              <w:bottom w:val="nil"/>
              <w:right w:val="nil"/>
            </w:tcBorders>
            <w:tcMar>
              <w:top w:w="15" w:type="dxa"/>
              <w:left w:w="15" w:type="dxa"/>
              <w:right w:w="15" w:type="dxa"/>
            </w:tcMar>
            <w:vAlign w:val="bottom"/>
          </w:tcPr>
          <w:p w14:paraId="1E849BE8" w14:textId="461C9E82" w:rsidR="77A8D69F" w:rsidRDefault="77A8D69F" w:rsidP="001B3723">
            <w:pPr>
              <w:spacing w:after="0" w:line="480" w:lineRule="auto"/>
              <w:jc w:val="center"/>
            </w:pPr>
            <w:r w:rsidRPr="77A8D69F">
              <w:rPr>
                <w:rFonts w:ascii="Aptos" w:eastAsia="Aptos" w:hAnsi="Aptos" w:cs="Aptos"/>
                <w:color w:val="000000" w:themeColor="text1"/>
              </w:rPr>
              <w:t>6.86</w:t>
            </w:r>
          </w:p>
        </w:tc>
        <w:tc>
          <w:tcPr>
            <w:tcW w:w="1781" w:type="dxa"/>
            <w:tcBorders>
              <w:top w:val="nil"/>
              <w:left w:val="nil"/>
              <w:bottom w:val="nil"/>
              <w:right w:val="nil"/>
            </w:tcBorders>
            <w:tcMar>
              <w:top w:w="15" w:type="dxa"/>
              <w:left w:w="15" w:type="dxa"/>
              <w:right w:w="15" w:type="dxa"/>
            </w:tcMar>
            <w:vAlign w:val="bottom"/>
          </w:tcPr>
          <w:p w14:paraId="3FB00676" w14:textId="4138DB53" w:rsidR="77A8D69F" w:rsidRDefault="77A8D69F" w:rsidP="001B3723">
            <w:pPr>
              <w:spacing w:after="0" w:line="480" w:lineRule="auto"/>
              <w:jc w:val="center"/>
            </w:pPr>
            <w:r w:rsidRPr="77A8D69F">
              <w:rPr>
                <w:rFonts w:ascii="Aptos" w:eastAsia="Aptos" w:hAnsi="Aptos" w:cs="Aptos"/>
                <w:color w:val="000000" w:themeColor="text1"/>
              </w:rPr>
              <w:t>0.00</w:t>
            </w:r>
          </w:p>
        </w:tc>
      </w:tr>
      <w:tr w:rsidR="77A8D69F" w14:paraId="1E702C01" w14:textId="77777777" w:rsidTr="77A8D69F">
        <w:trPr>
          <w:trHeight w:val="300"/>
        </w:trPr>
        <w:tc>
          <w:tcPr>
            <w:tcW w:w="3654" w:type="dxa"/>
            <w:tcBorders>
              <w:top w:val="nil"/>
              <w:left w:val="nil"/>
              <w:bottom w:val="double" w:sz="5" w:space="0" w:color="auto"/>
              <w:right w:val="nil"/>
            </w:tcBorders>
            <w:tcMar>
              <w:top w:w="15" w:type="dxa"/>
              <w:left w:w="15" w:type="dxa"/>
              <w:right w:w="15" w:type="dxa"/>
            </w:tcMar>
            <w:vAlign w:val="bottom"/>
          </w:tcPr>
          <w:p w14:paraId="443E587D" w14:textId="72E41521" w:rsidR="77A8D69F" w:rsidRDefault="77A8D69F" w:rsidP="001B3723">
            <w:pPr>
              <w:spacing w:after="0" w:line="480" w:lineRule="auto"/>
            </w:pPr>
            <w:r w:rsidRPr="77A8D69F">
              <w:rPr>
                <w:rFonts w:ascii="Aptos" w:eastAsia="Aptos" w:hAnsi="Aptos" w:cs="Aptos"/>
                <w:color w:val="000000" w:themeColor="text1"/>
              </w:rPr>
              <w:t xml:space="preserve"> </w:t>
            </w:r>
          </w:p>
        </w:tc>
        <w:tc>
          <w:tcPr>
            <w:tcW w:w="1795" w:type="dxa"/>
            <w:tcBorders>
              <w:top w:val="nil"/>
              <w:left w:val="nil"/>
              <w:bottom w:val="double" w:sz="5" w:space="0" w:color="auto"/>
              <w:right w:val="nil"/>
            </w:tcBorders>
            <w:tcMar>
              <w:top w:w="15" w:type="dxa"/>
              <w:left w:w="15" w:type="dxa"/>
              <w:right w:w="15" w:type="dxa"/>
            </w:tcMar>
            <w:vAlign w:val="bottom"/>
          </w:tcPr>
          <w:p w14:paraId="55393E7E" w14:textId="13079585" w:rsidR="77A8D69F" w:rsidRDefault="77A8D69F" w:rsidP="001B3723">
            <w:pPr>
              <w:spacing w:after="0" w:line="480" w:lineRule="auto"/>
              <w:jc w:val="center"/>
            </w:pPr>
            <w:r w:rsidRPr="77A8D69F">
              <w:rPr>
                <w:rFonts w:ascii="Aptos" w:eastAsia="Aptos" w:hAnsi="Aptos" w:cs="Aptos"/>
                <w:color w:val="000000" w:themeColor="text1"/>
              </w:rPr>
              <w:t xml:space="preserve"> </w:t>
            </w:r>
          </w:p>
        </w:tc>
        <w:tc>
          <w:tcPr>
            <w:tcW w:w="1785" w:type="dxa"/>
            <w:tcBorders>
              <w:top w:val="nil"/>
              <w:left w:val="nil"/>
              <w:bottom w:val="double" w:sz="5" w:space="0" w:color="auto"/>
              <w:right w:val="nil"/>
            </w:tcBorders>
            <w:tcMar>
              <w:top w:w="15" w:type="dxa"/>
              <w:left w:w="15" w:type="dxa"/>
              <w:right w:w="15" w:type="dxa"/>
            </w:tcMar>
            <w:vAlign w:val="bottom"/>
          </w:tcPr>
          <w:p w14:paraId="77B4AD1F" w14:textId="5AA1F427" w:rsidR="77A8D69F" w:rsidRDefault="77A8D69F" w:rsidP="001B3723">
            <w:pPr>
              <w:spacing w:after="0" w:line="480" w:lineRule="auto"/>
              <w:jc w:val="center"/>
            </w:pPr>
            <w:r w:rsidRPr="77A8D69F">
              <w:rPr>
                <w:rFonts w:ascii="Aptos" w:eastAsia="Aptos" w:hAnsi="Aptos" w:cs="Aptos"/>
                <w:color w:val="000000" w:themeColor="text1"/>
              </w:rPr>
              <w:t xml:space="preserve"> </w:t>
            </w:r>
          </w:p>
        </w:tc>
        <w:tc>
          <w:tcPr>
            <w:tcW w:w="1781" w:type="dxa"/>
            <w:tcBorders>
              <w:top w:val="nil"/>
              <w:left w:val="nil"/>
              <w:bottom w:val="double" w:sz="5" w:space="0" w:color="auto"/>
              <w:right w:val="nil"/>
            </w:tcBorders>
            <w:tcMar>
              <w:top w:w="15" w:type="dxa"/>
              <w:left w:w="15" w:type="dxa"/>
              <w:right w:w="15" w:type="dxa"/>
            </w:tcMar>
            <w:vAlign w:val="bottom"/>
          </w:tcPr>
          <w:p w14:paraId="1A6D89C3" w14:textId="17E2314D" w:rsidR="77A8D69F" w:rsidRDefault="77A8D69F" w:rsidP="001B3723">
            <w:pPr>
              <w:spacing w:after="0" w:line="480" w:lineRule="auto"/>
              <w:jc w:val="center"/>
            </w:pPr>
            <w:r w:rsidRPr="77A8D69F">
              <w:rPr>
                <w:rFonts w:ascii="Aptos" w:eastAsia="Aptos" w:hAnsi="Aptos" w:cs="Aptos"/>
                <w:color w:val="000000" w:themeColor="text1"/>
              </w:rPr>
              <w:t xml:space="preserve"> </w:t>
            </w:r>
          </w:p>
        </w:tc>
      </w:tr>
      <w:tr w:rsidR="77A8D69F" w14:paraId="765E2B1E" w14:textId="77777777" w:rsidTr="77A8D69F">
        <w:trPr>
          <w:trHeight w:val="180"/>
        </w:trPr>
        <w:tc>
          <w:tcPr>
            <w:tcW w:w="9015" w:type="dxa"/>
            <w:gridSpan w:val="4"/>
            <w:tcBorders>
              <w:top w:val="double" w:sz="5" w:space="0" w:color="auto"/>
              <w:left w:val="nil"/>
              <w:bottom w:val="nil"/>
              <w:right w:val="nil"/>
            </w:tcBorders>
            <w:tcMar>
              <w:top w:w="15" w:type="dxa"/>
              <w:left w:w="15" w:type="dxa"/>
              <w:right w:w="15" w:type="dxa"/>
            </w:tcMar>
          </w:tcPr>
          <w:p w14:paraId="377FA650" w14:textId="1F21F62B" w:rsidR="77A8D69F" w:rsidRDefault="77A8D69F" w:rsidP="001B3723">
            <w:pPr>
              <w:spacing w:after="0" w:line="480" w:lineRule="auto"/>
            </w:pPr>
          </w:p>
        </w:tc>
      </w:tr>
      <w:tr w:rsidR="77A8D69F" w14:paraId="36C07DBE" w14:textId="77777777" w:rsidTr="77A8D69F">
        <w:trPr>
          <w:trHeight w:val="285"/>
        </w:trPr>
        <w:tc>
          <w:tcPr>
            <w:tcW w:w="3654" w:type="dxa"/>
            <w:tcBorders>
              <w:top w:val="nil"/>
              <w:left w:val="nil"/>
              <w:bottom w:val="nil"/>
              <w:right w:val="nil"/>
            </w:tcBorders>
            <w:tcMar>
              <w:top w:w="15" w:type="dxa"/>
              <w:left w:w="15" w:type="dxa"/>
              <w:right w:w="15" w:type="dxa"/>
            </w:tcMar>
            <w:vAlign w:val="bottom"/>
          </w:tcPr>
          <w:p w14:paraId="101EDACD" w14:textId="25EC1955" w:rsidR="77A8D69F" w:rsidRDefault="77A8D69F" w:rsidP="001B3723">
            <w:pPr>
              <w:spacing w:after="0" w:line="480" w:lineRule="auto"/>
            </w:pPr>
          </w:p>
        </w:tc>
        <w:tc>
          <w:tcPr>
            <w:tcW w:w="1795" w:type="dxa"/>
            <w:tcBorders>
              <w:top w:val="nil"/>
              <w:left w:val="nil"/>
              <w:bottom w:val="nil"/>
              <w:right w:val="nil"/>
            </w:tcBorders>
            <w:tcMar>
              <w:top w:w="15" w:type="dxa"/>
              <w:left w:w="15" w:type="dxa"/>
              <w:right w:w="15" w:type="dxa"/>
            </w:tcMar>
            <w:vAlign w:val="bottom"/>
          </w:tcPr>
          <w:p w14:paraId="181979E1" w14:textId="47761B25" w:rsidR="77A8D69F" w:rsidRDefault="77A8D69F" w:rsidP="001B3723">
            <w:pPr>
              <w:spacing w:after="0" w:line="480" w:lineRule="auto"/>
            </w:pPr>
          </w:p>
        </w:tc>
        <w:tc>
          <w:tcPr>
            <w:tcW w:w="1785" w:type="dxa"/>
            <w:tcBorders>
              <w:top w:val="nil"/>
              <w:left w:val="nil"/>
              <w:bottom w:val="nil"/>
              <w:right w:val="nil"/>
            </w:tcBorders>
            <w:tcMar>
              <w:top w:w="15" w:type="dxa"/>
              <w:left w:w="15" w:type="dxa"/>
              <w:right w:w="15" w:type="dxa"/>
            </w:tcMar>
            <w:vAlign w:val="bottom"/>
          </w:tcPr>
          <w:p w14:paraId="7B0D1E8C" w14:textId="0176B601" w:rsidR="77A8D69F" w:rsidRDefault="77A8D69F" w:rsidP="001B3723">
            <w:pPr>
              <w:spacing w:after="0" w:line="480" w:lineRule="auto"/>
            </w:pPr>
          </w:p>
        </w:tc>
        <w:tc>
          <w:tcPr>
            <w:tcW w:w="1781" w:type="dxa"/>
            <w:tcBorders>
              <w:top w:val="nil"/>
              <w:left w:val="nil"/>
              <w:bottom w:val="nil"/>
              <w:right w:val="nil"/>
            </w:tcBorders>
            <w:tcMar>
              <w:top w:w="15" w:type="dxa"/>
              <w:left w:w="15" w:type="dxa"/>
              <w:right w:w="15" w:type="dxa"/>
            </w:tcMar>
            <w:vAlign w:val="bottom"/>
          </w:tcPr>
          <w:p w14:paraId="056FD2F1" w14:textId="5B3BBD44" w:rsidR="77A8D69F" w:rsidRDefault="77A8D69F" w:rsidP="001B3723">
            <w:pPr>
              <w:spacing w:after="0" w:line="480" w:lineRule="auto"/>
            </w:pPr>
          </w:p>
        </w:tc>
      </w:tr>
    </w:tbl>
    <w:p w14:paraId="62254CAA" w14:textId="75842B1F" w:rsidR="00DD040A" w:rsidRPr="00441D96" w:rsidRDefault="144A5A59" w:rsidP="001B3723">
      <w:pPr>
        <w:spacing w:after="0" w:line="480" w:lineRule="auto"/>
        <w:rPr>
          <w:rFonts w:ascii="Aptos" w:eastAsia="Aptos" w:hAnsi="Aptos" w:cs="Aptos"/>
          <w:b/>
          <w:bCs/>
        </w:rPr>
      </w:pPr>
      <w:r w:rsidRPr="77A8D69F">
        <w:rPr>
          <w:rFonts w:ascii="Aptos" w:eastAsia="Aptos" w:hAnsi="Aptos" w:cs="Aptos"/>
          <w:b/>
          <w:bCs/>
        </w:rPr>
        <w:t>Questionnaires</w:t>
      </w:r>
    </w:p>
    <w:p w14:paraId="0DFE7EEB" w14:textId="0FC15A04" w:rsidR="00DD040A" w:rsidRPr="00441D96" w:rsidRDefault="498D0CC0" w:rsidP="001B3723">
      <w:pPr>
        <w:spacing w:after="0" w:line="480" w:lineRule="auto"/>
        <w:ind w:firstLine="720"/>
        <w:rPr>
          <w:rFonts w:ascii="Aptos" w:eastAsia="Aptos" w:hAnsi="Aptos" w:cs="Aptos"/>
        </w:rPr>
      </w:pPr>
      <w:r w:rsidRPr="5FD410A8">
        <w:rPr>
          <w:rFonts w:ascii="Aptos" w:eastAsia="Aptos" w:hAnsi="Aptos" w:cs="Aptos"/>
          <w:i/>
          <w:iCs/>
        </w:rPr>
        <w:t xml:space="preserve">The Intolerance of Uncertainty Scale – 12 items </w:t>
      </w:r>
      <w:r w:rsidRPr="5FD410A8">
        <w:rPr>
          <w:rFonts w:ascii="Aptos" w:eastAsia="Aptos" w:hAnsi="Aptos" w:cs="Aptos"/>
        </w:rPr>
        <w:t xml:space="preserve">(IU, Carleton et al., 2007) consists of 12-items which are rated on a 5-point scale of </w:t>
      </w:r>
      <w:r w:rsidRPr="5FD410A8">
        <w:rPr>
          <w:rFonts w:ascii="Aptos" w:eastAsia="Aptos" w:hAnsi="Aptos" w:cs="Aptos"/>
          <w:i/>
          <w:iCs/>
        </w:rPr>
        <w:t xml:space="preserve">1 ‘not characteristic of me’ </w:t>
      </w:r>
      <w:r w:rsidRPr="5FD410A8">
        <w:rPr>
          <w:rFonts w:ascii="Aptos" w:eastAsia="Aptos" w:hAnsi="Aptos" w:cs="Aptos"/>
        </w:rPr>
        <w:t xml:space="preserve">to 5 </w:t>
      </w:r>
      <w:r w:rsidRPr="5FD410A8">
        <w:rPr>
          <w:rFonts w:ascii="Aptos" w:eastAsia="Aptos" w:hAnsi="Aptos" w:cs="Aptos"/>
          <w:i/>
          <w:iCs/>
        </w:rPr>
        <w:t>‘very characteristic of me’</w:t>
      </w:r>
      <w:r w:rsidRPr="5FD410A8">
        <w:rPr>
          <w:rFonts w:ascii="Aptos" w:eastAsia="Aptos" w:hAnsi="Aptos" w:cs="Aptos"/>
        </w:rPr>
        <w:t xml:space="preserve"> (range 12-60).  In the current sample, the Cronbach’s alpha was excellent for total IU</w:t>
      </w:r>
      <w:r w:rsidR="39A75104" w:rsidRPr="5FD410A8">
        <w:rPr>
          <w:rFonts w:ascii="Aptos" w:eastAsia="Aptos" w:hAnsi="Aptos" w:cs="Aptos"/>
        </w:rPr>
        <w:t>,</w:t>
      </w:r>
      <w:r w:rsidRPr="5FD410A8">
        <w:rPr>
          <w:rFonts w:ascii="Aptos" w:eastAsia="Aptos" w:hAnsi="Aptos" w:cs="Aptos"/>
        </w:rPr>
        <w:t xml:space="preserve"> α=</w:t>
      </w:r>
      <w:r w:rsidR="5558B135" w:rsidRPr="5FD410A8">
        <w:rPr>
          <w:rFonts w:ascii="Aptos" w:eastAsia="Aptos" w:hAnsi="Aptos" w:cs="Aptos"/>
        </w:rPr>
        <w:t xml:space="preserve"> .93</w:t>
      </w:r>
      <w:r w:rsidR="49F30082" w:rsidRPr="5FD410A8">
        <w:rPr>
          <w:rFonts w:ascii="Aptos" w:eastAsia="Aptos" w:hAnsi="Aptos" w:cs="Aptos"/>
        </w:rPr>
        <w:t>.</w:t>
      </w:r>
    </w:p>
    <w:p w14:paraId="4BFAF2BE" w14:textId="08209313" w:rsidR="00DD040A" w:rsidRPr="00441D96" w:rsidRDefault="144A5A59" w:rsidP="001B3723">
      <w:pPr>
        <w:spacing w:after="0" w:line="480" w:lineRule="auto"/>
        <w:ind w:firstLine="720"/>
        <w:rPr>
          <w:rFonts w:ascii="Aptos" w:eastAsia="Aptos" w:hAnsi="Aptos" w:cs="Aptos"/>
        </w:rPr>
      </w:pPr>
      <w:r w:rsidRPr="5FD410A8">
        <w:rPr>
          <w:rFonts w:ascii="Aptos" w:eastAsia="Aptos" w:hAnsi="Aptos" w:cs="Aptos"/>
          <w:i/>
          <w:iCs/>
        </w:rPr>
        <w:t>The Revised Green et al., Paranoid Thoughts Scale</w:t>
      </w:r>
      <w:r w:rsidRPr="5FD410A8">
        <w:rPr>
          <w:rFonts w:ascii="Aptos" w:eastAsia="Aptos" w:hAnsi="Aptos" w:cs="Aptos"/>
          <w:b/>
          <w:bCs/>
        </w:rPr>
        <w:t xml:space="preserve"> </w:t>
      </w:r>
      <w:r w:rsidRPr="5FD410A8">
        <w:rPr>
          <w:rFonts w:ascii="Aptos" w:eastAsia="Aptos" w:hAnsi="Aptos" w:cs="Aptos"/>
        </w:rPr>
        <w:t xml:space="preserve">(RGPTS, Freeman et al., 2019) is an 18-item measure comprised of two subscales: ideas of reference (8 items) and persecution (10 items). Items are rated on a 5-point scale of </w:t>
      </w:r>
      <w:r w:rsidRPr="5FD410A8">
        <w:rPr>
          <w:rFonts w:ascii="Aptos" w:eastAsia="Aptos" w:hAnsi="Aptos" w:cs="Aptos"/>
          <w:i/>
          <w:iCs/>
        </w:rPr>
        <w:t>0-not at all</w:t>
      </w:r>
      <w:r w:rsidRPr="5FD410A8">
        <w:rPr>
          <w:rFonts w:ascii="Aptos" w:eastAsia="Aptos" w:hAnsi="Aptos" w:cs="Aptos"/>
        </w:rPr>
        <w:t xml:space="preserve"> to </w:t>
      </w:r>
      <w:r w:rsidRPr="5FD410A8">
        <w:rPr>
          <w:rFonts w:ascii="Aptos" w:eastAsia="Aptos" w:hAnsi="Aptos" w:cs="Aptos"/>
          <w:i/>
          <w:iCs/>
        </w:rPr>
        <w:t>4-totally</w:t>
      </w:r>
      <w:r w:rsidRPr="5FD410A8">
        <w:rPr>
          <w:rFonts w:ascii="Aptos" w:eastAsia="Aptos" w:hAnsi="Aptos" w:cs="Aptos"/>
        </w:rPr>
        <w:t xml:space="preserve"> and exhibit reliability across the paranoia continuum. In the current study, because we were interested in paranoia </w:t>
      </w:r>
      <w:r w:rsidR="15CB0B9A" w:rsidRPr="5FD410A8">
        <w:rPr>
          <w:rFonts w:ascii="Aptos" w:eastAsia="Aptos" w:hAnsi="Aptos" w:cs="Aptos"/>
        </w:rPr>
        <w:t>s</w:t>
      </w:r>
      <w:r w:rsidRPr="5FD410A8">
        <w:rPr>
          <w:rFonts w:ascii="Aptos" w:eastAsia="Aptos" w:hAnsi="Aptos" w:cs="Aptos"/>
        </w:rPr>
        <w:t>pecifically (as opposed to ideas of reference), we used the persecution subscale only (range 0-40), and the Cronbach’s alpha was excellent, α=.</w:t>
      </w:r>
      <w:r w:rsidR="4A64CBA1" w:rsidRPr="5FD410A8">
        <w:rPr>
          <w:rFonts w:ascii="Aptos" w:eastAsia="Aptos" w:hAnsi="Aptos" w:cs="Aptos"/>
        </w:rPr>
        <w:t>95.</w:t>
      </w:r>
      <w:r w:rsidRPr="5FD410A8">
        <w:rPr>
          <w:rFonts w:ascii="Aptos" w:eastAsia="Aptos" w:hAnsi="Aptos" w:cs="Aptos"/>
        </w:rPr>
        <w:t xml:space="preserve">   </w:t>
      </w:r>
    </w:p>
    <w:p w14:paraId="7D932D61" w14:textId="1718CDAD" w:rsidR="001E4F0A" w:rsidRDefault="749BD451" w:rsidP="001B3723">
      <w:pPr>
        <w:spacing w:after="0" w:line="480" w:lineRule="auto"/>
        <w:ind w:firstLine="720"/>
        <w:rPr>
          <w:rFonts w:ascii="Aptos" w:eastAsia="Aptos" w:hAnsi="Aptos" w:cs="Aptos"/>
        </w:rPr>
      </w:pPr>
      <w:r w:rsidRPr="2A4FE2FE">
        <w:rPr>
          <w:rFonts w:ascii="Aptos" w:eastAsia="Aptos" w:hAnsi="Aptos" w:cs="Aptos"/>
          <w:i/>
          <w:iCs/>
        </w:rPr>
        <w:lastRenderedPageBreak/>
        <w:t xml:space="preserve">The </w:t>
      </w:r>
      <w:r w:rsidR="498D0CC0" w:rsidRPr="2A4FE2FE">
        <w:rPr>
          <w:rFonts w:ascii="Aptos" w:eastAsia="Aptos" w:hAnsi="Aptos" w:cs="Aptos"/>
          <w:i/>
          <w:iCs/>
        </w:rPr>
        <w:t xml:space="preserve">Prodromal </w:t>
      </w:r>
      <w:r w:rsidR="4085919C" w:rsidRPr="2A4FE2FE">
        <w:rPr>
          <w:rFonts w:ascii="Aptos" w:eastAsia="Aptos" w:hAnsi="Aptos" w:cs="Aptos"/>
          <w:i/>
          <w:iCs/>
        </w:rPr>
        <w:t>Questionnaire</w:t>
      </w:r>
      <w:r w:rsidR="4085919C" w:rsidRPr="2A4FE2FE">
        <w:rPr>
          <w:rFonts w:ascii="Aptos" w:eastAsia="Aptos" w:hAnsi="Aptos" w:cs="Aptos"/>
        </w:rPr>
        <w:t xml:space="preserve"> (PQ-16, Ising et al., 2012)</w:t>
      </w:r>
      <w:r w:rsidR="517534C2" w:rsidRPr="2A4FE2FE">
        <w:rPr>
          <w:rFonts w:ascii="Aptos" w:eastAsia="Aptos" w:hAnsi="Aptos" w:cs="Aptos"/>
        </w:rPr>
        <w:t xml:space="preserve"> is a 16-item measure that examines </w:t>
      </w:r>
      <w:r w:rsidR="14F06CDE" w:rsidRPr="2A4FE2FE">
        <w:rPr>
          <w:rFonts w:ascii="Aptos" w:eastAsia="Aptos" w:hAnsi="Aptos" w:cs="Aptos"/>
        </w:rPr>
        <w:t xml:space="preserve">prodromal symptoms of psychosis. </w:t>
      </w:r>
      <w:r w:rsidR="5B8A5072" w:rsidRPr="2A4FE2FE">
        <w:rPr>
          <w:rFonts w:ascii="Aptos" w:eastAsia="Aptos" w:hAnsi="Aptos" w:cs="Aptos"/>
        </w:rPr>
        <w:t>Items are rated on a binary scale of true and false</w:t>
      </w:r>
      <w:r w:rsidR="13C9EE0A" w:rsidRPr="2A4FE2FE">
        <w:rPr>
          <w:rFonts w:ascii="Aptos" w:eastAsia="Aptos" w:hAnsi="Aptos" w:cs="Aptos"/>
        </w:rPr>
        <w:t xml:space="preserve"> (range 0-16)</w:t>
      </w:r>
      <w:r w:rsidR="5B8A5072" w:rsidRPr="2A4FE2FE">
        <w:rPr>
          <w:rFonts w:ascii="Aptos" w:eastAsia="Aptos" w:hAnsi="Aptos" w:cs="Aptos"/>
        </w:rPr>
        <w:t xml:space="preserve">. If </w:t>
      </w:r>
      <w:r w:rsidR="59EA1F92" w:rsidRPr="2A4FE2FE">
        <w:rPr>
          <w:rFonts w:ascii="Aptos" w:eastAsia="Aptos" w:hAnsi="Aptos" w:cs="Aptos"/>
        </w:rPr>
        <w:t xml:space="preserve">an item is rated </w:t>
      </w:r>
      <w:r w:rsidR="5B8A5072" w:rsidRPr="2A4FE2FE">
        <w:rPr>
          <w:rFonts w:ascii="Aptos" w:eastAsia="Aptos" w:hAnsi="Aptos" w:cs="Aptos"/>
        </w:rPr>
        <w:t xml:space="preserve">true, then an additional rating of distress is provided from 0 ‘no’ to </w:t>
      </w:r>
      <w:r w:rsidR="0FC16BAE" w:rsidRPr="2A4FE2FE">
        <w:rPr>
          <w:rFonts w:ascii="Aptos" w:eastAsia="Aptos" w:hAnsi="Aptos" w:cs="Aptos"/>
        </w:rPr>
        <w:t>3 ‘severe’</w:t>
      </w:r>
      <w:r w:rsidR="0A268863" w:rsidRPr="2A4FE2FE">
        <w:rPr>
          <w:rFonts w:ascii="Aptos" w:eastAsia="Aptos" w:hAnsi="Aptos" w:cs="Aptos"/>
        </w:rPr>
        <w:t xml:space="preserve"> (range 0-48)</w:t>
      </w:r>
      <w:r w:rsidR="55C50DD2" w:rsidRPr="2A4FE2FE">
        <w:rPr>
          <w:rFonts w:ascii="Aptos" w:eastAsia="Aptos" w:hAnsi="Aptos" w:cs="Aptos"/>
        </w:rPr>
        <w:t>.</w:t>
      </w:r>
      <w:r w:rsidR="0FC16BAE" w:rsidRPr="2A4FE2FE">
        <w:rPr>
          <w:rFonts w:ascii="Aptos" w:eastAsia="Aptos" w:hAnsi="Aptos" w:cs="Aptos"/>
        </w:rPr>
        <w:t xml:space="preserve"> </w:t>
      </w:r>
      <w:r w:rsidR="79564C00" w:rsidRPr="2A4FE2FE">
        <w:rPr>
          <w:rFonts w:ascii="Aptos" w:eastAsia="Aptos" w:hAnsi="Aptos" w:cs="Aptos"/>
        </w:rPr>
        <w:t xml:space="preserve">For this study, we used the standard scoring system based on the items for the binary scale. A cutoff of 6 or more symptoms </w:t>
      </w:r>
      <w:r w:rsidR="0B211AF6" w:rsidRPr="2A4FE2FE">
        <w:rPr>
          <w:rFonts w:ascii="Aptos" w:eastAsia="Aptos" w:hAnsi="Aptos" w:cs="Aptos"/>
        </w:rPr>
        <w:t>is associated with high specificity</w:t>
      </w:r>
      <w:r w:rsidR="0D327300" w:rsidRPr="2A4FE2FE">
        <w:rPr>
          <w:rFonts w:ascii="Aptos" w:eastAsia="Aptos" w:hAnsi="Aptos" w:cs="Aptos"/>
        </w:rPr>
        <w:t xml:space="preserve"> (87%) and sensitivity (87%)</w:t>
      </w:r>
      <w:r w:rsidR="0B211AF6" w:rsidRPr="2A4FE2FE">
        <w:rPr>
          <w:rFonts w:ascii="Aptos" w:eastAsia="Aptos" w:hAnsi="Aptos" w:cs="Aptos"/>
        </w:rPr>
        <w:t xml:space="preserve"> of identifying </w:t>
      </w:r>
      <w:r w:rsidR="44CE154C" w:rsidRPr="2A4FE2FE">
        <w:rPr>
          <w:rFonts w:ascii="Aptos" w:eastAsia="Aptos" w:hAnsi="Aptos" w:cs="Aptos"/>
        </w:rPr>
        <w:t>ultra high-</w:t>
      </w:r>
      <w:r w:rsidR="0B211AF6" w:rsidRPr="2A4FE2FE">
        <w:rPr>
          <w:rFonts w:ascii="Aptos" w:eastAsia="Aptos" w:hAnsi="Aptos" w:cs="Aptos"/>
        </w:rPr>
        <w:t>risk for developing psychosis</w:t>
      </w:r>
      <w:r w:rsidR="6E20C61F" w:rsidRPr="2A4FE2FE">
        <w:rPr>
          <w:rFonts w:ascii="Aptos" w:eastAsia="Aptos" w:hAnsi="Aptos" w:cs="Aptos"/>
        </w:rPr>
        <w:t xml:space="preserve"> (Ising et al., 2012)</w:t>
      </w:r>
      <w:r w:rsidR="0B211AF6" w:rsidRPr="2A4FE2FE">
        <w:rPr>
          <w:rFonts w:ascii="Aptos" w:eastAsia="Aptos" w:hAnsi="Aptos" w:cs="Aptos"/>
        </w:rPr>
        <w:t xml:space="preserve">. </w:t>
      </w:r>
      <w:r w:rsidR="5384A6FC" w:rsidRPr="2A4FE2FE">
        <w:rPr>
          <w:rFonts w:ascii="Aptos" w:eastAsia="Aptos" w:hAnsi="Aptos" w:cs="Aptos"/>
        </w:rPr>
        <w:t xml:space="preserve">The Cronbach’s alpha was good, α=.88.   </w:t>
      </w:r>
    </w:p>
    <w:p w14:paraId="7002A216" w14:textId="31236763" w:rsidR="001E4F0A" w:rsidRDefault="119951DF" w:rsidP="001B3723">
      <w:pPr>
        <w:spacing w:after="0" w:line="480" w:lineRule="auto"/>
        <w:ind w:firstLine="720"/>
        <w:rPr>
          <w:rFonts w:ascii="Aptos" w:eastAsia="Aptos" w:hAnsi="Aptos" w:cs="Aptos"/>
        </w:rPr>
      </w:pPr>
      <w:r w:rsidRPr="2A4FE2FE">
        <w:rPr>
          <w:rFonts w:ascii="Aptos" w:eastAsia="Aptos" w:hAnsi="Aptos" w:cs="Aptos"/>
          <w:i/>
          <w:iCs/>
        </w:rPr>
        <w:t xml:space="preserve">The Big Five Inventory </w:t>
      </w:r>
      <w:r w:rsidR="2CFAA03B" w:rsidRPr="2A4FE2FE">
        <w:rPr>
          <w:rFonts w:ascii="Aptos" w:eastAsia="Aptos" w:hAnsi="Aptos" w:cs="Aptos"/>
          <w:i/>
          <w:iCs/>
        </w:rPr>
        <w:t>– 10 items</w:t>
      </w:r>
      <w:r w:rsidRPr="2A4FE2FE">
        <w:rPr>
          <w:rFonts w:ascii="Aptos" w:eastAsia="Aptos" w:hAnsi="Aptos" w:cs="Aptos"/>
          <w:i/>
          <w:iCs/>
        </w:rPr>
        <w:t xml:space="preserve"> </w:t>
      </w:r>
      <w:r w:rsidRPr="2A4FE2FE">
        <w:rPr>
          <w:rFonts w:ascii="Aptos" w:eastAsia="Aptos" w:hAnsi="Aptos" w:cs="Aptos"/>
        </w:rPr>
        <w:t>(BFI-10</w:t>
      </w:r>
      <w:r w:rsidR="741F28CE" w:rsidRPr="2A4FE2FE">
        <w:rPr>
          <w:rFonts w:ascii="Aptos" w:eastAsia="Aptos" w:hAnsi="Aptos" w:cs="Aptos"/>
        </w:rPr>
        <w:t xml:space="preserve">, </w:t>
      </w:r>
      <w:proofErr w:type="spellStart"/>
      <w:r w:rsidR="741F28CE" w:rsidRPr="2A4FE2FE">
        <w:rPr>
          <w:rFonts w:ascii="Aptos" w:eastAsia="Aptos" w:hAnsi="Aptos" w:cs="Aptos"/>
        </w:rPr>
        <w:t>Rammstedt</w:t>
      </w:r>
      <w:proofErr w:type="spellEnd"/>
      <w:r w:rsidR="741F28CE" w:rsidRPr="2A4FE2FE">
        <w:rPr>
          <w:rFonts w:ascii="Aptos" w:eastAsia="Aptos" w:hAnsi="Aptos" w:cs="Aptos"/>
        </w:rPr>
        <w:t xml:space="preserve"> &amp; John, 2007</w:t>
      </w:r>
      <w:r w:rsidRPr="2A4FE2FE">
        <w:rPr>
          <w:rFonts w:ascii="Aptos" w:eastAsia="Aptos" w:hAnsi="Aptos" w:cs="Aptos"/>
        </w:rPr>
        <w:t>)</w:t>
      </w:r>
      <w:r w:rsidRPr="2A4FE2FE">
        <w:rPr>
          <w:rFonts w:ascii="Aptos" w:eastAsia="Aptos" w:hAnsi="Aptos" w:cs="Aptos"/>
          <w:i/>
          <w:iCs/>
        </w:rPr>
        <w:t xml:space="preserve"> </w:t>
      </w:r>
      <w:r w:rsidRPr="2A4FE2FE">
        <w:rPr>
          <w:rFonts w:ascii="Aptos" w:eastAsia="Aptos" w:hAnsi="Aptos" w:cs="Aptos"/>
        </w:rPr>
        <w:t>is a shorte</w:t>
      </w:r>
      <w:r w:rsidR="7F4D5F9D" w:rsidRPr="2A4FE2FE">
        <w:rPr>
          <w:rFonts w:ascii="Aptos" w:eastAsia="Aptos" w:hAnsi="Aptos" w:cs="Aptos"/>
        </w:rPr>
        <w:t>ned scale that measures extraversion</w:t>
      </w:r>
      <w:r w:rsidR="47A1381C" w:rsidRPr="2A4FE2FE">
        <w:rPr>
          <w:rFonts w:ascii="Aptos" w:eastAsia="Aptos" w:hAnsi="Aptos" w:cs="Aptos"/>
        </w:rPr>
        <w:t xml:space="preserve"> (2 item</w:t>
      </w:r>
      <w:r w:rsidR="01FB1D14" w:rsidRPr="2A4FE2FE">
        <w:rPr>
          <w:rFonts w:ascii="Aptos" w:eastAsia="Aptos" w:hAnsi="Aptos" w:cs="Aptos"/>
        </w:rPr>
        <w:t>s</w:t>
      </w:r>
      <w:r w:rsidR="47A1381C" w:rsidRPr="2A4FE2FE">
        <w:rPr>
          <w:rFonts w:ascii="Aptos" w:eastAsia="Aptos" w:hAnsi="Aptos" w:cs="Aptos"/>
        </w:rPr>
        <w:t>)</w:t>
      </w:r>
      <w:r w:rsidR="7F4D5F9D" w:rsidRPr="2A4FE2FE">
        <w:rPr>
          <w:rFonts w:ascii="Aptos" w:eastAsia="Aptos" w:hAnsi="Aptos" w:cs="Aptos"/>
        </w:rPr>
        <w:t>, agreeableness</w:t>
      </w:r>
      <w:r w:rsidR="484DA515" w:rsidRPr="2A4FE2FE">
        <w:rPr>
          <w:rFonts w:ascii="Aptos" w:eastAsia="Aptos" w:hAnsi="Aptos" w:cs="Aptos"/>
        </w:rPr>
        <w:t xml:space="preserve"> (2 items)</w:t>
      </w:r>
      <w:r w:rsidR="7F4D5F9D" w:rsidRPr="2A4FE2FE">
        <w:rPr>
          <w:rFonts w:ascii="Aptos" w:eastAsia="Aptos" w:hAnsi="Aptos" w:cs="Aptos"/>
        </w:rPr>
        <w:t>, conscientiousness</w:t>
      </w:r>
      <w:r w:rsidR="771E2FB3" w:rsidRPr="2A4FE2FE">
        <w:rPr>
          <w:rFonts w:ascii="Aptos" w:eastAsia="Aptos" w:hAnsi="Aptos" w:cs="Aptos"/>
        </w:rPr>
        <w:t xml:space="preserve"> (2 items)</w:t>
      </w:r>
      <w:r w:rsidR="7F4D5F9D" w:rsidRPr="2A4FE2FE">
        <w:rPr>
          <w:rFonts w:ascii="Aptos" w:eastAsia="Aptos" w:hAnsi="Aptos" w:cs="Aptos"/>
        </w:rPr>
        <w:t>, neuroticism</w:t>
      </w:r>
      <w:r w:rsidR="54EAA730" w:rsidRPr="2A4FE2FE">
        <w:rPr>
          <w:rFonts w:ascii="Aptos" w:eastAsia="Aptos" w:hAnsi="Aptos" w:cs="Aptos"/>
        </w:rPr>
        <w:t xml:space="preserve"> (2 items)</w:t>
      </w:r>
      <w:r w:rsidR="7F4D5F9D" w:rsidRPr="2A4FE2FE">
        <w:rPr>
          <w:rFonts w:ascii="Aptos" w:eastAsia="Aptos" w:hAnsi="Aptos" w:cs="Aptos"/>
        </w:rPr>
        <w:t>, and openness</w:t>
      </w:r>
      <w:r w:rsidR="6C3C13D9" w:rsidRPr="2A4FE2FE">
        <w:rPr>
          <w:rFonts w:ascii="Aptos" w:eastAsia="Aptos" w:hAnsi="Aptos" w:cs="Aptos"/>
        </w:rPr>
        <w:t xml:space="preserve"> (2 items)</w:t>
      </w:r>
      <w:r w:rsidR="7F4D5F9D" w:rsidRPr="2A4FE2FE">
        <w:rPr>
          <w:rFonts w:ascii="Aptos" w:eastAsia="Aptos" w:hAnsi="Aptos" w:cs="Aptos"/>
        </w:rPr>
        <w:t xml:space="preserve">. </w:t>
      </w:r>
      <w:r w:rsidR="3838D07F" w:rsidRPr="2A4FE2FE">
        <w:rPr>
          <w:rFonts w:ascii="Aptos" w:eastAsia="Aptos" w:hAnsi="Aptos" w:cs="Aptos"/>
        </w:rPr>
        <w:t>Items are rated on a 5-point scale from 1</w:t>
      </w:r>
      <w:r w:rsidR="529DE503" w:rsidRPr="2A4FE2FE">
        <w:rPr>
          <w:rFonts w:ascii="Aptos" w:eastAsia="Aptos" w:hAnsi="Aptos" w:cs="Aptos"/>
        </w:rPr>
        <w:t xml:space="preserve"> ‘</w:t>
      </w:r>
      <w:r w:rsidR="3838D07F" w:rsidRPr="2A4FE2FE">
        <w:rPr>
          <w:rFonts w:ascii="Aptos" w:eastAsia="Aptos" w:hAnsi="Aptos" w:cs="Aptos"/>
          <w:i/>
          <w:iCs/>
        </w:rPr>
        <w:t>disagree strongly</w:t>
      </w:r>
      <w:r w:rsidR="3FFE9E30" w:rsidRPr="2A4FE2FE">
        <w:rPr>
          <w:rFonts w:ascii="Aptos" w:eastAsia="Aptos" w:hAnsi="Aptos" w:cs="Aptos"/>
          <w:i/>
          <w:iCs/>
        </w:rPr>
        <w:t>’</w:t>
      </w:r>
      <w:r w:rsidR="3838D07F" w:rsidRPr="2A4FE2FE">
        <w:rPr>
          <w:rFonts w:ascii="Aptos" w:eastAsia="Aptos" w:hAnsi="Aptos" w:cs="Aptos"/>
        </w:rPr>
        <w:t xml:space="preserve"> to 5</w:t>
      </w:r>
      <w:r w:rsidR="3DF549A7" w:rsidRPr="2A4FE2FE">
        <w:rPr>
          <w:rFonts w:ascii="Aptos" w:eastAsia="Aptos" w:hAnsi="Aptos" w:cs="Aptos"/>
        </w:rPr>
        <w:t xml:space="preserve"> </w:t>
      </w:r>
      <w:r w:rsidR="3DF549A7" w:rsidRPr="2A4FE2FE">
        <w:rPr>
          <w:rFonts w:ascii="Aptos" w:eastAsia="Aptos" w:hAnsi="Aptos" w:cs="Aptos"/>
          <w:i/>
          <w:iCs/>
        </w:rPr>
        <w:t>‘</w:t>
      </w:r>
      <w:r w:rsidR="3838D07F" w:rsidRPr="2A4FE2FE">
        <w:rPr>
          <w:rFonts w:ascii="Aptos" w:eastAsia="Aptos" w:hAnsi="Aptos" w:cs="Aptos"/>
          <w:i/>
          <w:iCs/>
        </w:rPr>
        <w:t>agree strongly</w:t>
      </w:r>
      <w:r w:rsidR="01C4E3FE" w:rsidRPr="2A4FE2FE">
        <w:rPr>
          <w:rFonts w:ascii="Aptos" w:eastAsia="Aptos" w:hAnsi="Aptos" w:cs="Aptos"/>
          <w:i/>
          <w:iCs/>
        </w:rPr>
        <w:t xml:space="preserve">’. </w:t>
      </w:r>
      <w:r w:rsidR="01C4E3FE" w:rsidRPr="2A4FE2FE">
        <w:rPr>
          <w:rFonts w:ascii="Aptos" w:eastAsia="Aptos" w:hAnsi="Aptos" w:cs="Aptos"/>
        </w:rPr>
        <w:t>In this study, we used the neuroticism subscale only (range 1-10), and the Cronbach’s alpha was</w:t>
      </w:r>
      <w:r w:rsidR="3D4FC69A" w:rsidRPr="2A4FE2FE">
        <w:rPr>
          <w:rFonts w:ascii="Aptos" w:eastAsia="Aptos" w:hAnsi="Aptos" w:cs="Aptos"/>
        </w:rPr>
        <w:t xml:space="preserve"> good</w:t>
      </w:r>
      <w:r w:rsidR="01C4E3FE" w:rsidRPr="2A4FE2FE">
        <w:rPr>
          <w:rFonts w:ascii="Aptos" w:eastAsia="Aptos" w:hAnsi="Aptos" w:cs="Aptos"/>
        </w:rPr>
        <w:t>, α=.</w:t>
      </w:r>
      <w:r w:rsidR="2B3BD8CC" w:rsidRPr="2A4FE2FE">
        <w:rPr>
          <w:rFonts w:ascii="Aptos" w:eastAsia="Aptos" w:hAnsi="Aptos" w:cs="Aptos"/>
        </w:rPr>
        <w:t>82</w:t>
      </w:r>
      <w:r w:rsidR="01C4E3FE" w:rsidRPr="2A4FE2FE">
        <w:rPr>
          <w:rFonts w:ascii="Aptos" w:eastAsia="Aptos" w:hAnsi="Aptos" w:cs="Aptos"/>
        </w:rPr>
        <w:t xml:space="preserve">. </w:t>
      </w:r>
    </w:p>
    <w:p w14:paraId="13D1C030" w14:textId="5203F7B0" w:rsidR="001E4F0A" w:rsidRDefault="1443D0EC" w:rsidP="001B3723">
      <w:pPr>
        <w:spacing w:after="0" w:line="480" w:lineRule="auto"/>
        <w:ind w:firstLine="720"/>
        <w:rPr>
          <w:rFonts w:ascii="Aptos" w:eastAsia="Aptos" w:hAnsi="Aptos" w:cs="Aptos"/>
        </w:rPr>
      </w:pPr>
      <w:r w:rsidRPr="2A4FE2FE">
        <w:rPr>
          <w:rFonts w:ascii="Aptos" w:eastAsia="Aptos" w:hAnsi="Aptos" w:cs="Aptos"/>
          <w:i/>
          <w:iCs/>
        </w:rPr>
        <w:t xml:space="preserve">The Cognitive Biases Questionnaire for psychosis </w:t>
      </w:r>
      <w:r w:rsidR="24F0EE03" w:rsidRPr="2A4FE2FE">
        <w:rPr>
          <w:rFonts w:ascii="Aptos" w:eastAsia="Aptos" w:hAnsi="Aptos" w:cs="Aptos"/>
        </w:rPr>
        <w:t>(</w:t>
      </w:r>
      <w:proofErr w:type="spellStart"/>
      <w:r w:rsidR="24F0EE03" w:rsidRPr="2A4FE2FE">
        <w:rPr>
          <w:rFonts w:ascii="Aptos" w:eastAsia="Aptos" w:hAnsi="Aptos" w:cs="Aptos"/>
        </w:rPr>
        <w:t>CBQp</w:t>
      </w:r>
      <w:proofErr w:type="spellEnd"/>
      <w:r w:rsidR="24F0EE03" w:rsidRPr="2A4FE2FE">
        <w:rPr>
          <w:rFonts w:ascii="Aptos" w:eastAsia="Aptos" w:hAnsi="Aptos" w:cs="Aptos"/>
        </w:rPr>
        <w:t>, Peters et al., 201</w:t>
      </w:r>
      <w:r w:rsidR="18726A81" w:rsidRPr="2A4FE2FE">
        <w:rPr>
          <w:rFonts w:ascii="Aptos" w:eastAsia="Aptos" w:hAnsi="Aptos" w:cs="Aptos"/>
        </w:rPr>
        <w:t>4</w:t>
      </w:r>
      <w:r w:rsidR="24F0EE03" w:rsidRPr="2A4FE2FE">
        <w:rPr>
          <w:rFonts w:ascii="Aptos" w:eastAsia="Aptos" w:hAnsi="Aptos" w:cs="Aptos"/>
        </w:rPr>
        <w:t xml:space="preserve">) </w:t>
      </w:r>
      <w:r w:rsidR="42E9C3B9" w:rsidRPr="2A4FE2FE">
        <w:rPr>
          <w:rFonts w:ascii="Aptos" w:eastAsia="Aptos" w:hAnsi="Aptos" w:cs="Aptos"/>
        </w:rPr>
        <w:t xml:space="preserve">is a 30-item measure comprised of five subscales: </w:t>
      </w:r>
      <w:r w:rsidR="329DF4BA" w:rsidRPr="2A4FE2FE">
        <w:rPr>
          <w:rFonts w:ascii="Aptos" w:eastAsia="Aptos" w:hAnsi="Aptos" w:cs="Aptos"/>
        </w:rPr>
        <w:t xml:space="preserve">jumping to conclusions (6 items), </w:t>
      </w:r>
      <w:proofErr w:type="spellStart"/>
      <w:r w:rsidR="329DF4BA" w:rsidRPr="2A4FE2FE">
        <w:rPr>
          <w:rFonts w:ascii="Aptos" w:eastAsia="Aptos" w:hAnsi="Aptos" w:cs="Aptos"/>
        </w:rPr>
        <w:t>intentionalising</w:t>
      </w:r>
      <w:proofErr w:type="spellEnd"/>
      <w:r w:rsidR="329DF4BA" w:rsidRPr="2A4FE2FE">
        <w:rPr>
          <w:rFonts w:ascii="Aptos" w:eastAsia="Aptos" w:hAnsi="Aptos" w:cs="Aptos"/>
        </w:rPr>
        <w:t xml:space="preserve"> (6 items), catastrophising (6 items), emotional reasoning (6 items), and dichotomous thinking (6 items)</w:t>
      </w:r>
      <w:r w:rsidR="42E9C3B9" w:rsidRPr="2A4FE2FE">
        <w:rPr>
          <w:rFonts w:ascii="Aptos" w:eastAsia="Aptos" w:hAnsi="Aptos" w:cs="Aptos"/>
        </w:rPr>
        <w:t xml:space="preserve">. </w:t>
      </w:r>
      <w:r w:rsidR="5914F0FC" w:rsidRPr="2A4FE2FE">
        <w:rPr>
          <w:rFonts w:ascii="Aptos" w:eastAsia="Aptos" w:hAnsi="Aptos" w:cs="Aptos"/>
        </w:rPr>
        <w:t xml:space="preserve">The questionnaire presents everyday situations with three response choices. Answers with an absence of bias equal one point, those with </w:t>
      </w:r>
      <w:r w:rsidR="034ABB5D" w:rsidRPr="2A4FE2FE">
        <w:rPr>
          <w:rFonts w:ascii="Aptos" w:eastAsia="Aptos" w:hAnsi="Aptos" w:cs="Aptos"/>
        </w:rPr>
        <w:t>some</w:t>
      </w:r>
      <w:r w:rsidR="5914F0FC" w:rsidRPr="2A4FE2FE">
        <w:rPr>
          <w:rFonts w:ascii="Aptos" w:eastAsia="Aptos" w:hAnsi="Aptos" w:cs="Aptos"/>
        </w:rPr>
        <w:t xml:space="preserve"> bias equal two points, and those with a </w:t>
      </w:r>
      <w:r w:rsidR="740E3AA7" w:rsidRPr="2A4FE2FE">
        <w:rPr>
          <w:rFonts w:ascii="Aptos" w:eastAsia="Aptos" w:hAnsi="Aptos" w:cs="Aptos"/>
        </w:rPr>
        <w:t>greater</w:t>
      </w:r>
      <w:r w:rsidR="5914F0FC" w:rsidRPr="2A4FE2FE">
        <w:rPr>
          <w:rFonts w:ascii="Aptos" w:eastAsia="Aptos" w:hAnsi="Aptos" w:cs="Aptos"/>
        </w:rPr>
        <w:t xml:space="preserve"> bias </w:t>
      </w:r>
      <w:r w:rsidR="460DFD0B" w:rsidRPr="2A4FE2FE">
        <w:rPr>
          <w:rFonts w:ascii="Aptos" w:eastAsia="Aptos" w:hAnsi="Aptos" w:cs="Aptos"/>
        </w:rPr>
        <w:t>equal</w:t>
      </w:r>
      <w:r w:rsidR="5914F0FC" w:rsidRPr="2A4FE2FE">
        <w:rPr>
          <w:rFonts w:ascii="Aptos" w:eastAsia="Aptos" w:hAnsi="Aptos" w:cs="Aptos"/>
        </w:rPr>
        <w:t xml:space="preserve"> three points.</w:t>
      </w:r>
      <w:r w:rsidR="42E9C3B9" w:rsidRPr="2A4FE2FE">
        <w:rPr>
          <w:rFonts w:ascii="Aptos" w:eastAsia="Aptos" w:hAnsi="Aptos" w:cs="Aptos"/>
        </w:rPr>
        <w:t xml:space="preserve"> In the current study, we used </w:t>
      </w:r>
      <w:r w:rsidR="7A9EDD6E" w:rsidRPr="2A4FE2FE">
        <w:rPr>
          <w:rFonts w:ascii="Aptos" w:eastAsia="Aptos" w:hAnsi="Aptos" w:cs="Aptos"/>
        </w:rPr>
        <w:t>the jumping to conclusions bias</w:t>
      </w:r>
      <w:r w:rsidR="42E9C3B9" w:rsidRPr="2A4FE2FE">
        <w:rPr>
          <w:rFonts w:ascii="Aptos" w:eastAsia="Aptos" w:hAnsi="Aptos" w:cs="Aptos"/>
        </w:rPr>
        <w:t xml:space="preserve"> subscale only (range 0-</w:t>
      </w:r>
      <w:r w:rsidR="7B6927B2" w:rsidRPr="2A4FE2FE">
        <w:rPr>
          <w:rFonts w:ascii="Aptos" w:eastAsia="Aptos" w:hAnsi="Aptos" w:cs="Aptos"/>
        </w:rPr>
        <w:t>15</w:t>
      </w:r>
      <w:r w:rsidR="42E9C3B9" w:rsidRPr="2A4FE2FE">
        <w:rPr>
          <w:rFonts w:ascii="Aptos" w:eastAsia="Aptos" w:hAnsi="Aptos" w:cs="Aptos"/>
        </w:rPr>
        <w:t>), and the Cronbach’s alpha was α=.</w:t>
      </w:r>
      <w:r w:rsidR="03A6C588" w:rsidRPr="2A4FE2FE">
        <w:rPr>
          <w:rFonts w:ascii="Aptos" w:eastAsia="Aptos" w:hAnsi="Aptos" w:cs="Aptos"/>
        </w:rPr>
        <w:t>68</w:t>
      </w:r>
      <w:r w:rsidR="247E24A0" w:rsidRPr="2A4FE2FE">
        <w:rPr>
          <w:rFonts w:ascii="Aptos" w:eastAsia="Aptos" w:hAnsi="Aptos" w:cs="Aptos"/>
        </w:rPr>
        <w:t>.</w:t>
      </w:r>
      <w:r w:rsidR="42E9C3B9" w:rsidRPr="2A4FE2FE">
        <w:rPr>
          <w:rFonts w:ascii="Aptos" w:eastAsia="Aptos" w:hAnsi="Aptos" w:cs="Aptos"/>
        </w:rPr>
        <w:t xml:space="preserve">   </w:t>
      </w:r>
    </w:p>
    <w:p w14:paraId="1921C174" w14:textId="129FC637" w:rsidR="00000AA2" w:rsidRPr="003859BD" w:rsidRDefault="6E638132" w:rsidP="001B3723">
      <w:pPr>
        <w:spacing w:after="0" w:line="480" w:lineRule="auto"/>
        <w:rPr>
          <w:rFonts w:ascii="Aptos" w:eastAsia="Aptos" w:hAnsi="Aptos" w:cs="Aptos"/>
        </w:rPr>
      </w:pPr>
      <w:r w:rsidRPr="2A4FE2FE">
        <w:rPr>
          <w:rFonts w:ascii="Aptos" w:eastAsia="Aptos" w:hAnsi="Aptos" w:cs="Aptos"/>
        </w:rPr>
        <w:t xml:space="preserve"> </w:t>
      </w:r>
    </w:p>
    <w:p w14:paraId="4C9EAEFA" w14:textId="16F2728A" w:rsidR="00DD040A" w:rsidRPr="00441D96" w:rsidRDefault="00DD040A" w:rsidP="001B3723">
      <w:pPr>
        <w:spacing w:after="0" w:line="480" w:lineRule="auto"/>
        <w:rPr>
          <w:rFonts w:ascii="Aptos" w:eastAsia="Aptos" w:hAnsi="Aptos" w:cs="Aptos"/>
          <w:b/>
          <w:bCs/>
        </w:rPr>
      </w:pPr>
      <w:r w:rsidRPr="30EC08DA">
        <w:rPr>
          <w:rFonts w:ascii="Aptos" w:eastAsia="Aptos" w:hAnsi="Aptos" w:cs="Aptos"/>
          <w:b/>
          <w:bCs/>
        </w:rPr>
        <w:t>Procedure</w:t>
      </w:r>
    </w:p>
    <w:p w14:paraId="05A551F4" w14:textId="67E25A1C" w:rsidR="0043174E" w:rsidRDefault="0043174E" w:rsidP="001B3723">
      <w:pPr>
        <w:spacing w:after="0" w:line="480" w:lineRule="auto"/>
        <w:ind w:firstLine="720"/>
        <w:rPr>
          <w:rFonts w:ascii="Aptos" w:eastAsia="Aptos" w:hAnsi="Aptos" w:cs="Aptos"/>
        </w:rPr>
      </w:pPr>
      <w:r w:rsidRPr="77A8D69F">
        <w:rPr>
          <w:rFonts w:ascii="Aptos" w:eastAsia="Aptos" w:hAnsi="Aptos" w:cs="Aptos"/>
        </w:rPr>
        <w:t>Participants initiated the study and consented to take part via the Prolific platform. Participants clicked a link and were directed to</w:t>
      </w:r>
      <w:r w:rsidR="00DD040A" w:rsidRPr="77A8D69F">
        <w:rPr>
          <w:rFonts w:ascii="Aptos" w:eastAsia="Aptos" w:hAnsi="Aptos" w:cs="Aptos"/>
        </w:rPr>
        <w:t xml:space="preserve"> the Qualtrics survey platform </w:t>
      </w:r>
      <w:r w:rsidRPr="77A8D69F">
        <w:rPr>
          <w:rFonts w:ascii="Aptos" w:eastAsia="Aptos" w:hAnsi="Aptos" w:cs="Aptos"/>
        </w:rPr>
        <w:t xml:space="preserve">to complete the questionnaires. </w:t>
      </w:r>
      <w:r w:rsidR="0044796C" w:rsidRPr="77A8D69F">
        <w:rPr>
          <w:rFonts w:ascii="Aptos" w:eastAsia="Aptos" w:hAnsi="Aptos" w:cs="Aptos"/>
        </w:rPr>
        <w:t>To prevent missing data, participants were re</w:t>
      </w:r>
      <w:r w:rsidR="00525A8C">
        <w:rPr>
          <w:rFonts w:ascii="Aptos" w:eastAsia="Aptos" w:hAnsi="Aptos" w:cs="Aptos"/>
        </w:rPr>
        <w:t xml:space="preserve">minded </w:t>
      </w:r>
      <w:r w:rsidR="0044796C" w:rsidRPr="77A8D69F">
        <w:rPr>
          <w:rFonts w:ascii="Aptos" w:eastAsia="Aptos" w:hAnsi="Aptos" w:cs="Aptos"/>
        </w:rPr>
        <w:t>to respond to all questions on each page before progressing through the survey.</w:t>
      </w:r>
      <w:r w:rsidR="00675966">
        <w:rPr>
          <w:rFonts w:ascii="Aptos" w:eastAsia="Aptos" w:hAnsi="Aptos" w:cs="Aptos"/>
        </w:rPr>
        <w:t xml:space="preserve">  To ensure the accuracy of the data, completion time was monitored with an a priori c</w:t>
      </w:r>
      <w:r w:rsidR="00352AB4">
        <w:rPr>
          <w:rFonts w:ascii="Aptos" w:eastAsia="Aptos" w:hAnsi="Aptos" w:cs="Aptos"/>
        </w:rPr>
        <w:t xml:space="preserve">riteria that </w:t>
      </w:r>
      <w:r w:rsidR="007C7F8A">
        <w:rPr>
          <w:rFonts w:ascii="Aptos" w:eastAsia="Aptos" w:hAnsi="Aptos" w:cs="Aptos"/>
        </w:rPr>
        <w:t xml:space="preserve">any participant taking less than half </w:t>
      </w:r>
      <w:r w:rsidR="007C7F8A">
        <w:rPr>
          <w:rFonts w:ascii="Aptos" w:eastAsia="Aptos" w:hAnsi="Aptos" w:cs="Aptos"/>
        </w:rPr>
        <w:lastRenderedPageBreak/>
        <w:t>of the median completion time</w:t>
      </w:r>
      <w:r w:rsidR="00352AB4">
        <w:rPr>
          <w:rFonts w:ascii="Aptos" w:eastAsia="Aptos" w:hAnsi="Aptos" w:cs="Aptos"/>
        </w:rPr>
        <w:t xml:space="preserve"> was excluded.</w:t>
      </w:r>
      <w:r w:rsidR="0044796C" w:rsidRPr="77A8D69F">
        <w:rPr>
          <w:rFonts w:ascii="Aptos" w:eastAsia="Aptos" w:hAnsi="Aptos" w:cs="Aptos"/>
        </w:rPr>
        <w:t xml:space="preserve"> </w:t>
      </w:r>
      <w:r w:rsidR="00352AB4">
        <w:rPr>
          <w:rFonts w:ascii="Aptos" w:eastAsia="Aptos" w:hAnsi="Aptos" w:cs="Aptos"/>
        </w:rPr>
        <w:t xml:space="preserve"> </w:t>
      </w:r>
      <w:r w:rsidR="004205FD">
        <w:rPr>
          <w:rFonts w:ascii="Aptos" w:eastAsia="Aptos" w:hAnsi="Aptos" w:cs="Aptos"/>
        </w:rPr>
        <w:t>Participants were paid for their time</w:t>
      </w:r>
      <w:r w:rsidR="005C50C7">
        <w:rPr>
          <w:rFonts w:ascii="Aptos" w:eastAsia="Aptos" w:hAnsi="Aptos" w:cs="Aptos"/>
        </w:rPr>
        <w:t xml:space="preserve"> (£9/hr)</w:t>
      </w:r>
      <w:r w:rsidR="004205FD">
        <w:rPr>
          <w:rFonts w:ascii="Aptos" w:eastAsia="Aptos" w:hAnsi="Aptos" w:cs="Aptos"/>
        </w:rPr>
        <w:t xml:space="preserve"> directly through the Prolific platform.  </w:t>
      </w:r>
    </w:p>
    <w:p w14:paraId="153194E1" w14:textId="77777777" w:rsidR="00DD040A" w:rsidRDefault="00DD040A" w:rsidP="001B3723">
      <w:pPr>
        <w:spacing w:after="0" w:line="480" w:lineRule="auto"/>
        <w:ind w:firstLine="720"/>
        <w:rPr>
          <w:rFonts w:ascii="Aptos" w:eastAsia="Aptos" w:hAnsi="Aptos" w:cs="Aptos"/>
          <w:b/>
          <w:bCs/>
        </w:rPr>
      </w:pPr>
    </w:p>
    <w:p w14:paraId="2A294219" w14:textId="0EAD5AD9" w:rsidR="00DD040A" w:rsidRDefault="00DD040A" w:rsidP="001B3723">
      <w:pPr>
        <w:spacing w:after="0" w:line="480" w:lineRule="auto"/>
        <w:rPr>
          <w:rFonts w:ascii="Aptos" w:eastAsia="Aptos" w:hAnsi="Aptos" w:cs="Aptos"/>
          <w:b/>
          <w:bCs/>
        </w:rPr>
      </w:pPr>
      <w:r w:rsidRPr="30EC08DA">
        <w:rPr>
          <w:rFonts w:ascii="Aptos" w:eastAsia="Aptos" w:hAnsi="Aptos" w:cs="Aptos"/>
          <w:b/>
          <w:bCs/>
        </w:rPr>
        <w:t>Data analysis plan</w:t>
      </w:r>
    </w:p>
    <w:p w14:paraId="6B1D6629" w14:textId="3EDAD0C4" w:rsidR="00231B53" w:rsidRDefault="0044796C" w:rsidP="001B3723">
      <w:pPr>
        <w:spacing w:after="0" w:line="480" w:lineRule="auto"/>
        <w:ind w:firstLine="720"/>
        <w:rPr>
          <w:rFonts w:ascii="Aptos" w:eastAsia="Aptos" w:hAnsi="Aptos" w:cs="Aptos"/>
        </w:rPr>
      </w:pPr>
      <w:r w:rsidRPr="77A8D69F">
        <w:rPr>
          <w:rFonts w:ascii="Aptos" w:eastAsia="Aptos" w:hAnsi="Aptos" w:cs="Aptos"/>
        </w:rPr>
        <w:t>All</w:t>
      </w:r>
      <w:r w:rsidR="00DD040A" w:rsidRPr="77A8D69F">
        <w:rPr>
          <w:rFonts w:ascii="Aptos" w:eastAsia="Aptos" w:hAnsi="Aptos" w:cs="Aptos"/>
        </w:rPr>
        <w:t xml:space="preserve"> statistical analyses were conducted </w:t>
      </w:r>
      <w:r w:rsidR="001E4F0A" w:rsidRPr="77A8D69F">
        <w:rPr>
          <w:rFonts w:ascii="Aptos" w:eastAsia="Aptos" w:hAnsi="Aptos" w:cs="Aptos"/>
        </w:rPr>
        <w:t>in</w:t>
      </w:r>
      <w:r w:rsidR="00DD040A" w:rsidRPr="77A8D69F">
        <w:rPr>
          <w:rFonts w:ascii="Aptos" w:eastAsia="Aptos" w:hAnsi="Aptos" w:cs="Aptos"/>
        </w:rPr>
        <w:t xml:space="preserve"> SPSS 29.0 (SPSS, Inc; Chicago, Illinois). </w:t>
      </w:r>
      <w:r w:rsidR="001E4F0A" w:rsidRPr="77A8D69F">
        <w:rPr>
          <w:rFonts w:ascii="Aptos" w:eastAsia="Aptos" w:hAnsi="Aptos" w:cs="Aptos"/>
        </w:rPr>
        <w:t xml:space="preserve">Firstly, </w:t>
      </w:r>
      <w:r w:rsidR="00000AA2" w:rsidRPr="77A8D69F">
        <w:rPr>
          <w:rFonts w:ascii="Aptos" w:eastAsia="Aptos" w:hAnsi="Aptos" w:cs="Aptos"/>
        </w:rPr>
        <w:t>one-way</w:t>
      </w:r>
      <w:r w:rsidR="001E4F0A" w:rsidRPr="77A8D69F">
        <w:rPr>
          <w:rFonts w:ascii="Aptos" w:eastAsia="Aptos" w:hAnsi="Aptos" w:cs="Aptos"/>
        </w:rPr>
        <w:t xml:space="preserve"> ANOVA</w:t>
      </w:r>
      <w:r w:rsidR="00000AA2" w:rsidRPr="77A8D69F">
        <w:rPr>
          <w:rFonts w:ascii="Aptos" w:eastAsia="Aptos" w:hAnsi="Aptos" w:cs="Aptos"/>
        </w:rPr>
        <w:t>s</w:t>
      </w:r>
      <w:r w:rsidR="001E4F0A" w:rsidRPr="77A8D69F">
        <w:rPr>
          <w:rFonts w:ascii="Aptos" w:eastAsia="Aptos" w:hAnsi="Aptos" w:cs="Aptos"/>
        </w:rPr>
        <w:t xml:space="preserve"> with group as a factor (SSD, anxiety disorder, non-clinical sample) </w:t>
      </w:r>
      <w:r w:rsidR="00000AA2" w:rsidRPr="77A8D69F">
        <w:rPr>
          <w:rFonts w:ascii="Aptos" w:eastAsia="Aptos" w:hAnsi="Aptos" w:cs="Aptos"/>
        </w:rPr>
        <w:t xml:space="preserve">were conducted </w:t>
      </w:r>
      <w:r w:rsidR="0263B045" w:rsidRPr="77A8D69F">
        <w:rPr>
          <w:rFonts w:ascii="Aptos" w:eastAsia="Aptos" w:hAnsi="Aptos" w:cs="Aptos"/>
        </w:rPr>
        <w:t>to address whether IU, paranoia, prodromal symptoms, neuroticism, and jumping to conclusion bias varied by group</w:t>
      </w:r>
      <w:r w:rsidR="00000AA2" w:rsidRPr="77A8D69F">
        <w:rPr>
          <w:rFonts w:ascii="Aptos" w:eastAsia="Aptos" w:hAnsi="Aptos" w:cs="Aptos"/>
        </w:rPr>
        <w:t xml:space="preserve">. </w:t>
      </w:r>
      <w:r w:rsidR="001E4F0A" w:rsidRPr="77A8D69F">
        <w:rPr>
          <w:rFonts w:ascii="Aptos" w:eastAsia="Aptos" w:hAnsi="Aptos" w:cs="Aptos"/>
        </w:rPr>
        <w:t>Secondly</w:t>
      </w:r>
      <w:r w:rsidR="00DD040A" w:rsidRPr="77A8D69F">
        <w:rPr>
          <w:rFonts w:ascii="Aptos" w:eastAsia="Aptos" w:hAnsi="Aptos" w:cs="Aptos"/>
        </w:rPr>
        <w:t>, correlations were conducted</w:t>
      </w:r>
      <w:r w:rsidR="00000AA2" w:rsidRPr="77A8D69F">
        <w:rPr>
          <w:rFonts w:ascii="Aptos" w:eastAsia="Aptos" w:hAnsi="Aptos" w:cs="Aptos"/>
        </w:rPr>
        <w:t xml:space="preserve"> </w:t>
      </w:r>
      <w:r w:rsidR="001B64AA" w:rsidRPr="77A8D69F">
        <w:rPr>
          <w:rFonts w:ascii="Aptos" w:eastAsia="Aptos" w:hAnsi="Aptos" w:cs="Aptos"/>
        </w:rPr>
        <w:t>for</w:t>
      </w:r>
      <w:r w:rsidR="00000AA2" w:rsidRPr="77A8D69F">
        <w:rPr>
          <w:rFonts w:ascii="Aptos" w:eastAsia="Aptos" w:hAnsi="Aptos" w:cs="Aptos"/>
        </w:rPr>
        <w:t xml:space="preserve"> each group separately</w:t>
      </w:r>
      <w:r w:rsidR="00DD040A" w:rsidRPr="77A8D69F">
        <w:rPr>
          <w:rFonts w:ascii="Aptos" w:eastAsia="Aptos" w:hAnsi="Aptos" w:cs="Aptos"/>
        </w:rPr>
        <w:t xml:space="preserve"> to </w:t>
      </w:r>
      <w:r w:rsidR="001E4F0A" w:rsidRPr="77A8D69F">
        <w:rPr>
          <w:rFonts w:ascii="Aptos" w:eastAsia="Aptos" w:hAnsi="Aptos" w:cs="Aptos"/>
        </w:rPr>
        <w:t xml:space="preserve">examine </w:t>
      </w:r>
      <w:r w:rsidR="00DD040A" w:rsidRPr="77A8D69F">
        <w:rPr>
          <w:rFonts w:ascii="Aptos" w:eastAsia="Aptos" w:hAnsi="Aptos" w:cs="Aptos"/>
        </w:rPr>
        <w:t xml:space="preserve">whether there were statistically significant associations between the variables (e.g. IU, paranoia, </w:t>
      </w:r>
      <w:r w:rsidR="001E4F0A" w:rsidRPr="77A8D69F">
        <w:rPr>
          <w:rFonts w:ascii="Aptos" w:eastAsia="Aptos" w:hAnsi="Aptos" w:cs="Aptos"/>
        </w:rPr>
        <w:t>prodromal symptoms</w:t>
      </w:r>
      <w:r w:rsidR="00DD040A" w:rsidRPr="77A8D69F">
        <w:rPr>
          <w:rFonts w:ascii="Aptos" w:eastAsia="Aptos" w:hAnsi="Aptos" w:cs="Aptos"/>
        </w:rPr>
        <w:t xml:space="preserve">, </w:t>
      </w:r>
      <w:r w:rsidR="001E4F0A" w:rsidRPr="77A8D69F">
        <w:rPr>
          <w:rFonts w:ascii="Aptos" w:eastAsia="Aptos" w:hAnsi="Aptos" w:cs="Aptos"/>
        </w:rPr>
        <w:t>neuroticism, jumping to conclusions bias</w:t>
      </w:r>
      <w:r w:rsidR="00DD040A" w:rsidRPr="77A8D69F">
        <w:rPr>
          <w:rFonts w:ascii="Aptos" w:eastAsia="Aptos" w:hAnsi="Aptos" w:cs="Aptos"/>
        </w:rPr>
        <w:t xml:space="preserve">). </w:t>
      </w:r>
      <w:r w:rsidR="00000AA2" w:rsidRPr="77A8D69F">
        <w:rPr>
          <w:rFonts w:ascii="Aptos" w:eastAsia="Aptos" w:hAnsi="Aptos" w:cs="Aptos"/>
        </w:rPr>
        <w:t>Thirdly,</w:t>
      </w:r>
      <w:r w:rsidR="00DD040A" w:rsidRPr="77A8D69F">
        <w:rPr>
          <w:rFonts w:ascii="Aptos" w:eastAsia="Aptos" w:hAnsi="Aptos" w:cs="Aptos"/>
        </w:rPr>
        <w:t xml:space="preserve"> </w:t>
      </w:r>
      <w:r w:rsidR="00000AA2" w:rsidRPr="77A8D69F">
        <w:rPr>
          <w:rFonts w:ascii="Aptos" w:eastAsia="Aptos" w:hAnsi="Aptos" w:cs="Aptos"/>
        </w:rPr>
        <w:t>p</w:t>
      </w:r>
      <w:r w:rsidR="001E4F0A" w:rsidRPr="77A8D69F">
        <w:rPr>
          <w:rFonts w:ascii="Aptos" w:eastAsia="Aptos" w:hAnsi="Aptos" w:cs="Aptos"/>
        </w:rPr>
        <w:t xml:space="preserve">artial correlations were conducted </w:t>
      </w:r>
      <w:r w:rsidR="001B64AA" w:rsidRPr="77A8D69F">
        <w:rPr>
          <w:rFonts w:ascii="Aptos" w:eastAsia="Aptos" w:hAnsi="Aptos" w:cs="Aptos"/>
        </w:rPr>
        <w:t>for</w:t>
      </w:r>
      <w:r w:rsidR="00000AA2" w:rsidRPr="77A8D69F">
        <w:rPr>
          <w:rFonts w:ascii="Aptos" w:eastAsia="Aptos" w:hAnsi="Aptos" w:cs="Aptos"/>
        </w:rPr>
        <w:t xml:space="preserve"> each group separately </w:t>
      </w:r>
      <w:r w:rsidR="001E4F0A" w:rsidRPr="77A8D69F">
        <w:rPr>
          <w:rFonts w:ascii="Aptos" w:eastAsia="Aptos" w:hAnsi="Aptos" w:cs="Aptos"/>
        </w:rPr>
        <w:t xml:space="preserve">to examine whether </w:t>
      </w:r>
      <w:r w:rsidR="00000AA2" w:rsidRPr="77A8D69F">
        <w:rPr>
          <w:rFonts w:ascii="Aptos" w:eastAsia="Aptos" w:hAnsi="Aptos" w:cs="Aptos"/>
        </w:rPr>
        <w:t>associations between</w:t>
      </w:r>
      <w:r w:rsidR="001E4F0A" w:rsidRPr="77A8D69F">
        <w:rPr>
          <w:rFonts w:ascii="Aptos" w:eastAsia="Aptos" w:hAnsi="Aptos" w:cs="Aptos"/>
        </w:rPr>
        <w:t xml:space="preserve"> IU and paranoia</w:t>
      </w:r>
      <w:r w:rsidR="00000AA2" w:rsidRPr="77A8D69F">
        <w:rPr>
          <w:rFonts w:ascii="Aptos" w:eastAsia="Aptos" w:hAnsi="Aptos" w:cs="Aptos"/>
        </w:rPr>
        <w:t xml:space="preserve"> / prodromal symptoms</w:t>
      </w:r>
      <w:r w:rsidR="001E4F0A" w:rsidRPr="77A8D69F">
        <w:rPr>
          <w:rFonts w:ascii="Aptos" w:eastAsia="Aptos" w:hAnsi="Aptos" w:cs="Aptos"/>
        </w:rPr>
        <w:t xml:space="preserve"> were specific, over and above neuroticism and the jumping to conclusions bias. </w:t>
      </w:r>
      <w:r w:rsidR="00000AA2" w:rsidRPr="77A8D69F">
        <w:rPr>
          <w:rFonts w:ascii="Aptos" w:eastAsia="Aptos" w:hAnsi="Aptos" w:cs="Aptos"/>
        </w:rPr>
        <w:t xml:space="preserve">Fourthly, </w:t>
      </w:r>
      <w:r w:rsidR="00E24ECF" w:rsidRPr="77A8D69F">
        <w:rPr>
          <w:rFonts w:ascii="Aptos" w:eastAsia="Aptos" w:hAnsi="Aptos" w:cs="Aptos"/>
        </w:rPr>
        <w:t>the significance of the difference between the partial correlation coefficients for each group was examined, to test whether associations</w:t>
      </w:r>
      <w:r w:rsidR="0077477A" w:rsidRPr="77A8D69F">
        <w:rPr>
          <w:rFonts w:ascii="Aptos" w:eastAsia="Aptos" w:hAnsi="Aptos" w:cs="Aptos"/>
        </w:rPr>
        <w:t xml:space="preserve"> between IU and paranoia / prodromal symptoms</w:t>
      </w:r>
      <w:r w:rsidR="00DD040A" w:rsidRPr="77A8D69F">
        <w:rPr>
          <w:rFonts w:ascii="Aptos" w:eastAsia="Aptos" w:hAnsi="Aptos" w:cs="Aptos"/>
        </w:rPr>
        <w:t xml:space="preserve"> </w:t>
      </w:r>
      <w:r w:rsidR="00E24ECF" w:rsidRPr="77A8D69F">
        <w:rPr>
          <w:rFonts w:ascii="Aptos" w:eastAsia="Aptos" w:hAnsi="Aptos" w:cs="Aptos"/>
        </w:rPr>
        <w:t xml:space="preserve">were unique for each group. </w:t>
      </w:r>
    </w:p>
    <w:p w14:paraId="325F7681" w14:textId="77777777" w:rsidR="00DD040A" w:rsidRDefault="00DD040A" w:rsidP="001B3723">
      <w:pPr>
        <w:spacing w:after="0" w:line="480" w:lineRule="auto"/>
        <w:jc w:val="center"/>
        <w:rPr>
          <w:rFonts w:ascii="Aptos" w:eastAsia="Aptos" w:hAnsi="Aptos" w:cs="Aptos"/>
          <w:b/>
          <w:bCs/>
        </w:rPr>
      </w:pPr>
    </w:p>
    <w:p w14:paraId="135212C6" w14:textId="392309DE" w:rsidR="00DD040A" w:rsidRPr="00716FED" w:rsidRDefault="00DD040A" w:rsidP="001B3723">
      <w:pPr>
        <w:pStyle w:val="ListParagraph"/>
        <w:spacing w:after="0" w:line="480" w:lineRule="auto"/>
        <w:ind w:left="3600"/>
        <w:rPr>
          <w:rFonts w:ascii="Aptos" w:eastAsia="Aptos" w:hAnsi="Aptos" w:cs="Aptos"/>
          <w:b/>
          <w:bCs/>
        </w:rPr>
      </w:pPr>
      <w:r w:rsidRPr="00716FED">
        <w:rPr>
          <w:rFonts w:ascii="Aptos" w:eastAsia="Aptos" w:hAnsi="Aptos" w:cs="Aptos"/>
          <w:b/>
          <w:bCs/>
        </w:rPr>
        <w:t>Results</w:t>
      </w:r>
    </w:p>
    <w:p w14:paraId="4EA6FC96" w14:textId="53015EBF" w:rsidR="00DD040A" w:rsidRDefault="00DD040A" w:rsidP="001B3723">
      <w:pPr>
        <w:spacing w:after="0" w:line="480" w:lineRule="auto"/>
        <w:rPr>
          <w:rFonts w:ascii="Aptos" w:eastAsia="Aptos" w:hAnsi="Aptos" w:cs="Aptos"/>
        </w:rPr>
      </w:pPr>
      <w:r w:rsidRPr="30EC08DA">
        <w:rPr>
          <w:rFonts w:ascii="Aptos" w:eastAsia="Aptos" w:hAnsi="Aptos" w:cs="Aptos"/>
        </w:rPr>
        <w:t xml:space="preserve">Table </w:t>
      </w:r>
      <w:r w:rsidR="0006790D" w:rsidRPr="30EC08DA">
        <w:rPr>
          <w:rFonts w:ascii="Aptos" w:eastAsia="Aptos" w:hAnsi="Aptos" w:cs="Aptos"/>
        </w:rPr>
        <w:t>2</w:t>
      </w:r>
      <w:r w:rsidRPr="30EC08DA">
        <w:rPr>
          <w:rFonts w:ascii="Aptos" w:eastAsia="Aptos" w:hAnsi="Aptos" w:cs="Aptos"/>
        </w:rPr>
        <w:t xml:space="preserve"> shows</w:t>
      </w:r>
      <w:r w:rsidR="00D023E7" w:rsidRPr="30EC08DA">
        <w:rPr>
          <w:rFonts w:ascii="Aptos" w:eastAsia="Aptos" w:hAnsi="Aptos" w:cs="Aptos"/>
        </w:rPr>
        <w:t xml:space="preserve"> the</w:t>
      </w:r>
      <w:r w:rsidRPr="30EC08DA">
        <w:rPr>
          <w:rFonts w:ascii="Aptos" w:eastAsia="Aptos" w:hAnsi="Aptos" w:cs="Aptos"/>
        </w:rPr>
        <w:t xml:space="preserve"> descriptive statistics </w:t>
      </w:r>
      <w:r w:rsidR="00000AA2" w:rsidRPr="30EC08DA">
        <w:rPr>
          <w:rFonts w:ascii="Aptos" w:eastAsia="Aptos" w:hAnsi="Aptos" w:cs="Aptos"/>
        </w:rPr>
        <w:t>per group</w:t>
      </w:r>
      <w:r w:rsidRPr="30EC08DA">
        <w:rPr>
          <w:rFonts w:ascii="Aptos" w:eastAsia="Aptos" w:hAnsi="Aptos" w:cs="Aptos"/>
        </w:rPr>
        <w:t xml:space="preserve">. Table </w:t>
      </w:r>
      <w:r w:rsidR="0006790D" w:rsidRPr="30EC08DA">
        <w:rPr>
          <w:rFonts w:ascii="Aptos" w:eastAsia="Aptos" w:hAnsi="Aptos" w:cs="Aptos"/>
        </w:rPr>
        <w:t>3</w:t>
      </w:r>
      <w:r w:rsidRPr="30EC08DA">
        <w:rPr>
          <w:rFonts w:ascii="Aptos" w:eastAsia="Aptos" w:hAnsi="Aptos" w:cs="Aptos"/>
        </w:rPr>
        <w:t xml:space="preserve"> summarises the</w:t>
      </w:r>
      <w:r w:rsidR="00000AA2" w:rsidRPr="30EC08DA">
        <w:rPr>
          <w:rFonts w:ascii="Aptos" w:eastAsia="Aptos" w:hAnsi="Aptos" w:cs="Aptos"/>
        </w:rPr>
        <w:t xml:space="preserve"> </w:t>
      </w:r>
      <w:r w:rsidR="00D023E7" w:rsidRPr="30EC08DA">
        <w:rPr>
          <w:rFonts w:ascii="Aptos" w:eastAsia="Aptos" w:hAnsi="Aptos" w:cs="Aptos"/>
        </w:rPr>
        <w:t xml:space="preserve">correlations between all variables per group. Table </w:t>
      </w:r>
      <w:r w:rsidR="0006790D" w:rsidRPr="30EC08DA">
        <w:rPr>
          <w:rFonts w:ascii="Aptos" w:eastAsia="Aptos" w:hAnsi="Aptos" w:cs="Aptos"/>
        </w:rPr>
        <w:t>4</w:t>
      </w:r>
      <w:r w:rsidR="00D023E7" w:rsidRPr="30EC08DA">
        <w:rPr>
          <w:rFonts w:ascii="Aptos" w:eastAsia="Aptos" w:hAnsi="Aptos" w:cs="Aptos"/>
        </w:rPr>
        <w:t xml:space="preserve"> presents the </w:t>
      </w:r>
      <w:r w:rsidR="00000AA2" w:rsidRPr="30EC08DA">
        <w:rPr>
          <w:rFonts w:ascii="Aptos" w:eastAsia="Aptos" w:hAnsi="Aptos" w:cs="Aptos"/>
        </w:rPr>
        <w:t>partial correlations between IU and paranoia / prodromal symptoms per group.</w:t>
      </w:r>
      <w:r w:rsidRPr="30EC08DA">
        <w:rPr>
          <w:rFonts w:ascii="Aptos" w:eastAsia="Aptos" w:hAnsi="Aptos" w:cs="Aptos"/>
        </w:rPr>
        <w:t xml:space="preserve"> </w:t>
      </w:r>
    </w:p>
    <w:p w14:paraId="44357B8A" w14:textId="0E8201CE" w:rsidR="00DD040A" w:rsidRPr="002E373C" w:rsidRDefault="00DD040A" w:rsidP="001B3723">
      <w:pPr>
        <w:spacing w:after="0" w:line="480" w:lineRule="auto"/>
        <w:rPr>
          <w:rFonts w:ascii="Aptos" w:eastAsia="Aptos" w:hAnsi="Aptos" w:cs="Aptos"/>
        </w:rPr>
      </w:pPr>
    </w:p>
    <w:p w14:paraId="1B56EA52" w14:textId="57C70737" w:rsidR="7B692B71" w:rsidRDefault="007129C9" w:rsidP="001B3723">
      <w:pPr>
        <w:spacing w:after="0" w:line="480" w:lineRule="auto"/>
      </w:pPr>
      <w:r>
        <w:rPr>
          <w:rFonts w:ascii="Aptos" w:eastAsia="Aptos" w:hAnsi="Aptos" w:cs="Aptos"/>
          <w:b/>
          <w:bCs/>
        </w:rPr>
        <w:t>Group differences</w:t>
      </w:r>
    </w:p>
    <w:p w14:paraId="58949459" w14:textId="74A1387F" w:rsidR="370F6F2C" w:rsidRDefault="370F6F2C" w:rsidP="001B3723">
      <w:pPr>
        <w:spacing w:after="0" w:line="480" w:lineRule="auto"/>
        <w:ind w:firstLine="720"/>
        <w:rPr>
          <w:rFonts w:ascii="Aptos" w:eastAsia="Aptos" w:hAnsi="Aptos" w:cs="Aptos"/>
          <w:color w:val="000000" w:themeColor="text1"/>
        </w:rPr>
      </w:pPr>
      <w:r w:rsidRPr="2A4FE2FE">
        <w:rPr>
          <w:rFonts w:ascii="Aptos" w:eastAsia="Aptos" w:hAnsi="Aptos" w:cs="Aptos"/>
          <w:color w:val="000000" w:themeColor="text1"/>
        </w:rPr>
        <w:t xml:space="preserve">As expected, </w:t>
      </w:r>
      <w:r w:rsidR="0C8FDDE0" w:rsidRPr="2A4FE2FE">
        <w:rPr>
          <w:rFonts w:ascii="Aptos" w:eastAsia="Aptos" w:hAnsi="Aptos" w:cs="Aptos"/>
          <w:color w:val="000000" w:themeColor="text1"/>
        </w:rPr>
        <w:t xml:space="preserve">there were significant differences between groups based on </w:t>
      </w:r>
      <w:r w:rsidRPr="2A4FE2FE">
        <w:rPr>
          <w:rFonts w:ascii="Aptos" w:eastAsia="Aptos" w:hAnsi="Aptos" w:cs="Aptos"/>
          <w:color w:val="000000" w:themeColor="text1"/>
        </w:rPr>
        <w:t>IU</w:t>
      </w:r>
      <w:r w:rsidR="1B5F6D64" w:rsidRPr="2A4FE2FE">
        <w:rPr>
          <w:rFonts w:ascii="Aptos" w:eastAsia="Aptos" w:hAnsi="Aptos" w:cs="Aptos"/>
          <w:color w:val="000000" w:themeColor="text1"/>
        </w:rPr>
        <w:t xml:space="preserve"> [</w:t>
      </w:r>
      <w:proofErr w:type="gramStart"/>
      <w:r w:rsidR="1B5F6D64" w:rsidRPr="2A4FE2FE">
        <w:rPr>
          <w:rFonts w:ascii="Aptos" w:eastAsia="Aptos" w:hAnsi="Aptos" w:cs="Aptos"/>
          <w:i/>
          <w:iCs/>
          <w:color w:val="000000" w:themeColor="text1"/>
        </w:rPr>
        <w:t>F</w:t>
      </w:r>
      <w:r w:rsidR="1B5F6D64" w:rsidRPr="2A4FE2FE">
        <w:rPr>
          <w:rFonts w:ascii="Aptos" w:eastAsia="Aptos" w:hAnsi="Aptos" w:cs="Aptos"/>
          <w:color w:val="000000" w:themeColor="text1"/>
        </w:rPr>
        <w:t>(</w:t>
      </w:r>
      <w:proofErr w:type="gramEnd"/>
      <w:r w:rsidR="1B5F6D64" w:rsidRPr="2A4FE2FE">
        <w:rPr>
          <w:rFonts w:ascii="Aptos" w:eastAsia="Aptos" w:hAnsi="Aptos" w:cs="Aptos"/>
          <w:color w:val="000000" w:themeColor="text1"/>
        </w:rPr>
        <w:t xml:space="preserve">2,304) = 21.050, </w:t>
      </w:r>
      <w:r w:rsidR="1B5F6D64" w:rsidRPr="2A4FE2FE">
        <w:rPr>
          <w:rFonts w:ascii="Aptos" w:eastAsia="Aptos" w:hAnsi="Aptos" w:cs="Aptos"/>
          <w:i/>
          <w:iCs/>
          <w:color w:val="000000" w:themeColor="text1"/>
        </w:rPr>
        <w:t>p</w:t>
      </w:r>
      <w:r w:rsidR="1B5F6D64" w:rsidRPr="2A4FE2FE">
        <w:rPr>
          <w:rFonts w:ascii="Aptos" w:eastAsia="Aptos" w:hAnsi="Aptos" w:cs="Aptos"/>
          <w:color w:val="000000" w:themeColor="text1"/>
        </w:rPr>
        <w:t xml:space="preserve"> &lt; .001; see Table 2]</w:t>
      </w:r>
      <w:r w:rsidR="0D19FA82" w:rsidRPr="2A4FE2FE">
        <w:rPr>
          <w:rFonts w:ascii="Aptos" w:eastAsia="Aptos" w:hAnsi="Aptos" w:cs="Aptos"/>
          <w:color w:val="000000" w:themeColor="text1"/>
        </w:rPr>
        <w:t>. Scores for IU were</w:t>
      </w:r>
      <w:r w:rsidRPr="2A4FE2FE">
        <w:rPr>
          <w:rFonts w:ascii="Aptos" w:eastAsia="Aptos" w:hAnsi="Aptos" w:cs="Aptos"/>
          <w:color w:val="000000" w:themeColor="text1"/>
        </w:rPr>
        <w:t xml:space="preserve"> elevated </w:t>
      </w:r>
      <w:r w:rsidR="04CBABB2" w:rsidRPr="2A4FE2FE">
        <w:rPr>
          <w:rFonts w:ascii="Aptos" w:eastAsia="Aptos" w:hAnsi="Aptos" w:cs="Aptos"/>
          <w:color w:val="000000" w:themeColor="text1"/>
        </w:rPr>
        <w:t>in</w:t>
      </w:r>
      <w:r w:rsidRPr="2A4FE2FE">
        <w:rPr>
          <w:rFonts w:ascii="Aptos" w:eastAsia="Aptos" w:hAnsi="Aptos" w:cs="Aptos"/>
          <w:color w:val="000000" w:themeColor="text1"/>
        </w:rPr>
        <w:t xml:space="preserve"> those with SSDs and anxiety disorders, compared to the non-clinical group</w:t>
      </w:r>
      <w:r w:rsidR="2F441DCE" w:rsidRPr="2A4FE2FE">
        <w:rPr>
          <w:rFonts w:ascii="Aptos" w:eastAsia="Aptos" w:hAnsi="Aptos" w:cs="Aptos"/>
          <w:color w:val="000000" w:themeColor="text1"/>
        </w:rPr>
        <w:t xml:space="preserve">, </w:t>
      </w:r>
      <w:proofErr w:type="spellStart"/>
      <w:r w:rsidR="2F441DCE" w:rsidRPr="2A4FE2FE">
        <w:rPr>
          <w:rFonts w:ascii="Aptos" w:eastAsia="Aptos" w:hAnsi="Aptos" w:cs="Aptos"/>
          <w:i/>
          <w:iCs/>
          <w:color w:val="000000" w:themeColor="text1"/>
        </w:rPr>
        <w:t>p</w:t>
      </w:r>
      <w:r w:rsidR="2F441DCE" w:rsidRPr="2A4FE2FE">
        <w:rPr>
          <w:rFonts w:ascii="Aptos" w:eastAsia="Aptos" w:hAnsi="Aptos" w:cs="Aptos"/>
          <w:color w:val="000000" w:themeColor="text1"/>
        </w:rPr>
        <w:t>s</w:t>
      </w:r>
      <w:proofErr w:type="spellEnd"/>
      <w:r w:rsidR="2F441DCE" w:rsidRPr="2A4FE2FE">
        <w:rPr>
          <w:rFonts w:ascii="Aptos" w:eastAsia="Aptos" w:hAnsi="Aptos" w:cs="Aptos"/>
          <w:color w:val="000000" w:themeColor="text1"/>
        </w:rPr>
        <w:t xml:space="preserve"> &lt;00</w:t>
      </w:r>
      <w:r w:rsidR="1990C2F3" w:rsidRPr="2A4FE2FE">
        <w:rPr>
          <w:rFonts w:ascii="Aptos" w:eastAsia="Aptos" w:hAnsi="Aptos" w:cs="Aptos"/>
          <w:color w:val="000000" w:themeColor="text1"/>
        </w:rPr>
        <w:t>1.</w:t>
      </w:r>
      <w:r w:rsidRPr="2A4FE2FE">
        <w:rPr>
          <w:rFonts w:ascii="Aptos" w:eastAsia="Aptos" w:hAnsi="Aptos" w:cs="Aptos"/>
          <w:color w:val="000000" w:themeColor="text1"/>
        </w:rPr>
        <w:t xml:space="preserve"> </w:t>
      </w:r>
      <w:r w:rsidR="16B4E06B" w:rsidRPr="2A4FE2FE">
        <w:rPr>
          <w:rFonts w:ascii="Aptos" w:eastAsia="Aptos" w:hAnsi="Aptos" w:cs="Aptos"/>
          <w:color w:val="000000" w:themeColor="text1"/>
        </w:rPr>
        <w:t xml:space="preserve">Scores for IU did not significantly differ for those with SSDs and anxiety disorders, </w:t>
      </w:r>
      <w:r w:rsidR="16B4E06B" w:rsidRPr="2A4FE2FE">
        <w:rPr>
          <w:rFonts w:ascii="Aptos" w:eastAsia="Aptos" w:hAnsi="Aptos" w:cs="Aptos"/>
          <w:i/>
          <w:iCs/>
          <w:color w:val="000000" w:themeColor="text1"/>
        </w:rPr>
        <w:t>p</w:t>
      </w:r>
      <w:r w:rsidR="16B4E06B" w:rsidRPr="2A4FE2FE">
        <w:rPr>
          <w:rFonts w:ascii="Aptos" w:eastAsia="Aptos" w:hAnsi="Aptos" w:cs="Aptos"/>
          <w:color w:val="000000" w:themeColor="text1"/>
        </w:rPr>
        <w:t xml:space="preserve"> = .288. </w:t>
      </w:r>
    </w:p>
    <w:p w14:paraId="3C538965" w14:textId="019B09FB" w:rsidR="00D023E7" w:rsidRDefault="360D5FFB" w:rsidP="001B3723">
      <w:pPr>
        <w:spacing w:after="0" w:line="480" w:lineRule="auto"/>
        <w:ind w:firstLine="720"/>
        <w:rPr>
          <w:rFonts w:ascii="Aptos" w:eastAsia="Aptos" w:hAnsi="Aptos" w:cs="Aptos"/>
          <w:color w:val="000000" w:themeColor="text1"/>
        </w:rPr>
      </w:pPr>
      <w:r w:rsidRPr="5FD410A8">
        <w:rPr>
          <w:rFonts w:ascii="Aptos" w:eastAsia="Aptos" w:hAnsi="Aptos" w:cs="Aptos"/>
          <w:color w:val="000000" w:themeColor="text1"/>
        </w:rPr>
        <w:lastRenderedPageBreak/>
        <w:t>Furthermore, there were significant difference</w:t>
      </w:r>
      <w:r w:rsidR="00B33996">
        <w:rPr>
          <w:rFonts w:ascii="Aptos" w:eastAsia="Aptos" w:hAnsi="Aptos" w:cs="Aptos"/>
          <w:color w:val="000000" w:themeColor="text1"/>
        </w:rPr>
        <w:t>s</w:t>
      </w:r>
      <w:r w:rsidRPr="5FD410A8">
        <w:rPr>
          <w:rFonts w:ascii="Aptos" w:eastAsia="Aptos" w:hAnsi="Aptos" w:cs="Aptos"/>
          <w:color w:val="000000" w:themeColor="text1"/>
        </w:rPr>
        <w:t xml:space="preserve"> between groups on </w:t>
      </w:r>
      <w:r w:rsidR="370F6F2C" w:rsidRPr="5FD410A8">
        <w:rPr>
          <w:rFonts w:ascii="Aptos" w:eastAsia="Aptos" w:hAnsi="Aptos" w:cs="Aptos"/>
          <w:color w:val="000000" w:themeColor="text1"/>
        </w:rPr>
        <w:t xml:space="preserve">paranoia </w:t>
      </w:r>
      <w:r w:rsidR="5E3D8330" w:rsidRPr="5FD410A8">
        <w:rPr>
          <w:rFonts w:ascii="Aptos" w:eastAsia="Aptos" w:hAnsi="Aptos" w:cs="Aptos"/>
          <w:color w:val="000000" w:themeColor="text1"/>
        </w:rPr>
        <w:t>[</w:t>
      </w:r>
      <w:proofErr w:type="gramStart"/>
      <w:r w:rsidR="5E3D8330" w:rsidRPr="5FD410A8">
        <w:rPr>
          <w:rFonts w:ascii="Aptos" w:eastAsia="Aptos" w:hAnsi="Aptos" w:cs="Aptos"/>
          <w:i/>
          <w:iCs/>
          <w:color w:val="000000" w:themeColor="text1"/>
        </w:rPr>
        <w:t>F</w:t>
      </w:r>
      <w:r w:rsidR="5E3D8330" w:rsidRPr="5FD410A8">
        <w:rPr>
          <w:rFonts w:ascii="Aptos" w:eastAsia="Aptos" w:hAnsi="Aptos" w:cs="Aptos"/>
          <w:color w:val="000000" w:themeColor="text1"/>
        </w:rPr>
        <w:t>(</w:t>
      </w:r>
      <w:proofErr w:type="gramEnd"/>
      <w:r w:rsidR="5E3D8330" w:rsidRPr="5FD410A8">
        <w:rPr>
          <w:rFonts w:ascii="Aptos" w:eastAsia="Aptos" w:hAnsi="Aptos" w:cs="Aptos"/>
          <w:color w:val="000000" w:themeColor="text1"/>
        </w:rPr>
        <w:t xml:space="preserve">2,304) = </w:t>
      </w:r>
      <w:r w:rsidR="3D271CE1" w:rsidRPr="5FD410A8">
        <w:rPr>
          <w:rFonts w:ascii="Aptos" w:eastAsia="Aptos" w:hAnsi="Aptos" w:cs="Aptos"/>
          <w:color w:val="000000" w:themeColor="text1"/>
        </w:rPr>
        <w:t>44.763</w:t>
      </w:r>
      <w:r w:rsidR="5E3D8330" w:rsidRPr="5FD410A8">
        <w:rPr>
          <w:rFonts w:ascii="Aptos" w:eastAsia="Aptos" w:hAnsi="Aptos" w:cs="Aptos"/>
          <w:color w:val="000000" w:themeColor="text1"/>
        </w:rPr>
        <w:t xml:space="preserve">, </w:t>
      </w:r>
      <w:r w:rsidR="5E3D8330" w:rsidRPr="5FD410A8">
        <w:rPr>
          <w:rFonts w:ascii="Aptos" w:eastAsia="Aptos" w:hAnsi="Aptos" w:cs="Aptos"/>
          <w:i/>
          <w:iCs/>
          <w:color w:val="000000" w:themeColor="text1"/>
        </w:rPr>
        <w:t>p</w:t>
      </w:r>
      <w:r w:rsidR="5E3D8330" w:rsidRPr="5FD410A8">
        <w:rPr>
          <w:rFonts w:ascii="Aptos" w:eastAsia="Aptos" w:hAnsi="Aptos" w:cs="Aptos"/>
          <w:color w:val="000000" w:themeColor="text1"/>
        </w:rPr>
        <w:t xml:space="preserve"> &lt; .001; see Table 2] </w:t>
      </w:r>
      <w:r w:rsidR="370F6F2C" w:rsidRPr="5FD410A8">
        <w:rPr>
          <w:rFonts w:ascii="Aptos" w:eastAsia="Aptos" w:hAnsi="Aptos" w:cs="Aptos"/>
          <w:color w:val="000000" w:themeColor="text1"/>
        </w:rPr>
        <w:t>and prodromal symptoms</w:t>
      </w:r>
      <w:r w:rsidR="24CAF1FD" w:rsidRPr="5FD410A8">
        <w:rPr>
          <w:rFonts w:ascii="Aptos" w:eastAsia="Aptos" w:hAnsi="Aptos" w:cs="Aptos"/>
          <w:color w:val="000000" w:themeColor="text1"/>
        </w:rPr>
        <w:t xml:space="preserve"> [</w:t>
      </w:r>
      <w:proofErr w:type="gramStart"/>
      <w:r w:rsidR="24CAF1FD" w:rsidRPr="5FD410A8">
        <w:rPr>
          <w:rFonts w:ascii="Aptos" w:eastAsia="Aptos" w:hAnsi="Aptos" w:cs="Aptos"/>
          <w:i/>
          <w:iCs/>
          <w:color w:val="000000" w:themeColor="text1"/>
        </w:rPr>
        <w:t>F</w:t>
      </w:r>
      <w:r w:rsidR="24CAF1FD" w:rsidRPr="5FD410A8">
        <w:rPr>
          <w:rFonts w:ascii="Aptos" w:eastAsia="Aptos" w:hAnsi="Aptos" w:cs="Aptos"/>
          <w:color w:val="000000" w:themeColor="text1"/>
        </w:rPr>
        <w:t>(</w:t>
      </w:r>
      <w:proofErr w:type="gramEnd"/>
      <w:r w:rsidR="24CAF1FD" w:rsidRPr="5FD410A8">
        <w:rPr>
          <w:rFonts w:ascii="Aptos" w:eastAsia="Aptos" w:hAnsi="Aptos" w:cs="Aptos"/>
          <w:color w:val="000000" w:themeColor="text1"/>
        </w:rPr>
        <w:t xml:space="preserve">2,304) = </w:t>
      </w:r>
      <w:r w:rsidR="130A234E" w:rsidRPr="5FD410A8">
        <w:rPr>
          <w:rFonts w:ascii="Aptos" w:eastAsia="Aptos" w:hAnsi="Aptos" w:cs="Aptos"/>
          <w:color w:val="000000" w:themeColor="text1"/>
        </w:rPr>
        <w:t>147.709</w:t>
      </w:r>
      <w:r w:rsidR="24CAF1FD" w:rsidRPr="5FD410A8">
        <w:rPr>
          <w:rFonts w:ascii="Aptos" w:eastAsia="Aptos" w:hAnsi="Aptos" w:cs="Aptos"/>
          <w:color w:val="000000" w:themeColor="text1"/>
        </w:rPr>
        <w:t xml:space="preserve">, </w:t>
      </w:r>
      <w:r w:rsidR="24CAF1FD" w:rsidRPr="5FD410A8">
        <w:rPr>
          <w:rFonts w:ascii="Aptos" w:eastAsia="Aptos" w:hAnsi="Aptos" w:cs="Aptos"/>
          <w:i/>
          <w:iCs/>
          <w:color w:val="000000" w:themeColor="text1"/>
        </w:rPr>
        <w:t>p</w:t>
      </w:r>
      <w:r w:rsidR="24CAF1FD" w:rsidRPr="5FD410A8">
        <w:rPr>
          <w:rFonts w:ascii="Aptos" w:eastAsia="Aptos" w:hAnsi="Aptos" w:cs="Aptos"/>
          <w:color w:val="000000" w:themeColor="text1"/>
        </w:rPr>
        <w:t xml:space="preserve"> &lt; .001; see Table 2]</w:t>
      </w:r>
      <w:r w:rsidR="59EBEC48" w:rsidRPr="5FD410A8">
        <w:rPr>
          <w:rFonts w:ascii="Aptos" w:eastAsia="Aptos" w:hAnsi="Aptos" w:cs="Aptos"/>
          <w:color w:val="000000" w:themeColor="text1"/>
        </w:rPr>
        <w:t xml:space="preserve">. </w:t>
      </w:r>
      <w:r w:rsidR="00371B2B">
        <w:rPr>
          <w:rFonts w:ascii="Aptos" w:eastAsia="Aptos" w:hAnsi="Aptos" w:cs="Aptos"/>
          <w:color w:val="000000" w:themeColor="text1"/>
        </w:rPr>
        <w:t xml:space="preserve"> B</w:t>
      </w:r>
      <w:r w:rsidR="59EBEC48" w:rsidRPr="5FD410A8">
        <w:rPr>
          <w:rFonts w:ascii="Aptos" w:eastAsia="Aptos" w:hAnsi="Aptos" w:cs="Aptos"/>
          <w:color w:val="000000" w:themeColor="text1"/>
        </w:rPr>
        <w:t>oth paranoia and prodromal symptoms</w:t>
      </w:r>
      <w:r w:rsidR="370F6F2C" w:rsidRPr="5FD410A8">
        <w:rPr>
          <w:rFonts w:ascii="Aptos" w:eastAsia="Aptos" w:hAnsi="Aptos" w:cs="Aptos"/>
          <w:color w:val="000000" w:themeColor="text1"/>
        </w:rPr>
        <w:t xml:space="preserve"> were highest in those with SSDs, then anxiety disorders, and lowest in the non-clinical group</w:t>
      </w:r>
      <w:r w:rsidR="385D74D1" w:rsidRPr="5FD410A8">
        <w:rPr>
          <w:rFonts w:ascii="Aptos" w:eastAsia="Aptos" w:hAnsi="Aptos" w:cs="Aptos"/>
          <w:color w:val="000000" w:themeColor="text1"/>
        </w:rPr>
        <w:t xml:space="preserve">, </w:t>
      </w:r>
      <w:proofErr w:type="spellStart"/>
      <w:r w:rsidR="385D74D1" w:rsidRPr="5FD410A8">
        <w:rPr>
          <w:rFonts w:ascii="Aptos" w:eastAsia="Aptos" w:hAnsi="Aptos" w:cs="Aptos"/>
          <w:i/>
          <w:iCs/>
          <w:color w:val="000000" w:themeColor="text1"/>
        </w:rPr>
        <w:t>p</w:t>
      </w:r>
      <w:r w:rsidR="385D74D1" w:rsidRPr="5FD410A8">
        <w:rPr>
          <w:rFonts w:ascii="Aptos" w:eastAsia="Aptos" w:hAnsi="Aptos" w:cs="Aptos"/>
          <w:color w:val="000000" w:themeColor="text1"/>
        </w:rPr>
        <w:t>s</w:t>
      </w:r>
      <w:proofErr w:type="spellEnd"/>
      <w:r w:rsidR="385D74D1" w:rsidRPr="5FD410A8">
        <w:rPr>
          <w:rFonts w:ascii="Aptos" w:eastAsia="Aptos" w:hAnsi="Aptos" w:cs="Aptos"/>
          <w:color w:val="000000" w:themeColor="text1"/>
        </w:rPr>
        <w:t xml:space="preserve"> &lt; .05</w:t>
      </w:r>
      <w:r w:rsidR="370F6F2C" w:rsidRPr="5FD410A8">
        <w:rPr>
          <w:rFonts w:ascii="Aptos" w:eastAsia="Aptos" w:hAnsi="Aptos" w:cs="Aptos"/>
          <w:color w:val="000000" w:themeColor="text1"/>
        </w:rPr>
        <w:t xml:space="preserve">. </w:t>
      </w:r>
    </w:p>
    <w:p w14:paraId="33DC24E4" w14:textId="537E0EF3" w:rsidR="005C3142" w:rsidRDefault="2609DEA0" w:rsidP="001B3723">
      <w:pPr>
        <w:spacing w:after="0" w:line="480" w:lineRule="auto"/>
        <w:ind w:firstLine="720"/>
        <w:rPr>
          <w:rFonts w:ascii="Aptos" w:eastAsia="Aptos" w:hAnsi="Aptos" w:cs="Aptos"/>
          <w:color w:val="000000" w:themeColor="text1"/>
        </w:rPr>
      </w:pPr>
      <w:r w:rsidRPr="2A4FE2FE">
        <w:rPr>
          <w:rFonts w:ascii="Aptos" w:eastAsia="Aptos" w:hAnsi="Aptos" w:cs="Aptos"/>
          <w:color w:val="000000" w:themeColor="text1"/>
        </w:rPr>
        <w:t>T</w:t>
      </w:r>
      <w:r w:rsidR="370F6F2C" w:rsidRPr="2A4FE2FE">
        <w:rPr>
          <w:rFonts w:ascii="Aptos" w:eastAsia="Aptos" w:hAnsi="Aptos" w:cs="Aptos"/>
          <w:color w:val="000000" w:themeColor="text1"/>
        </w:rPr>
        <w:t xml:space="preserve">here were </w:t>
      </w:r>
      <w:r w:rsidR="537B5A4A" w:rsidRPr="2A4FE2FE">
        <w:rPr>
          <w:rFonts w:ascii="Aptos" w:eastAsia="Aptos" w:hAnsi="Aptos" w:cs="Aptos"/>
          <w:color w:val="000000" w:themeColor="text1"/>
        </w:rPr>
        <w:t xml:space="preserve">significant </w:t>
      </w:r>
      <w:r w:rsidR="370F6F2C" w:rsidRPr="2A4FE2FE">
        <w:rPr>
          <w:rFonts w:ascii="Aptos" w:eastAsia="Aptos" w:hAnsi="Aptos" w:cs="Aptos"/>
          <w:color w:val="000000" w:themeColor="text1"/>
        </w:rPr>
        <w:t>differences</w:t>
      </w:r>
      <w:r w:rsidR="64F8F34D" w:rsidRPr="2A4FE2FE">
        <w:rPr>
          <w:rFonts w:ascii="Aptos" w:eastAsia="Aptos" w:hAnsi="Aptos" w:cs="Aptos"/>
          <w:color w:val="000000" w:themeColor="text1"/>
        </w:rPr>
        <w:t xml:space="preserve"> between groups</w:t>
      </w:r>
      <w:r w:rsidR="646137FD" w:rsidRPr="2A4FE2FE">
        <w:rPr>
          <w:rFonts w:ascii="Aptos" w:eastAsia="Aptos" w:hAnsi="Aptos" w:cs="Aptos"/>
          <w:color w:val="000000" w:themeColor="text1"/>
        </w:rPr>
        <w:t xml:space="preserve"> for neuroticism</w:t>
      </w:r>
      <w:r w:rsidR="30E388EC" w:rsidRPr="2A4FE2FE">
        <w:rPr>
          <w:rFonts w:ascii="Aptos" w:eastAsia="Aptos" w:hAnsi="Aptos" w:cs="Aptos"/>
          <w:color w:val="000000" w:themeColor="text1"/>
        </w:rPr>
        <w:t xml:space="preserve"> [</w:t>
      </w:r>
      <w:proofErr w:type="gramStart"/>
      <w:r w:rsidR="30E388EC" w:rsidRPr="2A4FE2FE">
        <w:rPr>
          <w:rFonts w:ascii="Aptos" w:eastAsia="Aptos" w:hAnsi="Aptos" w:cs="Aptos"/>
          <w:i/>
          <w:iCs/>
          <w:color w:val="000000" w:themeColor="text1"/>
        </w:rPr>
        <w:t>F</w:t>
      </w:r>
      <w:r w:rsidR="30E388EC" w:rsidRPr="2A4FE2FE">
        <w:rPr>
          <w:rFonts w:ascii="Aptos" w:eastAsia="Aptos" w:hAnsi="Aptos" w:cs="Aptos"/>
          <w:color w:val="000000" w:themeColor="text1"/>
        </w:rPr>
        <w:t>(</w:t>
      </w:r>
      <w:proofErr w:type="gramEnd"/>
      <w:r w:rsidR="30E388EC" w:rsidRPr="2A4FE2FE">
        <w:rPr>
          <w:rFonts w:ascii="Aptos" w:eastAsia="Aptos" w:hAnsi="Aptos" w:cs="Aptos"/>
          <w:color w:val="000000" w:themeColor="text1"/>
        </w:rPr>
        <w:t xml:space="preserve">2,304) = </w:t>
      </w:r>
      <w:r w:rsidR="6B577A4C" w:rsidRPr="2A4FE2FE">
        <w:rPr>
          <w:rFonts w:ascii="Aptos" w:eastAsia="Aptos" w:hAnsi="Aptos" w:cs="Aptos"/>
          <w:color w:val="000000" w:themeColor="text1"/>
        </w:rPr>
        <w:t>44.939</w:t>
      </w:r>
      <w:r w:rsidR="30E388EC" w:rsidRPr="2A4FE2FE">
        <w:rPr>
          <w:rFonts w:ascii="Aptos" w:eastAsia="Aptos" w:hAnsi="Aptos" w:cs="Aptos"/>
          <w:color w:val="000000" w:themeColor="text1"/>
        </w:rPr>
        <w:t xml:space="preserve">, </w:t>
      </w:r>
      <w:r w:rsidR="30E388EC" w:rsidRPr="2A4FE2FE">
        <w:rPr>
          <w:rFonts w:ascii="Aptos" w:eastAsia="Aptos" w:hAnsi="Aptos" w:cs="Aptos"/>
          <w:i/>
          <w:iCs/>
          <w:color w:val="000000" w:themeColor="text1"/>
        </w:rPr>
        <w:t>p</w:t>
      </w:r>
      <w:r w:rsidR="30E388EC" w:rsidRPr="2A4FE2FE">
        <w:rPr>
          <w:rFonts w:ascii="Aptos" w:eastAsia="Aptos" w:hAnsi="Aptos" w:cs="Aptos"/>
          <w:color w:val="000000" w:themeColor="text1"/>
        </w:rPr>
        <w:t xml:space="preserve"> </w:t>
      </w:r>
      <w:r w:rsidR="4D0ACA7D" w:rsidRPr="2A4FE2FE">
        <w:rPr>
          <w:rFonts w:ascii="Aptos" w:eastAsia="Aptos" w:hAnsi="Aptos" w:cs="Aptos"/>
          <w:color w:val="000000" w:themeColor="text1"/>
        </w:rPr>
        <w:t>&lt;</w:t>
      </w:r>
      <w:r w:rsidR="30E388EC" w:rsidRPr="2A4FE2FE">
        <w:rPr>
          <w:rFonts w:ascii="Aptos" w:eastAsia="Aptos" w:hAnsi="Aptos" w:cs="Aptos"/>
          <w:color w:val="000000" w:themeColor="text1"/>
        </w:rPr>
        <w:t xml:space="preserve"> .</w:t>
      </w:r>
      <w:r w:rsidR="759046FE" w:rsidRPr="2A4FE2FE">
        <w:rPr>
          <w:rFonts w:ascii="Aptos" w:eastAsia="Aptos" w:hAnsi="Aptos" w:cs="Aptos"/>
          <w:color w:val="000000" w:themeColor="text1"/>
        </w:rPr>
        <w:t>001</w:t>
      </w:r>
      <w:r w:rsidR="30E388EC" w:rsidRPr="2A4FE2FE">
        <w:rPr>
          <w:rFonts w:ascii="Aptos" w:eastAsia="Aptos" w:hAnsi="Aptos" w:cs="Aptos"/>
          <w:color w:val="000000" w:themeColor="text1"/>
        </w:rPr>
        <w:t>; see Table 2]</w:t>
      </w:r>
      <w:r w:rsidR="646137FD" w:rsidRPr="2A4FE2FE">
        <w:rPr>
          <w:rFonts w:ascii="Aptos" w:eastAsia="Aptos" w:hAnsi="Aptos" w:cs="Aptos"/>
          <w:color w:val="000000" w:themeColor="text1"/>
        </w:rPr>
        <w:t xml:space="preserve"> and jumping to conclusions bias</w:t>
      </w:r>
      <w:r w:rsidR="55935938" w:rsidRPr="2A4FE2FE">
        <w:rPr>
          <w:rFonts w:ascii="Aptos" w:eastAsia="Aptos" w:hAnsi="Aptos" w:cs="Aptos"/>
          <w:color w:val="000000" w:themeColor="text1"/>
        </w:rPr>
        <w:t xml:space="preserve"> [</w:t>
      </w:r>
      <w:proofErr w:type="gramStart"/>
      <w:r w:rsidR="55935938" w:rsidRPr="2A4FE2FE">
        <w:rPr>
          <w:rFonts w:ascii="Aptos" w:eastAsia="Aptos" w:hAnsi="Aptos" w:cs="Aptos"/>
          <w:i/>
          <w:iCs/>
          <w:color w:val="000000" w:themeColor="text1"/>
        </w:rPr>
        <w:t>F</w:t>
      </w:r>
      <w:r w:rsidR="55935938" w:rsidRPr="2A4FE2FE">
        <w:rPr>
          <w:rFonts w:ascii="Aptos" w:eastAsia="Aptos" w:hAnsi="Aptos" w:cs="Aptos"/>
          <w:color w:val="000000" w:themeColor="text1"/>
        </w:rPr>
        <w:t>(</w:t>
      </w:r>
      <w:proofErr w:type="gramEnd"/>
      <w:r w:rsidR="55935938" w:rsidRPr="2A4FE2FE">
        <w:rPr>
          <w:rFonts w:ascii="Aptos" w:eastAsia="Aptos" w:hAnsi="Aptos" w:cs="Aptos"/>
          <w:color w:val="000000" w:themeColor="text1"/>
        </w:rPr>
        <w:t xml:space="preserve">2,304) = </w:t>
      </w:r>
      <w:r w:rsidR="49E210CF" w:rsidRPr="2A4FE2FE">
        <w:rPr>
          <w:rFonts w:ascii="Aptos" w:eastAsia="Aptos" w:hAnsi="Aptos" w:cs="Aptos"/>
          <w:color w:val="000000" w:themeColor="text1"/>
        </w:rPr>
        <w:t>27.297</w:t>
      </w:r>
      <w:r w:rsidR="55935938" w:rsidRPr="2A4FE2FE">
        <w:rPr>
          <w:rFonts w:ascii="Aptos" w:eastAsia="Aptos" w:hAnsi="Aptos" w:cs="Aptos"/>
          <w:color w:val="000000" w:themeColor="text1"/>
        </w:rPr>
        <w:t xml:space="preserve">, </w:t>
      </w:r>
      <w:r w:rsidR="55935938" w:rsidRPr="2A4FE2FE">
        <w:rPr>
          <w:rFonts w:ascii="Aptos" w:eastAsia="Aptos" w:hAnsi="Aptos" w:cs="Aptos"/>
          <w:i/>
          <w:iCs/>
          <w:color w:val="000000" w:themeColor="text1"/>
        </w:rPr>
        <w:t>p</w:t>
      </w:r>
      <w:r w:rsidR="55935938" w:rsidRPr="2A4FE2FE">
        <w:rPr>
          <w:rFonts w:ascii="Aptos" w:eastAsia="Aptos" w:hAnsi="Aptos" w:cs="Aptos"/>
          <w:color w:val="000000" w:themeColor="text1"/>
        </w:rPr>
        <w:t xml:space="preserve"> </w:t>
      </w:r>
      <w:r w:rsidR="71CA34B0" w:rsidRPr="2A4FE2FE">
        <w:rPr>
          <w:rFonts w:ascii="Aptos" w:eastAsia="Aptos" w:hAnsi="Aptos" w:cs="Aptos"/>
          <w:color w:val="000000" w:themeColor="text1"/>
        </w:rPr>
        <w:t>&lt;</w:t>
      </w:r>
      <w:r w:rsidR="55935938" w:rsidRPr="2A4FE2FE">
        <w:rPr>
          <w:rFonts w:ascii="Aptos" w:eastAsia="Aptos" w:hAnsi="Aptos" w:cs="Aptos"/>
          <w:color w:val="000000" w:themeColor="text1"/>
        </w:rPr>
        <w:t xml:space="preserve"> .</w:t>
      </w:r>
      <w:r w:rsidR="30FC4478" w:rsidRPr="2A4FE2FE">
        <w:rPr>
          <w:rFonts w:ascii="Aptos" w:eastAsia="Aptos" w:hAnsi="Aptos" w:cs="Aptos"/>
          <w:color w:val="000000" w:themeColor="text1"/>
        </w:rPr>
        <w:t>001</w:t>
      </w:r>
      <w:r w:rsidR="55935938" w:rsidRPr="2A4FE2FE">
        <w:rPr>
          <w:rFonts w:ascii="Aptos" w:eastAsia="Aptos" w:hAnsi="Aptos" w:cs="Aptos"/>
          <w:color w:val="000000" w:themeColor="text1"/>
        </w:rPr>
        <w:t>; see Table 2].</w:t>
      </w:r>
      <w:r w:rsidR="2EABC03A" w:rsidRPr="2A4FE2FE">
        <w:rPr>
          <w:rFonts w:ascii="Aptos" w:eastAsia="Aptos" w:hAnsi="Aptos" w:cs="Aptos"/>
          <w:color w:val="000000" w:themeColor="text1"/>
        </w:rPr>
        <w:t xml:space="preserve"> Scores for neuroticism and jumping to conclusion bias were elevated in those with SSDs and anxiety disorders, compared to the non-clinical group, </w:t>
      </w:r>
      <w:proofErr w:type="spellStart"/>
      <w:r w:rsidR="2EABC03A" w:rsidRPr="2A4FE2FE">
        <w:rPr>
          <w:rFonts w:ascii="Aptos" w:eastAsia="Aptos" w:hAnsi="Aptos" w:cs="Aptos"/>
          <w:i/>
          <w:iCs/>
          <w:color w:val="000000" w:themeColor="text1"/>
        </w:rPr>
        <w:t>p</w:t>
      </w:r>
      <w:r w:rsidR="2EABC03A" w:rsidRPr="2A4FE2FE">
        <w:rPr>
          <w:rFonts w:ascii="Aptos" w:eastAsia="Aptos" w:hAnsi="Aptos" w:cs="Aptos"/>
          <w:color w:val="000000" w:themeColor="text1"/>
        </w:rPr>
        <w:t>s</w:t>
      </w:r>
      <w:proofErr w:type="spellEnd"/>
      <w:r w:rsidR="2EABC03A" w:rsidRPr="2A4FE2FE">
        <w:rPr>
          <w:rFonts w:ascii="Aptos" w:eastAsia="Aptos" w:hAnsi="Aptos" w:cs="Aptos"/>
          <w:color w:val="000000" w:themeColor="text1"/>
        </w:rPr>
        <w:t xml:space="preserve"> &lt;001. Scores for neuroticism and </w:t>
      </w:r>
      <w:r w:rsidR="6A57977A" w:rsidRPr="2A4FE2FE">
        <w:rPr>
          <w:rFonts w:ascii="Aptos" w:eastAsia="Aptos" w:hAnsi="Aptos" w:cs="Aptos"/>
          <w:color w:val="000000" w:themeColor="text1"/>
        </w:rPr>
        <w:t>jumping</w:t>
      </w:r>
      <w:r w:rsidR="2EABC03A" w:rsidRPr="2A4FE2FE">
        <w:rPr>
          <w:rFonts w:ascii="Aptos" w:eastAsia="Aptos" w:hAnsi="Aptos" w:cs="Aptos"/>
          <w:color w:val="000000" w:themeColor="text1"/>
        </w:rPr>
        <w:t xml:space="preserve"> to conclusions bias did not significantly differ for those with SSDs and anxiety disorders, </w:t>
      </w:r>
      <w:proofErr w:type="spellStart"/>
      <w:r w:rsidR="2EABC03A" w:rsidRPr="2A4FE2FE">
        <w:rPr>
          <w:rFonts w:ascii="Aptos" w:eastAsia="Aptos" w:hAnsi="Aptos" w:cs="Aptos"/>
          <w:i/>
          <w:iCs/>
          <w:color w:val="000000" w:themeColor="text1"/>
        </w:rPr>
        <w:t>ps</w:t>
      </w:r>
      <w:proofErr w:type="spellEnd"/>
      <w:r w:rsidR="2EABC03A" w:rsidRPr="2A4FE2FE">
        <w:rPr>
          <w:rFonts w:ascii="Aptos" w:eastAsia="Aptos" w:hAnsi="Aptos" w:cs="Aptos"/>
          <w:color w:val="000000" w:themeColor="text1"/>
        </w:rPr>
        <w:t xml:space="preserve"> &gt;.4.</w:t>
      </w:r>
    </w:p>
    <w:tbl>
      <w:tblPr>
        <w:tblW w:w="0" w:type="auto"/>
        <w:tblLayout w:type="fixed"/>
        <w:tblLook w:val="06A0" w:firstRow="1" w:lastRow="0" w:firstColumn="1" w:lastColumn="0" w:noHBand="1" w:noVBand="1"/>
      </w:tblPr>
      <w:tblGrid>
        <w:gridCol w:w="2832"/>
        <w:gridCol w:w="1846"/>
        <w:gridCol w:w="1834"/>
        <w:gridCol w:w="1828"/>
      </w:tblGrid>
      <w:tr w:rsidR="5FD410A8" w14:paraId="3EC357A4" w14:textId="77777777" w:rsidTr="2A4FE2FE">
        <w:trPr>
          <w:trHeight w:val="315"/>
        </w:trPr>
        <w:tc>
          <w:tcPr>
            <w:tcW w:w="2832" w:type="dxa"/>
            <w:tcBorders>
              <w:top w:val="nil"/>
              <w:left w:val="nil"/>
              <w:bottom w:val="nil"/>
              <w:right w:val="nil"/>
            </w:tcBorders>
            <w:tcMar>
              <w:top w:w="15" w:type="dxa"/>
              <w:left w:w="15" w:type="dxa"/>
              <w:right w:w="15" w:type="dxa"/>
            </w:tcMar>
            <w:vAlign w:val="bottom"/>
          </w:tcPr>
          <w:p w14:paraId="5EE13AE1" w14:textId="77777777" w:rsidR="00421B57" w:rsidRDefault="00421B57" w:rsidP="001B3723">
            <w:pPr>
              <w:spacing w:after="0" w:line="480" w:lineRule="auto"/>
              <w:rPr>
                <w:rFonts w:ascii="Aptos" w:eastAsia="Aptos" w:hAnsi="Aptos" w:cs="Aptos"/>
                <w:b/>
                <w:bCs/>
              </w:rPr>
            </w:pPr>
          </w:p>
          <w:p w14:paraId="57A2C154" w14:textId="5BE442BD" w:rsidR="5FD410A8" w:rsidRDefault="5FD410A8" w:rsidP="001B3723">
            <w:pPr>
              <w:spacing w:after="0" w:line="480" w:lineRule="auto"/>
            </w:pPr>
            <w:r w:rsidRPr="5FD410A8">
              <w:rPr>
                <w:rFonts w:ascii="Aptos" w:eastAsia="Aptos" w:hAnsi="Aptos" w:cs="Aptos"/>
                <w:b/>
                <w:bCs/>
              </w:rPr>
              <w:t>Table 2.</w:t>
            </w:r>
          </w:p>
        </w:tc>
        <w:tc>
          <w:tcPr>
            <w:tcW w:w="1846" w:type="dxa"/>
            <w:tcBorders>
              <w:top w:val="nil"/>
              <w:left w:val="nil"/>
              <w:bottom w:val="nil"/>
              <w:right w:val="nil"/>
            </w:tcBorders>
            <w:tcMar>
              <w:top w:w="15" w:type="dxa"/>
              <w:left w:w="15" w:type="dxa"/>
              <w:right w:w="15" w:type="dxa"/>
            </w:tcMar>
            <w:vAlign w:val="bottom"/>
          </w:tcPr>
          <w:p w14:paraId="03EFA275" w14:textId="42E0D584" w:rsidR="5FD410A8" w:rsidRDefault="5FD410A8" w:rsidP="001B3723">
            <w:pPr>
              <w:spacing w:after="0" w:line="480" w:lineRule="auto"/>
            </w:pPr>
          </w:p>
        </w:tc>
        <w:tc>
          <w:tcPr>
            <w:tcW w:w="1834" w:type="dxa"/>
            <w:tcBorders>
              <w:top w:val="nil"/>
              <w:left w:val="nil"/>
              <w:bottom w:val="nil"/>
              <w:right w:val="nil"/>
            </w:tcBorders>
            <w:tcMar>
              <w:top w:w="15" w:type="dxa"/>
              <w:left w:w="15" w:type="dxa"/>
              <w:right w:w="15" w:type="dxa"/>
            </w:tcMar>
            <w:vAlign w:val="bottom"/>
          </w:tcPr>
          <w:p w14:paraId="20071C33" w14:textId="5AE99602" w:rsidR="5FD410A8" w:rsidRDefault="5FD410A8" w:rsidP="001B3723">
            <w:pPr>
              <w:spacing w:after="0" w:line="480" w:lineRule="auto"/>
            </w:pPr>
          </w:p>
        </w:tc>
        <w:tc>
          <w:tcPr>
            <w:tcW w:w="1828" w:type="dxa"/>
            <w:tcBorders>
              <w:top w:val="nil"/>
              <w:left w:val="nil"/>
              <w:bottom w:val="nil"/>
              <w:right w:val="nil"/>
            </w:tcBorders>
            <w:tcMar>
              <w:top w:w="15" w:type="dxa"/>
              <w:left w:w="15" w:type="dxa"/>
              <w:right w:w="15" w:type="dxa"/>
            </w:tcMar>
            <w:vAlign w:val="bottom"/>
          </w:tcPr>
          <w:p w14:paraId="2D497713" w14:textId="2B09BAF1" w:rsidR="5FD410A8" w:rsidRDefault="5FD410A8" w:rsidP="001B3723">
            <w:pPr>
              <w:spacing w:after="0" w:line="480" w:lineRule="auto"/>
            </w:pPr>
          </w:p>
        </w:tc>
      </w:tr>
      <w:tr w:rsidR="5FD410A8" w14:paraId="143220F3" w14:textId="77777777" w:rsidTr="2A4FE2FE">
        <w:trPr>
          <w:trHeight w:val="375"/>
        </w:trPr>
        <w:tc>
          <w:tcPr>
            <w:tcW w:w="8340" w:type="dxa"/>
            <w:gridSpan w:val="4"/>
            <w:tcBorders>
              <w:top w:val="nil"/>
              <w:left w:val="nil"/>
              <w:bottom w:val="double" w:sz="5" w:space="0" w:color="auto"/>
              <w:right w:val="nil"/>
            </w:tcBorders>
            <w:tcMar>
              <w:top w:w="15" w:type="dxa"/>
              <w:left w:w="15" w:type="dxa"/>
              <w:right w:w="15" w:type="dxa"/>
            </w:tcMar>
            <w:vAlign w:val="bottom"/>
          </w:tcPr>
          <w:p w14:paraId="28C2816A" w14:textId="2E15D8F8" w:rsidR="5FD410A8" w:rsidRDefault="5FD410A8" w:rsidP="001B3723">
            <w:pPr>
              <w:spacing w:after="0" w:line="480" w:lineRule="auto"/>
            </w:pPr>
            <w:r w:rsidRPr="5FD410A8">
              <w:rPr>
                <w:rFonts w:ascii="Aptos" w:eastAsia="Aptos" w:hAnsi="Aptos" w:cs="Aptos"/>
                <w:color w:val="000000" w:themeColor="text1"/>
              </w:rPr>
              <w:t>Summary of means (SD) for each questionnaire per group</w:t>
            </w:r>
          </w:p>
        </w:tc>
      </w:tr>
      <w:tr w:rsidR="5FD410A8" w14:paraId="1A5C0562" w14:textId="77777777" w:rsidTr="2A4FE2FE">
        <w:trPr>
          <w:trHeight w:val="1215"/>
        </w:trPr>
        <w:tc>
          <w:tcPr>
            <w:tcW w:w="2832" w:type="dxa"/>
            <w:tcBorders>
              <w:top w:val="double" w:sz="5" w:space="0" w:color="auto"/>
              <w:left w:val="nil"/>
              <w:bottom w:val="single" w:sz="4" w:space="0" w:color="auto"/>
              <w:right w:val="nil"/>
            </w:tcBorders>
            <w:tcMar>
              <w:top w:w="15" w:type="dxa"/>
              <w:left w:w="15" w:type="dxa"/>
              <w:right w:w="15" w:type="dxa"/>
            </w:tcMar>
            <w:vAlign w:val="bottom"/>
          </w:tcPr>
          <w:p w14:paraId="17765AD1" w14:textId="0F0C2D39" w:rsidR="5FD410A8" w:rsidRDefault="5FD410A8" w:rsidP="001B3723">
            <w:pPr>
              <w:spacing w:after="0" w:line="480" w:lineRule="auto"/>
            </w:pPr>
            <w:r w:rsidRPr="5FD410A8">
              <w:rPr>
                <w:rFonts w:ascii="Aptos" w:eastAsia="Aptos" w:hAnsi="Aptos" w:cs="Aptos"/>
              </w:rPr>
              <w:t xml:space="preserve"> </w:t>
            </w:r>
          </w:p>
        </w:tc>
        <w:tc>
          <w:tcPr>
            <w:tcW w:w="1846" w:type="dxa"/>
            <w:tcBorders>
              <w:top w:val="nil"/>
              <w:left w:val="nil"/>
              <w:bottom w:val="single" w:sz="4" w:space="0" w:color="000000" w:themeColor="text1"/>
              <w:right w:val="nil"/>
            </w:tcBorders>
            <w:tcMar>
              <w:top w:w="15" w:type="dxa"/>
              <w:left w:w="15" w:type="dxa"/>
              <w:right w:w="15" w:type="dxa"/>
            </w:tcMar>
            <w:vAlign w:val="bottom"/>
          </w:tcPr>
          <w:p w14:paraId="2A4602B1" w14:textId="22E85A3A" w:rsidR="5FD410A8" w:rsidRDefault="5FD410A8" w:rsidP="001B3723">
            <w:pPr>
              <w:spacing w:after="0" w:line="480" w:lineRule="auto"/>
              <w:jc w:val="center"/>
            </w:pPr>
            <w:r w:rsidRPr="5FD410A8">
              <w:rPr>
                <w:rFonts w:ascii="Aptos" w:eastAsia="Aptos" w:hAnsi="Aptos" w:cs="Aptos"/>
                <w:color w:val="000000" w:themeColor="text1"/>
              </w:rPr>
              <w:t xml:space="preserve">Schizophrenia Spectrum Disorders </w:t>
            </w:r>
            <w:r>
              <w:br/>
            </w:r>
            <w:r w:rsidRPr="5FD410A8">
              <w:rPr>
                <w:rFonts w:ascii="Aptos" w:eastAsia="Aptos" w:hAnsi="Aptos" w:cs="Aptos"/>
                <w:color w:val="000000" w:themeColor="text1"/>
              </w:rPr>
              <w:t>(n = 103)</w:t>
            </w:r>
          </w:p>
        </w:tc>
        <w:tc>
          <w:tcPr>
            <w:tcW w:w="1834" w:type="dxa"/>
            <w:tcBorders>
              <w:top w:val="nil"/>
              <w:left w:val="nil"/>
              <w:bottom w:val="single" w:sz="4" w:space="0" w:color="000000" w:themeColor="text1"/>
              <w:right w:val="nil"/>
            </w:tcBorders>
            <w:tcMar>
              <w:top w:w="15" w:type="dxa"/>
              <w:left w:w="15" w:type="dxa"/>
              <w:right w:w="15" w:type="dxa"/>
            </w:tcMar>
            <w:vAlign w:val="bottom"/>
          </w:tcPr>
          <w:p w14:paraId="7B020A06" w14:textId="08CF1BD5" w:rsidR="5FD410A8" w:rsidRDefault="5FD410A8" w:rsidP="001B3723">
            <w:pPr>
              <w:spacing w:after="0" w:line="480" w:lineRule="auto"/>
              <w:jc w:val="center"/>
            </w:pPr>
            <w:r w:rsidRPr="5FD410A8">
              <w:rPr>
                <w:rFonts w:ascii="Aptos" w:eastAsia="Aptos" w:hAnsi="Aptos" w:cs="Aptos"/>
                <w:color w:val="000000" w:themeColor="text1"/>
              </w:rPr>
              <w:t xml:space="preserve">Anxiety </w:t>
            </w:r>
            <w:r>
              <w:br/>
            </w:r>
            <w:r w:rsidRPr="5FD410A8">
              <w:rPr>
                <w:rFonts w:ascii="Aptos" w:eastAsia="Aptos" w:hAnsi="Aptos" w:cs="Aptos"/>
                <w:color w:val="000000" w:themeColor="text1"/>
              </w:rPr>
              <w:t xml:space="preserve">Disorders </w:t>
            </w:r>
            <w:r>
              <w:br/>
            </w:r>
            <w:r w:rsidRPr="5FD410A8">
              <w:rPr>
                <w:rFonts w:ascii="Aptos" w:eastAsia="Aptos" w:hAnsi="Aptos" w:cs="Aptos"/>
                <w:color w:val="000000" w:themeColor="text1"/>
              </w:rPr>
              <w:t>(n = 102)</w:t>
            </w:r>
          </w:p>
        </w:tc>
        <w:tc>
          <w:tcPr>
            <w:tcW w:w="1828" w:type="dxa"/>
            <w:tcBorders>
              <w:top w:val="nil"/>
              <w:left w:val="nil"/>
              <w:bottom w:val="single" w:sz="4" w:space="0" w:color="000000" w:themeColor="text1"/>
              <w:right w:val="nil"/>
            </w:tcBorders>
            <w:tcMar>
              <w:top w:w="15" w:type="dxa"/>
              <w:left w:w="15" w:type="dxa"/>
              <w:right w:w="15" w:type="dxa"/>
            </w:tcMar>
            <w:vAlign w:val="bottom"/>
          </w:tcPr>
          <w:p w14:paraId="3EE1AC21" w14:textId="78F4854F" w:rsidR="5FD410A8" w:rsidRDefault="5FD410A8" w:rsidP="001B3723">
            <w:pPr>
              <w:spacing w:after="0" w:line="480" w:lineRule="auto"/>
              <w:jc w:val="center"/>
            </w:pPr>
            <w:r w:rsidRPr="5FD410A8">
              <w:rPr>
                <w:rFonts w:ascii="Aptos" w:eastAsia="Aptos" w:hAnsi="Aptos" w:cs="Aptos"/>
                <w:color w:val="000000" w:themeColor="text1"/>
              </w:rPr>
              <w:t xml:space="preserve">Non-Clinical Sample </w:t>
            </w:r>
            <w:r>
              <w:br/>
            </w:r>
            <w:r w:rsidRPr="5FD410A8">
              <w:rPr>
                <w:rFonts w:ascii="Aptos" w:eastAsia="Aptos" w:hAnsi="Aptos" w:cs="Aptos"/>
                <w:color w:val="000000" w:themeColor="text1"/>
              </w:rPr>
              <w:t>(n =102)</w:t>
            </w:r>
          </w:p>
        </w:tc>
      </w:tr>
      <w:tr w:rsidR="5FD410A8" w14:paraId="1CA40926" w14:textId="77777777" w:rsidTr="2A4FE2FE">
        <w:trPr>
          <w:trHeight w:val="300"/>
        </w:trPr>
        <w:tc>
          <w:tcPr>
            <w:tcW w:w="2832" w:type="dxa"/>
            <w:tcBorders>
              <w:top w:val="single" w:sz="4" w:space="0" w:color="auto"/>
              <w:left w:val="nil"/>
              <w:bottom w:val="nil"/>
              <w:right w:val="nil"/>
            </w:tcBorders>
            <w:tcMar>
              <w:top w:w="15" w:type="dxa"/>
              <w:left w:w="15" w:type="dxa"/>
              <w:right w:w="15" w:type="dxa"/>
            </w:tcMar>
            <w:vAlign w:val="bottom"/>
          </w:tcPr>
          <w:p w14:paraId="37B7751E" w14:textId="7BC48449" w:rsidR="5FD410A8" w:rsidRDefault="5FD410A8" w:rsidP="001B3723">
            <w:pPr>
              <w:spacing w:after="0" w:line="480" w:lineRule="auto"/>
            </w:pPr>
          </w:p>
        </w:tc>
        <w:tc>
          <w:tcPr>
            <w:tcW w:w="1846" w:type="dxa"/>
            <w:tcBorders>
              <w:top w:val="single" w:sz="4" w:space="0" w:color="000000" w:themeColor="text1"/>
              <w:left w:val="nil"/>
              <w:bottom w:val="nil"/>
              <w:right w:val="nil"/>
            </w:tcBorders>
            <w:tcMar>
              <w:top w:w="15" w:type="dxa"/>
              <w:left w:w="15" w:type="dxa"/>
              <w:right w:w="15" w:type="dxa"/>
            </w:tcMar>
            <w:vAlign w:val="bottom"/>
          </w:tcPr>
          <w:p w14:paraId="1634B12D" w14:textId="75409730" w:rsidR="5FD410A8" w:rsidRDefault="5FD410A8" w:rsidP="001B3723">
            <w:pPr>
              <w:spacing w:after="0" w:line="480" w:lineRule="auto"/>
            </w:pPr>
          </w:p>
        </w:tc>
        <w:tc>
          <w:tcPr>
            <w:tcW w:w="1834" w:type="dxa"/>
            <w:tcBorders>
              <w:top w:val="single" w:sz="4" w:space="0" w:color="000000" w:themeColor="text1"/>
              <w:left w:val="nil"/>
              <w:bottom w:val="nil"/>
              <w:right w:val="nil"/>
            </w:tcBorders>
            <w:tcMar>
              <w:top w:w="15" w:type="dxa"/>
              <w:left w:w="15" w:type="dxa"/>
              <w:right w:w="15" w:type="dxa"/>
            </w:tcMar>
            <w:vAlign w:val="bottom"/>
          </w:tcPr>
          <w:p w14:paraId="5851C9CE" w14:textId="11D56108" w:rsidR="5FD410A8" w:rsidRDefault="5FD410A8" w:rsidP="001B3723">
            <w:pPr>
              <w:spacing w:after="0" w:line="480" w:lineRule="auto"/>
            </w:pPr>
          </w:p>
        </w:tc>
        <w:tc>
          <w:tcPr>
            <w:tcW w:w="1828" w:type="dxa"/>
            <w:tcBorders>
              <w:top w:val="single" w:sz="4" w:space="0" w:color="000000" w:themeColor="text1"/>
              <w:left w:val="nil"/>
              <w:bottom w:val="nil"/>
              <w:right w:val="nil"/>
            </w:tcBorders>
            <w:tcMar>
              <w:top w:w="15" w:type="dxa"/>
              <w:left w:w="15" w:type="dxa"/>
              <w:right w:w="15" w:type="dxa"/>
            </w:tcMar>
            <w:vAlign w:val="bottom"/>
          </w:tcPr>
          <w:p w14:paraId="31211381" w14:textId="3F709BDE" w:rsidR="5FD410A8" w:rsidRDefault="5FD410A8" w:rsidP="001B3723">
            <w:pPr>
              <w:spacing w:after="0" w:line="480" w:lineRule="auto"/>
            </w:pPr>
          </w:p>
        </w:tc>
      </w:tr>
      <w:tr w:rsidR="5FD410A8" w14:paraId="11854D2F" w14:textId="77777777" w:rsidTr="2A4FE2FE">
        <w:trPr>
          <w:trHeight w:val="300"/>
        </w:trPr>
        <w:tc>
          <w:tcPr>
            <w:tcW w:w="2832" w:type="dxa"/>
            <w:tcBorders>
              <w:top w:val="nil"/>
              <w:left w:val="nil"/>
              <w:bottom w:val="nil"/>
              <w:right w:val="nil"/>
            </w:tcBorders>
            <w:tcMar>
              <w:top w:w="15" w:type="dxa"/>
              <w:left w:w="15" w:type="dxa"/>
              <w:right w:w="15" w:type="dxa"/>
            </w:tcMar>
            <w:vAlign w:val="bottom"/>
          </w:tcPr>
          <w:p w14:paraId="127BB29C" w14:textId="7E29D21E" w:rsidR="5FD410A8" w:rsidRDefault="5FD410A8" w:rsidP="001B3723">
            <w:pPr>
              <w:spacing w:after="0" w:line="480" w:lineRule="auto"/>
            </w:pPr>
            <w:r w:rsidRPr="5FD410A8">
              <w:rPr>
                <w:rFonts w:ascii="Aptos" w:eastAsia="Aptos" w:hAnsi="Aptos" w:cs="Aptos"/>
                <w:color w:val="000000" w:themeColor="text1"/>
              </w:rPr>
              <w:t>Intolerance of Uncertainty</w:t>
            </w:r>
          </w:p>
        </w:tc>
        <w:tc>
          <w:tcPr>
            <w:tcW w:w="1846" w:type="dxa"/>
            <w:tcBorders>
              <w:top w:val="nil"/>
              <w:left w:val="nil"/>
              <w:bottom w:val="nil"/>
              <w:right w:val="nil"/>
            </w:tcBorders>
            <w:tcMar>
              <w:top w:w="15" w:type="dxa"/>
              <w:left w:w="15" w:type="dxa"/>
              <w:right w:w="15" w:type="dxa"/>
            </w:tcMar>
            <w:vAlign w:val="bottom"/>
          </w:tcPr>
          <w:p w14:paraId="221BFF7B" w14:textId="4C56E9B8" w:rsidR="5FD410A8" w:rsidRDefault="5FD410A8" w:rsidP="001B3723">
            <w:pPr>
              <w:spacing w:after="0" w:line="480" w:lineRule="auto"/>
              <w:jc w:val="center"/>
            </w:pPr>
            <w:r w:rsidRPr="5FD410A8">
              <w:rPr>
                <w:rFonts w:ascii="Aptos" w:eastAsia="Aptos" w:hAnsi="Aptos" w:cs="Aptos"/>
                <w:color w:val="000000" w:themeColor="text1"/>
              </w:rPr>
              <w:t>41.16 (11.53)</w:t>
            </w:r>
          </w:p>
        </w:tc>
        <w:tc>
          <w:tcPr>
            <w:tcW w:w="1834" w:type="dxa"/>
            <w:tcBorders>
              <w:top w:val="nil"/>
              <w:left w:val="nil"/>
              <w:bottom w:val="nil"/>
              <w:right w:val="nil"/>
            </w:tcBorders>
            <w:tcMar>
              <w:top w:w="15" w:type="dxa"/>
              <w:left w:w="15" w:type="dxa"/>
              <w:right w:w="15" w:type="dxa"/>
            </w:tcMar>
            <w:vAlign w:val="bottom"/>
          </w:tcPr>
          <w:p w14:paraId="6545A69E" w14:textId="6A25FAC4" w:rsidR="5FD410A8" w:rsidRDefault="5FD410A8" w:rsidP="001B3723">
            <w:pPr>
              <w:spacing w:after="0" w:line="480" w:lineRule="auto"/>
              <w:jc w:val="center"/>
            </w:pPr>
            <w:r w:rsidRPr="5FD410A8">
              <w:rPr>
                <w:rFonts w:ascii="Aptos" w:eastAsia="Aptos" w:hAnsi="Aptos" w:cs="Aptos"/>
                <w:color w:val="000000" w:themeColor="text1"/>
              </w:rPr>
              <w:t>39.62 (10.33)</w:t>
            </w:r>
          </w:p>
        </w:tc>
        <w:tc>
          <w:tcPr>
            <w:tcW w:w="1828" w:type="dxa"/>
            <w:tcBorders>
              <w:top w:val="nil"/>
              <w:left w:val="nil"/>
              <w:bottom w:val="nil"/>
              <w:right w:val="nil"/>
            </w:tcBorders>
            <w:tcMar>
              <w:top w:w="15" w:type="dxa"/>
              <w:left w:w="15" w:type="dxa"/>
              <w:right w:w="15" w:type="dxa"/>
            </w:tcMar>
            <w:vAlign w:val="bottom"/>
          </w:tcPr>
          <w:p w14:paraId="00A52285" w14:textId="6B82C73A" w:rsidR="5FD410A8" w:rsidRDefault="5FD410A8" w:rsidP="001B3723">
            <w:pPr>
              <w:spacing w:after="0" w:line="480" w:lineRule="auto"/>
              <w:jc w:val="center"/>
            </w:pPr>
            <w:r w:rsidRPr="5FD410A8">
              <w:rPr>
                <w:rFonts w:ascii="Aptos" w:eastAsia="Aptos" w:hAnsi="Aptos" w:cs="Aptos"/>
                <w:color w:val="000000" w:themeColor="text1"/>
              </w:rPr>
              <w:t>32.37 (9.02)</w:t>
            </w:r>
          </w:p>
        </w:tc>
      </w:tr>
      <w:tr w:rsidR="5FD410A8" w14:paraId="2EC4C548" w14:textId="77777777" w:rsidTr="2A4FE2FE">
        <w:trPr>
          <w:trHeight w:val="300"/>
        </w:trPr>
        <w:tc>
          <w:tcPr>
            <w:tcW w:w="2832" w:type="dxa"/>
            <w:tcBorders>
              <w:top w:val="nil"/>
              <w:left w:val="nil"/>
              <w:bottom w:val="nil"/>
              <w:right w:val="nil"/>
            </w:tcBorders>
            <w:tcMar>
              <w:top w:w="15" w:type="dxa"/>
              <w:left w:w="15" w:type="dxa"/>
              <w:right w:w="15" w:type="dxa"/>
            </w:tcMar>
            <w:vAlign w:val="bottom"/>
          </w:tcPr>
          <w:p w14:paraId="71F6FF8C" w14:textId="7DEA72CE" w:rsidR="5FD410A8" w:rsidRDefault="5FD410A8" w:rsidP="001B3723">
            <w:pPr>
              <w:spacing w:after="0" w:line="480" w:lineRule="auto"/>
            </w:pPr>
            <w:r w:rsidRPr="5FD410A8">
              <w:rPr>
                <w:rFonts w:ascii="Aptos" w:eastAsia="Aptos" w:hAnsi="Aptos" w:cs="Aptos"/>
                <w:color w:val="000000" w:themeColor="text1"/>
              </w:rPr>
              <w:t>Jumping to Conclusions Bias</w:t>
            </w:r>
          </w:p>
        </w:tc>
        <w:tc>
          <w:tcPr>
            <w:tcW w:w="1846" w:type="dxa"/>
            <w:tcBorders>
              <w:top w:val="nil"/>
              <w:left w:val="nil"/>
              <w:bottom w:val="nil"/>
              <w:right w:val="nil"/>
            </w:tcBorders>
            <w:tcMar>
              <w:top w:w="15" w:type="dxa"/>
              <w:left w:w="15" w:type="dxa"/>
              <w:right w:w="15" w:type="dxa"/>
            </w:tcMar>
            <w:vAlign w:val="bottom"/>
          </w:tcPr>
          <w:p w14:paraId="1075FD1A" w14:textId="4DA1C542" w:rsidR="5FD410A8" w:rsidRDefault="544F12B3" w:rsidP="001B3723">
            <w:pPr>
              <w:spacing w:after="0" w:line="480" w:lineRule="auto"/>
              <w:jc w:val="center"/>
            </w:pPr>
            <w:r w:rsidRPr="2A4FE2FE">
              <w:rPr>
                <w:rFonts w:ascii="Aptos" w:eastAsia="Aptos" w:hAnsi="Aptos" w:cs="Aptos"/>
                <w:color w:val="000000" w:themeColor="text1"/>
              </w:rPr>
              <w:t xml:space="preserve">11.87 (2.67) </w:t>
            </w:r>
            <w:r w:rsidRPr="2A4FE2FE">
              <w:rPr>
                <w:rFonts w:ascii="Aptos" w:eastAsia="Aptos" w:hAnsi="Aptos" w:cs="Aptos"/>
              </w:rPr>
              <w:t xml:space="preserve"> </w:t>
            </w:r>
          </w:p>
        </w:tc>
        <w:tc>
          <w:tcPr>
            <w:tcW w:w="1834" w:type="dxa"/>
            <w:tcBorders>
              <w:top w:val="nil"/>
              <w:left w:val="nil"/>
              <w:bottom w:val="nil"/>
              <w:right w:val="nil"/>
            </w:tcBorders>
            <w:tcMar>
              <w:top w:w="15" w:type="dxa"/>
              <w:left w:w="15" w:type="dxa"/>
              <w:right w:w="15" w:type="dxa"/>
            </w:tcMar>
            <w:vAlign w:val="bottom"/>
          </w:tcPr>
          <w:p w14:paraId="59451145" w14:textId="44DC928A" w:rsidR="5FD410A8" w:rsidRDefault="1D319E6F" w:rsidP="001B3723">
            <w:pPr>
              <w:spacing w:after="0" w:line="480" w:lineRule="auto"/>
              <w:jc w:val="center"/>
              <w:rPr>
                <w:rFonts w:ascii="Aptos" w:eastAsia="Aptos" w:hAnsi="Aptos" w:cs="Aptos"/>
                <w:color w:val="000000" w:themeColor="text1"/>
              </w:rPr>
            </w:pPr>
            <w:r w:rsidRPr="2A4FE2FE">
              <w:rPr>
                <w:rFonts w:ascii="Aptos" w:eastAsia="Aptos" w:hAnsi="Aptos" w:cs="Aptos"/>
                <w:color w:val="000000" w:themeColor="text1"/>
              </w:rPr>
              <w:t>1</w:t>
            </w:r>
            <w:r w:rsidR="5C6FCE99" w:rsidRPr="2A4FE2FE">
              <w:rPr>
                <w:rFonts w:ascii="Aptos" w:eastAsia="Aptos" w:hAnsi="Aptos" w:cs="Aptos"/>
                <w:color w:val="000000" w:themeColor="text1"/>
              </w:rPr>
              <w:t>1.61</w:t>
            </w:r>
            <w:r w:rsidRPr="2A4FE2FE">
              <w:rPr>
                <w:rFonts w:ascii="Aptos" w:eastAsia="Aptos" w:hAnsi="Aptos" w:cs="Aptos"/>
                <w:color w:val="000000" w:themeColor="text1"/>
              </w:rPr>
              <w:t xml:space="preserve"> (</w:t>
            </w:r>
            <w:r w:rsidR="6E82C658" w:rsidRPr="2A4FE2FE">
              <w:rPr>
                <w:rFonts w:ascii="Aptos" w:eastAsia="Aptos" w:hAnsi="Aptos" w:cs="Aptos"/>
                <w:color w:val="000000" w:themeColor="text1"/>
              </w:rPr>
              <w:t>2.16</w:t>
            </w:r>
            <w:r w:rsidRPr="2A4FE2FE">
              <w:rPr>
                <w:rFonts w:ascii="Aptos" w:eastAsia="Aptos" w:hAnsi="Aptos" w:cs="Aptos"/>
                <w:color w:val="000000" w:themeColor="text1"/>
              </w:rPr>
              <w:t>)</w:t>
            </w:r>
          </w:p>
        </w:tc>
        <w:tc>
          <w:tcPr>
            <w:tcW w:w="1828" w:type="dxa"/>
            <w:tcBorders>
              <w:top w:val="nil"/>
              <w:left w:val="nil"/>
              <w:bottom w:val="nil"/>
              <w:right w:val="nil"/>
            </w:tcBorders>
            <w:tcMar>
              <w:top w:w="15" w:type="dxa"/>
              <w:left w:w="15" w:type="dxa"/>
              <w:right w:w="15" w:type="dxa"/>
            </w:tcMar>
            <w:vAlign w:val="bottom"/>
          </w:tcPr>
          <w:p w14:paraId="074B2355" w14:textId="6B3BA2EE" w:rsidR="5FD410A8" w:rsidRDefault="267A259C" w:rsidP="001B3723">
            <w:pPr>
              <w:spacing w:after="0" w:line="480" w:lineRule="auto"/>
              <w:jc w:val="center"/>
              <w:rPr>
                <w:rFonts w:ascii="Aptos" w:eastAsia="Aptos" w:hAnsi="Aptos" w:cs="Aptos"/>
                <w:color w:val="000000" w:themeColor="text1"/>
              </w:rPr>
            </w:pPr>
            <w:r w:rsidRPr="2A4FE2FE">
              <w:rPr>
                <w:rFonts w:ascii="Aptos" w:eastAsia="Aptos" w:hAnsi="Aptos" w:cs="Aptos"/>
                <w:color w:val="000000" w:themeColor="text1"/>
              </w:rPr>
              <w:t>9.69</w:t>
            </w:r>
            <w:r w:rsidR="1D319E6F" w:rsidRPr="2A4FE2FE">
              <w:rPr>
                <w:rFonts w:ascii="Aptos" w:eastAsia="Aptos" w:hAnsi="Aptos" w:cs="Aptos"/>
                <w:color w:val="000000" w:themeColor="text1"/>
              </w:rPr>
              <w:t xml:space="preserve"> (</w:t>
            </w:r>
            <w:r w:rsidR="4094A6EB" w:rsidRPr="2A4FE2FE">
              <w:rPr>
                <w:rFonts w:ascii="Aptos" w:eastAsia="Aptos" w:hAnsi="Aptos" w:cs="Aptos"/>
                <w:color w:val="000000" w:themeColor="text1"/>
              </w:rPr>
              <w:t>2.</w:t>
            </w:r>
            <w:r w:rsidR="77DF7DDB" w:rsidRPr="2A4FE2FE">
              <w:rPr>
                <w:rFonts w:ascii="Aptos" w:eastAsia="Aptos" w:hAnsi="Aptos" w:cs="Aptos"/>
                <w:color w:val="000000" w:themeColor="text1"/>
              </w:rPr>
              <w:t>01</w:t>
            </w:r>
            <w:r w:rsidR="1D319E6F" w:rsidRPr="2A4FE2FE">
              <w:rPr>
                <w:rFonts w:ascii="Aptos" w:eastAsia="Aptos" w:hAnsi="Aptos" w:cs="Aptos"/>
                <w:color w:val="000000" w:themeColor="text1"/>
              </w:rPr>
              <w:t>)</w:t>
            </w:r>
          </w:p>
        </w:tc>
      </w:tr>
      <w:tr w:rsidR="5FD410A8" w14:paraId="27CC5A31" w14:textId="77777777" w:rsidTr="2A4FE2FE">
        <w:trPr>
          <w:trHeight w:val="300"/>
        </w:trPr>
        <w:tc>
          <w:tcPr>
            <w:tcW w:w="2832" w:type="dxa"/>
            <w:tcBorders>
              <w:top w:val="nil"/>
              <w:left w:val="nil"/>
              <w:bottom w:val="nil"/>
              <w:right w:val="nil"/>
            </w:tcBorders>
            <w:tcMar>
              <w:top w:w="15" w:type="dxa"/>
              <w:left w:w="15" w:type="dxa"/>
              <w:right w:w="15" w:type="dxa"/>
            </w:tcMar>
            <w:vAlign w:val="bottom"/>
          </w:tcPr>
          <w:p w14:paraId="0E69CA9F" w14:textId="69A80DF0" w:rsidR="5FD410A8" w:rsidRDefault="5FD410A8" w:rsidP="001B3723">
            <w:pPr>
              <w:spacing w:after="0" w:line="480" w:lineRule="auto"/>
            </w:pPr>
            <w:r w:rsidRPr="5FD410A8">
              <w:rPr>
                <w:rFonts w:ascii="Aptos" w:eastAsia="Aptos" w:hAnsi="Aptos" w:cs="Aptos"/>
                <w:color w:val="000000" w:themeColor="text1"/>
              </w:rPr>
              <w:t>Neuroticism</w:t>
            </w:r>
          </w:p>
        </w:tc>
        <w:tc>
          <w:tcPr>
            <w:tcW w:w="1846" w:type="dxa"/>
            <w:tcBorders>
              <w:top w:val="nil"/>
              <w:left w:val="nil"/>
              <w:bottom w:val="nil"/>
              <w:right w:val="nil"/>
            </w:tcBorders>
            <w:tcMar>
              <w:top w:w="15" w:type="dxa"/>
              <w:left w:w="15" w:type="dxa"/>
              <w:right w:w="15" w:type="dxa"/>
            </w:tcMar>
            <w:vAlign w:val="bottom"/>
          </w:tcPr>
          <w:p w14:paraId="67EC24E4" w14:textId="1FF8A4BA" w:rsidR="5FD410A8" w:rsidRDefault="34D1C6EE" w:rsidP="001B3723">
            <w:pPr>
              <w:spacing w:after="0" w:line="480" w:lineRule="auto"/>
              <w:jc w:val="center"/>
            </w:pPr>
            <w:r w:rsidRPr="2A4FE2FE">
              <w:rPr>
                <w:rFonts w:ascii="Aptos" w:eastAsia="Aptos" w:hAnsi="Aptos" w:cs="Aptos"/>
                <w:color w:val="000000" w:themeColor="text1"/>
              </w:rPr>
              <w:t xml:space="preserve">7.78 (2.39) </w:t>
            </w:r>
            <w:r w:rsidRPr="2A4FE2FE">
              <w:rPr>
                <w:rFonts w:ascii="Aptos" w:eastAsia="Aptos" w:hAnsi="Aptos" w:cs="Aptos"/>
              </w:rPr>
              <w:t xml:space="preserve"> </w:t>
            </w:r>
          </w:p>
        </w:tc>
        <w:tc>
          <w:tcPr>
            <w:tcW w:w="1834" w:type="dxa"/>
            <w:tcBorders>
              <w:top w:val="nil"/>
              <w:left w:val="nil"/>
              <w:bottom w:val="nil"/>
              <w:right w:val="nil"/>
            </w:tcBorders>
            <w:tcMar>
              <w:top w:w="15" w:type="dxa"/>
              <w:left w:w="15" w:type="dxa"/>
              <w:right w:w="15" w:type="dxa"/>
            </w:tcMar>
            <w:vAlign w:val="bottom"/>
          </w:tcPr>
          <w:p w14:paraId="7B50D30A" w14:textId="55D18461" w:rsidR="5FD410A8" w:rsidRDefault="67248834" w:rsidP="001B3723">
            <w:pPr>
              <w:spacing w:after="0" w:line="480" w:lineRule="auto"/>
              <w:jc w:val="center"/>
              <w:rPr>
                <w:rFonts w:ascii="Aptos" w:eastAsia="Aptos" w:hAnsi="Aptos" w:cs="Aptos"/>
                <w:color w:val="000000" w:themeColor="text1"/>
              </w:rPr>
            </w:pPr>
            <w:r w:rsidRPr="2A4FE2FE">
              <w:rPr>
                <w:rFonts w:ascii="Aptos" w:eastAsia="Aptos" w:hAnsi="Aptos" w:cs="Aptos"/>
                <w:color w:val="000000" w:themeColor="text1"/>
              </w:rPr>
              <w:t>7.84</w:t>
            </w:r>
            <w:r w:rsidR="1D319E6F" w:rsidRPr="2A4FE2FE">
              <w:rPr>
                <w:rFonts w:ascii="Aptos" w:eastAsia="Aptos" w:hAnsi="Aptos" w:cs="Aptos"/>
                <w:color w:val="000000" w:themeColor="text1"/>
              </w:rPr>
              <w:t xml:space="preserve"> (</w:t>
            </w:r>
            <w:r w:rsidR="76777D6F" w:rsidRPr="2A4FE2FE">
              <w:rPr>
                <w:rFonts w:ascii="Aptos" w:eastAsia="Aptos" w:hAnsi="Aptos" w:cs="Aptos"/>
                <w:color w:val="000000" w:themeColor="text1"/>
              </w:rPr>
              <w:t>2.01</w:t>
            </w:r>
            <w:r w:rsidR="1D319E6F" w:rsidRPr="2A4FE2FE">
              <w:rPr>
                <w:rFonts w:ascii="Aptos" w:eastAsia="Aptos" w:hAnsi="Aptos" w:cs="Aptos"/>
                <w:color w:val="000000" w:themeColor="text1"/>
              </w:rPr>
              <w:t>)</w:t>
            </w:r>
          </w:p>
        </w:tc>
        <w:tc>
          <w:tcPr>
            <w:tcW w:w="1828" w:type="dxa"/>
            <w:tcBorders>
              <w:top w:val="nil"/>
              <w:left w:val="nil"/>
              <w:bottom w:val="nil"/>
              <w:right w:val="nil"/>
            </w:tcBorders>
            <w:tcMar>
              <w:top w:w="15" w:type="dxa"/>
              <w:left w:w="15" w:type="dxa"/>
              <w:right w:w="15" w:type="dxa"/>
            </w:tcMar>
            <w:vAlign w:val="bottom"/>
          </w:tcPr>
          <w:p w14:paraId="59945B53" w14:textId="27D72E49" w:rsidR="5FD410A8" w:rsidRDefault="1B361210" w:rsidP="001B3723">
            <w:pPr>
              <w:spacing w:after="0" w:line="480" w:lineRule="auto"/>
              <w:jc w:val="center"/>
            </w:pPr>
            <w:r w:rsidRPr="2A4FE2FE">
              <w:rPr>
                <w:rFonts w:ascii="Aptos" w:eastAsia="Aptos" w:hAnsi="Aptos" w:cs="Aptos"/>
                <w:color w:val="000000" w:themeColor="text1"/>
              </w:rPr>
              <w:t xml:space="preserve">5.28 (2.18) </w:t>
            </w:r>
            <w:r w:rsidRPr="2A4FE2FE">
              <w:rPr>
                <w:rFonts w:ascii="Aptos" w:eastAsia="Aptos" w:hAnsi="Aptos" w:cs="Aptos"/>
              </w:rPr>
              <w:t xml:space="preserve"> </w:t>
            </w:r>
          </w:p>
        </w:tc>
      </w:tr>
      <w:tr w:rsidR="5FD410A8" w14:paraId="2FFB644E" w14:textId="77777777" w:rsidTr="2A4FE2FE">
        <w:trPr>
          <w:trHeight w:val="300"/>
        </w:trPr>
        <w:tc>
          <w:tcPr>
            <w:tcW w:w="2832" w:type="dxa"/>
            <w:tcBorders>
              <w:top w:val="nil"/>
              <w:left w:val="nil"/>
              <w:bottom w:val="nil"/>
              <w:right w:val="nil"/>
            </w:tcBorders>
            <w:tcMar>
              <w:top w:w="15" w:type="dxa"/>
              <w:left w:w="15" w:type="dxa"/>
              <w:right w:w="15" w:type="dxa"/>
            </w:tcMar>
            <w:vAlign w:val="bottom"/>
          </w:tcPr>
          <w:p w14:paraId="6AFF9218" w14:textId="3090FE4D" w:rsidR="5FD410A8" w:rsidRDefault="5FD410A8" w:rsidP="001B3723">
            <w:pPr>
              <w:spacing w:after="0" w:line="480" w:lineRule="auto"/>
            </w:pPr>
            <w:r w:rsidRPr="5FD410A8">
              <w:rPr>
                <w:rFonts w:ascii="Aptos" w:eastAsia="Aptos" w:hAnsi="Aptos" w:cs="Aptos"/>
                <w:color w:val="000000" w:themeColor="text1"/>
              </w:rPr>
              <w:t>Paranoia</w:t>
            </w:r>
          </w:p>
        </w:tc>
        <w:tc>
          <w:tcPr>
            <w:tcW w:w="1846" w:type="dxa"/>
            <w:tcBorders>
              <w:top w:val="nil"/>
              <w:left w:val="nil"/>
              <w:bottom w:val="nil"/>
              <w:right w:val="nil"/>
            </w:tcBorders>
            <w:tcMar>
              <w:top w:w="15" w:type="dxa"/>
              <w:left w:w="15" w:type="dxa"/>
              <w:right w:w="15" w:type="dxa"/>
            </w:tcMar>
            <w:vAlign w:val="bottom"/>
          </w:tcPr>
          <w:p w14:paraId="124F1E90" w14:textId="4A6548E9" w:rsidR="5FD410A8" w:rsidRDefault="5FD410A8" w:rsidP="001B3723">
            <w:pPr>
              <w:spacing w:after="0" w:line="480" w:lineRule="auto"/>
              <w:jc w:val="center"/>
            </w:pPr>
            <w:r w:rsidRPr="5FD410A8">
              <w:rPr>
                <w:rFonts w:ascii="Aptos" w:eastAsia="Aptos" w:hAnsi="Aptos" w:cs="Aptos"/>
                <w:color w:val="000000" w:themeColor="text1"/>
              </w:rPr>
              <w:t>15.88 (12.53)</w:t>
            </w:r>
          </w:p>
        </w:tc>
        <w:tc>
          <w:tcPr>
            <w:tcW w:w="1834" w:type="dxa"/>
            <w:tcBorders>
              <w:top w:val="nil"/>
              <w:left w:val="nil"/>
              <w:bottom w:val="nil"/>
              <w:right w:val="nil"/>
            </w:tcBorders>
            <w:tcMar>
              <w:top w:w="15" w:type="dxa"/>
              <w:left w:w="15" w:type="dxa"/>
              <w:right w:w="15" w:type="dxa"/>
            </w:tcMar>
            <w:vAlign w:val="bottom"/>
          </w:tcPr>
          <w:p w14:paraId="0B868425" w14:textId="20B2CCF1" w:rsidR="5FD410A8" w:rsidRDefault="5FD410A8" w:rsidP="001B3723">
            <w:pPr>
              <w:spacing w:after="0" w:line="480" w:lineRule="auto"/>
              <w:jc w:val="center"/>
            </w:pPr>
            <w:r w:rsidRPr="5FD410A8">
              <w:rPr>
                <w:rFonts w:ascii="Aptos" w:eastAsia="Aptos" w:hAnsi="Aptos" w:cs="Aptos"/>
                <w:color w:val="000000" w:themeColor="text1"/>
              </w:rPr>
              <w:t>6.88 (9.19)</w:t>
            </w:r>
          </w:p>
        </w:tc>
        <w:tc>
          <w:tcPr>
            <w:tcW w:w="1828" w:type="dxa"/>
            <w:tcBorders>
              <w:top w:val="nil"/>
              <w:left w:val="nil"/>
              <w:bottom w:val="nil"/>
              <w:right w:val="nil"/>
            </w:tcBorders>
            <w:tcMar>
              <w:top w:w="15" w:type="dxa"/>
              <w:left w:w="15" w:type="dxa"/>
              <w:right w:w="15" w:type="dxa"/>
            </w:tcMar>
            <w:vAlign w:val="bottom"/>
          </w:tcPr>
          <w:p w14:paraId="4E66ABDD" w14:textId="4C8913E0" w:rsidR="5FD410A8" w:rsidRDefault="5FD410A8" w:rsidP="001B3723">
            <w:pPr>
              <w:spacing w:after="0" w:line="480" w:lineRule="auto"/>
              <w:jc w:val="center"/>
            </w:pPr>
            <w:r w:rsidRPr="5FD410A8">
              <w:rPr>
                <w:rFonts w:ascii="Aptos" w:eastAsia="Aptos" w:hAnsi="Aptos" w:cs="Aptos"/>
                <w:color w:val="000000" w:themeColor="text1"/>
              </w:rPr>
              <w:t>3.70 (5.67)</w:t>
            </w:r>
          </w:p>
        </w:tc>
      </w:tr>
      <w:tr w:rsidR="5FD410A8" w14:paraId="4BBB5F87" w14:textId="77777777" w:rsidTr="2A4FE2FE">
        <w:trPr>
          <w:trHeight w:val="300"/>
        </w:trPr>
        <w:tc>
          <w:tcPr>
            <w:tcW w:w="2832" w:type="dxa"/>
            <w:tcBorders>
              <w:top w:val="nil"/>
              <w:left w:val="nil"/>
              <w:bottom w:val="nil"/>
              <w:right w:val="nil"/>
            </w:tcBorders>
            <w:tcMar>
              <w:top w:w="15" w:type="dxa"/>
              <w:left w:w="15" w:type="dxa"/>
              <w:right w:w="15" w:type="dxa"/>
            </w:tcMar>
            <w:vAlign w:val="bottom"/>
          </w:tcPr>
          <w:p w14:paraId="6FFC662D" w14:textId="589FA63E" w:rsidR="5FD410A8" w:rsidRDefault="5FD410A8" w:rsidP="001B3723">
            <w:pPr>
              <w:spacing w:after="0" w:line="480" w:lineRule="auto"/>
            </w:pPr>
            <w:r w:rsidRPr="5FD410A8">
              <w:rPr>
                <w:rFonts w:ascii="Aptos" w:eastAsia="Aptos" w:hAnsi="Aptos" w:cs="Aptos"/>
                <w:color w:val="000000" w:themeColor="text1"/>
              </w:rPr>
              <w:t>Prodromal Symptoms</w:t>
            </w:r>
          </w:p>
        </w:tc>
        <w:tc>
          <w:tcPr>
            <w:tcW w:w="1846" w:type="dxa"/>
            <w:tcBorders>
              <w:top w:val="nil"/>
              <w:left w:val="nil"/>
              <w:bottom w:val="nil"/>
              <w:right w:val="nil"/>
            </w:tcBorders>
            <w:tcMar>
              <w:top w:w="15" w:type="dxa"/>
              <w:left w:w="15" w:type="dxa"/>
              <w:right w:w="15" w:type="dxa"/>
            </w:tcMar>
            <w:vAlign w:val="bottom"/>
          </w:tcPr>
          <w:p w14:paraId="2B5D4E5A" w14:textId="65788B65" w:rsidR="5FD410A8" w:rsidRDefault="5FD410A8" w:rsidP="001B3723">
            <w:pPr>
              <w:spacing w:after="0" w:line="480" w:lineRule="auto"/>
              <w:jc w:val="center"/>
            </w:pPr>
            <w:r w:rsidRPr="5FD410A8">
              <w:rPr>
                <w:rFonts w:ascii="Aptos" w:eastAsia="Aptos" w:hAnsi="Aptos" w:cs="Aptos"/>
                <w:color w:val="000000" w:themeColor="text1"/>
              </w:rPr>
              <w:t>10.12 (4.20)</w:t>
            </w:r>
          </w:p>
        </w:tc>
        <w:tc>
          <w:tcPr>
            <w:tcW w:w="1834" w:type="dxa"/>
            <w:tcBorders>
              <w:top w:val="nil"/>
              <w:left w:val="nil"/>
              <w:bottom w:val="nil"/>
              <w:right w:val="nil"/>
            </w:tcBorders>
            <w:tcMar>
              <w:top w:w="15" w:type="dxa"/>
              <w:left w:w="15" w:type="dxa"/>
              <w:right w:w="15" w:type="dxa"/>
            </w:tcMar>
            <w:vAlign w:val="bottom"/>
          </w:tcPr>
          <w:p w14:paraId="75026B81" w14:textId="4FB2075F" w:rsidR="5FD410A8" w:rsidRDefault="5FD410A8" w:rsidP="001B3723">
            <w:pPr>
              <w:spacing w:after="0" w:line="480" w:lineRule="auto"/>
              <w:jc w:val="center"/>
            </w:pPr>
            <w:r w:rsidRPr="5FD410A8">
              <w:rPr>
                <w:rFonts w:ascii="Aptos" w:eastAsia="Aptos" w:hAnsi="Aptos" w:cs="Aptos"/>
                <w:color w:val="000000" w:themeColor="text1"/>
              </w:rPr>
              <w:t>4.97 (3.06)</w:t>
            </w:r>
          </w:p>
        </w:tc>
        <w:tc>
          <w:tcPr>
            <w:tcW w:w="1828" w:type="dxa"/>
            <w:tcBorders>
              <w:top w:val="nil"/>
              <w:left w:val="nil"/>
              <w:bottom w:val="nil"/>
              <w:right w:val="nil"/>
            </w:tcBorders>
            <w:tcMar>
              <w:top w:w="15" w:type="dxa"/>
              <w:left w:w="15" w:type="dxa"/>
              <w:right w:w="15" w:type="dxa"/>
            </w:tcMar>
            <w:vAlign w:val="bottom"/>
          </w:tcPr>
          <w:p w14:paraId="43C63918" w14:textId="5DB9F86A" w:rsidR="5FD410A8" w:rsidRDefault="5FD410A8" w:rsidP="001B3723">
            <w:pPr>
              <w:spacing w:after="0" w:line="480" w:lineRule="auto"/>
              <w:jc w:val="center"/>
            </w:pPr>
            <w:r w:rsidRPr="5FD410A8">
              <w:rPr>
                <w:rFonts w:ascii="Aptos" w:eastAsia="Aptos" w:hAnsi="Aptos" w:cs="Aptos"/>
                <w:color w:val="000000" w:themeColor="text1"/>
              </w:rPr>
              <w:t>2.40 (2.23)</w:t>
            </w:r>
          </w:p>
        </w:tc>
      </w:tr>
      <w:tr w:rsidR="5FD410A8" w14:paraId="4C1F8651" w14:textId="77777777" w:rsidTr="2A4FE2FE">
        <w:trPr>
          <w:trHeight w:val="300"/>
        </w:trPr>
        <w:tc>
          <w:tcPr>
            <w:tcW w:w="2832" w:type="dxa"/>
            <w:tcBorders>
              <w:top w:val="nil"/>
              <w:left w:val="nil"/>
              <w:bottom w:val="double" w:sz="5" w:space="0" w:color="auto"/>
              <w:right w:val="nil"/>
            </w:tcBorders>
            <w:tcMar>
              <w:top w:w="15" w:type="dxa"/>
              <w:left w:w="15" w:type="dxa"/>
              <w:right w:w="15" w:type="dxa"/>
            </w:tcMar>
            <w:vAlign w:val="bottom"/>
          </w:tcPr>
          <w:p w14:paraId="2D2DD10F" w14:textId="4374DABE" w:rsidR="5FD410A8" w:rsidRDefault="5FD410A8" w:rsidP="001B3723">
            <w:pPr>
              <w:spacing w:after="0" w:line="480" w:lineRule="auto"/>
            </w:pPr>
            <w:r w:rsidRPr="5FD410A8">
              <w:rPr>
                <w:rFonts w:ascii="Aptos" w:eastAsia="Aptos" w:hAnsi="Aptos" w:cs="Aptos"/>
                <w:color w:val="000000" w:themeColor="text1"/>
              </w:rPr>
              <w:t xml:space="preserve"> </w:t>
            </w:r>
          </w:p>
        </w:tc>
        <w:tc>
          <w:tcPr>
            <w:tcW w:w="1846" w:type="dxa"/>
            <w:tcBorders>
              <w:top w:val="nil"/>
              <w:left w:val="nil"/>
              <w:bottom w:val="double" w:sz="5" w:space="0" w:color="auto"/>
              <w:right w:val="nil"/>
            </w:tcBorders>
            <w:tcMar>
              <w:top w:w="15" w:type="dxa"/>
              <w:left w:w="15" w:type="dxa"/>
              <w:right w:w="15" w:type="dxa"/>
            </w:tcMar>
            <w:vAlign w:val="bottom"/>
          </w:tcPr>
          <w:p w14:paraId="1B0CC358" w14:textId="6CF5929E" w:rsidR="5FD410A8" w:rsidRDefault="5FD410A8" w:rsidP="001B3723">
            <w:pPr>
              <w:spacing w:after="0" w:line="480" w:lineRule="auto"/>
              <w:jc w:val="center"/>
            </w:pPr>
            <w:r w:rsidRPr="5FD410A8">
              <w:rPr>
                <w:rFonts w:ascii="Aptos" w:eastAsia="Aptos" w:hAnsi="Aptos" w:cs="Aptos"/>
                <w:color w:val="000000" w:themeColor="text1"/>
              </w:rPr>
              <w:t xml:space="preserve"> </w:t>
            </w:r>
          </w:p>
        </w:tc>
        <w:tc>
          <w:tcPr>
            <w:tcW w:w="1834" w:type="dxa"/>
            <w:tcBorders>
              <w:top w:val="nil"/>
              <w:left w:val="nil"/>
              <w:bottom w:val="double" w:sz="5" w:space="0" w:color="auto"/>
              <w:right w:val="nil"/>
            </w:tcBorders>
            <w:tcMar>
              <w:top w:w="15" w:type="dxa"/>
              <w:left w:w="15" w:type="dxa"/>
              <w:right w:w="15" w:type="dxa"/>
            </w:tcMar>
            <w:vAlign w:val="bottom"/>
          </w:tcPr>
          <w:p w14:paraId="4BEE80EF" w14:textId="757E4592" w:rsidR="5FD410A8" w:rsidRDefault="5FD410A8" w:rsidP="001B3723">
            <w:pPr>
              <w:spacing w:after="0" w:line="480" w:lineRule="auto"/>
              <w:jc w:val="center"/>
            </w:pPr>
            <w:r w:rsidRPr="5FD410A8">
              <w:rPr>
                <w:rFonts w:ascii="Aptos" w:eastAsia="Aptos" w:hAnsi="Aptos" w:cs="Aptos"/>
                <w:color w:val="000000" w:themeColor="text1"/>
              </w:rPr>
              <w:t xml:space="preserve"> </w:t>
            </w:r>
          </w:p>
        </w:tc>
        <w:tc>
          <w:tcPr>
            <w:tcW w:w="1828" w:type="dxa"/>
            <w:tcBorders>
              <w:top w:val="nil"/>
              <w:left w:val="nil"/>
              <w:bottom w:val="double" w:sz="5" w:space="0" w:color="auto"/>
              <w:right w:val="nil"/>
            </w:tcBorders>
            <w:tcMar>
              <w:top w:w="15" w:type="dxa"/>
              <w:left w:w="15" w:type="dxa"/>
              <w:right w:w="15" w:type="dxa"/>
            </w:tcMar>
            <w:vAlign w:val="bottom"/>
          </w:tcPr>
          <w:p w14:paraId="0772E3C5" w14:textId="57AB853A" w:rsidR="5FD410A8" w:rsidRDefault="5FD410A8" w:rsidP="001B3723">
            <w:pPr>
              <w:spacing w:after="0" w:line="480" w:lineRule="auto"/>
              <w:jc w:val="center"/>
            </w:pPr>
            <w:r w:rsidRPr="5FD410A8">
              <w:rPr>
                <w:rFonts w:ascii="Aptos" w:eastAsia="Aptos" w:hAnsi="Aptos" w:cs="Aptos"/>
                <w:color w:val="000000" w:themeColor="text1"/>
              </w:rPr>
              <w:t xml:space="preserve"> </w:t>
            </w:r>
          </w:p>
        </w:tc>
      </w:tr>
      <w:tr w:rsidR="5FD410A8" w14:paraId="11F8C52D" w14:textId="77777777" w:rsidTr="2A4FE2FE">
        <w:trPr>
          <w:trHeight w:val="537"/>
        </w:trPr>
        <w:tc>
          <w:tcPr>
            <w:tcW w:w="8340" w:type="dxa"/>
            <w:gridSpan w:val="4"/>
            <w:vMerge w:val="restart"/>
            <w:tcBorders>
              <w:top w:val="double" w:sz="5" w:space="0" w:color="auto"/>
              <w:left w:val="nil"/>
              <w:bottom w:val="nil"/>
              <w:right w:val="nil"/>
            </w:tcBorders>
            <w:tcMar>
              <w:top w:w="15" w:type="dxa"/>
              <w:left w:w="15" w:type="dxa"/>
              <w:right w:w="15" w:type="dxa"/>
            </w:tcMar>
          </w:tcPr>
          <w:p w14:paraId="52D2907C" w14:textId="33F4C17D" w:rsidR="5FD410A8" w:rsidRDefault="35026144" w:rsidP="001B3723">
            <w:pPr>
              <w:spacing w:after="0" w:line="480" w:lineRule="auto"/>
              <w:rPr>
                <w:rFonts w:ascii="Aptos" w:eastAsia="Aptos" w:hAnsi="Aptos" w:cs="Aptos"/>
                <w:color w:val="000000" w:themeColor="text1"/>
              </w:rPr>
            </w:pPr>
            <w:r w:rsidRPr="2A4FE2FE">
              <w:rPr>
                <w:rFonts w:ascii="Aptos" w:eastAsia="Aptos" w:hAnsi="Aptos" w:cs="Aptos"/>
                <w:color w:val="000000" w:themeColor="text1"/>
              </w:rPr>
              <w:t>Note: constructs were measured using IU-12 (Intolerance of Uncertainty), RGPTS (Paranoia), PQ</w:t>
            </w:r>
            <w:r w:rsidR="1A7444B8" w:rsidRPr="2A4FE2FE">
              <w:rPr>
                <w:rFonts w:ascii="Aptos" w:eastAsia="Aptos" w:hAnsi="Aptos" w:cs="Aptos"/>
                <w:color w:val="000000" w:themeColor="text1"/>
              </w:rPr>
              <w:t xml:space="preserve">-16 </w:t>
            </w:r>
            <w:r w:rsidRPr="2A4FE2FE">
              <w:rPr>
                <w:rFonts w:ascii="Aptos" w:eastAsia="Aptos" w:hAnsi="Aptos" w:cs="Aptos"/>
                <w:color w:val="000000" w:themeColor="text1"/>
              </w:rPr>
              <w:t xml:space="preserve">(Prodromal Symptoms), </w:t>
            </w:r>
            <w:r w:rsidR="71F33FF1" w:rsidRPr="2A4FE2FE">
              <w:rPr>
                <w:rFonts w:ascii="Aptos" w:eastAsia="Aptos" w:hAnsi="Aptos" w:cs="Aptos"/>
                <w:color w:val="000000" w:themeColor="text1"/>
              </w:rPr>
              <w:t xml:space="preserve">BFI-10 </w:t>
            </w:r>
            <w:r w:rsidRPr="2A4FE2FE">
              <w:rPr>
                <w:rFonts w:ascii="Aptos" w:eastAsia="Aptos" w:hAnsi="Aptos" w:cs="Aptos"/>
                <w:color w:val="000000" w:themeColor="text1"/>
              </w:rPr>
              <w:t xml:space="preserve">(Neuroticism), </w:t>
            </w:r>
            <w:proofErr w:type="spellStart"/>
            <w:r w:rsidR="49C53637" w:rsidRPr="2A4FE2FE">
              <w:rPr>
                <w:rFonts w:ascii="Aptos" w:eastAsia="Aptos" w:hAnsi="Aptos" w:cs="Aptos"/>
                <w:color w:val="000000" w:themeColor="text1"/>
              </w:rPr>
              <w:t>CBQp</w:t>
            </w:r>
            <w:proofErr w:type="spellEnd"/>
            <w:r w:rsidRPr="2A4FE2FE">
              <w:rPr>
                <w:rFonts w:ascii="Aptos" w:eastAsia="Aptos" w:hAnsi="Aptos" w:cs="Aptos"/>
                <w:color w:val="000000" w:themeColor="text1"/>
              </w:rPr>
              <w:t xml:space="preserve"> (Jumping to Conclusions Bias).</w:t>
            </w:r>
          </w:p>
        </w:tc>
      </w:tr>
      <w:tr w:rsidR="5FD410A8" w14:paraId="7A5E274F" w14:textId="77777777" w:rsidTr="2A4FE2FE">
        <w:trPr>
          <w:trHeight w:val="795"/>
        </w:trPr>
        <w:tc>
          <w:tcPr>
            <w:tcW w:w="8340" w:type="dxa"/>
            <w:gridSpan w:val="4"/>
            <w:vMerge/>
            <w:vAlign w:val="center"/>
          </w:tcPr>
          <w:p w14:paraId="53C08B65" w14:textId="77777777" w:rsidR="0076256B" w:rsidRDefault="0076256B" w:rsidP="001B3723">
            <w:pPr>
              <w:spacing w:after="0" w:line="480" w:lineRule="auto"/>
            </w:pPr>
          </w:p>
        </w:tc>
      </w:tr>
    </w:tbl>
    <w:p w14:paraId="6DE347C5" w14:textId="0B92930F" w:rsidR="77A8D69F" w:rsidRDefault="77A8D69F" w:rsidP="001B3723">
      <w:pPr>
        <w:spacing w:after="0" w:line="480" w:lineRule="auto"/>
        <w:rPr>
          <w:rFonts w:ascii="Aptos" w:eastAsia="Aptos" w:hAnsi="Aptos" w:cs="Aptos"/>
          <w:b/>
          <w:bCs/>
        </w:rPr>
      </w:pPr>
    </w:p>
    <w:p w14:paraId="383FDE92" w14:textId="7603E171" w:rsidR="00D023E7" w:rsidRDefault="193E0FE8" w:rsidP="001B3723">
      <w:pPr>
        <w:spacing w:after="0" w:line="480" w:lineRule="auto"/>
        <w:rPr>
          <w:rFonts w:ascii="Aptos" w:eastAsia="Aptos" w:hAnsi="Aptos" w:cs="Aptos"/>
          <w:b/>
          <w:bCs/>
        </w:rPr>
      </w:pPr>
      <w:r w:rsidRPr="5FD410A8">
        <w:rPr>
          <w:rFonts w:ascii="Aptos" w:eastAsia="Aptos" w:hAnsi="Aptos" w:cs="Aptos"/>
          <w:b/>
          <w:bCs/>
        </w:rPr>
        <w:t>Correlations</w:t>
      </w:r>
    </w:p>
    <w:p w14:paraId="1A8E8A5B" w14:textId="2FCCD9BD" w:rsidR="248C61DB" w:rsidRDefault="248C61DB" w:rsidP="001B3723">
      <w:pPr>
        <w:spacing w:after="0" w:line="480" w:lineRule="auto"/>
        <w:rPr>
          <w:rFonts w:ascii="Aptos" w:eastAsia="Aptos" w:hAnsi="Aptos" w:cs="Aptos"/>
          <w:color w:val="000000" w:themeColor="text1"/>
        </w:rPr>
      </w:pPr>
      <w:r w:rsidRPr="2A4FE2FE">
        <w:rPr>
          <w:rFonts w:ascii="Aptos" w:eastAsia="Aptos" w:hAnsi="Aptos" w:cs="Aptos"/>
          <w:color w:val="000000" w:themeColor="text1"/>
        </w:rPr>
        <w:t xml:space="preserve">The correlational results show that greater IU is associated with greater paranoia and prodromal symptoms across </w:t>
      </w:r>
      <w:r w:rsidR="6AB4CD9C" w:rsidRPr="2A4FE2FE">
        <w:rPr>
          <w:rFonts w:ascii="Aptos" w:eastAsia="Aptos" w:hAnsi="Aptos" w:cs="Aptos"/>
          <w:color w:val="000000" w:themeColor="text1"/>
        </w:rPr>
        <w:t xml:space="preserve">the </w:t>
      </w:r>
      <w:r w:rsidRPr="2A4FE2FE">
        <w:rPr>
          <w:rFonts w:ascii="Aptos" w:eastAsia="Aptos" w:hAnsi="Aptos" w:cs="Aptos"/>
          <w:color w:val="000000" w:themeColor="text1"/>
        </w:rPr>
        <w:t xml:space="preserve">SSDs, anxiety disorders, and non-clinical </w:t>
      </w:r>
      <w:r w:rsidR="31473C01" w:rsidRPr="2A4FE2FE">
        <w:rPr>
          <w:rFonts w:ascii="Aptos" w:eastAsia="Aptos" w:hAnsi="Aptos" w:cs="Aptos"/>
          <w:color w:val="000000" w:themeColor="text1"/>
        </w:rPr>
        <w:t>groups</w:t>
      </w:r>
      <w:r w:rsidRPr="2A4FE2FE">
        <w:rPr>
          <w:rFonts w:ascii="Aptos" w:eastAsia="Aptos" w:hAnsi="Aptos" w:cs="Aptos"/>
          <w:color w:val="000000" w:themeColor="text1"/>
        </w:rPr>
        <w:t xml:space="preserve">, </w:t>
      </w:r>
      <w:r w:rsidR="2B649D3F" w:rsidRPr="2A4FE2FE">
        <w:rPr>
          <w:rFonts w:ascii="Aptos" w:eastAsia="Aptos" w:hAnsi="Aptos" w:cs="Aptos"/>
          <w:i/>
          <w:iCs/>
          <w:color w:val="000000" w:themeColor="text1"/>
        </w:rPr>
        <w:t>r</w:t>
      </w:r>
      <w:r w:rsidR="2B649D3F" w:rsidRPr="2A4FE2FE">
        <w:rPr>
          <w:rFonts w:ascii="Aptos" w:eastAsia="Aptos" w:hAnsi="Aptos" w:cs="Aptos"/>
          <w:color w:val="000000" w:themeColor="text1"/>
        </w:rPr>
        <w:t xml:space="preserve">’s .36-46, </w:t>
      </w:r>
      <w:proofErr w:type="spellStart"/>
      <w:r w:rsidRPr="2A4FE2FE">
        <w:rPr>
          <w:rFonts w:ascii="Aptos" w:eastAsia="Aptos" w:hAnsi="Aptos" w:cs="Aptos"/>
          <w:i/>
          <w:iCs/>
          <w:color w:val="000000" w:themeColor="text1"/>
        </w:rPr>
        <w:t>p</w:t>
      </w:r>
      <w:r w:rsidRPr="2A4FE2FE">
        <w:rPr>
          <w:rFonts w:ascii="Aptos" w:eastAsia="Aptos" w:hAnsi="Aptos" w:cs="Aptos"/>
          <w:color w:val="000000" w:themeColor="text1"/>
        </w:rPr>
        <w:t>s</w:t>
      </w:r>
      <w:proofErr w:type="spellEnd"/>
      <w:r w:rsidRPr="2A4FE2FE">
        <w:rPr>
          <w:rFonts w:ascii="Aptos" w:eastAsia="Aptos" w:hAnsi="Aptos" w:cs="Aptos"/>
          <w:color w:val="000000" w:themeColor="text1"/>
        </w:rPr>
        <w:t xml:space="preserve"> &lt; .001 (see Table 3</w:t>
      </w:r>
      <w:r w:rsidR="0AC7ACF1" w:rsidRPr="2A4FE2FE">
        <w:rPr>
          <w:rFonts w:ascii="Aptos" w:eastAsia="Aptos" w:hAnsi="Aptos" w:cs="Aptos"/>
          <w:color w:val="000000" w:themeColor="text1"/>
        </w:rPr>
        <w:t xml:space="preserve">, </w:t>
      </w:r>
      <w:r w:rsidR="5954927C" w:rsidRPr="2A4FE2FE">
        <w:rPr>
          <w:rFonts w:ascii="Aptos" w:eastAsia="Aptos" w:hAnsi="Aptos" w:cs="Aptos"/>
          <w:color w:val="000000" w:themeColor="text1"/>
        </w:rPr>
        <w:t>Figure 1</w:t>
      </w:r>
      <w:r w:rsidR="112F0ACE" w:rsidRPr="2A4FE2FE">
        <w:rPr>
          <w:rFonts w:ascii="Aptos" w:eastAsia="Aptos" w:hAnsi="Aptos" w:cs="Aptos"/>
          <w:color w:val="000000" w:themeColor="text1"/>
        </w:rPr>
        <w:t xml:space="preserve"> and Figure 2</w:t>
      </w:r>
      <w:r w:rsidRPr="2A4FE2FE">
        <w:rPr>
          <w:rFonts w:ascii="Aptos" w:eastAsia="Aptos" w:hAnsi="Aptos" w:cs="Aptos"/>
          <w:color w:val="000000" w:themeColor="text1"/>
        </w:rPr>
        <w:t>).</w:t>
      </w:r>
    </w:p>
    <w:p w14:paraId="60DE8DBB" w14:textId="70D5F8BA" w:rsidR="248C61DB" w:rsidRDefault="3DA3518F" w:rsidP="001B3723">
      <w:pPr>
        <w:spacing w:after="0" w:line="480" w:lineRule="auto"/>
        <w:ind w:firstLine="720"/>
        <w:rPr>
          <w:rFonts w:ascii="Aptos" w:eastAsia="Aptos" w:hAnsi="Aptos" w:cs="Aptos"/>
          <w:color w:val="000000" w:themeColor="text1"/>
        </w:rPr>
      </w:pPr>
      <w:r w:rsidRPr="2A4FE2FE">
        <w:rPr>
          <w:rFonts w:ascii="Aptos" w:eastAsia="Aptos" w:hAnsi="Aptos" w:cs="Aptos"/>
          <w:color w:val="000000" w:themeColor="text1"/>
        </w:rPr>
        <w:t xml:space="preserve">Similar relationships between neuroticism / jumping to conclusions bias with paranoia and prodromal symptoms were observed across SSDs, anxiety disorders, and non-clinical groups, </w:t>
      </w:r>
      <w:r w:rsidRPr="2A4FE2FE">
        <w:rPr>
          <w:rFonts w:ascii="Aptos" w:eastAsia="Aptos" w:hAnsi="Aptos" w:cs="Aptos"/>
          <w:i/>
          <w:iCs/>
          <w:color w:val="000000" w:themeColor="text1"/>
        </w:rPr>
        <w:t>r</w:t>
      </w:r>
      <w:r w:rsidRPr="2A4FE2FE">
        <w:rPr>
          <w:rFonts w:ascii="Aptos" w:eastAsia="Aptos" w:hAnsi="Aptos" w:cs="Aptos"/>
          <w:color w:val="000000" w:themeColor="text1"/>
        </w:rPr>
        <w:t>’s .</w:t>
      </w:r>
      <w:r w:rsidR="55AA6059" w:rsidRPr="2A4FE2FE">
        <w:rPr>
          <w:rFonts w:ascii="Aptos" w:eastAsia="Aptos" w:hAnsi="Aptos" w:cs="Aptos"/>
          <w:color w:val="000000" w:themeColor="text1"/>
        </w:rPr>
        <w:t>23</w:t>
      </w:r>
      <w:r w:rsidRPr="2A4FE2FE">
        <w:rPr>
          <w:rFonts w:ascii="Aptos" w:eastAsia="Aptos" w:hAnsi="Aptos" w:cs="Aptos"/>
          <w:color w:val="000000" w:themeColor="text1"/>
        </w:rPr>
        <w:t>-</w:t>
      </w:r>
      <w:r w:rsidR="54BA3314" w:rsidRPr="2A4FE2FE">
        <w:rPr>
          <w:rFonts w:ascii="Aptos" w:eastAsia="Aptos" w:hAnsi="Aptos" w:cs="Aptos"/>
          <w:color w:val="000000" w:themeColor="text1"/>
        </w:rPr>
        <w:t>52</w:t>
      </w:r>
      <w:r w:rsidRPr="2A4FE2FE">
        <w:rPr>
          <w:rFonts w:ascii="Aptos" w:eastAsia="Aptos" w:hAnsi="Aptos" w:cs="Aptos"/>
          <w:color w:val="000000" w:themeColor="text1"/>
        </w:rPr>
        <w:t xml:space="preserve">, </w:t>
      </w:r>
      <w:proofErr w:type="spellStart"/>
      <w:r w:rsidRPr="2A4FE2FE">
        <w:rPr>
          <w:rFonts w:ascii="Aptos" w:eastAsia="Aptos" w:hAnsi="Aptos" w:cs="Aptos"/>
          <w:i/>
          <w:iCs/>
          <w:color w:val="000000" w:themeColor="text1"/>
        </w:rPr>
        <w:t>p</w:t>
      </w:r>
      <w:r w:rsidRPr="2A4FE2FE">
        <w:rPr>
          <w:rFonts w:ascii="Aptos" w:eastAsia="Aptos" w:hAnsi="Aptos" w:cs="Aptos"/>
          <w:color w:val="000000" w:themeColor="text1"/>
        </w:rPr>
        <w:t>s</w:t>
      </w:r>
      <w:proofErr w:type="spellEnd"/>
      <w:r w:rsidRPr="2A4FE2FE">
        <w:rPr>
          <w:rFonts w:ascii="Aptos" w:eastAsia="Aptos" w:hAnsi="Aptos" w:cs="Aptos"/>
          <w:color w:val="000000" w:themeColor="text1"/>
        </w:rPr>
        <w:t xml:space="preserve"> &lt; .0</w:t>
      </w:r>
      <w:r w:rsidR="3AC357CF" w:rsidRPr="2A4FE2FE">
        <w:rPr>
          <w:rFonts w:ascii="Aptos" w:eastAsia="Aptos" w:hAnsi="Aptos" w:cs="Aptos"/>
          <w:color w:val="000000" w:themeColor="text1"/>
        </w:rPr>
        <w:t>5</w:t>
      </w:r>
      <w:r w:rsidRPr="2A4FE2FE">
        <w:rPr>
          <w:rFonts w:ascii="Aptos" w:eastAsia="Aptos" w:hAnsi="Aptos" w:cs="Aptos"/>
          <w:color w:val="000000" w:themeColor="text1"/>
        </w:rPr>
        <w:t xml:space="preserve"> (see Table 3</w:t>
      </w:r>
      <w:r w:rsidR="651E6693" w:rsidRPr="2A4FE2FE">
        <w:rPr>
          <w:rFonts w:ascii="Aptos" w:eastAsia="Aptos" w:hAnsi="Aptos" w:cs="Aptos"/>
          <w:color w:val="000000" w:themeColor="text1"/>
        </w:rPr>
        <w:t>).</w:t>
      </w:r>
      <w:r w:rsidRPr="2A4FE2FE">
        <w:rPr>
          <w:rFonts w:ascii="Aptos" w:eastAsia="Aptos" w:hAnsi="Aptos" w:cs="Aptos"/>
          <w:color w:val="000000" w:themeColor="text1"/>
        </w:rPr>
        <w:t xml:space="preserve"> </w:t>
      </w:r>
    </w:p>
    <w:p w14:paraId="5DD4F89A" w14:textId="251C44A0" w:rsidR="28D42152" w:rsidRDefault="102D1CDC" w:rsidP="001B3723">
      <w:pPr>
        <w:spacing w:after="0" w:line="480" w:lineRule="auto"/>
        <w:ind w:firstLine="720"/>
        <w:rPr>
          <w:rFonts w:ascii="Aptos" w:eastAsia="Aptos" w:hAnsi="Aptos" w:cs="Aptos"/>
          <w:color w:val="000000" w:themeColor="text1"/>
        </w:rPr>
      </w:pPr>
      <w:r w:rsidRPr="2A4FE2FE">
        <w:rPr>
          <w:rFonts w:ascii="Aptos" w:eastAsia="Aptos" w:hAnsi="Aptos" w:cs="Aptos"/>
          <w:color w:val="000000" w:themeColor="text1"/>
        </w:rPr>
        <w:t>IU, neuroticism and jumping to conclusions bias were all significantly positively correlated</w:t>
      </w:r>
      <w:r w:rsidR="785052F5" w:rsidRPr="2A4FE2FE">
        <w:rPr>
          <w:rFonts w:ascii="Aptos" w:eastAsia="Aptos" w:hAnsi="Aptos" w:cs="Aptos"/>
          <w:color w:val="000000" w:themeColor="text1"/>
        </w:rPr>
        <w:t xml:space="preserve">, </w:t>
      </w:r>
      <w:r w:rsidR="785052F5" w:rsidRPr="2A4FE2FE">
        <w:rPr>
          <w:rFonts w:ascii="Aptos" w:eastAsia="Aptos" w:hAnsi="Aptos" w:cs="Aptos"/>
          <w:i/>
          <w:iCs/>
          <w:color w:val="000000" w:themeColor="text1"/>
        </w:rPr>
        <w:t>r</w:t>
      </w:r>
      <w:r w:rsidR="785052F5" w:rsidRPr="2A4FE2FE">
        <w:rPr>
          <w:rFonts w:ascii="Aptos" w:eastAsia="Aptos" w:hAnsi="Aptos" w:cs="Aptos"/>
          <w:color w:val="000000" w:themeColor="text1"/>
        </w:rPr>
        <w:t xml:space="preserve">’s .24-68, </w:t>
      </w:r>
      <w:proofErr w:type="spellStart"/>
      <w:r w:rsidR="785052F5" w:rsidRPr="2A4FE2FE">
        <w:rPr>
          <w:rFonts w:ascii="Aptos" w:eastAsia="Aptos" w:hAnsi="Aptos" w:cs="Aptos"/>
          <w:i/>
          <w:iCs/>
          <w:color w:val="000000" w:themeColor="text1"/>
        </w:rPr>
        <w:t>p</w:t>
      </w:r>
      <w:r w:rsidR="785052F5" w:rsidRPr="2A4FE2FE">
        <w:rPr>
          <w:rFonts w:ascii="Aptos" w:eastAsia="Aptos" w:hAnsi="Aptos" w:cs="Aptos"/>
          <w:color w:val="000000" w:themeColor="text1"/>
        </w:rPr>
        <w:t>s</w:t>
      </w:r>
      <w:proofErr w:type="spellEnd"/>
      <w:r w:rsidR="785052F5" w:rsidRPr="2A4FE2FE">
        <w:rPr>
          <w:rFonts w:ascii="Aptos" w:eastAsia="Aptos" w:hAnsi="Aptos" w:cs="Aptos"/>
          <w:color w:val="000000" w:themeColor="text1"/>
        </w:rPr>
        <w:t xml:space="preserve"> &lt; .05 (see Table 3)</w:t>
      </w:r>
      <w:r w:rsidRPr="2A4FE2FE">
        <w:rPr>
          <w:rFonts w:ascii="Aptos" w:eastAsia="Aptos" w:hAnsi="Aptos" w:cs="Aptos"/>
          <w:color w:val="000000" w:themeColor="text1"/>
        </w:rPr>
        <w:t xml:space="preserve">. </w:t>
      </w:r>
    </w:p>
    <w:p w14:paraId="28CBE8A0" w14:textId="77777777" w:rsidR="0052223D" w:rsidRPr="0052223D" w:rsidRDefault="0052223D" w:rsidP="001B3723">
      <w:pPr>
        <w:spacing w:after="0" w:line="480" w:lineRule="auto"/>
        <w:ind w:firstLine="720"/>
        <w:rPr>
          <w:rFonts w:ascii="Aptos" w:eastAsia="Aptos" w:hAnsi="Aptos" w:cs="Aptos"/>
          <w:color w:val="000000" w:themeColor="text1"/>
        </w:rPr>
      </w:pPr>
    </w:p>
    <w:tbl>
      <w:tblPr>
        <w:tblW w:w="0" w:type="auto"/>
        <w:tblLayout w:type="fixed"/>
        <w:tblLook w:val="06A0" w:firstRow="1" w:lastRow="0" w:firstColumn="1" w:lastColumn="0" w:noHBand="1" w:noVBand="1"/>
      </w:tblPr>
      <w:tblGrid>
        <w:gridCol w:w="1599"/>
        <w:gridCol w:w="507"/>
        <w:gridCol w:w="496"/>
        <w:gridCol w:w="496"/>
        <w:gridCol w:w="505"/>
        <w:gridCol w:w="470"/>
        <w:gridCol w:w="505"/>
        <w:gridCol w:w="496"/>
        <w:gridCol w:w="500"/>
        <w:gridCol w:w="505"/>
        <w:gridCol w:w="470"/>
        <w:gridCol w:w="505"/>
        <w:gridCol w:w="496"/>
        <w:gridCol w:w="488"/>
        <w:gridCol w:w="505"/>
        <w:gridCol w:w="472"/>
      </w:tblGrid>
      <w:tr w:rsidR="5FD410A8" w14:paraId="2AE605BE" w14:textId="77777777" w:rsidTr="2A4FE2FE">
        <w:trPr>
          <w:trHeight w:val="300"/>
        </w:trPr>
        <w:tc>
          <w:tcPr>
            <w:tcW w:w="1599" w:type="dxa"/>
            <w:tcBorders>
              <w:top w:val="nil"/>
              <w:left w:val="nil"/>
              <w:bottom w:val="nil"/>
              <w:right w:val="nil"/>
            </w:tcBorders>
            <w:tcMar>
              <w:top w:w="15" w:type="dxa"/>
              <w:left w:w="15" w:type="dxa"/>
              <w:right w:w="15" w:type="dxa"/>
            </w:tcMar>
            <w:vAlign w:val="bottom"/>
          </w:tcPr>
          <w:p w14:paraId="7A8EDED0" w14:textId="77777777" w:rsidR="00C94D8F" w:rsidRDefault="00C94D8F" w:rsidP="001B3723">
            <w:pPr>
              <w:spacing w:after="0" w:line="480" w:lineRule="auto"/>
              <w:rPr>
                <w:rFonts w:ascii="Aptos" w:eastAsia="Aptos" w:hAnsi="Aptos" w:cs="Aptos"/>
                <w:b/>
                <w:bCs/>
              </w:rPr>
            </w:pPr>
          </w:p>
          <w:p w14:paraId="29AB40DB" w14:textId="6972209F" w:rsidR="5FD410A8" w:rsidRDefault="5FD410A8" w:rsidP="001B3723">
            <w:pPr>
              <w:spacing w:after="0" w:line="480" w:lineRule="auto"/>
            </w:pPr>
            <w:r w:rsidRPr="5FD410A8">
              <w:rPr>
                <w:rFonts w:ascii="Aptos" w:eastAsia="Aptos" w:hAnsi="Aptos" w:cs="Aptos"/>
                <w:b/>
                <w:bCs/>
              </w:rPr>
              <w:t>Table 3.</w:t>
            </w:r>
          </w:p>
        </w:tc>
        <w:tc>
          <w:tcPr>
            <w:tcW w:w="507" w:type="dxa"/>
            <w:tcBorders>
              <w:top w:val="nil"/>
              <w:left w:val="nil"/>
              <w:bottom w:val="nil"/>
              <w:right w:val="nil"/>
            </w:tcBorders>
            <w:tcMar>
              <w:top w:w="15" w:type="dxa"/>
              <w:left w:w="15" w:type="dxa"/>
              <w:right w:w="15" w:type="dxa"/>
            </w:tcMar>
            <w:vAlign w:val="bottom"/>
          </w:tcPr>
          <w:p w14:paraId="1334B3E6" w14:textId="40988E5C" w:rsidR="5FD410A8" w:rsidRDefault="5FD410A8" w:rsidP="001B3723">
            <w:pPr>
              <w:spacing w:after="0" w:line="480" w:lineRule="auto"/>
            </w:pPr>
          </w:p>
        </w:tc>
        <w:tc>
          <w:tcPr>
            <w:tcW w:w="496" w:type="dxa"/>
            <w:tcBorders>
              <w:top w:val="nil"/>
              <w:left w:val="nil"/>
              <w:bottom w:val="nil"/>
              <w:right w:val="nil"/>
            </w:tcBorders>
            <w:tcMar>
              <w:top w:w="15" w:type="dxa"/>
              <w:left w:w="15" w:type="dxa"/>
              <w:right w:w="15" w:type="dxa"/>
            </w:tcMar>
            <w:vAlign w:val="bottom"/>
          </w:tcPr>
          <w:p w14:paraId="621083C5" w14:textId="199D3278" w:rsidR="5FD410A8" w:rsidRDefault="5FD410A8" w:rsidP="001B3723">
            <w:pPr>
              <w:spacing w:after="0" w:line="480" w:lineRule="auto"/>
            </w:pPr>
          </w:p>
        </w:tc>
        <w:tc>
          <w:tcPr>
            <w:tcW w:w="496" w:type="dxa"/>
            <w:tcBorders>
              <w:top w:val="nil"/>
              <w:left w:val="nil"/>
              <w:bottom w:val="nil"/>
              <w:right w:val="nil"/>
            </w:tcBorders>
            <w:tcMar>
              <w:top w:w="15" w:type="dxa"/>
              <w:left w:w="15" w:type="dxa"/>
              <w:right w:w="15" w:type="dxa"/>
            </w:tcMar>
            <w:vAlign w:val="bottom"/>
          </w:tcPr>
          <w:p w14:paraId="3ACD9541" w14:textId="0EB1106F" w:rsidR="5FD410A8" w:rsidRDefault="5FD410A8" w:rsidP="001B3723">
            <w:pPr>
              <w:spacing w:after="0" w:line="480" w:lineRule="auto"/>
            </w:pPr>
          </w:p>
        </w:tc>
        <w:tc>
          <w:tcPr>
            <w:tcW w:w="505" w:type="dxa"/>
            <w:tcBorders>
              <w:top w:val="nil"/>
              <w:left w:val="nil"/>
              <w:bottom w:val="nil"/>
              <w:right w:val="nil"/>
            </w:tcBorders>
            <w:tcMar>
              <w:top w:w="15" w:type="dxa"/>
              <w:left w:w="15" w:type="dxa"/>
              <w:right w:w="15" w:type="dxa"/>
            </w:tcMar>
            <w:vAlign w:val="bottom"/>
          </w:tcPr>
          <w:p w14:paraId="1690F418" w14:textId="13F2CF2D" w:rsidR="5FD410A8" w:rsidRDefault="5FD410A8" w:rsidP="001B3723">
            <w:pPr>
              <w:spacing w:after="0" w:line="480" w:lineRule="auto"/>
            </w:pPr>
          </w:p>
        </w:tc>
        <w:tc>
          <w:tcPr>
            <w:tcW w:w="470" w:type="dxa"/>
            <w:tcBorders>
              <w:top w:val="nil"/>
              <w:left w:val="nil"/>
              <w:bottom w:val="nil"/>
              <w:right w:val="nil"/>
            </w:tcBorders>
            <w:tcMar>
              <w:top w:w="15" w:type="dxa"/>
              <w:left w:w="15" w:type="dxa"/>
              <w:right w:w="15" w:type="dxa"/>
            </w:tcMar>
            <w:vAlign w:val="bottom"/>
          </w:tcPr>
          <w:p w14:paraId="5933B97E" w14:textId="3BF94B2E" w:rsidR="5FD410A8" w:rsidRDefault="5FD410A8" w:rsidP="001B3723">
            <w:pPr>
              <w:spacing w:after="0" w:line="480" w:lineRule="auto"/>
            </w:pPr>
          </w:p>
        </w:tc>
        <w:tc>
          <w:tcPr>
            <w:tcW w:w="505" w:type="dxa"/>
            <w:tcBorders>
              <w:top w:val="nil"/>
              <w:left w:val="nil"/>
              <w:bottom w:val="nil"/>
              <w:right w:val="nil"/>
            </w:tcBorders>
            <w:tcMar>
              <w:top w:w="15" w:type="dxa"/>
              <w:left w:w="15" w:type="dxa"/>
              <w:right w:w="15" w:type="dxa"/>
            </w:tcMar>
            <w:vAlign w:val="bottom"/>
          </w:tcPr>
          <w:p w14:paraId="70DA9987" w14:textId="35D5669B" w:rsidR="5FD410A8" w:rsidRDefault="5FD410A8" w:rsidP="001B3723">
            <w:pPr>
              <w:spacing w:after="0" w:line="480" w:lineRule="auto"/>
            </w:pPr>
          </w:p>
        </w:tc>
        <w:tc>
          <w:tcPr>
            <w:tcW w:w="496" w:type="dxa"/>
            <w:tcBorders>
              <w:top w:val="nil"/>
              <w:left w:val="nil"/>
              <w:bottom w:val="nil"/>
              <w:right w:val="nil"/>
            </w:tcBorders>
            <w:tcMar>
              <w:top w:w="15" w:type="dxa"/>
              <w:left w:w="15" w:type="dxa"/>
              <w:right w:w="15" w:type="dxa"/>
            </w:tcMar>
            <w:vAlign w:val="bottom"/>
          </w:tcPr>
          <w:p w14:paraId="5A95D19B" w14:textId="2DA5D5AC" w:rsidR="5FD410A8" w:rsidRDefault="5FD410A8" w:rsidP="001B3723">
            <w:pPr>
              <w:spacing w:after="0" w:line="480" w:lineRule="auto"/>
            </w:pPr>
          </w:p>
        </w:tc>
        <w:tc>
          <w:tcPr>
            <w:tcW w:w="500" w:type="dxa"/>
            <w:tcBorders>
              <w:top w:val="nil"/>
              <w:left w:val="nil"/>
              <w:bottom w:val="nil"/>
              <w:right w:val="nil"/>
            </w:tcBorders>
            <w:tcMar>
              <w:top w:w="15" w:type="dxa"/>
              <w:left w:w="15" w:type="dxa"/>
              <w:right w:w="15" w:type="dxa"/>
            </w:tcMar>
            <w:vAlign w:val="bottom"/>
          </w:tcPr>
          <w:p w14:paraId="4B977C60" w14:textId="06F25D09" w:rsidR="5FD410A8" w:rsidRDefault="5FD410A8" w:rsidP="001B3723">
            <w:pPr>
              <w:spacing w:after="0" w:line="480" w:lineRule="auto"/>
            </w:pPr>
          </w:p>
        </w:tc>
        <w:tc>
          <w:tcPr>
            <w:tcW w:w="505" w:type="dxa"/>
            <w:tcBorders>
              <w:top w:val="nil"/>
              <w:left w:val="nil"/>
              <w:bottom w:val="nil"/>
              <w:right w:val="nil"/>
            </w:tcBorders>
            <w:tcMar>
              <w:top w:w="15" w:type="dxa"/>
              <w:left w:w="15" w:type="dxa"/>
              <w:right w:w="15" w:type="dxa"/>
            </w:tcMar>
            <w:vAlign w:val="bottom"/>
          </w:tcPr>
          <w:p w14:paraId="214EE24F" w14:textId="5A4854F7" w:rsidR="5FD410A8" w:rsidRDefault="5FD410A8" w:rsidP="001B3723">
            <w:pPr>
              <w:spacing w:after="0" w:line="480" w:lineRule="auto"/>
            </w:pPr>
          </w:p>
        </w:tc>
        <w:tc>
          <w:tcPr>
            <w:tcW w:w="470" w:type="dxa"/>
            <w:tcBorders>
              <w:top w:val="nil"/>
              <w:left w:val="nil"/>
              <w:bottom w:val="nil"/>
              <w:right w:val="nil"/>
            </w:tcBorders>
            <w:tcMar>
              <w:top w:w="15" w:type="dxa"/>
              <w:left w:w="15" w:type="dxa"/>
              <w:right w:w="15" w:type="dxa"/>
            </w:tcMar>
            <w:vAlign w:val="bottom"/>
          </w:tcPr>
          <w:p w14:paraId="1B8CBAC7" w14:textId="30B09C13" w:rsidR="5FD410A8" w:rsidRDefault="5FD410A8" w:rsidP="001B3723">
            <w:pPr>
              <w:spacing w:after="0" w:line="480" w:lineRule="auto"/>
            </w:pPr>
          </w:p>
        </w:tc>
        <w:tc>
          <w:tcPr>
            <w:tcW w:w="505" w:type="dxa"/>
            <w:tcBorders>
              <w:top w:val="nil"/>
              <w:left w:val="nil"/>
              <w:bottom w:val="nil"/>
              <w:right w:val="nil"/>
            </w:tcBorders>
            <w:tcMar>
              <w:top w:w="15" w:type="dxa"/>
              <w:left w:w="15" w:type="dxa"/>
              <w:right w:w="15" w:type="dxa"/>
            </w:tcMar>
            <w:vAlign w:val="bottom"/>
          </w:tcPr>
          <w:p w14:paraId="4728C784" w14:textId="6EABEB38" w:rsidR="5FD410A8" w:rsidRDefault="5FD410A8" w:rsidP="001B3723">
            <w:pPr>
              <w:spacing w:after="0" w:line="480" w:lineRule="auto"/>
            </w:pPr>
          </w:p>
        </w:tc>
        <w:tc>
          <w:tcPr>
            <w:tcW w:w="496" w:type="dxa"/>
            <w:tcBorders>
              <w:top w:val="nil"/>
              <w:left w:val="nil"/>
              <w:bottom w:val="nil"/>
              <w:right w:val="nil"/>
            </w:tcBorders>
            <w:tcMar>
              <w:top w:w="15" w:type="dxa"/>
              <w:left w:w="15" w:type="dxa"/>
              <w:right w:w="15" w:type="dxa"/>
            </w:tcMar>
            <w:vAlign w:val="bottom"/>
          </w:tcPr>
          <w:p w14:paraId="37AFC79B" w14:textId="3F26DE39" w:rsidR="5FD410A8" w:rsidRDefault="5FD410A8" w:rsidP="001B3723">
            <w:pPr>
              <w:spacing w:after="0" w:line="480" w:lineRule="auto"/>
            </w:pPr>
          </w:p>
        </w:tc>
        <w:tc>
          <w:tcPr>
            <w:tcW w:w="488" w:type="dxa"/>
            <w:tcBorders>
              <w:top w:val="nil"/>
              <w:left w:val="nil"/>
              <w:bottom w:val="nil"/>
              <w:right w:val="nil"/>
            </w:tcBorders>
            <w:tcMar>
              <w:top w:w="15" w:type="dxa"/>
              <w:left w:w="15" w:type="dxa"/>
              <w:right w:w="15" w:type="dxa"/>
            </w:tcMar>
            <w:vAlign w:val="bottom"/>
          </w:tcPr>
          <w:p w14:paraId="793A412E" w14:textId="425600D4" w:rsidR="5FD410A8" w:rsidRDefault="5FD410A8" w:rsidP="001B3723">
            <w:pPr>
              <w:spacing w:after="0" w:line="480" w:lineRule="auto"/>
            </w:pPr>
          </w:p>
        </w:tc>
        <w:tc>
          <w:tcPr>
            <w:tcW w:w="505" w:type="dxa"/>
            <w:tcBorders>
              <w:top w:val="nil"/>
              <w:left w:val="nil"/>
              <w:bottom w:val="nil"/>
              <w:right w:val="nil"/>
            </w:tcBorders>
            <w:tcMar>
              <w:top w:w="15" w:type="dxa"/>
              <w:left w:w="15" w:type="dxa"/>
              <w:right w:w="15" w:type="dxa"/>
            </w:tcMar>
            <w:vAlign w:val="bottom"/>
          </w:tcPr>
          <w:p w14:paraId="4D29DFD1" w14:textId="01837157" w:rsidR="5FD410A8" w:rsidRDefault="5FD410A8" w:rsidP="001B3723">
            <w:pPr>
              <w:spacing w:after="0" w:line="480" w:lineRule="auto"/>
            </w:pPr>
          </w:p>
        </w:tc>
        <w:tc>
          <w:tcPr>
            <w:tcW w:w="472" w:type="dxa"/>
            <w:tcBorders>
              <w:top w:val="nil"/>
              <w:left w:val="nil"/>
              <w:bottom w:val="nil"/>
              <w:right w:val="nil"/>
            </w:tcBorders>
            <w:tcMar>
              <w:top w:w="15" w:type="dxa"/>
              <w:left w:w="15" w:type="dxa"/>
              <w:right w:w="15" w:type="dxa"/>
            </w:tcMar>
            <w:vAlign w:val="bottom"/>
          </w:tcPr>
          <w:p w14:paraId="28D26AA8" w14:textId="4A065C30" w:rsidR="5FD410A8" w:rsidRDefault="5FD410A8" w:rsidP="001B3723">
            <w:pPr>
              <w:spacing w:after="0" w:line="480" w:lineRule="auto"/>
            </w:pPr>
          </w:p>
        </w:tc>
      </w:tr>
      <w:tr w:rsidR="5FD410A8" w14:paraId="504F778D" w14:textId="77777777" w:rsidTr="2A4FE2FE">
        <w:trPr>
          <w:trHeight w:val="360"/>
        </w:trPr>
        <w:tc>
          <w:tcPr>
            <w:tcW w:w="9015" w:type="dxa"/>
            <w:gridSpan w:val="16"/>
            <w:tcBorders>
              <w:top w:val="nil"/>
              <w:left w:val="nil"/>
              <w:bottom w:val="double" w:sz="5" w:space="0" w:color="auto"/>
              <w:right w:val="nil"/>
            </w:tcBorders>
            <w:tcMar>
              <w:top w:w="15" w:type="dxa"/>
              <w:left w:w="15" w:type="dxa"/>
              <w:right w:w="15" w:type="dxa"/>
            </w:tcMar>
            <w:vAlign w:val="bottom"/>
          </w:tcPr>
          <w:p w14:paraId="42DCA181" w14:textId="32736EAA" w:rsidR="5FD410A8" w:rsidRDefault="5FD410A8" w:rsidP="001B3723">
            <w:pPr>
              <w:spacing w:after="0" w:line="480" w:lineRule="auto"/>
            </w:pPr>
            <w:r w:rsidRPr="5FD410A8">
              <w:rPr>
                <w:rFonts w:ascii="Aptos" w:eastAsia="Aptos" w:hAnsi="Aptos" w:cs="Aptos"/>
                <w:color w:val="000000" w:themeColor="text1"/>
              </w:rPr>
              <w:t>Summary of correlations per group</w:t>
            </w:r>
          </w:p>
        </w:tc>
      </w:tr>
      <w:tr w:rsidR="5FD410A8" w14:paraId="1B8638C3" w14:textId="77777777" w:rsidTr="2A4FE2FE">
        <w:trPr>
          <w:trHeight w:val="945"/>
        </w:trPr>
        <w:tc>
          <w:tcPr>
            <w:tcW w:w="1599" w:type="dxa"/>
            <w:tcBorders>
              <w:top w:val="double" w:sz="5" w:space="0" w:color="auto"/>
              <w:left w:val="nil"/>
              <w:bottom w:val="single" w:sz="4" w:space="0" w:color="auto"/>
              <w:right w:val="nil"/>
            </w:tcBorders>
            <w:tcMar>
              <w:top w:w="15" w:type="dxa"/>
              <w:left w:w="15" w:type="dxa"/>
              <w:right w:w="15" w:type="dxa"/>
            </w:tcMar>
            <w:vAlign w:val="bottom"/>
          </w:tcPr>
          <w:p w14:paraId="2AB89955" w14:textId="31C01E84" w:rsidR="5FD410A8" w:rsidRDefault="5FD410A8" w:rsidP="001B3723">
            <w:pPr>
              <w:spacing w:after="0" w:line="480" w:lineRule="auto"/>
            </w:pPr>
            <w:r w:rsidRPr="5FD410A8">
              <w:rPr>
                <w:rFonts w:ascii="Aptos" w:eastAsia="Aptos" w:hAnsi="Aptos" w:cs="Aptos"/>
              </w:rPr>
              <w:t xml:space="preserve"> </w:t>
            </w:r>
          </w:p>
        </w:tc>
        <w:tc>
          <w:tcPr>
            <w:tcW w:w="2474" w:type="dxa"/>
            <w:gridSpan w:val="5"/>
            <w:tcBorders>
              <w:top w:val="double" w:sz="5" w:space="0" w:color="auto"/>
              <w:left w:val="nil"/>
              <w:bottom w:val="single" w:sz="4" w:space="0" w:color="auto"/>
              <w:right w:val="nil"/>
            </w:tcBorders>
            <w:tcMar>
              <w:top w:w="15" w:type="dxa"/>
              <w:left w:w="15" w:type="dxa"/>
              <w:right w:w="15" w:type="dxa"/>
            </w:tcMar>
            <w:vAlign w:val="bottom"/>
          </w:tcPr>
          <w:p w14:paraId="1E806483" w14:textId="27E8F727" w:rsidR="5FD410A8" w:rsidRDefault="5FD410A8" w:rsidP="001B3723">
            <w:pPr>
              <w:spacing w:after="0" w:line="480" w:lineRule="auto"/>
              <w:jc w:val="center"/>
            </w:pPr>
            <w:r w:rsidRPr="5FD410A8">
              <w:rPr>
                <w:rFonts w:ascii="Aptos" w:eastAsia="Aptos" w:hAnsi="Aptos" w:cs="Aptos"/>
                <w:color w:val="000000" w:themeColor="text1"/>
              </w:rPr>
              <w:t xml:space="preserve">Schizophrenia Spectrum Disorders </w:t>
            </w:r>
            <w:r>
              <w:br/>
            </w:r>
            <w:r w:rsidRPr="5FD410A8">
              <w:rPr>
                <w:rFonts w:ascii="Aptos" w:eastAsia="Aptos" w:hAnsi="Aptos" w:cs="Aptos"/>
                <w:color w:val="000000" w:themeColor="text1"/>
              </w:rPr>
              <w:t>(n = 103)</w:t>
            </w:r>
          </w:p>
        </w:tc>
        <w:tc>
          <w:tcPr>
            <w:tcW w:w="2476" w:type="dxa"/>
            <w:gridSpan w:val="5"/>
            <w:tcBorders>
              <w:top w:val="double" w:sz="5" w:space="0" w:color="auto"/>
              <w:left w:val="nil"/>
              <w:bottom w:val="single" w:sz="4" w:space="0" w:color="auto"/>
              <w:right w:val="nil"/>
            </w:tcBorders>
            <w:tcMar>
              <w:top w:w="15" w:type="dxa"/>
              <w:left w:w="15" w:type="dxa"/>
              <w:right w:w="15" w:type="dxa"/>
            </w:tcMar>
            <w:vAlign w:val="bottom"/>
          </w:tcPr>
          <w:p w14:paraId="7A60DEF9" w14:textId="781B2B66" w:rsidR="5FD410A8" w:rsidRDefault="5FD410A8" w:rsidP="001B3723">
            <w:pPr>
              <w:spacing w:after="0" w:line="480" w:lineRule="auto"/>
              <w:jc w:val="center"/>
            </w:pPr>
            <w:r w:rsidRPr="5FD410A8">
              <w:rPr>
                <w:rFonts w:ascii="Aptos" w:eastAsia="Aptos" w:hAnsi="Aptos" w:cs="Aptos"/>
                <w:color w:val="000000" w:themeColor="text1"/>
              </w:rPr>
              <w:t xml:space="preserve">Anxiety </w:t>
            </w:r>
            <w:r>
              <w:br/>
            </w:r>
            <w:r w:rsidRPr="5FD410A8">
              <w:rPr>
                <w:rFonts w:ascii="Aptos" w:eastAsia="Aptos" w:hAnsi="Aptos" w:cs="Aptos"/>
                <w:color w:val="000000" w:themeColor="text1"/>
              </w:rPr>
              <w:t xml:space="preserve">Disorders </w:t>
            </w:r>
            <w:r>
              <w:br/>
            </w:r>
            <w:r w:rsidRPr="5FD410A8">
              <w:rPr>
                <w:rFonts w:ascii="Aptos" w:eastAsia="Aptos" w:hAnsi="Aptos" w:cs="Aptos"/>
                <w:color w:val="000000" w:themeColor="text1"/>
              </w:rPr>
              <w:t>(n = 102)</w:t>
            </w:r>
          </w:p>
        </w:tc>
        <w:tc>
          <w:tcPr>
            <w:tcW w:w="2466" w:type="dxa"/>
            <w:gridSpan w:val="5"/>
            <w:tcBorders>
              <w:top w:val="double" w:sz="5" w:space="0" w:color="auto"/>
              <w:left w:val="nil"/>
              <w:bottom w:val="single" w:sz="4" w:space="0" w:color="auto"/>
              <w:right w:val="nil"/>
            </w:tcBorders>
            <w:tcMar>
              <w:top w:w="15" w:type="dxa"/>
              <w:left w:w="15" w:type="dxa"/>
              <w:right w:w="15" w:type="dxa"/>
            </w:tcMar>
            <w:vAlign w:val="bottom"/>
          </w:tcPr>
          <w:p w14:paraId="48B90C51" w14:textId="39C97EFA" w:rsidR="5FD410A8" w:rsidRDefault="5FD410A8" w:rsidP="001B3723">
            <w:pPr>
              <w:spacing w:after="0" w:line="480" w:lineRule="auto"/>
              <w:jc w:val="center"/>
            </w:pPr>
            <w:r w:rsidRPr="5FD410A8">
              <w:rPr>
                <w:rFonts w:ascii="Aptos" w:eastAsia="Aptos" w:hAnsi="Aptos" w:cs="Aptos"/>
                <w:color w:val="000000" w:themeColor="text1"/>
              </w:rPr>
              <w:t xml:space="preserve">Non-Clinical Sample </w:t>
            </w:r>
            <w:r>
              <w:br/>
            </w:r>
            <w:r w:rsidRPr="5FD410A8">
              <w:rPr>
                <w:rFonts w:ascii="Aptos" w:eastAsia="Aptos" w:hAnsi="Aptos" w:cs="Aptos"/>
                <w:color w:val="000000" w:themeColor="text1"/>
              </w:rPr>
              <w:t>(n =102)</w:t>
            </w:r>
          </w:p>
        </w:tc>
      </w:tr>
      <w:tr w:rsidR="5FD410A8" w14:paraId="59BADB25" w14:textId="77777777" w:rsidTr="2A4FE2FE">
        <w:trPr>
          <w:trHeight w:val="300"/>
        </w:trPr>
        <w:tc>
          <w:tcPr>
            <w:tcW w:w="1599" w:type="dxa"/>
            <w:tcBorders>
              <w:top w:val="single" w:sz="4" w:space="0" w:color="auto"/>
              <w:left w:val="nil"/>
              <w:bottom w:val="single" w:sz="4" w:space="0" w:color="auto"/>
              <w:right w:val="nil"/>
            </w:tcBorders>
            <w:tcMar>
              <w:top w:w="15" w:type="dxa"/>
              <w:left w:w="15" w:type="dxa"/>
              <w:right w:w="15" w:type="dxa"/>
            </w:tcMar>
            <w:vAlign w:val="bottom"/>
          </w:tcPr>
          <w:p w14:paraId="55655F8A" w14:textId="0E5CC5E2" w:rsidR="5FD410A8" w:rsidRDefault="5FD410A8" w:rsidP="001B3723">
            <w:pPr>
              <w:spacing w:after="0" w:line="480" w:lineRule="auto"/>
            </w:pPr>
            <w:r w:rsidRPr="5FD410A8">
              <w:rPr>
                <w:rFonts w:ascii="Aptos" w:eastAsia="Aptos" w:hAnsi="Aptos" w:cs="Aptos"/>
              </w:rPr>
              <w:t xml:space="preserve"> </w:t>
            </w:r>
          </w:p>
        </w:tc>
        <w:tc>
          <w:tcPr>
            <w:tcW w:w="507" w:type="dxa"/>
            <w:tcBorders>
              <w:top w:val="single" w:sz="4" w:space="0" w:color="auto"/>
              <w:left w:val="nil"/>
              <w:bottom w:val="single" w:sz="4" w:space="0" w:color="auto"/>
              <w:right w:val="nil"/>
            </w:tcBorders>
            <w:tcMar>
              <w:top w:w="15" w:type="dxa"/>
              <w:left w:w="15" w:type="dxa"/>
              <w:right w:w="15" w:type="dxa"/>
            </w:tcMar>
            <w:vAlign w:val="bottom"/>
          </w:tcPr>
          <w:p w14:paraId="05ADA279" w14:textId="306F210E" w:rsidR="5FD410A8" w:rsidRDefault="5FD410A8" w:rsidP="001B3723">
            <w:pPr>
              <w:spacing w:after="0" w:line="480" w:lineRule="auto"/>
              <w:jc w:val="center"/>
            </w:pPr>
            <w:r w:rsidRPr="5FD410A8">
              <w:rPr>
                <w:rFonts w:ascii="Aptos" w:eastAsia="Aptos" w:hAnsi="Aptos" w:cs="Aptos"/>
                <w:color w:val="000000" w:themeColor="text1"/>
              </w:rPr>
              <w:t>1</w:t>
            </w:r>
          </w:p>
        </w:tc>
        <w:tc>
          <w:tcPr>
            <w:tcW w:w="496" w:type="dxa"/>
            <w:tcBorders>
              <w:top w:val="nil"/>
              <w:left w:val="nil"/>
              <w:bottom w:val="single" w:sz="4" w:space="0" w:color="auto"/>
              <w:right w:val="nil"/>
            </w:tcBorders>
            <w:tcMar>
              <w:top w:w="15" w:type="dxa"/>
              <w:left w:w="15" w:type="dxa"/>
              <w:right w:w="15" w:type="dxa"/>
            </w:tcMar>
            <w:vAlign w:val="bottom"/>
          </w:tcPr>
          <w:p w14:paraId="20280BC6" w14:textId="47BD3095" w:rsidR="5FD410A8" w:rsidRDefault="5FD410A8" w:rsidP="001B3723">
            <w:pPr>
              <w:spacing w:after="0" w:line="480" w:lineRule="auto"/>
              <w:jc w:val="center"/>
            </w:pPr>
            <w:r w:rsidRPr="5FD410A8">
              <w:rPr>
                <w:rFonts w:ascii="Aptos" w:eastAsia="Aptos" w:hAnsi="Aptos" w:cs="Aptos"/>
                <w:color w:val="000000" w:themeColor="text1"/>
              </w:rPr>
              <w:t>2</w:t>
            </w:r>
          </w:p>
        </w:tc>
        <w:tc>
          <w:tcPr>
            <w:tcW w:w="496" w:type="dxa"/>
            <w:tcBorders>
              <w:top w:val="nil"/>
              <w:left w:val="nil"/>
              <w:bottom w:val="single" w:sz="4" w:space="0" w:color="auto"/>
              <w:right w:val="nil"/>
            </w:tcBorders>
            <w:tcMar>
              <w:top w:w="15" w:type="dxa"/>
              <w:left w:w="15" w:type="dxa"/>
              <w:right w:w="15" w:type="dxa"/>
            </w:tcMar>
            <w:vAlign w:val="bottom"/>
          </w:tcPr>
          <w:p w14:paraId="431EB728" w14:textId="1D162769" w:rsidR="5FD410A8" w:rsidRDefault="5FD410A8" w:rsidP="001B3723">
            <w:pPr>
              <w:spacing w:after="0" w:line="480" w:lineRule="auto"/>
              <w:jc w:val="center"/>
            </w:pPr>
            <w:r w:rsidRPr="5FD410A8">
              <w:rPr>
                <w:rFonts w:ascii="Aptos" w:eastAsia="Aptos" w:hAnsi="Aptos" w:cs="Aptos"/>
                <w:color w:val="000000" w:themeColor="text1"/>
              </w:rPr>
              <w:t>3</w:t>
            </w:r>
          </w:p>
        </w:tc>
        <w:tc>
          <w:tcPr>
            <w:tcW w:w="505" w:type="dxa"/>
            <w:tcBorders>
              <w:top w:val="nil"/>
              <w:left w:val="nil"/>
              <w:bottom w:val="single" w:sz="4" w:space="0" w:color="auto"/>
              <w:right w:val="nil"/>
            </w:tcBorders>
            <w:tcMar>
              <w:top w:w="15" w:type="dxa"/>
              <w:left w:w="15" w:type="dxa"/>
              <w:right w:w="15" w:type="dxa"/>
            </w:tcMar>
            <w:vAlign w:val="bottom"/>
          </w:tcPr>
          <w:p w14:paraId="1BA0FA77" w14:textId="07AC1F1E" w:rsidR="5FD410A8" w:rsidRDefault="5FD410A8" w:rsidP="001B3723">
            <w:pPr>
              <w:spacing w:after="0" w:line="480" w:lineRule="auto"/>
              <w:jc w:val="center"/>
            </w:pPr>
            <w:r w:rsidRPr="5FD410A8">
              <w:rPr>
                <w:rFonts w:ascii="Aptos" w:eastAsia="Aptos" w:hAnsi="Aptos" w:cs="Aptos"/>
                <w:color w:val="000000" w:themeColor="text1"/>
              </w:rPr>
              <w:t>4</w:t>
            </w:r>
          </w:p>
        </w:tc>
        <w:tc>
          <w:tcPr>
            <w:tcW w:w="470" w:type="dxa"/>
            <w:tcBorders>
              <w:top w:val="nil"/>
              <w:left w:val="nil"/>
              <w:bottom w:val="single" w:sz="4" w:space="0" w:color="auto"/>
              <w:right w:val="nil"/>
            </w:tcBorders>
            <w:tcMar>
              <w:top w:w="15" w:type="dxa"/>
              <w:left w:w="15" w:type="dxa"/>
              <w:right w:w="15" w:type="dxa"/>
            </w:tcMar>
            <w:vAlign w:val="bottom"/>
          </w:tcPr>
          <w:p w14:paraId="4019C7FA" w14:textId="20ABEBC0" w:rsidR="5FD410A8" w:rsidRDefault="5FD410A8" w:rsidP="001B3723">
            <w:pPr>
              <w:spacing w:after="0" w:line="480" w:lineRule="auto"/>
              <w:jc w:val="center"/>
            </w:pPr>
            <w:r w:rsidRPr="5FD410A8">
              <w:rPr>
                <w:rFonts w:ascii="Aptos" w:eastAsia="Aptos" w:hAnsi="Aptos" w:cs="Aptos"/>
                <w:color w:val="000000" w:themeColor="text1"/>
              </w:rPr>
              <w:t>5</w:t>
            </w:r>
          </w:p>
        </w:tc>
        <w:tc>
          <w:tcPr>
            <w:tcW w:w="505" w:type="dxa"/>
            <w:tcBorders>
              <w:top w:val="single" w:sz="4" w:space="0" w:color="auto"/>
              <w:left w:val="nil"/>
              <w:bottom w:val="single" w:sz="4" w:space="0" w:color="auto"/>
              <w:right w:val="nil"/>
            </w:tcBorders>
            <w:tcMar>
              <w:top w:w="15" w:type="dxa"/>
              <w:left w:w="15" w:type="dxa"/>
              <w:right w:w="15" w:type="dxa"/>
            </w:tcMar>
            <w:vAlign w:val="bottom"/>
          </w:tcPr>
          <w:p w14:paraId="37677C75" w14:textId="35B60B70" w:rsidR="5FD410A8" w:rsidRDefault="5FD410A8" w:rsidP="001B3723">
            <w:pPr>
              <w:spacing w:after="0" w:line="480" w:lineRule="auto"/>
              <w:jc w:val="center"/>
            </w:pPr>
            <w:r w:rsidRPr="5FD410A8">
              <w:rPr>
                <w:rFonts w:ascii="Aptos" w:eastAsia="Aptos" w:hAnsi="Aptos" w:cs="Aptos"/>
                <w:color w:val="000000" w:themeColor="text1"/>
              </w:rPr>
              <w:t>1</w:t>
            </w:r>
          </w:p>
        </w:tc>
        <w:tc>
          <w:tcPr>
            <w:tcW w:w="496" w:type="dxa"/>
            <w:tcBorders>
              <w:top w:val="nil"/>
              <w:left w:val="nil"/>
              <w:bottom w:val="single" w:sz="4" w:space="0" w:color="auto"/>
              <w:right w:val="nil"/>
            </w:tcBorders>
            <w:tcMar>
              <w:top w:w="15" w:type="dxa"/>
              <w:left w:w="15" w:type="dxa"/>
              <w:right w:w="15" w:type="dxa"/>
            </w:tcMar>
            <w:vAlign w:val="bottom"/>
          </w:tcPr>
          <w:p w14:paraId="0DCFADAC" w14:textId="1C49F424" w:rsidR="5FD410A8" w:rsidRDefault="5FD410A8" w:rsidP="001B3723">
            <w:pPr>
              <w:spacing w:after="0" w:line="480" w:lineRule="auto"/>
              <w:jc w:val="center"/>
            </w:pPr>
            <w:r w:rsidRPr="5FD410A8">
              <w:rPr>
                <w:rFonts w:ascii="Aptos" w:eastAsia="Aptos" w:hAnsi="Aptos" w:cs="Aptos"/>
                <w:color w:val="000000" w:themeColor="text1"/>
              </w:rPr>
              <w:t>2</w:t>
            </w:r>
          </w:p>
        </w:tc>
        <w:tc>
          <w:tcPr>
            <w:tcW w:w="500" w:type="dxa"/>
            <w:tcBorders>
              <w:top w:val="nil"/>
              <w:left w:val="nil"/>
              <w:bottom w:val="single" w:sz="4" w:space="0" w:color="auto"/>
              <w:right w:val="nil"/>
            </w:tcBorders>
            <w:tcMar>
              <w:top w:w="15" w:type="dxa"/>
              <w:left w:w="15" w:type="dxa"/>
              <w:right w:w="15" w:type="dxa"/>
            </w:tcMar>
            <w:vAlign w:val="bottom"/>
          </w:tcPr>
          <w:p w14:paraId="40A09B06" w14:textId="77E7D8D6" w:rsidR="5FD410A8" w:rsidRDefault="5FD410A8" w:rsidP="001B3723">
            <w:pPr>
              <w:spacing w:after="0" w:line="480" w:lineRule="auto"/>
              <w:jc w:val="center"/>
            </w:pPr>
            <w:r w:rsidRPr="5FD410A8">
              <w:rPr>
                <w:rFonts w:ascii="Aptos" w:eastAsia="Aptos" w:hAnsi="Aptos" w:cs="Aptos"/>
                <w:color w:val="000000" w:themeColor="text1"/>
              </w:rPr>
              <w:t>3</w:t>
            </w:r>
          </w:p>
        </w:tc>
        <w:tc>
          <w:tcPr>
            <w:tcW w:w="505" w:type="dxa"/>
            <w:tcBorders>
              <w:top w:val="nil"/>
              <w:left w:val="nil"/>
              <w:bottom w:val="single" w:sz="4" w:space="0" w:color="auto"/>
              <w:right w:val="nil"/>
            </w:tcBorders>
            <w:tcMar>
              <w:top w:w="15" w:type="dxa"/>
              <w:left w:w="15" w:type="dxa"/>
              <w:right w:w="15" w:type="dxa"/>
            </w:tcMar>
            <w:vAlign w:val="bottom"/>
          </w:tcPr>
          <w:p w14:paraId="2E473F7B" w14:textId="4092472B" w:rsidR="5FD410A8" w:rsidRDefault="5FD410A8" w:rsidP="001B3723">
            <w:pPr>
              <w:spacing w:after="0" w:line="480" w:lineRule="auto"/>
              <w:jc w:val="center"/>
            </w:pPr>
            <w:r w:rsidRPr="5FD410A8">
              <w:rPr>
                <w:rFonts w:ascii="Aptos" w:eastAsia="Aptos" w:hAnsi="Aptos" w:cs="Aptos"/>
                <w:color w:val="000000" w:themeColor="text1"/>
              </w:rPr>
              <w:t>4</w:t>
            </w:r>
          </w:p>
        </w:tc>
        <w:tc>
          <w:tcPr>
            <w:tcW w:w="470" w:type="dxa"/>
            <w:tcBorders>
              <w:top w:val="nil"/>
              <w:left w:val="nil"/>
              <w:bottom w:val="single" w:sz="4" w:space="0" w:color="auto"/>
              <w:right w:val="nil"/>
            </w:tcBorders>
            <w:tcMar>
              <w:top w:w="15" w:type="dxa"/>
              <w:left w:w="15" w:type="dxa"/>
              <w:right w:w="15" w:type="dxa"/>
            </w:tcMar>
            <w:vAlign w:val="bottom"/>
          </w:tcPr>
          <w:p w14:paraId="1C1EF73D" w14:textId="7CC9636B" w:rsidR="5FD410A8" w:rsidRDefault="5FD410A8" w:rsidP="001B3723">
            <w:pPr>
              <w:spacing w:after="0" w:line="480" w:lineRule="auto"/>
              <w:jc w:val="center"/>
            </w:pPr>
            <w:r w:rsidRPr="5FD410A8">
              <w:rPr>
                <w:rFonts w:ascii="Aptos" w:eastAsia="Aptos" w:hAnsi="Aptos" w:cs="Aptos"/>
                <w:color w:val="000000" w:themeColor="text1"/>
              </w:rPr>
              <w:t>5</w:t>
            </w:r>
          </w:p>
        </w:tc>
        <w:tc>
          <w:tcPr>
            <w:tcW w:w="505" w:type="dxa"/>
            <w:tcBorders>
              <w:top w:val="single" w:sz="4" w:space="0" w:color="auto"/>
              <w:left w:val="nil"/>
              <w:bottom w:val="single" w:sz="4" w:space="0" w:color="auto"/>
              <w:right w:val="nil"/>
            </w:tcBorders>
            <w:tcMar>
              <w:top w:w="15" w:type="dxa"/>
              <w:left w:w="15" w:type="dxa"/>
              <w:right w:w="15" w:type="dxa"/>
            </w:tcMar>
            <w:vAlign w:val="bottom"/>
          </w:tcPr>
          <w:p w14:paraId="75298A3D" w14:textId="25621241" w:rsidR="5FD410A8" w:rsidRDefault="5FD410A8" w:rsidP="001B3723">
            <w:pPr>
              <w:spacing w:after="0" w:line="480" w:lineRule="auto"/>
              <w:jc w:val="center"/>
            </w:pPr>
            <w:r w:rsidRPr="5FD410A8">
              <w:rPr>
                <w:rFonts w:ascii="Aptos" w:eastAsia="Aptos" w:hAnsi="Aptos" w:cs="Aptos"/>
                <w:color w:val="000000" w:themeColor="text1"/>
              </w:rPr>
              <w:t>1</w:t>
            </w:r>
          </w:p>
        </w:tc>
        <w:tc>
          <w:tcPr>
            <w:tcW w:w="496" w:type="dxa"/>
            <w:tcBorders>
              <w:top w:val="nil"/>
              <w:left w:val="nil"/>
              <w:bottom w:val="single" w:sz="4" w:space="0" w:color="auto"/>
              <w:right w:val="nil"/>
            </w:tcBorders>
            <w:tcMar>
              <w:top w:w="15" w:type="dxa"/>
              <w:left w:w="15" w:type="dxa"/>
              <w:right w:w="15" w:type="dxa"/>
            </w:tcMar>
            <w:vAlign w:val="bottom"/>
          </w:tcPr>
          <w:p w14:paraId="702A30D2" w14:textId="6089A8E0" w:rsidR="5FD410A8" w:rsidRDefault="5FD410A8" w:rsidP="001B3723">
            <w:pPr>
              <w:spacing w:after="0" w:line="480" w:lineRule="auto"/>
              <w:jc w:val="center"/>
            </w:pPr>
            <w:r w:rsidRPr="5FD410A8">
              <w:rPr>
                <w:rFonts w:ascii="Aptos" w:eastAsia="Aptos" w:hAnsi="Aptos" w:cs="Aptos"/>
                <w:color w:val="000000" w:themeColor="text1"/>
              </w:rPr>
              <w:t>2</w:t>
            </w:r>
          </w:p>
        </w:tc>
        <w:tc>
          <w:tcPr>
            <w:tcW w:w="488" w:type="dxa"/>
            <w:tcBorders>
              <w:top w:val="nil"/>
              <w:left w:val="nil"/>
              <w:bottom w:val="single" w:sz="4" w:space="0" w:color="auto"/>
              <w:right w:val="nil"/>
            </w:tcBorders>
            <w:tcMar>
              <w:top w:w="15" w:type="dxa"/>
              <w:left w:w="15" w:type="dxa"/>
              <w:right w:w="15" w:type="dxa"/>
            </w:tcMar>
            <w:vAlign w:val="bottom"/>
          </w:tcPr>
          <w:p w14:paraId="6DA136B3" w14:textId="7BBA7096" w:rsidR="5FD410A8" w:rsidRDefault="5FD410A8" w:rsidP="001B3723">
            <w:pPr>
              <w:spacing w:after="0" w:line="480" w:lineRule="auto"/>
              <w:jc w:val="center"/>
            </w:pPr>
            <w:r w:rsidRPr="5FD410A8">
              <w:rPr>
                <w:rFonts w:ascii="Aptos" w:eastAsia="Aptos" w:hAnsi="Aptos" w:cs="Aptos"/>
                <w:color w:val="000000" w:themeColor="text1"/>
              </w:rPr>
              <w:t>3</w:t>
            </w:r>
          </w:p>
        </w:tc>
        <w:tc>
          <w:tcPr>
            <w:tcW w:w="505" w:type="dxa"/>
            <w:tcBorders>
              <w:top w:val="nil"/>
              <w:left w:val="nil"/>
              <w:bottom w:val="single" w:sz="4" w:space="0" w:color="auto"/>
              <w:right w:val="nil"/>
            </w:tcBorders>
            <w:tcMar>
              <w:top w:w="15" w:type="dxa"/>
              <w:left w:w="15" w:type="dxa"/>
              <w:right w:w="15" w:type="dxa"/>
            </w:tcMar>
            <w:vAlign w:val="bottom"/>
          </w:tcPr>
          <w:p w14:paraId="22764704" w14:textId="1AD32CA6" w:rsidR="5FD410A8" w:rsidRDefault="5FD410A8" w:rsidP="001B3723">
            <w:pPr>
              <w:spacing w:after="0" w:line="480" w:lineRule="auto"/>
              <w:jc w:val="center"/>
            </w:pPr>
            <w:r w:rsidRPr="5FD410A8">
              <w:rPr>
                <w:rFonts w:ascii="Aptos" w:eastAsia="Aptos" w:hAnsi="Aptos" w:cs="Aptos"/>
                <w:color w:val="000000" w:themeColor="text1"/>
              </w:rPr>
              <w:t>4</w:t>
            </w:r>
          </w:p>
        </w:tc>
        <w:tc>
          <w:tcPr>
            <w:tcW w:w="472" w:type="dxa"/>
            <w:tcBorders>
              <w:top w:val="nil"/>
              <w:left w:val="nil"/>
              <w:bottom w:val="single" w:sz="4" w:space="0" w:color="auto"/>
              <w:right w:val="nil"/>
            </w:tcBorders>
            <w:tcMar>
              <w:top w:w="15" w:type="dxa"/>
              <w:left w:w="15" w:type="dxa"/>
              <w:right w:w="15" w:type="dxa"/>
            </w:tcMar>
            <w:vAlign w:val="bottom"/>
          </w:tcPr>
          <w:p w14:paraId="2DB82255" w14:textId="0B9DB75D" w:rsidR="5FD410A8" w:rsidRDefault="5FD410A8" w:rsidP="001B3723">
            <w:pPr>
              <w:spacing w:after="0" w:line="480" w:lineRule="auto"/>
              <w:jc w:val="center"/>
            </w:pPr>
            <w:r w:rsidRPr="5FD410A8">
              <w:rPr>
                <w:rFonts w:ascii="Aptos" w:eastAsia="Aptos" w:hAnsi="Aptos" w:cs="Aptos"/>
                <w:color w:val="000000" w:themeColor="text1"/>
              </w:rPr>
              <w:t>5</w:t>
            </w:r>
          </w:p>
        </w:tc>
      </w:tr>
      <w:tr w:rsidR="5FD410A8" w14:paraId="4C03E41C" w14:textId="77777777" w:rsidTr="2A4FE2FE">
        <w:trPr>
          <w:trHeight w:val="300"/>
        </w:trPr>
        <w:tc>
          <w:tcPr>
            <w:tcW w:w="1599" w:type="dxa"/>
            <w:tcBorders>
              <w:top w:val="single" w:sz="4" w:space="0" w:color="auto"/>
              <w:left w:val="nil"/>
              <w:bottom w:val="nil"/>
              <w:right w:val="nil"/>
            </w:tcBorders>
            <w:tcMar>
              <w:top w:w="15" w:type="dxa"/>
              <w:left w:w="15" w:type="dxa"/>
              <w:right w:w="15" w:type="dxa"/>
            </w:tcMar>
            <w:vAlign w:val="bottom"/>
          </w:tcPr>
          <w:p w14:paraId="11B338F2" w14:textId="75F82A14" w:rsidR="5FD410A8" w:rsidRDefault="5FD410A8" w:rsidP="001B3723">
            <w:pPr>
              <w:spacing w:after="0" w:line="480" w:lineRule="auto"/>
            </w:pPr>
          </w:p>
        </w:tc>
        <w:tc>
          <w:tcPr>
            <w:tcW w:w="507" w:type="dxa"/>
            <w:tcBorders>
              <w:top w:val="single" w:sz="4" w:space="0" w:color="auto"/>
              <w:left w:val="nil"/>
              <w:bottom w:val="nil"/>
              <w:right w:val="nil"/>
            </w:tcBorders>
            <w:tcMar>
              <w:top w:w="15" w:type="dxa"/>
              <w:left w:w="15" w:type="dxa"/>
              <w:right w:w="15" w:type="dxa"/>
            </w:tcMar>
            <w:vAlign w:val="bottom"/>
          </w:tcPr>
          <w:p w14:paraId="144B940B" w14:textId="6940CD33" w:rsidR="5FD410A8" w:rsidRDefault="5FD410A8" w:rsidP="001B3723">
            <w:pPr>
              <w:spacing w:after="0" w:line="480" w:lineRule="auto"/>
            </w:pPr>
          </w:p>
        </w:tc>
        <w:tc>
          <w:tcPr>
            <w:tcW w:w="496" w:type="dxa"/>
            <w:tcBorders>
              <w:top w:val="single" w:sz="4" w:space="0" w:color="auto"/>
              <w:left w:val="nil"/>
              <w:bottom w:val="nil"/>
              <w:right w:val="nil"/>
            </w:tcBorders>
            <w:tcMar>
              <w:top w:w="15" w:type="dxa"/>
              <w:left w:w="15" w:type="dxa"/>
              <w:right w:w="15" w:type="dxa"/>
            </w:tcMar>
            <w:vAlign w:val="bottom"/>
          </w:tcPr>
          <w:p w14:paraId="0F996D72" w14:textId="13742986" w:rsidR="5FD410A8" w:rsidRDefault="5FD410A8" w:rsidP="001B3723">
            <w:pPr>
              <w:spacing w:after="0" w:line="480" w:lineRule="auto"/>
            </w:pPr>
          </w:p>
        </w:tc>
        <w:tc>
          <w:tcPr>
            <w:tcW w:w="496" w:type="dxa"/>
            <w:tcBorders>
              <w:top w:val="single" w:sz="4" w:space="0" w:color="auto"/>
              <w:left w:val="nil"/>
              <w:bottom w:val="nil"/>
              <w:right w:val="nil"/>
            </w:tcBorders>
            <w:tcMar>
              <w:top w:w="15" w:type="dxa"/>
              <w:left w:w="15" w:type="dxa"/>
              <w:right w:w="15" w:type="dxa"/>
            </w:tcMar>
            <w:vAlign w:val="bottom"/>
          </w:tcPr>
          <w:p w14:paraId="61EE3221" w14:textId="3E12D57A" w:rsidR="5FD410A8" w:rsidRDefault="5FD410A8" w:rsidP="001B3723">
            <w:pPr>
              <w:spacing w:after="0" w:line="480" w:lineRule="auto"/>
            </w:pPr>
          </w:p>
        </w:tc>
        <w:tc>
          <w:tcPr>
            <w:tcW w:w="505" w:type="dxa"/>
            <w:tcBorders>
              <w:top w:val="single" w:sz="4" w:space="0" w:color="auto"/>
              <w:left w:val="nil"/>
              <w:bottom w:val="nil"/>
              <w:right w:val="nil"/>
            </w:tcBorders>
            <w:tcMar>
              <w:top w:w="15" w:type="dxa"/>
              <w:left w:w="15" w:type="dxa"/>
              <w:right w:w="15" w:type="dxa"/>
            </w:tcMar>
            <w:vAlign w:val="bottom"/>
          </w:tcPr>
          <w:p w14:paraId="4506FF35" w14:textId="11B6B86C" w:rsidR="5FD410A8" w:rsidRDefault="5FD410A8" w:rsidP="001B3723">
            <w:pPr>
              <w:spacing w:after="0" w:line="480" w:lineRule="auto"/>
            </w:pPr>
          </w:p>
        </w:tc>
        <w:tc>
          <w:tcPr>
            <w:tcW w:w="470" w:type="dxa"/>
            <w:tcBorders>
              <w:top w:val="single" w:sz="4" w:space="0" w:color="auto"/>
              <w:left w:val="nil"/>
              <w:bottom w:val="nil"/>
              <w:right w:val="nil"/>
            </w:tcBorders>
            <w:tcMar>
              <w:top w:w="15" w:type="dxa"/>
              <w:left w:w="15" w:type="dxa"/>
              <w:right w:w="15" w:type="dxa"/>
            </w:tcMar>
            <w:vAlign w:val="bottom"/>
          </w:tcPr>
          <w:p w14:paraId="0B99EBC6" w14:textId="501ECD46" w:rsidR="5FD410A8" w:rsidRDefault="5FD410A8" w:rsidP="001B3723">
            <w:pPr>
              <w:spacing w:after="0" w:line="480" w:lineRule="auto"/>
            </w:pPr>
          </w:p>
        </w:tc>
        <w:tc>
          <w:tcPr>
            <w:tcW w:w="505" w:type="dxa"/>
            <w:tcBorders>
              <w:top w:val="single" w:sz="4" w:space="0" w:color="auto"/>
              <w:left w:val="nil"/>
              <w:bottom w:val="nil"/>
              <w:right w:val="nil"/>
            </w:tcBorders>
            <w:tcMar>
              <w:top w:w="15" w:type="dxa"/>
              <w:left w:w="15" w:type="dxa"/>
              <w:right w:w="15" w:type="dxa"/>
            </w:tcMar>
            <w:vAlign w:val="bottom"/>
          </w:tcPr>
          <w:p w14:paraId="474BE978" w14:textId="2631349C" w:rsidR="5FD410A8" w:rsidRDefault="5FD410A8" w:rsidP="001B3723">
            <w:pPr>
              <w:spacing w:after="0" w:line="480" w:lineRule="auto"/>
            </w:pPr>
          </w:p>
        </w:tc>
        <w:tc>
          <w:tcPr>
            <w:tcW w:w="496" w:type="dxa"/>
            <w:tcBorders>
              <w:top w:val="single" w:sz="4" w:space="0" w:color="auto"/>
              <w:left w:val="nil"/>
              <w:bottom w:val="nil"/>
              <w:right w:val="nil"/>
            </w:tcBorders>
            <w:tcMar>
              <w:top w:w="15" w:type="dxa"/>
              <w:left w:w="15" w:type="dxa"/>
              <w:right w:w="15" w:type="dxa"/>
            </w:tcMar>
            <w:vAlign w:val="bottom"/>
          </w:tcPr>
          <w:p w14:paraId="4BE2FF96" w14:textId="363A78B6" w:rsidR="5FD410A8" w:rsidRDefault="5FD410A8" w:rsidP="001B3723">
            <w:pPr>
              <w:spacing w:after="0" w:line="480" w:lineRule="auto"/>
            </w:pPr>
          </w:p>
        </w:tc>
        <w:tc>
          <w:tcPr>
            <w:tcW w:w="500" w:type="dxa"/>
            <w:tcBorders>
              <w:top w:val="single" w:sz="4" w:space="0" w:color="auto"/>
              <w:left w:val="nil"/>
              <w:bottom w:val="nil"/>
              <w:right w:val="nil"/>
            </w:tcBorders>
            <w:tcMar>
              <w:top w:w="15" w:type="dxa"/>
              <w:left w:w="15" w:type="dxa"/>
              <w:right w:w="15" w:type="dxa"/>
            </w:tcMar>
            <w:vAlign w:val="bottom"/>
          </w:tcPr>
          <w:p w14:paraId="71E4900D" w14:textId="7545658B" w:rsidR="5FD410A8" w:rsidRDefault="5FD410A8" w:rsidP="001B3723">
            <w:pPr>
              <w:spacing w:after="0" w:line="480" w:lineRule="auto"/>
            </w:pPr>
          </w:p>
        </w:tc>
        <w:tc>
          <w:tcPr>
            <w:tcW w:w="505" w:type="dxa"/>
            <w:tcBorders>
              <w:top w:val="single" w:sz="4" w:space="0" w:color="auto"/>
              <w:left w:val="nil"/>
              <w:bottom w:val="nil"/>
              <w:right w:val="nil"/>
            </w:tcBorders>
            <w:tcMar>
              <w:top w:w="15" w:type="dxa"/>
              <w:left w:w="15" w:type="dxa"/>
              <w:right w:w="15" w:type="dxa"/>
            </w:tcMar>
            <w:vAlign w:val="bottom"/>
          </w:tcPr>
          <w:p w14:paraId="2F3B48CD" w14:textId="39838356" w:rsidR="5FD410A8" w:rsidRDefault="5FD410A8" w:rsidP="001B3723">
            <w:pPr>
              <w:spacing w:after="0" w:line="480" w:lineRule="auto"/>
            </w:pPr>
          </w:p>
        </w:tc>
        <w:tc>
          <w:tcPr>
            <w:tcW w:w="470" w:type="dxa"/>
            <w:tcBorders>
              <w:top w:val="single" w:sz="4" w:space="0" w:color="auto"/>
              <w:left w:val="nil"/>
              <w:bottom w:val="nil"/>
              <w:right w:val="nil"/>
            </w:tcBorders>
            <w:tcMar>
              <w:top w:w="15" w:type="dxa"/>
              <w:left w:w="15" w:type="dxa"/>
              <w:right w:w="15" w:type="dxa"/>
            </w:tcMar>
            <w:vAlign w:val="bottom"/>
          </w:tcPr>
          <w:p w14:paraId="17EE98D7" w14:textId="4B912732" w:rsidR="5FD410A8" w:rsidRDefault="5FD410A8" w:rsidP="001B3723">
            <w:pPr>
              <w:spacing w:after="0" w:line="480" w:lineRule="auto"/>
            </w:pPr>
          </w:p>
        </w:tc>
        <w:tc>
          <w:tcPr>
            <w:tcW w:w="505" w:type="dxa"/>
            <w:tcBorders>
              <w:top w:val="single" w:sz="4" w:space="0" w:color="auto"/>
              <w:left w:val="nil"/>
              <w:bottom w:val="nil"/>
              <w:right w:val="nil"/>
            </w:tcBorders>
            <w:tcMar>
              <w:top w:w="15" w:type="dxa"/>
              <w:left w:w="15" w:type="dxa"/>
              <w:right w:w="15" w:type="dxa"/>
            </w:tcMar>
            <w:vAlign w:val="bottom"/>
          </w:tcPr>
          <w:p w14:paraId="3FB71578" w14:textId="32F5FC8B" w:rsidR="5FD410A8" w:rsidRDefault="5FD410A8" w:rsidP="001B3723">
            <w:pPr>
              <w:spacing w:after="0" w:line="480" w:lineRule="auto"/>
            </w:pPr>
          </w:p>
        </w:tc>
        <w:tc>
          <w:tcPr>
            <w:tcW w:w="496" w:type="dxa"/>
            <w:tcBorders>
              <w:top w:val="single" w:sz="4" w:space="0" w:color="auto"/>
              <w:left w:val="nil"/>
              <w:bottom w:val="nil"/>
              <w:right w:val="nil"/>
            </w:tcBorders>
            <w:tcMar>
              <w:top w:w="15" w:type="dxa"/>
              <w:left w:w="15" w:type="dxa"/>
              <w:right w:w="15" w:type="dxa"/>
            </w:tcMar>
            <w:vAlign w:val="bottom"/>
          </w:tcPr>
          <w:p w14:paraId="15C0B1EC" w14:textId="01C59A8B" w:rsidR="5FD410A8" w:rsidRDefault="5FD410A8" w:rsidP="001B3723">
            <w:pPr>
              <w:spacing w:after="0" w:line="480" w:lineRule="auto"/>
            </w:pPr>
          </w:p>
        </w:tc>
        <w:tc>
          <w:tcPr>
            <w:tcW w:w="488" w:type="dxa"/>
            <w:tcBorders>
              <w:top w:val="single" w:sz="4" w:space="0" w:color="auto"/>
              <w:left w:val="nil"/>
              <w:bottom w:val="nil"/>
              <w:right w:val="nil"/>
            </w:tcBorders>
            <w:tcMar>
              <w:top w:w="15" w:type="dxa"/>
              <w:left w:w="15" w:type="dxa"/>
              <w:right w:w="15" w:type="dxa"/>
            </w:tcMar>
            <w:vAlign w:val="bottom"/>
          </w:tcPr>
          <w:p w14:paraId="7D77364F" w14:textId="3976483F" w:rsidR="5FD410A8" w:rsidRDefault="5FD410A8" w:rsidP="001B3723">
            <w:pPr>
              <w:spacing w:after="0" w:line="480" w:lineRule="auto"/>
            </w:pPr>
          </w:p>
        </w:tc>
        <w:tc>
          <w:tcPr>
            <w:tcW w:w="505" w:type="dxa"/>
            <w:tcBorders>
              <w:top w:val="single" w:sz="4" w:space="0" w:color="auto"/>
              <w:left w:val="nil"/>
              <w:bottom w:val="nil"/>
              <w:right w:val="nil"/>
            </w:tcBorders>
            <w:tcMar>
              <w:top w:w="15" w:type="dxa"/>
              <w:left w:w="15" w:type="dxa"/>
              <w:right w:w="15" w:type="dxa"/>
            </w:tcMar>
            <w:vAlign w:val="bottom"/>
          </w:tcPr>
          <w:p w14:paraId="20D7CCC2" w14:textId="09FCC6A4" w:rsidR="5FD410A8" w:rsidRDefault="5FD410A8" w:rsidP="001B3723">
            <w:pPr>
              <w:spacing w:after="0" w:line="480" w:lineRule="auto"/>
            </w:pPr>
          </w:p>
        </w:tc>
        <w:tc>
          <w:tcPr>
            <w:tcW w:w="472" w:type="dxa"/>
            <w:tcBorders>
              <w:top w:val="single" w:sz="4" w:space="0" w:color="auto"/>
              <w:left w:val="nil"/>
              <w:bottom w:val="nil"/>
              <w:right w:val="nil"/>
            </w:tcBorders>
            <w:tcMar>
              <w:top w:w="15" w:type="dxa"/>
              <w:left w:w="15" w:type="dxa"/>
              <w:right w:w="15" w:type="dxa"/>
            </w:tcMar>
            <w:vAlign w:val="bottom"/>
          </w:tcPr>
          <w:p w14:paraId="6FBB3B5E" w14:textId="0F4DCC53" w:rsidR="5FD410A8" w:rsidRDefault="5FD410A8" w:rsidP="001B3723">
            <w:pPr>
              <w:spacing w:after="0" w:line="480" w:lineRule="auto"/>
            </w:pPr>
          </w:p>
        </w:tc>
      </w:tr>
      <w:tr w:rsidR="5FD410A8" w14:paraId="7235C3CF" w14:textId="77777777" w:rsidTr="2A4FE2FE">
        <w:trPr>
          <w:trHeight w:val="600"/>
        </w:trPr>
        <w:tc>
          <w:tcPr>
            <w:tcW w:w="1599" w:type="dxa"/>
            <w:tcBorders>
              <w:top w:val="nil"/>
              <w:left w:val="nil"/>
              <w:bottom w:val="nil"/>
              <w:right w:val="nil"/>
            </w:tcBorders>
            <w:tcMar>
              <w:top w:w="15" w:type="dxa"/>
              <w:left w:w="15" w:type="dxa"/>
              <w:right w:w="15" w:type="dxa"/>
            </w:tcMar>
            <w:vAlign w:val="center"/>
          </w:tcPr>
          <w:p w14:paraId="2668323B" w14:textId="5049A46F" w:rsidR="5FD410A8" w:rsidRDefault="5FD410A8" w:rsidP="001B3723">
            <w:pPr>
              <w:spacing w:after="0" w:line="480" w:lineRule="auto"/>
            </w:pPr>
            <w:r w:rsidRPr="5FD410A8">
              <w:rPr>
                <w:rFonts w:ascii="Aptos" w:eastAsia="Aptos" w:hAnsi="Aptos" w:cs="Aptos"/>
                <w:color w:val="000000" w:themeColor="text1"/>
              </w:rPr>
              <w:t>1. Intolerance of Uncertainty</w:t>
            </w:r>
          </w:p>
        </w:tc>
        <w:tc>
          <w:tcPr>
            <w:tcW w:w="507" w:type="dxa"/>
            <w:tcBorders>
              <w:top w:val="nil"/>
              <w:left w:val="nil"/>
              <w:bottom w:val="nil"/>
              <w:right w:val="nil"/>
            </w:tcBorders>
            <w:tcMar>
              <w:top w:w="15" w:type="dxa"/>
              <w:left w:w="15" w:type="dxa"/>
              <w:right w:w="15" w:type="dxa"/>
            </w:tcMar>
            <w:vAlign w:val="center"/>
          </w:tcPr>
          <w:p w14:paraId="5BD1330F" w14:textId="162F9FD5" w:rsidR="5FD410A8" w:rsidRDefault="5FD410A8" w:rsidP="001B3723">
            <w:pPr>
              <w:spacing w:after="0" w:line="480" w:lineRule="auto"/>
              <w:jc w:val="center"/>
            </w:pPr>
            <w:r w:rsidRPr="5FD410A8">
              <w:rPr>
                <w:rFonts w:ascii="Aptos" w:eastAsia="Aptos" w:hAnsi="Aptos" w:cs="Aptos"/>
                <w:color w:val="000000" w:themeColor="text1"/>
              </w:rPr>
              <w:t>-</w:t>
            </w:r>
          </w:p>
        </w:tc>
        <w:tc>
          <w:tcPr>
            <w:tcW w:w="496" w:type="dxa"/>
            <w:tcBorders>
              <w:top w:val="nil"/>
              <w:left w:val="nil"/>
              <w:bottom w:val="nil"/>
              <w:right w:val="nil"/>
            </w:tcBorders>
            <w:tcMar>
              <w:top w:w="15" w:type="dxa"/>
              <w:left w:w="15" w:type="dxa"/>
              <w:right w:w="15" w:type="dxa"/>
            </w:tcMar>
            <w:vAlign w:val="center"/>
          </w:tcPr>
          <w:p w14:paraId="203FC25C" w14:textId="68862508" w:rsidR="5FD410A8" w:rsidRDefault="5FD410A8" w:rsidP="001B3723">
            <w:pPr>
              <w:spacing w:after="0" w:line="480" w:lineRule="auto"/>
            </w:pPr>
          </w:p>
        </w:tc>
        <w:tc>
          <w:tcPr>
            <w:tcW w:w="496" w:type="dxa"/>
            <w:tcBorders>
              <w:top w:val="nil"/>
              <w:left w:val="nil"/>
              <w:bottom w:val="nil"/>
              <w:right w:val="nil"/>
            </w:tcBorders>
            <w:tcMar>
              <w:top w:w="15" w:type="dxa"/>
              <w:left w:w="15" w:type="dxa"/>
              <w:right w:w="15" w:type="dxa"/>
            </w:tcMar>
            <w:vAlign w:val="center"/>
          </w:tcPr>
          <w:p w14:paraId="4C228F87" w14:textId="209FDA17" w:rsidR="5FD410A8" w:rsidRDefault="5FD410A8" w:rsidP="001B3723">
            <w:pPr>
              <w:spacing w:after="0" w:line="480" w:lineRule="auto"/>
            </w:pPr>
          </w:p>
        </w:tc>
        <w:tc>
          <w:tcPr>
            <w:tcW w:w="505" w:type="dxa"/>
            <w:tcBorders>
              <w:top w:val="nil"/>
              <w:left w:val="nil"/>
              <w:bottom w:val="nil"/>
              <w:right w:val="nil"/>
            </w:tcBorders>
            <w:tcMar>
              <w:top w:w="15" w:type="dxa"/>
              <w:left w:w="15" w:type="dxa"/>
              <w:right w:w="15" w:type="dxa"/>
            </w:tcMar>
            <w:vAlign w:val="center"/>
          </w:tcPr>
          <w:p w14:paraId="0804D5ED" w14:textId="62748869" w:rsidR="5FD410A8" w:rsidRDefault="5FD410A8" w:rsidP="001B3723">
            <w:pPr>
              <w:spacing w:after="0" w:line="480" w:lineRule="auto"/>
            </w:pPr>
          </w:p>
        </w:tc>
        <w:tc>
          <w:tcPr>
            <w:tcW w:w="470" w:type="dxa"/>
            <w:tcBorders>
              <w:top w:val="nil"/>
              <w:left w:val="nil"/>
              <w:bottom w:val="nil"/>
              <w:right w:val="nil"/>
            </w:tcBorders>
            <w:tcMar>
              <w:top w:w="15" w:type="dxa"/>
              <w:left w:w="15" w:type="dxa"/>
              <w:right w:w="15" w:type="dxa"/>
            </w:tcMar>
            <w:vAlign w:val="center"/>
          </w:tcPr>
          <w:p w14:paraId="20B77681" w14:textId="5038F3E6" w:rsidR="5FD410A8" w:rsidRDefault="5FD410A8" w:rsidP="001B3723">
            <w:pPr>
              <w:spacing w:after="0" w:line="480" w:lineRule="auto"/>
            </w:pPr>
          </w:p>
        </w:tc>
        <w:tc>
          <w:tcPr>
            <w:tcW w:w="505" w:type="dxa"/>
            <w:tcBorders>
              <w:top w:val="nil"/>
              <w:left w:val="nil"/>
              <w:bottom w:val="nil"/>
              <w:right w:val="nil"/>
            </w:tcBorders>
            <w:tcMar>
              <w:top w:w="15" w:type="dxa"/>
              <w:left w:w="15" w:type="dxa"/>
              <w:right w:w="15" w:type="dxa"/>
            </w:tcMar>
            <w:vAlign w:val="center"/>
          </w:tcPr>
          <w:p w14:paraId="47444161" w14:textId="6FDB3D9D" w:rsidR="5FD410A8" w:rsidRDefault="5FD410A8" w:rsidP="001B3723">
            <w:pPr>
              <w:spacing w:after="0" w:line="480" w:lineRule="auto"/>
              <w:jc w:val="center"/>
            </w:pPr>
            <w:r w:rsidRPr="5FD410A8">
              <w:rPr>
                <w:rFonts w:ascii="Aptos" w:eastAsia="Aptos" w:hAnsi="Aptos" w:cs="Aptos"/>
                <w:color w:val="000000" w:themeColor="text1"/>
              </w:rPr>
              <w:t>-</w:t>
            </w:r>
          </w:p>
        </w:tc>
        <w:tc>
          <w:tcPr>
            <w:tcW w:w="496" w:type="dxa"/>
            <w:tcBorders>
              <w:top w:val="nil"/>
              <w:left w:val="nil"/>
              <w:bottom w:val="nil"/>
              <w:right w:val="nil"/>
            </w:tcBorders>
            <w:tcMar>
              <w:top w:w="15" w:type="dxa"/>
              <w:left w:w="15" w:type="dxa"/>
              <w:right w:w="15" w:type="dxa"/>
            </w:tcMar>
            <w:vAlign w:val="center"/>
          </w:tcPr>
          <w:p w14:paraId="00452843" w14:textId="2BC0A411" w:rsidR="5FD410A8" w:rsidRDefault="5FD410A8" w:rsidP="001B3723">
            <w:pPr>
              <w:spacing w:after="0" w:line="480" w:lineRule="auto"/>
            </w:pPr>
          </w:p>
        </w:tc>
        <w:tc>
          <w:tcPr>
            <w:tcW w:w="500" w:type="dxa"/>
            <w:tcBorders>
              <w:top w:val="nil"/>
              <w:left w:val="nil"/>
              <w:bottom w:val="nil"/>
              <w:right w:val="nil"/>
            </w:tcBorders>
            <w:tcMar>
              <w:top w:w="15" w:type="dxa"/>
              <w:left w:w="15" w:type="dxa"/>
              <w:right w:w="15" w:type="dxa"/>
            </w:tcMar>
            <w:vAlign w:val="center"/>
          </w:tcPr>
          <w:p w14:paraId="2211117A" w14:textId="14A30105" w:rsidR="5FD410A8" w:rsidRDefault="5FD410A8" w:rsidP="001B3723">
            <w:pPr>
              <w:spacing w:after="0" w:line="480" w:lineRule="auto"/>
            </w:pPr>
          </w:p>
        </w:tc>
        <w:tc>
          <w:tcPr>
            <w:tcW w:w="505" w:type="dxa"/>
            <w:tcBorders>
              <w:top w:val="nil"/>
              <w:left w:val="nil"/>
              <w:bottom w:val="nil"/>
              <w:right w:val="nil"/>
            </w:tcBorders>
            <w:tcMar>
              <w:top w:w="15" w:type="dxa"/>
              <w:left w:w="15" w:type="dxa"/>
              <w:right w:w="15" w:type="dxa"/>
            </w:tcMar>
            <w:vAlign w:val="center"/>
          </w:tcPr>
          <w:p w14:paraId="5DDC59C0" w14:textId="097A3585" w:rsidR="5FD410A8" w:rsidRDefault="5FD410A8" w:rsidP="001B3723">
            <w:pPr>
              <w:spacing w:after="0" w:line="480" w:lineRule="auto"/>
            </w:pPr>
          </w:p>
        </w:tc>
        <w:tc>
          <w:tcPr>
            <w:tcW w:w="470" w:type="dxa"/>
            <w:tcBorders>
              <w:top w:val="nil"/>
              <w:left w:val="nil"/>
              <w:bottom w:val="nil"/>
              <w:right w:val="nil"/>
            </w:tcBorders>
            <w:tcMar>
              <w:top w:w="15" w:type="dxa"/>
              <w:left w:w="15" w:type="dxa"/>
              <w:right w:w="15" w:type="dxa"/>
            </w:tcMar>
            <w:vAlign w:val="center"/>
          </w:tcPr>
          <w:p w14:paraId="0BF0CAE8" w14:textId="52DF045F" w:rsidR="5FD410A8" w:rsidRDefault="5FD410A8" w:rsidP="001B3723">
            <w:pPr>
              <w:spacing w:after="0" w:line="480" w:lineRule="auto"/>
            </w:pPr>
          </w:p>
        </w:tc>
        <w:tc>
          <w:tcPr>
            <w:tcW w:w="505" w:type="dxa"/>
            <w:tcBorders>
              <w:top w:val="nil"/>
              <w:left w:val="nil"/>
              <w:bottom w:val="nil"/>
              <w:right w:val="nil"/>
            </w:tcBorders>
            <w:tcMar>
              <w:top w:w="15" w:type="dxa"/>
              <w:left w:w="15" w:type="dxa"/>
              <w:right w:w="15" w:type="dxa"/>
            </w:tcMar>
            <w:vAlign w:val="center"/>
          </w:tcPr>
          <w:p w14:paraId="29B2F6C0" w14:textId="6F853DD8" w:rsidR="5FD410A8" w:rsidRDefault="5FD410A8" w:rsidP="001B3723">
            <w:pPr>
              <w:spacing w:after="0" w:line="480" w:lineRule="auto"/>
              <w:jc w:val="center"/>
            </w:pPr>
            <w:r w:rsidRPr="5FD410A8">
              <w:rPr>
                <w:rFonts w:ascii="Aptos" w:eastAsia="Aptos" w:hAnsi="Aptos" w:cs="Aptos"/>
                <w:color w:val="000000" w:themeColor="text1"/>
              </w:rPr>
              <w:t>-</w:t>
            </w:r>
          </w:p>
        </w:tc>
        <w:tc>
          <w:tcPr>
            <w:tcW w:w="496" w:type="dxa"/>
            <w:tcBorders>
              <w:top w:val="nil"/>
              <w:left w:val="nil"/>
              <w:bottom w:val="nil"/>
              <w:right w:val="nil"/>
            </w:tcBorders>
            <w:tcMar>
              <w:top w:w="15" w:type="dxa"/>
              <w:left w:w="15" w:type="dxa"/>
              <w:right w:w="15" w:type="dxa"/>
            </w:tcMar>
            <w:vAlign w:val="center"/>
          </w:tcPr>
          <w:p w14:paraId="4B9D9828" w14:textId="5C39C79C" w:rsidR="5FD410A8" w:rsidRDefault="5FD410A8" w:rsidP="001B3723">
            <w:pPr>
              <w:spacing w:after="0" w:line="480" w:lineRule="auto"/>
            </w:pPr>
          </w:p>
        </w:tc>
        <w:tc>
          <w:tcPr>
            <w:tcW w:w="488" w:type="dxa"/>
            <w:tcBorders>
              <w:top w:val="nil"/>
              <w:left w:val="nil"/>
              <w:bottom w:val="nil"/>
              <w:right w:val="nil"/>
            </w:tcBorders>
            <w:tcMar>
              <w:top w:w="15" w:type="dxa"/>
              <w:left w:w="15" w:type="dxa"/>
              <w:right w:w="15" w:type="dxa"/>
            </w:tcMar>
            <w:vAlign w:val="center"/>
          </w:tcPr>
          <w:p w14:paraId="69BB9CE5" w14:textId="794B78B0" w:rsidR="5FD410A8" w:rsidRDefault="5FD410A8" w:rsidP="001B3723">
            <w:pPr>
              <w:spacing w:after="0" w:line="480" w:lineRule="auto"/>
            </w:pPr>
          </w:p>
        </w:tc>
        <w:tc>
          <w:tcPr>
            <w:tcW w:w="505" w:type="dxa"/>
            <w:tcBorders>
              <w:top w:val="nil"/>
              <w:left w:val="nil"/>
              <w:bottom w:val="nil"/>
              <w:right w:val="nil"/>
            </w:tcBorders>
            <w:tcMar>
              <w:top w:w="15" w:type="dxa"/>
              <w:left w:w="15" w:type="dxa"/>
              <w:right w:w="15" w:type="dxa"/>
            </w:tcMar>
            <w:vAlign w:val="center"/>
          </w:tcPr>
          <w:p w14:paraId="4F767CBE" w14:textId="08918D5F" w:rsidR="5FD410A8" w:rsidRDefault="5FD410A8" w:rsidP="001B3723">
            <w:pPr>
              <w:spacing w:after="0" w:line="480" w:lineRule="auto"/>
            </w:pPr>
          </w:p>
        </w:tc>
        <w:tc>
          <w:tcPr>
            <w:tcW w:w="472" w:type="dxa"/>
            <w:tcBorders>
              <w:top w:val="nil"/>
              <w:left w:val="nil"/>
              <w:bottom w:val="nil"/>
              <w:right w:val="nil"/>
            </w:tcBorders>
            <w:tcMar>
              <w:top w:w="15" w:type="dxa"/>
              <w:left w:w="15" w:type="dxa"/>
              <w:right w:w="15" w:type="dxa"/>
            </w:tcMar>
            <w:vAlign w:val="center"/>
          </w:tcPr>
          <w:p w14:paraId="6DADF485" w14:textId="225CB1D2" w:rsidR="5FD410A8" w:rsidRDefault="5FD410A8" w:rsidP="001B3723">
            <w:pPr>
              <w:spacing w:after="0" w:line="480" w:lineRule="auto"/>
            </w:pPr>
          </w:p>
        </w:tc>
      </w:tr>
      <w:tr w:rsidR="5FD410A8" w14:paraId="1302E55B" w14:textId="77777777" w:rsidTr="2A4FE2FE">
        <w:trPr>
          <w:trHeight w:val="600"/>
        </w:trPr>
        <w:tc>
          <w:tcPr>
            <w:tcW w:w="1599" w:type="dxa"/>
            <w:tcBorders>
              <w:top w:val="nil"/>
              <w:left w:val="nil"/>
              <w:bottom w:val="nil"/>
              <w:right w:val="nil"/>
            </w:tcBorders>
            <w:tcMar>
              <w:top w:w="15" w:type="dxa"/>
              <w:left w:w="15" w:type="dxa"/>
              <w:right w:w="15" w:type="dxa"/>
            </w:tcMar>
            <w:vAlign w:val="center"/>
          </w:tcPr>
          <w:p w14:paraId="037D367A" w14:textId="323556EC" w:rsidR="5FD410A8" w:rsidRDefault="5FD410A8" w:rsidP="001B3723">
            <w:pPr>
              <w:spacing w:after="0" w:line="480" w:lineRule="auto"/>
            </w:pPr>
            <w:r w:rsidRPr="5FD410A8">
              <w:rPr>
                <w:rFonts w:ascii="Aptos" w:eastAsia="Aptos" w:hAnsi="Aptos" w:cs="Aptos"/>
                <w:color w:val="000000" w:themeColor="text1"/>
              </w:rPr>
              <w:lastRenderedPageBreak/>
              <w:t>2. Jumping to Conclusions Bias</w:t>
            </w:r>
          </w:p>
        </w:tc>
        <w:tc>
          <w:tcPr>
            <w:tcW w:w="507" w:type="dxa"/>
            <w:tcBorders>
              <w:top w:val="nil"/>
              <w:left w:val="nil"/>
              <w:bottom w:val="nil"/>
              <w:right w:val="nil"/>
            </w:tcBorders>
            <w:tcMar>
              <w:top w:w="15" w:type="dxa"/>
              <w:left w:w="15" w:type="dxa"/>
              <w:right w:w="15" w:type="dxa"/>
            </w:tcMar>
            <w:vAlign w:val="center"/>
          </w:tcPr>
          <w:p w14:paraId="708973D3" w14:textId="54E9570B" w:rsidR="5FD410A8" w:rsidRDefault="1D319E6F" w:rsidP="001B3723">
            <w:pPr>
              <w:spacing w:after="0" w:line="480" w:lineRule="auto"/>
              <w:jc w:val="center"/>
              <w:rPr>
                <w:rFonts w:ascii="Aptos" w:eastAsia="Aptos" w:hAnsi="Aptos" w:cs="Aptos"/>
                <w:color w:val="000000" w:themeColor="text1"/>
              </w:rPr>
            </w:pPr>
            <w:r w:rsidRPr="2A4FE2FE">
              <w:rPr>
                <w:rFonts w:ascii="Aptos" w:eastAsia="Aptos" w:hAnsi="Aptos" w:cs="Aptos"/>
                <w:color w:val="000000" w:themeColor="text1"/>
              </w:rPr>
              <w:t>.</w:t>
            </w:r>
            <w:r w:rsidR="6C63C433" w:rsidRPr="2A4FE2FE">
              <w:rPr>
                <w:rFonts w:ascii="Aptos" w:eastAsia="Aptos" w:hAnsi="Aptos" w:cs="Aptos"/>
                <w:color w:val="000000" w:themeColor="text1"/>
              </w:rPr>
              <w:t>51</w:t>
            </w:r>
            <w:r w:rsidRPr="2A4FE2FE">
              <w:rPr>
                <w:rFonts w:ascii="Aptos" w:eastAsia="Aptos" w:hAnsi="Aptos" w:cs="Aptos"/>
                <w:color w:val="000000" w:themeColor="text1"/>
              </w:rPr>
              <w:t>**</w:t>
            </w:r>
          </w:p>
        </w:tc>
        <w:tc>
          <w:tcPr>
            <w:tcW w:w="496" w:type="dxa"/>
            <w:tcBorders>
              <w:top w:val="nil"/>
              <w:left w:val="nil"/>
              <w:bottom w:val="nil"/>
              <w:right w:val="nil"/>
            </w:tcBorders>
            <w:tcMar>
              <w:top w:w="15" w:type="dxa"/>
              <w:left w:w="15" w:type="dxa"/>
              <w:right w:w="15" w:type="dxa"/>
            </w:tcMar>
            <w:vAlign w:val="center"/>
          </w:tcPr>
          <w:p w14:paraId="5C020D49" w14:textId="549C3EE0" w:rsidR="5FD410A8" w:rsidRDefault="5FD410A8" w:rsidP="001B3723">
            <w:pPr>
              <w:spacing w:after="0" w:line="480" w:lineRule="auto"/>
              <w:jc w:val="center"/>
            </w:pPr>
            <w:r w:rsidRPr="5FD410A8">
              <w:rPr>
                <w:rFonts w:ascii="Aptos" w:eastAsia="Aptos" w:hAnsi="Aptos" w:cs="Aptos"/>
                <w:color w:val="000000" w:themeColor="text1"/>
              </w:rPr>
              <w:t>-</w:t>
            </w:r>
          </w:p>
        </w:tc>
        <w:tc>
          <w:tcPr>
            <w:tcW w:w="496" w:type="dxa"/>
            <w:tcBorders>
              <w:top w:val="nil"/>
              <w:left w:val="nil"/>
              <w:bottom w:val="nil"/>
              <w:right w:val="nil"/>
            </w:tcBorders>
            <w:tcMar>
              <w:top w:w="15" w:type="dxa"/>
              <w:left w:w="15" w:type="dxa"/>
              <w:right w:w="15" w:type="dxa"/>
            </w:tcMar>
            <w:vAlign w:val="center"/>
          </w:tcPr>
          <w:p w14:paraId="132271D7" w14:textId="57446E94" w:rsidR="5FD410A8" w:rsidRDefault="5FD410A8" w:rsidP="001B3723">
            <w:pPr>
              <w:spacing w:after="0" w:line="480" w:lineRule="auto"/>
            </w:pPr>
          </w:p>
        </w:tc>
        <w:tc>
          <w:tcPr>
            <w:tcW w:w="505" w:type="dxa"/>
            <w:tcBorders>
              <w:top w:val="nil"/>
              <w:left w:val="nil"/>
              <w:bottom w:val="nil"/>
              <w:right w:val="nil"/>
            </w:tcBorders>
            <w:tcMar>
              <w:top w:w="15" w:type="dxa"/>
              <w:left w:w="15" w:type="dxa"/>
              <w:right w:w="15" w:type="dxa"/>
            </w:tcMar>
            <w:vAlign w:val="center"/>
          </w:tcPr>
          <w:p w14:paraId="57779147" w14:textId="40AB6069" w:rsidR="5FD410A8" w:rsidRDefault="5FD410A8" w:rsidP="001B3723">
            <w:pPr>
              <w:spacing w:after="0" w:line="480" w:lineRule="auto"/>
            </w:pPr>
          </w:p>
        </w:tc>
        <w:tc>
          <w:tcPr>
            <w:tcW w:w="470" w:type="dxa"/>
            <w:tcBorders>
              <w:top w:val="nil"/>
              <w:left w:val="nil"/>
              <w:bottom w:val="nil"/>
              <w:right w:val="nil"/>
            </w:tcBorders>
            <w:tcMar>
              <w:top w:w="15" w:type="dxa"/>
              <w:left w:w="15" w:type="dxa"/>
              <w:right w:w="15" w:type="dxa"/>
            </w:tcMar>
            <w:vAlign w:val="center"/>
          </w:tcPr>
          <w:p w14:paraId="44AE5861" w14:textId="016956E3" w:rsidR="5FD410A8" w:rsidRDefault="5FD410A8" w:rsidP="001B3723">
            <w:pPr>
              <w:spacing w:after="0" w:line="480" w:lineRule="auto"/>
            </w:pPr>
          </w:p>
        </w:tc>
        <w:tc>
          <w:tcPr>
            <w:tcW w:w="505" w:type="dxa"/>
            <w:tcBorders>
              <w:top w:val="nil"/>
              <w:left w:val="nil"/>
              <w:bottom w:val="nil"/>
              <w:right w:val="nil"/>
            </w:tcBorders>
            <w:tcMar>
              <w:top w:w="15" w:type="dxa"/>
              <w:left w:w="15" w:type="dxa"/>
              <w:right w:w="15" w:type="dxa"/>
            </w:tcMar>
            <w:vAlign w:val="center"/>
          </w:tcPr>
          <w:p w14:paraId="4EF69040" w14:textId="7E4D71B1" w:rsidR="5FD410A8" w:rsidRDefault="1D319E6F" w:rsidP="001B3723">
            <w:pPr>
              <w:spacing w:after="0" w:line="480" w:lineRule="auto"/>
              <w:jc w:val="center"/>
              <w:rPr>
                <w:rFonts w:ascii="Aptos" w:eastAsia="Aptos" w:hAnsi="Aptos" w:cs="Aptos"/>
                <w:color w:val="000000" w:themeColor="text1"/>
              </w:rPr>
            </w:pPr>
            <w:r w:rsidRPr="2A4FE2FE">
              <w:rPr>
                <w:rFonts w:ascii="Aptos" w:eastAsia="Aptos" w:hAnsi="Aptos" w:cs="Aptos"/>
                <w:color w:val="000000" w:themeColor="text1"/>
              </w:rPr>
              <w:t>.</w:t>
            </w:r>
            <w:r w:rsidR="4127046A" w:rsidRPr="2A4FE2FE">
              <w:rPr>
                <w:rFonts w:ascii="Aptos" w:eastAsia="Aptos" w:hAnsi="Aptos" w:cs="Aptos"/>
                <w:color w:val="000000" w:themeColor="text1"/>
              </w:rPr>
              <w:t>41**</w:t>
            </w:r>
          </w:p>
        </w:tc>
        <w:tc>
          <w:tcPr>
            <w:tcW w:w="496" w:type="dxa"/>
            <w:tcBorders>
              <w:top w:val="nil"/>
              <w:left w:val="nil"/>
              <w:bottom w:val="nil"/>
              <w:right w:val="nil"/>
            </w:tcBorders>
            <w:tcMar>
              <w:top w:w="15" w:type="dxa"/>
              <w:left w:w="15" w:type="dxa"/>
              <w:right w:w="15" w:type="dxa"/>
            </w:tcMar>
            <w:vAlign w:val="center"/>
          </w:tcPr>
          <w:p w14:paraId="607F1D9E" w14:textId="1DD90216" w:rsidR="5FD410A8" w:rsidRDefault="5FD410A8" w:rsidP="001B3723">
            <w:pPr>
              <w:spacing w:after="0" w:line="480" w:lineRule="auto"/>
              <w:jc w:val="center"/>
            </w:pPr>
            <w:r w:rsidRPr="5FD410A8">
              <w:rPr>
                <w:rFonts w:ascii="Aptos" w:eastAsia="Aptos" w:hAnsi="Aptos" w:cs="Aptos"/>
                <w:color w:val="000000" w:themeColor="text1"/>
              </w:rPr>
              <w:t>-</w:t>
            </w:r>
          </w:p>
        </w:tc>
        <w:tc>
          <w:tcPr>
            <w:tcW w:w="500" w:type="dxa"/>
            <w:tcBorders>
              <w:top w:val="nil"/>
              <w:left w:val="nil"/>
              <w:bottom w:val="nil"/>
              <w:right w:val="nil"/>
            </w:tcBorders>
            <w:tcMar>
              <w:top w:w="15" w:type="dxa"/>
              <w:left w:w="15" w:type="dxa"/>
              <w:right w:w="15" w:type="dxa"/>
            </w:tcMar>
            <w:vAlign w:val="center"/>
          </w:tcPr>
          <w:p w14:paraId="0704E7D1" w14:textId="133F8855" w:rsidR="5FD410A8" w:rsidRDefault="5FD410A8" w:rsidP="001B3723">
            <w:pPr>
              <w:spacing w:after="0" w:line="480" w:lineRule="auto"/>
            </w:pPr>
          </w:p>
        </w:tc>
        <w:tc>
          <w:tcPr>
            <w:tcW w:w="505" w:type="dxa"/>
            <w:tcBorders>
              <w:top w:val="nil"/>
              <w:left w:val="nil"/>
              <w:bottom w:val="nil"/>
              <w:right w:val="nil"/>
            </w:tcBorders>
            <w:tcMar>
              <w:top w:w="15" w:type="dxa"/>
              <w:left w:w="15" w:type="dxa"/>
              <w:right w:w="15" w:type="dxa"/>
            </w:tcMar>
            <w:vAlign w:val="center"/>
          </w:tcPr>
          <w:p w14:paraId="6E674AC2" w14:textId="7C881A1E" w:rsidR="5FD410A8" w:rsidRDefault="5FD410A8" w:rsidP="001B3723">
            <w:pPr>
              <w:spacing w:after="0" w:line="480" w:lineRule="auto"/>
            </w:pPr>
          </w:p>
        </w:tc>
        <w:tc>
          <w:tcPr>
            <w:tcW w:w="470" w:type="dxa"/>
            <w:tcBorders>
              <w:top w:val="nil"/>
              <w:left w:val="nil"/>
              <w:bottom w:val="nil"/>
              <w:right w:val="nil"/>
            </w:tcBorders>
            <w:tcMar>
              <w:top w:w="15" w:type="dxa"/>
              <w:left w:w="15" w:type="dxa"/>
              <w:right w:w="15" w:type="dxa"/>
            </w:tcMar>
            <w:vAlign w:val="center"/>
          </w:tcPr>
          <w:p w14:paraId="76962EC7" w14:textId="299E7F6E" w:rsidR="5FD410A8" w:rsidRDefault="5FD410A8" w:rsidP="001B3723">
            <w:pPr>
              <w:spacing w:after="0" w:line="480" w:lineRule="auto"/>
            </w:pPr>
          </w:p>
        </w:tc>
        <w:tc>
          <w:tcPr>
            <w:tcW w:w="505" w:type="dxa"/>
            <w:tcBorders>
              <w:top w:val="nil"/>
              <w:left w:val="nil"/>
              <w:bottom w:val="nil"/>
              <w:right w:val="nil"/>
            </w:tcBorders>
            <w:tcMar>
              <w:top w:w="15" w:type="dxa"/>
              <w:left w:w="15" w:type="dxa"/>
              <w:right w:w="15" w:type="dxa"/>
            </w:tcMar>
            <w:vAlign w:val="center"/>
          </w:tcPr>
          <w:p w14:paraId="34F46577" w14:textId="2271264A" w:rsidR="5FD410A8" w:rsidRDefault="1D319E6F" w:rsidP="001B3723">
            <w:pPr>
              <w:spacing w:after="0" w:line="480" w:lineRule="auto"/>
              <w:jc w:val="center"/>
              <w:rPr>
                <w:rFonts w:ascii="Aptos" w:eastAsia="Aptos" w:hAnsi="Aptos" w:cs="Aptos"/>
                <w:color w:val="000000" w:themeColor="text1"/>
              </w:rPr>
            </w:pPr>
            <w:r w:rsidRPr="2A4FE2FE">
              <w:rPr>
                <w:rFonts w:ascii="Aptos" w:eastAsia="Aptos" w:hAnsi="Aptos" w:cs="Aptos"/>
                <w:color w:val="000000" w:themeColor="text1"/>
              </w:rPr>
              <w:t>.</w:t>
            </w:r>
            <w:r w:rsidR="5932A303" w:rsidRPr="2A4FE2FE">
              <w:rPr>
                <w:rFonts w:ascii="Aptos" w:eastAsia="Aptos" w:hAnsi="Aptos" w:cs="Aptos"/>
                <w:color w:val="000000" w:themeColor="text1"/>
              </w:rPr>
              <w:t>40**</w:t>
            </w:r>
          </w:p>
        </w:tc>
        <w:tc>
          <w:tcPr>
            <w:tcW w:w="496" w:type="dxa"/>
            <w:tcBorders>
              <w:top w:val="nil"/>
              <w:left w:val="nil"/>
              <w:bottom w:val="nil"/>
              <w:right w:val="nil"/>
            </w:tcBorders>
            <w:tcMar>
              <w:top w:w="15" w:type="dxa"/>
              <w:left w:w="15" w:type="dxa"/>
              <w:right w:w="15" w:type="dxa"/>
            </w:tcMar>
            <w:vAlign w:val="center"/>
          </w:tcPr>
          <w:p w14:paraId="1FE06DB9" w14:textId="0D32B0B3" w:rsidR="5FD410A8" w:rsidRDefault="5FD410A8" w:rsidP="001B3723">
            <w:pPr>
              <w:spacing w:after="0" w:line="480" w:lineRule="auto"/>
              <w:jc w:val="center"/>
            </w:pPr>
            <w:r w:rsidRPr="5FD410A8">
              <w:rPr>
                <w:rFonts w:ascii="Aptos" w:eastAsia="Aptos" w:hAnsi="Aptos" w:cs="Aptos"/>
                <w:color w:val="000000" w:themeColor="text1"/>
              </w:rPr>
              <w:t>-</w:t>
            </w:r>
          </w:p>
        </w:tc>
        <w:tc>
          <w:tcPr>
            <w:tcW w:w="488" w:type="dxa"/>
            <w:tcBorders>
              <w:top w:val="nil"/>
              <w:left w:val="nil"/>
              <w:bottom w:val="nil"/>
              <w:right w:val="nil"/>
            </w:tcBorders>
            <w:tcMar>
              <w:top w:w="15" w:type="dxa"/>
              <w:left w:w="15" w:type="dxa"/>
              <w:right w:w="15" w:type="dxa"/>
            </w:tcMar>
            <w:vAlign w:val="center"/>
          </w:tcPr>
          <w:p w14:paraId="4A27E76F" w14:textId="1961B913" w:rsidR="5FD410A8" w:rsidRDefault="5FD410A8" w:rsidP="001B3723">
            <w:pPr>
              <w:spacing w:after="0" w:line="480" w:lineRule="auto"/>
            </w:pPr>
          </w:p>
        </w:tc>
        <w:tc>
          <w:tcPr>
            <w:tcW w:w="505" w:type="dxa"/>
            <w:tcBorders>
              <w:top w:val="nil"/>
              <w:left w:val="nil"/>
              <w:bottom w:val="nil"/>
              <w:right w:val="nil"/>
            </w:tcBorders>
            <w:tcMar>
              <w:top w:w="15" w:type="dxa"/>
              <w:left w:w="15" w:type="dxa"/>
              <w:right w:w="15" w:type="dxa"/>
            </w:tcMar>
            <w:vAlign w:val="center"/>
          </w:tcPr>
          <w:p w14:paraId="7D8CF1DE" w14:textId="2B8A5DBB" w:rsidR="5FD410A8" w:rsidRDefault="5FD410A8" w:rsidP="001B3723">
            <w:pPr>
              <w:spacing w:after="0" w:line="480" w:lineRule="auto"/>
            </w:pPr>
          </w:p>
        </w:tc>
        <w:tc>
          <w:tcPr>
            <w:tcW w:w="472" w:type="dxa"/>
            <w:tcBorders>
              <w:top w:val="nil"/>
              <w:left w:val="nil"/>
              <w:bottom w:val="nil"/>
              <w:right w:val="nil"/>
            </w:tcBorders>
            <w:tcMar>
              <w:top w:w="15" w:type="dxa"/>
              <w:left w:w="15" w:type="dxa"/>
              <w:right w:w="15" w:type="dxa"/>
            </w:tcMar>
            <w:vAlign w:val="center"/>
          </w:tcPr>
          <w:p w14:paraId="41C6547D" w14:textId="7F7C02D5" w:rsidR="5FD410A8" w:rsidRDefault="5FD410A8" w:rsidP="001B3723">
            <w:pPr>
              <w:spacing w:after="0" w:line="480" w:lineRule="auto"/>
            </w:pPr>
          </w:p>
        </w:tc>
      </w:tr>
      <w:tr w:rsidR="5FD410A8" w14:paraId="2DB3E399" w14:textId="77777777" w:rsidTr="2A4FE2FE">
        <w:trPr>
          <w:trHeight w:val="600"/>
        </w:trPr>
        <w:tc>
          <w:tcPr>
            <w:tcW w:w="1599" w:type="dxa"/>
            <w:tcBorders>
              <w:top w:val="nil"/>
              <w:left w:val="nil"/>
              <w:bottom w:val="nil"/>
              <w:right w:val="nil"/>
            </w:tcBorders>
            <w:tcMar>
              <w:top w:w="15" w:type="dxa"/>
              <w:left w:w="15" w:type="dxa"/>
              <w:right w:w="15" w:type="dxa"/>
            </w:tcMar>
            <w:vAlign w:val="center"/>
          </w:tcPr>
          <w:p w14:paraId="2C0D7609" w14:textId="60D3FD74" w:rsidR="5FD410A8" w:rsidRDefault="5FD410A8" w:rsidP="001B3723">
            <w:pPr>
              <w:spacing w:after="0" w:line="480" w:lineRule="auto"/>
            </w:pPr>
            <w:r w:rsidRPr="5FD410A8">
              <w:rPr>
                <w:rFonts w:ascii="Aptos" w:eastAsia="Aptos" w:hAnsi="Aptos" w:cs="Aptos"/>
                <w:color w:val="000000" w:themeColor="text1"/>
              </w:rPr>
              <w:t>3. Neuroticism</w:t>
            </w:r>
          </w:p>
        </w:tc>
        <w:tc>
          <w:tcPr>
            <w:tcW w:w="507" w:type="dxa"/>
            <w:tcBorders>
              <w:top w:val="nil"/>
              <w:left w:val="nil"/>
              <w:bottom w:val="nil"/>
              <w:right w:val="nil"/>
            </w:tcBorders>
            <w:tcMar>
              <w:top w:w="15" w:type="dxa"/>
              <w:left w:w="15" w:type="dxa"/>
              <w:right w:w="15" w:type="dxa"/>
            </w:tcMar>
            <w:vAlign w:val="center"/>
          </w:tcPr>
          <w:p w14:paraId="392EDE86" w14:textId="68B14F01" w:rsidR="5FD410A8" w:rsidRDefault="43C1D169" w:rsidP="001B3723">
            <w:pPr>
              <w:spacing w:after="0" w:line="480" w:lineRule="auto"/>
              <w:jc w:val="center"/>
              <w:rPr>
                <w:rFonts w:ascii="Aptos" w:eastAsia="Aptos" w:hAnsi="Aptos" w:cs="Aptos"/>
                <w:color w:val="000000" w:themeColor="text1"/>
              </w:rPr>
            </w:pPr>
            <w:r w:rsidRPr="2A4FE2FE">
              <w:rPr>
                <w:rFonts w:ascii="Aptos" w:eastAsia="Aptos" w:hAnsi="Aptos" w:cs="Aptos"/>
                <w:color w:val="000000" w:themeColor="text1"/>
              </w:rPr>
              <w:t>.68**</w:t>
            </w:r>
            <w:r w:rsidR="1D319E6F" w:rsidRPr="2A4FE2FE">
              <w:rPr>
                <w:rFonts w:ascii="Aptos" w:eastAsia="Aptos" w:hAnsi="Aptos" w:cs="Aptos"/>
                <w:color w:val="000000" w:themeColor="text1"/>
              </w:rPr>
              <w:t xml:space="preserve">  </w:t>
            </w:r>
          </w:p>
        </w:tc>
        <w:tc>
          <w:tcPr>
            <w:tcW w:w="496" w:type="dxa"/>
            <w:tcBorders>
              <w:top w:val="nil"/>
              <w:left w:val="nil"/>
              <w:bottom w:val="nil"/>
              <w:right w:val="nil"/>
            </w:tcBorders>
            <w:tcMar>
              <w:top w:w="15" w:type="dxa"/>
              <w:left w:w="15" w:type="dxa"/>
              <w:right w:w="15" w:type="dxa"/>
            </w:tcMar>
            <w:vAlign w:val="center"/>
          </w:tcPr>
          <w:p w14:paraId="052C21F9" w14:textId="754442A1" w:rsidR="5FD410A8" w:rsidRDefault="5514EFB0" w:rsidP="001B3723">
            <w:pPr>
              <w:spacing w:after="0" w:line="480" w:lineRule="auto"/>
              <w:jc w:val="center"/>
              <w:rPr>
                <w:rFonts w:ascii="Aptos" w:eastAsia="Aptos" w:hAnsi="Aptos" w:cs="Aptos"/>
                <w:color w:val="000000" w:themeColor="text1"/>
              </w:rPr>
            </w:pPr>
            <w:r w:rsidRPr="2A4FE2FE">
              <w:rPr>
                <w:rFonts w:ascii="Aptos" w:eastAsia="Aptos" w:hAnsi="Aptos" w:cs="Aptos"/>
                <w:color w:val="000000" w:themeColor="text1"/>
              </w:rPr>
              <w:t>.43**</w:t>
            </w:r>
          </w:p>
        </w:tc>
        <w:tc>
          <w:tcPr>
            <w:tcW w:w="496" w:type="dxa"/>
            <w:tcBorders>
              <w:top w:val="nil"/>
              <w:left w:val="nil"/>
              <w:bottom w:val="nil"/>
              <w:right w:val="nil"/>
            </w:tcBorders>
            <w:tcMar>
              <w:top w:w="15" w:type="dxa"/>
              <w:left w:w="15" w:type="dxa"/>
              <w:right w:w="15" w:type="dxa"/>
            </w:tcMar>
            <w:vAlign w:val="center"/>
          </w:tcPr>
          <w:p w14:paraId="1544CAA7" w14:textId="77963165" w:rsidR="5FD410A8" w:rsidRDefault="5FD410A8" w:rsidP="001B3723">
            <w:pPr>
              <w:spacing w:after="0" w:line="480" w:lineRule="auto"/>
              <w:jc w:val="center"/>
            </w:pPr>
            <w:r w:rsidRPr="5FD410A8">
              <w:rPr>
                <w:rFonts w:ascii="Aptos" w:eastAsia="Aptos" w:hAnsi="Aptos" w:cs="Aptos"/>
                <w:color w:val="000000" w:themeColor="text1"/>
              </w:rPr>
              <w:t>-</w:t>
            </w:r>
          </w:p>
        </w:tc>
        <w:tc>
          <w:tcPr>
            <w:tcW w:w="505" w:type="dxa"/>
            <w:tcBorders>
              <w:top w:val="nil"/>
              <w:left w:val="nil"/>
              <w:bottom w:val="nil"/>
              <w:right w:val="nil"/>
            </w:tcBorders>
            <w:tcMar>
              <w:top w:w="15" w:type="dxa"/>
              <w:left w:w="15" w:type="dxa"/>
              <w:right w:w="15" w:type="dxa"/>
            </w:tcMar>
            <w:vAlign w:val="center"/>
          </w:tcPr>
          <w:p w14:paraId="77AA0D2D" w14:textId="71E62B1D" w:rsidR="5FD410A8" w:rsidRDefault="5FD410A8" w:rsidP="001B3723">
            <w:pPr>
              <w:spacing w:after="0" w:line="480" w:lineRule="auto"/>
            </w:pPr>
          </w:p>
        </w:tc>
        <w:tc>
          <w:tcPr>
            <w:tcW w:w="470" w:type="dxa"/>
            <w:tcBorders>
              <w:top w:val="nil"/>
              <w:left w:val="nil"/>
              <w:bottom w:val="nil"/>
              <w:right w:val="nil"/>
            </w:tcBorders>
            <w:tcMar>
              <w:top w:w="15" w:type="dxa"/>
              <w:left w:w="15" w:type="dxa"/>
              <w:right w:w="15" w:type="dxa"/>
            </w:tcMar>
            <w:vAlign w:val="center"/>
          </w:tcPr>
          <w:p w14:paraId="646AD234" w14:textId="24F3719F" w:rsidR="5FD410A8" w:rsidRDefault="5FD410A8" w:rsidP="001B3723">
            <w:pPr>
              <w:spacing w:after="0" w:line="480" w:lineRule="auto"/>
            </w:pPr>
          </w:p>
        </w:tc>
        <w:tc>
          <w:tcPr>
            <w:tcW w:w="505" w:type="dxa"/>
            <w:tcBorders>
              <w:top w:val="nil"/>
              <w:left w:val="nil"/>
              <w:bottom w:val="nil"/>
              <w:right w:val="nil"/>
            </w:tcBorders>
            <w:tcMar>
              <w:top w:w="15" w:type="dxa"/>
              <w:left w:w="15" w:type="dxa"/>
              <w:right w:w="15" w:type="dxa"/>
            </w:tcMar>
            <w:vAlign w:val="center"/>
          </w:tcPr>
          <w:p w14:paraId="39D7A988" w14:textId="59CF7323" w:rsidR="5FD410A8" w:rsidRDefault="67EBB48B" w:rsidP="001B3723">
            <w:pPr>
              <w:spacing w:after="0" w:line="480" w:lineRule="auto"/>
              <w:jc w:val="center"/>
              <w:rPr>
                <w:rFonts w:ascii="Aptos" w:eastAsia="Aptos" w:hAnsi="Aptos" w:cs="Aptos"/>
                <w:color w:val="000000" w:themeColor="text1"/>
              </w:rPr>
            </w:pPr>
            <w:r w:rsidRPr="2A4FE2FE">
              <w:rPr>
                <w:rFonts w:ascii="Aptos" w:eastAsia="Aptos" w:hAnsi="Aptos" w:cs="Aptos"/>
                <w:color w:val="000000" w:themeColor="text1"/>
              </w:rPr>
              <w:t>.46**</w:t>
            </w:r>
          </w:p>
        </w:tc>
        <w:tc>
          <w:tcPr>
            <w:tcW w:w="496" w:type="dxa"/>
            <w:tcBorders>
              <w:top w:val="nil"/>
              <w:left w:val="nil"/>
              <w:bottom w:val="nil"/>
              <w:right w:val="nil"/>
            </w:tcBorders>
            <w:tcMar>
              <w:top w:w="15" w:type="dxa"/>
              <w:left w:w="15" w:type="dxa"/>
              <w:right w:w="15" w:type="dxa"/>
            </w:tcMar>
            <w:vAlign w:val="center"/>
          </w:tcPr>
          <w:p w14:paraId="3FCAEA18" w14:textId="7AD5C5F6" w:rsidR="5FD410A8" w:rsidRDefault="67EBB48B" w:rsidP="001B3723">
            <w:pPr>
              <w:spacing w:after="0" w:line="480" w:lineRule="auto"/>
              <w:jc w:val="center"/>
              <w:rPr>
                <w:rFonts w:ascii="Aptos" w:eastAsia="Aptos" w:hAnsi="Aptos" w:cs="Aptos"/>
                <w:color w:val="000000" w:themeColor="text1"/>
              </w:rPr>
            </w:pPr>
            <w:r w:rsidRPr="2A4FE2FE">
              <w:rPr>
                <w:rFonts w:ascii="Aptos" w:eastAsia="Aptos" w:hAnsi="Aptos" w:cs="Aptos"/>
                <w:color w:val="000000" w:themeColor="text1"/>
              </w:rPr>
              <w:t>.24*</w:t>
            </w:r>
          </w:p>
        </w:tc>
        <w:tc>
          <w:tcPr>
            <w:tcW w:w="500" w:type="dxa"/>
            <w:tcBorders>
              <w:top w:val="nil"/>
              <w:left w:val="nil"/>
              <w:bottom w:val="nil"/>
              <w:right w:val="nil"/>
            </w:tcBorders>
            <w:tcMar>
              <w:top w:w="15" w:type="dxa"/>
              <w:left w:w="15" w:type="dxa"/>
              <w:right w:w="15" w:type="dxa"/>
            </w:tcMar>
            <w:vAlign w:val="center"/>
          </w:tcPr>
          <w:p w14:paraId="5548C5DB" w14:textId="540ED917" w:rsidR="5FD410A8" w:rsidRDefault="5FD410A8" w:rsidP="001B3723">
            <w:pPr>
              <w:spacing w:after="0" w:line="480" w:lineRule="auto"/>
              <w:jc w:val="center"/>
            </w:pPr>
            <w:r w:rsidRPr="5FD410A8">
              <w:rPr>
                <w:rFonts w:ascii="Aptos" w:eastAsia="Aptos" w:hAnsi="Aptos" w:cs="Aptos"/>
                <w:color w:val="000000" w:themeColor="text1"/>
              </w:rPr>
              <w:t>-</w:t>
            </w:r>
          </w:p>
        </w:tc>
        <w:tc>
          <w:tcPr>
            <w:tcW w:w="505" w:type="dxa"/>
            <w:tcBorders>
              <w:top w:val="nil"/>
              <w:left w:val="nil"/>
              <w:bottom w:val="nil"/>
              <w:right w:val="nil"/>
            </w:tcBorders>
            <w:tcMar>
              <w:top w:w="15" w:type="dxa"/>
              <w:left w:w="15" w:type="dxa"/>
              <w:right w:w="15" w:type="dxa"/>
            </w:tcMar>
            <w:vAlign w:val="center"/>
          </w:tcPr>
          <w:p w14:paraId="385D36B7" w14:textId="7D6116F1" w:rsidR="5FD410A8" w:rsidRDefault="5FD410A8" w:rsidP="001B3723">
            <w:pPr>
              <w:spacing w:after="0" w:line="480" w:lineRule="auto"/>
            </w:pPr>
          </w:p>
        </w:tc>
        <w:tc>
          <w:tcPr>
            <w:tcW w:w="470" w:type="dxa"/>
            <w:tcBorders>
              <w:top w:val="nil"/>
              <w:left w:val="nil"/>
              <w:bottom w:val="nil"/>
              <w:right w:val="nil"/>
            </w:tcBorders>
            <w:tcMar>
              <w:top w:w="15" w:type="dxa"/>
              <w:left w:w="15" w:type="dxa"/>
              <w:right w:w="15" w:type="dxa"/>
            </w:tcMar>
            <w:vAlign w:val="center"/>
          </w:tcPr>
          <w:p w14:paraId="56F41640" w14:textId="6F73A11C" w:rsidR="5FD410A8" w:rsidRDefault="5FD410A8" w:rsidP="001B3723">
            <w:pPr>
              <w:spacing w:after="0" w:line="480" w:lineRule="auto"/>
            </w:pPr>
          </w:p>
        </w:tc>
        <w:tc>
          <w:tcPr>
            <w:tcW w:w="505" w:type="dxa"/>
            <w:tcBorders>
              <w:top w:val="nil"/>
              <w:left w:val="nil"/>
              <w:bottom w:val="nil"/>
              <w:right w:val="nil"/>
            </w:tcBorders>
            <w:tcMar>
              <w:top w:w="15" w:type="dxa"/>
              <w:left w:w="15" w:type="dxa"/>
              <w:right w:w="15" w:type="dxa"/>
            </w:tcMar>
            <w:vAlign w:val="center"/>
          </w:tcPr>
          <w:p w14:paraId="4675B253" w14:textId="081ED287" w:rsidR="5FD410A8" w:rsidRDefault="1D319E6F" w:rsidP="001B3723">
            <w:pPr>
              <w:spacing w:after="0" w:line="480" w:lineRule="auto"/>
              <w:jc w:val="center"/>
            </w:pPr>
            <w:r w:rsidRPr="2A4FE2FE">
              <w:rPr>
                <w:rFonts w:ascii="Aptos" w:eastAsia="Aptos" w:hAnsi="Aptos" w:cs="Aptos"/>
                <w:color w:val="000000" w:themeColor="text1"/>
              </w:rPr>
              <w:t>.</w:t>
            </w:r>
            <w:r w:rsidR="7E7FCB83" w:rsidRPr="2A4FE2FE">
              <w:rPr>
                <w:rFonts w:ascii="Aptos" w:eastAsia="Aptos" w:hAnsi="Aptos" w:cs="Aptos"/>
                <w:color w:val="000000" w:themeColor="text1"/>
              </w:rPr>
              <w:t>68</w:t>
            </w:r>
            <w:r w:rsidRPr="2A4FE2FE">
              <w:rPr>
                <w:rFonts w:ascii="Aptos" w:eastAsia="Aptos" w:hAnsi="Aptos" w:cs="Aptos"/>
                <w:color w:val="000000" w:themeColor="text1"/>
              </w:rPr>
              <w:t>*</w:t>
            </w:r>
            <w:r w:rsidR="7F73E7C4" w:rsidRPr="2A4FE2FE">
              <w:rPr>
                <w:rFonts w:ascii="Aptos" w:eastAsia="Aptos" w:hAnsi="Aptos" w:cs="Aptos"/>
                <w:color w:val="000000" w:themeColor="text1"/>
              </w:rPr>
              <w:t>*</w:t>
            </w:r>
          </w:p>
        </w:tc>
        <w:tc>
          <w:tcPr>
            <w:tcW w:w="496" w:type="dxa"/>
            <w:tcBorders>
              <w:top w:val="nil"/>
              <w:left w:val="nil"/>
              <w:bottom w:val="nil"/>
              <w:right w:val="nil"/>
            </w:tcBorders>
            <w:tcMar>
              <w:top w:w="15" w:type="dxa"/>
              <w:left w:w="15" w:type="dxa"/>
              <w:right w:w="15" w:type="dxa"/>
            </w:tcMar>
            <w:vAlign w:val="center"/>
          </w:tcPr>
          <w:p w14:paraId="20FC840B" w14:textId="544DC337" w:rsidR="5FD410A8" w:rsidRDefault="1D319E6F" w:rsidP="001B3723">
            <w:pPr>
              <w:spacing w:after="0" w:line="480" w:lineRule="auto"/>
              <w:jc w:val="center"/>
              <w:rPr>
                <w:rFonts w:ascii="Aptos" w:eastAsia="Aptos" w:hAnsi="Aptos" w:cs="Aptos"/>
                <w:color w:val="000000" w:themeColor="text1"/>
              </w:rPr>
            </w:pPr>
            <w:r w:rsidRPr="2A4FE2FE">
              <w:rPr>
                <w:rFonts w:ascii="Aptos" w:eastAsia="Aptos" w:hAnsi="Aptos" w:cs="Aptos"/>
                <w:color w:val="000000" w:themeColor="text1"/>
              </w:rPr>
              <w:t>.</w:t>
            </w:r>
            <w:r w:rsidR="3732FAC3" w:rsidRPr="2A4FE2FE">
              <w:rPr>
                <w:rFonts w:ascii="Aptos" w:eastAsia="Aptos" w:hAnsi="Aptos" w:cs="Aptos"/>
                <w:color w:val="000000" w:themeColor="text1"/>
              </w:rPr>
              <w:t>44**</w:t>
            </w:r>
          </w:p>
        </w:tc>
        <w:tc>
          <w:tcPr>
            <w:tcW w:w="488" w:type="dxa"/>
            <w:tcBorders>
              <w:top w:val="nil"/>
              <w:left w:val="nil"/>
              <w:bottom w:val="nil"/>
              <w:right w:val="nil"/>
            </w:tcBorders>
            <w:tcMar>
              <w:top w:w="15" w:type="dxa"/>
              <w:left w:w="15" w:type="dxa"/>
              <w:right w:w="15" w:type="dxa"/>
            </w:tcMar>
            <w:vAlign w:val="center"/>
          </w:tcPr>
          <w:p w14:paraId="2C0BA115" w14:textId="277EDB5F" w:rsidR="5FD410A8" w:rsidRDefault="5FD410A8" w:rsidP="001B3723">
            <w:pPr>
              <w:spacing w:after="0" w:line="480" w:lineRule="auto"/>
              <w:jc w:val="center"/>
            </w:pPr>
            <w:r w:rsidRPr="5FD410A8">
              <w:rPr>
                <w:rFonts w:ascii="Aptos" w:eastAsia="Aptos" w:hAnsi="Aptos" w:cs="Aptos"/>
                <w:color w:val="000000" w:themeColor="text1"/>
              </w:rPr>
              <w:t>-</w:t>
            </w:r>
          </w:p>
        </w:tc>
        <w:tc>
          <w:tcPr>
            <w:tcW w:w="505" w:type="dxa"/>
            <w:tcBorders>
              <w:top w:val="nil"/>
              <w:left w:val="nil"/>
              <w:bottom w:val="nil"/>
              <w:right w:val="nil"/>
            </w:tcBorders>
            <w:tcMar>
              <w:top w:w="15" w:type="dxa"/>
              <w:left w:w="15" w:type="dxa"/>
              <w:right w:w="15" w:type="dxa"/>
            </w:tcMar>
            <w:vAlign w:val="center"/>
          </w:tcPr>
          <w:p w14:paraId="4E56A41D" w14:textId="4AA84F87" w:rsidR="5FD410A8" w:rsidRDefault="5FD410A8" w:rsidP="001B3723">
            <w:pPr>
              <w:spacing w:after="0" w:line="480" w:lineRule="auto"/>
            </w:pPr>
          </w:p>
        </w:tc>
        <w:tc>
          <w:tcPr>
            <w:tcW w:w="472" w:type="dxa"/>
            <w:tcBorders>
              <w:top w:val="nil"/>
              <w:left w:val="nil"/>
              <w:bottom w:val="nil"/>
              <w:right w:val="nil"/>
            </w:tcBorders>
            <w:tcMar>
              <w:top w:w="15" w:type="dxa"/>
              <w:left w:w="15" w:type="dxa"/>
              <w:right w:w="15" w:type="dxa"/>
            </w:tcMar>
            <w:vAlign w:val="center"/>
          </w:tcPr>
          <w:p w14:paraId="22986B26" w14:textId="5834CA01" w:rsidR="5FD410A8" w:rsidRDefault="5FD410A8" w:rsidP="001B3723">
            <w:pPr>
              <w:spacing w:after="0" w:line="480" w:lineRule="auto"/>
            </w:pPr>
          </w:p>
        </w:tc>
      </w:tr>
      <w:tr w:rsidR="5FD410A8" w14:paraId="51BB29DE" w14:textId="77777777" w:rsidTr="2A4FE2FE">
        <w:trPr>
          <w:trHeight w:val="600"/>
        </w:trPr>
        <w:tc>
          <w:tcPr>
            <w:tcW w:w="1599" w:type="dxa"/>
            <w:tcBorders>
              <w:top w:val="nil"/>
              <w:left w:val="nil"/>
              <w:bottom w:val="nil"/>
              <w:right w:val="nil"/>
            </w:tcBorders>
            <w:tcMar>
              <w:top w:w="15" w:type="dxa"/>
              <w:left w:w="15" w:type="dxa"/>
              <w:right w:w="15" w:type="dxa"/>
            </w:tcMar>
            <w:vAlign w:val="center"/>
          </w:tcPr>
          <w:p w14:paraId="52E57D1F" w14:textId="24B5A882" w:rsidR="5FD410A8" w:rsidRDefault="5FD410A8" w:rsidP="001B3723">
            <w:pPr>
              <w:spacing w:after="0" w:line="480" w:lineRule="auto"/>
            </w:pPr>
            <w:r w:rsidRPr="5FD410A8">
              <w:rPr>
                <w:rFonts w:ascii="Aptos" w:eastAsia="Aptos" w:hAnsi="Aptos" w:cs="Aptos"/>
                <w:color w:val="000000" w:themeColor="text1"/>
              </w:rPr>
              <w:t>4. Paranoia</w:t>
            </w:r>
          </w:p>
        </w:tc>
        <w:tc>
          <w:tcPr>
            <w:tcW w:w="507" w:type="dxa"/>
            <w:tcBorders>
              <w:top w:val="nil"/>
              <w:left w:val="nil"/>
              <w:bottom w:val="nil"/>
              <w:right w:val="nil"/>
            </w:tcBorders>
            <w:tcMar>
              <w:top w:w="15" w:type="dxa"/>
              <w:left w:w="15" w:type="dxa"/>
              <w:right w:w="15" w:type="dxa"/>
            </w:tcMar>
            <w:vAlign w:val="center"/>
          </w:tcPr>
          <w:p w14:paraId="58FE22D6" w14:textId="5DD7F26B" w:rsidR="5FD410A8" w:rsidRDefault="5FD410A8" w:rsidP="001B3723">
            <w:pPr>
              <w:spacing w:after="0" w:line="480" w:lineRule="auto"/>
              <w:jc w:val="center"/>
            </w:pPr>
            <w:r w:rsidRPr="5FD410A8">
              <w:rPr>
                <w:rFonts w:ascii="Aptos" w:eastAsia="Aptos" w:hAnsi="Aptos" w:cs="Aptos"/>
                <w:color w:val="000000" w:themeColor="text1"/>
              </w:rPr>
              <w:t>.36**</w:t>
            </w:r>
          </w:p>
        </w:tc>
        <w:tc>
          <w:tcPr>
            <w:tcW w:w="496" w:type="dxa"/>
            <w:tcBorders>
              <w:top w:val="nil"/>
              <w:left w:val="nil"/>
              <w:bottom w:val="nil"/>
              <w:right w:val="nil"/>
            </w:tcBorders>
            <w:tcMar>
              <w:top w:w="15" w:type="dxa"/>
              <w:left w:w="15" w:type="dxa"/>
              <w:right w:w="15" w:type="dxa"/>
            </w:tcMar>
            <w:vAlign w:val="center"/>
          </w:tcPr>
          <w:p w14:paraId="0963B6B5" w14:textId="7A259471" w:rsidR="5FD410A8" w:rsidRDefault="6785F72B" w:rsidP="001B3723">
            <w:pPr>
              <w:spacing w:after="0" w:line="480" w:lineRule="auto"/>
              <w:jc w:val="center"/>
              <w:rPr>
                <w:rFonts w:ascii="Aptos" w:eastAsia="Aptos" w:hAnsi="Aptos" w:cs="Aptos"/>
                <w:color w:val="000000" w:themeColor="text1"/>
              </w:rPr>
            </w:pPr>
            <w:r w:rsidRPr="2A4FE2FE">
              <w:rPr>
                <w:rFonts w:ascii="Aptos" w:eastAsia="Aptos" w:hAnsi="Aptos" w:cs="Aptos"/>
                <w:color w:val="000000" w:themeColor="text1"/>
              </w:rPr>
              <w:t>.52**</w:t>
            </w:r>
          </w:p>
        </w:tc>
        <w:tc>
          <w:tcPr>
            <w:tcW w:w="496" w:type="dxa"/>
            <w:tcBorders>
              <w:top w:val="nil"/>
              <w:left w:val="nil"/>
              <w:bottom w:val="nil"/>
              <w:right w:val="nil"/>
            </w:tcBorders>
            <w:tcMar>
              <w:top w:w="15" w:type="dxa"/>
              <w:left w:w="15" w:type="dxa"/>
              <w:right w:w="15" w:type="dxa"/>
            </w:tcMar>
            <w:vAlign w:val="center"/>
          </w:tcPr>
          <w:p w14:paraId="24F22894" w14:textId="6686369B" w:rsidR="5FD410A8" w:rsidRDefault="196E4D32" w:rsidP="001B3723">
            <w:pPr>
              <w:spacing w:after="0" w:line="480" w:lineRule="auto"/>
              <w:jc w:val="center"/>
              <w:rPr>
                <w:rFonts w:ascii="Aptos" w:eastAsia="Aptos" w:hAnsi="Aptos" w:cs="Aptos"/>
                <w:color w:val="000000" w:themeColor="text1"/>
              </w:rPr>
            </w:pPr>
            <w:r w:rsidRPr="2A4FE2FE">
              <w:rPr>
                <w:rFonts w:ascii="Aptos" w:eastAsia="Aptos" w:hAnsi="Aptos" w:cs="Aptos"/>
                <w:color w:val="000000" w:themeColor="text1"/>
              </w:rPr>
              <w:t>.24*</w:t>
            </w:r>
          </w:p>
        </w:tc>
        <w:tc>
          <w:tcPr>
            <w:tcW w:w="505" w:type="dxa"/>
            <w:tcBorders>
              <w:top w:val="nil"/>
              <w:left w:val="nil"/>
              <w:bottom w:val="nil"/>
              <w:right w:val="nil"/>
            </w:tcBorders>
            <w:tcMar>
              <w:top w:w="15" w:type="dxa"/>
              <w:left w:w="15" w:type="dxa"/>
              <w:right w:w="15" w:type="dxa"/>
            </w:tcMar>
            <w:vAlign w:val="center"/>
          </w:tcPr>
          <w:p w14:paraId="5CE84C5C" w14:textId="19171C65" w:rsidR="5FD410A8" w:rsidRDefault="5FD410A8" w:rsidP="001B3723">
            <w:pPr>
              <w:spacing w:after="0" w:line="480" w:lineRule="auto"/>
              <w:jc w:val="center"/>
            </w:pPr>
            <w:r w:rsidRPr="5FD410A8">
              <w:rPr>
                <w:rFonts w:ascii="Aptos" w:eastAsia="Aptos" w:hAnsi="Aptos" w:cs="Aptos"/>
                <w:color w:val="000000" w:themeColor="text1"/>
              </w:rPr>
              <w:t>-</w:t>
            </w:r>
          </w:p>
        </w:tc>
        <w:tc>
          <w:tcPr>
            <w:tcW w:w="470" w:type="dxa"/>
            <w:tcBorders>
              <w:top w:val="nil"/>
              <w:left w:val="nil"/>
              <w:bottom w:val="nil"/>
              <w:right w:val="nil"/>
            </w:tcBorders>
            <w:tcMar>
              <w:top w:w="15" w:type="dxa"/>
              <w:left w:w="15" w:type="dxa"/>
              <w:right w:w="15" w:type="dxa"/>
            </w:tcMar>
            <w:vAlign w:val="center"/>
          </w:tcPr>
          <w:p w14:paraId="17B90C2C" w14:textId="0D772501" w:rsidR="5FD410A8" w:rsidRDefault="5FD410A8" w:rsidP="001B3723">
            <w:pPr>
              <w:spacing w:after="0" w:line="480" w:lineRule="auto"/>
            </w:pPr>
          </w:p>
        </w:tc>
        <w:tc>
          <w:tcPr>
            <w:tcW w:w="505" w:type="dxa"/>
            <w:tcBorders>
              <w:top w:val="nil"/>
              <w:left w:val="nil"/>
              <w:bottom w:val="nil"/>
              <w:right w:val="nil"/>
            </w:tcBorders>
            <w:tcMar>
              <w:top w:w="15" w:type="dxa"/>
              <w:left w:w="15" w:type="dxa"/>
              <w:right w:w="15" w:type="dxa"/>
            </w:tcMar>
            <w:vAlign w:val="center"/>
          </w:tcPr>
          <w:p w14:paraId="2B1701E4" w14:textId="77D2AFD0" w:rsidR="5FD410A8" w:rsidRDefault="5FD410A8" w:rsidP="001B3723">
            <w:pPr>
              <w:spacing w:after="0" w:line="480" w:lineRule="auto"/>
              <w:jc w:val="center"/>
            </w:pPr>
            <w:r w:rsidRPr="5FD410A8">
              <w:rPr>
                <w:rFonts w:ascii="Aptos" w:eastAsia="Aptos" w:hAnsi="Aptos" w:cs="Aptos"/>
                <w:color w:val="000000" w:themeColor="text1"/>
              </w:rPr>
              <w:t>.41**</w:t>
            </w:r>
          </w:p>
        </w:tc>
        <w:tc>
          <w:tcPr>
            <w:tcW w:w="496" w:type="dxa"/>
            <w:tcBorders>
              <w:top w:val="nil"/>
              <w:left w:val="nil"/>
              <w:bottom w:val="nil"/>
              <w:right w:val="nil"/>
            </w:tcBorders>
            <w:tcMar>
              <w:top w:w="15" w:type="dxa"/>
              <w:left w:w="15" w:type="dxa"/>
              <w:right w:w="15" w:type="dxa"/>
            </w:tcMar>
            <w:vAlign w:val="center"/>
          </w:tcPr>
          <w:p w14:paraId="0E5E5DA8" w14:textId="1F2E7D1C" w:rsidR="5FD410A8" w:rsidRDefault="1D319E6F" w:rsidP="001B3723">
            <w:pPr>
              <w:spacing w:after="0" w:line="480" w:lineRule="auto"/>
              <w:jc w:val="center"/>
              <w:rPr>
                <w:rFonts w:ascii="Aptos" w:eastAsia="Aptos" w:hAnsi="Aptos" w:cs="Aptos"/>
                <w:color w:val="000000" w:themeColor="text1"/>
              </w:rPr>
            </w:pPr>
            <w:r w:rsidRPr="2A4FE2FE">
              <w:rPr>
                <w:rFonts w:ascii="Aptos" w:eastAsia="Aptos" w:hAnsi="Aptos" w:cs="Aptos"/>
                <w:color w:val="000000" w:themeColor="text1"/>
              </w:rPr>
              <w:t>.</w:t>
            </w:r>
            <w:r w:rsidR="016B3931" w:rsidRPr="2A4FE2FE">
              <w:rPr>
                <w:rFonts w:ascii="Aptos" w:eastAsia="Aptos" w:hAnsi="Aptos" w:cs="Aptos"/>
                <w:color w:val="000000" w:themeColor="text1"/>
              </w:rPr>
              <w:t>23*</w:t>
            </w:r>
          </w:p>
        </w:tc>
        <w:tc>
          <w:tcPr>
            <w:tcW w:w="500" w:type="dxa"/>
            <w:tcBorders>
              <w:top w:val="nil"/>
              <w:left w:val="nil"/>
              <w:bottom w:val="nil"/>
              <w:right w:val="nil"/>
            </w:tcBorders>
            <w:tcMar>
              <w:top w:w="15" w:type="dxa"/>
              <w:left w:w="15" w:type="dxa"/>
              <w:right w:w="15" w:type="dxa"/>
            </w:tcMar>
            <w:vAlign w:val="center"/>
          </w:tcPr>
          <w:p w14:paraId="352D8A0F" w14:textId="1129C6DB" w:rsidR="5FD410A8" w:rsidRDefault="3B4BA474" w:rsidP="001B3723">
            <w:pPr>
              <w:spacing w:after="0" w:line="480" w:lineRule="auto"/>
              <w:jc w:val="center"/>
              <w:rPr>
                <w:rFonts w:ascii="Aptos" w:eastAsia="Aptos" w:hAnsi="Aptos" w:cs="Aptos"/>
                <w:color w:val="000000" w:themeColor="text1"/>
              </w:rPr>
            </w:pPr>
            <w:r w:rsidRPr="2A4FE2FE">
              <w:rPr>
                <w:rFonts w:ascii="Aptos" w:eastAsia="Aptos" w:hAnsi="Aptos" w:cs="Aptos"/>
                <w:color w:val="000000" w:themeColor="text1"/>
              </w:rPr>
              <w:t>.32*</w:t>
            </w:r>
            <w:r w:rsidR="571D1DA7" w:rsidRPr="2A4FE2FE">
              <w:rPr>
                <w:rFonts w:ascii="Aptos" w:eastAsia="Aptos" w:hAnsi="Aptos" w:cs="Aptos"/>
                <w:color w:val="000000" w:themeColor="text1"/>
              </w:rPr>
              <w:t>*</w:t>
            </w:r>
          </w:p>
        </w:tc>
        <w:tc>
          <w:tcPr>
            <w:tcW w:w="505" w:type="dxa"/>
            <w:tcBorders>
              <w:top w:val="nil"/>
              <w:left w:val="nil"/>
              <w:bottom w:val="nil"/>
              <w:right w:val="nil"/>
            </w:tcBorders>
            <w:tcMar>
              <w:top w:w="15" w:type="dxa"/>
              <w:left w:w="15" w:type="dxa"/>
              <w:right w:w="15" w:type="dxa"/>
            </w:tcMar>
            <w:vAlign w:val="center"/>
          </w:tcPr>
          <w:p w14:paraId="4978C788" w14:textId="64FA769B" w:rsidR="5FD410A8" w:rsidRDefault="5FD410A8" w:rsidP="001B3723">
            <w:pPr>
              <w:spacing w:after="0" w:line="480" w:lineRule="auto"/>
              <w:jc w:val="center"/>
            </w:pPr>
            <w:r w:rsidRPr="5FD410A8">
              <w:rPr>
                <w:rFonts w:ascii="Aptos" w:eastAsia="Aptos" w:hAnsi="Aptos" w:cs="Aptos"/>
                <w:color w:val="000000" w:themeColor="text1"/>
              </w:rPr>
              <w:t>-</w:t>
            </w:r>
          </w:p>
        </w:tc>
        <w:tc>
          <w:tcPr>
            <w:tcW w:w="470" w:type="dxa"/>
            <w:tcBorders>
              <w:top w:val="nil"/>
              <w:left w:val="nil"/>
              <w:bottom w:val="nil"/>
              <w:right w:val="nil"/>
            </w:tcBorders>
            <w:tcMar>
              <w:top w:w="15" w:type="dxa"/>
              <w:left w:w="15" w:type="dxa"/>
              <w:right w:w="15" w:type="dxa"/>
            </w:tcMar>
            <w:vAlign w:val="center"/>
          </w:tcPr>
          <w:p w14:paraId="042E47E3" w14:textId="09046A26" w:rsidR="5FD410A8" w:rsidRDefault="5FD410A8" w:rsidP="001B3723">
            <w:pPr>
              <w:spacing w:after="0" w:line="480" w:lineRule="auto"/>
            </w:pPr>
          </w:p>
        </w:tc>
        <w:tc>
          <w:tcPr>
            <w:tcW w:w="505" w:type="dxa"/>
            <w:tcBorders>
              <w:top w:val="nil"/>
              <w:left w:val="nil"/>
              <w:bottom w:val="nil"/>
              <w:right w:val="nil"/>
            </w:tcBorders>
            <w:tcMar>
              <w:top w:w="15" w:type="dxa"/>
              <w:left w:w="15" w:type="dxa"/>
              <w:right w:w="15" w:type="dxa"/>
            </w:tcMar>
            <w:vAlign w:val="center"/>
          </w:tcPr>
          <w:p w14:paraId="3A834CEC" w14:textId="71EA7C34" w:rsidR="5FD410A8" w:rsidRDefault="5FD410A8" w:rsidP="001B3723">
            <w:pPr>
              <w:spacing w:after="0" w:line="480" w:lineRule="auto"/>
              <w:jc w:val="center"/>
            </w:pPr>
            <w:r w:rsidRPr="5FD410A8">
              <w:rPr>
                <w:rFonts w:ascii="Aptos" w:eastAsia="Aptos" w:hAnsi="Aptos" w:cs="Aptos"/>
                <w:color w:val="000000" w:themeColor="text1"/>
              </w:rPr>
              <w:t>.36**</w:t>
            </w:r>
          </w:p>
        </w:tc>
        <w:tc>
          <w:tcPr>
            <w:tcW w:w="496" w:type="dxa"/>
            <w:tcBorders>
              <w:top w:val="nil"/>
              <w:left w:val="nil"/>
              <w:bottom w:val="nil"/>
              <w:right w:val="nil"/>
            </w:tcBorders>
            <w:tcMar>
              <w:top w:w="15" w:type="dxa"/>
              <w:left w:w="15" w:type="dxa"/>
              <w:right w:w="15" w:type="dxa"/>
            </w:tcMar>
            <w:vAlign w:val="center"/>
          </w:tcPr>
          <w:p w14:paraId="200C8922" w14:textId="6B190146" w:rsidR="5FD410A8" w:rsidRDefault="3699A386" w:rsidP="001B3723">
            <w:pPr>
              <w:spacing w:after="0" w:line="480" w:lineRule="auto"/>
              <w:jc w:val="center"/>
              <w:rPr>
                <w:rFonts w:ascii="Aptos" w:eastAsia="Aptos" w:hAnsi="Aptos" w:cs="Aptos"/>
                <w:color w:val="000000" w:themeColor="text1"/>
              </w:rPr>
            </w:pPr>
            <w:r w:rsidRPr="2A4FE2FE">
              <w:rPr>
                <w:rFonts w:ascii="Aptos" w:eastAsia="Aptos" w:hAnsi="Aptos" w:cs="Aptos"/>
                <w:color w:val="000000" w:themeColor="text1"/>
              </w:rPr>
              <w:t>.28*</w:t>
            </w:r>
          </w:p>
        </w:tc>
        <w:tc>
          <w:tcPr>
            <w:tcW w:w="488" w:type="dxa"/>
            <w:tcBorders>
              <w:top w:val="nil"/>
              <w:left w:val="nil"/>
              <w:bottom w:val="nil"/>
              <w:right w:val="nil"/>
            </w:tcBorders>
            <w:tcMar>
              <w:top w:w="15" w:type="dxa"/>
              <w:left w:w="15" w:type="dxa"/>
              <w:right w:w="15" w:type="dxa"/>
            </w:tcMar>
            <w:vAlign w:val="center"/>
          </w:tcPr>
          <w:p w14:paraId="34730251" w14:textId="31A7C0F5" w:rsidR="5FD410A8" w:rsidRDefault="1D319E6F" w:rsidP="001B3723">
            <w:pPr>
              <w:spacing w:after="0" w:line="480" w:lineRule="auto"/>
              <w:jc w:val="center"/>
            </w:pPr>
            <w:r w:rsidRPr="2A4FE2FE">
              <w:rPr>
                <w:rFonts w:ascii="Aptos" w:eastAsia="Aptos" w:hAnsi="Aptos" w:cs="Aptos"/>
                <w:color w:val="000000" w:themeColor="text1"/>
              </w:rPr>
              <w:t>.</w:t>
            </w:r>
            <w:r w:rsidR="44739E61" w:rsidRPr="2A4FE2FE">
              <w:rPr>
                <w:rFonts w:ascii="Aptos" w:eastAsia="Aptos" w:hAnsi="Aptos" w:cs="Aptos"/>
                <w:color w:val="000000" w:themeColor="text1"/>
              </w:rPr>
              <w:t>24*</w:t>
            </w:r>
          </w:p>
        </w:tc>
        <w:tc>
          <w:tcPr>
            <w:tcW w:w="505" w:type="dxa"/>
            <w:tcBorders>
              <w:top w:val="nil"/>
              <w:left w:val="nil"/>
              <w:bottom w:val="nil"/>
              <w:right w:val="nil"/>
            </w:tcBorders>
            <w:tcMar>
              <w:top w:w="15" w:type="dxa"/>
              <w:left w:w="15" w:type="dxa"/>
              <w:right w:w="15" w:type="dxa"/>
            </w:tcMar>
            <w:vAlign w:val="center"/>
          </w:tcPr>
          <w:p w14:paraId="55455579" w14:textId="317338A9" w:rsidR="5FD410A8" w:rsidRDefault="5FD410A8" w:rsidP="001B3723">
            <w:pPr>
              <w:spacing w:after="0" w:line="480" w:lineRule="auto"/>
              <w:jc w:val="center"/>
            </w:pPr>
            <w:r w:rsidRPr="5FD410A8">
              <w:rPr>
                <w:rFonts w:ascii="Aptos" w:eastAsia="Aptos" w:hAnsi="Aptos" w:cs="Aptos"/>
                <w:color w:val="000000" w:themeColor="text1"/>
              </w:rPr>
              <w:t>-</w:t>
            </w:r>
          </w:p>
        </w:tc>
        <w:tc>
          <w:tcPr>
            <w:tcW w:w="472" w:type="dxa"/>
            <w:tcBorders>
              <w:top w:val="nil"/>
              <w:left w:val="nil"/>
              <w:bottom w:val="nil"/>
              <w:right w:val="nil"/>
            </w:tcBorders>
            <w:tcMar>
              <w:top w:w="15" w:type="dxa"/>
              <w:left w:w="15" w:type="dxa"/>
              <w:right w:w="15" w:type="dxa"/>
            </w:tcMar>
            <w:vAlign w:val="center"/>
          </w:tcPr>
          <w:p w14:paraId="6F824E41" w14:textId="0B3B2184" w:rsidR="5FD410A8" w:rsidRDefault="5FD410A8" w:rsidP="001B3723">
            <w:pPr>
              <w:spacing w:after="0" w:line="480" w:lineRule="auto"/>
            </w:pPr>
          </w:p>
        </w:tc>
      </w:tr>
      <w:tr w:rsidR="5FD410A8" w14:paraId="45934173" w14:textId="77777777" w:rsidTr="2A4FE2FE">
        <w:trPr>
          <w:trHeight w:val="600"/>
        </w:trPr>
        <w:tc>
          <w:tcPr>
            <w:tcW w:w="1599" w:type="dxa"/>
            <w:tcBorders>
              <w:top w:val="nil"/>
              <w:left w:val="nil"/>
              <w:bottom w:val="nil"/>
              <w:right w:val="nil"/>
            </w:tcBorders>
            <w:tcMar>
              <w:top w:w="15" w:type="dxa"/>
              <w:left w:w="15" w:type="dxa"/>
              <w:right w:w="15" w:type="dxa"/>
            </w:tcMar>
            <w:vAlign w:val="center"/>
          </w:tcPr>
          <w:p w14:paraId="00C1122B" w14:textId="66B07B7A" w:rsidR="5FD410A8" w:rsidRDefault="5FD410A8" w:rsidP="001B3723">
            <w:pPr>
              <w:spacing w:after="0" w:line="480" w:lineRule="auto"/>
            </w:pPr>
            <w:r w:rsidRPr="5FD410A8">
              <w:rPr>
                <w:rFonts w:ascii="Aptos" w:eastAsia="Aptos" w:hAnsi="Aptos" w:cs="Aptos"/>
                <w:color w:val="000000" w:themeColor="text1"/>
              </w:rPr>
              <w:t>5. Prodromal Symptoms</w:t>
            </w:r>
          </w:p>
        </w:tc>
        <w:tc>
          <w:tcPr>
            <w:tcW w:w="507" w:type="dxa"/>
            <w:tcBorders>
              <w:top w:val="nil"/>
              <w:left w:val="nil"/>
              <w:bottom w:val="nil"/>
              <w:right w:val="nil"/>
            </w:tcBorders>
            <w:tcMar>
              <w:top w:w="15" w:type="dxa"/>
              <w:left w:w="15" w:type="dxa"/>
              <w:right w:w="15" w:type="dxa"/>
            </w:tcMar>
            <w:vAlign w:val="center"/>
          </w:tcPr>
          <w:p w14:paraId="284AE82D" w14:textId="04F17384" w:rsidR="5FD410A8" w:rsidRDefault="5FD410A8" w:rsidP="001B3723">
            <w:pPr>
              <w:spacing w:after="0" w:line="480" w:lineRule="auto"/>
              <w:jc w:val="center"/>
            </w:pPr>
            <w:r w:rsidRPr="5FD410A8">
              <w:rPr>
                <w:rFonts w:ascii="Aptos" w:eastAsia="Aptos" w:hAnsi="Aptos" w:cs="Aptos"/>
                <w:color w:val="000000" w:themeColor="text1"/>
              </w:rPr>
              <w:t>.38**</w:t>
            </w:r>
          </w:p>
        </w:tc>
        <w:tc>
          <w:tcPr>
            <w:tcW w:w="496" w:type="dxa"/>
            <w:tcBorders>
              <w:top w:val="nil"/>
              <w:left w:val="nil"/>
              <w:bottom w:val="nil"/>
              <w:right w:val="nil"/>
            </w:tcBorders>
            <w:tcMar>
              <w:top w:w="15" w:type="dxa"/>
              <w:left w:w="15" w:type="dxa"/>
              <w:right w:w="15" w:type="dxa"/>
            </w:tcMar>
            <w:vAlign w:val="center"/>
          </w:tcPr>
          <w:p w14:paraId="2D0A1289" w14:textId="2A9BB8B0" w:rsidR="5FD410A8" w:rsidRDefault="52DDFA94" w:rsidP="001B3723">
            <w:pPr>
              <w:spacing w:after="0" w:line="480" w:lineRule="auto"/>
              <w:jc w:val="center"/>
              <w:rPr>
                <w:rFonts w:ascii="Aptos" w:eastAsia="Aptos" w:hAnsi="Aptos" w:cs="Aptos"/>
                <w:color w:val="000000" w:themeColor="text1"/>
              </w:rPr>
            </w:pPr>
            <w:r w:rsidRPr="2A4FE2FE">
              <w:rPr>
                <w:rFonts w:ascii="Aptos" w:eastAsia="Aptos" w:hAnsi="Aptos" w:cs="Aptos"/>
                <w:color w:val="000000" w:themeColor="text1"/>
              </w:rPr>
              <w:t>.45**</w:t>
            </w:r>
          </w:p>
        </w:tc>
        <w:tc>
          <w:tcPr>
            <w:tcW w:w="496" w:type="dxa"/>
            <w:tcBorders>
              <w:top w:val="nil"/>
              <w:left w:val="nil"/>
              <w:bottom w:val="nil"/>
              <w:right w:val="nil"/>
            </w:tcBorders>
            <w:tcMar>
              <w:top w:w="15" w:type="dxa"/>
              <w:left w:w="15" w:type="dxa"/>
              <w:right w:w="15" w:type="dxa"/>
            </w:tcMar>
            <w:vAlign w:val="center"/>
          </w:tcPr>
          <w:p w14:paraId="261A6B2C" w14:textId="1E1D3182" w:rsidR="5FD410A8" w:rsidRDefault="75AB24A9" w:rsidP="001B3723">
            <w:pPr>
              <w:spacing w:after="0" w:line="480" w:lineRule="auto"/>
              <w:jc w:val="center"/>
              <w:rPr>
                <w:rFonts w:ascii="Aptos" w:eastAsia="Aptos" w:hAnsi="Aptos" w:cs="Aptos"/>
                <w:color w:val="000000" w:themeColor="text1"/>
              </w:rPr>
            </w:pPr>
            <w:r w:rsidRPr="2A4FE2FE">
              <w:rPr>
                <w:rFonts w:ascii="Aptos" w:eastAsia="Aptos" w:hAnsi="Aptos" w:cs="Aptos"/>
                <w:color w:val="000000" w:themeColor="text1"/>
              </w:rPr>
              <w:t>.35**</w:t>
            </w:r>
          </w:p>
        </w:tc>
        <w:tc>
          <w:tcPr>
            <w:tcW w:w="505" w:type="dxa"/>
            <w:tcBorders>
              <w:top w:val="nil"/>
              <w:left w:val="nil"/>
              <w:bottom w:val="nil"/>
              <w:right w:val="nil"/>
            </w:tcBorders>
            <w:tcMar>
              <w:top w:w="15" w:type="dxa"/>
              <w:left w:w="15" w:type="dxa"/>
              <w:right w:w="15" w:type="dxa"/>
            </w:tcMar>
            <w:vAlign w:val="center"/>
          </w:tcPr>
          <w:p w14:paraId="1B148CC7" w14:textId="3BF4B9C7" w:rsidR="5FD410A8" w:rsidRDefault="5FD410A8" w:rsidP="001B3723">
            <w:pPr>
              <w:spacing w:after="0" w:line="480" w:lineRule="auto"/>
              <w:jc w:val="center"/>
            </w:pPr>
            <w:r w:rsidRPr="5FD410A8">
              <w:rPr>
                <w:rFonts w:ascii="Aptos" w:eastAsia="Aptos" w:hAnsi="Aptos" w:cs="Aptos"/>
                <w:color w:val="000000" w:themeColor="text1"/>
              </w:rPr>
              <w:t>.49**</w:t>
            </w:r>
          </w:p>
        </w:tc>
        <w:tc>
          <w:tcPr>
            <w:tcW w:w="470" w:type="dxa"/>
            <w:tcBorders>
              <w:top w:val="nil"/>
              <w:left w:val="nil"/>
              <w:bottom w:val="nil"/>
              <w:right w:val="nil"/>
            </w:tcBorders>
            <w:tcMar>
              <w:top w:w="15" w:type="dxa"/>
              <w:left w:w="15" w:type="dxa"/>
              <w:right w:w="15" w:type="dxa"/>
            </w:tcMar>
            <w:vAlign w:val="center"/>
          </w:tcPr>
          <w:p w14:paraId="13BC009C" w14:textId="54501980" w:rsidR="5FD410A8" w:rsidRDefault="5FD410A8" w:rsidP="001B3723">
            <w:pPr>
              <w:spacing w:after="0" w:line="480" w:lineRule="auto"/>
              <w:jc w:val="center"/>
            </w:pPr>
            <w:r w:rsidRPr="5FD410A8">
              <w:rPr>
                <w:rFonts w:ascii="Aptos" w:eastAsia="Aptos" w:hAnsi="Aptos" w:cs="Aptos"/>
                <w:color w:val="000000" w:themeColor="text1"/>
              </w:rPr>
              <w:t>-</w:t>
            </w:r>
          </w:p>
        </w:tc>
        <w:tc>
          <w:tcPr>
            <w:tcW w:w="505" w:type="dxa"/>
            <w:tcBorders>
              <w:top w:val="nil"/>
              <w:left w:val="nil"/>
              <w:bottom w:val="nil"/>
              <w:right w:val="nil"/>
            </w:tcBorders>
            <w:tcMar>
              <w:top w:w="15" w:type="dxa"/>
              <w:left w:w="15" w:type="dxa"/>
              <w:right w:w="15" w:type="dxa"/>
            </w:tcMar>
            <w:vAlign w:val="center"/>
          </w:tcPr>
          <w:p w14:paraId="5287961E" w14:textId="2416F76A" w:rsidR="5FD410A8" w:rsidRDefault="5FD410A8" w:rsidP="001B3723">
            <w:pPr>
              <w:spacing w:after="0" w:line="480" w:lineRule="auto"/>
              <w:jc w:val="center"/>
            </w:pPr>
            <w:r w:rsidRPr="5FD410A8">
              <w:rPr>
                <w:rFonts w:ascii="Aptos" w:eastAsia="Aptos" w:hAnsi="Aptos" w:cs="Aptos"/>
                <w:color w:val="000000" w:themeColor="text1"/>
              </w:rPr>
              <w:t>.46**</w:t>
            </w:r>
          </w:p>
        </w:tc>
        <w:tc>
          <w:tcPr>
            <w:tcW w:w="496" w:type="dxa"/>
            <w:tcBorders>
              <w:top w:val="nil"/>
              <w:left w:val="nil"/>
              <w:bottom w:val="nil"/>
              <w:right w:val="nil"/>
            </w:tcBorders>
            <w:tcMar>
              <w:top w:w="15" w:type="dxa"/>
              <w:left w:w="15" w:type="dxa"/>
              <w:right w:w="15" w:type="dxa"/>
            </w:tcMar>
            <w:vAlign w:val="center"/>
          </w:tcPr>
          <w:p w14:paraId="408968FC" w14:textId="781DC29E" w:rsidR="5FD410A8" w:rsidRDefault="1D319E6F" w:rsidP="001B3723">
            <w:pPr>
              <w:spacing w:after="0" w:line="480" w:lineRule="auto"/>
              <w:jc w:val="center"/>
              <w:rPr>
                <w:rFonts w:ascii="Aptos" w:eastAsia="Aptos" w:hAnsi="Aptos" w:cs="Aptos"/>
                <w:color w:val="000000" w:themeColor="text1"/>
              </w:rPr>
            </w:pPr>
            <w:r w:rsidRPr="2A4FE2FE">
              <w:rPr>
                <w:rFonts w:ascii="Aptos" w:eastAsia="Aptos" w:hAnsi="Aptos" w:cs="Aptos"/>
                <w:color w:val="000000" w:themeColor="text1"/>
              </w:rPr>
              <w:t>.</w:t>
            </w:r>
            <w:r w:rsidR="28CA8B44" w:rsidRPr="2A4FE2FE">
              <w:rPr>
                <w:rFonts w:ascii="Aptos" w:eastAsia="Aptos" w:hAnsi="Aptos" w:cs="Aptos"/>
                <w:color w:val="000000" w:themeColor="text1"/>
              </w:rPr>
              <w:t>34**</w:t>
            </w:r>
          </w:p>
        </w:tc>
        <w:tc>
          <w:tcPr>
            <w:tcW w:w="500" w:type="dxa"/>
            <w:tcBorders>
              <w:top w:val="nil"/>
              <w:left w:val="nil"/>
              <w:bottom w:val="nil"/>
              <w:right w:val="nil"/>
            </w:tcBorders>
            <w:tcMar>
              <w:top w:w="15" w:type="dxa"/>
              <w:left w:w="15" w:type="dxa"/>
              <w:right w:w="15" w:type="dxa"/>
            </w:tcMar>
            <w:vAlign w:val="center"/>
          </w:tcPr>
          <w:p w14:paraId="1950DFAA" w14:textId="1CB33FED" w:rsidR="5FD410A8" w:rsidRDefault="1D319E6F" w:rsidP="001B3723">
            <w:pPr>
              <w:spacing w:after="0" w:line="480" w:lineRule="auto"/>
              <w:jc w:val="center"/>
            </w:pPr>
            <w:r w:rsidRPr="2A4FE2FE">
              <w:rPr>
                <w:rFonts w:ascii="Aptos" w:eastAsia="Aptos" w:hAnsi="Aptos" w:cs="Aptos"/>
                <w:color w:val="000000" w:themeColor="text1"/>
              </w:rPr>
              <w:t>.</w:t>
            </w:r>
            <w:r w:rsidR="76ECC983" w:rsidRPr="2A4FE2FE">
              <w:rPr>
                <w:rFonts w:ascii="Aptos" w:eastAsia="Aptos" w:hAnsi="Aptos" w:cs="Aptos"/>
                <w:color w:val="000000" w:themeColor="text1"/>
              </w:rPr>
              <w:t>27*</w:t>
            </w:r>
          </w:p>
        </w:tc>
        <w:tc>
          <w:tcPr>
            <w:tcW w:w="505" w:type="dxa"/>
            <w:tcBorders>
              <w:top w:val="nil"/>
              <w:left w:val="nil"/>
              <w:bottom w:val="nil"/>
              <w:right w:val="nil"/>
            </w:tcBorders>
            <w:tcMar>
              <w:top w:w="15" w:type="dxa"/>
              <w:left w:w="15" w:type="dxa"/>
              <w:right w:w="15" w:type="dxa"/>
            </w:tcMar>
            <w:vAlign w:val="center"/>
          </w:tcPr>
          <w:p w14:paraId="30CC8739" w14:textId="28AD2419" w:rsidR="5FD410A8" w:rsidRDefault="5FD410A8" w:rsidP="001B3723">
            <w:pPr>
              <w:spacing w:after="0" w:line="480" w:lineRule="auto"/>
              <w:jc w:val="center"/>
            </w:pPr>
            <w:r w:rsidRPr="5FD410A8">
              <w:rPr>
                <w:rFonts w:ascii="Aptos" w:eastAsia="Aptos" w:hAnsi="Aptos" w:cs="Aptos"/>
                <w:color w:val="000000" w:themeColor="text1"/>
              </w:rPr>
              <w:t>.33**</w:t>
            </w:r>
          </w:p>
        </w:tc>
        <w:tc>
          <w:tcPr>
            <w:tcW w:w="470" w:type="dxa"/>
            <w:tcBorders>
              <w:top w:val="nil"/>
              <w:left w:val="nil"/>
              <w:bottom w:val="nil"/>
              <w:right w:val="nil"/>
            </w:tcBorders>
            <w:tcMar>
              <w:top w:w="15" w:type="dxa"/>
              <w:left w:w="15" w:type="dxa"/>
              <w:right w:w="15" w:type="dxa"/>
            </w:tcMar>
            <w:vAlign w:val="center"/>
          </w:tcPr>
          <w:p w14:paraId="61A1EFB2" w14:textId="001F6D6B" w:rsidR="5FD410A8" w:rsidRDefault="5FD410A8" w:rsidP="001B3723">
            <w:pPr>
              <w:spacing w:after="0" w:line="480" w:lineRule="auto"/>
              <w:jc w:val="center"/>
            </w:pPr>
            <w:r w:rsidRPr="5FD410A8">
              <w:rPr>
                <w:rFonts w:ascii="Aptos" w:eastAsia="Aptos" w:hAnsi="Aptos" w:cs="Aptos"/>
                <w:color w:val="000000" w:themeColor="text1"/>
              </w:rPr>
              <w:t>-</w:t>
            </w:r>
          </w:p>
        </w:tc>
        <w:tc>
          <w:tcPr>
            <w:tcW w:w="505" w:type="dxa"/>
            <w:tcBorders>
              <w:top w:val="nil"/>
              <w:left w:val="nil"/>
              <w:bottom w:val="nil"/>
              <w:right w:val="nil"/>
            </w:tcBorders>
            <w:tcMar>
              <w:top w:w="15" w:type="dxa"/>
              <w:left w:w="15" w:type="dxa"/>
              <w:right w:w="15" w:type="dxa"/>
            </w:tcMar>
            <w:vAlign w:val="center"/>
          </w:tcPr>
          <w:p w14:paraId="00E68967" w14:textId="55409AD4" w:rsidR="5FD410A8" w:rsidRDefault="5FD410A8" w:rsidP="001B3723">
            <w:pPr>
              <w:spacing w:after="0" w:line="480" w:lineRule="auto"/>
              <w:jc w:val="center"/>
            </w:pPr>
            <w:r w:rsidRPr="5FD410A8">
              <w:rPr>
                <w:rFonts w:ascii="Aptos" w:eastAsia="Aptos" w:hAnsi="Aptos" w:cs="Aptos"/>
                <w:color w:val="000000" w:themeColor="text1"/>
              </w:rPr>
              <w:t>.41**</w:t>
            </w:r>
          </w:p>
        </w:tc>
        <w:tc>
          <w:tcPr>
            <w:tcW w:w="496" w:type="dxa"/>
            <w:tcBorders>
              <w:top w:val="nil"/>
              <w:left w:val="nil"/>
              <w:bottom w:val="nil"/>
              <w:right w:val="nil"/>
            </w:tcBorders>
            <w:tcMar>
              <w:top w:w="15" w:type="dxa"/>
              <w:left w:w="15" w:type="dxa"/>
              <w:right w:w="15" w:type="dxa"/>
            </w:tcMar>
            <w:vAlign w:val="center"/>
          </w:tcPr>
          <w:p w14:paraId="3D4E9050" w14:textId="34DFFF9A" w:rsidR="5FD410A8" w:rsidRDefault="56BF0147" w:rsidP="001B3723">
            <w:pPr>
              <w:spacing w:after="0" w:line="480" w:lineRule="auto"/>
              <w:jc w:val="center"/>
              <w:rPr>
                <w:rFonts w:ascii="Aptos" w:eastAsia="Aptos" w:hAnsi="Aptos" w:cs="Aptos"/>
                <w:color w:val="000000" w:themeColor="text1"/>
              </w:rPr>
            </w:pPr>
            <w:r w:rsidRPr="2A4FE2FE">
              <w:rPr>
                <w:rFonts w:ascii="Aptos" w:eastAsia="Aptos" w:hAnsi="Aptos" w:cs="Aptos"/>
                <w:color w:val="000000" w:themeColor="text1"/>
              </w:rPr>
              <w:t>.34**</w:t>
            </w:r>
          </w:p>
        </w:tc>
        <w:tc>
          <w:tcPr>
            <w:tcW w:w="488" w:type="dxa"/>
            <w:tcBorders>
              <w:top w:val="nil"/>
              <w:left w:val="nil"/>
              <w:bottom w:val="nil"/>
              <w:right w:val="nil"/>
            </w:tcBorders>
            <w:tcMar>
              <w:top w:w="15" w:type="dxa"/>
              <w:left w:w="15" w:type="dxa"/>
              <w:right w:w="15" w:type="dxa"/>
            </w:tcMar>
            <w:vAlign w:val="center"/>
          </w:tcPr>
          <w:p w14:paraId="53902EFA" w14:textId="3EC88449" w:rsidR="5FD410A8" w:rsidRDefault="1D319E6F" w:rsidP="001B3723">
            <w:pPr>
              <w:spacing w:after="0" w:line="480" w:lineRule="auto"/>
              <w:jc w:val="center"/>
            </w:pPr>
            <w:r w:rsidRPr="2A4FE2FE">
              <w:rPr>
                <w:rFonts w:ascii="Aptos" w:eastAsia="Aptos" w:hAnsi="Aptos" w:cs="Aptos"/>
                <w:color w:val="000000" w:themeColor="text1"/>
              </w:rPr>
              <w:t>.</w:t>
            </w:r>
            <w:r w:rsidR="33868613" w:rsidRPr="2A4FE2FE">
              <w:rPr>
                <w:rFonts w:ascii="Aptos" w:eastAsia="Aptos" w:hAnsi="Aptos" w:cs="Aptos"/>
                <w:color w:val="000000" w:themeColor="text1"/>
              </w:rPr>
              <w:t>35**</w:t>
            </w:r>
          </w:p>
        </w:tc>
        <w:tc>
          <w:tcPr>
            <w:tcW w:w="505" w:type="dxa"/>
            <w:tcBorders>
              <w:top w:val="nil"/>
              <w:left w:val="nil"/>
              <w:bottom w:val="nil"/>
              <w:right w:val="nil"/>
            </w:tcBorders>
            <w:tcMar>
              <w:top w:w="15" w:type="dxa"/>
              <w:left w:w="15" w:type="dxa"/>
              <w:right w:w="15" w:type="dxa"/>
            </w:tcMar>
            <w:vAlign w:val="center"/>
          </w:tcPr>
          <w:p w14:paraId="157F2DFB" w14:textId="4183CD53" w:rsidR="5FD410A8" w:rsidRDefault="5FD410A8" w:rsidP="001B3723">
            <w:pPr>
              <w:spacing w:after="0" w:line="480" w:lineRule="auto"/>
              <w:jc w:val="center"/>
            </w:pPr>
            <w:r w:rsidRPr="5FD410A8">
              <w:rPr>
                <w:rFonts w:ascii="Aptos" w:eastAsia="Aptos" w:hAnsi="Aptos" w:cs="Aptos"/>
                <w:color w:val="000000" w:themeColor="text1"/>
              </w:rPr>
              <w:t>.41**</w:t>
            </w:r>
          </w:p>
        </w:tc>
        <w:tc>
          <w:tcPr>
            <w:tcW w:w="472" w:type="dxa"/>
            <w:tcBorders>
              <w:top w:val="nil"/>
              <w:left w:val="nil"/>
              <w:bottom w:val="nil"/>
              <w:right w:val="nil"/>
            </w:tcBorders>
            <w:tcMar>
              <w:top w:w="15" w:type="dxa"/>
              <w:left w:w="15" w:type="dxa"/>
              <w:right w:w="15" w:type="dxa"/>
            </w:tcMar>
            <w:vAlign w:val="center"/>
          </w:tcPr>
          <w:p w14:paraId="56A4E1F5" w14:textId="09A67CE7" w:rsidR="5FD410A8" w:rsidRDefault="5FD410A8" w:rsidP="001B3723">
            <w:pPr>
              <w:spacing w:after="0" w:line="480" w:lineRule="auto"/>
              <w:jc w:val="center"/>
            </w:pPr>
            <w:r w:rsidRPr="5FD410A8">
              <w:rPr>
                <w:rFonts w:ascii="Aptos" w:eastAsia="Aptos" w:hAnsi="Aptos" w:cs="Aptos"/>
                <w:color w:val="000000" w:themeColor="text1"/>
              </w:rPr>
              <w:t>-</w:t>
            </w:r>
          </w:p>
        </w:tc>
      </w:tr>
      <w:tr w:rsidR="5FD410A8" w14:paraId="6CA485F1" w14:textId="77777777" w:rsidTr="2A4FE2FE">
        <w:trPr>
          <w:trHeight w:val="300"/>
        </w:trPr>
        <w:tc>
          <w:tcPr>
            <w:tcW w:w="1599" w:type="dxa"/>
            <w:tcBorders>
              <w:top w:val="nil"/>
              <w:left w:val="nil"/>
              <w:bottom w:val="double" w:sz="5" w:space="0" w:color="auto"/>
              <w:right w:val="nil"/>
            </w:tcBorders>
            <w:tcMar>
              <w:top w:w="15" w:type="dxa"/>
              <w:left w:w="15" w:type="dxa"/>
              <w:right w:w="15" w:type="dxa"/>
            </w:tcMar>
            <w:vAlign w:val="bottom"/>
          </w:tcPr>
          <w:p w14:paraId="518FE606" w14:textId="27201679" w:rsidR="5FD410A8" w:rsidRDefault="5FD410A8" w:rsidP="001B3723">
            <w:pPr>
              <w:spacing w:after="0" w:line="480" w:lineRule="auto"/>
            </w:pPr>
            <w:r w:rsidRPr="5FD410A8">
              <w:rPr>
                <w:rFonts w:ascii="Aptos" w:eastAsia="Aptos" w:hAnsi="Aptos" w:cs="Aptos"/>
                <w:color w:val="000000" w:themeColor="text1"/>
              </w:rPr>
              <w:t xml:space="preserve"> </w:t>
            </w:r>
          </w:p>
        </w:tc>
        <w:tc>
          <w:tcPr>
            <w:tcW w:w="507" w:type="dxa"/>
            <w:tcBorders>
              <w:top w:val="nil"/>
              <w:left w:val="nil"/>
              <w:bottom w:val="double" w:sz="5" w:space="0" w:color="auto"/>
              <w:right w:val="nil"/>
            </w:tcBorders>
            <w:tcMar>
              <w:top w:w="15" w:type="dxa"/>
              <w:left w:w="15" w:type="dxa"/>
              <w:right w:w="15" w:type="dxa"/>
            </w:tcMar>
            <w:vAlign w:val="bottom"/>
          </w:tcPr>
          <w:p w14:paraId="286918FF" w14:textId="3785E291" w:rsidR="5FD410A8" w:rsidRDefault="5FD410A8" w:rsidP="001B3723">
            <w:pPr>
              <w:spacing w:after="0" w:line="480" w:lineRule="auto"/>
              <w:jc w:val="center"/>
            </w:pPr>
            <w:r w:rsidRPr="5FD410A8">
              <w:rPr>
                <w:rFonts w:ascii="Aptos" w:eastAsia="Aptos" w:hAnsi="Aptos" w:cs="Aptos"/>
                <w:color w:val="000000" w:themeColor="text1"/>
              </w:rPr>
              <w:t xml:space="preserve"> </w:t>
            </w:r>
          </w:p>
        </w:tc>
        <w:tc>
          <w:tcPr>
            <w:tcW w:w="496" w:type="dxa"/>
            <w:tcBorders>
              <w:top w:val="nil"/>
              <w:left w:val="nil"/>
              <w:bottom w:val="double" w:sz="5" w:space="0" w:color="auto"/>
              <w:right w:val="nil"/>
            </w:tcBorders>
            <w:tcMar>
              <w:top w:w="15" w:type="dxa"/>
              <w:left w:w="15" w:type="dxa"/>
              <w:right w:w="15" w:type="dxa"/>
            </w:tcMar>
            <w:vAlign w:val="bottom"/>
          </w:tcPr>
          <w:p w14:paraId="75FE9ADC" w14:textId="4465ACFA" w:rsidR="5FD410A8" w:rsidRDefault="5FD410A8" w:rsidP="001B3723">
            <w:pPr>
              <w:spacing w:after="0" w:line="480" w:lineRule="auto"/>
              <w:jc w:val="center"/>
            </w:pPr>
            <w:r w:rsidRPr="5FD410A8">
              <w:rPr>
                <w:rFonts w:ascii="Aptos" w:eastAsia="Aptos" w:hAnsi="Aptos" w:cs="Aptos"/>
                <w:color w:val="000000" w:themeColor="text1"/>
              </w:rPr>
              <w:t xml:space="preserve"> </w:t>
            </w:r>
          </w:p>
        </w:tc>
        <w:tc>
          <w:tcPr>
            <w:tcW w:w="496" w:type="dxa"/>
            <w:tcBorders>
              <w:top w:val="nil"/>
              <w:left w:val="nil"/>
              <w:bottom w:val="double" w:sz="5" w:space="0" w:color="auto"/>
              <w:right w:val="nil"/>
            </w:tcBorders>
            <w:tcMar>
              <w:top w:w="15" w:type="dxa"/>
              <w:left w:w="15" w:type="dxa"/>
              <w:right w:w="15" w:type="dxa"/>
            </w:tcMar>
            <w:vAlign w:val="bottom"/>
          </w:tcPr>
          <w:p w14:paraId="06395F30" w14:textId="3BAAD20C" w:rsidR="5FD410A8" w:rsidRDefault="5FD410A8" w:rsidP="001B3723">
            <w:pPr>
              <w:spacing w:after="0" w:line="480" w:lineRule="auto"/>
              <w:jc w:val="center"/>
            </w:pPr>
            <w:r w:rsidRPr="5FD410A8">
              <w:rPr>
                <w:rFonts w:ascii="Aptos" w:eastAsia="Aptos" w:hAnsi="Aptos" w:cs="Aptos"/>
                <w:color w:val="000000" w:themeColor="text1"/>
              </w:rPr>
              <w:t xml:space="preserve"> </w:t>
            </w:r>
          </w:p>
        </w:tc>
        <w:tc>
          <w:tcPr>
            <w:tcW w:w="505" w:type="dxa"/>
            <w:tcBorders>
              <w:top w:val="nil"/>
              <w:left w:val="nil"/>
              <w:bottom w:val="double" w:sz="5" w:space="0" w:color="auto"/>
              <w:right w:val="nil"/>
            </w:tcBorders>
            <w:tcMar>
              <w:top w:w="15" w:type="dxa"/>
              <w:left w:w="15" w:type="dxa"/>
              <w:right w:w="15" w:type="dxa"/>
            </w:tcMar>
            <w:vAlign w:val="bottom"/>
          </w:tcPr>
          <w:p w14:paraId="1B698100" w14:textId="0BB0A02B" w:rsidR="5FD410A8" w:rsidRDefault="5FD410A8" w:rsidP="001B3723">
            <w:pPr>
              <w:spacing w:after="0" w:line="480" w:lineRule="auto"/>
            </w:pPr>
            <w:r w:rsidRPr="5FD410A8">
              <w:rPr>
                <w:rFonts w:ascii="Aptos" w:eastAsia="Aptos" w:hAnsi="Aptos" w:cs="Aptos"/>
                <w:color w:val="000000" w:themeColor="text1"/>
              </w:rPr>
              <w:t xml:space="preserve"> </w:t>
            </w:r>
          </w:p>
        </w:tc>
        <w:tc>
          <w:tcPr>
            <w:tcW w:w="470" w:type="dxa"/>
            <w:tcBorders>
              <w:top w:val="nil"/>
              <w:left w:val="nil"/>
              <w:bottom w:val="double" w:sz="5" w:space="0" w:color="auto"/>
              <w:right w:val="nil"/>
            </w:tcBorders>
            <w:tcMar>
              <w:top w:w="15" w:type="dxa"/>
              <w:left w:w="15" w:type="dxa"/>
              <w:right w:w="15" w:type="dxa"/>
            </w:tcMar>
            <w:vAlign w:val="bottom"/>
          </w:tcPr>
          <w:p w14:paraId="5669108B" w14:textId="4600FE56" w:rsidR="5FD410A8" w:rsidRDefault="5FD410A8" w:rsidP="001B3723">
            <w:pPr>
              <w:spacing w:after="0" w:line="480" w:lineRule="auto"/>
            </w:pPr>
            <w:r w:rsidRPr="5FD410A8">
              <w:rPr>
                <w:rFonts w:ascii="Aptos" w:eastAsia="Aptos" w:hAnsi="Aptos" w:cs="Aptos"/>
                <w:color w:val="000000" w:themeColor="text1"/>
              </w:rPr>
              <w:t xml:space="preserve"> </w:t>
            </w:r>
          </w:p>
        </w:tc>
        <w:tc>
          <w:tcPr>
            <w:tcW w:w="505" w:type="dxa"/>
            <w:tcBorders>
              <w:top w:val="nil"/>
              <w:left w:val="nil"/>
              <w:bottom w:val="double" w:sz="5" w:space="0" w:color="auto"/>
              <w:right w:val="nil"/>
            </w:tcBorders>
            <w:tcMar>
              <w:top w:w="15" w:type="dxa"/>
              <w:left w:w="15" w:type="dxa"/>
              <w:right w:w="15" w:type="dxa"/>
            </w:tcMar>
            <w:vAlign w:val="bottom"/>
          </w:tcPr>
          <w:p w14:paraId="16DBA7A2" w14:textId="08C30201" w:rsidR="5FD410A8" w:rsidRDefault="5FD410A8" w:rsidP="001B3723">
            <w:pPr>
              <w:spacing w:after="0" w:line="480" w:lineRule="auto"/>
            </w:pPr>
            <w:r w:rsidRPr="5FD410A8">
              <w:rPr>
                <w:rFonts w:ascii="Aptos" w:eastAsia="Aptos" w:hAnsi="Aptos" w:cs="Aptos"/>
                <w:color w:val="000000" w:themeColor="text1"/>
              </w:rPr>
              <w:t xml:space="preserve"> </w:t>
            </w:r>
          </w:p>
        </w:tc>
        <w:tc>
          <w:tcPr>
            <w:tcW w:w="496" w:type="dxa"/>
            <w:tcBorders>
              <w:top w:val="nil"/>
              <w:left w:val="nil"/>
              <w:bottom w:val="double" w:sz="5" w:space="0" w:color="auto"/>
              <w:right w:val="nil"/>
            </w:tcBorders>
            <w:tcMar>
              <w:top w:w="15" w:type="dxa"/>
              <w:left w:w="15" w:type="dxa"/>
              <w:right w:w="15" w:type="dxa"/>
            </w:tcMar>
            <w:vAlign w:val="bottom"/>
          </w:tcPr>
          <w:p w14:paraId="7A44851A" w14:textId="2089807C" w:rsidR="5FD410A8" w:rsidRDefault="5FD410A8" w:rsidP="001B3723">
            <w:pPr>
              <w:spacing w:after="0" w:line="480" w:lineRule="auto"/>
            </w:pPr>
            <w:r w:rsidRPr="5FD410A8">
              <w:rPr>
                <w:rFonts w:ascii="Aptos" w:eastAsia="Aptos" w:hAnsi="Aptos" w:cs="Aptos"/>
                <w:color w:val="000000" w:themeColor="text1"/>
              </w:rPr>
              <w:t xml:space="preserve"> </w:t>
            </w:r>
          </w:p>
        </w:tc>
        <w:tc>
          <w:tcPr>
            <w:tcW w:w="500" w:type="dxa"/>
            <w:tcBorders>
              <w:top w:val="nil"/>
              <w:left w:val="nil"/>
              <w:bottom w:val="double" w:sz="5" w:space="0" w:color="auto"/>
              <w:right w:val="nil"/>
            </w:tcBorders>
            <w:tcMar>
              <w:top w:w="15" w:type="dxa"/>
              <w:left w:w="15" w:type="dxa"/>
              <w:right w:w="15" w:type="dxa"/>
            </w:tcMar>
            <w:vAlign w:val="bottom"/>
          </w:tcPr>
          <w:p w14:paraId="0079507F" w14:textId="525234B2" w:rsidR="5FD410A8" w:rsidRDefault="5FD410A8" w:rsidP="001B3723">
            <w:pPr>
              <w:spacing w:after="0" w:line="480" w:lineRule="auto"/>
            </w:pPr>
            <w:r w:rsidRPr="5FD410A8">
              <w:rPr>
                <w:rFonts w:ascii="Aptos" w:eastAsia="Aptos" w:hAnsi="Aptos" w:cs="Aptos"/>
                <w:color w:val="000000" w:themeColor="text1"/>
              </w:rPr>
              <w:t xml:space="preserve"> </w:t>
            </w:r>
          </w:p>
        </w:tc>
        <w:tc>
          <w:tcPr>
            <w:tcW w:w="505" w:type="dxa"/>
            <w:tcBorders>
              <w:top w:val="nil"/>
              <w:left w:val="nil"/>
              <w:bottom w:val="double" w:sz="5" w:space="0" w:color="auto"/>
              <w:right w:val="nil"/>
            </w:tcBorders>
            <w:tcMar>
              <w:top w:w="15" w:type="dxa"/>
              <w:left w:w="15" w:type="dxa"/>
              <w:right w:w="15" w:type="dxa"/>
            </w:tcMar>
            <w:vAlign w:val="bottom"/>
          </w:tcPr>
          <w:p w14:paraId="672FE7BA" w14:textId="3ADE7C0A" w:rsidR="5FD410A8" w:rsidRDefault="5FD410A8" w:rsidP="001B3723">
            <w:pPr>
              <w:spacing w:after="0" w:line="480" w:lineRule="auto"/>
            </w:pPr>
            <w:r w:rsidRPr="5FD410A8">
              <w:rPr>
                <w:rFonts w:ascii="Aptos" w:eastAsia="Aptos" w:hAnsi="Aptos" w:cs="Aptos"/>
                <w:color w:val="000000" w:themeColor="text1"/>
              </w:rPr>
              <w:t xml:space="preserve"> </w:t>
            </w:r>
          </w:p>
        </w:tc>
        <w:tc>
          <w:tcPr>
            <w:tcW w:w="470" w:type="dxa"/>
            <w:tcBorders>
              <w:top w:val="nil"/>
              <w:left w:val="nil"/>
              <w:bottom w:val="double" w:sz="5" w:space="0" w:color="auto"/>
              <w:right w:val="nil"/>
            </w:tcBorders>
            <w:tcMar>
              <w:top w:w="15" w:type="dxa"/>
              <w:left w:w="15" w:type="dxa"/>
              <w:right w:w="15" w:type="dxa"/>
            </w:tcMar>
            <w:vAlign w:val="bottom"/>
          </w:tcPr>
          <w:p w14:paraId="342A3B15" w14:textId="43D0AEFC" w:rsidR="5FD410A8" w:rsidRDefault="5FD410A8" w:rsidP="001B3723">
            <w:pPr>
              <w:spacing w:after="0" w:line="480" w:lineRule="auto"/>
            </w:pPr>
            <w:r w:rsidRPr="5FD410A8">
              <w:rPr>
                <w:rFonts w:ascii="Aptos" w:eastAsia="Aptos" w:hAnsi="Aptos" w:cs="Aptos"/>
                <w:color w:val="000000" w:themeColor="text1"/>
              </w:rPr>
              <w:t xml:space="preserve"> </w:t>
            </w:r>
          </w:p>
        </w:tc>
        <w:tc>
          <w:tcPr>
            <w:tcW w:w="505" w:type="dxa"/>
            <w:tcBorders>
              <w:top w:val="nil"/>
              <w:left w:val="nil"/>
              <w:bottom w:val="double" w:sz="5" w:space="0" w:color="auto"/>
              <w:right w:val="nil"/>
            </w:tcBorders>
            <w:tcMar>
              <w:top w:w="15" w:type="dxa"/>
              <w:left w:w="15" w:type="dxa"/>
              <w:right w:w="15" w:type="dxa"/>
            </w:tcMar>
            <w:vAlign w:val="bottom"/>
          </w:tcPr>
          <w:p w14:paraId="6802828C" w14:textId="2F7E6C3D" w:rsidR="5FD410A8" w:rsidRDefault="5FD410A8" w:rsidP="001B3723">
            <w:pPr>
              <w:spacing w:after="0" w:line="480" w:lineRule="auto"/>
            </w:pPr>
            <w:r w:rsidRPr="5FD410A8">
              <w:rPr>
                <w:rFonts w:ascii="Aptos" w:eastAsia="Aptos" w:hAnsi="Aptos" w:cs="Aptos"/>
                <w:color w:val="000000" w:themeColor="text1"/>
              </w:rPr>
              <w:t xml:space="preserve"> </w:t>
            </w:r>
          </w:p>
        </w:tc>
        <w:tc>
          <w:tcPr>
            <w:tcW w:w="496" w:type="dxa"/>
            <w:tcBorders>
              <w:top w:val="nil"/>
              <w:left w:val="nil"/>
              <w:bottom w:val="double" w:sz="5" w:space="0" w:color="auto"/>
              <w:right w:val="nil"/>
            </w:tcBorders>
            <w:tcMar>
              <w:top w:w="15" w:type="dxa"/>
              <w:left w:w="15" w:type="dxa"/>
              <w:right w:w="15" w:type="dxa"/>
            </w:tcMar>
            <w:vAlign w:val="bottom"/>
          </w:tcPr>
          <w:p w14:paraId="32F5B3C9" w14:textId="2EB15C31" w:rsidR="5FD410A8" w:rsidRDefault="5FD410A8" w:rsidP="001B3723">
            <w:pPr>
              <w:spacing w:after="0" w:line="480" w:lineRule="auto"/>
            </w:pPr>
            <w:r w:rsidRPr="5FD410A8">
              <w:rPr>
                <w:rFonts w:ascii="Aptos" w:eastAsia="Aptos" w:hAnsi="Aptos" w:cs="Aptos"/>
                <w:color w:val="000000" w:themeColor="text1"/>
              </w:rPr>
              <w:t xml:space="preserve"> </w:t>
            </w:r>
          </w:p>
        </w:tc>
        <w:tc>
          <w:tcPr>
            <w:tcW w:w="488" w:type="dxa"/>
            <w:tcBorders>
              <w:top w:val="nil"/>
              <w:left w:val="nil"/>
              <w:bottom w:val="double" w:sz="5" w:space="0" w:color="auto"/>
              <w:right w:val="nil"/>
            </w:tcBorders>
            <w:tcMar>
              <w:top w:w="15" w:type="dxa"/>
              <w:left w:w="15" w:type="dxa"/>
              <w:right w:w="15" w:type="dxa"/>
            </w:tcMar>
            <w:vAlign w:val="bottom"/>
          </w:tcPr>
          <w:p w14:paraId="67C1D20B" w14:textId="735D0F9A" w:rsidR="5FD410A8" w:rsidRDefault="5FD410A8" w:rsidP="001B3723">
            <w:pPr>
              <w:spacing w:after="0" w:line="480" w:lineRule="auto"/>
            </w:pPr>
            <w:r w:rsidRPr="5FD410A8">
              <w:rPr>
                <w:rFonts w:ascii="Aptos" w:eastAsia="Aptos" w:hAnsi="Aptos" w:cs="Aptos"/>
                <w:color w:val="000000" w:themeColor="text1"/>
              </w:rPr>
              <w:t xml:space="preserve"> </w:t>
            </w:r>
          </w:p>
        </w:tc>
        <w:tc>
          <w:tcPr>
            <w:tcW w:w="505" w:type="dxa"/>
            <w:tcBorders>
              <w:top w:val="nil"/>
              <w:left w:val="nil"/>
              <w:bottom w:val="double" w:sz="5" w:space="0" w:color="auto"/>
              <w:right w:val="nil"/>
            </w:tcBorders>
            <w:tcMar>
              <w:top w:w="15" w:type="dxa"/>
              <w:left w:w="15" w:type="dxa"/>
              <w:right w:w="15" w:type="dxa"/>
            </w:tcMar>
            <w:vAlign w:val="bottom"/>
          </w:tcPr>
          <w:p w14:paraId="6055191E" w14:textId="386A6F1C" w:rsidR="5FD410A8" w:rsidRDefault="5FD410A8" w:rsidP="001B3723">
            <w:pPr>
              <w:spacing w:after="0" w:line="480" w:lineRule="auto"/>
            </w:pPr>
            <w:r w:rsidRPr="5FD410A8">
              <w:rPr>
                <w:rFonts w:ascii="Aptos" w:eastAsia="Aptos" w:hAnsi="Aptos" w:cs="Aptos"/>
                <w:color w:val="000000" w:themeColor="text1"/>
              </w:rPr>
              <w:t xml:space="preserve"> </w:t>
            </w:r>
          </w:p>
        </w:tc>
        <w:tc>
          <w:tcPr>
            <w:tcW w:w="472" w:type="dxa"/>
            <w:tcBorders>
              <w:top w:val="nil"/>
              <w:left w:val="nil"/>
              <w:bottom w:val="double" w:sz="5" w:space="0" w:color="auto"/>
              <w:right w:val="nil"/>
            </w:tcBorders>
            <w:tcMar>
              <w:top w:w="15" w:type="dxa"/>
              <w:left w:w="15" w:type="dxa"/>
              <w:right w:w="15" w:type="dxa"/>
            </w:tcMar>
            <w:vAlign w:val="bottom"/>
          </w:tcPr>
          <w:p w14:paraId="4C78D8D0" w14:textId="44A8C04A" w:rsidR="5FD410A8" w:rsidRDefault="5FD410A8" w:rsidP="001B3723">
            <w:pPr>
              <w:spacing w:after="0" w:line="480" w:lineRule="auto"/>
            </w:pPr>
            <w:r w:rsidRPr="5FD410A8">
              <w:rPr>
                <w:rFonts w:ascii="Aptos" w:eastAsia="Aptos" w:hAnsi="Aptos" w:cs="Aptos"/>
                <w:color w:val="000000" w:themeColor="text1"/>
              </w:rPr>
              <w:t xml:space="preserve"> </w:t>
            </w:r>
          </w:p>
        </w:tc>
      </w:tr>
      <w:tr w:rsidR="5FD410A8" w14:paraId="1409B27B" w14:textId="77777777" w:rsidTr="2A4FE2FE">
        <w:trPr>
          <w:trHeight w:val="537"/>
        </w:trPr>
        <w:tc>
          <w:tcPr>
            <w:tcW w:w="9015" w:type="dxa"/>
            <w:gridSpan w:val="16"/>
            <w:vMerge w:val="restart"/>
            <w:tcBorders>
              <w:top w:val="double" w:sz="5" w:space="0" w:color="auto"/>
              <w:left w:val="nil"/>
              <w:bottom w:val="nil"/>
              <w:right w:val="nil"/>
            </w:tcBorders>
            <w:tcMar>
              <w:top w:w="15" w:type="dxa"/>
              <w:left w:w="15" w:type="dxa"/>
              <w:right w:w="15" w:type="dxa"/>
            </w:tcMar>
          </w:tcPr>
          <w:p w14:paraId="7ACF29B3" w14:textId="43B84623" w:rsidR="5FD410A8" w:rsidRDefault="35026144" w:rsidP="001B3723">
            <w:pPr>
              <w:spacing w:after="0" w:line="480" w:lineRule="auto"/>
              <w:rPr>
                <w:rFonts w:ascii="Aptos" w:eastAsia="Aptos" w:hAnsi="Aptos" w:cs="Aptos"/>
                <w:color w:val="000000" w:themeColor="text1"/>
              </w:rPr>
            </w:pPr>
            <w:r w:rsidRPr="2A4FE2FE">
              <w:rPr>
                <w:rFonts w:ascii="Aptos" w:eastAsia="Aptos" w:hAnsi="Aptos" w:cs="Aptos"/>
                <w:color w:val="000000" w:themeColor="text1"/>
              </w:rPr>
              <w:t xml:space="preserve">Note: constructs were measured using IU-12 (Intolerance of Uncertainty), RGPTS (Paranoia), </w:t>
            </w:r>
            <w:r w:rsidR="27484655" w:rsidRPr="2A4FE2FE">
              <w:rPr>
                <w:rFonts w:ascii="Aptos" w:eastAsia="Aptos" w:hAnsi="Aptos" w:cs="Aptos"/>
                <w:color w:val="000000" w:themeColor="text1"/>
              </w:rPr>
              <w:t>PQ-16</w:t>
            </w:r>
            <w:r w:rsidRPr="2A4FE2FE">
              <w:rPr>
                <w:rFonts w:ascii="Aptos" w:eastAsia="Aptos" w:hAnsi="Aptos" w:cs="Aptos"/>
                <w:color w:val="000000" w:themeColor="text1"/>
              </w:rPr>
              <w:t xml:space="preserve"> (Prodromal Symptoms), </w:t>
            </w:r>
            <w:r w:rsidR="690EDEC6" w:rsidRPr="2A4FE2FE">
              <w:rPr>
                <w:rFonts w:ascii="Aptos" w:eastAsia="Aptos" w:hAnsi="Aptos" w:cs="Aptos"/>
                <w:color w:val="000000" w:themeColor="text1"/>
              </w:rPr>
              <w:t>BFI-10</w:t>
            </w:r>
            <w:r w:rsidRPr="2A4FE2FE">
              <w:rPr>
                <w:rFonts w:ascii="Aptos" w:eastAsia="Aptos" w:hAnsi="Aptos" w:cs="Aptos"/>
                <w:color w:val="000000" w:themeColor="text1"/>
              </w:rPr>
              <w:t xml:space="preserve"> (Neuroticism), </w:t>
            </w:r>
            <w:proofErr w:type="spellStart"/>
            <w:r w:rsidR="27FEED9C" w:rsidRPr="2A4FE2FE">
              <w:rPr>
                <w:rFonts w:ascii="Aptos" w:eastAsia="Aptos" w:hAnsi="Aptos" w:cs="Aptos"/>
                <w:color w:val="000000" w:themeColor="text1"/>
              </w:rPr>
              <w:t>CBQp</w:t>
            </w:r>
            <w:proofErr w:type="spellEnd"/>
            <w:r w:rsidRPr="2A4FE2FE">
              <w:rPr>
                <w:rFonts w:ascii="Aptos" w:eastAsia="Aptos" w:hAnsi="Aptos" w:cs="Aptos"/>
                <w:color w:val="000000" w:themeColor="text1"/>
              </w:rPr>
              <w:t xml:space="preserve"> (Jumping to Conclusions Bias). ** p &lt; .001, * p &lt;.05</w:t>
            </w:r>
          </w:p>
        </w:tc>
      </w:tr>
      <w:tr w:rsidR="5FD410A8" w14:paraId="3FD4CE8F" w14:textId="77777777" w:rsidTr="2A4FE2FE">
        <w:trPr>
          <w:trHeight w:val="537"/>
        </w:trPr>
        <w:tc>
          <w:tcPr>
            <w:tcW w:w="9015" w:type="dxa"/>
            <w:gridSpan w:val="16"/>
            <w:vMerge/>
            <w:vAlign w:val="center"/>
          </w:tcPr>
          <w:p w14:paraId="752A78C9" w14:textId="77777777" w:rsidR="0076256B" w:rsidRDefault="0076256B" w:rsidP="001B3723">
            <w:pPr>
              <w:spacing w:after="0" w:line="480" w:lineRule="auto"/>
            </w:pPr>
          </w:p>
        </w:tc>
      </w:tr>
    </w:tbl>
    <w:p w14:paraId="059822AE" w14:textId="685347B8" w:rsidR="5FD410A8" w:rsidRDefault="5FD410A8" w:rsidP="001B3723">
      <w:pPr>
        <w:spacing w:after="0" w:line="480" w:lineRule="auto"/>
        <w:rPr>
          <w:rFonts w:ascii="Aptos" w:eastAsia="Aptos" w:hAnsi="Aptos" w:cs="Aptos"/>
        </w:rPr>
      </w:pPr>
    </w:p>
    <w:p w14:paraId="7AF9842A" w14:textId="34AB5485" w:rsidR="3E65CB55" w:rsidRDefault="3E65CB55" w:rsidP="001B3723">
      <w:pPr>
        <w:spacing w:after="0" w:line="480" w:lineRule="auto"/>
        <w:rPr>
          <w:rFonts w:ascii="Aptos" w:eastAsia="Aptos" w:hAnsi="Aptos" w:cs="Aptos"/>
        </w:rPr>
      </w:pPr>
      <w:r>
        <w:rPr>
          <w:noProof/>
        </w:rPr>
        <w:lastRenderedPageBreak/>
        <w:drawing>
          <wp:inline distT="0" distB="0" distL="0" distR="0" wp14:anchorId="31A483E3" wp14:editId="309E5281">
            <wp:extent cx="5724524" cy="3609975"/>
            <wp:effectExtent l="0" t="0" r="0" b="0"/>
            <wp:docPr id="1895515768" name="Picture 1895515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724524" cy="3609975"/>
                    </a:xfrm>
                    <a:prstGeom prst="rect">
                      <a:avLst/>
                    </a:prstGeom>
                  </pic:spPr>
                </pic:pic>
              </a:graphicData>
            </a:graphic>
          </wp:inline>
        </w:drawing>
      </w:r>
      <w:r w:rsidRPr="5FD410A8">
        <w:rPr>
          <w:rFonts w:ascii="Aptos" w:eastAsia="Aptos" w:hAnsi="Aptos" w:cs="Aptos"/>
          <w:b/>
          <w:bCs/>
        </w:rPr>
        <w:t>Figure 1.</w:t>
      </w:r>
      <w:r w:rsidRPr="5FD410A8">
        <w:rPr>
          <w:rFonts w:ascii="Aptos" w:eastAsia="Aptos" w:hAnsi="Aptos" w:cs="Aptos"/>
        </w:rPr>
        <w:t xml:space="preserve">  </w:t>
      </w:r>
      <w:r w:rsidR="0C7315DC" w:rsidRPr="5FD410A8">
        <w:rPr>
          <w:rFonts w:ascii="Aptos" w:eastAsia="Aptos" w:hAnsi="Aptos" w:cs="Aptos"/>
        </w:rPr>
        <w:t>Greater i</w:t>
      </w:r>
      <w:r w:rsidRPr="5FD410A8">
        <w:rPr>
          <w:rFonts w:ascii="Aptos" w:eastAsia="Aptos" w:hAnsi="Aptos" w:cs="Aptos"/>
        </w:rPr>
        <w:t xml:space="preserve">ntolerance of </w:t>
      </w:r>
      <w:r w:rsidR="274F370F" w:rsidRPr="5FD410A8">
        <w:rPr>
          <w:rFonts w:ascii="Aptos" w:eastAsia="Aptos" w:hAnsi="Aptos" w:cs="Aptos"/>
        </w:rPr>
        <w:t xml:space="preserve">uncertainty </w:t>
      </w:r>
      <w:r w:rsidR="5FF0C609" w:rsidRPr="5FD410A8">
        <w:rPr>
          <w:rFonts w:ascii="Aptos" w:eastAsia="Aptos" w:hAnsi="Aptos" w:cs="Aptos"/>
        </w:rPr>
        <w:t>is associated with greater paranoia symptoms across schizophrenia spectrum disorders, anxiety disorders, and a non-clinical sample.</w:t>
      </w:r>
    </w:p>
    <w:p w14:paraId="596E3BEA" w14:textId="15EDFB90" w:rsidR="5FD410A8" w:rsidRDefault="5FD410A8" w:rsidP="001B3723">
      <w:pPr>
        <w:spacing w:after="0" w:line="480" w:lineRule="auto"/>
      </w:pPr>
    </w:p>
    <w:p w14:paraId="594CE2EE" w14:textId="15D6F656" w:rsidR="3E65CB55" w:rsidRDefault="3E65CB55" w:rsidP="001B3723">
      <w:pPr>
        <w:spacing w:after="0" w:line="480" w:lineRule="auto"/>
      </w:pPr>
      <w:r>
        <w:rPr>
          <w:noProof/>
        </w:rPr>
        <w:lastRenderedPageBreak/>
        <w:drawing>
          <wp:inline distT="0" distB="0" distL="0" distR="0" wp14:anchorId="1E4CCC4F" wp14:editId="2F065DF4">
            <wp:extent cx="5724524" cy="3524250"/>
            <wp:effectExtent l="0" t="0" r="0" b="0"/>
            <wp:docPr id="1477523519" name="Picture 1477523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724524" cy="3524250"/>
                    </a:xfrm>
                    <a:prstGeom prst="rect">
                      <a:avLst/>
                    </a:prstGeom>
                  </pic:spPr>
                </pic:pic>
              </a:graphicData>
            </a:graphic>
          </wp:inline>
        </w:drawing>
      </w:r>
      <w:r w:rsidR="1CEB49EF" w:rsidRPr="77A8D69F">
        <w:rPr>
          <w:rFonts w:ascii="Aptos" w:eastAsia="Aptos" w:hAnsi="Aptos" w:cs="Aptos"/>
          <w:b/>
          <w:bCs/>
        </w:rPr>
        <w:t xml:space="preserve">Figure 2. </w:t>
      </w:r>
      <w:r w:rsidR="1CEB49EF" w:rsidRPr="77A8D69F">
        <w:rPr>
          <w:rFonts w:ascii="Aptos" w:eastAsia="Aptos" w:hAnsi="Aptos" w:cs="Aptos"/>
        </w:rPr>
        <w:t xml:space="preserve"> Greater intolerance of uncertainty is associated with greater prodromal symptoms across schizophrenia spectrum disorders, anxiety disorders, and a non-clinical sample.</w:t>
      </w:r>
    </w:p>
    <w:p w14:paraId="7F4DB14D" w14:textId="33E79917" w:rsidR="77A8D69F" w:rsidRDefault="77A8D69F" w:rsidP="001B3723">
      <w:pPr>
        <w:spacing w:after="0" w:line="480" w:lineRule="auto"/>
        <w:rPr>
          <w:rFonts w:ascii="Aptos" w:eastAsia="Aptos" w:hAnsi="Aptos" w:cs="Aptos"/>
          <w:b/>
          <w:bCs/>
        </w:rPr>
      </w:pPr>
    </w:p>
    <w:p w14:paraId="4940EFD3" w14:textId="175F2574" w:rsidR="001B64AA" w:rsidRDefault="193E0FE8" w:rsidP="001B3723">
      <w:pPr>
        <w:spacing w:after="0" w:line="480" w:lineRule="auto"/>
        <w:rPr>
          <w:rFonts w:ascii="Aptos" w:eastAsia="Aptos" w:hAnsi="Aptos" w:cs="Aptos"/>
          <w:b/>
          <w:bCs/>
        </w:rPr>
      </w:pPr>
      <w:r w:rsidRPr="77A8D69F">
        <w:rPr>
          <w:rFonts w:ascii="Aptos" w:eastAsia="Aptos" w:hAnsi="Aptos" w:cs="Aptos"/>
          <w:b/>
          <w:bCs/>
        </w:rPr>
        <w:t>Partial correlations</w:t>
      </w:r>
    </w:p>
    <w:p w14:paraId="73E09430" w14:textId="592F9B20" w:rsidR="4D2E30D4" w:rsidRDefault="3C50893D" w:rsidP="001B3723">
      <w:pPr>
        <w:spacing w:after="0" w:line="480" w:lineRule="auto"/>
        <w:rPr>
          <w:rFonts w:ascii="Aptos" w:eastAsia="Aptos" w:hAnsi="Aptos" w:cs="Aptos"/>
          <w:color w:val="000000" w:themeColor="text1"/>
        </w:rPr>
      </w:pPr>
      <w:r w:rsidRPr="2A4FE2FE">
        <w:rPr>
          <w:rFonts w:ascii="Aptos" w:eastAsia="Aptos" w:hAnsi="Aptos" w:cs="Aptos"/>
          <w:color w:val="000000" w:themeColor="text1"/>
        </w:rPr>
        <w:t>The relationship between IU and paranoia</w:t>
      </w:r>
      <w:r w:rsidR="131F9741" w:rsidRPr="2A4FE2FE">
        <w:rPr>
          <w:rFonts w:ascii="Aptos" w:eastAsia="Aptos" w:hAnsi="Aptos" w:cs="Aptos"/>
          <w:color w:val="000000" w:themeColor="text1"/>
        </w:rPr>
        <w:t xml:space="preserve"> </w:t>
      </w:r>
      <w:r w:rsidRPr="2A4FE2FE">
        <w:rPr>
          <w:rFonts w:ascii="Aptos" w:eastAsia="Aptos" w:hAnsi="Aptos" w:cs="Aptos"/>
          <w:color w:val="000000" w:themeColor="text1"/>
        </w:rPr>
        <w:t>across SSDs, anxiety disorders, and the non-clinical sample</w:t>
      </w:r>
      <w:r w:rsidR="10764903" w:rsidRPr="2A4FE2FE">
        <w:rPr>
          <w:rFonts w:ascii="Aptos" w:eastAsia="Aptos" w:hAnsi="Aptos" w:cs="Aptos"/>
          <w:color w:val="000000" w:themeColor="text1"/>
        </w:rPr>
        <w:t xml:space="preserve">, remained significant when controlling for neuroticism, </w:t>
      </w:r>
      <w:r w:rsidR="10764903" w:rsidRPr="2A4FE2FE">
        <w:rPr>
          <w:rFonts w:ascii="Aptos" w:eastAsia="Aptos" w:hAnsi="Aptos" w:cs="Aptos"/>
          <w:i/>
          <w:iCs/>
          <w:color w:val="000000" w:themeColor="text1"/>
        </w:rPr>
        <w:t>r</w:t>
      </w:r>
      <w:r w:rsidR="10764903" w:rsidRPr="2A4FE2FE">
        <w:rPr>
          <w:rFonts w:ascii="Aptos" w:eastAsia="Aptos" w:hAnsi="Aptos" w:cs="Aptos"/>
          <w:color w:val="000000" w:themeColor="text1"/>
        </w:rPr>
        <w:t xml:space="preserve">’s .28-31, </w:t>
      </w:r>
      <w:proofErr w:type="spellStart"/>
      <w:r w:rsidR="10764903" w:rsidRPr="2A4FE2FE">
        <w:rPr>
          <w:rFonts w:ascii="Aptos" w:eastAsia="Aptos" w:hAnsi="Aptos" w:cs="Aptos"/>
          <w:i/>
          <w:iCs/>
          <w:color w:val="000000" w:themeColor="text1"/>
        </w:rPr>
        <w:t>p</w:t>
      </w:r>
      <w:r w:rsidR="10764903" w:rsidRPr="2A4FE2FE">
        <w:rPr>
          <w:rFonts w:ascii="Aptos" w:eastAsia="Aptos" w:hAnsi="Aptos" w:cs="Aptos"/>
          <w:color w:val="000000" w:themeColor="text1"/>
        </w:rPr>
        <w:t>s</w:t>
      </w:r>
      <w:proofErr w:type="spellEnd"/>
      <w:r w:rsidR="10764903" w:rsidRPr="2A4FE2FE">
        <w:rPr>
          <w:rFonts w:ascii="Aptos" w:eastAsia="Aptos" w:hAnsi="Aptos" w:cs="Aptos"/>
          <w:color w:val="000000" w:themeColor="text1"/>
        </w:rPr>
        <w:t xml:space="preserve"> &lt; .05 (see Table 4).</w:t>
      </w:r>
      <w:r w:rsidR="186C0E17" w:rsidRPr="2A4FE2FE">
        <w:rPr>
          <w:rFonts w:ascii="Aptos" w:eastAsia="Aptos" w:hAnsi="Aptos" w:cs="Aptos"/>
          <w:color w:val="000000" w:themeColor="text1"/>
        </w:rPr>
        <w:t xml:space="preserve"> </w:t>
      </w:r>
      <w:r w:rsidR="4D2E30D4">
        <w:tab/>
      </w:r>
      <w:r w:rsidR="63D1B15A" w:rsidRPr="2A4FE2FE">
        <w:rPr>
          <w:rFonts w:ascii="Aptos" w:eastAsia="Aptos" w:hAnsi="Aptos" w:cs="Aptos"/>
          <w:color w:val="000000" w:themeColor="text1"/>
        </w:rPr>
        <w:t xml:space="preserve">However, the relationship between IU and paranoia was no longer significant for SSD group when controlling for the jumping to conclusions bias </w:t>
      </w:r>
      <w:r w:rsidR="63D1B15A" w:rsidRPr="2A4FE2FE">
        <w:rPr>
          <w:rFonts w:ascii="Aptos" w:eastAsia="Aptos" w:hAnsi="Aptos" w:cs="Aptos"/>
          <w:i/>
          <w:iCs/>
          <w:color w:val="000000" w:themeColor="text1"/>
        </w:rPr>
        <w:t xml:space="preserve">r = </w:t>
      </w:r>
      <w:r w:rsidR="63D1B15A" w:rsidRPr="0052223D">
        <w:rPr>
          <w:rFonts w:ascii="Aptos" w:eastAsia="Aptos" w:hAnsi="Aptos" w:cs="Aptos"/>
          <w:color w:val="000000" w:themeColor="text1"/>
        </w:rPr>
        <w:t>.13,</w:t>
      </w:r>
      <w:r w:rsidR="63D1B15A" w:rsidRPr="2A4FE2FE">
        <w:rPr>
          <w:rFonts w:ascii="Aptos" w:eastAsia="Aptos" w:hAnsi="Aptos" w:cs="Aptos"/>
          <w:color w:val="000000" w:themeColor="text1"/>
        </w:rPr>
        <w:t xml:space="preserve"> </w:t>
      </w:r>
      <w:r w:rsidR="63D1B15A" w:rsidRPr="2A4FE2FE">
        <w:rPr>
          <w:rFonts w:ascii="Aptos" w:eastAsia="Aptos" w:hAnsi="Aptos" w:cs="Aptos"/>
          <w:i/>
          <w:iCs/>
          <w:color w:val="000000" w:themeColor="text1"/>
        </w:rPr>
        <w:t>p</w:t>
      </w:r>
      <w:r w:rsidR="63D1B15A" w:rsidRPr="2A4FE2FE">
        <w:rPr>
          <w:rFonts w:ascii="Aptos" w:eastAsia="Aptos" w:hAnsi="Aptos" w:cs="Aptos"/>
          <w:color w:val="000000" w:themeColor="text1"/>
        </w:rPr>
        <w:t xml:space="preserve"> &lt; .05 (see Table 4). Although,</w:t>
      </w:r>
      <w:r w:rsidR="186C0E17" w:rsidRPr="2A4FE2FE">
        <w:rPr>
          <w:rFonts w:ascii="Aptos" w:eastAsia="Aptos" w:hAnsi="Aptos" w:cs="Aptos"/>
          <w:color w:val="000000" w:themeColor="text1"/>
        </w:rPr>
        <w:t xml:space="preserve"> the relationship between IU and paranoia across anxiety disorders and the non-clinical sample, remained significant when controlling for the jumping to conclusion bias, </w:t>
      </w:r>
      <w:r w:rsidR="186C0E17" w:rsidRPr="2A4FE2FE">
        <w:rPr>
          <w:rFonts w:ascii="Aptos" w:eastAsia="Aptos" w:hAnsi="Aptos" w:cs="Aptos"/>
          <w:i/>
          <w:iCs/>
          <w:color w:val="000000" w:themeColor="text1"/>
        </w:rPr>
        <w:t>r</w:t>
      </w:r>
      <w:r w:rsidR="186C0E17" w:rsidRPr="2A4FE2FE">
        <w:rPr>
          <w:rFonts w:ascii="Aptos" w:eastAsia="Aptos" w:hAnsi="Aptos" w:cs="Aptos"/>
          <w:color w:val="000000" w:themeColor="text1"/>
        </w:rPr>
        <w:t>’s .28-3</w:t>
      </w:r>
      <w:r w:rsidR="66ED318F" w:rsidRPr="2A4FE2FE">
        <w:rPr>
          <w:rFonts w:ascii="Aptos" w:eastAsia="Aptos" w:hAnsi="Aptos" w:cs="Aptos"/>
          <w:color w:val="000000" w:themeColor="text1"/>
        </w:rPr>
        <w:t>5</w:t>
      </w:r>
      <w:r w:rsidR="186C0E17" w:rsidRPr="2A4FE2FE">
        <w:rPr>
          <w:rFonts w:ascii="Aptos" w:eastAsia="Aptos" w:hAnsi="Aptos" w:cs="Aptos"/>
          <w:color w:val="000000" w:themeColor="text1"/>
        </w:rPr>
        <w:t xml:space="preserve">, </w:t>
      </w:r>
      <w:proofErr w:type="spellStart"/>
      <w:r w:rsidR="186C0E17" w:rsidRPr="2A4FE2FE">
        <w:rPr>
          <w:rFonts w:ascii="Aptos" w:eastAsia="Aptos" w:hAnsi="Aptos" w:cs="Aptos"/>
          <w:i/>
          <w:iCs/>
          <w:color w:val="000000" w:themeColor="text1"/>
        </w:rPr>
        <w:t>p</w:t>
      </w:r>
      <w:r w:rsidR="186C0E17" w:rsidRPr="2A4FE2FE">
        <w:rPr>
          <w:rFonts w:ascii="Aptos" w:eastAsia="Aptos" w:hAnsi="Aptos" w:cs="Aptos"/>
          <w:color w:val="000000" w:themeColor="text1"/>
        </w:rPr>
        <w:t>s</w:t>
      </w:r>
      <w:proofErr w:type="spellEnd"/>
      <w:r w:rsidR="186C0E17" w:rsidRPr="2A4FE2FE">
        <w:rPr>
          <w:rFonts w:ascii="Aptos" w:eastAsia="Aptos" w:hAnsi="Aptos" w:cs="Aptos"/>
          <w:color w:val="000000" w:themeColor="text1"/>
        </w:rPr>
        <w:t xml:space="preserve"> &lt; .05 (see Table 4). </w:t>
      </w:r>
    </w:p>
    <w:p w14:paraId="5159DEAC" w14:textId="3020B6ED" w:rsidR="5FD410A8" w:rsidRPr="00082013" w:rsidRDefault="3378CD42" w:rsidP="001B3723">
      <w:pPr>
        <w:spacing w:after="0" w:line="480" w:lineRule="auto"/>
        <w:ind w:firstLine="720"/>
        <w:rPr>
          <w:rFonts w:ascii="Aptos" w:eastAsia="Aptos" w:hAnsi="Aptos" w:cs="Aptos"/>
          <w:color w:val="000000" w:themeColor="text1"/>
        </w:rPr>
      </w:pPr>
      <w:r w:rsidRPr="2A4FE2FE">
        <w:rPr>
          <w:rFonts w:ascii="Aptos" w:eastAsia="Aptos" w:hAnsi="Aptos" w:cs="Aptos"/>
          <w:color w:val="000000" w:themeColor="text1"/>
        </w:rPr>
        <w:t xml:space="preserve">Furthermore, </w:t>
      </w:r>
      <w:r w:rsidR="00D243D4">
        <w:rPr>
          <w:rFonts w:ascii="Aptos" w:eastAsia="Aptos" w:hAnsi="Aptos" w:cs="Aptos"/>
          <w:color w:val="000000" w:themeColor="text1"/>
        </w:rPr>
        <w:t>t</w:t>
      </w:r>
      <w:r w:rsidR="10764903" w:rsidRPr="2A4FE2FE">
        <w:rPr>
          <w:rFonts w:ascii="Aptos" w:eastAsia="Aptos" w:hAnsi="Aptos" w:cs="Aptos"/>
          <w:color w:val="000000" w:themeColor="text1"/>
        </w:rPr>
        <w:t>he relationship between IU and prodromal symptoms across SSDs, anxiety disorders, and the non-clinical sample, remained significant when controlling for neuroticism and jumping to concl</w:t>
      </w:r>
      <w:r w:rsidR="0B61253D" w:rsidRPr="2A4FE2FE">
        <w:rPr>
          <w:rFonts w:ascii="Aptos" w:eastAsia="Aptos" w:hAnsi="Aptos" w:cs="Aptos"/>
          <w:color w:val="000000" w:themeColor="text1"/>
        </w:rPr>
        <w:t>usions bias</w:t>
      </w:r>
      <w:r w:rsidR="10764903" w:rsidRPr="2A4FE2FE">
        <w:rPr>
          <w:rFonts w:ascii="Aptos" w:eastAsia="Aptos" w:hAnsi="Aptos" w:cs="Aptos"/>
          <w:color w:val="000000" w:themeColor="text1"/>
        </w:rPr>
        <w:t xml:space="preserve">, </w:t>
      </w:r>
      <w:r w:rsidR="10764903" w:rsidRPr="2A4FE2FE">
        <w:rPr>
          <w:rFonts w:ascii="Aptos" w:eastAsia="Aptos" w:hAnsi="Aptos" w:cs="Aptos"/>
          <w:i/>
          <w:iCs/>
          <w:color w:val="000000" w:themeColor="text1"/>
        </w:rPr>
        <w:t>r</w:t>
      </w:r>
      <w:r w:rsidR="10764903" w:rsidRPr="2A4FE2FE">
        <w:rPr>
          <w:rFonts w:ascii="Aptos" w:eastAsia="Aptos" w:hAnsi="Aptos" w:cs="Aptos"/>
          <w:color w:val="000000" w:themeColor="text1"/>
        </w:rPr>
        <w:t>’s .2</w:t>
      </w:r>
      <w:r w:rsidR="6D587C7C" w:rsidRPr="2A4FE2FE">
        <w:rPr>
          <w:rFonts w:ascii="Aptos" w:eastAsia="Aptos" w:hAnsi="Aptos" w:cs="Aptos"/>
          <w:color w:val="000000" w:themeColor="text1"/>
        </w:rPr>
        <w:t>0</w:t>
      </w:r>
      <w:r w:rsidR="10764903" w:rsidRPr="2A4FE2FE">
        <w:rPr>
          <w:rFonts w:ascii="Aptos" w:eastAsia="Aptos" w:hAnsi="Aptos" w:cs="Aptos"/>
          <w:color w:val="000000" w:themeColor="text1"/>
        </w:rPr>
        <w:t>-3</w:t>
      </w:r>
      <w:r w:rsidR="112877CE" w:rsidRPr="2A4FE2FE">
        <w:rPr>
          <w:rFonts w:ascii="Aptos" w:eastAsia="Aptos" w:hAnsi="Aptos" w:cs="Aptos"/>
          <w:color w:val="000000" w:themeColor="text1"/>
        </w:rPr>
        <w:t>9</w:t>
      </w:r>
      <w:r w:rsidR="10764903" w:rsidRPr="2A4FE2FE">
        <w:rPr>
          <w:rFonts w:ascii="Aptos" w:eastAsia="Aptos" w:hAnsi="Aptos" w:cs="Aptos"/>
          <w:color w:val="000000" w:themeColor="text1"/>
        </w:rPr>
        <w:t xml:space="preserve">, </w:t>
      </w:r>
      <w:proofErr w:type="spellStart"/>
      <w:r w:rsidR="10764903" w:rsidRPr="2A4FE2FE">
        <w:rPr>
          <w:rFonts w:ascii="Aptos" w:eastAsia="Aptos" w:hAnsi="Aptos" w:cs="Aptos"/>
          <w:i/>
          <w:iCs/>
          <w:color w:val="000000" w:themeColor="text1"/>
        </w:rPr>
        <w:t>p</w:t>
      </w:r>
      <w:r w:rsidR="10764903" w:rsidRPr="2A4FE2FE">
        <w:rPr>
          <w:rFonts w:ascii="Aptos" w:eastAsia="Aptos" w:hAnsi="Aptos" w:cs="Aptos"/>
          <w:color w:val="000000" w:themeColor="text1"/>
        </w:rPr>
        <w:t>s</w:t>
      </w:r>
      <w:proofErr w:type="spellEnd"/>
      <w:r w:rsidR="10764903" w:rsidRPr="2A4FE2FE">
        <w:rPr>
          <w:rFonts w:ascii="Aptos" w:eastAsia="Aptos" w:hAnsi="Aptos" w:cs="Aptos"/>
          <w:color w:val="000000" w:themeColor="text1"/>
        </w:rPr>
        <w:t xml:space="preserve"> &lt; .05 (see Table 4).</w:t>
      </w:r>
    </w:p>
    <w:p w14:paraId="04DB3161" w14:textId="77777777" w:rsidR="005C3142" w:rsidRDefault="005C3142" w:rsidP="001B3723">
      <w:pPr>
        <w:spacing w:after="0" w:line="480" w:lineRule="auto"/>
        <w:rPr>
          <w:rFonts w:ascii="Aptos" w:eastAsia="Aptos" w:hAnsi="Aptos" w:cs="Aptos"/>
        </w:rPr>
      </w:pPr>
    </w:p>
    <w:tbl>
      <w:tblPr>
        <w:tblW w:w="0" w:type="auto"/>
        <w:tblLayout w:type="fixed"/>
        <w:tblLook w:val="06A0" w:firstRow="1" w:lastRow="0" w:firstColumn="1" w:lastColumn="0" w:noHBand="1" w:noVBand="1"/>
      </w:tblPr>
      <w:tblGrid>
        <w:gridCol w:w="4159"/>
        <w:gridCol w:w="1627"/>
        <w:gridCol w:w="1617"/>
        <w:gridCol w:w="1613"/>
      </w:tblGrid>
      <w:tr w:rsidR="5FD410A8" w14:paraId="06334748" w14:textId="77777777" w:rsidTr="2A4FE2FE">
        <w:trPr>
          <w:trHeight w:val="300"/>
        </w:trPr>
        <w:tc>
          <w:tcPr>
            <w:tcW w:w="4159" w:type="dxa"/>
            <w:tcBorders>
              <w:top w:val="nil"/>
              <w:left w:val="nil"/>
              <w:bottom w:val="nil"/>
              <w:right w:val="nil"/>
            </w:tcBorders>
            <w:tcMar>
              <w:top w:w="15" w:type="dxa"/>
              <w:left w:w="15" w:type="dxa"/>
              <w:right w:w="15" w:type="dxa"/>
            </w:tcMar>
            <w:vAlign w:val="bottom"/>
          </w:tcPr>
          <w:p w14:paraId="55CA1239" w14:textId="12E3B0A1" w:rsidR="5FD410A8" w:rsidRDefault="5FD410A8" w:rsidP="001B3723">
            <w:pPr>
              <w:spacing w:after="0" w:line="480" w:lineRule="auto"/>
            </w:pPr>
            <w:r w:rsidRPr="5FD410A8">
              <w:rPr>
                <w:rFonts w:ascii="Aptos" w:eastAsia="Aptos" w:hAnsi="Aptos" w:cs="Aptos"/>
                <w:b/>
                <w:bCs/>
              </w:rPr>
              <w:lastRenderedPageBreak/>
              <w:t>Table 4.</w:t>
            </w:r>
          </w:p>
        </w:tc>
        <w:tc>
          <w:tcPr>
            <w:tcW w:w="1627" w:type="dxa"/>
            <w:tcBorders>
              <w:top w:val="nil"/>
              <w:left w:val="nil"/>
              <w:bottom w:val="nil"/>
              <w:right w:val="nil"/>
            </w:tcBorders>
            <w:tcMar>
              <w:top w:w="15" w:type="dxa"/>
              <w:left w:w="15" w:type="dxa"/>
              <w:right w:w="15" w:type="dxa"/>
            </w:tcMar>
            <w:vAlign w:val="bottom"/>
          </w:tcPr>
          <w:p w14:paraId="170EFCFC" w14:textId="45DBC411" w:rsidR="5FD410A8" w:rsidRDefault="5FD410A8" w:rsidP="001B3723">
            <w:pPr>
              <w:spacing w:after="0" w:line="480" w:lineRule="auto"/>
            </w:pPr>
          </w:p>
        </w:tc>
        <w:tc>
          <w:tcPr>
            <w:tcW w:w="1617" w:type="dxa"/>
            <w:tcBorders>
              <w:top w:val="nil"/>
              <w:left w:val="nil"/>
              <w:bottom w:val="nil"/>
              <w:right w:val="nil"/>
            </w:tcBorders>
            <w:tcMar>
              <w:top w:w="15" w:type="dxa"/>
              <w:left w:w="15" w:type="dxa"/>
              <w:right w:w="15" w:type="dxa"/>
            </w:tcMar>
            <w:vAlign w:val="bottom"/>
          </w:tcPr>
          <w:p w14:paraId="4263B09F" w14:textId="35FECD80" w:rsidR="5FD410A8" w:rsidRDefault="5FD410A8" w:rsidP="001B3723">
            <w:pPr>
              <w:spacing w:after="0" w:line="480" w:lineRule="auto"/>
            </w:pPr>
          </w:p>
        </w:tc>
        <w:tc>
          <w:tcPr>
            <w:tcW w:w="1613" w:type="dxa"/>
            <w:tcBorders>
              <w:top w:val="nil"/>
              <w:left w:val="nil"/>
              <w:bottom w:val="nil"/>
              <w:right w:val="nil"/>
            </w:tcBorders>
            <w:tcMar>
              <w:top w:w="15" w:type="dxa"/>
              <w:left w:w="15" w:type="dxa"/>
              <w:right w:w="15" w:type="dxa"/>
            </w:tcMar>
            <w:vAlign w:val="bottom"/>
          </w:tcPr>
          <w:p w14:paraId="16F91031" w14:textId="0FDBDA28" w:rsidR="5FD410A8" w:rsidRDefault="5FD410A8" w:rsidP="001B3723">
            <w:pPr>
              <w:spacing w:after="0" w:line="480" w:lineRule="auto"/>
            </w:pPr>
          </w:p>
        </w:tc>
      </w:tr>
      <w:tr w:rsidR="5FD410A8" w14:paraId="784A8250" w14:textId="77777777" w:rsidTr="2A4FE2FE">
        <w:trPr>
          <w:trHeight w:val="360"/>
        </w:trPr>
        <w:tc>
          <w:tcPr>
            <w:tcW w:w="9016" w:type="dxa"/>
            <w:gridSpan w:val="4"/>
            <w:tcBorders>
              <w:top w:val="nil"/>
              <w:left w:val="nil"/>
              <w:bottom w:val="double" w:sz="5" w:space="0" w:color="auto"/>
              <w:right w:val="nil"/>
            </w:tcBorders>
            <w:tcMar>
              <w:top w:w="15" w:type="dxa"/>
              <w:left w:w="15" w:type="dxa"/>
              <w:right w:w="15" w:type="dxa"/>
            </w:tcMar>
            <w:vAlign w:val="bottom"/>
          </w:tcPr>
          <w:p w14:paraId="7E1B0B5E" w14:textId="345520DF" w:rsidR="5FD410A8" w:rsidRDefault="5FD410A8" w:rsidP="001B3723">
            <w:pPr>
              <w:spacing w:after="0" w:line="480" w:lineRule="auto"/>
            </w:pPr>
            <w:r w:rsidRPr="5FD410A8">
              <w:rPr>
                <w:rFonts w:ascii="Aptos" w:eastAsia="Aptos" w:hAnsi="Aptos" w:cs="Aptos"/>
                <w:color w:val="000000" w:themeColor="text1"/>
              </w:rPr>
              <w:t>Summary of partial correlations per group</w:t>
            </w:r>
          </w:p>
        </w:tc>
      </w:tr>
      <w:tr w:rsidR="5FD410A8" w14:paraId="4DE4E467" w14:textId="77777777" w:rsidTr="2A4FE2FE">
        <w:trPr>
          <w:trHeight w:val="1185"/>
        </w:trPr>
        <w:tc>
          <w:tcPr>
            <w:tcW w:w="4159" w:type="dxa"/>
            <w:tcBorders>
              <w:top w:val="double" w:sz="5" w:space="0" w:color="auto"/>
              <w:left w:val="nil"/>
              <w:bottom w:val="single" w:sz="4" w:space="0" w:color="auto"/>
              <w:right w:val="nil"/>
            </w:tcBorders>
            <w:tcMar>
              <w:top w:w="15" w:type="dxa"/>
              <w:left w:w="15" w:type="dxa"/>
              <w:right w:w="15" w:type="dxa"/>
            </w:tcMar>
            <w:vAlign w:val="bottom"/>
          </w:tcPr>
          <w:p w14:paraId="673B7AD2" w14:textId="4DF7111D" w:rsidR="5FD410A8" w:rsidRDefault="5FD410A8" w:rsidP="001B3723">
            <w:pPr>
              <w:spacing w:after="0" w:line="480" w:lineRule="auto"/>
            </w:pPr>
            <w:r w:rsidRPr="5FD410A8">
              <w:rPr>
                <w:rFonts w:ascii="Aptos" w:eastAsia="Aptos" w:hAnsi="Aptos" w:cs="Aptos"/>
              </w:rPr>
              <w:t xml:space="preserve"> </w:t>
            </w:r>
          </w:p>
        </w:tc>
        <w:tc>
          <w:tcPr>
            <w:tcW w:w="1627" w:type="dxa"/>
            <w:tcBorders>
              <w:top w:val="nil"/>
              <w:left w:val="nil"/>
              <w:bottom w:val="single" w:sz="4" w:space="0" w:color="auto"/>
              <w:right w:val="nil"/>
            </w:tcBorders>
            <w:tcMar>
              <w:top w:w="15" w:type="dxa"/>
              <w:left w:w="15" w:type="dxa"/>
              <w:right w:w="15" w:type="dxa"/>
            </w:tcMar>
            <w:vAlign w:val="bottom"/>
          </w:tcPr>
          <w:p w14:paraId="1AB00FB7" w14:textId="0B092957" w:rsidR="5FD410A8" w:rsidRDefault="5FD410A8" w:rsidP="001B3723">
            <w:pPr>
              <w:spacing w:after="0" w:line="480" w:lineRule="auto"/>
              <w:jc w:val="center"/>
            </w:pPr>
            <w:r w:rsidRPr="5FD410A8">
              <w:rPr>
                <w:rFonts w:ascii="Aptos" w:eastAsia="Aptos" w:hAnsi="Aptos" w:cs="Aptos"/>
                <w:color w:val="000000" w:themeColor="text1"/>
              </w:rPr>
              <w:t xml:space="preserve">Schizophrenia Spectrum Disorders </w:t>
            </w:r>
            <w:r>
              <w:br/>
            </w:r>
            <w:r w:rsidRPr="5FD410A8">
              <w:rPr>
                <w:rFonts w:ascii="Aptos" w:eastAsia="Aptos" w:hAnsi="Aptos" w:cs="Aptos"/>
                <w:color w:val="000000" w:themeColor="text1"/>
              </w:rPr>
              <w:t>(n = 103)</w:t>
            </w:r>
          </w:p>
        </w:tc>
        <w:tc>
          <w:tcPr>
            <w:tcW w:w="1617" w:type="dxa"/>
            <w:tcBorders>
              <w:top w:val="nil"/>
              <w:left w:val="nil"/>
              <w:bottom w:val="single" w:sz="4" w:space="0" w:color="auto"/>
              <w:right w:val="nil"/>
            </w:tcBorders>
            <w:tcMar>
              <w:top w:w="15" w:type="dxa"/>
              <w:left w:w="15" w:type="dxa"/>
              <w:right w:w="15" w:type="dxa"/>
            </w:tcMar>
            <w:vAlign w:val="bottom"/>
          </w:tcPr>
          <w:p w14:paraId="03CAC73D" w14:textId="460A3139" w:rsidR="5FD410A8" w:rsidRDefault="5FD410A8" w:rsidP="001B3723">
            <w:pPr>
              <w:spacing w:after="0" w:line="480" w:lineRule="auto"/>
              <w:jc w:val="center"/>
            </w:pPr>
            <w:r w:rsidRPr="5FD410A8">
              <w:rPr>
                <w:rFonts w:ascii="Aptos" w:eastAsia="Aptos" w:hAnsi="Aptos" w:cs="Aptos"/>
                <w:color w:val="000000" w:themeColor="text1"/>
              </w:rPr>
              <w:t xml:space="preserve">Anxiety </w:t>
            </w:r>
            <w:r>
              <w:br/>
            </w:r>
            <w:r w:rsidRPr="5FD410A8">
              <w:rPr>
                <w:rFonts w:ascii="Aptos" w:eastAsia="Aptos" w:hAnsi="Aptos" w:cs="Aptos"/>
                <w:color w:val="000000" w:themeColor="text1"/>
              </w:rPr>
              <w:t xml:space="preserve">Disorders </w:t>
            </w:r>
            <w:r>
              <w:br/>
            </w:r>
            <w:r w:rsidRPr="5FD410A8">
              <w:rPr>
                <w:rFonts w:ascii="Aptos" w:eastAsia="Aptos" w:hAnsi="Aptos" w:cs="Aptos"/>
                <w:color w:val="000000" w:themeColor="text1"/>
              </w:rPr>
              <w:t>(n = 102)</w:t>
            </w:r>
          </w:p>
        </w:tc>
        <w:tc>
          <w:tcPr>
            <w:tcW w:w="1613" w:type="dxa"/>
            <w:tcBorders>
              <w:top w:val="nil"/>
              <w:left w:val="nil"/>
              <w:bottom w:val="single" w:sz="4" w:space="0" w:color="auto"/>
              <w:right w:val="nil"/>
            </w:tcBorders>
            <w:tcMar>
              <w:top w:w="15" w:type="dxa"/>
              <w:left w:w="15" w:type="dxa"/>
              <w:right w:w="15" w:type="dxa"/>
            </w:tcMar>
            <w:vAlign w:val="bottom"/>
          </w:tcPr>
          <w:p w14:paraId="1E6AFE8F" w14:textId="27D0A25A" w:rsidR="5FD410A8" w:rsidRDefault="5FD410A8" w:rsidP="001B3723">
            <w:pPr>
              <w:spacing w:after="0" w:line="480" w:lineRule="auto"/>
              <w:jc w:val="center"/>
            </w:pPr>
            <w:r w:rsidRPr="5FD410A8">
              <w:rPr>
                <w:rFonts w:ascii="Aptos" w:eastAsia="Aptos" w:hAnsi="Aptos" w:cs="Aptos"/>
                <w:color w:val="000000" w:themeColor="text1"/>
              </w:rPr>
              <w:t xml:space="preserve">Non-Clinical Sample </w:t>
            </w:r>
            <w:r>
              <w:br/>
            </w:r>
            <w:r w:rsidRPr="5FD410A8">
              <w:rPr>
                <w:rFonts w:ascii="Aptos" w:eastAsia="Aptos" w:hAnsi="Aptos" w:cs="Aptos"/>
                <w:color w:val="000000" w:themeColor="text1"/>
              </w:rPr>
              <w:t>(n =102)</w:t>
            </w:r>
          </w:p>
        </w:tc>
      </w:tr>
      <w:tr w:rsidR="5FD410A8" w14:paraId="3B2FD11D" w14:textId="77777777" w:rsidTr="2A4FE2FE">
        <w:trPr>
          <w:trHeight w:val="300"/>
        </w:trPr>
        <w:tc>
          <w:tcPr>
            <w:tcW w:w="4159" w:type="dxa"/>
            <w:tcBorders>
              <w:top w:val="single" w:sz="4" w:space="0" w:color="auto"/>
              <w:left w:val="nil"/>
              <w:bottom w:val="nil"/>
              <w:right w:val="nil"/>
            </w:tcBorders>
            <w:tcMar>
              <w:top w:w="15" w:type="dxa"/>
              <w:left w:w="15" w:type="dxa"/>
              <w:right w:w="15" w:type="dxa"/>
            </w:tcMar>
            <w:vAlign w:val="bottom"/>
          </w:tcPr>
          <w:p w14:paraId="11DB0628" w14:textId="4FBD203E" w:rsidR="5FD410A8" w:rsidRDefault="5FD410A8" w:rsidP="001B3723">
            <w:pPr>
              <w:spacing w:after="0" w:line="480" w:lineRule="auto"/>
            </w:pPr>
          </w:p>
        </w:tc>
        <w:tc>
          <w:tcPr>
            <w:tcW w:w="1627" w:type="dxa"/>
            <w:tcBorders>
              <w:top w:val="single" w:sz="4" w:space="0" w:color="auto"/>
              <w:left w:val="nil"/>
              <w:bottom w:val="nil"/>
              <w:right w:val="nil"/>
            </w:tcBorders>
            <w:tcMar>
              <w:top w:w="15" w:type="dxa"/>
              <w:left w:w="15" w:type="dxa"/>
              <w:right w:w="15" w:type="dxa"/>
            </w:tcMar>
            <w:vAlign w:val="bottom"/>
          </w:tcPr>
          <w:p w14:paraId="32350D5C" w14:textId="5D15A47F" w:rsidR="5FD410A8" w:rsidRDefault="5FD410A8" w:rsidP="001B3723">
            <w:pPr>
              <w:spacing w:after="0" w:line="480" w:lineRule="auto"/>
            </w:pPr>
          </w:p>
        </w:tc>
        <w:tc>
          <w:tcPr>
            <w:tcW w:w="1617" w:type="dxa"/>
            <w:tcBorders>
              <w:top w:val="single" w:sz="4" w:space="0" w:color="auto"/>
              <w:left w:val="nil"/>
              <w:bottom w:val="nil"/>
              <w:right w:val="nil"/>
            </w:tcBorders>
            <w:tcMar>
              <w:top w:w="15" w:type="dxa"/>
              <w:left w:w="15" w:type="dxa"/>
              <w:right w:w="15" w:type="dxa"/>
            </w:tcMar>
            <w:vAlign w:val="bottom"/>
          </w:tcPr>
          <w:p w14:paraId="1B6F1376" w14:textId="756B8E25" w:rsidR="5FD410A8" w:rsidRDefault="5FD410A8" w:rsidP="001B3723">
            <w:pPr>
              <w:spacing w:after="0" w:line="480" w:lineRule="auto"/>
            </w:pPr>
          </w:p>
        </w:tc>
        <w:tc>
          <w:tcPr>
            <w:tcW w:w="1613" w:type="dxa"/>
            <w:tcBorders>
              <w:top w:val="single" w:sz="4" w:space="0" w:color="auto"/>
              <w:left w:val="nil"/>
              <w:bottom w:val="nil"/>
              <w:right w:val="nil"/>
            </w:tcBorders>
            <w:tcMar>
              <w:top w:w="15" w:type="dxa"/>
              <w:left w:w="15" w:type="dxa"/>
              <w:right w:w="15" w:type="dxa"/>
            </w:tcMar>
            <w:vAlign w:val="bottom"/>
          </w:tcPr>
          <w:p w14:paraId="5C896787" w14:textId="33CE800A" w:rsidR="5FD410A8" w:rsidRDefault="5FD410A8" w:rsidP="001B3723">
            <w:pPr>
              <w:spacing w:after="0" w:line="480" w:lineRule="auto"/>
            </w:pPr>
          </w:p>
        </w:tc>
      </w:tr>
      <w:tr w:rsidR="5FD410A8" w14:paraId="1F6623D4" w14:textId="77777777" w:rsidTr="2A4FE2FE">
        <w:trPr>
          <w:trHeight w:val="600"/>
        </w:trPr>
        <w:tc>
          <w:tcPr>
            <w:tcW w:w="4159" w:type="dxa"/>
            <w:tcBorders>
              <w:top w:val="nil"/>
              <w:left w:val="nil"/>
              <w:bottom w:val="nil"/>
              <w:right w:val="nil"/>
            </w:tcBorders>
            <w:tcMar>
              <w:top w:w="15" w:type="dxa"/>
              <w:left w:w="15" w:type="dxa"/>
              <w:right w:w="15" w:type="dxa"/>
            </w:tcMar>
            <w:vAlign w:val="bottom"/>
          </w:tcPr>
          <w:p w14:paraId="28AEF22A" w14:textId="2DE81F20" w:rsidR="5FD410A8" w:rsidRDefault="5FD410A8" w:rsidP="001B3723">
            <w:pPr>
              <w:spacing w:after="0" w:line="480" w:lineRule="auto"/>
            </w:pPr>
            <w:r w:rsidRPr="5FD410A8">
              <w:rPr>
                <w:rFonts w:ascii="Aptos" w:eastAsia="Aptos" w:hAnsi="Aptos" w:cs="Aptos"/>
                <w:i/>
                <w:iCs/>
              </w:rPr>
              <w:t>Partial correlation for Intolerance of Uncertainty, controlling for Neuroticism</w:t>
            </w:r>
          </w:p>
        </w:tc>
        <w:tc>
          <w:tcPr>
            <w:tcW w:w="1627" w:type="dxa"/>
            <w:tcBorders>
              <w:top w:val="nil"/>
              <w:left w:val="nil"/>
              <w:bottom w:val="nil"/>
              <w:right w:val="nil"/>
            </w:tcBorders>
            <w:tcMar>
              <w:top w:w="15" w:type="dxa"/>
              <w:left w:w="15" w:type="dxa"/>
              <w:right w:w="15" w:type="dxa"/>
            </w:tcMar>
            <w:vAlign w:val="bottom"/>
          </w:tcPr>
          <w:p w14:paraId="4721C847" w14:textId="34081818" w:rsidR="5FD410A8" w:rsidRDefault="5FD410A8" w:rsidP="001B3723">
            <w:pPr>
              <w:spacing w:after="0" w:line="480" w:lineRule="auto"/>
            </w:pPr>
          </w:p>
        </w:tc>
        <w:tc>
          <w:tcPr>
            <w:tcW w:w="1617" w:type="dxa"/>
            <w:tcBorders>
              <w:top w:val="nil"/>
              <w:left w:val="nil"/>
              <w:bottom w:val="nil"/>
              <w:right w:val="nil"/>
            </w:tcBorders>
            <w:tcMar>
              <w:top w:w="15" w:type="dxa"/>
              <w:left w:w="15" w:type="dxa"/>
              <w:right w:w="15" w:type="dxa"/>
            </w:tcMar>
            <w:vAlign w:val="bottom"/>
          </w:tcPr>
          <w:p w14:paraId="2C9643A9" w14:textId="04BB29C9" w:rsidR="5FD410A8" w:rsidRDefault="5FD410A8" w:rsidP="001B3723">
            <w:pPr>
              <w:spacing w:after="0" w:line="480" w:lineRule="auto"/>
            </w:pPr>
          </w:p>
        </w:tc>
        <w:tc>
          <w:tcPr>
            <w:tcW w:w="1613" w:type="dxa"/>
            <w:tcBorders>
              <w:top w:val="nil"/>
              <w:left w:val="nil"/>
              <w:bottom w:val="nil"/>
              <w:right w:val="nil"/>
            </w:tcBorders>
            <w:tcMar>
              <w:top w:w="15" w:type="dxa"/>
              <w:left w:w="15" w:type="dxa"/>
              <w:right w:w="15" w:type="dxa"/>
            </w:tcMar>
            <w:vAlign w:val="bottom"/>
          </w:tcPr>
          <w:p w14:paraId="2D625877" w14:textId="693EAAAD" w:rsidR="5FD410A8" w:rsidRDefault="5FD410A8" w:rsidP="001B3723">
            <w:pPr>
              <w:spacing w:after="0" w:line="480" w:lineRule="auto"/>
            </w:pPr>
          </w:p>
        </w:tc>
      </w:tr>
      <w:tr w:rsidR="5FD410A8" w14:paraId="57AAFFE8" w14:textId="77777777" w:rsidTr="2A4FE2FE">
        <w:trPr>
          <w:trHeight w:val="300"/>
        </w:trPr>
        <w:tc>
          <w:tcPr>
            <w:tcW w:w="4159" w:type="dxa"/>
            <w:tcBorders>
              <w:top w:val="nil"/>
              <w:left w:val="nil"/>
              <w:bottom w:val="nil"/>
              <w:right w:val="nil"/>
            </w:tcBorders>
            <w:tcMar>
              <w:top w:w="15" w:type="dxa"/>
              <w:left w:w="15" w:type="dxa"/>
              <w:right w:w="15" w:type="dxa"/>
            </w:tcMar>
            <w:vAlign w:val="bottom"/>
          </w:tcPr>
          <w:p w14:paraId="49F6898A" w14:textId="155334A1" w:rsidR="5FD410A8" w:rsidRDefault="1D5BE20F" w:rsidP="001B3723">
            <w:pPr>
              <w:spacing w:after="0" w:line="480" w:lineRule="auto"/>
            </w:pPr>
            <w:r w:rsidRPr="28D42152">
              <w:rPr>
                <w:rFonts w:ascii="Aptos" w:eastAsia="Aptos" w:hAnsi="Aptos" w:cs="Aptos"/>
                <w:color w:val="000000" w:themeColor="text1"/>
              </w:rPr>
              <w:t>1</w:t>
            </w:r>
            <w:r w:rsidR="06CFA637" w:rsidRPr="28D42152">
              <w:rPr>
                <w:rFonts w:ascii="Aptos" w:eastAsia="Aptos" w:hAnsi="Aptos" w:cs="Aptos"/>
                <w:color w:val="000000" w:themeColor="text1"/>
              </w:rPr>
              <w:t>. Paranoia</w:t>
            </w:r>
          </w:p>
        </w:tc>
        <w:tc>
          <w:tcPr>
            <w:tcW w:w="1627" w:type="dxa"/>
            <w:tcBorders>
              <w:top w:val="nil"/>
              <w:left w:val="nil"/>
              <w:bottom w:val="nil"/>
              <w:right w:val="nil"/>
            </w:tcBorders>
            <w:tcMar>
              <w:top w:w="15" w:type="dxa"/>
              <w:left w:w="15" w:type="dxa"/>
              <w:right w:w="15" w:type="dxa"/>
            </w:tcMar>
            <w:vAlign w:val="center"/>
          </w:tcPr>
          <w:p w14:paraId="67751C1B" w14:textId="40DC2BB6" w:rsidR="5FD410A8" w:rsidRDefault="1D319E6F" w:rsidP="001B3723">
            <w:pPr>
              <w:spacing w:after="0" w:line="480" w:lineRule="auto"/>
              <w:jc w:val="center"/>
            </w:pPr>
            <w:r w:rsidRPr="2A4FE2FE">
              <w:rPr>
                <w:rFonts w:ascii="Aptos" w:eastAsia="Aptos" w:hAnsi="Aptos" w:cs="Aptos"/>
                <w:color w:val="000000" w:themeColor="text1"/>
              </w:rPr>
              <w:t>.</w:t>
            </w:r>
            <w:r w:rsidR="3838FF27" w:rsidRPr="2A4FE2FE">
              <w:rPr>
                <w:rFonts w:ascii="Aptos" w:eastAsia="Aptos" w:hAnsi="Aptos" w:cs="Aptos"/>
                <w:color w:val="000000" w:themeColor="text1"/>
              </w:rPr>
              <w:t>28</w:t>
            </w:r>
            <w:r w:rsidRPr="2A4FE2FE">
              <w:rPr>
                <w:rFonts w:ascii="Aptos" w:eastAsia="Aptos" w:hAnsi="Aptos" w:cs="Aptos"/>
                <w:color w:val="000000" w:themeColor="text1"/>
              </w:rPr>
              <w:t>*</w:t>
            </w:r>
          </w:p>
        </w:tc>
        <w:tc>
          <w:tcPr>
            <w:tcW w:w="1617" w:type="dxa"/>
            <w:tcBorders>
              <w:top w:val="nil"/>
              <w:left w:val="nil"/>
              <w:bottom w:val="nil"/>
              <w:right w:val="nil"/>
            </w:tcBorders>
            <w:tcMar>
              <w:top w:w="15" w:type="dxa"/>
              <w:left w:w="15" w:type="dxa"/>
              <w:right w:w="15" w:type="dxa"/>
            </w:tcMar>
            <w:vAlign w:val="center"/>
          </w:tcPr>
          <w:p w14:paraId="389B2167" w14:textId="2CE4B6AE" w:rsidR="5FD410A8" w:rsidRDefault="1D319E6F" w:rsidP="001B3723">
            <w:pPr>
              <w:spacing w:after="0" w:line="480" w:lineRule="auto"/>
              <w:jc w:val="center"/>
              <w:rPr>
                <w:rFonts w:ascii="Aptos" w:eastAsia="Aptos" w:hAnsi="Aptos" w:cs="Aptos"/>
                <w:color w:val="000000" w:themeColor="text1"/>
              </w:rPr>
            </w:pPr>
            <w:r w:rsidRPr="2A4FE2FE">
              <w:rPr>
                <w:rFonts w:ascii="Aptos" w:eastAsia="Aptos" w:hAnsi="Aptos" w:cs="Aptos"/>
                <w:color w:val="000000" w:themeColor="text1"/>
              </w:rPr>
              <w:t>.</w:t>
            </w:r>
            <w:r w:rsidR="6F4B8558" w:rsidRPr="2A4FE2FE">
              <w:rPr>
                <w:rFonts w:ascii="Aptos" w:eastAsia="Aptos" w:hAnsi="Aptos" w:cs="Aptos"/>
                <w:color w:val="000000" w:themeColor="text1"/>
              </w:rPr>
              <w:t>31</w:t>
            </w:r>
            <w:r w:rsidRPr="2A4FE2FE">
              <w:rPr>
                <w:rFonts w:ascii="Aptos" w:eastAsia="Aptos" w:hAnsi="Aptos" w:cs="Aptos"/>
                <w:color w:val="000000" w:themeColor="text1"/>
              </w:rPr>
              <w:t>*</w:t>
            </w:r>
          </w:p>
        </w:tc>
        <w:tc>
          <w:tcPr>
            <w:tcW w:w="1613" w:type="dxa"/>
            <w:tcBorders>
              <w:top w:val="nil"/>
              <w:left w:val="nil"/>
              <w:bottom w:val="nil"/>
              <w:right w:val="nil"/>
            </w:tcBorders>
            <w:tcMar>
              <w:top w:w="15" w:type="dxa"/>
              <w:left w:w="15" w:type="dxa"/>
              <w:right w:w="15" w:type="dxa"/>
            </w:tcMar>
            <w:vAlign w:val="center"/>
          </w:tcPr>
          <w:p w14:paraId="3B0F1841" w14:textId="42F6C4CE" w:rsidR="5FD410A8" w:rsidRDefault="1D319E6F" w:rsidP="001B3723">
            <w:pPr>
              <w:spacing w:after="0" w:line="480" w:lineRule="auto"/>
              <w:jc w:val="center"/>
            </w:pPr>
            <w:r w:rsidRPr="2A4FE2FE">
              <w:rPr>
                <w:rFonts w:ascii="Aptos" w:eastAsia="Aptos" w:hAnsi="Aptos" w:cs="Aptos"/>
                <w:color w:val="000000" w:themeColor="text1"/>
              </w:rPr>
              <w:t>.</w:t>
            </w:r>
            <w:r w:rsidR="53ED0226" w:rsidRPr="2A4FE2FE">
              <w:rPr>
                <w:rFonts w:ascii="Aptos" w:eastAsia="Aptos" w:hAnsi="Aptos" w:cs="Aptos"/>
                <w:color w:val="000000" w:themeColor="text1"/>
              </w:rPr>
              <w:t>28</w:t>
            </w:r>
            <w:r w:rsidRPr="2A4FE2FE">
              <w:rPr>
                <w:rFonts w:ascii="Aptos" w:eastAsia="Aptos" w:hAnsi="Aptos" w:cs="Aptos"/>
                <w:color w:val="000000" w:themeColor="text1"/>
              </w:rPr>
              <w:t>*</w:t>
            </w:r>
          </w:p>
        </w:tc>
      </w:tr>
      <w:tr w:rsidR="5FD410A8" w14:paraId="102644B2" w14:textId="77777777" w:rsidTr="2A4FE2FE">
        <w:trPr>
          <w:trHeight w:val="300"/>
        </w:trPr>
        <w:tc>
          <w:tcPr>
            <w:tcW w:w="4159" w:type="dxa"/>
            <w:tcBorders>
              <w:top w:val="nil"/>
              <w:left w:val="nil"/>
              <w:bottom w:val="nil"/>
              <w:right w:val="nil"/>
            </w:tcBorders>
            <w:tcMar>
              <w:top w:w="15" w:type="dxa"/>
              <w:left w:w="15" w:type="dxa"/>
              <w:right w:w="15" w:type="dxa"/>
            </w:tcMar>
            <w:vAlign w:val="bottom"/>
          </w:tcPr>
          <w:p w14:paraId="20CA7EC4" w14:textId="1FA469A2" w:rsidR="5FD410A8" w:rsidRDefault="1D5BE20F" w:rsidP="001B3723">
            <w:pPr>
              <w:spacing w:after="0" w:line="480" w:lineRule="auto"/>
            </w:pPr>
            <w:r w:rsidRPr="28D42152">
              <w:rPr>
                <w:rFonts w:ascii="Aptos" w:eastAsia="Aptos" w:hAnsi="Aptos" w:cs="Aptos"/>
                <w:color w:val="000000" w:themeColor="text1"/>
              </w:rPr>
              <w:t>2</w:t>
            </w:r>
            <w:r w:rsidR="06CFA637" w:rsidRPr="28D42152">
              <w:rPr>
                <w:rFonts w:ascii="Aptos" w:eastAsia="Aptos" w:hAnsi="Aptos" w:cs="Aptos"/>
                <w:color w:val="000000" w:themeColor="text1"/>
              </w:rPr>
              <w:t>. Prodromal Symptoms</w:t>
            </w:r>
          </w:p>
        </w:tc>
        <w:tc>
          <w:tcPr>
            <w:tcW w:w="1627" w:type="dxa"/>
            <w:tcBorders>
              <w:top w:val="nil"/>
              <w:left w:val="nil"/>
              <w:bottom w:val="nil"/>
              <w:right w:val="nil"/>
            </w:tcBorders>
            <w:tcMar>
              <w:top w:w="15" w:type="dxa"/>
              <w:left w:w="15" w:type="dxa"/>
              <w:right w:w="15" w:type="dxa"/>
            </w:tcMar>
            <w:vAlign w:val="center"/>
          </w:tcPr>
          <w:p w14:paraId="1B8461C2" w14:textId="62D9066C" w:rsidR="5FD410A8" w:rsidRDefault="1D319E6F" w:rsidP="001B3723">
            <w:pPr>
              <w:spacing w:after="0" w:line="480" w:lineRule="auto"/>
              <w:jc w:val="center"/>
              <w:rPr>
                <w:rFonts w:ascii="Aptos" w:eastAsia="Aptos" w:hAnsi="Aptos" w:cs="Aptos"/>
                <w:color w:val="000000" w:themeColor="text1"/>
              </w:rPr>
            </w:pPr>
            <w:r w:rsidRPr="2A4FE2FE">
              <w:rPr>
                <w:rFonts w:ascii="Aptos" w:eastAsia="Aptos" w:hAnsi="Aptos" w:cs="Aptos"/>
                <w:color w:val="000000" w:themeColor="text1"/>
              </w:rPr>
              <w:t>.</w:t>
            </w:r>
            <w:r w:rsidR="49AAD06D" w:rsidRPr="2A4FE2FE">
              <w:rPr>
                <w:rFonts w:ascii="Aptos" w:eastAsia="Aptos" w:hAnsi="Aptos" w:cs="Aptos"/>
                <w:color w:val="000000" w:themeColor="text1"/>
              </w:rPr>
              <w:t>21</w:t>
            </w:r>
            <w:r w:rsidRPr="2A4FE2FE">
              <w:rPr>
                <w:rFonts w:ascii="Aptos" w:eastAsia="Aptos" w:hAnsi="Aptos" w:cs="Aptos"/>
                <w:color w:val="000000" w:themeColor="text1"/>
              </w:rPr>
              <w:t>*</w:t>
            </w:r>
          </w:p>
        </w:tc>
        <w:tc>
          <w:tcPr>
            <w:tcW w:w="1617" w:type="dxa"/>
            <w:tcBorders>
              <w:top w:val="nil"/>
              <w:left w:val="nil"/>
              <w:bottom w:val="nil"/>
              <w:right w:val="nil"/>
            </w:tcBorders>
            <w:tcMar>
              <w:top w:w="15" w:type="dxa"/>
              <w:left w:w="15" w:type="dxa"/>
              <w:right w:w="15" w:type="dxa"/>
            </w:tcMar>
            <w:vAlign w:val="center"/>
          </w:tcPr>
          <w:p w14:paraId="068B7E0A" w14:textId="76FC779C" w:rsidR="5FD410A8" w:rsidRDefault="1D319E6F" w:rsidP="001B3723">
            <w:pPr>
              <w:spacing w:after="0" w:line="480" w:lineRule="auto"/>
              <w:jc w:val="center"/>
              <w:rPr>
                <w:rFonts w:ascii="Aptos" w:eastAsia="Aptos" w:hAnsi="Aptos" w:cs="Aptos"/>
                <w:color w:val="000000" w:themeColor="text1"/>
              </w:rPr>
            </w:pPr>
            <w:r w:rsidRPr="2A4FE2FE">
              <w:rPr>
                <w:rFonts w:ascii="Aptos" w:eastAsia="Aptos" w:hAnsi="Aptos" w:cs="Aptos"/>
                <w:color w:val="000000" w:themeColor="text1"/>
              </w:rPr>
              <w:t>.</w:t>
            </w:r>
            <w:r w:rsidR="6829B602" w:rsidRPr="2A4FE2FE">
              <w:rPr>
                <w:rFonts w:ascii="Aptos" w:eastAsia="Aptos" w:hAnsi="Aptos" w:cs="Aptos"/>
                <w:color w:val="000000" w:themeColor="text1"/>
              </w:rPr>
              <w:t>39</w:t>
            </w:r>
            <w:r w:rsidRPr="2A4FE2FE">
              <w:rPr>
                <w:rFonts w:ascii="Aptos" w:eastAsia="Aptos" w:hAnsi="Aptos" w:cs="Aptos"/>
                <w:color w:val="000000" w:themeColor="text1"/>
              </w:rPr>
              <w:t>**</w:t>
            </w:r>
          </w:p>
        </w:tc>
        <w:tc>
          <w:tcPr>
            <w:tcW w:w="1613" w:type="dxa"/>
            <w:tcBorders>
              <w:top w:val="nil"/>
              <w:left w:val="nil"/>
              <w:bottom w:val="nil"/>
              <w:right w:val="nil"/>
            </w:tcBorders>
            <w:tcMar>
              <w:top w:w="15" w:type="dxa"/>
              <w:left w:w="15" w:type="dxa"/>
              <w:right w:w="15" w:type="dxa"/>
            </w:tcMar>
            <w:vAlign w:val="center"/>
          </w:tcPr>
          <w:p w14:paraId="09EAB6CE" w14:textId="78A5C85F" w:rsidR="5FD410A8" w:rsidRDefault="1D319E6F" w:rsidP="001B3723">
            <w:pPr>
              <w:spacing w:after="0" w:line="480" w:lineRule="auto"/>
              <w:jc w:val="center"/>
              <w:rPr>
                <w:rFonts w:ascii="Aptos" w:eastAsia="Aptos" w:hAnsi="Aptos" w:cs="Aptos"/>
                <w:color w:val="000000" w:themeColor="text1"/>
              </w:rPr>
            </w:pPr>
            <w:r w:rsidRPr="2A4FE2FE">
              <w:rPr>
                <w:rFonts w:ascii="Aptos" w:eastAsia="Aptos" w:hAnsi="Aptos" w:cs="Aptos"/>
                <w:color w:val="000000" w:themeColor="text1"/>
              </w:rPr>
              <w:t>.</w:t>
            </w:r>
            <w:r w:rsidR="60021EFC" w:rsidRPr="2A4FE2FE">
              <w:rPr>
                <w:rFonts w:ascii="Aptos" w:eastAsia="Aptos" w:hAnsi="Aptos" w:cs="Aptos"/>
                <w:color w:val="000000" w:themeColor="text1"/>
              </w:rPr>
              <w:t>30</w:t>
            </w:r>
            <w:r w:rsidRPr="2A4FE2FE">
              <w:rPr>
                <w:rFonts w:ascii="Aptos" w:eastAsia="Aptos" w:hAnsi="Aptos" w:cs="Aptos"/>
                <w:color w:val="000000" w:themeColor="text1"/>
              </w:rPr>
              <w:t>*</w:t>
            </w:r>
          </w:p>
        </w:tc>
      </w:tr>
      <w:tr w:rsidR="5FD410A8" w14:paraId="325DB6EC" w14:textId="77777777" w:rsidTr="2A4FE2FE">
        <w:trPr>
          <w:trHeight w:val="300"/>
        </w:trPr>
        <w:tc>
          <w:tcPr>
            <w:tcW w:w="4159" w:type="dxa"/>
            <w:tcBorders>
              <w:top w:val="nil"/>
              <w:left w:val="nil"/>
              <w:bottom w:val="nil"/>
              <w:right w:val="nil"/>
            </w:tcBorders>
            <w:tcMar>
              <w:top w:w="15" w:type="dxa"/>
              <w:left w:w="15" w:type="dxa"/>
              <w:right w:w="15" w:type="dxa"/>
            </w:tcMar>
            <w:vAlign w:val="bottom"/>
          </w:tcPr>
          <w:p w14:paraId="7753E73A" w14:textId="392AEE54" w:rsidR="5FD410A8" w:rsidRDefault="5FD410A8" w:rsidP="001B3723">
            <w:pPr>
              <w:spacing w:after="0" w:line="480" w:lineRule="auto"/>
            </w:pPr>
          </w:p>
        </w:tc>
        <w:tc>
          <w:tcPr>
            <w:tcW w:w="1627" w:type="dxa"/>
            <w:tcBorders>
              <w:top w:val="nil"/>
              <w:left w:val="nil"/>
              <w:bottom w:val="nil"/>
              <w:right w:val="nil"/>
            </w:tcBorders>
            <w:tcMar>
              <w:top w:w="15" w:type="dxa"/>
              <w:left w:w="15" w:type="dxa"/>
              <w:right w:w="15" w:type="dxa"/>
            </w:tcMar>
            <w:vAlign w:val="center"/>
          </w:tcPr>
          <w:p w14:paraId="0C952994" w14:textId="31912B82" w:rsidR="5FD410A8" w:rsidRDefault="5FD410A8" w:rsidP="001B3723">
            <w:pPr>
              <w:spacing w:after="0" w:line="480" w:lineRule="auto"/>
            </w:pPr>
          </w:p>
        </w:tc>
        <w:tc>
          <w:tcPr>
            <w:tcW w:w="1617" w:type="dxa"/>
            <w:tcBorders>
              <w:top w:val="nil"/>
              <w:left w:val="nil"/>
              <w:bottom w:val="nil"/>
              <w:right w:val="nil"/>
            </w:tcBorders>
            <w:tcMar>
              <w:top w:w="15" w:type="dxa"/>
              <w:left w:w="15" w:type="dxa"/>
              <w:right w:w="15" w:type="dxa"/>
            </w:tcMar>
            <w:vAlign w:val="center"/>
          </w:tcPr>
          <w:p w14:paraId="273F0E6B" w14:textId="20BA9449" w:rsidR="5FD410A8" w:rsidRDefault="5FD410A8" w:rsidP="001B3723">
            <w:pPr>
              <w:spacing w:after="0" w:line="480" w:lineRule="auto"/>
            </w:pPr>
          </w:p>
        </w:tc>
        <w:tc>
          <w:tcPr>
            <w:tcW w:w="1613" w:type="dxa"/>
            <w:tcBorders>
              <w:top w:val="nil"/>
              <w:left w:val="nil"/>
              <w:bottom w:val="nil"/>
              <w:right w:val="nil"/>
            </w:tcBorders>
            <w:tcMar>
              <w:top w:w="15" w:type="dxa"/>
              <w:left w:w="15" w:type="dxa"/>
              <w:right w:w="15" w:type="dxa"/>
            </w:tcMar>
            <w:vAlign w:val="center"/>
          </w:tcPr>
          <w:p w14:paraId="3744FAF1" w14:textId="16B3499D" w:rsidR="5FD410A8" w:rsidRDefault="5FD410A8" w:rsidP="001B3723">
            <w:pPr>
              <w:spacing w:after="0" w:line="480" w:lineRule="auto"/>
            </w:pPr>
          </w:p>
        </w:tc>
      </w:tr>
      <w:tr w:rsidR="5FD410A8" w14:paraId="5FE33DFB" w14:textId="77777777" w:rsidTr="2A4FE2FE">
        <w:trPr>
          <w:trHeight w:val="900"/>
        </w:trPr>
        <w:tc>
          <w:tcPr>
            <w:tcW w:w="4159" w:type="dxa"/>
            <w:tcBorders>
              <w:top w:val="nil"/>
              <w:left w:val="nil"/>
              <w:bottom w:val="nil"/>
              <w:right w:val="nil"/>
            </w:tcBorders>
            <w:tcMar>
              <w:top w:w="15" w:type="dxa"/>
              <w:left w:w="15" w:type="dxa"/>
              <w:right w:w="15" w:type="dxa"/>
            </w:tcMar>
            <w:vAlign w:val="bottom"/>
          </w:tcPr>
          <w:p w14:paraId="23C8D0B8" w14:textId="6C60C928" w:rsidR="5FD410A8" w:rsidRDefault="5FD410A8" w:rsidP="001B3723">
            <w:pPr>
              <w:spacing w:after="0" w:line="480" w:lineRule="auto"/>
            </w:pPr>
            <w:r w:rsidRPr="5FD410A8">
              <w:rPr>
                <w:rFonts w:ascii="Aptos" w:eastAsia="Aptos" w:hAnsi="Aptos" w:cs="Aptos"/>
                <w:i/>
                <w:iCs/>
                <w:color w:val="000000" w:themeColor="text1"/>
              </w:rPr>
              <w:t>Partial correlation for Intolerance of Uncertainty, Controlling for Jumping to Conclusions Bias</w:t>
            </w:r>
          </w:p>
        </w:tc>
        <w:tc>
          <w:tcPr>
            <w:tcW w:w="1627" w:type="dxa"/>
            <w:tcBorders>
              <w:top w:val="nil"/>
              <w:left w:val="nil"/>
              <w:bottom w:val="nil"/>
              <w:right w:val="nil"/>
            </w:tcBorders>
            <w:tcMar>
              <w:top w:w="15" w:type="dxa"/>
              <w:left w:w="15" w:type="dxa"/>
              <w:right w:w="15" w:type="dxa"/>
            </w:tcMar>
            <w:vAlign w:val="center"/>
          </w:tcPr>
          <w:p w14:paraId="07CB9276" w14:textId="7C1F7E6E" w:rsidR="5FD410A8" w:rsidRDefault="5FD410A8" w:rsidP="001B3723">
            <w:pPr>
              <w:spacing w:after="0" w:line="480" w:lineRule="auto"/>
            </w:pPr>
          </w:p>
        </w:tc>
        <w:tc>
          <w:tcPr>
            <w:tcW w:w="1617" w:type="dxa"/>
            <w:tcBorders>
              <w:top w:val="nil"/>
              <w:left w:val="nil"/>
              <w:bottom w:val="nil"/>
              <w:right w:val="nil"/>
            </w:tcBorders>
            <w:tcMar>
              <w:top w:w="15" w:type="dxa"/>
              <w:left w:w="15" w:type="dxa"/>
              <w:right w:w="15" w:type="dxa"/>
            </w:tcMar>
            <w:vAlign w:val="center"/>
          </w:tcPr>
          <w:p w14:paraId="6FBBF7A8" w14:textId="20B92A12" w:rsidR="5FD410A8" w:rsidRDefault="5FD410A8" w:rsidP="001B3723">
            <w:pPr>
              <w:spacing w:after="0" w:line="480" w:lineRule="auto"/>
            </w:pPr>
          </w:p>
        </w:tc>
        <w:tc>
          <w:tcPr>
            <w:tcW w:w="1613" w:type="dxa"/>
            <w:tcBorders>
              <w:top w:val="nil"/>
              <w:left w:val="nil"/>
              <w:bottom w:val="nil"/>
              <w:right w:val="nil"/>
            </w:tcBorders>
            <w:tcMar>
              <w:top w:w="15" w:type="dxa"/>
              <w:left w:w="15" w:type="dxa"/>
              <w:right w:w="15" w:type="dxa"/>
            </w:tcMar>
            <w:vAlign w:val="center"/>
          </w:tcPr>
          <w:p w14:paraId="4404D886" w14:textId="075DCFCB" w:rsidR="5FD410A8" w:rsidRDefault="5FD410A8" w:rsidP="001B3723">
            <w:pPr>
              <w:spacing w:after="0" w:line="480" w:lineRule="auto"/>
            </w:pPr>
          </w:p>
        </w:tc>
      </w:tr>
      <w:tr w:rsidR="5FD410A8" w14:paraId="2F455C86" w14:textId="77777777" w:rsidTr="2A4FE2FE">
        <w:trPr>
          <w:trHeight w:val="300"/>
        </w:trPr>
        <w:tc>
          <w:tcPr>
            <w:tcW w:w="4159" w:type="dxa"/>
            <w:tcBorders>
              <w:top w:val="nil"/>
              <w:left w:val="nil"/>
              <w:bottom w:val="nil"/>
              <w:right w:val="nil"/>
            </w:tcBorders>
            <w:tcMar>
              <w:top w:w="15" w:type="dxa"/>
              <w:left w:w="15" w:type="dxa"/>
              <w:right w:w="15" w:type="dxa"/>
            </w:tcMar>
            <w:vAlign w:val="bottom"/>
          </w:tcPr>
          <w:p w14:paraId="5880F4DA" w14:textId="243B55BE" w:rsidR="5FD410A8" w:rsidRDefault="59C77236" w:rsidP="001B3723">
            <w:pPr>
              <w:spacing w:after="0" w:line="480" w:lineRule="auto"/>
            </w:pPr>
            <w:r w:rsidRPr="28D42152">
              <w:rPr>
                <w:rFonts w:ascii="Aptos" w:eastAsia="Aptos" w:hAnsi="Aptos" w:cs="Aptos"/>
                <w:color w:val="000000" w:themeColor="text1"/>
              </w:rPr>
              <w:t>1</w:t>
            </w:r>
            <w:r w:rsidR="06CFA637" w:rsidRPr="28D42152">
              <w:rPr>
                <w:rFonts w:ascii="Aptos" w:eastAsia="Aptos" w:hAnsi="Aptos" w:cs="Aptos"/>
                <w:color w:val="000000" w:themeColor="text1"/>
              </w:rPr>
              <w:t>. Paranoia</w:t>
            </w:r>
          </w:p>
        </w:tc>
        <w:tc>
          <w:tcPr>
            <w:tcW w:w="1627" w:type="dxa"/>
            <w:tcBorders>
              <w:top w:val="nil"/>
              <w:left w:val="nil"/>
              <w:bottom w:val="nil"/>
              <w:right w:val="nil"/>
            </w:tcBorders>
            <w:tcMar>
              <w:top w:w="15" w:type="dxa"/>
              <w:left w:w="15" w:type="dxa"/>
              <w:right w:w="15" w:type="dxa"/>
            </w:tcMar>
            <w:vAlign w:val="center"/>
          </w:tcPr>
          <w:p w14:paraId="150C8DCE" w14:textId="4AE057F6" w:rsidR="5FD410A8" w:rsidRDefault="1D319E6F" w:rsidP="001B3723">
            <w:pPr>
              <w:spacing w:after="0" w:line="480" w:lineRule="auto"/>
              <w:jc w:val="center"/>
              <w:rPr>
                <w:rFonts w:ascii="Aptos" w:eastAsia="Aptos" w:hAnsi="Aptos" w:cs="Aptos"/>
                <w:color w:val="000000" w:themeColor="text1"/>
              </w:rPr>
            </w:pPr>
            <w:r w:rsidRPr="2A4FE2FE">
              <w:rPr>
                <w:rFonts w:ascii="Aptos" w:eastAsia="Aptos" w:hAnsi="Aptos" w:cs="Aptos"/>
                <w:color w:val="000000" w:themeColor="text1"/>
              </w:rPr>
              <w:t>.</w:t>
            </w:r>
            <w:r w:rsidR="4D9FC08B" w:rsidRPr="2A4FE2FE">
              <w:rPr>
                <w:rFonts w:ascii="Aptos" w:eastAsia="Aptos" w:hAnsi="Aptos" w:cs="Aptos"/>
                <w:color w:val="000000" w:themeColor="text1"/>
              </w:rPr>
              <w:t>13</w:t>
            </w:r>
          </w:p>
        </w:tc>
        <w:tc>
          <w:tcPr>
            <w:tcW w:w="1617" w:type="dxa"/>
            <w:tcBorders>
              <w:top w:val="nil"/>
              <w:left w:val="nil"/>
              <w:bottom w:val="nil"/>
              <w:right w:val="nil"/>
            </w:tcBorders>
            <w:tcMar>
              <w:top w:w="15" w:type="dxa"/>
              <w:left w:w="15" w:type="dxa"/>
              <w:right w:w="15" w:type="dxa"/>
            </w:tcMar>
            <w:vAlign w:val="center"/>
          </w:tcPr>
          <w:p w14:paraId="3218DAF2" w14:textId="46AF5059" w:rsidR="5FD410A8" w:rsidRDefault="1D319E6F" w:rsidP="001B3723">
            <w:pPr>
              <w:spacing w:after="0" w:line="480" w:lineRule="auto"/>
              <w:jc w:val="center"/>
              <w:rPr>
                <w:rFonts w:ascii="Aptos" w:eastAsia="Aptos" w:hAnsi="Aptos" w:cs="Aptos"/>
                <w:color w:val="000000" w:themeColor="text1"/>
              </w:rPr>
            </w:pPr>
            <w:r w:rsidRPr="2A4FE2FE">
              <w:rPr>
                <w:rFonts w:ascii="Aptos" w:eastAsia="Aptos" w:hAnsi="Aptos" w:cs="Aptos"/>
                <w:color w:val="000000" w:themeColor="text1"/>
              </w:rPr>
              <w:t>.</w:t>
            </w:r>
            <w:r w:rsidR="30D18F3C" w:rsidRPr="2A4FE2FE">
              <w:rPr>
                <w:rFonts w:ascii="Aptos" w:eastAsia="Aptos" w:hAnsi="Aptos" w:cs="Aptos"/>
                <w:color w:val="000000" w:themeColor="text1"/>
              </w:rPr>
              <w:t>35</w:t>
            </w:r>
            <w:r w:rsidRPr="2A4FE2FE">
              <w:rPr>
                <w:rFonts w:ascii="Aptos" w:eastAsia="Aptos" w:hAnsi="Aptos" w:cs="Aptos"/>
                <w:color w:val="000000" w:themeColor="text1"/>
              </w:rPr>
              <w:t>**</w:t>
            </w:r>
          </w:p>
        </w:tc>
        <w:tc>
          <w:tcPr>
            <w:tcW w:w="1613" w:type="dxa"/>
            <w:tcBorders>
              <w:top w:val="nil"/>
              <w:left w:val="nil"/>
              <w:bottom w:val="nil"/>
              <w:right w:val="nil"/>
            </w:tcBorders>
            <w:tcMar>
              <w:top w:w="15" w:type="dxa"/>
              <w:left w:w="15" w:type="dxa"/>
              <w:right w:w="15" w:type="dxa"/>
            </w:tcMar>
            <w:vAlign w:val="center"/>
          </w:tcPr>
          <w:p w14:paraId="496D502C" w14:textId="3CF5A747" w:rsidR="5FD410A8" w:rsidRDefault="1D319E6F" w:rsidP="001B3723">
            <w:pPr>
              <w:spacing w:after="0" w:line="480" w:lineRule="auto"/>
              <w:jc w:val="center"/>
              <w:rPr>
                <w:rFonts w:ascii="Aptos" w:eastAsia="Aptos" w:hAnsi="Aptos" w:cs="Aptos"/>
                <w:color w:val="000000" w:themeColor="text1"/>
              </w:rPr>
            </w:pPr>
            <w:r w:rsidRPr="2A4FE2FE">
              <w:rPr>
                <w:rFonts w:ascii="Aptos" w:eastAsia="Aptos" w:hAnsi="Aptos" w:cs="Aptos"/>
                <w:color w:val="000000" w:themeColor="text1"/>
              </w:rPr>
              <w:t>.</w:t>
            </w:r>
            <w:r w:rsidR="06D1E638" w:rsidRPr="2A4FE2FE">
              <w:rPr>
                <w:rFonts w:ascii="Aptos" w:eastAsia="Aptos" w:hAnsi="Aptos" w:cs="Aptos"/>
                <w:color w:val="000000" w:themeColor="text1"/>
              </w:rPr>
              <w:t>28</w:t>
            </w:r>
            <w:r w:rsidRPr="2A4FE2FE">
              <w:rPr>
                <w:rFonts w:ascii="Aptos" w:eastAsia="Aptos" w:hAnsi="Aptos" w:cs="Aptos"/>
                <w:color w:val="000000" w:themeColor="text1"/>
              </w:rPr>
              <w:t>*</w:t>
            </w:r>
          </w:p>
        </w:tc>
      </w:tr>
      <w:tr w:rsidR="5FD410A8" w14:paraId="0A62A4F6" w14:textId="77777777" w:rsidTr="2A4FE2FE">
        <w:trPr>
          <w:trHeight w:val="300"/>
        </w:trPr>
        <w:tc>
          <w:tcPr>
            <w:tcW w:w="4159" w:type="dxa"/>
            <w:tcBorders>
              <w:top w:val="nil"/>
              <w:left w:val="nil"/>
              <w:bottom w:val="nil"/>
              <w:right w:val="nil"/>
            </w:tcBorders>
            <w:tcMar>
              <w:top w:w="15" w:type="dxa"/>
              <w:left w:w="15" w:type="dxa"/>
              <w:right w:w="15" w:type="dxa"/>
            </w:tcMar>
            <w:vAlign w:val="bottom"/>
          </w:tcPr>
          <w:p w14:paraId="6A66864A" w14:textId="0E688DBE" w:rsidR="5FD410A8" w:rsidRDefault="59C77236" w:rsidP="001B3723">
            <w:pPr>
              <w:spacing w:after="0" w:line="480" w:lineRule="auto"/>
            </w:pPr>
            <w:r w:rsidRPr="28D42152">
              <w:rPr>
                <w:rFonts w:ascii="Aptos" w:eastAsia="Aptos" w:hAnsi="Aptos" w:cs="Aptos"/>
                <w:color w:val="000000" w:themeColor="text1"/>
              </w:rPr>
              <w:t>2</w:t>
            </w:r>
            <w:r w:rsidR="06CFA637" w:rsidRPr="28D42152">
              <w:rPr>
                <w:rFonts w:ascii="Aptos" w:eastAsia="Aptos" w:hAnsi="Aptos" w:cs="Aptos"/>
                <w:color w:val="000000" w:themeColor="text1"/>
              </w:rPr>
              <w:t>. Prodromal Symptoms</w:t>
            </w:r>
          </w:p>
        </w:tc>
        <w:tc>
          <w:tcPr>
            <w:tcW w:w="1627" w:type="dxa"/>
            <w:tcBorders>
              <w:top w:val="nil"/>
              <w:left w:val="nil"/>
              <w:bottom w:val="nil"/>
              <w:right w:val="nil"/>
            </w:tcBorders>
            <w:tcMar>
              <w:top w:w="15" w:type="dxa"/>
              <w:left w:w="15" w:type="dxa"/>
              <w:right w:w="15" w:type="dxa"/>
            </w:tcMar>
            <w:vAlign w:val="center"/>
          </w:tcPr>
          <w:p w14:paraId="4C14B415" w14:textId="6AA19405" w:rsidR="5FD410A8" w:rsidRDefault="1D319E6F" w:rsidP="001B3723">
            <w:pPr>
              <w:spacing w:after="0" w:line="480" w:lineRule="auto"/>
              <w:jc w:val="center"/>
              <w:rPr>
                <w:rFonts w:ascii="Aptos" w:eastAsia="Aptos" w:hAnsi="Aptos" w:cs="Aptos"/>
                <w:color w:val="000000" w:themeColor="text1"/>
              </w:rPr>
            </w:pPr>
            <w:r w:rsidRPr="2A4FE2FE">
              <w:rPr>
                <w:rFonts w:ascii="Aptos" w:eastAsia="Aptos" w:hAnsi="Aptos" w:cs="Aptos"/>
                <w:color w:val="000000" w:themeColor="text1"/>
              </w:rPr>
              <w:t>.</w:t>
            </w:r>
            <w:r w:rsidR="01839C4B" w:rsidRPr="2A4FE2FE">
              <w:rPr>
                <w:rFonts w:ascii="Aptos" w:eastAsia="Aptos" w:hAnsi="Aptos" w:cs="Aptos"/>
                <w:color w:val="000000" w:themeColor="text1"/>
              </w:rPr>
              <w:t>20</w:t>
            </w:r>
            <w:r w:rsidRPr="2A4FE2FE">
              <w:rPr>
                <w:rFonts w:ascii="Aptos" w:eastAsia="Aptos" w:hAnsi="Aptos" w:cs="Aptos"/>
                <w:color w:val="000000" w:themeColor="text1"/>
              </w:rPr>
              <w:t>*</w:t>
            </w:r>
          </w:p>
        </w:tc>
        <w:tc>
          <w:tcPr>
            <w:tcW w:w="1617" w:type="dxa"/>
            <w:tcBorders>
              <w:top w:val="nil"/>
              <w:left w:val="nil"/>
              <w:bottom w:val="nil"/>
              <w:right w:val="nil"/>
            </w:tcBorders>
            <w:tcMar>
              <w:top w:w="15" w:type="dxa"/>
              <w:left w:w="15" w:type="dxa"/>
              <w:right w:w="15" w:type="dxa"/>
            </w:tcMar>
            <w:vAlign w:val="center"/>
          </w:tcPr>
          <w:p w14:paraId="7305E2AE" w14:textId="16F85B97" w:rsidR="5FD410A8" w:rsidRDefault="1D319E6F" w:rsidP="001B3723">
            <w:pPr>
              <w:spacing w:after="0" w:line="480" w:lineRule="auto"/>
              <w:jc w:val="center"/>
              <w:rPr>
                <w:rFonts w:ascii="Aptos" w:eastAsia="Aptos" w:hAnsi="Aptos" w:cs="Aptos"/>
                <w:color w:val="000000" w:themeColor="text1"/>
              </w:rPr>
            </w:pPr>
            <w:r w:rsidRPr="2A4FE2FE">
              <w:rPr>
                <w:rFonts w:ascii="Aptos" w:eastAsia="Aptos" w:hAnsi="Aptos" w:cs="Aptos"/>
                <w:color w:val="000000" w:themeColor="text1"/>
              </w:rPr>
              <w:t>.</w:t>
            </w:r>
            <w:r w:rsidR="69C6DFCF" w:rsidRPr="2A4FE2FE">
              <w:rPr>
                <w:rFonts w:ascii="Aptos" w:eastAsia="Aptos" w:hAnsi="Aptos" w:cs="Aptos"/>
                <w:color w:val="000000" w:themeColor="text1"/>
              </w:rPr>
              <w:t>37</w:t>
            </w:r>
            <w:r w:rsidRPr="2A4FE2FE">
              <w:rPr>
                <w:rFonts w:ascii="Aptos" w:eastAsia="Aptos" w:hAnsi="Aptos" w:cs="Aptos"/>
                <w:color w:val="000000" w:themeColor="text1"/>
              </w:rPr>
              <w:t>**</w:t>
            </w:r>
          </w:p>
        </w:tc>
        <w:tc>
          <w:tcPr>
            <w:tcW w:w="1613" w:type="dxa"/>
            <w:tcBorders>
              <w:top w:val="nil"/>
              <w:left w:val="nil"/>
              <w:bottom w:val="nil"/>
              <w:right w:val="nil"/>
            </w:tcBorders>
            <w:tcMar>
              <w:top w:w="15" w:type="dxa"/>
              <w:left w:w="15" w:type="dxa"/>
              <w:right w:w="15" w:type="dxa"/>
            </w:tcMar>
            <w:vAlign w:val="center"/>
          </w:tcPr>
          <w:p w14:paraId="68F60CED" w14:textId="63505263" w:rsidR="5FD410A8" w:rsidRDefault="1D319E6F" w:rsidP="001B3723">
            <w:pPr>
              <w:spacing w:after="0" w:line="480" w:lineRule="auto"/>
              <w:jc w:val="center"/>
              <w:rPr>
                <w:rFonts w:ascii="Aptos" w:eastAsia="Aptos" w:hAnsi="Aptos" w:cs="Aptos"/>
                <w:color w:val="000000" w:themeColor="text1"/>
              </w:rPr>
            </w:pPr>
            <w:r w:rsidRPr="2A4FE2FE">
              <w:rPr>
                <w:rFonts w:ascii="Aptos" w:eastAsia="Aptos" w:hAnsi="Aptos" w:cs="Aptos"/>
                <w:color w:val="000000" w:themeColor="text1"/>
              </w:rPr>
              <w:t>.</w:t>
            </w:r>
            <w:r w:rsidR="6E4912DC" w:rsidRPr="2A4FE2FE">
              <w:rPr>
                <w:rFonts w:ascii="Aptos" w:eastAsia="Aptos" w:hAnsi="Aptos" w:cs="Aptos"/>
                <w:color w:val="000000" w:themeColor="text1"/>
              </w:rPr>
              <w:t>32</w:t>
            </w:r>
            <w:r w:rsidRPr="2A4FE2FE">
              <w:rPr>
                <w:rFonts w:ascii="Aptos" w:eastAsia="Aptos" w:hAnsi="Aptos" w:cs="Aptos"/>
                <w:color w:val="000000" w:themeColor="text1"/>
              </w:rPr>
              <w:t>**</w:t>
            </w:r>
          </w:p>
        </w:tc>
      </w:tr>
      <w:tr w:rsidR="5FD410A8" w14:paraId="7FB2BAB5" w14:textId="77777777" w:rsidTr="2A4FE2FE">
        <w:trPr>
          <w:trHeight w:val="300"/>
        </w:trPr>
        <w:tc>
          <w:tcPr>
            <w:tcW w:w="4159" w:type="dxa"/>
            <w:tcBorders>
              <w:top w:val="nil"/>
              <w:left w:val="nil"/>
              <w:bottom w:val="double" w:sz="5" w:space="0" w:color="auto"/>
              <w:right w:val="nil"/>
            </w:tcBorders>
            <w:tcMar>
              <w:top w:w="15" w:type="dxa"/>
              <w:left w:w="15" w:type="dxa"/>
              <w:right w:w="15" w:type="dxa"/>
            </w:tcMar>
            <w:vAlign w:val="bottom"/>
          </w:tcPr>
          <w:p w14:paraId="5E0E98B4" w14:textId="287F7894" w:rsidR="5FD410A8" w:rsidRDefault="5FD410A8" w:rsidP="001B3723">
            <w:pPr>
              <w:spacing w:after="0" w:line="480" w:lineRule="auto"/>
            </w:pPr>
            <w:r w:rsidRPr="5FD410A8">
              <w:rPr>
                <w:rFonts w:ascii="Aptos" w:eastAsia="Aptos" w:hAnsi="Aptos" w:cs="Aptos"/>
                <w:color w:val="000000" w:themeColor="text1"/>
              </w:rPr>
              <w:t xml:space="preserve"> </w:t>
            </w:r>
          </w:p>
        </w:tc>
        <w:tc>
          <w:tcPr>
            <w:tcW w:w="1627" w:type="dxa"/>
            <w:tcBorders>
              <w:top w:val="nil"/>
              <w:left w:val="nil"/>
              <w:bottom w:val="double" w:sz="5" w:space="0" w:color="auto"/>
              <w:right w:val="nil"/>
            </w:tcBorders>
            <w:tcMar>
              <w:top w:w="15" w:type="dxa"/>
              <w:left w:w="15" w:type="dxa"/>
              <w:right w:w="15" w:type="dxa"/>
            </w:tcMar>
            <w:vAlign w:val="bottom"/>
          </w:tcPr>
          <w:p w14:paraId="66222E86" w14:textId="67E423B6" w:rsidR="5FD410A8" w:rsidRDefault="5FD410A8" w:rsidP="001B3723">
            <w:pPr>
              <w:spacing w:after="0" w:line="480" w:lineRule="auto"/>
              <w:jc w:val="center"/>
            </w:pPr>
            <w:r w:rsidRPr="5FD410A8">
              <w:rPr>
                <w:rFonts w:ascii="Aptos" w:eastAsia="Aptos" w:hAnsi="Aptos" w:cs="Aptos"/>
                <w:color w:val="000000" w:themeColor="text1"/>
              </w:rPr>
              <w:t xml:space="preserve"> </w:t>
            </w:r>
          </w:p>
        </w:tc>
        <w:tc>
          <w:tcPr>
            <w:tcW w:w="1617" w:type="dxa"/>
            <w:tcBorders>
              <w:top w:val="nil"/>
              <w:left w:val="nil"/>
              <w:bottom w:val="double" w:sz="5" w:space="0" w:color="auto"/>
              <w:right w:val="nil"/>
            </w:tcBorders>
            <w:tcMar>
              <w:top w:w="15" w:type="dxa"/>
              <w:left w:w="15" w:type="dxa"/>
              <w:right w:w="15" w:type="dxa"/>
            </w:tcMar>
            <w:vAlign w:val="bottom"/>
          </w:tcPr>
          <w:p w14:paraId="10BA3571" w14:textId="0FDA9375" w:rsidR="5FD410A8" w:rsidRDefault="5FD410A8" w:rsidP="001B3723">
            <w:pPr>
              <w:spacing w:after="0" w:line="480" w:lineRule="auto"/>
            </w:pPr>
            <w:r w:rsidRPr="5FD410A8">
              <w:rPr>
                <w:rFonts w:ascii="Aptos" w:eastAsia="Aptos" w:hAnsi="Aptos" w:cs="Aptos"/>
                <w:color w:val="000000" w:themeColor="text1"/>
              </w:rPr>
              <w:t xml:space="preserve"> </w:t>
            </w:r>
          </w:p>
        </w:tc>
        <w:tc>
          <w:tcPr>
            <w:tcW w:w="1613" w:type="dxa"/>
            <w:tcBorders>
              <w:top w:val="nil"/>
              <w:left w:val="nil"/>
              <w:bottom w:val="double" w:sz="5" w:space="0" w:color="auto"/>
              <w:right w:val="nil"/>
            </w:tcBorders>
            <w:tcMar>
              <w:top w:w="15" w:type="dxa"/>
              <w:left w:w="15" w:type="dxa"/>
              <w:right w:w="15" w:type="dxa"/>
            </w:tcMar>
            <w:vAlign w:val="bottom"/>
          </w:tcPr>
          <w:p w14:paraId="2F31AD67" w14:textId="1AD1D467" w:rsidR="5FD410A8" w:rsidRDefault="5FD410A8" w:rsidP="001B3723">
            <w:pPr>
              <w:spacing w:after="0" w:line="480" w:lineRule="auto"/>
            </w:pPr>
            <w:r w:rsidRPr="5FD410A8">
              <w:rPr>
                <w:rFonts w:ascii="Aptos" w:eastAsia="Aptos" w:hAnsi="Aptos" w:cs="Aptos"/>
                <w:color w:val="000000" w:themeColor="text1"/>
              </w:rPr>
              <w:t xml:space="preserve"> </w:t>
            </w:r>
          </w:p>
        </w:tc>
      </w:tr>
      <w:tr w:rsidR="5FD410A8" w14:paraId="2D5C13B1" w14:textId="77777777" w:rsidTr="2A4FE2FE">
        <w:trPr>
          <w:trHeight w:val="537"/>
        </w:trPr>
        <w:tc>
          <w:tcPr>
            <w:tcW w:w="9016" w:type="dxa"/>
            <w:gridSpan w:val="4"/>
            <w:vMerge w:val="restart"/>
            <w:tcBorders>
              <w:top w:val="double" w:sz="5" w:space="0" w:color="auto"/>
              <w:left w:val="nil"/>
              <w:bottom w:val="nil"/>
              <w:right w:val="nil"/>
            </w:tcBorders>
            <w:tcMar>
              <w:top w:w="15" w:type="dxa"/>
              <w:left w:w="15" w:type="dxa"/>
              <w:right w:w="15" w:type="dxa"/>
            </w:tcMar>
          </w:tcPr>
          <w:p w14:paraId="02775CC3" w14:textId="71ACC2FF" w:rsidR="5FD410A8" w:rsidRDefault="35026144" w:rsidP="001B3723">
            <w:pPr>
              <w:spacing w:after="0" w:line="480" w:lineRule="auto"/>
              <w:rPr>
                <w:rFonts w:ascii="Aptos" w:eastAsia="Aptos" w:hAnsi="Aptos" w:cs="Aptos"/>
                <w:color w:val="000000" w:themeColor="text1"/>
              </w:rPr>
            </w:pPr>
            <w:r w:rsidRPr="2A4FE2FE">
              <w:rPr>
                <w:rFonts w:ascii="Aptos" w:eastAsia="Aptos" w:hAnsi="Aptos" w:cs="Aptos"/>
                <w:color w:val="000000" w:themeColor="text1"/>
              </w:rPr>
              <w:t xml:space="preserve">Note: constructs were measured using IU-12 (Intolerance of Uncertainty), RGPTS (Paranoia), </w:t>
            </w:r>
            <w:r w:rsidR="4EF9898A" w:rsidRPr="2A4FE2FE">
              <w:rPr>
                <w:rFonts w:ascii="Aptos" w:eastAsia="Aptos" w:hAnsi="Aptos" w:cs="Aptos"/>
                <w:color w:val="000000" w:themeColor="text1"/>
              </w:rPr>
              <w:t xml:space="preserve">PQ-16 </w:t>
            </w:r>
            <w:r w:rsidRPr="2A4FE2FE">
              <w:rPr>
                <w:rFonts w:ascii="Aptos" w:eastAsia="Aptos" w:hAnsi="Aptos" w:cs="Aptos"/>
                <w:color w:val="000000" w:themeColor="text1"/>
              </w:rPr>
              <w:t xml:space="preserve">(Prodromal Symptoms), </w:t>
            </w:r>
            <w:r w:rsidR="7271374E" w:rsidRPr="2A4FE2FE">
              <w:rPr>
                <w:rFonts w:ascii="Aptos" w:eastAsia="Aptos" w:hAnsi="Aptos" w:cs="Aptos"/>
                <w:color w:val="000000" w:themeColor="text1"/>
              </w:rPr>
              <w:t>BFI-10</w:t>
            </w:r>
            <w:r w:rsidRPr="2A4FE2FE">
              <w:rPr>
                <w:rFonts w:ascii="Aptos" w:eastAsia="Aptos" w:hAnsi="Aptos" w:cs="Aptos"/>
                <w:color w:val="000000" w:themeColor="text1"/>
              </w:rPr>
              <w:t xml:space="preserve"> (Neuroticism), </w:t>
            </w:r>
            <w:proofErr w:type="spellStart"/>
            <w:r w:rsidR="1C44F0C9" w:rsidRPr="2A4FE2FE">
              <w:rPr>
                <w:rFonts w:ascii="Aptos" w:eastAsia="Aptos" w:hAnsi="Aptos" w:cs="Aptos"/>
                <w:color w:val="000000" w:themeColor="text1"/>
              </w:rPr>
              <w:t>CBQp</w:t>
            </w:r>
            <w:proofErr w:type="spellEnd"/>
            <w:r w:rsidRPr="2A4FE2FE">
              <w:rPr>
                <w:rFonts w:ascii="Aptos" w:eastAsia="Aptos" w:hAnsi="Aptos" w:cs="Aptos"/>
                <w:color w:val="000000" w:themeColor="text1"/>
              </w:rPr>
              <w:t xml:space="preserve"> (Jumping to Conclusions Bias). ** p &lt; .001, * p &lt;.05</w:t>
            </w:r>
          </w:p>
        </w:tc>
      </w:tr>
      <w:tr w:rsidR="5FD410A8" w14:paraId="786D7B55" w14:textId="77777777" w:rsidTr="2A4FE2FE">
        <w:trPr>
          <w:trHeight w:val="690"/>
        </w:trPr>
        <w:tc>
          <w:tcPr>
            <w:tcW w:w="9016" w:type="dxa"/>
            <w:gridSpan w:val="4"/>
            <w:vMerge/>
            <w:vAlign w:val="center"/>
          </w:tcPr>
          <w:p w14:paraId="26A27C55" w14:textId="77777777" w:rsidR="0076256B" w:rsidRDefault="0076256B" w:rsidP="001B3723">
            <w:pPr>
              <w:spacing w:after="0" w:line="480" w:lineRule="auto"/>
            </w:pPr>
          </w:p>
        </w:tc>
      </w:tr>
    </w:tbl>
    <w:p w14:paraId="1676D873" w14:textId="242EF148" w:rsidR="5FD410A8" w:rsidRDefault="5FD410A8" w:rsidP="001B3723">
      <w:pPr>
        <w:spacing w:after="0" w:line="480" w:lineRule="auto"/>
        <w:rPr>
          <w:rFonts w:ascii="Aptos" w:eastAsia="Aptos" w:hAnsi="Aptos" w:cs="Aptos"/>
        </w:rPr>
      </w:pPr>
    </w:p>
    <w:p w14:paraId="5E5679A3" w14:textId="5D09E1BB" w:rsidR="00082013" w:rsidRPr="00082013" w:rsidRDefault="00082013" w:rsidP="001B3723">
      <w:pPr>
        <w:spacing w:after="0" w:line="480" w:lineRule="auto"/>
        <w:rPr>
          <w:rFonts w:ascii="Aptos" w:eastAsia="Aptos" w:hAnsi="Aptos" w:cs="Aptos"/>
          <w:b/>
          <w:bCs/>
        </w:rPr>
      </w:pPr>
      <w:r w:rsidRPr="00082013">
        <w:rPr>
          <w:rFonts w:ascii="Aptos" w:eastAsia="Aptos" w:hAnsi="Aptos" w:cs="Aptos"/>
          <w:b/>
          <w:bCs/>
        </w:rPr>
        <w:t>Significance of the difference between the partial correlation</w:t>
      </w:r>
      <w:r>
        <w:rPr>
          <w:rFonts w:ascii="Aptos" w:eastAsia="Aptos" w:hAnsi="Aptos" w:cs="Aptos"/>
          <w:b/>
          <w:bCs/>
        </w:rPr>
        <w:t>s</w:t>
      </w:r>
    </w:p>
    <w:p w14:paraId="7216811B" w14:textId="77777777" w:rsidR="00082013" w:rsidRDefault="00082013" w:rsidP="001B3723">
      <w:pPr>
        <w:spacing w:after="0" w:line="480" w:lineRule="auto"/>
        <w:rPr>
          <w:rFonts w:ascii="Aptos" w:eastAsia="Aptos" w:hAnsi="Aptos" w:cs="Aptos"/>
          <w:color w:val="000000" w:themeColor="text1"/>
        </w:rPr>
      </w:pPr>
      <w:r w:rsidRPr="2A4FE2FE">
        <w:rPr>
          <w:rFonts w:ascii="Aptos" w:eastAsia="Aptos" w:hAnsi="Aptos" w:cs="Aptos"/>
          <w:color w:val="000000" w:themeColor="text1"/>
        </w:rPr>
        <w:lastRenderedPageBreak/>
        <w:t xml:space="preserve">There were no significant differences between the partial correlation coefficients for IU and paranoia/ prodromal symptoms across SSDs, anxiety disorders, and the non-clinical sample, </w:t>
      </w:r>
      <w:proofErr w:type="spellStart"/>
      <w:r w:rsidRPr="2A4FE2FE">
        <w:rPr>
          <w:rFonts w:ascii="Aptos" w:eastAsia="Aptos" w:hAnsi="Aptos" w:cs="Aptos"/>
          <w:i/>
          <w:iCs/>
          <w:color w:val="000000" w:themeColor="text1"/>
        </w:rPr>
        <w:t>p</w:t>
      </w:r>
      <w:r w:rsidRPr="2A4FE2FE">
        <w:rPr>
          <w:rFonts w:ascii="Aptos" w:eastAsia="Aptos" w:hAnsi="Aptos" w:cs="Aptos"/>
          <w:color w:val="000000" w:themeColor="text1"/>
        </w:rPr>
        <w:t>s</w:t>
      </w:r>
      <w:proofErr w:type="spellEnd"/>
      <w:r w:rsidRPr="2A4FE2FE">
        <w:rPr>
          <w:rFonts w:ascii="Aptos" w:eastAsia="Aptos" w:hAnsi="Aptos" w:cs="Aptos"/>
          <w:color w:val="000000" w:themeColor="text1"/>
        </w:rPr>
        <w:t xml:space="preserve"> &gt; .09.</w:t>
      </w:r>
    </w:p>
    <w:p w14:paraId="30523747" w14:textId="77777777" w:rsidR="00082013" w:rsidRDefault="00082013" w:rsidP="001B3723">
      <w:pPr>
        <w:spacing w:after="0" w:line="480" w:lineRule="auto"/>
        <w:rPr>
          <w:rFonts w:ascii="Aptos" w:eastAsia="Aptos" w:hAnsi="Aptos" w:cs="Aptos"/>
        </w:rPr>
      </w:pPr>
    </w:p>
    <w:p w14:paraId="164EFE4F" w14:textId="6F25D114" w:rsidR="00DD040A" w:rsidRDefault="00DD040A" w:rsidP="001B3723">
      <w:pPr>
        <w:spacing w:after="0" w:line="480" w:lineRule="auto"/>
        <w:jc w:val="center"/>
        <w:rPr>
          <w:rFonts w:ascii="Aptos" w:eastAsia="Aptos" w:hAnsi="Aptos" w:cs="Aptos"/>
          <w:b/>
          <w:bCs/>
        </w:rPr>
      </w:pPr>
      <w:r w:rsidRPr="30EC08DA">
        <w:rPr>
          <w:rFonts w:ascii="Aptos" w:eastAsia="Aptos" w:hAnsi="Aptos" w:cs="Aptos"/>
          <w:b/>
          <w:bCs/>
        </w:rPr>
        <w:t>Discussion</w:t>
      </w:r>
    </w:p>
    <w:p w14:paraId="79F9DE0C" w14:textId="071AFE40" w:rsidR="0F67D4BB" w:rsidRDefault="0F67D4BB" w:rsidP="001B3723">
      <w:pPr>
        <w:spacing w:after="0" w:line="480" w:lineRule="auto"/>
        <w:rPr>
          <w:rFonts w:ascii="Aptos" w:eastAsia="Aptos" w:hAnsi="Aptos" w:cs="Aptos"/>
          <w:color w:val="000000" w:themeColor="text1"/>
        </w:rPr>
      </w:pPr>
      <w:r w:rsidRPr="77A8D69F">
        <w:rPr>
          <w:rFonts w:ascii="Aptos" w:eastAsia="Aptos" w:hAnsi="Aptos" w:cs="Aptos"/>
        </w:rPr>
        <w:t xml:space="preserve">In the present study, we examined the relationships among IU, paranoia, prodromal symptoms of schizophrenia, </w:t>
      </w:r>
      <w:r w:rsidR="13066E7D" w:rsidRPr="77A8D69F">
        <w:rPr>
          <w:rFonts w:ascii="Aptos" w:eastAsia="Aptos" w:hAnsi="Aptos" w:cs="Aptos"/>
        </w:rPr>
        <w:t>neuroticism</w:t>
      </w:r>
      <w:r w:rsidRPr="77A8D69F">
        <w:rPr>
          <w:rFonts w:ascii="Aptos" w:eastAsia="Aptos" w:hAnsi="Aptos" w:cs="Aptos"/>
        </w:rPr>
        <w:t xml:space="preserve">, </w:t>
      </w:r>
      <w:r w:rsidR="262D41EA" w:rsidRPr="77A8D69F">
        <w:rPr>
          <w:rFonts w:ascii="Aptos" w:eastAsia="Aptos" w:hAnsi="Aptos" w:cs="Aptos"/>
        </w:rPr>
        <w:t xml:space="preserve">and </w:t>
      </w:r>
      <w:r w:rsidRPr="77A8D69F">
        <w:rPr>
          <w:rFonts w:ascii="Aptos" w:eastAsia="Aptos" w:hAnsi="Aptos" w:cs="Aptos"/>
        </w:rPr>
        <w:t xml:space="preserve">jumping to conclusions </w:t>
      </w:r>
      <w:r w:rsidR="1CDD83BC" w:rsidRPr="77A8D69F">
        <w:rPr>
          <w:rFonts w:ascii="Aptos" w:eastAsia="Aptos" w:hAnsi="Aptos" w:cs="Aptos"/>
        </w:rPr>
        <w:t xml:space="preserve">bias in </w:t>
      </w:r>
      <w:r w:rsidR="005B9EF7" w:rsidRPr="77A8D69F">
        <w:rPr>
          <w:rFonts w:ascii="Aptos" w:eastAsia="Aptos" w:hAnsi="Aptos" w:cs="Aptos"/>
        </w:rPr>
        <w:t>those</w:t>
      </w:r>
      <w:r w:rsidR="1CDD83BC" w:rsidRPr="77A8D69F">
        <w:rPr>
          <w:rFonts w:ascii="Aptos" w:eastAsia="Aptos" w:hAnsi="Aptos" w:cs="Aptos"/>
        </w:rPr>
        <w:t xml:space="preserve"> with SSDs, anxiety disorders, and </w:t>
      </w:r>
      <w:r w:rsidR="240612F4" w:rsidRPr="77A8D69F">
        <w:rPr>
          <w:rFonts w:ascii="Aptos" w:eastAsia="Aptos" w:hAnsi="Aptos" w:cs="Aptos"/>
        </w:rPr>
        <w:t>a non-</w:t>
      </w:r>
      <w:r w:rsidR="2FE38F50" w:rsidRPr="77A8D69F">
        <w:rPr>
          <w:rFonts w:ascii="Aptos" w:eastAsia="Aptos" w:hAnsi="Aptos" w:cs="Aptos"/>
        </w:rPr>
        <w:t>clinical</w:t>
      </w:r>
      <w:r w:rsidR="240612F4" w:rsidRPr="77A8D69F">
        <w:rPr>
          <w:rFonts w:ascii="Aptos" w:eastAsia="Aptos" w:hAnsi="Aptos" w:cs="Aptos"/>
        </w:rPr>
        <w:t xml:space="preserve"> sample</w:t>
      </w:r>
      <w:r w:rsidRPr="77A8D69F">
        <w:rPr>
          <w:rFonts w:ascii="Aptos" w:eastAsia="Aptos" w:hAnsi="Aptos" w:cs="Aptos"/>
        </w:rPr>
        <w:t xml:space="preserve">. </w:t>
      </w:r>
      <w:r w:rsidR="24535442" w:rsidRPr="77A8D69F">
        <w:rPr>
          <w:rFonts w:ascii="Aptos" w:eastAsia="Aptos" w:hAnsi="Aptos" w:cs="Aptos"/>
        </w:rPr>
        <w:t xml:space="preserve">Our findings reveal that IU, neuroticism, and the jumping to conclusions bias were all elevated in individuals with SSDs and anxiety disorders compared to the non-clinical </w:t>
      </w:r>
      <w:r w:rsidR="42E0E23A" w:rsidRPr="77A8D69F">
        <w:rPr>
          <w:rFonts w:ascii="Aptos" w:eastAsia="Aptos" w:hAnsi="Aptos" w:cs="Aptos"/>
        </w:rPr>
        <w:t>sample</w:t>
      </w:r>
      <w:r w:rsidR="24535442" w:rsidRPr="77A8D69F">
        <w:rPr>
          <w:rFonts w:ascii="Aptos" w:eastAsia="Aptos" w:hAnsi="Aptos" w:cs="Aptos"/>
        </w:rPr>
        <w:t xml:space="preserve">. Paranoia and prodromal symptoms were most pronounced in those with SSDs, followed by those with an anxiety disorder, and were least evident in the non-clinical sample. </w:t>
      </w:r>
      <w:r w:rsidR="2BAAAE63" w:rsidRPr="77A8D69F">
        <w:rPr>
          <w:rFonts w:ascii="Aptos" w:eastAsia="Aptos" w:hAnsi="Aptos" w:cs="Aptos"/>
          <w:color w:val="000000" w:themeColor="text1"/>
        </w:rPr>
        <w:t xml:space="preserve">Correlational findings showed that greater IU was associated with greater paranoia and prodromal symptoms across SSDs, anxiety disorders, and a non-clinical sample. </w:t>
      </w:r>
      <w:r w:rsidR="71033222" w:rsidRPr="77A8D69F">
        <w:rPr>
          <w:rFonts w:ascii="Aptos" w:eastAsia="Aptos" w:hAnsi="Aptos" w:cs="Aptos"/>
          <w:color w:val="000000" w:themeColor="text1"/>
        </w:rPr>
        <w:t>Most</w:t>
      </w:r>
      <w:r w:rsidR="2BAAAE63" w:rsidRPr="77A8D69F">
        <w:rPr>
          <w:rFonts w:ascii="Aptos" w:eastAsia="Aptos" w:hAnsi="Aptos" w:cs="Aptos"/>
          <w:color w:val="000000" w:themeColor="text1"/>
        </w:rPr>
        <w:t xml:space="preserve"> of the relationships between IU and paranoia /prodromal symptoms remained significant when controlling for neuroticism and the jumping to conclusions bias. </w:t>
      </w:r>
      <w:r w:rsidR="6B4B8EE7" w:rsidRPr="77A8D69F">
        <w:rPr>
          <w:rFonts w:ascii="Aptos" w:eastAsia="Aptos" w:hAnsi="Aptos" w:cs="Aptos"/>
          <w:color w:val="000000" w:themeColor="text1"/>
        </w:rPr>
        <w:t>Although</w:t>
      </w:r>
      <w:r w:rsidR="2BAAAE63" w:rsidRPr="77A8D69F">
        <w:rPr>
          <w:rFonts w:ascii="Aptos" w:eastAsia="Aptos" w:hAnsi="Aptos" w:cs="Aptos"/>
          <w:color w:val="000000" w:themeColor="text1"/>
        </w:rPr>
        <w:t>, the relationship between IU and paranoia in the SSD group was not specific over the jumping to conclusions bias.</w:t>
      </w:r>
      <w:r w:rsidR="62CF0144" w:rsidRPr="77A8D69F">
        <w:rPr>
          <w:rFonts w:ascii="Aptos" w:eastAsia="Aptos" w:hAnsi="Aptos" w:cs="Aptos"/>
          <w:color w:val="000000" w:themeColor="text1"/>
        </w:rPr>
        <w:t xml:space="preserve"> These findings suggest that IU may play a transdiagnostic role in paranoia and prodromal symptoms across SSDs and anxiety disorders. This has important implications for developing treatment interventions that can target IU as a common factor in both conditions.</w:t>
      </w:r>
    </w:p>
    <w:p w14:paraId="4FFB1A5B" w14:textId="06C61109" w:rsidR="62CF0144" w:rsidRDefault="08994A5C" w:rsidP="001B3723">
      <w:pPr>
        <w:spacing w:after="0" w:line="480" w:lineRule="auto"/>
        <w:ind w:firstLine="720"/>
        <w:rPr>
          <w:rFonts w:ascii="Aptos" w:eastAsia="Aptos" w:hAnsi="Aptos" w:cs="Aptos"/>
        </w:rPr>
      </w:pPr>
      <w:r w:rsidRPr="03E8BD2E">
        <w:rPr>
          <w:rFonts w:ascii="Aptos" w:eastAsia="Aptos" w:hAnsi="Aptos" w:cs="Aptos"/>
        </w:rPr>
        <w:t xml:space="preserve">The findings </w:t>
      </w:r>
      <w:r w:rsidR="4278CFD3" w:rsidRPr="03E8BD2E">
        <w:rPr>
          <w:rFonts w:ascii="Aptos" w:eastAsia="Aptos" w:hAnsi="Aptos" w:cs="Aptos"/>
        </w:rPr>
        <w:t xml:space="preserve">provide </w:t>
      </w:r>
      <w:r w:rsidR="48AAA616" w:rsidRPr="03E8BD2E">
        <w:rPr>
          <w:rFonts w:ascii="Aptos" w:eastAsia="Aptos" w:hAnsi="Aptos" w:cs="Aptos"/>
        </w:rPr>
        <w:t xml:space="preserve">important </w:t>
      </w:r>
      <w:r w:rsidRPr="03E8BD2E">
        <w:rPr>
          <w:rFonts w:ascii="Aptos" w:eastAsia="Aptos" w:hAnsi="Aptos" w:cs="Aptos"/>
        </w:rPr>
        <w:t xml:space="preserve">evidence that </w:t>
      </w:r>
      <w:r w:rsidR="6C2A5BD4" w:rsidRPr="03E8BD2E">
        <w:rPr>
          <w:rFonts w:ascii="Aptos" w:eastAsia="Aptos" w:hAnsi="Aptos" w:cs="Aptos"/>
        </w:rPr>
        <w:t xml:space="preserve">high </w:t>
      </w:r>
      <w:r w:rsidR="74F74FEA" w:rsidRPr="03E8BD2E">
        <w:rPr>
          <w:rFonts w:ascii="Aptos" w:eastAsia="Aptos" w:hAnsi="Aptos" w:cs="Aptos"/>
        </w:rPr>
        <w:t>levels of IU are</w:t>
      </w:r>
      <w:r w:rsidR="58740A51" w:rsidRPr="03E8BD2E">
        <w:rPr>
          <w:rFonts w:ascii="Aptos" w:eastAsia="Aptos" w:hAnsi="Aptos" w:cs="Aptos"/>
        </w:rPr>
        <w:t xml:space="preserve"> observed in both </w:t>
      </w:r>
      <w:r w:rsidR="3B187146" w:rsidRPr="03E8BD2E">
        <w:rPr>
          <w:rFonts w:ascii="Aptos" w:eastAsia="Aptos" w:hAnsi="Aptos" w:cs="Aptos"/>
        </w:rPr>
        <w:t>SSDs and anxiety disorders</w:t>
      </w:r>
      <w:r w:rsidR="6203FFD2" w:rsidRPr="03E8BD2E">
        <w:rPr>
          <w:rFonts w:ascii="Aptos" w:eastAsia="Aptos" w:hAnsi="Aptos" w:cs="Aptos"/>
        </w:rPr>
        <w:t>, compared to non-clinical controls</w:t>
      </w:r>
      <w:r w:rsidR="3B187146" w:rsidRPr="03E8BD2E">
        <w:rPr>
          <w:rFonts w:ascii="Aptos" w:eastAsia="Aptos" w:hAnsi="Aptos" w:cs="Aptos"/>
        </w:rPr>
        <w:t>.</w:t>
      </w:r>
      <w:r w:rsidR="1B3D41D3" w:rsidRPr="03E8BD2E">
        <w:rPr>
          <w:rFonts w:ascii="Aptos" w:eastAsia="Aptos" w:hAnsi="Aptos" w:cs="Aptos"/>
        </w:rPr>
        <w:t xml:space="preserve"> </w:t>
      </w:r>
      <w:r w:rsidR="1D3F6A6F" w:rsidRPr="03E8BD2E">
        <w:rPr>
          <w:rFonts w:ascii="Aptos" w:eastAsia="Aptos" w:hAnsi="Aptos" w:cs="Aptos"/>
        </w:rPr>
        <w:t>While elevated IU has been observed separately in SSDs (Morriss, Butler et al., 2024) and anxiety disorders (Carleton et al., 2012), to our knowledge, this study is the first to directly compare IU levels across these two populations.</w:t>
      </w:r>
      <w:r w:rsidR="3182B0DC" w:rsidRPr="03E8BD2E">
        <w:rPr>
          <w:rFonts w:ascii="Aptos" w:eastAsia="Aptos" w:hAnsi="Aptos" w:cs="Aptos"/>
        </w:rPr>
        <w:t xml:space="preserve"> </w:t>
      </w:r>
      <w:r w:rsidR="428836F1" w:rsidRPr="03E8BD2E">
        <w:rPr>
          <w:rFonts w:ascii="Aptos" w:eastAsia="Aptos" w:hAnsi="Aptos" w:cs="Aptos"/>
        </w:rPr>
        <w:t>Furthermore</w:t>
      </w:r>
      <w:r w:rsidR="3182B0DC" w:rsidRPr="03E8BD2E">
        <w:rPr>
          <w:rFonts w:ascii="Aptos" w:eastAsia="Aptos" w:hAnsi="Aptos" w:cs="Aptos"/>
        </w:rPr>
        <w:t xml:space="preserve">, </w:t>
      </w:r>
      <w:r w:rsidR="30CD2DDB" w:rsidRPr="03E8BD2E">
        <w:rPr>
          <w:rFonts w:ascii="Aptos" w:eastAsia="Aptos" w:hAnsi="Aptos" w:cs="Aptos"/>
        </w:rPr>
        <w:t>both</w:t>
      </w:r>
      <w:r w:rsidR="3B187146" w:rsidRPr="03E8BD2E">
        <w:rPr>
          <w:rFonts w:ascii="Aptos" w:eastAsia="Aptos" w:hAnsi="Aptos" w:cs="Aptos"/>
        </w:rPr>
        <w:t xml:space="preserve"> neuroticism and jumping to conclusions bias</w:t>
      </w:r>
      <w:r w:rsidR="6371D549" w:rsidRPr="03E8BD2E">
        <w:rPr>
          <w:rFonts w:ascii="Aptos" w:eastAsia="Aptos" w:hAnsi="Aptos" w:cs="Aptos"/>
        </w:rPr>
        <w:t xml:space="preserve"> </w:t>
      </w:r>
      <w:r w:rsidR="6F2D20D6" w:rsidRPr="03E8BD2E">
        <w:rPr>
          <w:rFonts w:ascii="Aptos" w:eastAsia="Aptos" w:hAnsi="Aptos" w:cs="Aptos"/>
        </w:rPr>
        <w:t xml:space="preserve">scores were similar </w:t>
      </w:r>
      <w:r w:rsidR="6371D549" w:rsidRPr="03E8BD2E">
        <w:rPr>
          <w:rFonts w:ascii="Aptos" w:eastAsia="Aptos" w:hAnsi="Aptos" w:cs="Aptos"/>
        </w:rPr>
        <w:t>in the SSD and anxiety disorder groups</w:t>
      </w:r>
      <w:r w:rsidR="79B2011D" w:rsidRPr="03E8BD2E">
        <w:rPr>
          <w:rFonts w:ascii="Aptos" w:eastAsia="Aptos" w:hAnsi="Aptos" w:cs="Aptos"/>
        </w:rPr>
        <w:t xml:space="preserve">. </w:t>
      </w:r>
      <w:r w:rsidR="07F9C3F1" w:rsidRPr="03E8BD2E">
        <w:rPr>
          <w:rFonts w:ascii="Aptos" w:eastAsia="Aptos" w:hAnsi="Aptos" w:cs="Aptos"/>
        </w:rPr>
        <w:t>The comparable levels of</w:t>
      </w:r>
      <w:r w:rsidR="1AABCC0A" w:rsidRPr="03E8BD2E">
        <w:rPr>
          <w:rFonts w:ascii="Aptos" w:eastAsia="Aptos" w:hAnsi="Aptos" w:cs="Aptos"/>
        </w:rPr>
        <w:t xml:space="preserve"> neuroticism</w:t>
      </w:r>
      <w:r w:rsidR="6C47A55E" w:rsidRPr="03E8BD2E">
        <w:rPr>
          <w:rFonts w:ascii="Aptos" w:eastAsia="Aptos" w:hAnsi="Aptos" w:cs="Aptos"/>
        </w:rPr>
        <w:t xml:space="preserve"> </w:t>
      </w:r>
      <w:r w:rsidR="7E5FB2ED" w:rsidRPr="03E8BD2E">
        <w:rPr>
          <w:rFonts w:ascii="Aptos" w:eastAsia="Aptos" w:hAnsi="Aptos" w:cs="Aptos"/>
        </w:rPr>
        <w:t xml:space="preserve">for both SSD and anxiety disorders </w:t>
      </w:r>
      <w:r w:rsidR="6D719F48" w:rsidRPr="03E8BD2E">
        <w:rPr>
          <w:rFonts w:ascii="Aptos" w:eastAsia="Aptos" w:hAnsi="Aptos" w:cs="Aptos"/>
        </w:rPr>
        <w:t>are</w:t>
      </w:r>
      <w:r w:rsidR="22BE2CE2" w:rsidRPr="03E8BD2E">
        <w:rPr>
          <w:rFonts w:ascii="Aptos" w:eastAsia="Aptos" w:hAnsi="Aptos" w:cs="Aptos"/>
        </w:rPr>
        <w:t xml:space="preserve"> unsurprising, given that </w:t>
      </w:r>
      <w:r w:rsidR="337A6957" w:rsidRPr="03E8BD2E">
        <w:rPr>
          <w:rFonts w:ascii="Aptos" w:eastAsia="Aptos" w:hAnsi="Aptos" w:cs="Aptos"/>
        </w:rPr>
        <w:t xml:space="preserve">there is substantial evidence for higher neuroticism in </w:t>
      </w:r>
      <w:r w:rsidR="337A6957" w:rsidRPr="03E8BD2E">
        <w:rPr>
          <w:rFonts w:ascii="Aptos" w:eastAsia="Aptos" w:hAnsi="Aptos" w:cs="Aptos"/>
        </w:rPr>
        <w:lastRenderedPageBreak/>
        <w:t>SSD</w:t>
      </w:r>
      <w:r w:rsidR="50FB3629" w:rsidRPr="03E8BD2E">
        <w:rPr>
          <w:rFonts w:ascii="Aptos" w:eastAsia="Aptos" w:hAnsi="Aptos" w:cs="Aptos"/>
        </w:rPr>
        <w:t>s</w:t>
      </w:r>
      <w:r w:rsidR="337A6957" w:rsidRPr="03E8BD2E">
        <w:rPr>
          <w:rFonts w:ascii="Aptos" w:eastAsia="Aptos" w:hAnsi="Aptos" w:cs="Aptos"/>
        </w:rPr>
        <w:t xml:space="preserve"> </w:t>
      </w:r>
      <w:r w:rsidR="21DC9160" w:rsidRPr="03E8BD2E">
        <w:rPr>
          <w:rFonts w:ascii="Aptos" w:eastAsia="Aptos" w:hAnsi="Aptos" w:cs="Aptos"/>
        </w:rPr>
        <w:t>(</w:t>
      </w:r>
      <w:r w:rsidR="3C018CCB" w:rsidRPr="03E8BD2E">
        <w:rPr>
          <w:rFonts w:ascii="Aptos" w:eastAsia="Aptos" w:hAnsi="Aptos" w:cs="Aptos"/>
        </w:rPr>
        <w:t xml:space="preserve">for review see, Berenbaum &amp; Fujita, 1994) </w:t>
      </w:r>
      <w:r w:rsidR="337A6957" w:rsidRPr="03E8BD2E">
        <w:rPr>
          <w:rFonts w:ascii="Aptos" w:eastAsia="Aptos" w:hAnsi="Aptos" w:cs="Aptos"/>
        </w:rPr>
        <w:t>and anxiety disorder</w:t>
      </w:r>
      <w:r w:rsidR="3ECE69DE" w:rsidRPr="03E8BD2E">
        <w:rPr>
          <w:rFonts w:ascii="Aptos" w:eastAsia="Aptos" w:hAnsi="Aptos" w:cs="Aptos"/>
        </w:rPr>
        <w:t>s</w:t>
      </w:r>
      <w:r w:rsidR="337A6957" w:rsidRPr="03E8BD2E">
        <w:rPr>
          <w:rFonts w:ascii="Aptos" w:eastAsia="Aptos" w:hAnsi="Aptos" w:cs="Aptos"/>
        </w:rPr>
        <w:t xml:space="preserve"> </w:t>
      </w:r>
      <w:r w:rsidR="039A302B" w:rsidRPr="03E8BD2E">
        <w:rPr>
          <w:rFonts w:ascii="Aptos" w:eastAsia="Aptos" w:hAnsi="Aptos" w:cs="Aptos"/>
        </w:rPr>
        <w:t>(for review see, Clark et al., 1994)</w:t>
      </w:r>
      <w:r w:rsidR="337A6957" w:rsidRPr="03E8BD2E">
        <w:rPr>
          <w:rFonts w:ascii="Aptos" w:eastAsia="Aptos" w:hAnsi="Aptos" w:cs="Aptos"/>
        </w:rPr>
        <w:t xml:space="preserve">. </w:t>
      </w:r>
      <w:r w:rsidR="75C922EE" w:rsidRPr="03E8BD2E">
        <w:rPr>
          <w:rFonts w:ascii="Aptos" w:eastAsia="Aptos" w:hAnsi="Aptos" w:cs="Aptos"/>
        </w:rPr>
        <w:t xml:space="preserve">The pattern of results </w:t>
      </w:r>
      <w:r w:rsidR="773F4BAF" w:rsidRPr="03E8BD2E">
        <w:rPr>
          <w:rFonts w:ascii="Aptos" w:eastAsia="Aptos" w:hAnsi="Aptos" w:cs="Aptos"/>
        </w:rPr>
        <w:t xml:space="preserve">for the </w:t>
      </w:r>
      <w:r w:rsidR="75C922EE" w:rsidRPr="03E8BD2E">
        <w:rPr>
          <w:rFonts w:ascii="Aptos" w:eastAsia="Aptos" w:hAnsi="Aptos" w:cs="Aptos"/>
        </w:rPr>
        <w:t>jumping to conclusions bias</w:t>
      </w:r>
      <w:r w:rsidR="7B0782D9" w:rsidRPr="03E8BD2E">
        <w:rPr>
          <w:rFonts w:ascii="Aptos" w:eastAsia="Aptos" w:hAnsi="Aptos" w:cs="Aptos"/>
        </w:rPr>
        <w:t xml:space="preserve"> is in line with </w:t>
      </w:r>
      <w:r w:rsidR="056B93C8" w:rsidRPr="03E8BD2E">
        <w:rPr>
          <w:rFonts w:ascii="Aptos" w:eastAsia="Aptos" w:hAnsi="Aptos" w:cs="Aptos"/>
        </w:rPr>
        <w:t xml:space="preserve">research in SSDs </w:t>
      </w:r>
      <w:r w:rsidR="1EB5448C" w:rsidRPr="03E8BD2E">
        <w:rPr>
          <w:rFonts w:ascii="Aptos" w:eastAsia="Aptos" w:hAnsi="Aptos" w:cs="Aptos"/>
        </w:rPr>
        <w:t xml:space="preserve">(So et al., 2016) </w:t>
      </w:r>
      <w:r w:rsidR="056B93C8" w:rsidRPr="03E8BD2E">
        <w:rPr>
          <w:rFonts w:ascii="Aptos" w:eastAsia="Aptos" w:hAnsi="Aptos" w:cs="Aptos"/>
        </w:rPr>
        <w:t xml:space="preserve">and to some extent the limited literature on anxiety disorders </w:t>
      </w:r>
      <w:r w:rsidR="1F2C3B07" w:rsidRPr="03E8BD2E">
        <w:rPr>
          <w:rFonts w:ascii="Aptos" w:eastAsia="Aptos" w:hAnsi="Aptos" w:cs="Aptos"/>
          <w:color w:val="000000" w:themeColor="text1"/>
        </w:rPr>
        <w:t>(</w:t>
      </w:r>
      <w:r w:rsidR="1F2C3B07" w:rsidRPr="03E8BD2E">
        <w:rPr>
          <w:rFonts w:ascii="Aptos" w:eastAsia="Aptos" w:hAnsi="Aptos" w:cs="Aptos"/>
          <w:lang w:val="en-US"/>
        </w:rPr>
        <w:t>Reich &amp; Braginsky, 1994;</w:t>
      </w:r>
      <w:r w:rsidR="1F2C3B07" w:rsidRPr="03E8BD2E">
        <w:rPr>
          <w:rFonts w:ascii="Aptos" w:eastAsia="Aptos" w:hAnsi="Aptos" w:cs="Aptos"/>
          <w:color w:val="000000" w:themeColor="text1"/>
        </w:rPr>
        <w:t xml:space="preserve"> Taylor &amp; Stopa, 2013)</w:t>
      </w:r>
      <w:r w:rsidR="056B93C8" w:rsidRPr="03E8BD2E">
        <w:rPr>
          <w:rFonts w:ascii="Aptos" w:eastAsia="Aptos" w:hAnsi="Aptos" w:cs="Aptos"/>
        </w:rPr>
        <w:t xml:space="preserve">. </w:t>
      </w:r>
      <w:r w:rsidR="3056B3B9" w:rsidRPr="03E8BD2E">
        <w:rPr>
          <w:rFonts w:ascii="Aptos" w:eastAsia="Aptos" w:hAnsi="Aptos" w:cs="Aptos"/>
        </w:rPr>
        <w:t>T</w:t>
      </w:r>
      <w:r w:rsidR="39FF46A4" w:rsidRPr="03E8BD2E">
        <w:rPr>
          <w:rFonts w:ascii="Aptos" w:eastAsia="Aptos" w:hAnsi="Aptos" w:cs="Aptos"/>
        </w:rPr>
        <w:t>aken together, these findings suggest a transdiagnostic role for IU, neuroticism</w:t>
      </w:r>
      <w:r w:rsidR="4D3DAB76" w:rsidRPr="03E8BD2E">
        <w:rPr>
          <w:rFonts w:ascii="Aptos" w:eastAsia="Aptos" w:hAnsi="Aptos" w:cs="Aptos"/>
        </w:rPr>
        <w:t>,</w:t>
      </w:r>
      <w:r w:rsidR="39FF46A4" w:rsidRPr="03E8BD2E">
        <w:rPr>
          <w:rFonts w:ascii="Aptos" w:eastAsia="Aptos" w:hAnsi="Aptos" w:cs="Aptos"/>
        </w:rPr>
        <w:t xml:space="preserve"> and jumping to conclusions bias across SSDs and anxiet</w:t>
      </w:r>
      <w:r w:rsidR="4FA22EC1" w:rsidRPr="03E8BD2E">
        <w:rPr>
          <w:rFonts w:ascii="Aptos" w:eastAsia="Aptos" w:hAnsi="Aptos" w:cs="Aptos"/>
        </w:rPr>
        <w:t>y disorders</w:t>
      </w:r>
      <w:r w:rsidR="7F85A528" w:rsidRPr="03E8BD2E">
        <w:rPr>
          <w:rFonts w:ascii="Aptos" w:eastAsia="Aptos" w:hAnsi="Aptos" w:cs="Aptos"/>
        </w:rPr>
        <w:t xml:space="preserve">, providing further evidence </w:t>
      </w:r>
      <w:r w:rsidR="724E034F" w:rsidRPr="03E8BD2E">
        <w:rPr>
          <w:rFonts w:ascii="Aptos" w:eastAsia="Aptos" w:hAnsi="Aptos" w:cs="Aptos"/>
        </w:rPr>
        <w:t xml:space="preserve">for shared </w:t>
      </w:r>
      <w:r w:rsidR="0E0B88E3" w:rsidRPr="03E8BD2E">
        <w:rPr>
          <w:rFonts w:ascii="Aptos" w:eastAsia="Aptos" w:hAnsi="Aptos" w:cs="Aptos"/>
        </w:rPr>
        <w:t xml:space="preserve">negative affective temperament and cognitive biases </w:t>
      </w:r>
      <w:r w:rsidR="724E034F" w:rsidRPr="03E8BD2E">
        <w:rPr>
          <w:rFonts w:ascii="Aptos" w:eastAsia="Aptos" w:hAnsi="Aptos" w:cs="Aptos"/>
        </w:rPr>
        <w:t>across</w:t>
      </w:r>
      <w:r w:rsidR="03480E3D" w:rsidRPr="03E8BD2E">
        <w:rPr>
          <w:rFonts w:ascii="Aptos" w:eastAsia="Aptos" w:hAnsi="Aptos" w:cs="Aptos"/>
        </w:rPr>
        <w:t xml:space="preserve"> these disorders (</w:t>
      </w:r>
      <w:r w:rsidR="15687D9B" w:rsidRPr="03E8BD2E">
        <w:rPr>
          <w:rFonts w:ascii="Aptos" w:eastAsia="Aptos" w:hAnsi="Aptos" w:cs="Aptos"/>
        </w:rPr>
        <w:t xml:space="preserve">Braga et al., 2013; </w:t>
      </w:r>
      <w:r w:rsidR="03480E3D" w:rsidRPr="03E8BD2E">
        <w:rPr>
          <w:rFonts w:ascii="Aptos" w:eastAsia="Aptos" w:hAnsi="Aptos" w:cs="Aptos"/>
        </w:rPr>
        <w:t>Hall, 2018)</w:t>
      </w:r>
      <w:r w:rsidR="39FF46A4" w:rsidRPr="03E8BD2E">
        <w:rPr>
          <w:rFonts w:ascii="Aptos" w:eastAsia="Aptos" w:hAnsi="Aptos" w:cs="Aptos"/>
        </w:rPr>
        <w:t>.</w:t>
      </w:r>
      <w:r w:rsidR="2E51FED1" w:rsidRPr="03E8BD2E">
        <w:rPr>
          <w:rFonts w:ascii="Aptos" w:eastAsia="Aptos" w:hAnsi="Aptos" w:cs="Aptos"/>
        </w:rPr>
        <w:t xml:space="preserve"> </w:t>
      </w:r>
    </w:p>
    <w:p w14:paraId="4DA79D00" w14:textId="7E7C6176" w:rsidR="12B28805" w:rsidRDefault="7718BFC8" w:rsidP="001B3723">
      <w:pPr>
        <w:spacing w:after="0" w:line="480" w:lineRule="auto"/>
        <w:ind w:firstLine="720"/>
        <w:rPr>
          <w:rFonts w:ascii="Aptos" w:eastAsia="Aptos" w:hAnsi="Aptos" w:cs="Aptos"/>
          <w:color w:val="000000" w:themeColor="text1"/>
        </w:rPr>
      </w:pPr>
      <w:r w:rsidRPr="03E8BD2E">
        <w:rPr>
          <w:rFonts w:ascii="Aptos" w:eastAsia="Aptos" w:hAnsi="Aptos" w:cs="Aptos"/>
        </w:rPr>
        <w:t xml:space="preserve">As </w:t>
      </w:r>
      <w:r w:rsidR="7B62765C" w:rsidRPr="03E8BD2E">
        <w:rPr>
          <w:rFonts w:ascii="Aptos" w:eastAsia="Aptos" w:hAnsi="Aptos" w:cs="Aptos"/>
        </w:rPr>
        <w:t>expected,</w:t>
      </w:r>
      <w:r w:rsidR="4CEC4729" w:rsidRPr="03E8BD2E">
        <w:rPr>
          <w:rFonts w:ascii="Aptos" w:eastAsia="Aptos" w:hAnsi="Aptos" w:cs="Aptos"/>
        </w:rPr>
        <w:t xml:space="preserve"> both paranoia and prodromal symptoms were highest in those with SSDs, then anxiety disorders, and lowest in the non-clinical group. </w:t>
      </w:r>
      <w:r w:rsidR="581AB518" w:rsidRPr="03E8BD2E">
        <w:rPr>
          <w:rFonts w:ascii="Aptos" w:eastAsia="Aptos" w:hAnsi="Aptos" w:cs="Aptos"/>
        </w:rPr>
        <w:t xml:space="preserve">The findings </w:t>
      </w:r>
      <w:r w:rsidR="4C7BCACF" w:rsidRPr="03E8BD2E">
        <w:rPr>
          <w:rFonts w:ascii="Aptos" w:eastAsia="Aptos" w:hAnsi="Aptos" w:cs="Aptos"/>
        </w:rPr>
        <w:t xml:space="preserve">related to SSDs </w:t>
      </w:r>
      <w:r w:rsidR="0645CD6F" w:rsidRPr="03E8BD2E">
        <w:rPr>
          <w:rFonts w:ascii="Aptos" w:eastAsia="Aptos" w:hAnsi="Aptos" w:cs="Aptos"/>
        </w:rPr>
        <w:t>are in line with</w:t>
      </w:r>
      <w:r w:rsidR="581AB518" w:rsidRPr="03E8BD2E">
        <w:rPr>
          <w:rFonts w:ascii="Aptos" w:eastAsia="Aptos" w:hAnsi="Aptos" w:cs="Aptos"/>
        </w:rPr>
        <w:t xml:space="preserve"> the extant literature</w:t>
      </w:r>
      <w:r w:rsidR="5BABCA52" w:rsidRPr="03E8BD2E">
        <w:rPr>
          <w:rFonts w:ascii="Aptos" w:eastAsia="Aptos" w:hAnsi="Aptos" w:cs="Aptos"/>
        </w:rPr>
        <w:t>, which suggests a central role of</w:t>
      </w:r>
      <w:r w:rsidR="581AB518" w:rsidRPr="03E8BD2E">
        <w:rPr>
          <w:rFonts w:ascii="Aptos" w:eastAsia="Aptos" w:hAnsi="Aptos" w:cs="Aptos"/>
        </w:rPr>
        <w:t xml:space="preserve"> paranoia </w:t>
      </w:r>
      <w:r w:rsidR="581AB518" w:rsidRPr="03E8BD2E">
        <w:rPr>
          <w:rFonts w:ascii="Aptos" w:eastAsia="Aptos" w:hAnsi="Aptos" w:cs="Aptos"/>
          <w:color w:val="000000" w:themeColor="text1"/>
        </w:rPr>
        <w:t xml:space="preserve">(e.g. Freeman, 2016) and prodromal symptoms (Yung et al., 1998; 2003) in SSDs. However, the </w:t>
      </w:r>
      <w:r w:rsidR="59A2FC27" w:rsidRPr="03E8BD2E">
        <w:rPr>
          <w:rFonts w:ascii="Aptos" w:eastAsia="Aptos" w:hAnsi="Aptos" w:cs="Aptos"/>
          <w:color w:val="000000" w:themeColor="text1"/>
        </w:rPr>
        <w:t xml:space="preserve">findings </w:t>
      </w:r>
      <w:r w:rsidR="337C6D17" w:rsidRPr="03E8BD2E">
        <w:rPr>
          <w:rFonts w:ascii="Aptos" w:eastAsia="Aptos" w:hAnsi="Aptos" w:cs="Aptos"/>
          <w:color w:val="000000" w:themeColor="text1"/>
        </w:rPr>
        <w:t xml:space="preserve">related to those with anxiety disorders are relatively unique, given the </w:t>
      </w:r>
      <w:r w:rsidR="581AB518" w:rsidRPr="03E8BD2E">
        <w:rPr>
          <w:rFonts w:ascii="Aptos" w:eastAsia="Aptos" w:hAnsi="Aptos" w:cs="Aptos"/>
          <w:color w:val="000000" w:themeColor="text1"/>
        </w:rPr>
        <w:t xml:space="preserve">limited literature on </w:t>
      </w:r>
      <w:r w:rsidR="7EE87073" w:rsidRPr="03E8BD2E">
        <w:rPr>
          <w:rFonts w:ascii="Aptos" w:eastAsia="Aptos" w:hAnsi="Aptos" w:cs="Aptos"/>
          <w:color w:val="000000" w:themeColor="text1"/>
        </w:rPr>
        <w:t xml:space="preserve">the presentation of </w:t>
      </w:r>
      <w:r w:rsidR="581AB518" w:rsidRPr="03E8BD2E">
        <w:rPr>
          <w:rFonts w:ascii="Aptos" w:eastAsia="Aptos" w:hAnsi="Aptos" w:cs="Aptos"/>
          <w:color w:val="000000" w:themeColor="text1"/>
        </w:rPr>
        <w:t>paranoia</w:t>
      </w:r>
      <w:r w:rsidR="6727EC6B" w:rsidRPr="03E8BD2E">
        <w:rPr>
          <w:rFonts w:ascii="Aptos" w:eastAsia="Aptos" w:hAnsi="Aptos" w:cs="Aptos"/>
          <w:color w:val="000000" w:themeColor="text1"/>
        </w:rPr>
        <w:t xml:space="preserve"> (</w:t>
      </w:r>
      <w:r w:rsidR="6727EC6B" w:rsidRPr="03E8BD2E">
        <w:rPr>
          <w:rFonts w:ascii="Aptos" w:eastAsia="Aptos" w:hAnsi="Aptos" w:cs="Aptos"/>
          <w:lang w:val="en-US"/>
        </w:rPr>
        <w:t>Reich &amp; Braginsky, 1994;</w:t>
      </w:r>
      <w:r w:rsidR="6727EC6B" w:rsidRPr="03E8BD2E">
        <w:rPr>
          <w:rFonts w:ascii="Aptos" w:eastAsia="Aptos" w:hAnsi="Aptos" w:cs="Aptos"/>
          <w:color w:val="000000" w:themeColor="text1"/>
        </w:rPr>
        <w:t xml:space="preserve"> Taylor &amp; Stopa, 2013)</w:t>
      </w:r>
      <w:r w:rsidR="581AB518" w:rsidRPr="03E8BD2E">
        <w:rPr>
          <w:rFonts w:ascii="Aptos" w:eastAsia="Aptos" w:hAnsi="Aptos" w:cs="Aptos"/>
          <w:color w:val="000000" w:themeColor="text1"/>
        </w:rPr>
        <w:t xml:space="preserve"> and prodromal </w:t>
      </w:r>
      <w:r w:rsidR="7FB4F34B" w:rsidRPr="03E8BD2E">
        <w:rPr>
          <w:rFonts w:ascii="Aptos" w:eastAsia="Aptos" w:hAnsi="Aptos" w:cs="Aptos"/>
          <w:color w:val="000000" w:themeColor="text1"/>
        </w:rPr>
        <w:t>symptoms</w:t>
      </w:r>
      <w:r w:rsidR="581AB518" w:rsidRPr="03E8BD2E">
        <w:rPr>
          <w:rFonts w:ascii="Aptos" w:eastAsia="Aptos" w:hAnsi="Aptos" w:cs="Aptos"/>
          <w:color w:val="000000" w:themeColor="text1"/>
        </w:rPr>
        <w:t xml:space="preserve"> (</w:t>
      </w:r>
      <w:proofErr w:type="spellStart"/>
      <w:r w:rsidR="581AB518" w:rsidRPr="03E8BD2E">
        <w:rPr>
          <w:rFonts w:ascii="Aptos" w:eastAsia="Aptos" w:hAnsi="Aptos" w:cs="Aptos"/>
          <w:color w:val="000000" w:themeColor="text1"/>
        </w:rPr>
        <w:t>Rietdijk</w:t>
      </w:r>
      <w:proofErr w:type="spellEnd"/>
      <w:r w:rsidR="581AB518" w:rsidRPr="03E8BD2E">
        <w:rPr>
          <w:rFonts w:ascii="Aptos" w:eastAsia="Aptos" w:hAnsi="Aptos" w:cs="Aptos"/>
          <w:color w:val="000000" w:themeColor="text1"/>
        </w:rPr>
        <w:t xml:space="preserve"> et al., 2011; </w:t>
      </w:r>
      <w:proofErr w:type="spellStart"/>
      <w:r w:rsidR="581AB518" w:rsidRPr="03E8BD2E">
        <w:rPr>
          <w:rFonts w:ascii="Aptos" w:eastAsia="Aptos" w:hAnsi="Aptos" w:cs="Aptos"/>
          <w:lang w:val="en-US"/>
        </w:rPr>
        <w:t>Shioiri</w:t>
      </w:r>
      <w:proofErr w:type="spellEnd"/>
      <w:r w:rsidR="581AB518" w:rsidRPr="03E8BD2E">
        <w:rPr>
          <w:rFonts w:ascii="Aptos" w:eastAsia="Aptos" w:hAnsi="Aptos" w:cs="Aptos"/>
          <w:lang w:val="en-US"/>
        </w:rPr>
        <w:t xml:space="preserve"> et al., 2007</w:t>
      </w:r>
      <w:r w:rsidR="581AB518" w:rsidRPr="03E8BD2E">
        <w:rPr>
          <w:rFonts w:ascii="Aptos" w:eastAsia="Aptos" w:hAnsi="Aptos" w:cs="Aptos"/>
          <w:color w:val="000000" w:themeColor="text1"/>
        </w:rPr>
        <w:t xml:space="preserve">) in </w:t>
      </w:r>
      <w:r w:rsidR="47210849" w:rsidRPr="03E8BD2E">
        <w:rPr>
          <w:rFonts w:ascii="Aptos" w:eastAsia="Aptos" w:hAnsi="Aptos" w:cs="Aptos"/>
          <w:color w:val="000000" w:themeColor="text1"/>
        </w:rPr>
        <w:t>anxiety disorder</w:t>
      </w:r>
      <w:r w:rsidR="27E38BF2" w:rsidRPr="03E8BD2E">
        <w:rPr>
          <w:rFonts w:ascii="Aptos" w:eastAsia="Aptos" w:hAnsi="Aptos" w:cs="Aptos"/>
          <w:color w:val="000000" w:themeColor="text1"/>
        </w:rPr>
        <w:t xml:space="preserve"> populations</w:t>
      </w:r>
      <w:r w:rsidR="581AB518" w:rsidRPr="03E8BD2E">
        <w:rPr>
          <w:rFonts w:ascii="Aptos" w:eastAsia="Aptos" w:hAnsi="Aptos" w:cs="Aptos"/>
          <w:color w:val="000000" w:themeColor="text1"/>
        </w:rPr>
        <w:t>.</w:t>
      </w:r>
      <w:r w:rsidR="1E0C9D19" w:rsidRPr="03E8BD2E">
        <w:rPr>
          <w:rFonts w:ascii="Aptos" w:eastAsia="Aptos" w:hAnsi="Aptos" w:cs="Aptos"/>
          <w:color w:val="000000" w:themeColor="text1"/>
        </w:rPr>
        <w:t xml:space="preserve"> </w:t>
      </w:r>
      <w:r w:rsidR="34554119" w:rsidRPr="03E8BD2E">
        <w:rPr>
          <w:rFonts w:ascii="Aptos" w:eastAsia="Aptos" w:hAnsi="Aptos" w:cs="Aptos"/>
          <w:color w:val="000000" w:themeColor="text1"/>
        </w:rPr>
        <w:t>Such results support the notion that anxiety disorders may represent a precursor and risk factor for the development of SSDs (Hall, 2018).</w:t>
      </w:r>
    </w:p>
    <w:p w14:paraId="633662F0" w14:textId="3366382E" w:rsidR="77A8D69F" w:rsidRDefault="0715B428" w:rsidP="001B3723">
      <w:pPr>
        <w:spacing w:after="0" w:line="480" w:lineRule="auto"/>
        <w:ind w:firstLine="720"/>
        <w:rPr>
          <w:rFonts w:ascii="Aptos" w:eastAsia="Aptos" w:hAnsi="Aptos" w:cs="Aptos"/>
          <w:color w:val="000000" w:themeColor="text1"/>
        </w:rPr>
      </w:pPr>
      <w:r w:rsidRPr="03E8BD2E">
        <w:rPr>
          <w:rFonts w:ascii="Aptos" w:eastAsia="Aptos" w:hAnsi="Aptos" w:cs="Aptos"/>
          <w:color w:val="000000" w:themeColor="text1"/>
        </w:rPr>
        <w:t>The relationship between IU and paranoia / prodromal symptoms was transdiagnostic, as h</w:t>
      </w:r>
      <w:r w:rsidR="6F2F9AF2" w:rsidRPr="03E8BD2E">
        <w:rPr>
          <w:rFonts w:ascii="Aptos" w:eastAsia="Aptos" w:hAnsi="Aptos" w:cs="Aptos"/>
          <w:color w:val="000000" w:themeColor="text1"/>
        </w:rPr>
        <w:t>igher IU was associated with greater</w:t>
      </w:r>
      <w:r w:rsidR="42B3CEC4" w:rsidRPr="03E8BD2E">
        <w:rPr>
          <w:rFonts w:ascii="Aptos" w:eastAsia="Aptos" w:hAnsi="Aptos" w:cs="Aptos"/>
          <w:color w:val="000000" w:themeColor="text1"/>
        </w:rPr>
        <w:t xml:space="preserve"> paranoia / prodromal symptoms</w:t>
      </w:r>
      <w:r w:rsidR="7BA5CB8F" w:rsidRPr="03E8BD2E">
        <w:rPr>
          <w:rFonts w:ascii="Aptos" w:eastAsia="Aptos" w:hAnsi="Aptos" w:cs="Aptos"/>
          <w:color w:val="000000" w:themeColor="text1"/>
        </w:rPr>
        <w:t xml:space="preserve"> </w:t>
      </w:r>
      <w:r w:rsidR="42B3CEC4" w:rsidRPr="03E8BD2E">
        <w:rPr>
          <w:rFonts w:ascii="Aptos" w:eastAsia="Aptos" w:hAnsi="Aptos" w:cs="Aptos"/>
          <w:color w:val="000000" w:themeColor="text1"/>
        </w:rPr>
        <w:t>across SSDs, anxiety disorders, and a non-clinical sample.</w:t>
      </w:r>
      <w:r w:rsidR="605FAC0E" w:rsidRPr="03E8BD2E">
        <w:rPr>
          <w:rFonts w:ascii="Aptos" w:eastAsia="Aptos" w:hAnsi="Aptos" w:cs="Aptos"/>
          <w:color w:val="000000" w:themeColor="text1"/>
        </w:rPr>
        <w:t xml:space="preserve"> </w:t>
      </w:r>
      <w:r w:rsidR="4438174D" w:rsidRPr="03E8BD2E">
        <w:rPr>
          <w:rFonts w:ascii="Aptos" w:eastAsia="Aptos" w:hAnsi="Aptos" w:cs="Aptos"/>
          <w:color w:val="000000" w:themeColor="text1"/>
        </w:rPr>
        <w:t xml:space="preserve">Interestingly, the range of scores for IU and paranoia / prodromal symptoms was the largest for SSDs, then anxiety disorders, and smallest for non-clinical samples (see Fig 1 and 2), suggesting that these scores linearly increase in severity, potentially reflecting risk for psychosis. </w:t>
      </w:r>
      <w:r w:rsidR="0A7C1ADF" w:rsidRPr="03E8BD2E">
        <w:rPr>
          <w:rFonts w:ascii="Aptos" w:eastAsia="Aptos" w:hAnsi="Aptos" w:cs="Aptos"/>
          <w:color w:val="000000" w:themeColor="text1"/>
        </w:rPr>
        <w:t>Th</w:t>
      </w:r>
      <w:r w:rsidR="363B5D11" w:rsidRPr="03E8BD2E">
        <w:rPr>
          <w:rFonts w:ascii="Aptos" w:eastAsia="Aptos" w:hAnsi="Aptos" w:cs="Aptos"/>
          <w:color w:val="000000" w:themeColor="text1"/>
        </w:rPr>
        <w:t>ese</w:t>
      </w:r>
      <w:r w:rsidR="0A7C1ADF" w:rsidRPr="03E8BD2E">
        <w:rPr>
          <w:rFonts w:ascii="Aptos" w:eastAsia="Aptos" w:hAnsi="Aptos" w:cs="Aptos"/>
          <w:color w:val="000000" w:themeColor="text1"/>
        </w:rPr>
        <w:t xml:space="preserve"> finding</w:t>
      </w:r>
      <w:r w:rsidR="57B83099" w:rsidRPr="03E8BD2E">
        <w:rPr>
          <w:rFonts w:ascii="Aptos" w:eastAsia="Aptos" w:hAnsi="Aptos" w:cs="Aptos"/>
          <w:color w:val="000000" w:themeColor="text1"/>
        </w:rPr>
        <w:t>s</w:t>
      </w:r>
      <w:r w:rsidR="0A7C1ADF" w:rsidRPr="03E8BD2E">
        <w:rPr>
          <w:rFonts w:ascii="Aptos" w:eastAsia="Aptos" w:hAnsi="Aptos" w:cs="Aptos"/>
          <w:color w:val="000000" w:themeColor="text1"/>
        </w:rPr>
        <w:t xml:space="preserve"> align with a prior systematic review o</w:t>
      </w:r>
      <w:r w:rsidR="64B23BDC" w:rsidRPr="03E8BD2E">
        <w:rPr>
          <w:rFonts w:ascii="Aptos" w:eastAsia="Aptos" w:hAnsi="Aptos" w:cs="Aptos"/>
          <w:color w:val="000000" w:themeColor="text1"/>
        </w:rPr>
        <w:t xml:space="preserve">n </w:t>
      </w:r>
      <w:r w:rsidR="0A7C1ADF" w:rsidRPr="03E8BD2E">
        <w:rPr>
          <w:rFonts w:ascii="Aptos" w:eastAsia="Aptos" w:hAnsi="Aptos" w:cs="Aptos"/>
          <w:color w:val="000000" w:themeColor="text1"/>
        </w:rPr>
        <w:t>IU and paranoia in community samples</w:t>
      </w:r>
      <w:r w:rsidR="3E73F29E" w:rsidRPr="03E8BD2E">
        <w:rPr>
          <w:rFonts w:ascii="Aptos" w:eastAsia="Aptos" w:hAnsi="Aptos" w:cs="Aptos"/>
          <w:color w:val="000000" w:themeColor="text1"/>
        </w:rPr>
        <w:t>,</w:t>
      </w:r>
      <w:r w:rsidR="0A7C1ADF" w:rsidRPr="03E8BD2E">
        <w:rPr>
          <w:rFonts w:ascii="Aptos" w:eastAsia="Aptos" w:hAnsi="Aptos" w:cs="Aptos"/>
          <w:color w:val="000000" w:themeColor="text1"/>
        </w:rPr>
        <w:t xml:space="preserve"> </w:t>
      </w:r>
      <w:r w:rsidR="0B4C5887" w:rsidRPr="03E8BD2E">
        <w:rPr>
          <w:rFonts w:ascii="Aptos" w:eastAsia="Aptos" w:hAnsi="Aptos" w:cs="Aptos"/>
          <w:color w:val="000000" w:themeColor="text1"/>
        </w:rPr>
        <w:t xml:space="preserve">at risk SSD samples, </w:t>
      </w:r>
      <w:r w:rsidR="0A7C1ADF" w:rsidRPr="03E8BD2E">
        <w:rPr>
          <w:rFonts w:ascii="Aptos" w:eastAsia="Aptos" w:hAnsi="Aptos" w:cs="Aptos"/>
          <w:color w:val="000000" w:themeColor="text1"/>
        </w:rPr>
        <w:t xml:space="preserve">and </w:t>
      </w:r>
      <w:r w:rsidR="07534DFC" w:rsidRPr="03E8BD2E">
        <w:rPr>
          <w:rFonts w:ascii="Aptos" w:eastAsia="Aptos" w:hAnsi="Aptos" w:cs="Aptos"/>
          <w:color w:val="000000" w:themeColor="text1"/>
        </w:rPr>
        <w:t xml:space="preserve">those with </w:t>
      </w:r>
      <w:r w:rsidR="0A7C1ADF" w:rsidRPr="03E8BD2E">
        <w:rPr>
          <w:rFonts w:ascii="Aptos" w:eastAsia="Aptos" w:hAnsi="Aptos" w:cs="Aptos"/>
          <w:color w:val="000000" w:themeColor="text1"/>
        </w:rPr>
        <w:t>SSDs (Morriss</w:t>
      </w:r>
      <w:r w:rsidR="03ABC1DA" w:rsidRPr="03E8BD2E">
        <w:rPr>
          <w:rFonts w:ascii="Aptos" w:eastAsia="Aptos" w:hAnsi="Aptos" w:cs="Aptos"/>
          <w:color w:val="000000" w:themeColor="text1"/>
        </w:rPr>
        <w:t>, Butler</w:t>
      </w:r>
      <w:r w:rsidR="0A7C1ADF" w:rsidRPr="03E8BD2E">
        <w:rPr>
          <w:rFonts w:ascii="Aptos" w:eastAsia="Aptos" w:hAnsi="Aptos" w:cs="Aptos"/>
          <w:color w:val="000000" w:themeColor="text1"/>
        </w:rPr>
        <w:t xml:space="preserve"> et al., 2024).</w:t>
      </w:r>
      <w:r w:rsidR="43376E44" w:rsidRPr="03E8BD2E">
        <w:rPr>
          <w:rFonts w:ascii="Aptos" w:eastAsia="Aptos" w:hAnsi="Aptos" w:cs="Aptos"/>
          <w:color w:val="000000" w:themeColor="text1"/>
        </w:rPr>
        <w:t xml:space="preserve"> As far as </w:t>
      </w:r>
      <w:r w:rsidR="3C9C7A41" w:rsidRPr="03E8BD2E">
        <w:rPr>
          <w:rFonts w:ascii="Aptos" w:eastAsia="Aptos" w:hAnsi="Aptos" w:cs="Aptos"/>
          <w:color w:val="000000" w:themeColor="text1"/>
        </w:rPr>
        <w:t>we are</w:t>
      </w:r>
      <w:r w:rsidR="43376E44" w:rsidRPr="03E8BD2E">
        <w:rPr>
          <w:rFonts w:ascii="Aptos" w:eastAsia="Aptos" w:hAnsi="Aptos" w:cs="Aptos"/>
          <w:color w:val="000000" w:themeColor="text1"/>
        </w:rPr>
        <w:t xml:space="preserve"> aware, this is one of the first studies to demonstrate </w:t>
      </w:r>
      <w:r w:rsidR="2D80D64E" w:rsidRPr="03E8BD2E">
        <w:rPr>
          <w:rFonts w:ascii="Aptos" w:eastAsia="Aptos" w:hAnsi="Aptos" w:cs="Aptos"/>
          <w:color w:val="000000" w:themeColor="text1"/>
        </w:rPr>
        <w:t>a</w:t>
      </w:r>
      <w:r w:rsidR="43376E44" w:rsidRPr="03E8BD2E">
        <w:rPr>
          <w:rFonts w:ascii="Aptos" w:eastAsia="Aptos" w:hAnsi="Aptos" w:cs="Aptos"/>
          <w:color w:val="000000" w:themeColor="text1"/>
        </w:rPr>
        <w:t xml:space="preserve"> relationship between IU and paranoia / prodromal symptoms in an</w:t>
      </w:r>
      <w:r w:rsidR="518C34E7" w:rsidRPr="03E8BD2E">
        <w:rPr>
          <w:rFonts w:ascii="Aptos" w:eastAsia="Aptos" w:hAnsi="Aptos" w:cs="Aptos"/>
          <w:color w:val="000000" w:themeColor="text1"/>
        </w:rPr>
        <w:t>xiety disorder populations.</w:t>
      </w:r>
      <w:r w:rsidR="56A6197B" w:rsidRPr="03E8BD2E">
        <w:rPr>
          <w:rFonts w:ascii="Aptos" w:eastAsia="Aptos" w:hAnsi="Aptos" w:cs="Aptos"/>
          <w:color w:val="000000" w:themeColor="text1"/>
        </w:rPr>
        <w:t xml:space="preserve"> </w:t>
      </w:r>
    </w:p>
    <w:p w14:paraId="1EF78EB1" w14:textId="19DD1CD8" w:rsidR="77A8D69F" w:rsidRDefault="4232EE9C" w:rsidP="001B3723">
      <w:pPr>
        <w:spacing w:after="0" w:line="480" w:lineRule="auto"/>
        <w:ind w:firstLine="720"/>
        <w:rPr>
          <w:rFonts w:ascii="Aptos" w:eastAsia="Aptos" w:hAnsi="Aptos" w:cs="Aptos"/>
          <w:color w:val="000000" w:themeColor="text1"/>
        </w:rPr>
      </w:pPr>
      <w:r w:rsidRPr="03E8BD2E">
        <w:rPr>
          <w:rFonts w:ascii="Aptos" w:eastAsia="Aptos" w:hAnsi="Aptos" w:cs="Aptos"/>
          <w:color w:val="000000" w:themeColor="text1"/>
        </w:rPr>
        <w:lastRenderedPageBreak/>
        <w:t xml:space="preserve">Most of the </w:t>
      </w:r>
      <w:r w:rsidR="42B3CEC4" w:rsidRPr="03E8BD2E">
        <w:rPr>
          <w:rFonts w:ascii="Aptos" w:eastAsia="Aptos" w:hAnsi="Aptos" w:cs="Aptos"/>
          <w:color w:val="000000" w:themeColor="text1"/>
        </w:rPr>
        <w:t xml:space="preserve">relationships between IU and paranoia /prodromal symptoms </w:t>
      </w:r>
      <w:r w:rsidR="03A5A891" w:rsidRPr="03E8BD2E">
        <w:rPr>
          <w:rFonts w:ascii="Aptos" w:eastAsia="Aptos" w:hAnsi="Aptos" w:cs="Aptos"/>
          <w:color w:val="000000" w:themeColor="text1"/>
        </w:rPr>
        <w:t xml:space="preserve">across the different samples </w:t>
      </w:r>
      <w:r w:rsidR="42B3CEC4" w:rsidRPr="03E8BD2E">
        <w:rPr>
          <w:rFonts w:ascii="Aptos" w:eastAsia="Aptos" w:hAnsi="Aptos" w:cs="Aptos"/>
          <w:color w:val="000000" w:themeColor="text1"/>
        </w:rPr>
        <w:t>remained significant when controlling for neuroticism</w:t>
      </w:r>
      <w:r w:rsidR="73D4D60D" w:rsidRPr="03E8BD2E">
        <w:rPr>
          <w:rFonts w:ascii="Aptos" w:eastAsia="Aptos" w:hAnsi="Aptos" w:cs="Aptos"/>
          <w:color w:val="000000" w:themeColor="text1"/>
        </w:rPr>
        <w:t xml:space="preserve"> and the jumping to conclusions bias</w:t>
      </w:r>
      <w:r w:rsidR="42B3CEC4" w:rsidRPr="03E8BD2E">
        <w:rPr>
          <w:rFonts w:ascii="Aptos" w:eastAsia="Aptos" w:hAnsi="Aptos" w:cs="Aptos"/>
          <w:color w:val="000000" w:themeColor="text1"/>
        </w:rPr>
        <w:t xml:space="preserve">. However, the relationship between IU and paranoia in the SSD group was not </w:t>
      </w:r>
      <w:r w:rsidR="55596169" w:rsidRPr="03E8BD2E">
        <w:rPr>
          <w:rFonts w:ascii="Aptos" w:eastAsia="Aptos" w:hAnsi="Aptos" w:cs="Aptos"/>
          <w:color w:val="000000" w:themeColor="text1"/>
        </w:rPr>
        <w:t>significant</w:t>
      </w:r>
      <w:r w:rsidR="42B3CEC4" w:rsidRPr="03E8BD2E">
        <w:rPr>
          <w:rFonts w:ascii="Aptos" w:eastAsia="Aptos" w:hAnsi="Aptos" w:cs="Aptos"/>
          <w:color w:val="000000" w:themeColor="text1"/>
        </w:rPr>
        <w:t xml:space="preserve"> over the jumping to conclusions bias.</w:t>
      </w:r>
      <w:r w:rsidR="2FEC6FE2" w:rsidRPr="03E8BD2E">
        <w:rPr>
          <w:rFonts w:ascii="Aptos" w:eastAsia="Aptos" w:hAnsi="Aptos" w:cs="Aptos"/>
          <w:color w:val="000000" w:themeColor="text1"/>
        </w:rPr>
        <w:t xml:space="preserve"> </w:t>
      </w:r>
      <w:r w:rsidR="2445FB71" w:rsidRPr="03E8BD2E">
        <w:rPr>
          <w:rFonts w:ascii="Aptos" w:eastAsia="Aptos" w:hAnsi="Aptos" w:cs="Aptos"/>
          <w:color w:val="000000" w:themeColor="text1"/>
        </w:rPr>
        <w:t>In general, these results suggest that IU has a unique relationship with paranoia / prodromal symptoms</w:t>
      </w:r>
      <w:r w:rsidR="77435105" w:rsidRPr="03E8BD2E">
        <w:rPr>
          <w:rFonts w:ascii="Aptos" w:eastAsia="Aptos" w:hAnsi="Aptos" w:cs="Aptos"/>
          <w:color w:val="000000" w:themeColor="text1"/>
        </w:rPr>
        <w:t xml:space="preserve"> across these different populations</w:t>
      </w:r>
      <w:r w:rsidR="6B477952" w:rsidRPr="03E8BD2E">
        <w:rPr>
          <w:rFonts w:ascii="Aptos" w:eastAsia="Aptos" w:hAnsi="Aptos" w:cs="Aptos"/>
          <w:color w:val="000000" w:themeColor="text1"/>
        </w:rPr>
        <w:t>, which highlights the potential of IU as a risk and/or maintaining factor</w:t>
      </w:r>
      <w:r w:rsidR="78EFE02E" w:rsidRPr="03E8BD2E">
        <w:rPr>
          <w:rFonts w:ascii="Aptos" w:eastAsia="Aptos" w:hAnsi="Aptos" w:cs="Aptos"/>
          <w:color w:val="000000" w:themeColor="text1"/>
        </w:rPr>
        <w:t xml:space="preserve"> of paranoia / prodromal symptoms. </w:t>
      </w:r>
      <w:r w:rsidR="302E5B64" w:rsidRPr="03E8BD2E">
        <w:rPr>
          <w:rFonts w:ascii="Aptos" w:eastAsia="Aptos" w:hAnsi="Aptos" w:cs="Aptos"/>
          <w:color w:val="000000" w:themeColor="text1"/>
        </w:rPr>
        <w:t>Notably,</w:t>
      </w:r>
      <w:r w:rsidR="78EFE02E" w:rsidRPr="03E8BD2E">
        <w:rPr>
          <w:rFonts w:ascii="Aptos" w:eastAsia="Aptos" w:hAnsi="Aptos" w:cs="Aptos"/>
          <w:color w:val="000000" w:themeColor="text1"/>
        </w:rPr>
        <w:t xml:space="preserve"> </w:t>
      </w:r>
      <w:r w:rsidR="7F78E9F0" w:rsidRPr="03E8BD2E">
        <w:rPr>
          <w:rFonts w:ascii="Aptos" w:eastAsia="Aptos" w:hAnsi="Aptos" w:cs="Aptos"/>
          <w:color w:val="000000" w:themeColor="text1"/>
        </w:rPr>
        <w:t xml:space="preserve">the </w:t>
      </w:r>
      <w:r w:rsidR="2EB6DBD5" w:rsidRPr="03E8BD2E">
        <w:rPr>
          <w:rFonts w:ascii="Aptos" w:eastAsia="Aptos" w:hAnsi="Aptos" w:cs="Aptos"/>
          <w:color w:val="000000" w:themeColor="text1"/>
        </w:rPr>
        <w:t xml:space="preserve">relationship between </w:t>
      </w:r>
      <w:r w:rsidR="78EFE02E" w:rsidRPr="03E8BD2E">
        <w:rPr>
          <w:rFonts w:ascii="Aptos" w:eastAsia="Aptos" w:hAnsi="Aptos" w:cs="Aptos"/>
          <w:color w:val="000000" w:themeColor="text1"/>
        </w:rPr>
        <w:t xml:space="preserve">IU </w:t>
      </w:r>
      <w:r w:rsidR="6191D5B7" w:rsidRPr="03E8BD2E">
        <w:rPr>
          <w:rFonts w:ascii="Aptos" w:eastAsia="Aptos" w:hAnsi="Aptos" w:cs="Aptos"/>
          <w:color w:val="000000" w:themeColor="text1"/>
        </w:rPr>
        <w:t xml:space="preserve">and paranoia </w:t>
      </w:r>
      <w:r w:rsidR="78EFE02E" w:rsidRPr="03E8BD2E">
        <w:rPr>
          <w:rFonts w:ascii="Aptos" w:eastAsia="Aptos" w:hAnsi="Aptos" w:cs="Aptos"/>
          <w:color w:val="000000" w:themeColor="text1"/>
        </w:rPr>
        <w:t xml:space="preserve">was </w:t>
      </w:r>
      <w:r w:rsidR="1FF35FB8" w:rsidRPr="03E8BD2E">
        <w:rPr>
          <w:rFonts w:ascii="Aptos" w:eastAsia="Aptos" w:hAnsi="Aptos" w:cs="Aptos"/>
          <w:color w:val="000000" w:themeColor="text1"/>
        </w:rPr>
        <w:t>not specifi</w:t>
      </w:r>
      <w:r w:rsidR="0D7B0968" w:rsidRPr="03E8BD2E">
        <w:rPr>
          <w:rFonts w:ascii="Aptos" w:eastAsia="Aptos" w:hAnsi="Aptos" w:cs="Aptos"/>
          <w:color w:val="000000" w:themeColor="text1"/>
        </w:rPr>
        <w:t>c over the jumping to conclusions bias in SSDs</w:t>
      </w:r>
      <w:r w:rsidR="7DC73785" w:rsidRPr="03E8BD2E">
        <w:rPr>
          <w:rFonts w:ascii="Aptos" w:eastAsia="Aptos" w:hAnsi="Aptos" w:cs="Aptos"/>
          <w:color w:val="000000" w:themeColor="text1"/>
        </w:rPr>
        <w:t xml:space="preserve">. This result suggests that IU and the jumping to conclusions bias may </w:t>
      </w:r>
      <w:r w:rsidR="43DD4E69" w:rsidRPr="03E8BD2E">
        <w:rPr>
          <w:rFonts w:ascii="Aptos" w:eastAsia="Aptos" w:hAnsi="Aptos" w:cs="Aptos"/>
          <w:color w:val="000000" w:themeColor="text1"/>
        </w:rPr>
        <w:t xml:space="preserve">be more closely aligned </w:t>
      </w:r>
      <w:r w:rsidR="67A8D8EF" w:rsidRPr="03E8BD2E">
        <w:rPr>
          <w:rFonts w:ascii="Aptos" w:eastAsia="Aptos" w:hAnsi="Aptos" w:cs="Aptos"/>
          <w:color w:val="000000" w:themeColor="text1"/>
        </w:rPr>
        <w:t xml:space="preserve">with paranoia </w:t>
      </w:r>
      <w:r w:rsidR="43DD4E69" w:rsidRPr="03E8BD2E">
        <w:rPr>
          <w:rFonts w:ascii="Aptos" w:eastAsia="Aptos" w:hAnsi="Aptos" w:cs="Aptos"/>
          <w:color w:val="000000" w:themeColor="text1"/>
        </w:rPr>
        <w:t xml:space="preserve">in SSDs. </w:t>
      </w:r>
      <w:r w:rsidR="3582FB33" w:rsidRPr="03E8BD2E">
        <w:rPr>
          <w:rFonts w:ascii="Aptos" w:eastAsia="Aptos" w:hAnsi="Aptos" w:cs="Aptos"/>
          <w:color w:val="000000" w:themeColor="text1"/>
        </w:rPr>
        <w:t xml:space="preserve">Future research should examine the extent to which IU </w:t>
      </w:r>
      <w:r w:rsidR="03825634" w:rsidRPr="03E8BD2E">
        <w:rPr>
          <w:rFonts w:ascii="Aptos" w:eastAsia="Aptos" w:hAnsi="Aptos" w:cs="Aptos"/>
          <w:color w:val="000000" w:themeColor="text1"/>
        </w:rPr>
        <w:t>and jumping</w:t>
      </w:r>
      <w:r w:rsidR="3582FB33" w:rsidRPr="03E8BD2E">
        <w:rPr>
          <w:rFonts w:ascii="Aptos" w:eastAsia="Aptos" w:hAnsi="Aptos" w:cs="Aptos"/>
          <w:color w:val="000000" w:themeColor="text1"/>
        </w:rPr>
        <w:t xml:space="preserve"> to conclusions bias may precede each other</w:t>
      </w:r>
      <w:r w:rsidR="7D32A641" w:rsidRPr="03E8BD2E">
        <w:rPr>
          <w:rFonts w:ascii="Aptos" w:eastAsia="Aptos" w:hAnsi="Aptos" w:cs="Aptos"/>
          <w:color w:val="000000" w:themeColor="text1"/>
        </w:rPr>
        <w:t xml:space="preserve"> (e.g. sensing uncertainty may lead to jumping to a threatening conclusion)</w:t>
      </w:r>
      <w:r w:rsidR="3582FB33" w:rsidRPr="03E8BD2E">
        <w:rPr>
          <w:rFonts w:ascii="Aptos" w:eastAsia="Aptos" w:hAnsi="Aptos" w:cs="Aptos"/>
          <w:color w:val="000000" w:themeColor="text1"/>
        </w:rPr>
        <w:t xml:space="preserve"> or possibly work together to elicit paranoid states.</w:t>
      </w:r>
      <w:r w:rsidR="4AC7EDD7" w:rsidRPr="03E8BD2E">
        <w:rPr>
          <w:rFonts w:ascii="Aptos" w:eastAsia="Aptos" w:hAnsi="Aptos" w:cs="Aptos"/>
          <w:color w:val="000000" w:themeColor="text1"/>
        </w:rPr>
        <w:t xml:space="preserve"> </w:t>
      </w:r>
    </w:p>
    <w:p w14:paraId="226368AB" w14:textId="097DE498" w:rsidR="77A8D69F" w:rsidRDefault="3272D828" w:rsidP="001B3723">
      <w:pPr>
        <w:spacing w:after="0" w:line="480" w:lineRule="auto"/>
        <w:ind w:firstLine="720"/>
        <w:rPr>
          <w:rFonts w:ascii="Aptos" w:eastAsia="Aptos" w:hAnsi="Aptos" w:cs="Aptos"/>
          <w:color w:val="000000" w:themeColor="text1"/>
        </w:rPr>
      </w:pPr>
      <w:r w:rsidRPr="03E8BD2E">
        <w:rPr>
          <w:rFonts w:ascii="Aptos" w:eastAsia="Aptos" w:hAnsi="Aptos" w:cs="Aptos"/>
          <w:color w:val="000000" w:themeColor="text1"/>
        </w:rPr>
        <w:t>The findings from</w:t>
      </w:r>
      <w:r w:rsidR="388B3C92" w:rsidRPr="03E8BD2E">
        <w:rPr>
          <w:rFonts w:ascii="Aptos" w:eastAsia="Aptos" w:hAnsi="Aptos" w:cs="Aptos"/>
          <w:color w:val="000000" w:themeColor="text1"/>
        </w:rPr>
        <w:t xml:space="preserve"> this study </w:t>
      </w:r>
      <w:r w:rsidRPr="03E8BD2E">
        <w:rPr>
          <w:rFonts w:ascii="Aptos" w:eastAsia="Aptos" w:hAnsi="Aptos" w:cs="Aptos"/>
          <w:color w:val="000000" w:themeColor="text1"/>
        </w:rPr>
        <w:t>have important clinical implications</w:t>
      </w:r>
      <w:r w:rsidR="7FDB7A09" w:rsidRPr="03E8BD2E">
        <w:rPr>
          <w:rFonts w:ascii="Aptos" w:eastAsia="Aptos" w:hAnsi="Aptos" w:cs="Aptos"/>
          <w:color w:val="000000" w:themeColor="text1"/>
        </w:rPr>
        <w:t xml:space="preserve"> for </w:t>
      </w:r>
      <w:r w:rsidR="3C322F61" w:rsidRPr="03E8BD2E">
        <w:rPr>
          <w:rFonts w:ascii="Aptos" w:eastAsia="Aptos" w:hAnsi="Aptos" w:cs="Aptos"/>
          <w:color w:val="000000" w:themeColor="text1"/>
        </w:rPr>
        <w:t xml:space="preserve">the </w:t>
      </w:r>
      <w:r w:rsidR="7FDB7A09" w:rsidRPr="03E8BD2E">
        <w:rPr>
          <w:rFonts w:ascii="Aptos" w:eastAsia="Aptos" w:hAnsi="Aptos" w:cs="Aptos"/>
          <w:color w:val="000000" w:themeColor="text1"/>
        </w:rPr>
        <w:t xml:space="preserve">development of </w:t>
      </w:r>
      <w:r w:rsidR="53FA3EC4" w:rsidRPr="03E8BD2E">
        <w:rPr>
          <w:rFonts w:ascii="Aptos" w:eastAsia="Aptos" w:hAnsi="Aptos" w:cs="Aptos"/>
          <w:color w:val="000000" w:themeColor="text1"/>
        </w:rPr>
        <w:t xml:space="preserve">new </w:t>
      </w:r>
      <w:r w:rsidR="7FDB7A09" w:rsidRPr="03E8BD2E">
        <w:rPr>
          <w:rFonts w:ascii="Aptos" w:eastAsia="Aptos" w:hAnsi="Aptos" w:cs="Aptos"/>
          <w:color w:val="000000" w:themeColor="text1"/>
        </w:rPr>
        <w:t>therap</w:t>
      </w:r>
      <w:r w:rsidR="2DE7EEB5" w:rsidRPr="03E8BD2E">
        <w:rPr>
          <w:rFonts w:ascii="Aptos" w:eastAsia="Aptos" w:hAnsi="Aptos" w:cs="Aptos"/>
          <w:color w:val="000000" w:themeColor="text1"/>
        </w:rPr>
        <w:t xml:space="preserve">ies that aim to </w:t>
      </w:r>
      <w:r w:rsidR="7FDB7A09" w:rsidRPr="03E8BD2E">
        <w:rPr>
          <w:rFonts w:ascii="Aptos" w:eastAsia="Aptos" w:hAnsi="Aptos" w:cs="Aptos"/>
          <w:color w:val="000000" w:themeColor="text1"/>
        </w:rPr>
        <w:t>targe</w:t>
      </w:r>
      <w:r w:rsidR="7BC1815C" w:rsidRPr="03E8BD2E">
        <w:rPr>
          <w:rFonts w:ascii="Aptos" w:eastAsia="Aptos" w:hAnsi="Aptos" w:cs="Aptos"/>
          <w:color w:val="000000" w:themeColor="text1"/>
        </w:rPr>
        <w:t>t</w:t>
      </w:r>
      <w:r w:rsidR="7FDB7A09" w:rsidRPr="03E8BD2E">
        <w:rPr>
          <w:rFonts w:ascii="Aptos" w:eastAsia="Aptos" w:hAnsi="Aptos" w:cs="Aptos"/>
          <w:color w:val="000000" w:themeColor="text1"/>
        </w:rPr>
        <w:t xml:space="preserve"> IU in SSDs and anxiety disorders</w:t>
      </w:r>
      <w:r w:rsidRPr="03E8BD2E">
        <w:rPr>
          <w:rFonts w:ascii="Aptos" w:eastAsia="Aptos" w:hAnsi="Aptos" w:cs="Aptos"/>
          <w:color w:val="000000" w:themeColor="text1"/>
        </w:rPr>
        <w:t xml:space="preserve">. Previous research has </w:t>
      </w:r>
      <w:r w:rsidR="19DC9F41" w:rsidRPr="03E8BD2E">
        <w:rPr>
          <w:rFonts w:ascii="Aptos" w:eastAsia="Aptos" w:hAnsi="Aptos" w:cs="Aptos"/>
          <w:color w:val="000000" w:themeColor="text1"/>
        </w:rPr>
        <w:t xml:space="preserve">demonstrated that </w:t>
      </w:r>
      <w:r w:rsidR="692BF97C" w:rsidRPr="03E8BD2E">
        <w:rPr>
          <w:rFonts w:ascii="Aptos" w:eastAsia="Aptos" w:hAnsi="Aptos" w:cs="Aptos"/>
          <w:color w:val="000000" w:themeColor="text1"/>
        </w:rPr>
        <w:t xml:space="preserve">gold standard treatments such as cognitive behavioural therapy </w:t>
      </w:r>
      <w:r w:rsidR="41B2B006" w:rsidRPr="03E8BD2E">
        <w:rPr>
          <w:rFonts w:ascii="Aptos" w:eastAsia="Aptos" w:hAnsi="Aptos" w:cs="Aptos"/>
          <w:color w:val="000000" w:themeColor="text1"/>
        </w:rPr>
        <w:t>(CBT)</w:t>
      </w:r>
      <w:r w:rsidR="6B63688C" w:rsidRPr="03E8BD2E">
        <w:rPr>
          <w:rFonts w:ascii="Aptos" w:eastAsia="Aptos" w:hAnsi="Aptos" w:cs="Aptos"/>
          <w:color w:val="000000" w:themeColor="text1"/>
        </w:rPr>
        <w:t xml:space="preserve"> </w:t>
      </w:r>
      <w:r w:rsidR="692BF97C" w:rsidRPr="03E8BD2E">
        <w:rPr>
          <w:rFonts w:ascii="Aptos" w:eastAsia="Aptos" w:hAnsi="Aptos" w:cs="Aptos"/>
          <w:color w:val="000000" w:themeColor="text1"/>
        </w:rPr>
        <w:t>for anxiety disorders</w:t>
      </w:r>
      <w:r w:rsidRPr="03E8BD2E">
        <w:rPr>
          <w:rFonts w:ascii="Aptos" w:eastAsia="Aptos" w:hAnsi="Aptos" w:cs="Aptos"/>
          <w:color w:val="000000" w:themeColor="text1"/>
        </w:rPr>
        <w:t xml:space="preserve"> (Miller &amp; McGuire, 2023)</w:t>
      </w:r>
      <w:r w:rsidR="019B1632" w:rsidRPr="03E8BD2E">
        <w:rPr>
          <w:rFonts w:ascii="Aptos" w:eastAsia="Aptos" w:hAnsi="Aptos" w:cs="Aptos"/>
          <w:color w:val="000000" w:themeColor="text1"/>
        </w:rPr>
        <w:t xml:space="preserve"> are effective in reducing IU and associated anxiety symptoms. </w:t>
      </w:r>
      <w:r w:rsidRPr="03E8BD2E">
        <w:rPr>
          <w:rFonts w:ascii="Aptos" w:eastAsia="Aptos" w:hAnsi="Aptos" w:cs="Aptos"/>
          <w:color w:val="000000" w:themeColor="text1"/>
        </w:rPr>
        <w:t xml:space="preserve">The current findings raise the intriguing possibility that </w:t>
      </w:r>
      <w:r w:rsidR="6E9F1EBE" w:rsidRPr="03E8BD2E">
        <w:rPr>
          <w:rFonts w:ascii="Aptos" w:eastAsia="Aptos" w:hAnsi="Aptos" w:cs="Aptos"/>
          <w:color w:val="000000" w:themeColor="text1"/>
        </w:rPr>
        <w:t>CBT for p</w:t>
      </w:r>
      <w:r w:rsidR="436E8301" w:rsidRPr="03E8BD2E">
        <w:rPr>
          <w:rFonts w:ascii="Aptos" w:eastAsia="Aptos" w:hAnsi="Aptos" w:cs="Aptos"/>
          <w:color w:val="000000" w:themeColor="text1"/>
        </w:rPr>
        <w:t>sychosis</w:t>
      </w:r>
      <w:r w:rsidR="0803D9B5" w:rsidRPr="03E8BD2E">
        <w:rPr>
          <w:rFonts w:ascii="Aptos" w:eastAsia="Aptos" w:hAnsi="Aptos" w:cs="Aptos"/>
          <w:color w:val="000000" w:themeColor="text1"/>
        </w:rPr>
        <w:t xml:space="preserve"> </w:t>
      </w:r>
      <w:r w:rsidR="74598CD2" w:rsidRPr="03E8BD2E">
        <w:rPr>
          <w:rFonts w:ascii="Aptos" w:eastAsia="Aptos" w:hAnsi="Aptos" w:cs="Aptos"/>
          <w:color w:val="000000" w:themeColor="text1"/>
        </w:rPr>
        <w:t>(</w:t>
      </w:r>
      <w:r w:rsidR="25B53230" w:rsidRPr="03E8BD2E">
        <w:rPr>
          <w:rFonts w:ascii="Aptos" w:eastAsia="Aptos" w:hAnsi="Aptos" w:cs="Aptos"/>
          <w:color w:val="000000" w:themeColor="text1"/>
        </w:rPr>
        <w:t xml:space="preserve">Sitko et al., 2020) </w:t>
      </w:r>
      <w:r w:rsidR="0803D9B5" w:rsidRPr="03E8BD2E">
        <w:rPr>
          <w:rFonts w:ascii="Aptos" w:eastAsia="Aptos" w:hAnsi="Aptos" w:cs="Aptos"/>
          <w:color w:val="000000" w:themeColor="text1"/>
        </w:rPr>
        <w:t>could also be modified to target IU in those experiencing paranoia / prodromal symptoms</w:t>
      </w:r>
      <w:r w:rsidRPr="03E8BD2E">
        <w:rPr>
          <w:rFonts w:ascii="Aptos" w:eastAsia="Aptos" w:hAnsi="Aptos" w:cs="Aptos"/>
          <w:color w:val="000000" w:themeColor="text1"/>
        </w:rPr>
        <w:t xml:space="preserve">. However, this hypothesis needs to be tested in future </w:t>
      </w:r>
      <w:r w:rsidR="01A6A3D4" w:rsidRPr="03E8BD2E">
        <w:rPr>
          <w:rFonts w:ascii="Aptos" w:eastAsia="Aptos" w:hAnsi="Aptos" w:cs="Aptos"/>
          <w:color w:val="000000" w:themeColor="text1"/>
        </w:rPr>
        <w:t xml:space="preserve">intervention </w:t>
      </w:r>
      <w:r w:rsidRPr="03E8BD2E">
        <w:rPr>
          <w:rFonts w:ascii="Aptos" w:eastAsia="Aptos" w:hAnsi="Aptos" w:cs="Aptos"/>
          <w:color w:val="000000" w:themeColor="text1"/>
        </w:rPr>
        <w:t>studies to determine whether reducing IU directly leads to a reduction in paranoia</w:t>
      </w:r>
      <w:r w:rsidR="13F2DE33" w:rsidRPr="03E8BD2E">
        <w:rPr>
          <w:rFonts w:ascii="Aptos" w:eastAsia="Aptos" w:hAnsi="Aptos" w:cs="Aptos"/>
          <w:color w:val="000000" w:themeColor="text1"/>
        </w:rPr>
        <w:t xml:space="preserve"> / prodromal symptoms and</w:t>
      </w:r>
      <w:r w:rsidR="5A15C79C" w:rsidRPr="03E8BD2E">
        <w:rPr>
          <w:rFonts w:ascii="Aptos" w:eastAsia="Aptos" w:hAnsi="Aptos" w:cs="Aptos"/>
          <w:color w:val="000000" w:themeColor="text1"/>
        </w:rPr>
        <w:t xml:space="preserve"> the</w:t>
      </w:r>
      <w:r w:rsidR="13F2DE33" w:rsidRPr="03E8BD2E">
        <w:rPr>
          <w:rFonts w:ascii="Aptos" w:eastAsia="Aptos" w:hAnsi="Aptos" w:cs="Aptos"/>
          <w:color w:val="000000" w:themeColor="text1"/>
        </w:rPr>
        <w:t xml:space="preserve"> prevention of psychotic episodes</w:t>
      </w:r>
      <w:r w:rsidRPr="03E8BD2E">
        <w:rPr>
          <w:rFonts w:ascii="Aptos" w:eastAsia="Aptos" w:hAnsi="Aptos" w:cs="Aptos"/>
          <w:color w:val="000000" w:themeColor="text1"/>
        </w:rPr>
        <w:t xml:space="preserve">. </w:t>
      </w:r>
    </w:p>
    <w:p w14:paraId="23CC8C30" w14:textId="6CA119F2" w:rsidR="77A8D69F" w:rsidRDefault="4ABA3051" w:rsidP="001B3723">
      <w:pPr>
        <w:spacing w:after="0" w:line="480" w:lineRule="auto"/>
        <w:ind w:firstLine="720"/>
        <w:rPr>
          <w:rFonts w:ascii="Aptos" w:eastAsia="Aptos" w:hAnsi="Aptos" w:cs="Aptos"/>
        </w:rPr>
      </w:pPr>
      <w:r w:rsidRPr="03E8BD2E">
        <w:rPr>
          <w:rFonts w:ascii="Aptos" w:eastAsia="Aptos" w:hAnsi="Aptos" w:cs="Aptos"/>
          <w:color w:val="000000" w:themeColor="text1"/>
        </w:rPr>
        <w:t>The study ha</w:t>
      </w:r>
      <w:r w:rsidR="62C342A5" w:rsidRPr="03E8BD2E">
        <w:rPr>
          <w:rFonts w:ascii="Aptos" w:eastAsia="Aptos" w:hAnsi="Aptos" w:cs="Aptos"/>
          <w:color w:val="000000" w:themeColor="text1"/>
        </w:rPr>
        <w:t>d</w:t>
      </w:r>
      <w:r w:rsidRPr="03E8BD2E">
        <w:rPr>
          <w:rFonts w:ascii="Aptos" w:eastAsia="Aptos" w:hAnsi="Aptos" w:cs="Aptos"/>
          <w:color w:val="000000" w:themeColor="text1"/>
        </w:rPr>
        <w:t xml:space="preserve"> several</w:t>
      </w:r>
      <w:r w:rsidR="72269B16" w:rsidRPr="03E8BD2E">
        <w:rPr>
          <w:rFonts w:ascii="Aptos" w:eastAsia="Aptos" w:hAnsi="Aptos" w:cs="Aptos"/>
          <w:color w:val="000000" w:themeColor="text1"/>
        </w:rPr>
        <w:t xml:space="preserve"> limitations. Firstly, the study </w:t>
      </w:r>
      <w:r w:rsidRPr="03E8BD2E">
        <w:rPr>
          <w:rFonts w:ascii="Aptos" w:eastAsia="Aptos" w:hAnsi="Aptos" w:cs="Aptos"/>
        </w:rPr>
        <w:t>employed a cross-sectional design, which prevents the establishment of causality</w:t>
      </w:r>
      <w:r w:rsidR="3919E6B5" w:rsidRPr="03E8BD2E">
        <w:rPr>
          <w:rFonts w:ascii="Aptos" w:eastAsia="Aptos" w:hAnsi="Aptos" w:cs="Aptos"/>
        </w:rPr>
        <w:t>. Secondly, the study</w:t>
      </w:r>
      <w:r w:rsidRPr="03E8BD2E">
        <w:rPr>
          <w:rFonts w:ascii="Aptos" w:eastAsia="Aptos" w:hAnsi="Aptos" w:cs="Aptos"/>
        </w:rPr>
        <w:t xml:space="preserve"> relied entirely on self-report measures.</w:t>
      </w:r>
      <w:r w:rsidR="17A0DEDE" w:rsidRPr="03E8BD2E">
        <w:rPr>
          <w:rFonts w:ascii="Aptos" w:eastAsia="Aptos" w:hAnsi="Aptos" w:cs="Aptos"/>
        </w:rPr>
        <w:t xml:space="preserve"> Further research </w:t>
      </w:r>
      <w:r w:rsidR="684F56A6" w:rsidRPr="03E8BD2E">
        <w:rPr>
          <w:rFonts w:ascii="Aptos" w:eastAsia="Aptos" w:hAnsi="Aptos" w:cs="Aptos"/>
        </w:rPr>
        <w:t xml:space="preserve">using experimental and longitudinal designs </w:t>
      </w:r>
      <w:r w:rsidR="17A0DEDE" w:rsidRPr="03E8BD2E">
        <w:rPr>
          <w:rFonts w:ascii="Aptos" w:eastAsia="Aptos" w:hAnsi="Aptos" w:cs="Aptos"/>
        </w:rPr>
        <w:t xml:space="preserve">should examine the extent to which IU may precede </w:t>
      </w:r>
      <w:r w:rsidR="143F6162" w:rsidRPr="03E8BD2E">
        <w:rPr>
          <w:rFonts w:ascii="Aptos" w:eastAsia="Aptos" w:hAnsi="Aptos" w:cs="Aptos"/>
        </w:rPr>
        <w:t xml:space="preserve">and maintain </w:t>
      </w:r>
      <w:r w:rsidR="17A0DEDE" w:rsidRPr="03E8BD2E">
        <w:rPr>
          <w:rFonts w:ascii="Aptos" w:eastAsia="Aptos" w:hAnsi="Aptos" w:cs="Aptos"/>
        </w:rPr>
        <w:t>paranoia / prodromal symptoms</w:t>
      </w:r>
      <w:r w:rsidR="635808D4" w:rsidRPr="03E8BD2E">
        <w:rPr>
          <w:rFonts w:ascii="Aptos" w:eastAsia="Aptos" w:hAnsi="Aptos" w:cs="Aptos"/>
        </w:rPr>
        <w:t xml:space="preserve">, and whether </w:t>
      </w:r>
      <w:r w:rsidR="49CA0B5D" w:rsidRPr="03E8BD2E">
        <w:rPr>
          <w:rFonts w:ascii="Aptos" w:eastAsia="Aptos" w:hAnsi="Aptos" w:cs="Aptos"/>
        </w:rPr>
        <w:t>altering IU leads to changes in paranoia / prodromal symptoms</w:t>
      </w:r>
      <w:r w:rsidR="17A0DEDE" w:rsidRPr="03E8BD2E">
        <w:rPr>
          <w:rFonts w:ascii="Aptos" w:eastAsia="Aptos" w:hAnsi="Aptos" w:cs="Aptos"/>
        </w:rPr>
        <w:t xml:space="preserve">. </w:t>
      </w:r>
      <w:r w:rsidR="005B7B12">
        <w:rPr>
          <w:rFonts w:ascii="Aptos" w:eastAsia="Aptos" w:hAnsi="Aptos" w:cs="Aptos"/>
        </w:rPr>
        <w:t xml:space="preserve">Thirdly, </w:t>
      </w:r>
      <w:proofErr w:type="spellStart"/>
      <w:r w:rsidR="005B7B12">
        <w:rPr>
          <w:rFonts w:ascii="Aptos" w:eastAsia="Aptos" w:hAnsi="Aptos" w:cs="Aptos"/>
        </w:rPr>
        <w:t>cronbach’s</w:t>
      </w:r>
      <w:proofErr w:type="spellEnd"/>
      <w:r w:rsidR="005B7B12">
        <w:rPr>
          <w:rFonts w:ascii="Aptos" w:eastAsia="Aptos" w:hAnsi="Aptos" w:cs="Aptos"/>
        </w:rPr>
        <w:t xml:space="preserve"> alpha for the </w:t>
      </w:r>
      <w:r w:rsidR="005B7B12">
        <w:rPr>
          <w:rFonts w:ascii="Aptos" w:eastAsia="Aptos" w:hAnsi="Aptos" w:cs="Aptos"/>
        </w:rPr>
        <w:lastRenderedPageBreak/>
        <w:t>jumping to conclusions bias</w:t>
      </w:r>
      <w:r w:rsidR="0044578F">
        <w:rPr>
          <w:rFonts w:ascii="Aptos" w:eastAsia="Aptos" w:hAnsi="Aptos" w:cs="Aptos"/>
        </w:rPr>
        <w:t xml:space="preserve"> subscale</w:t>
      </w:r>
      <w:r w:rsidR="005B7B12">
        <w:rPr>
          <w:rFonts w:ascii="Aptos" w:eastAsia="Aptos" w:hAnsi="Aptos" w:cs="Aptos"/>
        </w:rPr>
        <w:t xml:space="preserve"> was </w:t>
      </w:r>
      <w:r w:rsidR="00AC0ECC">
        <w:rPr>
          <w:rFonts w:ascii="Aptos" w:eastAsia="Aptos" w:hAnsi="Aptos" w:cs="Aptos"/>
        </w:rPr>
        <w:t>just below the acceptable level of 0.7,</w:t>
      </w:r>
      <w:r w:rsidR="00E0080D">
        <w:rPr>
          <w:rFonts w:ascii="Aptos" w:eastAsia="Aptos" w:hAnsi="Aptos" w:cs="Aptos"/>
        </w:rPr>
        <w:t xml:space="preserve"> such that we should interpret these findings cautiously.</w:t>
      </w:r>
      <w:r w:rsidR="00AC0ECC">
        <w:rPr>
          <w:rFonts w:ascii="Aptos" w:eastAsia="Aptos" w:hAnsi="Aptos" w:cs="Aptos"/>
        </w:rPr>
        <w:t xml:space="preserve"> </w:t>
      </w:r>
      <w:r w:rsidR="00E0080D">
        <w:rPr>
          <w:rFonts w:ascii="Aptos" w:eastAsia="Aptos" w:hAnsi="Aptos" w:cs="Aptos"/>
        </w:rPr>
        <w:t xml:space="preserve"> </w:t>
      </w:r>
      <w:r w:rsidR="00AC0ECC">
        <w:rPr>
          <w:rFonts w:ascii="Aptos" w:eastAsia="Aptos" w:hAnsi="Aptos" w:cs="Aptos"/>
        </w:rPr>
        <w:t>Finally</w:t>
      </w:r>
      <w:r w:rsidR="17A0DEDE" w:rsidRPr="03E8BD2E">
        <w:rPr>
          <w:rFonts w:ascii="Aptos" w:eastAsia="Aptos" w:hAnsi="Aptos" w:cs="Aptos"/>
        </w:rPr>
        <w:t>, the sample are limited to those from English speaking countries. Future research should replicate the</w:t>
      </w:r>
      <w:r w:rsidR="693AAAE7" w:rsidRPr="03E8BD2E">
        <w:rPr>
          <w:rFonts w:ascii="Aptos" w:eastAsia="Aptos" w:hAnsi="Aptos" w:cs="Aptos"/>
        </w:rPr>
        <w:t>se</w:t>
      </w:r>
      <w:r w:rsidR="17A0DEDE" w:rsidRPr="03E8BD2E">
        <w:rPr>
          <w:rFonts w:ascii="Aptos" w:eastAsia="Aptos" w:hAnsi="Aptos" w:cs="Aptos"/>
        </w:rPr>
        <w:t xml:space="preserve"> </w:t>
      </w:r>
      <w:r w:rsidR="17185698" w:rsidRPr="03E8BD2E">
        <w:rPr>
          <w:rFonts w:ascii="Aptos" w:eastAsia="Aptos" w:hAnsi="Aptos" w:cs="Aptos"/>
        </w:rPr>
        <w:t xml:space="preserve">findings in </w:t>
      </w:r>
      <w:r w:rsidR="5D4AE9AF" w:rsidRPr="03E8BD2E">
        <w:rPr>
          <w:rFonts w:ascii="Aptos" w:eastAsia="Aptos" w:hAnsi="Aptos" w:cs="Aptos"/>
        </w:rPr>
        <w:t>diverse samples</w:t>
      </w:r>
      <w:r w:rsidR="00CE5EB2">
        <w:rPr>
          <w:rFonts w:ascii="Aptos" w:eastAsia="Aptos" w:hAnsi="Aptos" w:cs="Aptos"/>
        </w:rPr>
        <w:t xml:space="preserve"> to fully understand generalisability</w:t>
      </w:r>
      <w:r w:rsidR="17185698" w:rsidRPr="03E8BD2E">
        <w:rPr>
          <w:rFonts w:ascii="Aptos" w:eastAsia="Aptos" w:hAnsi="Aptos" w:cs="Aptos"/>
        </w:rPr>
        <w:t>.</w:t>
      </w:r>
      <w:r w:rsidR="17A0DEDE" w:rsidRPr="03E8BD2E">
        <w:rPr>
          <w:rFonts w:ascii="Aptos" w:eastAsia="Aptos" w:hAnsi="Aptos" w:cs="Aptos"/>
        </w:rPr>
        <w:t xml:space="preserve"> </w:t>
      </w:r>
    </w:p>
    <w:p w14:paraId="3000650A" w14:textId="3E42AFFE" w:rsidR="77A8D69F" w:rsidRPr="00CE5EB2" w:rsidRDefault="5381C449" w:rsidP="001B3723">
      <w:pPr>
        <w:spacing w:after="0" w:line="480" w:lineRule="auto"/>
        <w:ind w:firstLine="720"/>
        <w:rPr>
          <w:rFonts w:ascii="Aptos" w:eastAsia="Aptos" w:hAnsi="Aptos" w:cs="Aptos"/>
          <w:color w:val="000000" w:themeColor="text1"/>
        </w:rPr>
      </w:pPr>
      <w:r w:rsidRPr="03E8BD2E">
        <w:rPr>
          <w:rFonts w:ascii="Aptos" w:eastAsia="Aptos" w:hAnsi="Aptos" w:cs="Aptos"/>
          <w:color w:val="000000" w:themeColor="text1"/>
        </w:rPr>
        <w:t>Overall, th</w:t>
      </w:r>
      <w:r w:rsidR="60C51220" w:rsidRPr="03E8BD2E">
        <w:rPr>
          <w:rFonts w:ascii="Aptos" w:eastAsia="Aptos" w:hAnsi="Aptos" w:cs="Aptos"/>
          <w:color w:val="000000" w:themeColor="text1"/>
        </w:rPr>
        <w:t>is study</w:t>
      </w:r>
      <w:r w:rsidRPr="03E8BD2E">
        <w:rPr>
          <w:rFonts w:ascii="Aptos" w:eastAsia="Aptos" w:hAnsi="Aptos" w:cs="Aptos"/>
          <w:color w:val="000000" w:themeColor="text1"/>
        </w:rPr>
        <w:t xml:space="preserve"> demonstrate</w:t>
      </w:r>
      <w:r w:rsidR="0997ABA9" w:rsidRPr="03E8BD2E">
        <w:rPr>
          <w:rFonts w:ascii="Aptos" w:eastAsia="Aptos" w:hAnsi="Aptos" w:cs="Aptos"/>
          <w:color w:val="000000" w:themeColor="text1"/>
        </w:rPr>
        <w:t>s</w:t>
      </w:r>
      <w:r w:rsidRPr="03E8BD2E">
        <w:rPr>
          <w:rFonts w:ascii="Aptos" w:eastAsia="Aptos" w:hAnsi="Aptos" w:cs="Aptos"/>
          <w:color w:val="000000" w:themeColor="text1"/>
        </w:rPr>
        <w:t xml:space="preserve"> that </w:t>
      </w:r>
      <w:r w:rsidR="48500F6E" w:rsidRPr="03E8BD2E">
        <w:rPr>
          <w:rFonts w:ascii="Aptos" w:eastAsia="Aptos" w:hAnsi="Aptos" w:cs="Aptos"/>
          <w:color w:val="000000" w:themeColor="text1"/>
        </w:rPr>
        <w:t xml:space="preserve">the </w:t>
      </w:r>
      <w:r w:rsidRPr="03E8BD2E">
        <w:rPr>
          <w:rFonts w:ascii="Aptos" w:eastAsia="Aptos" w:hAnsi="Aptos" w:cs="Aptos"/>
          <w:color w:val="000000" w:themeColor="text1"/>
        </w:rPr>
        <w:t xml:space="preserve">relationship between IU and paranoia / prodromal symptoms </w:t>
      </w:r>
      <w:r w:rsidR="62FAC9D2" w:rsidRPr="03E8BD2E">
        <w:rPr>
          <w:rFonts w:ascii="Aptos" w:eastAsia="Aptos" w:hAnsi="Aptos" w:cs="Aptos"/>
          <w:color w:val="000000" w:themeColor="text1"/>
        </w:rPr>
        <w:t>is</w:t>
      </w:r>
      <w:r w:rsidRPr="03E8BD2E">
        <w:rPr>
          <w:rFonts w:ascii="Aptos" w:eastAsia="Aptos" w:hAnsi="Aptos" w:cs="Aptos"/>
          <w:color w:val="000000" w:themeColor="text1"/>
        </w:rPr>
        <w:t xml:space="preserve"> </w:t>
      </w:r>
      <w:r w:rsidR="057F0E0F" w:rsidRPr="03E8BD2E">
        <w:rPr>
          <w:rFonts w:ascii="Aptos" w:eastAsia="Aptos" w:hAnsi="Aptos" w:cs="Aptos"/>
          <w:color w:val="000000" w:themeColor="text1"/>
        </w:rPr>
        <w:t xml:space="preserve">transdiagnostic across SSD, anxiety disorders, and non-clinical </w:t>
      </w:r>
      <w:r w:rsidR="0BC28E4B" w:rsidRPr="03E8BD2E">
        <w:rPr>
          <w:rFonts w:ascii="Aptos" w:eastAsia="Aptos" w:hAnsi="Aptos" w:cs="Aptos"/>
          <w:color w:val="000000" w:themeColor="text1"/>
        </w:rPr>
        <w:t>samples. Moreover, these relationships are unique, over and ab</w:t>
      </w:r>
      <w:r w:rsidR="5E163222" w:rsidRPr="03E8BD2E">
        <w:rPr>
          <w:rFonts w:ascii="Aptos" w:eastAsia="Aptos" w:hAnsi="Aptos" w:cs="Aptos"/>
          <w:color w:val="000000" w:themeColor="text1"/>
        </w:rPr>
        <w:t xml:space="preserve">ove neuroticism, and to some extent the jumping to conclusions bias. </w:t>
      </w:r>
      <w:r w:rsidRPr="03E8BD2E">
        <w:rPr>
          <w:rFonts w:ascii="Aptos" w:eastAsia="Aptos" w:hAnsi="Aptos" w:cs="Aptos"/>
          <w:color w:val="000000" w:themeColor="text1"/>
        </w:rPr>
        <w:t>Fu</w:t>
      </w:r>
      <w:r w:rsidR="43B8D678" w:rsidRPr="03E8BD2E">
        <w:rPr>
          <w:rFonts w:ascii="Aptos" w:eastAsia="Aptos" w:hAnsi="Aptos" w:cs="Aptos"/>
          <w:color w:val="000000" w:themeColor="text1"/>
        </w:rPr>
        <w:t xml:space="preserve">rther research </w:t>
      </w:r>
      <w:r w:rsidRPr="03E8BD2E">
        <w:rPr>
          <w:rFonts w:ascii="Aptos" w:eastAsia="Aptos" w:hAnsi="Aptos" w:cs="Aptos"/>
          <w:color w:val="000000" w:themeColor="text1"/>
        </w:rPr>
        <w:t>using both experimental and longitudinal designs</w:t>
      </w:r>
      <w:r w:rsidR="0AA30127" w:rsidRPr="03E8BD2E">
        <w:rPr>
          <w:rFonts w:ascii="Aptos" w:eastAsia="Aptos" w:hAnsi="Aptos" w:cs="Aptos"/>
          <w:color w:val="000000" w:themeColor="text1"/>
        </w:rPr>
        <w:t xml:space="preserve"> is required to determine how IU contributes to paranoia / prodromal symptoms</w:t>
      </w:r>
      <w:r w:rsidR="4C4C170D" w:rsidRPr="03E8BD2E">
        <w:rPr>
          <w:rFonts w:ascii="Aptos" w:eastAsia="Aptos" w:hAnsi="Aptos" w:cs="Aptos"/>
          <w:color w:val="000000" w:themeColor="text1"/>
        </w:rPr>
        <w:t>, and whether targeting IU can alter paranoia / prodromal symptoms.</w:t>
      </w:r>
    </w:p>
    <w:p w14:paraId="0382FD94" w14:textId="540580CA" w:rsidR="00D023E7" w:rsidRPr="00C31A83" w:rsidRDefault="0B266A6C" w:rsidP="001B3723">
      <w:pPr>
        <w:spacing w:after="0" w:line="480" w:lineRule="auto"/>
        <w:jc w:val="center"/>
        <w:rPr>
          <w:rFonts w:ascii="Aptos" w:eastAsia="Aptos" w:hAnsi="Aptos" w:cs="Aptos"/>
          <w:b/>
          <w:bCs/>
        </w:rPr>
      </w:pPr>
      <w:r w:rsidRPr="30EC08DA">
        <w:rPr>
          <w:rFonts w:ascii="Aptos" w:eastAsia="Aptos" w:hAnsi="Aptos" w:cs="Aptos"/>
          <w:b/>
          <w:bCs/>
        </w:rPr>
        <w:t>References</w:t>
      </w:r>
    </w:p>
    <w:p w14:paraId="6B1DA81D" w14:textId="1A0C5994" w:rsidR="075BD6F2" w:rsidRDefault="2EA4616B" w:rsidP="001B3723">
      <w:pPr>
        <w:spacing w:after="0" w:line="480" w:lineRule="auto"/>
        <w:ind w:left="720" w:hanging="720"/>
        <w:rPr>
          <w:rFonts w:ascii="Aptos" w:eastAsia="Aptos" w:hAnsi="Aptos" w:cs="Aptos"/>
          <w:lang w:val="en-US"/>
        </w:rPr>
      </w:pPr>
      <w:r w:rsidRPr="77A8D69F">
        <w:rPr>
          <w:rFonts w:ascii="Aptos" w:eastAsia="Aptos" w:hAnsi="Aptos" w:cs="Aptos"/>
          <w:lang w:val="en-US"/>
        </w:rPr>
        <w:t xml:space="preserve">Barrantes-Vidal, N., Ros-Morente, A., &amp; </w:t>
      </w:r>
      <w:proofErr w:type="spellStart"/>
      <w:r w:rsidRPr="77A8D69F">
        <w:rPr>
          <w:rFonts w:ascii="Aptos" w:eastAsia="Aptos" w:hAnsi="Aptos" w:cs="Aptos"/>
          <w:lang w:val="en-US"/>
        </w:rPr>
        <w:t>Kwapil</w:t>
      </w:r>
      <w:proofErr w:type="spellEnd"/>
      <w:r w:rsidRPr="77A8D69F">
        <w:rPr>
          <w:rFonts w:ascii="Aptos" w:eastAsia="Aptos" w:hAnsi="Aptos" w:cs="Aptos"/>
          <w:lang w:val="en-US"/>
        </w:rPr>
        <w:t xml:space="preserve">, T. R. (2009). An examination of neuroticism as a moderating factor in the association of positive and negative schizotypy with psychopathology in a nonclinical sample. </w:t>
      </w:r>
      <w:r w:rsidRPr="77A8D69F">
        <w:rPr>
          <w:rFonts w:ascii="Aptos" w:eastAsia="Aptos" w:hAnsi="Aptos" w:cs="Aptos"/>
          <w:i/>
          <w:iCs/>
          <w:lang w:val="en-US"/>
        </w:rPr>
        <w:t>Schizophrenia Research</w:t>
      </w:r>
      <w:r w:rsidRPr="77A8D69F">
        <w:rPr>
          <w:rFonts w:ascii="Aptos" w:eastAsia="Aptos" w:hAnsi="Aptos" w:cs="Aptos"/>
          <w:lang w:val="en-US"/>
        </w:rPr>
        <w:t xml:space="preserve">, </w:t>
      </w:r>
      <w:r w:rsidRPr="77A8D69F">
        <w:rPr>
          <w:rFonts w:ascii="Aptos" w:eastAsia="Aptos" w:hAnsi="Aptos" w:cs="Aptos"/>
          <w:i/>
          <w:iCs/>
          <w:lang w:val="en-US"/>
        </w:rPr>
        <w:t>115</w:t>
      </w:r>
      <w:r w:rsidRPr="77A8D69F">
        <w:rPr>
          <w:rFonts w:ascii="Aptos" w:eastAsia="Aptos" w:hAnsi="Aptos" w:cs="Aptos"/>
          <w:lang w:val="en-US"/>
        </w:rPr>
        <w:t>(2-3), 303-309.</w:t>
      </w:r>
    </w:p>
    <w:p w14:paraId="1D7E29C7" w14:textId="689F367B" w:rsidR="7ADDAE51" w:rsidRDefault="7ADDAE51" w:rsidP="001B3723">
      <w:pPr>
        <w:spacing w:after="0" w:line="480" w:lineRule="auto"/>
        <w:ind w:left="720" w:hanging="720"/>
        <w:rPr>
          <w:rFonts w:ascii="Aptos" w:eastAsia="Aptos" w:hAnsi="Aptos" w:cs="Aptos"/>
          <w:lang w:val="en-US"/>
        </w:rPr>
      </w:pPr>
      <w:r w:rsidRPr="77A8D69F">
        <w:rPr>
          <w:rFonts w:ascii="Aptos" w:eastAsia="Aptos" w:hAnsi="Aptos" w:cs="Aptos"/>
          <w:lang w:val="en-US"/>
        </w:rPr>
        <w:t xml:space="preserve">Berenbaum, H., &amp; Fujita, F. (1994). Schizophrenia and personality: exploring the boundaries and connections between vulnerability and outcome. </w:t>
      </w:r>
      <w:r w:rsidRPr="77A8D69F">
        <w:rPr>
          <w:rFonts w:ascii="Aptos" w:eastAsia="Aptos" w:hAnsi="Aptos" w:cs="Aptos"/>
          <w:i/>
          <w:iCs/>
          <w:lang w:val="en-US"/>
        </w:rPr>
        <w:t>Journal of Abnormal Psychology</w:t>
      </w:r>
      <w:r w:rsidRPr="77A8D69F">
        <w:rPr>
          <w:rFonts w:ascii="Aptos" w:eastAsia="Aptos" w:hAnsi="Aptos" w:cs="Aptos"/>
          <w:lang w:val="en-US"/>
        </w:rPr>
        <w:t xml:space="preserve">, </w:t>
      </w:r>
      <w:r w:rsidRPr="77A8D69F">
        <w:rPr>
          <w:rFonts w:ascii="Aptos" w:eastAsia="Aptos" w:hAnsi="Aptos" w:cs="Aptos"/>
          <w:i/>
          <w:iCs/>
          <w:lang w:val="en-US"/>
        </w:rPr>
        <w:t>103</w:t>
      </w:r>
      <w:r w:rsidRPr="77A8D69F">
        <w:rPr>
          <w:rFonts w:ascii="Aptos" w:eastAsia="Aptos" w:hAnsi="Aptos" w:cs="Aptos"/>
          <w:lang w:val="en-US"/>
        </w:rPr>
        <w:t>(1), 148.</w:t>
      </w:r>
    </w:p>
    <w:p w14:paraId="45A2184C" w14:textId="275B471F" w:rsidR="00D5D2D9" w:rsidRDefault="00D5D2D9" w:rsidP="001B3723">
      <w:pPr>
        <w:spacing w:after="0" w:line="480" w:lineRule="auto"/>
        <w:ind w:left="720" w:hanging="720"/>
        <w:rPr>
          <w:rFonts w:ascii="Aptos" w:eastAsia="Aptos" w:hAnsi="Aptos" w:cs="Aptos"/>
          <w:lang w:val="en-US"/>
        </w:rPr>
      </w:pPr>
      <w:r w:rsidRPr="28D42152">
        <w:rPr>
          <w:rFonts w:ascii="Aptos" w:eastAsia="Aptos" w:hAnsi="Aptos" w:cs="Aptos"/>
          <w:lang w:val="en-US"/>
        </w:rPr>
        <w:t xml:space="preserve">Braga, R. J., Reynolds, G. P., &amp; Siris, S. G. (2013). Anxiety comorbidity in schizophrenia. </w:t>
      </w:r>
      <w:r w:rsidRPr="28D42152">
        <w:rPr>
          <w:rFonts w:ascii="Aptos" w:eastAsia="Aptos" w:hAnsi="Aptos" w:cs="Aptos"/>
          <w:i/>
          <w:iCs/>
          <w:lang w:val="en-US"/>
        </w:rPr>
        <w:t>Psychiatry Research</w:t>
      </w:r>
      <w:r w:rsidRPr="28D42152">
        <w:rPr>
          <w:rFonts w:ascii="Aptos" w:eastAsia="Aptos" w:hAnsi="Aptos" w:cs="Aptos"/>
          <w:lang w:val="en-US"/>
        </w:rPr>
        <w:t xml:space="preserve">, </w:t>
      </w:r>
      <w:r w:rsidRPr="28D42152">
        <w:rPr>
          <w:rFonts w:ascii="Aptos" w:eastAsia="Aptos" w:hAnsi="Aptos" w:cs="Aptos"/>
          <w:i/>
          <w:iCs/>
          <w:lang w:val="en-US"/>
        </w:rPr>
        <w:t>210</w:t>
      </w:r>
      <w:r w:rsidRPr="28D42152">
        <w:rPr>
          <w:rFonts w:ascii="Aptos" w:eastAsia="Aptos" w:hAnsi="Aptos" w:cs="Aptos"/>
          <w:lang w:val="en-US"/>
        </w:rPr>
        <w:t>(1), 1-7.</w:t>
      </w:r>
    </w:p>
    <w:p w14:paraId="1754DCA9" w14:textId="4DA9E295" w:rsidR="1D8B544D" w:rsidRDefault="330B1A25" w:rsidP="001B3723">
      <w:pPr>
        <w:spacing w:after="0" w:line="480" w:lineRule="auto"/>
        <w:ind w:left="720" w:hanging="720"/>
        <w:rPr>
          <w:rFonts w:ascii="Aptos" w:eastAsia="Aptos" w:hAnsi="Aptos" w:cs="Aptos"/>
          <w:lang w:val="en-US"/>
        </w:rPr>
      </w:pPr>
      <w:r w:rsidRPr="28D42152">
        <w:rPr>
          <w:rFonts w:ascii="Aptos" w:eastAsia="Aptos" w:hAnsi="Aptos" w:cs="Aptos"/>
          <w:lang w:val="en-US"/>
        </w:rPr>
        <w:t xml:space="preserve">Bredemeier, K., McCole, K., Luther, L., Beck, A. T., &amp; Grant, P. M. (2019). Reliability and validity of a brief version of the intolerance of uncertainty scale in outpatients with psychosis. </w:t>
      </w:r>
      <w:r w:rsidRPr="28D42152">
        <w:rPr>
          <w:rFonts w:ascii="Aptos" w:eastAsia="Aptos" w:hAnsi="Aptos" w:cs="Aptos"/>
          <w:i/>
          <w:iCs/>
          <w:lang w:val="en-US"/>
        </w:rPr>
        <w:t>Journal of Psychopathology and Behavioral Assessment</w:t>
      </w:r>
      <w:r w:rsidRPr="28D42152">
        <w:rPr>
          <w:rFonts w:ascii="Aptos" w:eastAsia="Aptos" w:hAnsi="Aptos" w:cs="Aptos"/>
          <w:lang w:val="en-US"/>
        </w:rPr>
        <w:t xml:space="preserve">, </w:t>
      </w:r>
      <w:r w:rsidRPr="28D42152">
        <w:rPr>
          <w:rFonts w:ascii="Aptos" w:eastAsia="Aptos" w:hAnsi="Aptos" w:cs="Aptos"/>
          <w:i/>
          <w:iCs/>
          <w:lang w:val="en-US"/>
        </w:rPr>
        <w:t>41</w:t>
      </w:r>
      <w:r w:rsidRPr="28D42152">
        <w:rPr>
          <w:rFonts w:ascii="Aptos" w:eastAsia="Aptos" w:hAnsi="Aptos" w:cs="Aptos"/>
          <w:lang w:val="en-US"/>
        </w:rPr>
        <w:t>, 221-234.</w:t>
      </w:r>
    </w:p>
    <w:p w14:paraId="608F4B2C" w14:textId="1C0E186A" w:rsidR="327B5135" w:rsidRDefault="327B5135" w:rsidP="001B3723">
      <w:pPr>
        <w:spacing w:after="0" w:line="480" w:lineRule="auto"/>
        <w:ind w:left="720" w:hanging="720"/>
        <w:rPr>
          <w:rFonts w:ascii="Aptos" w:eastAsia="Aptos" w:hAnsi="Aptos" w:cs="Aptos"/>
          <w:lang w:val="en-US"/>
        </w:rPr>
      </w:pPr>
      <w:r w:rsidRPr="28D42152">
        <w:rPr>
          <w:rFonts w:ascii="Aptos" w:eastAsia="Aptos" w:hAnsi="Aptos" w:cs="Aptos"/>
          <w:lang w:val="en-US"/>
        </w:rPr>
        <w:t xml:space="preserve">Broome, M. R., Johns, L. C., Valli, I., Woolley, J. B., Tabraham, P., Brett, C., ... &amp; McGuire, P. K. (2007). Delusion formation and reasoning biases in those at clinical high risk for psychosis. </w:t>
      </w:r>
      <w:r w:rsidRPr="28D42152">
        <w:rPr>
          <w:rFonts w:ascii="Aptos" w:eastAsia="Aptos" w:hAnsi="Aptos" w:cs="Aptos"/>
          <w:i/>
          <w:iCs/>
          <w:lang w:val="en-US"/>
        </w:rPr>
        <w:t>The British Journal of Psychiatry</w:t>
      </w:r>
      <w:r w:rsidRPr="28D42152">
        <w:rPr>
          <w:rFonts w:ascii="Aptos" w:eastAsia="Aptos" w:hAnsi="Aptos" w:cs="Aptos"/>
          <w:lang w:val="en-US"/>
        </w:rPr>
        <w:t xml:space="preserve">, </w:t>
      </w:r>
      <w:r w:rsidRPr="28D42152">
        <w:rPr>
          <w:rFonts w:ascii="Aptos" w:eastAsia="Aptos" w:hAnsi="Aptos" w:cs="Aptos"/>
          <w:i/>
          <w:iCs/>
          <w:lang w:val="en-US"/>
        </w:rPr>
        <w:t>191</w:t>
      </w:r>
      <w:r w:rsidRPr="28D42152">
        <w:rPr>
          <w:rFonts w:ascii="Aptos" w:eastAsia="Aptos" w:hAnsi="Aptos" w:cs="Aptos"/>
          <w:lang w:val="en-US"/>
        </w:rPr>
        <w:t>(S51), s38-s42.</w:t>
      </w:r>
    </w:p>
    <w:p w14:paraId="49AF6D62" w14:textId="7625912B" w:rsidR="00D023E7" w:rsidRPr="00C31A83" w:rsidRDefault="5A8786C3" w:rsidP="001B3723">
      <w:pPr>
        <w:spacing w:after="0" w:line="480" w:lineRule="auto"/>
        <w:ind w:left="720" w:hanging="720"/>
        <w:rPr>
          <w:rFonts w:ascii="Aptos" w:eastAsia="Aptos" w:hAnsi="Aptos" w:cs="Aptos"/>
          <w:lang w:val="en-US"/>
        </w:rPr>
      </w:pPr>
      <w:r w:rsidRPr="30EC08DA">
        <w:rPr>
          <w:rFonts w:ascii="Aptos" w:eastAsia="Aptos" w:hAnsi="Aptos" w:cs="Aptos"/>
          <w:lang w:val="en-US"/>
        </w:rPr>
        <w:lastRenderedPageBreak/>
        <w:t xml:space="preserve">Carleton, R. N. (2016a). Fear of the unknown: One fear to rule them all? </w:t>
      </w:r>
      <w:r w:rsidRPr="30EC08DA">
        <w:rPr>
          <w:rFonts w:ascii="Aptos" w:eastAsia="Aptos" w:hAnsi="Aptos" w:cs="Aptos"/>
          <w:i/>
          <w:iCs/>
          <w:lang w:val="en-US"/>
        </w:rPr>
        <w:t>Journal of Anxiety Disorders, 41</w:t>
      </w:r>
      <w:r w:rsidRPr="30EC08DA">
        <w:rPr>
          <w:rFonts w:ascii="Aptos" w:eastAsia="Aptos" w:hAnsi="Aptos" w:cs="Aptos"/>
          <w:lang w:val="en-US"/>
        </w:rPr>
        <w:t>, 5-21.</w:t>
      </w:r>
    </w:p>
    <w:p w14:paraId="3F76C36E" w14:textId="7927C274" w:rsidR="00D023E7" w:rsidRPr="00C31A83" w:rsidRDefault="5A8786C3" w:rsidP="001B3723">
      <w:pPr>
        <w:spacing w:after="0" w:line="480" w:lineRule="auto"/>
        <w:ind w:left="720" w:hanging="720"/>
        <w:rPr>
          <w:rFonts w:ascii="Aptos" w:eastAsia="Aptos" w:hAnsi="Aptos" w:cs="Aptos"/>
          <w:lang w:val="en-US"/>
        </w:rPr>
      </w:pPr>
      <w:r w:rsidRPr="30EC08DA">
        <w:rPr>
          <w:rFonts w:ascii="Aptos" w:eastAsia="Aptos" w:hAnsi="Aptos" w:cs="Aptos"/>
          <w:lang w:val="en-US"/>
        </w:rPr>
        <w:t xml:space="preserve">Carleton, R. N. (2016b). Into the unknown: A review and synthesis of contemporary models involving uncertainty. </w:t>
      </w:r>
      <w:r w:rsidRPr="30EC08DA">
        <w:rPr>
          <w:rFonts w:ascii="Aptos" w:eastAsia="Aptos" w:hAnsi="Aptos" w:cs="Aptos"/>
          <w:i/>
          <w:iCs/>
          <w:lang w:val="en-US"/>
        </w:rPr>
        <w:t>Journal of Anxiety Disorders, 39</w:t>
      </w:r>
      <w:r w:rsidRPr="30EC08DA">
        <w:rPr>
          <w:rFonts w:ascii="Aptos" w:eastAsia="Aptos" w:hAnsi="Aptos" w:cs="Aptos"/>
          <w:lang w:val="en-US"/>
        </w:rPr>
        <w:t>, 30-43.</w:t>
      </w:r>
    </w:p>
    <w:p w14:paraId="0A8790C4" w14:textId="2B326E8F" w:rsidR="00D023E7" w:rsidRPr="00C31A83" w:rsidRDefault="11A900CB" w:rsidP="001B3723">
      <w:pPr>
        <w:spacing w:after="0" w:line="480" w:lineRule="auto"/>
        <w:ind w:left="720" w:hanging="720"/>
        <w:rPr>
          <w:rFonts w:ascii="Aptos" w:eastAsia="Aptos" w:hAnsi="Aptos" w:cs="Aptos"/>
          <w:lang w:val="en-US"/>
        </w:rPr>
      </w:pPr>
      <w:r w:rsidRPr="77A8D69F">
        <w:rPr>
          <w:rFonts w:ascii="Aptos" w:eastAsia="Aptos" w:hAnsi="Aptos" w:cs="Aptos"/>
          <w:lang w:val="en-US"/>
        </w:rPr>
        <w:t xml:space="preserve">Carleton, R. N., </w:t>
      </w:r>
      <w:proofErr w:type="spellStart"/>
      <w:r w:rsidRPr="77A8D69F">
        <w:rPr>
          <w:rFonts w:ascii="Aptos" w:eastAsia="Aptos" w:hAnsi="Aptos" w:cs="Aptos"/>
          <w:lang w:val="en-US"/>
        </w:rPr>
        <w:t>Mulvogue</w:t>
      </w:r>
      <w:proofErr w:type="spellEnd"/>
      <w:r w:rsidRPr="77A8D69F">
        <w:rPr>
          <w:rFonts w:ascii="Aptos" w:eastAsia="Aptos" w:hAnsi="Aptos" w:cs="Aptos"/>
          <w:lang w:val="en-US"/>
        </w:rPr>
        <w:t xml:space="preserve">, M. K., Thibodeau, M. A., McCabe, R. E., Antony, M. M., &amp; Asmundson, G. J. (2012). Increasingly certain about uncertainty: Intolerance of uncertainty across anxiety and depression. </w:t>
      </w:r>
      <w:r w:rsidRPr="77A8D69F">
        <w:rPr>
          <w:rFonts w:ascii="Aptos" w:eastAsia="Aptos" w:hAnsi="Aptos" w:cs="Aptos"/>
          <w:i/>
          <w:iCs/>
          <w:lang w:val="en-US"/>
        </w:rPr>
        <w:t>Journal of Anxiety Disorders, 26</w:t>
      </w:r>
      <w:r w:rsidRPr="77A8D69F">
        <w:rPr>
          <w:rFonts w:ascii="Aptos" w:eastAsia="Aptos" w:hAnsi="Aptos" w:cs="Aptos"/>
          <w:lang w:val="en-US"/>
        </w:rPr>
        <w:t>(3), 468-479.</w:t>
      </w:r>
    </w:p>
    <w:p w14:paraId="18EB9BDF" w14:textId="24DC7CF8" w:rsidR="36F97742" w:rsidRDefault="36F97742" w:rsidP="001B3723">
      <w:pPr>
        <w:spacing w:after="0" w:line="480" w:lineRule="auto"/>
        <w:ind w:left="720" w:hanging="720"/>
        <w:rPr>
          <w:rFonts w:ascii="Aptos" w:eastAsia="Aptos" w:hAnsi="Aptos" w:cs="Aptos"/>
          <w:lang w:val="en-US"/>
        </w:rPr>
      </w:pPr>
      <w:r w:rsidRPr="77A8D69F">
        <w:rPr>
          <w:rFonts w:ascii="Aptos" w:eastAsia="Aptos" w:hAnsi="Aptos" w:cs="Aptos"/>
          <w:lang w:val="en-US"/>
        </w:rPr>
        <w:t xml:space="preserve">Clark, L. A., Watson, D., &amp; Mineka, S. (1994). Temperament, personality, and the mood and anxiety disorders. </w:t>
      </w:r>
      <w:r w:rsidRPr="77A8D69F">
        <w:rPr>
          <w:rFonts w:ascii="Aptos" w:eastAsia="Aptos" w:hAnsi="Aptos" w:cs="Aptos"/>
          <w:i/>
          <w:iCs/>
          <w:lang w:val="en-US"/>
        </w:rPr>
        <w:t>Journal of Abnormal Psychology</w:t>
      </w:r>
      <w:r w:rsidRPr="77A8D69F">
        <w:rPr>
          <w:rFonts w:ascii="Aptos" w:eastAsia="Aptos" w:hAnsi="Aptos" w:cs="Aptos"/>
          <w:lang w:val="en-US"/>
        </w:rPr>
        <w:t xml:space="preserve">, </w:t>
      </w:r>
      <w:r w:rsidRPr="77A8D69F">
        <w:rPr>
          <w:rFonts w:ascii="Aptos" w:eastAsia="Aptos" w:hAnsi="Aptos" w:cs="Aptos"/>
          <w:i/>
          <w:iCs/>
          <w:lang w:val="en-US"/>
        </w:rPr>
        <w:t>103</w:t>
      </w:r>
      <w:r w:rsidRPr="77A8D69F">
        <w:rPr>
          <w:rFonts w:ascii="Aptos" w:eastAsia="Aptos" w:hAnsi="Aptos" w:cs="Aptos"/>
          <w:lang w:val="en-US"/>
        </w:rPr>
        <w:t>(1), 103.</w:t>
      </w:r>
    </w:p>
    <w:p w14:paraId="15BE0B3C" w14:textId="7B7F0733" w:rsidR="00D023E7" w:rsidRPr="00C31A83" w:rsidRDefault="5A8786C3" w:rsidP="001B3723">
      <w:pPr>
        <w:spacing w:after="0" w:line="480" w:lineRule="auto"/>
        <w:ind w:left="720" w:hanging="720"/>
        <w:rPr>
          <w:rFonts w:ascii="Aptos" w:eastAsia="Aptos" w:hAnsi="Aptos" w:cs="Aptos"/>
          <w:lang w:val="en-US"/>
        </w:rPr>
      </w:pPr>
      <w:r w:rsidRPr="77A8D69F">
        <w:rPr>
          <w:rFonts w:ascii="Aptos" w:eastAsia="Aptos" w:hAnsi="Aptos" w:cs="Aptos"/>
          <w:lang w:val="en-US"/>
        </w:rPr>
        <w:t xml:space="preserve">Cupid, J., Stewart, K. E., </w:t>
      </w:r>
      <w:proofErr w:type="spellStart"/>
      <w:r w:rsidRPr="77A8D69F">
        <w:rPr>
          <w:rFonts w:ascii="Aptos" w:eastAsia="Aptos" w:hAnsi="Aptos" w:cs="Aptos"/>
          <w:lang w:val="en-US"/>
        </w:rPr>
        <w:t>Sumantry</w:t>
      </w:r>
      <w:proofErr w:type="spellEnd"/>
      <w:r w:rsidRPr="77A8D69F">
        <w:rPr>
          <w:rFonts w:ascii="Aptos" w:eastAsia="Aptos" w:hAnsi="Aptos" w:cs="Aptos"/>
          <w:lang w:val="en-US"/>
        </w:rPr>
        <w:t xml:space="preserve">, D., &amp; Koerner, N. (2021). Feeling safe: Judgements of safety and anxiety as a function of worry and intolerance of uncertainty. </w:t>
      </w:r>
      <w:proofErr w:type="spellStart"/>
      <w:r w:rsidRPr="77A8D69F">
        <w:rPr>
          <w:rFonts w:ascii="Aptos" w:eastAsia="Aptos" w:hAnsi="Aptos" w:cs="Aptos"/>
          <w:i/>
          <w:iCs/>
          <w:lang w:val="en-US"/>
        </w:rPr>
        <w:t>Behaviour</w:t>
      </w:r>
      <w:proofErr w:type="spellEnd"/>
      <w:r w:rsidRPr="77A8D69F">
        <w:rPr>
          <w:rFonts w:ascii="Aptos" w:eastAsia="Aptos" w:hAnsi="Aptos" w:cs="Aptos"/>
          <w:i/>
          <w:iCs/>
          <w:lang w:val="en-US"/>
        </w:rPr>
        <w:t xml:space="preserve"> </w:t>
      </w:r>
      <w:r w:rsidR="7FCBA145" w:rsidRPr="77A8D69F">
        <w:rPr>
          <w:rFonts w:ascii="Aptos" w:eastAsia="Aptos" w:hAnsi="Aptos" w:cs="Aptos"/>
          <w:i/>
          <w:iCs/>
          <w:lang w:val="en-US"/>
        </w:rPr>
        <w:t>R</w:t>
      </w:r>
      <w:r w:rsidRPr="77A8D69F">
        <w:rPr>
          <w:rFonts w:ascii="Aptos" w:eastAsia="Aptos" w:hAnsi="Aptos" w:cs="Aptos"/>
          <w:i/>
          <w:iCs/>
          <w:lang w:val="en-US"/>
        </w:rPr>
        <w:t xml:space="preserve">esearch and </w:t>
      </w:r>
      <w:r w:rsidR="2154AE52" w:rsidRPr="77A8D69F">
        <w:rPr>
          <w:rFonts w:ascii="Aptos" w:eastAsia="Aptos" w:hAnsi="Aptos" w:cs="Aptos"/>
          <w:i/>
          <w:iCs/>
          <w:lang w:val="en-US"/>
        </w:rPr>
        <w:t>T</w:t>
      </w:r>
      <w:r w:rsidRPr="77A8D69F">
        <w:rPr>
          <w:rFonts w:ascii="Aptos" w:eastAsia="Aptos" w:hAnsi="Aptos" w:cs="Aptos"/>
          <w:i/>
          <w:iCs/>
          <w:lang w:val="en-US"/>
        </w:rPr>
        <w:t>herapy, 147</w:t>
      </w:r>
      <w:r w:rsidRPr="77A8D69F">
        <w:rPr>
          <w:rFonts w:ascii="Aptos" w:eastAsia="Aptos" w:hAnsi="Aptos" w:cs="Aptos"/>
          <w:lang w:val="en-US"/>
        </w:rPr>
        <w:t>, 103973.</w:t>
      </w:r>
    </w:p>
    <w:p w14:paraId="47792BF3" w14:textId="17153F11" w:rsidR="34734831" w:rsidRDefault="34734831" w:rsidP="001B3723">
      <w:pPr>
        <w:spacing w:after="0" w:line="480" w:lineRule="auto"/>
        <w:ind w:left="720" w:hanging="720"/>
        <w:rPr>
          <w:rFonts w:ascii="Aptos" w:eastAsia="Aptos" w:hAnsi="Aptos" w:cs="Aptos"/>
          <w:lang w:val="en-US"/>
        </w:rPr>
      </w:pPr>
      <w:r w:rsidRPr="77A8D69F">
        <w:rPr>
          <w:rFonts w:ascii="Aptos" w:eastAsia="Aptos" w:hAnsi="Aptos" w:cs="Aptos"/>
          <w:lang w:val="en-US"/>
        </w:rPr>
        <w:t xml:space="preserve">Freeman, D. (2016). Persecutory delusions: a cognitive perspective on understanding and treatment. </w:t>
      </w:r>
      <w:r w:rsidRPr="77A8D69F">
        <w:rPr>
          <w:rFonts w:ascii="Aptos" w:eastAsia="Aptos" w:hAnsi="Aptos" w:cs="Aptos"/>
          <w:i/>
          <w:iCs/>
          <w:lang w:val="en-US"/>
        </w:rPr>
        <w:t>The Lancet Psychiatry</w:t>
      </w:r>
      <w:r w:rsidRPr="77A8D69F">
        <w:rPr>
          <w:rFonts w:ascii="Aptos" w:eastAsia="Aptos" w:hAnsi="Aptos" w:cs="Aptos"/>
          <w:lang w:val="en-US"/>
        </w:rPr>
        <w:t xml:space="preserve">, </w:t>
      </w:r>
      <w:r w:rsidRPr="77A8D69F">
        <w:rPr>
          <w:rFonts w:ascii="Aptos" w:eastAsia="Aptos" w:hAnsi="Aptos" w:cs="Aptos"/>
          <w:i/>
          <w:iCs/>
          <w:lang w:val="en-US"/>
        </w:rPr>
        <w:t>3</w:t>
      </w:r>
      <w:r w:rsidRPr="77A8D69F">
        <w:rPr>
          <w:rFonts w:ascii="Aptos" w:eastAsia="Aptos" w:hAnsi="Aptos" w:cs="Aptos"/>
          <w:lang w:val="en-US"/>
        </w:rPr>
        <w:t>(7), 685-692.</w:t>
      </w:r>
    </w:p>
    <w:p w14:paraId="2D0ABE94" w14:textId="4CA01714" w:rsidR="54662B34" w:rsidRDefault="54662B34" w:rsidP="001B3723">
      <w:pPr>
        <w:spacing w:after="0" w:line="480" w:lineRule="auto"/>
        <w:ind w:left="720" w:hanging="720"/>
        <w:rPr>
          <w:rFonts w:ascii="Aptos" w:eastAsia="Aptos" w:hAnsi="Aptos" w:cs="Aptos"/>
          <w:lang w:val="en-US"/>
        </w:rPr>
      </w:pPr>
      <w:r w:rsidRPr="30EC08DA">
        <w:rPr>
          <w:rFonts w:ascii="Aptos" w:eastAsia="Aptos" w:hAnsi="Aptos" w:cs="Aptos"/>
          <w:lang w:val="en-US"/>
        </w:rPr>
        <w:t xml:space="preserve">Freeman, D., Pugh, K., &amp; </w:t>
      </w:r>
      <w:proofErr w:type="spellStart"/>
      <w:r w:rsidRPr="30EC08DA">
        <w:rPr>
          <w:rFonts w:ascii="Aptos" w:eastAsia="Aptos" w:hAnsi="Aptos" w:cs="Aptos"/>
          <w:lang w:val="en-US"/>
        </w:rPr>
        <w:t>Garety</w:t>
      </w:r>
      <w:proofErr w:type="spellEnd"/>
      <w:r w:rsidRPr="30EC08DA">
        <w:rPr>
          <w:rFonts w:ascii="Aptos" w:eastAsia="Aptos" w:hAnsi="Aptos" w:cs="Aptos"/>
          <w:lang w:val="en-US"/>
        </w:rPr>
        <w:t xml:space="preserve">, P. (2008). Jumping to conclusions and paranoid ideation in the general population. </w:t>
      </w:r>
      <w:r w:rsidRPr="30EC08DA">
        <w:rPr>
          <w:rFonts w:ascii="Aptos" w:eastAsia="Aptos" w:hAnsi="Aptos" w:cs="Aptos"/>
          <w:i/>
          <w:iCs/>
          <w:lang w:val="en-US"/>
        </w:rPr>
        <w:t>Schizophrenia Research</w:t>
      </w:r>
      <w:r w:rsidRPr="30EC08DA">
        <w:rPr>
          <w:rFonts w:ascii="Aptos" w:eastAsia="Aptos" w:hAnsi="Aptos" w:cs="Aptos"/>
          <w:lang w:val="en-US"/>
        </w:rPr>
        <w:t xml:space="preserve">, </w:t>
      </w:r>
      <w:r w:rsidRPr="30EC08DA">
        <w:rPr>
          <w:rFonts w:ascii="Aptos" w:eastAsia="Aptos" w:hAnsi="Aptos" w:cs="Aptos"/>
          <w:i/>
          <w:iCs/>
          <w:lang w:val="en-US"/>
        </w:rPr>
        <w:t>102</w:t>
      </w:r>
      <w:r w:rsidRPr="30EC08DA">
        <w:rPr>
          <w:rFonts w:ascii="Aptos" w:eastAsia="Aptos" w:hAnsi="Aptos" w:cs="Aptos"/>
          <w:lang w:val="en-US"/>
        </w:rPr>
        <w:t>(1-3), 254-260.</w:t>
      </w:r>
    </w:p>
    <w:p w14:paraId="0E7C44CD" w14:textId="2FBBF9A3" w:rsidR="6363EA52" w:rsidRDefault="6363EA52" w:rsidP="001B3723">
      <w:pPr>
        <w:spacing w:after="0" w:line="480" w:lineRule="auto"/>
        <w:ind w:left="720" w:hanging="720"/>
        <w:rPr>
          <w:rFonts w:ascii="Aptos" w:eastAsia="Aptos" w:hAnsi="Aptos" w:cs="Aptos"/>
          <w:lang w:val="en-US"/>
        </w:rPr>
      </w:pPr>
      <w:r w:rsidRPr="30EC08DA">
        <w:rPr>
          <w:rFonts w:ascii="Aptos" w:eastAsia="Aptos" w:hAnsi="Aptos" w:cs="Aptos"/>
          <w:lang w:val="en-US"/>
        </w:rPr>
        <w:t xml:space="preserve">Freeman, D., Startup, H., Dunn, G., </w:t>
      </w:r>
      <w:proofErr w:type="spellStart"/>
      <w:r w:rsidRPr="30EC08DA">
        <w:rPr>
          <w:rFonts w:ascii="Aptos" w:eastAsia="Aptos" w:hAnsi="Aptos" w:cs="Aptos"/>
          <w:lang w:val="en-US"/>
        </w:rPr>
        <w:t>Černis</w:t>
      </w:r>
      <w:proofErr w:type="spellEnd"/>
      <w:r w:rsidRPr="30EC08DA">
        <w:rPr>
          <w:rFonts w:ascii="Aptos" w:eastAsia="Aptos" w:hAnsi="Aptos" w:cs="Aptos"/>
          <w:lang w:val="en-US"/>
        </w:rPr>
        <w:t xml:space="preserve">, E., Wingham, G., Pugh, K., ... &amp; Kingdon, D. (2013). The interaction of </w:t>
      </w:r>
      <w:proofErr w:type="gramStart"/>
      <w:r w:rsidRPr="30EC08DA">
        <w:rPr>
          <w:rFonts w:ascii="Aptos" w:eastAsia="Aptos" w:hAnsi="Aptos" w:cs="Aptos"/>
          <w:lang w:val="en-US"/>
        </w:rPr>
        <w:t>affective</w:t>
      </w:r>
      <w:proofErr w:type="gramEnd"/>
      <w:r w:rsidRPr="30EC08DA">
        <w:rPr>
          <w:rFonts w:ascii="Aptos" w:eastAsia="Aptos" w:hAnsi="Aptos" w:cs="Aptos"/>
          <w:lang w:val="en-US"/>
        </w:rPr>
        <w:t xml:space="preserve"> with psychotic processes: a test of the effects of worrying on working memory, jumping to conclusions, and anomalies of experience in patients with persecutory delusions. </w:t>
      </w:r>
      <w:r w:rsidRPr="30EC08DA">
        <w:rPr>
          <w:rFonts w:ascii="Aptos" w:eastAsia="Aptos" w:hAnsi="Aptos" w:cs="Aptos"/>
          <w:i/>
          <w:iCs/>
          <w:lang w:val="en-US"/>
        </w:rPr>
        <w:t>Journal of Psychiatric Research</w:t>
      </w:r>
      <w:r w:rsidRPr="30EC08DA">
        <w:rPr>
          <w:rFonts w:ascii="Aptos" w:eastAsia="Aptos" w:hAnsi="Aptos" w:cs="Aptos"/>
          <w:lang w:val="en-US"/>
        </w:rPr>
        <w:t xml:space="preserve">, </w:t>
      </w:r>
      <w:r w:rsidRPr="30EC08DA">
        <w:rPr>
          <w:rFonts w:ascii="Aptos" w:eastAsia="Aptos" w:hAnsi="Aptos" w:cs="Aptos"/>
          <w:i/>
          <w:iCs/>
          <w:lang w:val="en-US"/>
        </w:rPr>
        <w:t>47</w:t>
      </w:r>
      <w:r w:rsidRPr="30EC08DA">
        <w:rPr>
          <w:rFonts w:ascii="Aptos" w:eastAsia="Aptos" w:hAnsi="Aptos" w:cs="Aptos"/>
          <w:lang w:val="en-US"/>
        </w:rPr>
        <w:t>(12), 1837-1842.</w:t>
      </w:r>
    </w:p>
    <w:p w14:paraId="5BEA77D0" w14:textId="30181EB0" w:rsidR="00D023E7" w:rsidRPr="00C31A83" w:rsidRDefault="2A1A53ED" w:rsidP="001B3723">
      <w:pPr>
        <w:spacing w:after="0" w:line="480" w:lineRule="auto"/>
        <w:ind w:left="720" w:hanging="720"/>
        <w:rPr>
          <w:rFonts w:ascii="Aptos" w:eastAsia="Aptos" w:hAnsi="Aptos" w:cs="Aptos"/>
          <w:lang w:val="en-US"/>
        </w:rPr>
      </w:pPr>
      <w:r w:rsidRPr="28D42152">
        <w:rPr>
          <w:rFonts w:ascii="Aptos" w:eastAsia="Aptos" w:hAnsi="Aptos" w:cs="Aptos"/>
          <w:lang w:val="en-US"/>
        </w:rPr>
        <w:t xml:space="preserve">Freeston, M. H., </w:t>
      </w:r>
      <w:proofErr w:type="spellStart"/>
      <w:r w:rsidRPr="28D42152">
        <w:rPr>
          <w:rFonts w:ascii="Aptos" w:eastAsia="Aptos" w:hAnsi="Aptos" w:cs="Aptos"/>
          <w:lang w:val="en-US"/>
        </w:rPr>
        <w:t>Rhéaume</w:t>
      </w:r>
      <w:proofErr w:type="spellEnd"/>
      <w:r w:rsidRPr="28D42152">
        <w:rPr>
          <w:rFonts w:ascii="Aptos" w:eastAsia="Aptos" w:hAnsi="Aptos" w:cs="Aptos"/>
          <w:lang w:val="en-US"/>
        </w:rPr>
        <w:t xml:space="preserve">, J., Letarte, H., Dugas, M. J., &amp; Ladouceur, R. (1994). Why do people worry? </w:t>
      </w:r>
      <w:r w:rsidRPr="28D42152">
        <w:rPr>
          <w:rFonts w:ascii="Aptos" w:eastAsia="Aptos" w:hAnsi="Aptos" w:cs="Aptos"/>
          <w:i/>
          <w:iCs/>
          <w:lang w:val="en-US"/>
        </w:rPr>
        <w:t>Personality and Individual Differences, 17</w:t>
      </w:r>
      <w:r w:rsidRPr="28D42152">
        <w:rPr>
          <w:rFonts w:ascii="Aptos" w:eastAsia="Aptos" w:hAnsi="Aptos" w:cs="Aptos"/>
          <w:lang w:val="en-US"/>
        </w:rPr>
        <w:t>(6), 791-802.</w:t>
      </w:r>
    </w:p>
    <w:p w14:paraId="1F8F43B9" w14:textId="53D6D1C4" w:rsidR="01599DEA" w:rsidRDefault="01599DEA" w:rsidP="001B3723">
      <w:pPr>
        <w:spacing w:after="0" w:line="480" w:lineRule="auto"/>
        <w:ind w:left="720" w:hanging="720"/>
        <w:rPr>
          <w:rFonts w:ascii="Aptos" w:eastAsia="Aptos" w:hAnsi="Aptos" w:cs="Aptos"/>
          <w:lang w:val="en-US"/>
        </w:rPr>
      </w:pPr>
      <w:r w:rsidRPr="28D42152">
        <w:rPr>
          <w:rFonts w:ascii="Aptos" w:eastAsia="Aptos" w:hAnsi="Aptos" w:cs="Aptos"/>
          <w:lang w:val="en-US"/>
        </w:rPr>
        <w:t xml:space="preserve">Hall, J. (2018). Schizophrenia—an anxiety </w:t>
      </w:r>
      <w:proofErr w:type="gramStart"/>
      <w:r w:rsidRPr="28D42152">
        <w:rPr>
          <w:rFonts w:ascii="Aptos" w:eastAsia="Aptos" w:hAnsi="Aptos" w:cs="Aptos"/>
          <w:lang w:val="en-US"/>
        </w:rPr>
        <w:t>disorder?.</w:t>
      </w:r>
      <w:proofErr w:type="gramEnd"/>
      <w:r w:rsidRPr="28D42152">
        <w:rPr>
          <w:rFonts w:ascii="Aptos" w:eastAsia="Aptos" w:hAnsi="Aptos" w:cs="Aptos"/>
          <w:lang w:val="en-US"/>
        </w:rPr>
        <w:t xml:space="preserve"> </w:t>
      </w:r>
      <w:r w:rsidRPr="28D42152">
        <w:rPr>
          <w:rFonts w:ascii="Aptos" w:eastAsia="Aptos" w:hAnsi="Aptos" w:cs="Aptos"/>
          <w:i/>
          <w:iCs/>
          <w:lang w:val="en-US"/>
        </w:rPr>
        <w:t>The British Journal of Psychiatry</w:t>
      </w:r>
      <w:r w:rsidRPr="28D42152">
        <w:rPr>
          <w:rFonts w:ascii="Aptos" w:eastAsia="Aptos" w:hAnsi="Aptos" w:cs="Aptos"/>
          <w:lang w:val="en-US"/>
        </w:rPr>
        <w:t xml:space="preserve">, </w:t>
      </w:r>
      <w:r w:rsidRPr="28D42152">
        <w:rPr>
          <w:rFonts w:ascii="Aptos" w:eastAsia="Aptos" w:hAnsi="Aptos" w:cs="Aptos"/>
          <w:i/>
          <w:iCs/>
          <w:lang w:val="en-US"/>
        </w:rPr>
        <w:t>211</w:t>
      </w:r>
      <w:r w:rsidRPr="28D42152">
        <w:rPr>
          <w:rFonts w:ascii="Aptos" w:eastAsia="Aptos" w:hAnsi="Aptos" w:cs="Aptos"/>
          <w:lang w:val="en-US"/>
        </w:rPr>
        <w:t>(5), 262-263.</w:t>
      </w:r>
    </w:p>
    <w:p w14:paraId="53352E61" w14:textId="2D1A5E9E" w:rsidR="00D023E7" w:rsidRPr="00C31A83" w:rsidRDefault="5A8786C3" w:rsidP="001B3723">
      <w:pPr>
        <w:spacing w:after="0" w:line="480" w:lineRule="auto"/>
        <w:ind w:left="720" w:hanging="720"/>
        <w:rPr>
          <w:rFonts w:ascii="Aptos" w:eastAsia="Aptos" w:hAnsi="Aptos" w:cs="Aptos"/>
          <w:lang w:val="en-US"/>
        </w:rPr>
      </w:pPr>
      <w:r w:rsidRPr="00060B29">
        <w:rPr>
          <w:rFonts w:ascii="Aptos" w:eastAsia="Aptos" w:hAnsi="Aptos" w:cs="Aptos"/>
          <w:lang w:val="sv-FI"/>
        </w:rPr>
        <w:lastRenderedPageBreak/>
        <w:t xml:space="preserve">Hong, R. Y., &amp; Lee, S. S. (2015). </w:t>
      </w:r>
      <w:r w:rsidRPr="0E76CAB3">
        <w:rPr>
          <w:rFonts w:ascii="Aptos" w:eastAsia="Aptos" w:hAnsi="Aptos" w:cs="Aptos"/>
          <w:lang w:val="en-US"/>
        </w:rPr>
        <w:t xml:space="preserve">Further clarifying prospective and inhibitory intolerance of uncertainty: Factorial and construct validity of test scores from the Intolerance of Uncertainty Scale. </w:t>
      </w:r>
      <w:r w:rsidRPr="0E76CAB3">
        <w:rPr>
          <w:rFonts w:ascii="Aptos" w:eastAsia="Aptos" w:hAnsi="Aptos" w:cs="Aptos"/>
          <w:i/>
          <w:iCs/>
          <w:lang w:val="en-US"/>
        </w:rPr>
        <w:t>Psychological assessment</w:t>
      </w:r>
      <w:r w:rsidRPr="0E76CAB3">
        <w:rPr>
          <w:rFonts w:ascii="Aptos" w:eastAsia="Aptos" w:hAnsi="Aptos" w:cs="Aptos"/>
          <w:lang w:val="en-US"/>
        </w:rPr>
        <w:t>, 27(2), 605.</w:t>
      </w:r>
    </w:p>
    <w:p w14:paraId="7360AC8A" w14:textId="060DEDE9" w:rsidR="65B02F5C" w:rsidRDefault="65B02F5C" w:rsidP="001B3723">
      <w:pPr>
        <w:spacing w:after="0" w:line="480" w:lineRule="auto"/>
        <w:ind w:left="720" w:hanging="720"/>
        <w:rPr>
          <w:rFonts w:ascii="Aptos" w:eastAsia="Aptos" w:hAnsi="Aptos" w:cs="Aptos"/>
          <w:lang w:val="en-US"/>
        </w:rPr>
      </w:pPr>
      <w:r w:rsidRPr="2A4FE2FE">
        <w:rPr>
          <w:rFonts w:ascii="Aptos" w:eastAsia="Aptos" w:hAnsi="Aptos" w:cs="Aptos"/>
          <w:lang w:val="en-US"/>
        </w:rPr>
        <w:t xml:space="preserve">Ising, H. K., Veling, W., Loewy, R. L., Rietveld, M. W., </w:t>
      </w:r>
      <w:proofErr w:type="spellStart"/>
      <w:r w:rsidRPr="2A4FE2FE">
        <w:rPr>
          <w:rFonts w:ascii="Aptos" w:eastAsia="Aptos" w:hAnsi="Aptos" w:cs="Aptos"/>
          <w:lang w:val="en-US"/>
        </w:rPr>
        <w:t>Rietdijk</w:t>
      </w:r>
      <w:proofErr w:type="spellEnd"/>
      <w:r w:rsidRPr="2A4FE2FE">
        <w:rPr>
          <w:rFonts w:ascii="Aptos" w:eastAsia="Aptos" w:hAnsi="Aptos" w:cs="Aptos"/>
          <w:lang w:val="en-US"/>
        </w:rPr>
        <w:t xml:space="preserve">, J., Dragt, S., ... &amp; van der Gaag, M. (2012). The validity of the 16-item version of the Prodromal Questionnaire (PQ-16) to screen for </w:t>
      </w:r>
      <w:proofErr w:type="spellStart"/>
      <w:r w:rsidRPr="2A4FE2FE">
        <w:rPr>
          <w:rFonts w:ascii="Aptos" w:eastAsia="Aptos" w:hAnsi="Aptos" w:cs="Aptos"/>
          <w:lang w:val="en-US"/>
        </w:rPr>
        <w:t>ultra high</w:t>
      </w:r>
      <w:proofErr w:type="spellEnd"/>
      <w:r w:rsidRPr="2A4FE2FE">
        <w:rPr>
          <w:rFonts w:ascii="Aptos" w:eastAsia="Aptos" w:hAnsi="Aptos" w:cs="Aptos"/>
          <w:lang w:val="en-US"/>
        </w:rPr>
        <w:t xml:space="preserve"> risk of developing psychosis in the general help-seeking population.</w:t>
      </w:r>
      <w:r w:rsidRPr="2A4FE2FE">
        <w:rPr>
          <w:rFonts w:ascii="Aptos" w:eastAsia="Aptos" w:hAnsi="Aptos" w:cs="Aptos"/>
          <w:i/>
          <w:iCs/>
          <w:lang w:val="en-US"/>
        </w:rPr>
        <w:t xml:space="preserve"> Schizophrenia Bulletin</w:t>
      </w:r>
      <w:r w:rsidRPr="2A4FE2FE">
        <w:rPr>
          <w:rFonts w:ascii="Aptos" w:eastAsia="Aptos" w:hAnsi="Aptos" w:cs="Aptos"/>
          <w:lang w:val="en-US"/>
        </w:rPr>
        <w:t>, 38(6), 1288-1296.</w:t>
      </w:r>
    </w:p>
    <w:p w14:paraId="28921FE2" w14:textId="3911D9D6" w:rsidR="0CD9FC66" w:rsidRPr="00060B29" w:rsidRDefault="0CD9FC66" w:rsidP="001B3723">
      <w:pPr>
        <w:spacing w:after="0" w:line="480" w:lineRule="auto"/>
        <w:ind w:left="720" w:hanging="720"/>
        <w:rPr>
          <w:rFonts w:ascii="Aptos" w:eastAsia="Aptos" w:hAnsi="Aptos" w:cs="Aptos"/>
          <w:lang w:val="sv-FI"/>
        </w:rPr>
      </w:pPr>
      <w:r w:rsidRPr="2A4FE2FE">
        <w:rPr>
          <w:rFonts w:ascii="Aptos" w:eastAsia="Aptos" w:hAnsi="Aptos" w:cs="Aptos"/>
          <w:lang w:val="en-US"/>
        </w:rPr>
        <w:t xml:space="preserve">John, O. P. (2021). History, measurement, and conceptual elaboration of the Big‑Five trait taxonomy: The paradigm matures. In O. P. John &amp; R. W. Robins (Eds.), </w:t>
      </w:r>
      <w:r w:rsidRPr="2A4FE2FE">
        <w:rPr>
          <w:rFonts w:ascii="Aptos" w:eastAsia="Aptos" w:hAnsi="Aptos" w:cs="Aptos"/>
          <w:i/>
          <w:iCs/>
          <w:lang w:val="en-US"/>
        </w:rPr>
        <w:t>Handbook of Personality: Theory and Research</w:t>
      </w:r>
      <w:r w:rsidRPr="2A4FE2FE">
        <w:rPr>
          <w:rFonts w:ascii="Aptos" w:eastAsia="Aptos" w:hAnsi="Aptos" w:cs="Aptos"/>
          <w:lang w:val="en-US"/>
        </w:rPr>
        <w:t xml:space="preserve"> (4th ed., pp. 35–82). </w:t>
      </w:r>
      <w:r w:rsidRPr="00060B29">
        <w:rPr>
          <w:rFonts w:ascii="Aptos" w:eastAsia="Aptos" w:hAnsi="Aptos" w:cs="Aptos"/>
          <w:lang w:val="sv-FI"/>
        </w:rPr>
        <w:t>The Guilford Press.</w:t>
      </w:r>
    </w:p>
    <w:p w14:paraId="6A79EDE8" w14:textId="2A3A43C7" w:rsidR="4AD3A1D9" w:rsidRDefault="4AD3A1D9" w:rsidP="001B3723">
      <w:pPr>
        <w:spacing w:after="0" w:line="480" w:lineRule="auto"/>
        <w:ind w:left="720" w:hanging="720"/>
        <w:rPr>
          <w:rFonts w:ascii="Aptos" w:eastAsia="Aptos" w:hAnsi="Aptos" w:cs="Aptos"/>
          <w:lang w:val="en-US"/>
        </w:rPr>
      </w:pPr>
      <w:r w:rsidRPr="00060B29">
        <w:rPr>
          <w:rFonts w:ascii="Aptos" w:eastAsia="Aptos" w:hAnsi="Aptos" w:cs="Aptos"/>
          <w:lang w:val="sv-FI"/>
        </w:rPr>
        <w:t xml:space="preserve">Krabbendam, L., Janssen, I., Bak, M., Bijl, R. V., de Graaf, R., &amp; van Os, J. (2002). </w:t>
      </w:r>
      <w:r w:rsidRPr="30EC08DA">
        <w:rPr>
          <w:rFonts w:ascii="Aptos" w:eastAsia="Aptos" w:hAnsi="Aptos" w:cs="Aptos"/>
          <w:lang w:val="en-US"/>
        </w:rPr>
        <w:t>Neuroticism and low self-esteem as risk factors for psychosis.</w:t>
      </w:r>
      <w:r w:rsidRPr="30EC08DA">
        <w:rPr>
          <w:rFonts w:ascii="Aptos" w:eastAsia="Aptos" w:hAnsi="Aptos" w:cs="Aptos"/>
          <w:i/>
          <w:iCs/>
          <w:lang w:val="en-US"/>
        </w:rPr>
        <w:t xml:space="preserve"> Social Psychiatry and Psychiatric Epidemiology</w:t>
      </w:r>
      <w:r w:rsidRPr="30EC08DA">
        <w:rPr>
          <w:rFonts w:ascii="Aptos" w:eastAsia="Aptos" w:hAnsi="Aptos" w:cs="Aptos"/>
          <w:lang w:val="en-US"/>
        </w:rPr>
        <w:t>, 37, 1-6.</w:t>
      </w:r>
    </w:p>
    <w:p w14:paraId="441BBD20" w14:textId="00F27223" w:rsidR="69775C76" w:rsidRDefault="69775C76" w:rsidP="001B3723">
      <w:pPr>
        <w:spacing w:after="0" w:line="480" w:lineRule="auto"/>
        <w:ind w:left="720" w:hanging="720"/>
        <w:rPr>
          <w:rFonts w:ascii="Aptos" w:eastAsia="Aptos" w:hAnsi="Aptos" w:cs="Aptos"/>
          <w:lang w:val="en-US"/>
        </w:rPr>
      </w:pPr>
      <w:r w:rsidRPr="30EC08DA">
        <w:rPr>
          <w:rFonts w:ascii="Aptos" w:eastAsia="Aptos" w:hAnsi="Aptos" w:cs="Aptos"/>
          <w:lang w:val="en-US"/>
        </w:rPr>
        <w:t xml:space="preserve">Lebert, L., Turkington, D., Freeston, M., &amp; Dudley, R. (2021). Rumination, intolerance of uncertainty and paranoia in treatment resistant psychosis. </w:t>
      </w:r>
      <w:r w:rsidRPr="30EC08DA">
        <w:rPr>
          <w:rFonts w:ascii="Aptos" w:eastAsia="Aptos" w:hAnsi="Aptos" w:cs="Aptos"/>
          <w:i/>
          <w:iCs/>
          <w:lang w:val="en-US"/>
        </w:rPr>
        <w:t>Psychosis</w:t>
      </w:r>
      <w:r w:rsidRPr="30EC08DA">
        <w:rPr>
          <w:rFonts w:ascii="Aptos" w:eastAsia="Aptos" w:hAnsi="Aptos" w:cs="Aptos"/>
          <w:lang w:val="en-US"/>
        </w:rPr>
        <w:t xml:space="preserve">, </w:t>
      </w:r>
      <w:r w:rsidRPr="30EC08DA">
        <w:rPr>
          <w:rFonts w:ascii="Aptos" w:eastAsia="Aptos" w:hAnsi="Aptos" w:cs="Aptos"/>
          <w:i/>
          <w:iCs/>
          <w:lang w:val="en-US"/>
        </w:rPr>
        <w:t>13</w:t>
      </w:r>
      <w:r w:rsidRPr="30EC08DA">
        <w:rPr>
          <w:rFonts w:ascii="Aptos" w:eastAsia="Aptos" w:hAnsi="Aptos" w:cs="Aptos"/>
          <w:lang w:val="en-US"/>
        </w:rPr>
        <w:t>(1), 65-70.</w:t>
      </w:r>
    </w:p>
    <w:p w14:paraId="7F8FA1C7" w14:textId="539B6BF7" w:rsidR="00D023E7" w:rsidRPr="00C31A83" w:rsidRDefault="7A395E49" w:rsidP="001B3723">
      <w:pPr>
        <w:spacing w:after="0" w:line="480" w:lineRule="auto"/>
        <w:ind w:left="720" w:hanging="720"/>
        <w:rPr>
          <w:rFonts w:ascii="Aptos" w:eastAsia="Aptos" w:hAnsi="Aptos" w:cs="Aptos"/>
          <w:lang w:val="en-US"/>
        </w:rPr>
      </w:pPr>
      <w:r w:rsidRPr="30EC08DA">
        <w:rPr>
          <w:rFonts w:ascii="Aptos" w:eastAsia="Aptos" w:hAnsi="Aptos" w:cs="Aptos"/>
          <w:lang w:val="en-US"/>
        </w:rPr>
        <w:t xml:space="preserve">Li, J., Gao, J., Zhang, Q., Li, C., &amp; Cui, L. (2021). The efficacy of intolerance of uncertainty intervention on anxiety and its mediating role by multilayer linear model analysis. </w:t>
      </w:r>
      <w:r w:rsidRPr="30EC08DA">
        <w:rPr>
          <w:rFonts w:ascii="Aptos" w:eastAsia="Aptos" w:hAnsi="Aptos" w:cs="Aptos"/>
          <w:i/>
          <w:iCs/>
          <w:lang w:val="en-US"/>
        </w:rPr>
        <w:t>Journal of Psychopathology and Behavioral Assessment</w:t>
      </w:r>
      <w:r w:rsidRPr="30EC08DA">
        <w:rPr>
          <w:rFonts w:ascii="Aptos" w:eastAsia="Aptos" w:hAnsi="Aptos" w:cs="Aptos"/>
          <w:lang w:val="en-US"/>
        </w:rPr>
        <w:t xml:space="preserve">, </w:t>
      </w:r>
      <w:r w:rsidRPr="30EC08DA">
        <w:rPr>
          <w:rFonts w:ascii="Aptos" w:eastAsia="Aptos" w:hAnsi="Aptos" w:cs="Aptos"/>
          <w:i/>
          <w:iCs/>
          <w:lang w:val="en-US"/>
        </w:rPr>
        <w:t>43</w:t>
      </w:r>
      <w:r w:rsidRPr="30EC08DA">
        <w:rPr>
          <w:rFonts w:ascii="Aptos" w:eastAsia="Aptos" w:hAnsi="Aptos" w:cs="Aptos"/>
          <w:lang w:val="en-US"/>
        </w:rPr>
        <w:t>, 142-151.</w:t>
      </w:r>
    </w:p>
    <w:p w14:paraId="54F2F054" w14:textId="41CD56E4" w:rsidR="00D023E7" w:rsidRPr="00C31A83" w:rsidRDefault="5FF3500D" w:rsidP="001B3723">
      <w:pPr>
        <w:spacing w:after="0" w:line="480" w:lineRule="auto"/>
        <w:ind w:left="720" w:hanging="720"/>
        <w:rPr>
          <w:rFonts w:ascii="Aptos" w:eastAsia="Aptos" w:hAnsi="Aptos" w:cs="Aptos"/>
          <w:lang w:val="en-US"/>
        </w:rPr>
      </w:pPr>
      <w:r w:rsidRPr="30EC08DA">
        <w:rPr>
          <w:rFonts w:ascii="Aptos" w:eastAsia="Aptos" w:hAnsi="Aptos" w:cs="Aptos"/>
          <w:lang w:val="en-US"/>
        </w:rPr>
        <w:t xml:space="preserve">Mahoney, A. E., &amp; McEvoy, P. M. (2012). Trait versus situation-specific intolerance of uncertainty in a clinical sample with anxiety and depressive disorders. </w:t>
      </w:r>
      <w:r w:rsidRPr="30EC08DA">
        <w:rPr>
          <w:rFonts w:ascii="Aptos" w:eastAsia="Aptos" w:hAnsi="Aptos" w:cs="Aptos"/>
          <w:i/>
          <w:iCs/>
          <w:lang w:val="en-US"/>
        </w:rPr>
        <w:t xml:space="preserve">Cognitive </w:t>
      </w:r>
      <w:proofErr w:type="spellStart"/>
      <w:r w:rsidRPr="30EC08DA">
        <w:rPr>
          <w:rFonts w:ascii="Aptos" w:eastAsia="Aptos" w:hAnsi="Aptos" w:cs="Aptos"/>
          <w:i/>
          <w:iCs/>
          <w:lang w:val="en-US"/>
        </w:rPr>
        <w:t>Behaviour</w:t>
      </w:r>
      <w:proofErr w:type="spellEnd"/>
      <w:r w:rsidRPr="30EC08DA">
        <w:rPr>
          <w:rFonts w:ascii="Aptos" w:eastAsia="Aptos" w:hAnsi="Aptos" w:cs="Aptos"/>
          <w:i/>
          <w:iCs/>
          <w:lang w:val="en-US"/>
        </w:rPr>
        <w:t xml:space="preserve"> Therapy</w:t>
      </w:r>
      <w:r w:rsidRPr="30EC08DA">
        <w:rPr>
          <w:rFonts w:ascii="Aptos" w:eastAsia="Aptos" w:hAnsi="Aptos" w:cs="Aptos"/>
          <w:lang w:val="en-US"/>
        </w:rPr>
        <w:t xml:space="preserve">, </w:t>
      </w:r>
      <w:r w:rsidRPr="30EC08DA">
        <w:rPr>
          <w:rFonts w:ascii="Aptos" w:eastAsia="Aptos" w:hAnsi="Aptos" w:cs="Aptos"/>
          <w:i/>
          <w:iCs/>
          <w:lang w:val="en-US"/>
        </w:rPr>
        <w:t>41</w:t>
      </w:r>
      <w:r w:rsidRPr="30EC08DA">
        <w:rPr>
          <w:rFonts w:ascii="Aptos" w:eastAsia="Aptos" w:hAnsi="Aptos" w:cs="Aptos"/>
          <w:lang w:val="en-US"/>
        </w:rPr>
        <w:t>(1), 26-39.</w:t>
      </w:r>
    </w:p>
    <w:p w14:paraId="33349C17" w14:textId="533F1879" w:rsidR="00D023E7" w:rsidRPr="00C31A83" w:rsidRDefault="57509521" w:rsidP="001B3723">
      <w:pPr>
        <w:spacing w:after="0" w:line="480" w:lineRule="auto"/>
        <w:ind w:left="720" w:hanging="720"/>
        <w:rPr>
          <w:rFonts w:ascii="Aptos" w:eastAsia="Aptos" w:hAnsi="Aptos" w:cs="Aptos"/>
          <w:lang w:val="en-US"/>
        </w:rPr>
      </w:pPr>
      <w:r w:rsidRPr="30EC08DA">
        <w:rPr>
          <w:rFonts w:ascii="Aptos" w:eastAsia="Aptos" w:hAnsi="Aptos" w:cs="Aptos"/>
          <w:lang w:val="en-US"/>
        </w:rPr>
        <w:t xml:space="preserve">McEvoy, P. M., Hyett, M. P., </w:t>
      </w:r>
      <w:proofErr w:type="spellStart"/>
      <w:r w:rsidRPr="30EC08DA">
        <w:rPr>
          <w:rFonts w:ascii="Aptos" w:eastAsia="Aptos" w:hAnsi="Aptos" w:cs="Aptos"/>
          <w:lang w:val="en-US"/>
        </w:rPr>
        <w:t>Shihata</w:t>
      </w:r>
      <w:proofErr w:type="spellEnd"/>
      <w:r w:rsidRPr="30EC08DA">
        <w:rPr>
          <w:rFonts w:ascii="Aptos" w:eastAsia="Aptos" w:hAnsi="Aptos" w:cs="Aptos"/>
          <w:lang w:val="en-US"/>
        </w:rPr>
        <w:t xml:space="preserve">, S., Price, J. E., &amp; Strachan, L. (2019). The impact of methodological and measurement factors on transdiagnostic associations with intolerance of uncertainty: A meta-analysis. </w:t>
      </w:r>
      <w:r w:rsidRPr="30EC08DA">
        <w:rPr>
          <w:rFonts w:ascii="Aptos" w:eastAsia="Aptos" w:hAnsi="Aptos" w:cs="Aptos"/>
          <w:i/>
          <w:iCs/>
          <w:lang w:val="en-US"/>
        </w:rPr>
        <w:t>Clin</w:t>
      </w:r>
      <w:r w:rsidR="4C1C69FD" w:rsidRPr="30EC08DA">
        <w:rPr>
          <w:rFonts w:ascii="Aptos" w:eastAsia="Aptos" w:hAnsi="Aptos" w:cs="Aptos"/>
          <w:i/>
          <w:iCs/>
          <w:lang w:val="en-US"/>
        </w:rPr>
        <w:t>ical</w:t>
      </w:r>
      <w:r w:rsidRPr="30EC08DA">
        <w:rPr>
          <w:rFonts w:ascii="Aptos" w:eastAsia="Aptos" w:hAnsi="Aptos" w:cs="Aptos"/>
          <w:i/>
          <w:iCs/>
          <w:lang w:val="en-US"/>
        </w:rPr>
        <w:t xml:space="preserve"> Psychol</w:t>
      </w:r>
      <w:r w:rsidR="6DCD3CB4" w:rsidRPr="30EC08DA">
        <w:rPr>
          <w:rFonts w:ascii="Aptos" w:eastAsia="Aptos" w:hAnsi="Aptos" w:cs="Aptos"/>
          <w:i/>
          <w:iCs/>
          <w:lang w:val="en-US"/>
        </w:rPr>
        <w:t>ogy</w:t>
      </w:r>
      <w:r w:rsidRPr="30EC08DA">
        <w:rPr>
          <w:rFonts w:ascii="Aptos" w:eastAsia="Aptos" w:hAnsi="Aptos" w:cs="Aptos"/>
          <w:i/>
          <w:iCs/>
          <w:lang w:val="en-US"/>
        </w:rPr>
        <w:t xml:space="preserve"> Rev</w:t>
      </w:r>
      <w:r w:rsidR="7E25AC79" w:rsidRPr="30EC08DA">
        <w:rPr>
          <w:rFonts w:ascii="Aptos" w:eastAsia="Aptos" w:hAnsi="Aptos" w:cs="Aptos"/>
          <w:i/>
          <w:iCs/>
          <w:lang w:val="en-US"/>
        </w:rPr>
        <w:t>iew</w:t>
      </w:r>
      <w:r w:rsidRPr="30EC08DA">
        <w:rPr>
          <w:rFonts w:ascii="Aptos" w:eastAsia="Aptos" w:hAnsi="Aptos" w:cs="Aptos"/>
          <w:i/>
          <w:iCs/>
          <w:lang w:val="en-US"/>
        </w:rPr>
        <w:t>, 73</w:t>
      </w:r>
      <w:r w:rsidRPr="30EC08DA">
        <w:rPr>
          <w:rFonts w:ascii="Aptos" w:eastAsia="Aptos" w:hAnsi="Aptos" w:cs="Aptos"/>
          <w:lang w:val="en-US"/>
        </w:rPr>
        <w:t>, 101778.</w:t>
      </w:r>
    </w:p>
    <w:p w14:paraId="0D67B104" w14:textId="3EBF32A0" w:rsidR="00D023E7" w:rsidRPr="00C31A83" w:rsidRDefault="25C4B9A1" w:rsidP="001B3723">
      <w:pPr>
        <w:spacing w:after="0" w:line="480" w:lineRule="auto"/>
        <w:ind w:left="720" w:hanging="720"/>
        <w:rPr>
          <w:rFonts w:ascii="Aptos" w:eastAsia="Aptos" w:hAnsi="Aptos" w:cs="Aptos"/>
          <w:lang w:val="en-US"/>
        </w:rPr>
      </w:pPr>
      <w:r w:rsidRPr="30EC08DA">
        <w:rPr>
          <w:rFonts w:ascii="Aptos" w:eastAsia="Aptos" w:hAnsi="Aptos" w:cs="Aptos"/>
          <w:lang w:val="en-US"/>
        </w:rPr>
        <w:lastRenderedPageBreak/>
        <w:t xml:space="preserve">Miller, M. L., &amp; McGuire, J. F. (2023). Targeting intolerance of uncertainty in treatment: A meta-analysis of therapeutic effects, treatment moderators, and underlying mechanisms. </w:t>
      </w:r>
      <w:r w:rsidRPr="30EC08DA">
        <w:rPr>
          <w:rFonts w:ascii="Aptos" w:eastAsia="Aptos" w:hAnsi="Aptos" w:cs="Aptos"/>
          <w:i/>
          <w:iCs/>
          <w:lang w:val="en-US"/>
        </w:rPr>
        <w:t xml:space="preserve">Journal </w:t>
      </w:r>
      <w:proofErr w:type="gramStart"/>
      <w:r w:rsidRPr="30EC08DA">
        <w:rPr>
          <w:rFonts w:ascii="Aptos" w:eastAsia="Aptos" w:hAnsi="Aptos" w:cs="Aptos"/>
          <w:i/>
          <w:iCs/>
          <w:lang w:val="en-US"/>
        </w:rPr>
        <w:t>of</w:t>
      </w:r>
      <w:proofErr w:type="gramEnd"/>
      <w:r w:rsidRPr="30EC08DA">
        <w:rPr>
          <w:rFonts w:ascii="Aptos" w:eastAsia="Aptos" w:hAnsi="Aptos" w:cs="Aptos"/>
          <w:i/>
          <w:iCs/>
          <w:lang w:val="en-US"/>
        </w:rPr>
        <w:t xml:space="preserve"> Affective Disorders</w:t>
      </w:r>
      <w:r w:rsidRPr="30EC08DA">
        <w:rPr>
          <w:rFonts w:ascii="Aptos" w:eastAsia="Aptos" w:hAnsi="Aptos" w:cs="Aptos"/>
          <w:lang w:val="en-US"/>
        </w:rPr>
        <w:t>.</w:t>
      </w:r>
    </w:p>
    <w:p w14:paraId="3E26D118" w14:textId="7D0A61B7" w:rsidR="00D023E7" w:rsidRPr="00C31A83" w:rsidRDefault="5A8786C3" w:rsidP="001B3723">
      <w:pPr>
        <w:spacing w:after="0" w:line="480" w:lineRule="auto"/>
        <w:ind w:left="720" w:hanging="720"/>
        <w:rPr>
          <w:rFonts w:ascii="Aptos" w:eastAsia="Aptos" w:hAnsi="Aptos" w:cs="Aptos"/>
          <w:lang w:val="en-US"/>
        </w:rPr>
      </w:pPr>
      <w:r w:rsidRPr="77A8D69F">
        <w:rPr>
          <w:rFonts w:ascii="Aptos" w:eastAsia="Aptos" w:hAnsi="Aptos" w:cs="Aptos"/>
          <w:lang w:val="en-US"/>
        </w:rPr>
        <w:t xml:space="preserve">Morriss, J., Abend, R., Zika, O., Bradford, D. E., &amp; Mertens, G. (2023). Neural and psychophysiological markers of intolerance of uncertainty. </w:t>
      </w:r>
      <w:r w:rsidRPr="77A8D69F">
        <w:rPr>
          <w:rFonts w:ascii="Aptos" w:eastAsia="Aptos" w:hAnsi="Aptos" w:cs="Aptos"/>
          <w:i/>
          <w:iCs/>
          <w:lang w:val="en-US"/>
        </w:rPr>
        <w:t>International Journal of Psychophysiology, 184</w:t>
      </w:r>
      <w:r w:rsidRPr="77A8D69F">
        <w:rPr>
          <w:rFonts w:ascii="Aptos" w:eastAsia="Aptos" w:hAnsi="Aptos" w:cs="Aptos"/>
          <w:lang w:val="en-US"/>
        </w:rPr>
        <w:t>, 94-99.</w:t>
      </w:r>
    </w:p>
    <w:p w14:paraId="15E5B225" w14:textId="096ED94B" w:rsidR="00D023E7" w:rsidRPr="00C31A83" w:rsidRDefault="0A105714" w:rsidP="001B3723">
      <w:pPr>
        <w:spacing w:after="0" w:line="480" w:lineRule="auto"/>
        <w:ind w:left="720" w:hanging="720"/>
        <w:rPr>
          <w:rFonts w:ascii="Aptos" w:eastAsia="Aptos" w:hAnsi="Aptos" w:cs="Aptos"/>
          <w:color w:val="000000" w:themeColor="text1"/>
          <w:lang w:val="en-US"/>
        </w:rPr>
      </w:pPr>
      <w:r w:rsidRPr="00060B29">
        <w:rPr>
          <w:rFonts w:ascii="Aptos" w:eastAsia="Aptos" w:hAnsi="Aptos" w:cs="Aptos"/>
          <w:lang w:val="sv-FI"/>
        </w:rPr>
        <w:t>Morriss, J, Butler, D., &amp; Ellett, L. (</w:t>
      </w:r>
      <w:r w:rsidR="0B7FC181" w:rsidRPr="00060B29">
        <w:rPr>
          <w:rFonts w:ascii="Aptos" w:eastAsia="Aptos" w:hAnsi="Aptos" w:cs="Aptos"/>
          <w:lang w:val="sv-FI"/>
        </w:rPr>
        <w:t>2024</w:t>
      </w:r>
      <w:r w:rsidRPr="00060B29">
        <w:rPr>
          <w:rFonts w:ascii="Aptos" w:eastAsia="Aptos" w:hAnsi="Aptos" w:cs="Aptos"/>
          <w:lang w:val="sv-FI"/>
        </w:rPr>
        <w:t xml:space="preserve">). </w:t>
      </w:r>
      <w:r w:rsidRPr="5FD410A8">
        <w:rPr>
          <w:rFonts w:ascii="Aptos" w:eastAsia="Aptos" w:hAnsi="Aptos" w:cs="Aptos"/>
          <w:color w:val="000000" w:themeColor="text1"/>
          <w:lang w:val="en-US"/>
        </w:rPr>
        <w:t xml:space="preserve">Intolerance of Uncertainty and Psychosis: A Systematic Review. </w:t>
      </w:r>
      <w:r w:rsidRPr="5FD410A8">
        <w:rPr>
          <w:rFonts w:ascii="Aptos" w:eastAsia="Aptos" w:hAnsi="Aptos" w:cs="Aptos"/>
          <w:i/>
          <w:iCs/>
          <w:color w:val="000000" w:themeColor="text1"/>
          <w:lang w:val="en-US"/>
        </w:rPr>
        <w:t>British Journal of Clinical Psychology</w:t>
      </w:r>
      <w:r w:rsidRPr="5FD410A8">
        <w:rPr>
          <w:rFonts w:ascii="Aptos" w:eastAsia="Aptos" w:hAnsi="Aptos" w:cs="Aptos"/>
          <w:color w:val="000000" w:themeColor="text1"/>
          <w:lang w:val="en-US"/>
        </w:rPr>
        <w:t>.</w:t>
      </w:r>
      <w:r w:rsidR="0E627B99" w:rsidRPr="5FD410A8">
        <w:rPr>
          <w:rFonts w:ascii="Aptos" w:eastAsia="Aptos" w:hAnsi="Aptos" w:cs="Aptos"/>
          <w:color w:val="000000" w:themeColor="text1"/>
          <w:lang w:val="en-US"/>
        </w:rPr>
        <w:t xml:space="preserve"> </w:t>
      </w:r>
    </w:p>
    <w:p w14:paraId="42DCA43C" w14:textId="1B7C71C8" w:rsidR="7FFBCAAB" w:rsidRDefault="7FFBCAAB" w:rsidP="001B3723">
      <w:pPr>
        <w:spacing w:after="0" w:line="480" w:lineRule="auto"/>
        <w:ind w:left="720" w:hanging="720"/>
        <w:rPr>
          <w:rFonts w:ascii="Aptos" w:eastAsia="Aptos" w:hAnsi="Aptos" w:cs="Aptos"/>
          <w:color w:val="000000" w:themeColor="text1"/>
          <w:lang w:val="en-US"/>
        </w:rPr>
      </w:pPr>
      <w:r w:rsidRPr="30EC08DA">
        <w:rPr>
          <w:rFonts w:ascii="Aptos" w:eastAsia="Aptos" w:hAnsi="Aptos" w:cs="Aptos"/>
          <w:color w:val="000000" w:themeColor="text1"/>
          <w:lang w:val="en-US"/>
        </w:rPr>
        <w:t xml:space="preserve">Morriss, J., Gaudiano, B. A., So, S. H., Kingston, J., Lincoln, T., Morris, E. M., &amp; Ellett, L. (2024). Associations between intolerance of uncertainty, paranoia, anxiety, and depression: Evidence from an international multisite sample. </w:t>
      </w:r>
      <w:r w:rsidRPr="30EC08DA">
        <w:rPr>
          <w:rFonts w:ascii="Aptos" w:eastAsia="Aptos" w:hAnsi="Aptos" w:cs="Aptos"/>
          <w:i/>
          <w:iCs/>
          <w:color w:val="000000" w:themeColor="text1"/>
          <w:lang w:val="en-US"/>
        </w:rPr>
        <w:t>Mental Health Science</w:t>
      </w:r>
      <w:r w:rsidRPr="30EC08DA">
        <w:rPr>
          <w:rFonts w:ascii="Aptos" w:eastAsia="Aptos" w:hAnsi="Aptos" w:cs="Aptos"/>
          <w:color w:val="000000" w:themeColor="text1"/>
          <w:lang w:val="en-US"/>
        </w:rPr>
        <w:t>, e81.</w:t>
      </w:r>
    </w:p>
    <w:p w14:paraId="0BE2E667" w14:textId="4BF1B3B6" w:rsidR="00D023E7" w:rsidRPr="00C31A83" w:rsidRDefault="5A8786C3" w:rsidP="001B3723">
      <w:pPr>
        <w:spacing w:after="0" w:line="480" w:lineRule="auto"/>
        <w:ind w:left="720" w:hanging="720"/>
        <w:rPr>
          <w:rFonts w:ascii="Aptos" w:eastAsia="Aptos" w:hAnsi="Aptos" w:cs="Aptos"/>
          <w:lang w:val="en-US"/>
        </w:rPr>
      </w:pPr>
      <w:r w:rsidRPr="30EC08DA">
        <w:rPr>
          <w:rFonts w:ascii="Aptos" w:eastAsia="Aptos" w:hAnsi="Aptos" w:cs="Aptos"/>
          <w:lang w:val="en-US"/>
        </w:rPr>
        <w:t xml:space="preserve">Morriss, J., Goh, K., Hirsch, C. R., &amp; Dodd, H. F. (2023). Intolerance of uncertainty heightens negative emotional states and dampens positive emotional states. </w:t>
      </w:r>
      <w:r w:rsidRPr="30EC08DA">
        <w:rPr>
          <w:rFonts w:ascii="Aptos" w:eastAsia="Aptos" w:hAnsi="Aptos" w:cs="Aptos"/>
          <w:i/>
          <w:iCs/>
          <w:lang w:val="en-US"/>
        </w:rPr>
        <w:t>Frontiers in Psychiatry, 14</w:t>
      </w:r>
      <w:r w:rsidRPr="30EC08DA">
        <w:rPr>
          <w:rFonts w:ascii="Aptos" w:eastAsia="Aptos" w:hAnsi="Aptos" w:cs="Aptos"/>
          <w:lang w:val="en-US"/>
        </w:rPr>
        <w:t>, 1147970.</w:t>
      </w:r>
    </w:p>
    <w:p w14:paraId="3883FE33" w14:textId="0BB1EF8A" w:rsidR="00D023E7" w:rsidRPr="00C31A83" w:rsidRDefault="65ADF7CE" w:rsidP="001B3723">
      <w:pPr>
        <w:spacing w:after="0" w:line="480" w:lineRule="auto"/>
        <w:ind w:left="720" w:hanging="720"/>
        <w:rPr>
          <w:rFonts w:ascii="Aptos" w:eastAsia="Aptos" w:hAnsi="Aptos" w:cs="Aptos"/>
          <w:i/>
          <w:iCs/>
          <w:lang w:val="en-US"/>
        </w:rPr>
      </w:pPr>
      <w:r w:rsidRPr="225CEE99">
        <w:rPr>
          <w:rFonts w:ascii="Aptos" w:eastAsia="Aptos" w:hAnsi="Aptos" w:cs="Aptos"/>
          <w:lang w:val="en-US"/>
        </w:rPr>
        <w:t xml:space="preserve">Pepperdine, E., Lomax, C., &amp; Freeston, M. (2018). Disentangling Intolerance of Uncertainty and Threat Appraisal in Everyday Situations. </w:t>
      </w:r>
      <w:r w:rsidRPr="225CEE99">
        <w:rPr>
          <w:rFonts w:ascii="Aptos" w:eastAsia="Aptos" w:hAnsi="Aptos" w:cs="Aptos"/>
          <w:i/>
          <w:iCs/>
          <w:lang w:val="en-US"/>
        </w:rPr>
        <w:t>Journal of Anxiety Disorders, 57,</w:t>
      </w:r>
      <w:r w:rsidRPr="225CEE99">
        <w:rPr>
          <w:rFonts w:ascii="Aptos" w:eastAsia="Aptos" w:hAnsi="Aptos" w:cs="Aptos"/>
          <w:lang w:val="en-US"/>
        </w:rPr>
        <w:t xml:space="preserve"> 21-38</w:t>
      </w:r>
      <w:r w:rsidRPr="225CEE99">
        <w:rPr>
          <w:rFonts w:ascii="Aptos" w:eastAsia="Aptos" w:hAnsi="Aptos" w:cs="Aptos"/>
          <w:i/>
          <w:iCs/>
          <w:lang w:val="en-US"/>
        </w:rPr>
        <w:t>.</w:t>
      </w:r>
    </w:p>
    <w:p w14:paraId="59B72980" w14:textId="3C6D0D73" w:rsidR="6CFA6D10" w:rsidRDefault="6CFA6D10" w:rsidP="001B3723">
      <w:pPr>
        <w:spacing w:after="0" w:line="480" w:lineRule="auto"/>
        <w:ind w:left="720" w:hanging="720"/>
        <w:rPr>
          <w:rFonts w:ascii="Aptos" w:eastAsia="Aptos" w:hAnsi="Aptos" w:cs="Aptos"/>
          <w:lang w:val="en-US"/>
        </w:rPr>
      </w:pPr>
      <w:r w:rsidRPr="2A4FE2FE">
        <w:rPr>
          <w:rFonts w:ascii="Aptos" w:eastAsia="Aptos" w:hAnsi="Aptos" w:cs="Aptos"/>
          <w:lang w:val="en-US"/>
        </w:rPr>
        <w:t xml:space="preserve">Peters, E. R., Moritz, S., </w:t>
      </w:r>
      <w:proofErr w:type="spellStart"/>
      <w:r w:rsidRPr="2A4FE2FE">
        <w:rPr>
          <w:rFonts w:ascii="Aptos" w:eastAsia="Aptos" w:hAnsi="Aptos" w:cs="Aptos"/>
          <w:lang w:val="en-US"/>
        </w:rPr>
        <w:t>Schwannauer</w:t>
      </w:r>
      <w:proofErr w:type="spellEnd"/>
      <w:r w:rsidRPr="2A4FE2FE">
        <w:rPr>
          <w:rFonts w:ascii="Aptos" w:eastAsia="Aptos" w:hAnsi="Aptos" w:cs="Aptos"/>
          <w:lang w:val="en-US"/>
        </w:rPr>
        <w:t xml:space="preserve">, M., Wiseman, Z., Greenwood, K. E., Scott, J., ... &amp; </w:t>
      </w:r>
      <w:proofErr w:type="spellStart"/>
      <w:r w:rsidRPr="2A4FE2FE">
        <w:rPr>
          <w:rFonts w:ascii="Aptos" w:eastAsia="Aptos" w:hAnsi="Aptos" w:cs="Aptos"/>
          <w:lang w:val="en-US"/>
        </w:rPr>
        <w:t>Garety</w:t>
      </w:r>
      <w:proofErr w:type="spellEnd"/>
      <w:r w:rsidRPr="2A4FE2FE">
        <w:rPr>
          <w:rFonts w:ascii="Aptos" w:eastAsia="Aptos" w:hAnsi="Aptos" w:cs="Aptos"/>
          <w:lang w:val="en-US"/>
        </w:rPr>
        <w:t xml:space="preserve">, P. A. (2014). Cognitive biases questionnaire for psychosis. </w:t>
      </w:r>
      <w:r w:rsidRPr="2A4FE2FE">
        <w:rPr>
          <w:rFonts w:ascii="Aptos" w:eastAsia="Aptos" w:hAnsi="Aptos" w:cs="Aptos"/>
          <w:i/>
          <w:iCs/>
          <w:lang w:val="en-US"/>
        </w:rPr>
        <w:t>Schizophrenia Bulletin</w:t>
      </w:r>
      <w:r w:rsidRPr="2A4FE2FE">
        <w:rPr>
          <w:rFonts w:ascii="Aptos" w:eastAsia="Aptos" w:hAnsi="Aptos" w:cs="Aptos"/>
          <w:lang w:val="en-US"/>
        </w:rPr>
        <w:t xml:space="preserve">, </w:t>
      </w:r>
      <w:r w:rsidRPr="2A4FE2FE">
        <w:rPr>
          <w:rFonts w:ascii="Aptos" w:eastAsia="Aptos" w:hAnsi="Aptos" w:cs="Aptos"/>
          <w:i/>
          <w:iCs/>
          <w:lang w:val="en-US"/>
        </w:rPr>
        <w:t>40</w:t>
      </w:r>
      <w:r w:rsidRPr="2A4FE2FE">
        <w:rPr>
          <w:rFonts w:ascii="Aptos" w:eastAsia="Aptos" w:hAnsi="Aptos" w:cs="Aptos"/>
          <w:lang w:val="en-US"/>
        </w:rPr>
        <w:t>(2), 300-313.</w:t>
      </w:r>
    </w:p>
    <w:p w14:paraId="7BE687DF" w14:textId="606CD6BD" w:rsidR="0599AF04" w:rsidRDefault="0599AF04" w:rsidP="001B3723">
      <w:pPr>
        <w:spacing w:after="0" w:line="480" w:lineRule="auto"/>
        <w:ind w:left="720" w:hanging="720"/>
        <w:rPr>
          <w:rFonts w:ascii="Aptos" w:eastAsia="Aptos" w:hAnsi="Aptos" w:cs="Aptos"/>
          <w:lang w:val="en-US"/>
        </w:rPr>
      </w:pPr>
      <w:proofErr w:type="spellStart"/>
      <w:r w:rsidRPr="77A8D69F">
        <w:rPr>
          <w:rFonts w:ascii="Aptos" w:eastAsia="Aptos" w:hAnsi="Aptos" w:cs="Aptos"/>
          <w:lang w:val="en-US"/>
        </w:rPr>
        <w:t>Rammstedt</w:t>
      </w:r>
      <w:proofErr w:type="spellEnd"/>
      <w:r w:rsidRPr="77A8D69F">
        <w:rPr>
          <w:rFonts w:ascii="Aptos" w:eastAsia="Aptos" w:hAnsi="Aptos" w:cs="Aptos"/>
          <w:lang w:val="en-US"/>
        </w:rPr>
        <w:t>, B., &amp; John, O. P. (2007). Measuring personality in one minute or less: A 10-item short version of the Big Five Inventory in English and German.</w:t>
      </w:r>
      <w:r w:rsidRPr="77A8D69F">
        <w:rPr>
          <w:rFonts w:ascii="Aptos" w:eastAsia="Aptos" w:hAnsi="Aptos" w:cs="Aptos"/>
          <w:i/>
          <w:iCs/>
          <w:lang w:val="en-US"/>
        </w:rPr>
        <w:t xml:space="preserve"> Journal of Research in Personality</w:t>
      </w:r>
      <w:r w:rsidRPr="77A8D69F">
        <w:rPr>
          <w:rFonts w:ascii="Aptos" w:eastAsia="Aptos" w:hAnsi="Aptos" w:cs="Aptos"/>
          <w:lang w:val="en-US"/>
        </w:rPr>
        <w:t xml:space="preserve">, </w:t>
      </w:r>
      <w:r w:rsidRPr="77A8D69F">
        <w:rPr>
          <w:rFonts w:ascii="Aptos" w:eastAsia="Aptos" w:hAnsi="Aptos" w:cs="Aptos"/>
          <w:i/>
          <w:iCs/>
          <w:lang w:val="en-US"/>
        </w:rPr>
        <w:t>41</w:t>
      </w:r>
      <w:r w:rsidRPr="77A8D69F">
        <w:rPr>
          <w:rFonts w:ascii="Aptos" w:eastAsia="Aptos" w:hAnsi="Aptos" w:cs="Aptos"/>
          <w:lang w:val="en-US"/>
        </w:rPr>
        <w:t>(1), 203-212.</w:t>
      </w:r>
    </w:p>
    <w:p w14:paraId="13CC5028" w14:textId="3F1B55E6" w:rsidR="30E490D6" w:rsidRDefault="30E490D6" w:rsidP="001B3723">
      <w:pPr>
        <w:spacing w:after="0" w:line="480" w:lineRule="auto"/>
        <w:ind w:left="720" w:hanging="720"/>
        <w:rPr>
          <w:rFonts w:ascii="Aptos" w:eastAsia="Aptos" w:hAnsi="Aptos" w:cs="Aptos"/>
          <w:lang w:val="en-US"/>
        </w:rPr>
      </w:pPr>
      <w:r w:rsidRPr="77A8D69F">
        <w:rPr>
          <w:rFonts w:ascii="Aptos" w:eastAsia="Aptos" w:hAnsi="Aptos" w:cs="Aptos"/>
          <w:lang w:val="en-US"/>
        </w:rPr>
        <w:t xml:space="preserve">Reich, J., &amp; Braginsky, Y. (1994). Paranoid personality traits in a panic disorder population: A pilot study. </w:t>
      </w:r>
      <w:r w:rsidRPr="77A8D69F">
        <w:rPr>
          <w:rFonts w:ascii="Aptos" w:eastAsia="Aptos" w:hAnsi="Aptos" w:cs="Aptos"/>
          <w:i/>
          <w:iCs/>
          <w:lang w:val="en-US"/>
        </w:rPr>
        <w:t>Comprehensive Psychiatry</w:t>
      </w:r>
      <w:r w:rsidRPr="77A8D69F">
        <w:rPr>
          <w:rFonts w:ascii="Aptos" w:eastAsia="Aptos" w:hAnsi="Aptos" w:cs="Aptos"/>
          <w:lang w:val="en-US"/>
        </w:rPr>
        <w:t xml:space="preserve">, </w:t>
      </w:r>
      <w:r w:rsidRPr="77A8D69F">
        <w:rPr>
          <w:rFonts w:ascii="Aptos" w:eastAsia="Aptos" w:hAnsi="Aptos" w:cs="Aptos"/>
          <w:i/>
          <w:iCs/>
          <w:lang w:val="en-US"/>
        </w:rPr>
        <w:t>35</w:t>
      </w:r>
      <w:r w:rsidRPr="77A8D69F">
        <w:rPr>
          <w:rFonts w:ascii="Aptos" w:eastAsia="Aptos" w:hAnsi="Aptos" w:cs="Aptos"/>
          <w:lang w:val="en-US"/>
        </w:rPr>
        <w:t>(4), 260-264.</w:t>
      </w:r>
    </w:p>
    <w:p w14:paraId="386E7877" w14:textId="7C45D1C4" w:rsidR="25D99167" w:rsidRDefault="25D99167" w:rsidP="001B3723">
      <w:pPr>
        <w:spacing w:after="0" w:line="480" w:lineRule="auto"/>
        <w:ind w:left="720" w:hanging="720"/>
        <w:rPr>
          <w:rFonts w:ascii="Aptos" w:eastAsia="Aptos" w:hAnsi="Aptos" w:cs="Aptos"/>
          <w:lang w:val="en-US"/>
        </w:rPr>
      </w:pPr>
      <w:proofErr w:type="spellStart"/>
      <w:r w:rsidRPr="77A8D69F">
        <w:rPr>
          <w:rFonts w:ascii="Aptos" w:eastAsia="Aptos" w:hAnsi="Aptos" w:cs="Aptos"/>
          <w:lang w:val="en-US"/>
        </w:rPr>
        <w:lastRenderedPageBreak/>
        <w:t>Rietdijk</w:t>
      </w:r>
      <w:proofErr w:type="spellEnd"/>
      <w:r w:rsidRPr="77A8D69F">
        <w:rPr>
          <w:rFonts w:ascii="Aptos" w:eastAsia="Aptos" w:hAnsi="Aptos" w:cs="Aptos"/>
          <w:lang w:val="en-US"/>
        </w:rPr>
        <w:t xml:space="preserve">, J., </w:t>
      </w:r>
      <w:proofErr w:type="spellStart"/>
      <w:r w:rsidRPr="77A8D69F">
        <w:rPr>
          <w:rFonts w:ascii="Aptos" w:eastAsia="Aptos" w:hAnsi="Aptos" w:cs="Aptos"/>
          <w:lang w:val="en-US"/>
        </w:rPr>
        <w:t>Hogerzeil</w:t>
      </w:r>
      <w:proofErr w:type="spellEnd"/>
      <w:r w:rsidRPr="77A8D69F">
        <w:rPr>
          <w:rFonts w:ascii="Aptos" w:eastAsia="Aptos" w:hAnsi="Aptos" w:cs="Aptos"/>
          <w:lang w:val="en-US"/>
        </w:rPr>
        <w:t xml:space="preserve">, S. J., van Hemert, A. M., Cuijpers, P., </w:t>
      </w:r>
      <w:proofErr w:type="spellStart"/>
      <w:r w:rsidRPr="77A8D69F">
        <w:rPr>
          <w:rFonts w:ascii="Aptos" w:eastAsia="Aptos" w:hAnsi="Aptos" w:cs="Aptos"/>
          <w:lang w:val="en-US"/>
        </w:rPr>
        <w:t>Linszen</w:t>
      </w:r>
      <w:proofErr w:type="spellEnd"/>
      <w:r w:rsidRPr="77A8D69F">
        <w:rPr>
          <w:rFonts w:ascii="Aptos" w:eastAsia="Aptos" w:hAnsi="Aptos" w:cs="Aptos"/>
          <w:lang w:val="en-US"/>
        </w:rPr>
        <w:t xml:space="preserve">, D. H., &amp; van der Gaag, M. (2011). Pathways to psychosis: help-seeking behavior in the prodromal phase. </w:t>
      </w:r>
      <w:r w:rsidRPr="77A8D69F">
        <w:rPr>
          <w:rFonts w:ascii="Aptos" w:eastAsia="Aptos" w:hAnsi="Aptos" w:cs="Aptos"/>
          <w:i/>
          <w:iCs/>
          <w:lang w:val="en-US"/>
        </w:rPr>
        <w:t xml:space="preserve">Schizophrenia </w:t>
      </w:r>
      <w:r w:rsidR="054FFAFC" w:rsidRPr="77A8D69F">
        <w:rPr>
          <w:rFonts w:ascii="Aptos" w:eastAsia="Aptos" w:hAnsi="Aptos" w:cs="Aptos"/>
          <w:i/>
          <w:iCs/>
          <w:lang w:val="en-US"/>
        </w:rPr>
        <w:t>R</w:t>
      </w:r>
      <w:r w:rsidRPr="77A8D69F">
        <w:rPr>
          <w:rFonts w:ascii="Aptos" w:eastAsia="Aptos" w:hAnsi="Aptos" w:cs="Aptos"/>
          <w:i/>
          <w:iCs/>
          <w:lang w:val="en-US"/>
        </w:rPr>
        <w:t>esearch</w:t>
      </w:r>
      <w:r w:rsidRPr="77A8D69F">
        <w:rPr>
          <w:rFonts w:ascii="Aptos" w:eastAsia="Aptos" w:hAnsi="Aptos" w:cs="Aptos"/>
          <w:lang w:val="en-US"/>
        </w:rPr>
        <w:t xml:space="preserve">, </w:t>
      </w:r>
      <w:r w:rsidRPr="77A8D69F">
        <w:rPr>
          <w:rFonts w:ascii="Aptos" w:eastAsia="Aptos" w:hAnsi="Aptos" w:cs="Aptos"/>
          <w:i/>
          <w:iCs/>
          <w:lang w:val="en-US"/>
        </w:rPr>
        <w:t>132</w:t>
      </w:r>
      <w:r w:rsidRPr="77A8D69F">
        <w:rPr>
          <w:rFonts w:ascii="Aptos" w:eastAsia="Aptos" w:hAnsi="Aptos" w:cs="Aptos"/>
          <w:lang w:val="en-US"/>
        </w:rPr>
        <w:t>(2-3), 213-219.</w:t>
      </w:r>
    </w:p>
    <w:p w14:paraId="1719EB78" w14:textId="19249FBE" w:rsidR="00D023E7" w:rsidRPr="00C31A83" w:rsidRDefault="1D7A5F04" w:rsidP="001B3723">
      <w:pPr>
        <w:spacing w:after="0" w:line="480" w:lineRule="auto"/>
        <w:ind w:left="720" w:hanging="720"/>
        <w:rPr>
          <w:rFonts w:ascii="Aptos" w:eastAsia="Aptos" w:hAnsi="Aptos" w:cs="Aptos"/>
          <w:lang w:val="en-US"/>
        </w:rPr>
      </w:pPr>
      <w:proofErr w:type="spellStart"/>
      <w:r w:rsidRPr="77A8D69F">
        <w:rPr>
          <w:rFonts w:ascii="Aptos" w:eastAsia="Aptos" w:hAnsi="Aptos" w:cs="Aptos"/>
          <w:lang w:val="en-US"/>
        </w:rPr>
        <w:t>Shihata</w:t>
      </w:r>
      <w:proofErr w:type="spellEnd"/>
      <w:r w:rsidRPr="77A8D69F">
        <w:rPr>
          <w:rFonts w:ascii="Aptos" w:eastAsia="Aptos" w:hAnsi="Aptos" w:cs="Aptos"/>
          <w:lang w:val="en-US"/>
        </w:rPr>
        <w:t xml:space="preserve">, S., McEvoy, P. M., Mullan, B. A., &amp; Carleton, R. N. (2016). Intolerance of uncertainty in emotional disorders: What uncertainties remain? </w:t>
      </w:r>
      <w:r w:rsidRPr="77A8D69F">
        <w:rPr>
          <w:rFonts w:ascii="Aptos" w:eastAsia="Aptos" w:hAnsi="Aptos" w:cs="Aptos"/>
          <w:i/>
          <w:iCs/>
          <w:lang w:val="en-US"/>
        </w:rPr>
        <w:t>Journal of Anxiety Disorders, 41</w:t>
      </w:r>
      <w:r w:rsidRPr="77A8D69F">
        <w:rPr>
          <w:rFonts w:ascii="Aptos" w:eastAsia="Aptos" w:hAnsi="Aptos" w:cs="Aptos"/>
          <w:lang w:val="en-US"/>
        </w:rPr>
        <w:t>, 115-124.</w:t>
      </w:r>
    </w:p>
    <w:p w14:paraId="67C11A8E" w14:textId="4DB912F8" w:rsidR="155868E3" w:rsidRDefault="27BA7A47" w:rsidP="001B3723">
      <w:pPr>
        <w:spacing w:after="0" w:line="480" w:lineRule="auto"/>
        <w:ind w:left="720" w:hanging="720"/>
        <w:rPr>
          <w:rFonts w:ascii="Aptos" w:eastAsia="Aptos" w:hAnsi="Aptos" w:cs="Aptos"/>
          <w:lang w:val="en-US"/>
        </w:rPr>
      </w:pPr>
      <w:r w:rsidRPr="00060B29">
        <w:rPr>
          <w:rFonts w:ascii="Aptos" w:eastAsia="Aptos" w:hAnsi="Aptos" w:cs="Aptos"/>
          <w:lang w:val="sv-FI"/>
        </w:rPr>
        <w:t xml:space="preserve">Shioiri, T., Shinada, K., Kuwabara, H., &amp; Someya, T. (2007). </w:t>
      </w:r>
      <w:r w:rsidRPr="03E8BD2E">
        <w:rPr>
          <w:rFonts w:ascii="Aptos" w:eastAsia="Aptos" w:hAnsi="Aptos" w:cs="Aptos"/>
          <w:lang w:val="en-US"/>
        </w:rPr>
        <w:t xml:space="preserve">Early prodromal symptoms and diagnoses before first psychotic episode in 219 </w:t>
      </w:r>
      <w:proofErr w:type="spellStart"/>
      <w:r w:rsidRPr="03E8BD2E">
        <w:rPr>
          <w:rFonts w:ascii="Aptos" w:eastAsia="Aptos" w:hAnsi="Aptos" w:cs="Aptos"/>
          <w:lang w:val="en-US"/>
        </w:rPr>
        <w:t>inpatients</w:t>
      </w:r>
      <w:proofErr w:type="spellEnd"/>
      <w:r w:rsidRPr="03E8BD2E">
        <w:rPr>
          <w:rFonts w:ascii="Aptos" w:eastAsia="Aptos" w:hAnsi="Aptos" w:cs="Aptos"/>
          <w:lang w:val="en-US"/>
        </w:rPr>
        <w:t xml:space="preserve"> with schizophrenia. </w:t>
      </w:r>
      <w:r w:rsidRPr="03E8BD2E">
        <w:rPr>
          <w:rFonts w:ascii="Aptos" w:eastAsia="Aptos" w:hAnsi="Aptos" w:cs="Aptos"/>
          <w:i/>
          <w:iCs/>
          <w:lang w:val="en-US"/>
        </w:rPr>
        <w:t>Psychiatry and Clinical Neurosciences</w:t>
      </w:r>
      <w:r w:rsidRPr="03E8BD2E">
        <w:rPr>
          <w:rFonts w:ascii="Aptos" w:eastAsia="Aptos" w:hAnsi="Aptos" w:cs="Aptos"/>
          <w:lang w:val="en-US"/>
        </w:rPr>
        <w:t xml:space="preserve">, </w:t>
      </w:r>
      <w:r w:rsidRPr="03E8BD2E">
        <w:rPr>
          <w:rFonts w:ascii="Aptos" w:eastAsia="Aptos" w:hAnsi="Aptos" w:cs="Aptos"/>
          <w:i/>
          <w:iCs/>
          <w:lang w:val="en-US"/>
        </w:rPr>
        <w:t>61</w:t>
      </w:r>
      <w:r w:rsidRPr="03E8BD2E">
        <w:rPr>
          <w:rFonts w:ascii="Aptos" w:eastAsia="Aptos" w:hAnsi="Aptos" w:cs="Aptos"/>
          <w:lang w:val="en-US"/>
        </w:rPr>
        <w:t>(4), 348-354.</w:t>
      </w:r>
    </w:p>
    <w:p w14:paraId="7AB3C6B9" w14:textId="63D3BFA7" w:rsidR="7952C089" w:rsidRDefault="7952C089" w:rsidP="001B3723">
      <w:pPr>
        <w:spacing w:after="0" w:line="480" w:lineRule="auto"/>
        <w:ind w:left="720" w:hanging="720"/>
        <w:rPr>
          <w:rFonts w:ascii="Aptos" w:eastAsia="Aptos" w:hAnsi="Aptos" w:cs="Aptos"/>
          <w:lang w:val="en-US"/>
        </w:rPr>
      </w:pPr>
      <w:r w:rsidRPr="03E8BD2E">
        <w:rPr>
          <w:rFonts w:ascii="Aptos" w:eastAsia="Aptos" w:hAnsi="Aptos" w:cs="Aptos"/>
          <w:lang w:val="en-US"/>
        </w:rPr>
        <w:t>Sitko, K., Bewick, B. M., Owens, D., &amp; Masterson, C. (2020). Meta-analysis and meta-regression of cognitive behavioral therapy for psychosis (</w:t>
      </w:r>
      <w:proofErr w:type="spellStart"/>
      <w:r w:rsidRPr="03E8BD2E">
        <w:rPr>
          <w:rFonts w:ascii="Aptos" w:eastAsia="Aptos" w:hAnsi="Aptos" w:cs="Aptos"/>
          <w:lang w:val="en-US"/>
        </w:rPr>
        <w:t>CBTp</w:t>
      </w:r>
      <w:proofErr w:type="spellEnd"/>
      <w:r w:rsidRPr="03E8BD2E">
        <w:rPr>
          <w:rFonts w:ascii="Aptos" w:eastAsia="Aptos" w:hAnsi="Aptos" w:cs="Aptos"/>
          <w:lang w:val="en-US"/>
        </w:rPr>
        <w:t xml:space="preserve">) across time: the effectiveness of </w:t>
      </w:r>
      <w:proofErr w:type="spellStart"/>
      <w:r w:rsidRPr="03E8BD2E">
        <w:rPr>
          <w:rFonts w:ascii="Aptos" w:eastAsia="Aptos" w:hAnsi="Aptos" w:cs="Aptos"/>
          <w:lang w:val="en-US"/>
        </w:rPr>
        <w:t>CBTp</w:t>
      </w:r>
      <w:proofErr w:type="spellEnd"/>
      <w:r w:rsidRPr="03E8BD2E">
        <w:rPr>
          <w:rFonts w:ascii="Aptos" w:eastAsia="Aptos" w:hAnsi="Aptos" w:cs="Aptos"/>
          <w:lang w:val="en-US"/>
        </w:rPr>
        <w:t xml:space="preserve"> has improved for delusions. </w:t>
      </w:r>
      <w:r w:rsidRPr="03E8BD2E">
        <w:rPr>
          <w:rFonts w:ascii="Aptos" w:eastAsia="Aptos" w:hAnsi="Aptos" w:cs="Aptos"/>
          <w:i/>
          <w:iCs/>
          <w:lang w:val="en-US"/>
        </w:rPr>
        <w:t>Schizophrenia Bulletin Open</w:t>
      </w:r>
      <w:r w:rsidRPr="03E8BD2E">
        <w:rPr>
          <w:rFonts w:ascii="Aptos" w:eastAsia="Aptos" w:hAnsi="Aptos" w:cs="Aptos"/>
          <w:lang w:val="en-US"/>
        </w:rPr>
        <w:t>, 1(1), sgaa023.</w:t>
      </w:r>
    </w:p>
    <w:p w14:paraId="67605E28" w14:textId="65499106" w:rsidR="112ED96E" w:rsidRDefault="112ED96E" w:rsidP="001B3723">
      <w:pPr>
        <w:spacing w:after="0" w:line="480" w:lineRule="auto"/>
        <w:ind w:left="720" w:hanging="720"/>
        <w:rPr>
          <w:rFonts w:ascii="Aptos" w:eastAsia="Aptos" w:hAnsi="Aptos" w:cs="Aptos"/>
          <w:lang w:val="en-US"/>
        </w:rPr>
      </w:pPr>
      <w:r w:rsidRPr="77A8D69F">
        <w:rPr>
          <w:rFonts w:ascii="Aptos" w:eastAsia="Aptos" w:hAnsi="Aptos" w:cs="Aptos"/>
          <w:lang w:val="en-US"/>
        </w:rPr>
        <w:t xml:space="preserve">So, S. H. W., Siu, N. Y. F., Wong, H. L., Chan, W., &amp; </w:t>
      </w:r>
      <w:proofErr w:type="spellStart"/>
      <w:r w:rsidRPr="77A8D69F">
        <w:rPr>
          <w:rFonts w:ascii="Aptos" w:eastAsia="Aptos" w:hAnsi="Aptos" w:cs="Aptos"/>
          <w:lang w:val="en-US"/>
        </w:rPr>
        <w:t>Garety</w:t>
      </w:r>
      <w:proofErr w:type="spellEnd"/>
      <w:r w:rsidRPr="77A8D69F">
        <w:rPr>
          <w:rFonts w:ascii="Aptos" w:eastAsia="Aptos" w:hAnsi="Aptos" w:cs="Aptos"/>
          <w:lang w:val="en-US"/>
        </w:rPr>
        <w:t xml:space="preserve">, P. A. (2016). ‘Jumping to conclusions’ data-gathering bias in psychosis and other psychiatric disorders—Two meta-analyses of comparisons between patients and healthy individuals. </w:t>
      </w:r>
      <w:r w:rsidRPr="77A8D69F">
        <w:rPr>
          <w:rFonts w:ascii="Aptos" w:eastAsia="Aptos" w:hAnsi="Aptos" w:cs="Aptos"/>
          <w:i/>
          <w:iCs/>
          <w:lang w:val="en-US"/>
        </w:rPr>
        <w:t>Clinical Psychology Review</w:t>
      </w:r>
      <w:r w:rsidRPr="77A8D69F">
        <w:rPr>
          <w:rFonts w:ascii="Aptos" w:eastAsia="Aptos" w:hAnsi="Aptos" w:cs="Aptos"/>
          <w:lang w:val="en-US"/>
        </w:rPr>
        <w:t xml:space="preserve">, </w:t>
      </w:r>
      <w:r w:rsidRPr="77A8D69F">
        <w:rPr>
          <w:rFonts w:ascii="Aptos" w:eastAsia="Aptos" w:hAnsi="Aptos" w:cs="Aptos"/>
          <w:i/>
          <w:iCs/>
          <w:lang w:val="en-US"/>
        </w:rPr>
        <w:t>46</w:t>
      </w:r>
      <w:r w:rsidRPr="77A8D69F">
        <w:rPr>
          <w:rFonts w:ascii="Aptos" w:eastAsia="Aptos" w:hAnsi="Aptos" w:cs="Aptos"/>
          <w:lang w:val="en-US"/>
        </w:rPr>
        <w:t>, 151-167.</w:t>
      </w:r>
    </w:p>
    <w:p w14:paraId="0517EC6E" w14:textId="69F4DCCC" w:rsidR="00D023E7" w:rsidRPr="00C31A83" w:rsidRDefault="2A1A53ED" w:rsidP="001B3723">
      <w:pPr>
        <w:spacing w:after="0" w:line="480" w:lineRule="auto"/>
        <w:ind w:left="720" w:hanging="720"/>
        <w:rPr>
          <w:rFonts w:ascii="Aptos" w:eastAsia="Aptos" w:hAnsi="Aptos" w:cs="Aptos"/>
          <w:lang w:val="en-US"/>
        </w:rPr>
      </w:pPr>
      <w:r w:rsidRPr="77A8D69F">
        <w:rPr>
          <w:rFonts w:ascii="Aptos" w:eastAsia="Aptos" w:hAnsi="Aptos" w:cs="Aptos"/>
          <w:lang w:val="en-US"/>
        </w:rPr>
        <w:t xml:space="preserve">Tanovic, E., Gee, D. G., &amp; </w:t>
      </w:r>
      <w:proofErr w:type="spellStart"/>
      <w:r w:rsidRPr="77A8D69F">
        <w:rPr>
          <w:rFonts w:ascii="Aptos" w:eastAsia="Aptos" w:hAnsi="Aptos" w:cs="Aptos"/>
          <w:lang w:val="en-US"/>
        </w:rPr>
        <w:t>Joormann</w:t>
      </w:r>
      <w:proofErr w:type="spellEnd"/>
      <w:r w:rsidRPr="77A8D69F">
        <w:rPr>
          <w:rFonts w:ascii="Aptos" w:eastAsia="Aptos" w:hAnsi="Aptos" w:cs="Aptos"/>
          <w:lang w:val="en-US"/>
        </w:rPr>
        <w:t xml:space="preserve">, J. (2018). Intolerance of uncertainty: Neural and psychophysiological correlates of the perception of uncertainty as threatening. </w:t>
      </w:r>
      <w:r w:rsidRPr="77A8D69F">
        <w:rPr>
          <w:rFonts w:ascii="Aptos" w:eastAsia="Aptos" w:hAnsi="Aptos" w:cs="Aptos"/>
          <w:i/>
          <w:iCs/>
          <w:lang w:val="en-US"/>
        </w:rPr>
        <w:t>Clin</w:t>
      </w:r>
      <w:r w:rsidR="5C3CF612" w:rsidRPr="77A8D69F">
        <w:rPr>
          <w:rFonts w:ascii="Aptos" w:eastAsia="Aptos" w:hAnsi="Aptos" w:cs="Aptos"/>
          <w:i/>
          <w:iCs/>
          <w:lang w:val="en-US"/>
        </w:rPr>
        <w:t>ical</w:t>
      </w:r>
      <w:r w:rsidRPr="77A8D69F">
        <w:rPr>
          <w:rFonts w:ascii="Aptos" w:eastAsia="Aptos" w:hAnsi="Aptos" w:cs="Aptos"/>
          <w:i/>
          <w:iCs/>
          <w:lang w:val="en-US"/>
        </w:rPr>
        <w:t xml:space="preserve"> Psychol</w:t>
      </w:r>
      <w:r w:rsidR="4831C4DE" w:rsidRPr="77A8D69F">
        <w:rPr>
          <w:rFonts w:ascii="Aptos" w:eastAsia="Aptos" w:hAnsi="Aptos" w:cs="Aptos"/>
          <w:i/>
          <w:iCs/>
          <w:lang w:val="en-US"/>
        </w:rPr>
        <w:t>ogy</w:t>
      </w:r>
      <w:r w:rsidRPr="77A8D69F">
        <w:rPr>
          <w:rFonts w:ascii="Aptos" w:eastAsia="Aptos" w:hAnsi="Aptos" w:cs="Aptos"/>
          <w:i/>
          <w:iCs/>
          <w:lang w:val="en-US"/>
        </w:rPr>
        <w:t xml:space="preserve"> Rev</w:t>
      </w:r>
      <w:r w:rsidR="5C803DE3" w:rsidRPr="77A8D69F">
        <w:rPr>
          <w:rFonts w:ascii="Aptos" w:eastAsia="Aptos" w:hAnsi="Aptos" w:cs="Aptos"/>
          <w:i/>
          <w:iCs/>
          <w:lang w:val="en-US"/>
        </w:rPr>
        <w:t>iew</w:t>
      </w:r>
      <w:r w:rsidRPr="77A8D69F">
        <w:rPr>
          <w:rFonts w:ascii="Aptos" w:eastAsia="Aptos" w:hAnsi="Aptos" w:cs="Aptos"/>
          <w:i/>
          <w:iCs/>
          <w:lang w:val="en-US"/>
        </w:rPr>
        <w:t>, 60</w:t>
      </w:r>
      <w:r w:rsidRPr="77A8D69F">
        <w:rPr>
          <w:rFonts w:ascii="Aptos" w:eastAsia="Aptos" w:hAnsi="Aptos" w:cs="Aptos"/>
          <w:lang w:val="en-US"/>
        </w:rPr>
        <w:t>, 87-99.</w:t>
      </w:r>
    </w:p>
    <w:p w14:paraId="52334846" w14:textId="53C0D3C3" w:rsidR="24DB8E8D" w:rsidRDefault="24DB8E8D" w:rsidP="001B3723">
      <w:pPr>
        <w:spacing w:after="0" w:line="480" w:lineRule="auto"/>
        <w:ind w:left="720" w:hanging="720"/>
        <w:rPr>
          <w:rFonts w:ascii="Aptos" w:eastAsia="Aptos" w:hAnsi="Aptos" w:cs="Aptos"/>
          <w:lang w:val="en-US"/>
        </w:rPr>
      </w:pPr>
      <w:r w:rsidRPr="77A8D69F">
        <w:rPr>
          <w:rFonts w:ascii="Aptos" w:eastAsia="Aptos" w:hAnsi="Aptos" w:cs="Aptos"/>
          <w:lang w:val="en-US"/>
        </w:rPr>
        <w:t xml:space="preserve">Taylor, K. N., &amp; Stopa, L. (2013). The fear of others: a pilot study of social anxiety processes in paranoia. </w:t>
      </w:r>
      <w:proofErr w:type="spellStart"/>
      <w:r w:rsidRPr="77A8D69F">
        <w:rPr>
          <w:rFonts w:ascii="Aptos" w:eastAsia="Aptos" w:hAnsi="Aptos" w:cs="Aptos"/>
          <w:i/>
          <w:iCs/>
          <w:lang w:val="en-US"/>
        </w:rPr>
        <w:t>Behavioural</w:t>
      </w:r>
      <w:proofErr w:type="spellEnd"/>
      <w:r w:rsidRPr="77A8D69F">
        <w:rPr>
          <w:rFonts w:ascii="Aptos" w:eastAsia="Aptos" w:hAnsi="Aptos" w:cs="Aptos"/>
          <w:i/>
          <w:iCs/>
          <w:lang w:val="en-US"/>
        </w:rPr>
        <w:t xml:space="preserve"> and Cognitive Psychotherapy</w:t>
      </w:r>
      <w:r w:rsidRPr="77A8D69F">
        <w:rPr>
          <w:rFonts w:ascii="Aptos" w:eastAsia="Aptos" w:hAnsi="Aptos" w:cs="Aptos"/>
          <w:lang w:val="en-US"/>
        </w:rPr>
        <w:t>, 41(1), 66-88.</w:t>
      </w:r>
    </w:p>
    <w:p w14:paraId="67AB6AD5" w14:textId="4AEC8D76" w:rsidR="2BB6A79E" w:rsidRDefault="2BB6A79E" w:rsidP="001B3723">
      <w:pPr>
        <w:spacing w:after="0" w:line="480" w:lineRule="auto"/>
        <w:ind w:left="720" w:hanging="720"/>
        <w:rPr>
          <w:rFonts w:ascii="Aptos" w:eastAsia="Aptos" w:hAnsi="Aptos" w:cs="Aptos"/>
          <w:lang w:val="en-US"/>
        </w:rPr>
      </w:pPr>
      <w:proofErr w:type="spellStart"/>
      <w:r w:rsidRPr="28D42152">
        <w:rPr>
          <w:rFonts w:ascii="Aptos" w:eastAsia="Aptos" w:hAnsi="Aptos" w:cs="Aptos"/>
          <w:lang w:val="en-US"/>
        </w:rPr>
        <w:t>Temmingh</w:t>
      </w:r>
      <w:proofErr w:type="spellEnd"/>
      <w:r w:rsidRPr="28D42152">
        <w:rPr>
          <w:rFonts w:ascii="Aptos" w:eastAsia="Aptos" w:hAnsi="Aptos" w:cs="Aptos"/>
          <w:lang w:val="en-US"/>
        </w:rPr>
        <w:t>, H., &amp; Stein, D. J. (2015). Anxiety in patients with schizophrenia: Epidemiology and management.</w:t>
      </w:r>
      <w:r w:rsidRPr="28D42152">
        <w:rPr>
          <w:rFonts w:ascii="Aptos" w:eastAsia="Aptos" w:hAnsi="Aptos" w:cs="Aptos"/>
          <w:i/>
          <w:iCs/>
          <w:lang w:val="en-US"/>
        </w:rPr>
        <w:t xml:space="preserve"> CNS Drugs</w:t>
      </w:r>
      <w:r w:rsidRPr="28D42152">
        <w:rPr>
          <w:rFonts w:ascii="Aptos" w:eastAsia="Aptos" w:hAnsi="Aptos" w:cs="Aptos"/>
          <w:lang w:val="en-US"/>
        </w:rPr>
        <w:t xml:space="preserve">, </w:t>
      </w:r>
      <w:r w:rsidRPr="28D42152">
        <w:rPr>
          <w:rFonts w:ascii="Aptos" w:eastAsia="Aptos" w:hAnsi="Aptos" w:cs="Aptos"/>
          <w:i/>
          <w:iCs/>
          <w:lang w:val="en-US"/>
        </w:rPr>
        <w:t>29,</w:t>
      </w:r>
      <w:r w:rsidRPr="28D42152">
        <w:rPr>
          <w:rFonts w:ascii="Aptos" w:eastAsia="Aptos" w:hAnsi="Aptos" w:cs="Aptos"/>
          <w:lang w:val="en-US"/>
        </w:rPr>
        <w:t xml:space="preserve"> 819-832.</w:t>
      </w:r>
    </w:p>
    <w:p w14:paraId="5DC8E6FF" w14:textId="5093BE20" w:rsidR="6374A9BC" w:rsidRDefault="1F315561" w:rsidP="001B3723">
      <w:pPr>
        <w:spacing w:after="0" w:line="480" w:lineRule="auto"/>
        <w:ind w:left="720" w:hanging="720"/>
        <w:rPr>
          <w:rFonts w:ascii="Aptos" w:eastAsia="Aptos" w:hAnsi="Aptos" w:cs="Aptos"/>
          <w:lang w:val="en-US"/>
        </w:rPr>
      </w:pPr>
      <w:r w:rsidRPr="28D42152">
        <w:rPr>
          <w:rFonts w:ascii="Aptos" w:eastAsia="Aptos" w:hAnsi="Aptos" w:cs="Aptos"/>
          <w:lang w:val="en-US"/>
        </w:rPr>
        <w:t xml:space="preserve">White, R. G., &amp; </w:t>
      </w:r>
      <w:proofErr w:type="spellStart"/>
      <w:r w:rsidRPr="28D42152">
        <w:rPr>
          <w:rFonts w:ascii="Aptos" w:eastAsia="Aptos" w:hAnsi="Aptos" w:cs="Aptos"/>
          <w:lang w:val="en-US"/>
        </w:rPr>
        <w:t>Gumley</w:t>
      </w:r>
      <w:proofErr w:type="spellEnd"/>
      <w:r w:rsidRPr="28D42152">
        <w:rPr>
          <w:rFonts w:ascii="Aptos" w:eastAsia="Aptos" w:hAnsi="Aptos" w:cs="Aptos"/>
          <w:lang w:val="en-US"/>
        </w:rPr>
        <w:t xml:space="preserve">, A. (2010). Intolerance of uncertainty and distress associated with the experience of psychosis. </w:t>
      </w:r>
      <w:r w:rsidRPr="28D42152">
        <w:rPr>
          <w:rFonts w:ascii="Aptos" w:eastAsia="Aptos" w:hAnsi="Aptos" w:cs="Aptos"/>
          <w:i/>
          <w:iCs/>
          <w:lang w:val="en-US"/>
        </w:rPr>
        <w:t>Psychology and Psychotherapy: Theory, Research and Practice</w:t>
      </w:r>
      <w:r w:rsidRPr="28D42152">
        <w:rPr>
          <w:rFonts w:ascii="Aptos" w:eastAsia="Aptos" w:hAnsi="Aptos" w:cs="Aptos"/>
          <w:lang w:val="en-US"/>
        </w:rPr>
        <w:t xml:space="preserve">, </w:t>
      </w:r>
      <w:r w:rsidRPr="28D42152">
        <w:rPr>
          <w:rFonts w:ascii="Aptos" w:eastAsia="Aptos" w:hAnsi="Aptos" w:cs="Aptos"/>
          <w:i/>
          <w:iCs/>
          <w:lang w:val="en-US"/>
        </w:rPr>
        <w:t>83</w:t>
      </w:r>
      <w:r w:rsidRPr="28D42152">
        <w:rPr>
          <w:rFonts w:ascii="Aptos" w:eastAsia="Aptos" w:hAnsi="Aptos" w:cs="Aptos"/>
          <w:lang w:val="en-US"/>
        </w:rPr>
        <w:t>(3), 317-324.</w:t>
      </w:r>
    </w:p>
    <w:p w14:paraId="1546F717" w14:textId="07EA8679" w:rsidR="0022A029" w:rsidRDefault="0022A029" w:rsidP="001B3723">
      <w:pPr>
        <w:spacing w:after="0" w:line="480" w:lineRule="auto"/>
        <w:ind w:left="720" w:hanging="720"/>
        <w:rPr>
          <w:rFonts w:ascii="Aptos" w:eastAsia="Aptos" w:hAnsi="Aptos" w:cs="Aptos"/>
          <w:lang w:val="en-US"/>
        </w:rPr>
      </w:pPr>
      <w:r w:rsidRPr="28D42152">
        <w:rPr>
          <w:rFonts w:ascii="Aptos" w:eastAsia="Aptos" w:hAnsi="Aptos" w:cs="Aptos"/>
          <w:lang w:val="en-US"/>
        </w:rPr>
        <w:lastRenderedPageBreak/>
        <w:t xml:space="preserve">Yung, A. R., &amp; McGorry, P. D. (1996). The prodromal phase of first-episode psychosis: past and current conceptualizations. </w:t>
      </w:r>
      <w:r w:rsidRPr="28D42152">
        <w:rPr>
          <w:rFonts w:ascii="Aptos" w:eastAsia="Aptos" w:hAnsi="Aptos" w:cs="Aptos"/>
          <w:i/>
          <w:iCs/>
          <w:lang w:val="en-US"/>
        </w:rPr>
        <w:t>Schizophrenia Bulletin</w:t>
      </w:r>
      <w:r w:rsidRPr="28D42152">
        <w:rPr>
          <w:rFonts w:ascii="Aptos" w:eastAsia="Aptos" w:hAnsi="Aptos" w:cs="Aptos"/>
          <w:lang w:val="en-US"/>
        </w:rPr>
        <w:t xml:space="preserve">, </w:t>
      </w:r>
      <w:r w:rsidRPr="28D42152">
        <w:rPr>
          <w:rFonts w:ascii="Aptos" w:eastAsia="Aptos" w:hAnsi="Aptos" w:cs="Aptos"/>
          <w:i/>
          <w:iCs/>
          <w:lang w:val="en-US"/>
        </w:rPr>
        <w:t>22</w:t>
      </w:r>
      <w:r w:rsidRPr="28D42152">
        <w:rPr>
          <w:rFonts w:ascii="Aptos" w:eastAsia="Aptos" w:hAnsi="Aptos" w:cs="Aptos"/>
          <w:lang w:val="en-US"/>
        </w:rPr>
        <w:t>(2), 353-370.</w:t>
      </w:r>
    </w:p>
    <w:p w14:paraId="4726294B" w14:textId="108A0A78" w:rsidR="39352730" w:rsidRDefault="39352730" w:rsidP="001B3723">
      <w:pPr>
        <w:spacing w:after="0" w:line="480" w:lineRule="auto"/>
        <w:ind w:left="720" w:hanging="720"/>
        <w:rPr>
          <w:rFonts w:ascii="Aptos" w:eastAsia="Aptos" w:hAnsi="Aptos" w:cs="Aptos"/>
          <w:lang w:val="en-US"/>
        </w:rPr>
      </w:pPr>
      <w:r w:rsidRPr="28D42152">
        <w:rPr>
          <w:rFonts w:ascii="Aptos" w:eastAsia="Aptos" w:hAnsi="Aptos" w:cs="Aptos"/>
          <w:lang w:val="en-US"/>
        </w:rPr>
        <w:t>Yung, A. R., Phillips, L. J., McGorry, P. D., McFarlane, C. A., Francey, S., Harrigan, S., ... &amp; Jackson, H. J. (1998). Prediction of psychosis: a step towards indicated prevention of schizophrenia.</w:t>
      </w:r>
      <w:r w:rsidRPr="28D42152">
        <w:rPr>
          <w:rFonts w:ascii="Aptos" w:eastAsia="Aptos" w:hAnsi="Aptos" w:cs="Aptos"/>
          <w:i/>
          <w:iCs/>
          <w:lang w:val="en-US"/>
        </w:rPr>
        <w:t xml:space="preserve"> The British Journal of Psychiatry</w:t>
      </w:r>
      <w:r w:rsidRPr="28D42152">
        <w:rPr>
          <w:rFonts w:ascii="Aptos" w:eastAsia="Aptos" w:hAnsi="Aptos" w:cs="Aptos"/>
          <w:lang w:val="en-US"/>
        </w:rPr>
        <w:t xml:space="preserve">, </w:t>
      </w:r>
      <w:r w:rsidRPr="28D42152">
        <w:rPr>
          <w:rFonts w:ascii="Aptos" w:eastAsia="Aptos" w:hAnsi="Aptos" w:cs="Aptos"/>
          <w:i/>
          <w:iCs/>
          <w:lang w:val="en-US"/>
        </w:rPr>
        <w:t>172</w:t>
      </w:r>
      <w:r w:rsidRPr="28D42152">
        <w:rPr>
          <w:rFonts w:ascii="Aptos" w:eastAsia="Aptos" w:hAnsi="Aptos" w:cs="Aptos"/>
          <w:lang w:val="en-US"/>
        </w:rPr>
        <w:t>(S33), 14-20.</w:t>
      </w:r>
    </w:p>
    <w:p w14:paraId="70E9A2BD" w14:textId="767768F4" w:rsidR="0766DA3B" w:rsidRDefault="0766DA3B" w:rsidP="001B3723">
      <w:pPr>
        <w:spacing w:after="0" w:line="480" w:lineRule="auto"/>
        <w:ind w:left="720" w:hanging="720"/>
        <w:rPr>
          <w:rFonts w:ascii="Aptos" w:eastAsia="Aptos" w:hAnsi="Aptos" w:cs="Aptos"/>
          <w:lang w:val="en-US"/>
        </w:rPr>
      </w:pPr>
      <w:r w:rsidRPr="28D42152">
        <w:rPr>
          <w:rFonts w:ascii="Aptos" w:eastAsia="Aptos" w:hAnsi="Aptos" w:cs="Aptos"/>
          <w:lang w:val="en-US"/>
        </w:rPr>
        <w:t xml:space="preserve">Yung, A. R., Phillips, L. J., Yuen, H. P., Francey, S. M., McFarlane, C. A., Hallgren, M., &amp; McGorry, P. D. (2003). Psychosis prediction: 12-month follow up of a high-risk (“prodromal”) group. </w:t>
      </w:r>
      <w:r w:rsidRPr="28D42152">
        <w:rPr>
          <w:rFonts w:ascii="Aptos" w:eastAsia="Aptos" w:hAnsi="Aptos" w:cs="Aptos"/>
          <w:i/>
          <w:iCs/>
          <w:lang w:val="en-US"/>
        </w:rPr>
        <w:t>Schizophrenia Research</w:t>
      </w:r>
      <w:r w:rsidRPr="28D42152">
        <w:rPr>
          <w:rFonts w:ascii="Aptos" w:eastAsia="Aptos" w:hAnsi="Aptos" w:cs="Aptos"/>
          <w:lang w:val="en-US"/>
        </w:rPr>
        <w:t xml:space="preserve">, </w:t>
      </w:r>
      <w:r w:rsidRPr="28D42152">
        <w:rPr>
          <w:rFonts w:ascii="Aptos" w:eastAsia="Aptos" w:hAnsi="Aptos" w:cs="Aptos"/>
          <w:i/>
          <w:iCs/>
          <w:lang w:val="en-US"/>
        </w:rPr>
        <w:t>60</w:t>
      </w:r>
      <w:r w:rsidRPr="28D42152">
        <w:rPr>
          <w:rFonts w:ascii="Aptos" w:eastAsia="Aptos" w:hAnsi="Aptos" w:cs="Aptos"/>
          <w:lang w:val="en-US"/>
        </w:rPr>
        <w:t>(1), 21-32.</w:t>
      </w:r>
    </w:p>
    <w:p w14:paraId="082FF906" w14:textId="03EC59E3" w:rsidR="00D023E7" w:rsidRPr="00C31A83" w:rsidRDefault="00D023E7" w:rsidP="001B3723">
      <w:pPr>
        <w:spacing w:after="0" w:line="480" w:lineRule="auto"/>
        <w:ind w:left="720" w:hanging="720"/>
        <w:rPr>
          <w:rFonts w:ascii="Aptos" w:eastAsia="Aptos" w:hAnsi="Aptos" w:cs="Aptos"/>
          <w:lang w:val="en-US"/>
        </w:rPr>
      </w:pPr>
    </w:p>
    <w:p w14:paraId="5BC72EF1" w14:textId="6FFCD522" w:rsidR="00D023E7" w:rsidRPr="00C31A83" w:rsidRDefault="00D023E7" w:rsidP="001B3723">
      <w:pPr>
        <w:spacing w:after="0" w:line="480" w:lineRule="auto"/>
        <w:ind w:left="720" w:hanging="720"/>
        <w:rPr>
          <w:rFonts w:ascii="Aptos" w:eastAsia="Aptos" w:hAnsi="Aptos" w:cs="Aptos"/>
          <w:lang w:val="en-US"/>
        </w:rPr>
      </w:pPr>
    </w:p>
    <w:p w14:paraId="5A05EE4B" w14:textId="71BD6285" w:rsidR="00D023E7" w:rsidRPr="00C31A83" w:rsidRDefault="00D023E7" w:rsidP="001B3723">
      <w:pPr>
        <w:spacing w:after="0" w:line="480" w:lineRule="auto"/>
        <w:ind w:left="720" w:hanging="720"/>
        <w:rPr>
          <w:rFonts w:ascii="Aptos" w:eastAsia="Aptos" w:hAnsi="Aptos" w:cs="Aptos"/>
          <w:lang w:val="en-US"/>
        </w:rPr>
      </w:pPr>
    </w:p>
    <w:p w14:paraId="5125A789" w14:textId="7F3D07D6" w:rsidR="00D023E7" w:rsidRPr="00C31A83" w:rsidRDefault="00D023E7" w:rsidP="001B3723">
      <w:pPr>
        <w:spacing w:after="0" w:line="480" w:lineRule="auto"/>
        <w:ind w:left="720" w:hanging="720"/>
        <w:rPr>
          <w:rFonts w:ascii="Aptos" w:eastAsia="Aptos" w:hAnsi="Aptos" w:cs="Aptos"/>
          <w:lang w:val="en-US"/>
        </w:rPr>
      </w:pPr>
    </w:p>
    <w:p w14:paraId="1183ACA5" w14:textId="6F0D5C0F" w:rsidR="00D023E7" w:rsidRPr="00C31A83" w:rsidRDefault="00D023E7" w:rsidP="001B3723">
      <w:pPr>
        <w:spacing w:after="0" w:line="480" w:lineRule="auto"/>
        <w:jc w:val="center"/>
        <w:rPr>
          <w:rFonts w:ascii="Aptos" w:eastAsia="Aptos" w:hAnsi="Aptos" w:cs="Aptos"/>
          <w:b/>
          <w:bCs/>
        </w:rPr>
      </w:pPr>
    </w:p>
    <w:p w14:paraId="6A07C243" w14:textId="594C0547" w:rsidR="002A7E76" w:rsidRDefault="00DD040A" w:rsidP="001B3723">
      <w:pPr>
        <w:spacing w:after="0" w:line="480" w:lineRule="auto"/>
        <w:rPr>
          <w:rFonts w:ascii="Aptos" w:eastAsia="Aptos" w:hAnsi="Aptos" w:cs="Aptos"/>
          <w:b/>
          <w:bCs/>
        </w:rPr>
      </w:pPr>
      <w:r>
        <w:rPr>
          <w:rFonts w:ascii="Aptos" w:hAnsi="Aptos"/>
        </w:rPr>
        <w:tab/>
      </w:r>
    </w:p>
    <w:p w14:paraId="78FCB41A" w14:textId="77777777" w:rsidR="002A7E76" w:rsidRDefault="002A7E76" w:rsidP="001B3723">
      <w:pPr>
        <w:spacing w:after="0" w:line="480" w:lineRule="auto"/>
        <w:rPr>
          <w:rFonts w:ascii="Aptos" w:eastAsia="Aptos" w:hAnsi="Aptos" w:cs="Aptos"/>
          <w:b/>
          <w:bCs/>
        </w:rPr>
      </w:pPr>
    </w:p>
    <w:p w14:paraId="00728985" w14:textId="77777777" w:rsidR="000F5093" w:rsidRPr="0045308D" w:rsidRDefault="000F5093" w:rsidP="001B3723">
      <w:pPr>
        <w:spacing w:after="0" w:line="480" w:lineRule="auto"/>
        <w:rPr>
          <w:rFonts w:ascii="Aptos" w:eastAsia="Aptos" w:hAnsi="Aptos" w:cs="Aptos"/>
        </w:rPr>
      </w:pPr>
    </w:p>
    <w:sectPr w:rsidR="000F5093" w:rsidRPr="0045308D" w:rsidSect="002A7E76">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2E6E4" w14:textId="77777777" w:rsidR="002068F0" w:rsidRDefault="002068F0" w:rsidP="000E2312">
      <w:pPr>
        <w:spacing w:after="0" w:line="240" w:lineRule="auto"/>
      </w:pPr>
      <w:r>
        <w:separator/>
      </w:r>
    </w:p>
  </w:endnote>
  <w:endnote w:type="continuationSeparator" w:id="0">
    <w:p w14:paraId="7EB32288" w14:textId="77777777" w:rsidR="002068F0" w:rsidRDefault="002068F0" w:rsidP="000E2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841928"/>
      <w:docPartObj>
        <w:docPartGallery w:val="Page Numbers (Bottom of Page)"/>
        <w:docPartUnique/>
      </w:docPartObj>
    </w:sdtPr>
    <w:sdtEndPr>
      <w:rPr>
        <w:noProof/>
      </w:rPr>
    </w:sdtEndPr>
    <w:sdtContent>
      <w:p w14:paraId="4C0F9092" w14:textId="14A554B5" w:rsidR="000E2312" w:rsidRDefault="000E23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2F94BA" w14:textId="77777777" w:rsidR="000E2312" w:rsidRDefault="000E2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E49F8" w14:textId="77777777" w:rsidR="002068F0" w:rsidRDefault="002068F0" w:rsidP="000E2312">
      <w:pPr>
        <w:spacing w:after="0" w:line="240" w:lineRule="auto"/>
      </w:pPr>
      <w:r>
        <w:separator/>
      </w:r>
    </w:p>
  </w:footnote>
  <w:footnote w:type="continuationSeparator" w:id="0">
    <w:p w14:paraId="1ECB9ED8" w14:textId="77777777" w:rsidR="002068F0" w:rsidRDefault="002068F0" w:rsidP="000E2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35450"/>
    <w:multiLevelType w:val="hybridMultilevel"/>
    <w:tmpl w:val="13CE0C04"/>
    <w:lvl w:ilvl="0" w:tplc="792AAE9E">
      <w:start w:val="1"/>
      <w:numFmt w:val="decimal"/>
      <w:lvlText w:val="%1."/>
      <w:lvlJc w:val="left"/>
      <w:pPr>
        <w:ind w:left="720" w:hanging="360"/>
      </w:pPr>
    </w:lvl>
    <w:lvl w:ilvl="1" w:tplc="925A22D6">
      <w:start w:val="1"/>
      <w:numFmt w:val="lowerLetter"/>
      <w:lvlText w:val="%2."/>
      <w:lvlJc w:val="left"/>
      <w:pPr>
        <w:ind w:left="1440" w:hanging="360"/>
      </w:pPr>
    </w:lvl>
    <w:lvl w:ilvl="2" w:tplc="C0364D62">
      <w:start w:val="1"/>
      <w:numFmt w:val="lowerRoman"/>
      <w:lvlText w:val="%3."/>
      <w:lvlJc w:val="right"/>
      <w:pPr>
        <w:ind w:left="2160" w:hanging="180"/>
      </w:pPr>
    </w:lvl>
    <w:lvl w:ilvl="3" w:tplc="040EEA70">
      <w:start w:val="1"/>
      <w:numFmt w:val="decimal"/>
      <w:lvlText w:val="%4."/>
      <w:lvlJc w:val="left"/>
      <w:pPr>
        <w:ind w:left="2880" w:hanging="360"/>
      </w:pPr>
    </w:lvl>
    <w:lvl w:ilvl="4" w:tplc="86C0E90C">
      <w:start w:val="1"/>
      <w:numFmt w:val="lowerLetter"/>
      <w:lvlText w:val="%5."/>
      <w:lvlJc w:val="left"/>
      <w:pPr>
        <w:ind w:left="3600" w:hanging="360"/>
      </w:pPr>
    </w:lvl>
    <w:lvl w:ilvl="5" w:tplc="120CBD7A">
      <w:start w:val="1"/>
      <w:numFmt w:val="lowerRoman"/>
      <w:lvlText w:val="%6."/>
      <w:lvlJc w:val="right"/>
      <w:pPr>
        <w:ind w:left="4320" w:hanging="180"/>
      </w:pPr>
    </w:lvl>
    <w:lvl w:ilvl="6" w:tplc="916A0594">
      <w:start w:val="1"/>
      <w:numFmt w:val="decimal"/>
      <w:lvlText w:val="%7."/>
      <w:lvlJc w:val="left"/>
      <w:pPr>
        <w:ind w:left="5040" w:hanging="360"/>
      </w:pPr>
    </w:lvl>
    <w:lvl w:ilvl="7" w:tplc="6C20977C">
      <w:start w:val="1"/>
      <w:numFmt w:val="lowerLetter"/>
      <w:lvlText w:val="%8."/>
      <w:lvlJc w:val="left"/>
      <w:pPr>
        <w:ind w:left="5760" w:hanging="360"/>
      </w:pPr>
    </w:lvl>
    <w:lvl w:ilvl="8" w:tplc="19841E5A">
      <w:start w:val="1"/>
      <w:numFmt w:val="lowerRoman"/>
      <w:lvlText w:val="%9."/>
      <w:lvlJc w:val="right"/>
      <w:pPr>
        <w:ind w:left="6480" w:hanging="180"/>
      </w:pPr>
    </w:lvl>
  </w:abstractNum>
  <w:abstractNum w:abstractNumId="1" w15:restartNumberingAfterBreak="0">
    <w:nsid w:val="26CC2C83"/>
    <w:multiLevelType w:val="hybridMultilevel"/>
    <w:tmpl w:val="B4EEB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35FF62"/>
    <w:multiLevelType w:val="hybridMultilevel"/>
    <w:tmpl w:val="1D96874C"/>
    <w:lvl w:ilvl="0" w:tplc="E1EE192C">
      <w:start w:val="1"/>
      <w:numFmt w:val="decimal"/>
      <w:lvlText w:val="%1."/>
      <w:lvlJc w:val="left"/>
      <w:pPr>
        <w:ind w:left="720" w:hanging="360"/>
      </w:pPr>
    </w:lvl>
    <w:lvl w:ilvl="1" w:tplc="F11C6662">
      <w:start w:val="1"/>
      <w:numFmt w:val="lowerLetter"/>
      <w:lvlText w:val="%2."/>
      <w:lvlJc w:val="left"/>
      <w:pPr>
        <w:ind w:left="1440" w:hanging="360"/>
      </w:pPr>
    </w:lvl>
    <w:lvl w:ilvl="2" w:tplc="39445288">
      <w:start w:val="1"/>
      <w:numFmt w:val="lowerRoman"/>
      <w:lvlText w:val="%3."/>
      <w:lvlJc w:val="right"/>
      <w:pPr>
        <w:ind w:left="2160" w:hanging="180"/>
      </w:pPr>
    </w:lvl>
    <w:lvl w:ilvl="3" w:tplc="91061B80">
      <w:start w:val="1"/>
      <w:numFmt w:val="decimal"/>
      <w:lvlText w:val="%4."/>
      <w:lvlJc w:val="left"/>
      <w:pPr>
        <w:ind w:left="2880" w:hanging="360"/>
      </w:pPr>
    </w:lvl>
    <w:lvl w:ilvl="4" w:tplc="5AB4401E">
      <w:start w:val="1"/>
      <w:numFmt w:val="lowerLetter"/>
      <w:lvlText w:val="%5."/>
      <w:lvlJc w:val="left"/>
      <w:pPr>
        <w:ind w:left="3600" w:hanging="360"/>
      </w:pPr>
    </w:lvl>
    <w:lvl w:ilvl="5" w:tplc="38544884">
      <w:start w:val="1"/>
      <w:numFmt w:val="lowerRoman"/>
      <w:lvlText w:val="%6."/>
      <w:lvlJc w:val="right"/>
      <w:pPr>
        <w:ind w:left="4320" w:hanging="180"/>
      </w:pPr>
    </w:lvl>
    <w:lvl w:ilvl="6" w:tplc="6D385514">
      <w:start w:val="1"/>
      <w:numFmt w:val="decimal"/>
      <w:lvlText w:val="%7."/>
      <w:lvlJc w:val="left"/>
      <w:pPr>
        <w:ind w:left="5040" w:hanging="360"/>
      </w:pPr>
    </w:lvl>
    <w:lvl w:ilvl="7" w:tplc="77661202">
      <w:start w:val="1"/>
      <w:numFmt w:val="lowerLetter"/>
      <w:lvlText w:val="%8."/>
      <w:lvlJc w:val="left"/>
      <w:pPr>
        <w:ind w:left="5760" w:hanging="360"/>
      </w:pPr>
    </w:lvl>
    <w:lvl w:ilvl="8" w:tplc="5B7052FE">
      <w:start w:val="1"/>
      <w:numFmt w:val="lowerRoman"/>
      <w:lvlText w:val="%9."/>
      <w:lvlJc w:val="right"/>
      <w:pPr>
        <w:ind w:left="6480" w:hanging="180"/>
      </w:pPr>
    </w:lvl>
  </w:abstractNum>
  <w:abstractNum w:abstractNumId="3" w15:restartNumberingAfterBreak="0">
    <w:nsid w:val="68955B61"/>
    <w:multiLevelType w:val="hybridMultilevel"/>
    <w:tmpl w:val="38B28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951F05"/>
    <w:multiLevelType w:val="hybridMultilevel"/>
    <w:tmpl w:val="842ABC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5A5781"/>
    <w:multiLevelType w:val="hybridMultilevel"/>
    <w:tmpl w:val="84D2DAEE"/>
    <w:lvl w:ilvl="0" w:tplc="8CF295D0">
      <w:start w:val="1"/>
      <w:numFmt w:val="decimal"/>
      <w:lvlText w:val="%1."/>
      <w:lvlJc w:val="left"/>
      <w:pPr>
        <w:ind w:left="1080" w:hanging="360"/>
      </w:pPr>
    </w:lvl>
    <w:lvl w:ilvl="1" w:tplc="D6041492">
      <w:start w:val="1"/>
      <w:numFmt w:val="lowerLetter"/>
      <w:lvlText w:val="%2."/>
      <w:lvlJc w:val="left"/>
      <w:pPr>
        <w:ind w:left="1800" w:hanging="360"/>
      </w:pPr>
    </w:lvl>
    <w:lvl w:ilvl="2" w:tplc="AC304E16">
      <w:start w:val="1"/>
      <w:numFmt w:val="lowerRoman"/>
      <w:lvlText w:val="%3."/>
      <w:lvlJc w:val="right"/>
      <w:pPr>
        <w:ind w:left="2520" w:hanging="180"/>
      </w:pPr>
    </w:lvl>
    <w:lvl w:ilvl="3" w:tplc="FDBA4CB2">
      <w:start w:val="1"/>
      <w:numFmt w:val="decimal"/>
      <w:lvlText w:val="%4."/>
      <w:lvlJc w:val="left"/>
      <w:pPr>
        <w:ind w:left="3240" w:hanging="360"/>
      </w:pPr>
    </w:lvl>
    <w:lvl w:ilvl="4" w:tplc="DDC09832">
      <w:start w:val="1"/>
      <w:numFmt w:val="lowerLetter"/>
      <w:lvlText w:val="%5."/>
      <w:lvlJc w:val="left"/>
      <w:pPr>
        <w:ind w:left="3960" w:hanging="360"/>
      </w:pPr>
    </w:lvl>
    <w:lvl w:ilvl="5" w:tplc="3FA61B84">
      <w:start w:val="1"/>
      <w:numFmt w:val="lowerRoman"/>
      <w:lvlText w:val="%6."/>
      <w:lvlJc w:val="right"/>
      <w:pPr>
        <w:ind w:left="4680" w:hanging="180"/>
      </w:pPr>
    </w:lvl>
    <w:lvl w:ilvl="6" w:tplc="0A3C08FE">
      <w:start w:val="1"/>
      <w:numFmt w:val="decimal"/>
      <w:lvlText w:val="%7."/>
      <w:lvlJc w:val="left"/>
      <w:pPr>
        <w:ind w:left="5400" w:hanging="360"/>
      </w:pPr>
    </w:lvl>
    <w:lvl w:ilvl="7" w:tplc="50729222">
      <w:start w:val="1"/>
      <w:numFmt w:val="lowerLetter"/>
      <w:lvlText w:val="%8."/>
      <w:lvlJc w:val="left"/>
      <w:pPr>
        <w:ind w:left="6120" w:hanging="360"/>
      </w:pPr>
    </w:lvl>
    <w:lvl w:ilvl="8" w:tplc="BD9A685A">
      <w:start w:val="1"/>
      <w:numFmt w:val="lowerRoman"/>
      <w:lvlText w:val="%9."/>
      <w:lvlJc w:val="right"/>
      <w:pPr>
        <w:ind w:left="6840" w:hanging="180"/>
      </w:pPr>
    </w:lvl>
  </w:abstractNum>
  <w:num w:numId="1" w16cid:durableId="433213432">
    <w:abstractNumId w:val="0"/>
  </w:num>
  <w:num w:numId="2" w16cid:durableId="1866744756">
    <w:abstractNumId w:val="2"/>
  </w:num>
  <w:num w:numId="3" w16cid:durableId="2040859511">
    <w:abstractNumId w:val="5"/>
  </w:num>
  <w:num w:numId="4" w16cid:durableId="2062051679">
    <w:abstractNumId w:val="4"/>
  </w:num>
  <w:num w:numId="5" w16cid:durableId="324238521">
    <w:abstractNumId w:val="3"/>
  </w:num>
  <w:num w:numId="6" w16cid:durableId="1944992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40A"/>
    <w:rsid w:val="00000AA2"/>
    <w:rsid w:val="000040D6"/>
    <w:rsid w:val="000175DE"/>
    <w:rsid w:val="00039F80"/>
    <w:rsid w:val="000401A0"/>
    <w:rsid w:val="00041214"/>
    <w:rsid w:val="00046A9F"/>
    <w:rsid w:val="00060B29"/>
    <w:rsid w:val="0006790D"/>
    <w:rsid w:val="00082013"/>
    <w:rsid w:val="00086FEC"/>
    <w:rsid w:val="000A3CF8"/>
    <w:rsid w:val="000A4B33"/>
    <w:rsid w:val="000C431D"/>
    <w:rsid w:val="000E2312"/>
    <w:rsid w:val="000F2FF4"/>
    <w:rsid w:val="000F5093"/>
    <w:rsid w:val="00101D2B"/>
    <w:rsid w:val="00105C4F"/>
    <w:rsid w:val="00124B35"/>
    <w:rsid w:val="0016661F"/>
    <w:rsid w:val="00193F45"/>
    <w:rsid w:val="001A13AC"/>
    <w:rsid w:val="001B3723"/>
    <w:rsid w:val="001B64AA"/>
    <w:rsid w:val="001B71F5"/>
    <w:rsid w:val="001C2D32"/>
    <w:rsid w:val="001C6527"/>
    <w:rsid w:val="001E4F0A"/>
    <w:rsid w:val="001E58B5"/>
    <w:rsid w:val="001E7D7D"/>
    <w:rsid w:val="002068F0"/>
    <w:rsid w:val="00226417"/>
    <w:rsid w:val="0022A029"/>
    <w:rsid w:val="00231B53"/>
    <w:rsid w:val="0024719A"/>
    <w:rsid w:val="00282C96"/>
    <w:rsid w:val="002A7E76"/>
    <w:rsid w:val="002B100D"/>
    <w:rsid w:val="002B22AE"/>
    <w:rsid w:val="00300231"/>
    <w:rsid w:val="00326C5F"/>
    <w:rsid w:val="00330A65"/>
    <w:rsid w:val="00332FA5"/>
    <w:rsid w:val="00337502"/>
    <w:rsid w:val="00352AB4"/>
    <w:rsid w:val="00362D12"/>
    <w:rsid w:val="00371B2B"/>
    <w:rsid w:val="0039353C"/>
    <w:rsid w:val="003A1F68"/>
    <w:rsid w:val="003A6F4D"/>
    <w:rsid w:val="003D7F28"/>
    <w:rsid w:val="003F90D5"/>
    <w:rsid w:val="004205FD"/>
    <w:rsid w:val="00421B57"/>
    <w:rsid w:val="004256E1"/>
    <w:rsid w:val="0043174E"/>
    <w:rsid w:val="0044578F"/>
    <w:rsid w:val="0044796C"/>
    <w:rsid w:val="0045308D"/>
    <w:rsid w:val="00474962"/>
    <w:rsid w:val="004900A3"/>
    <w:rsid w:val="00490823"/>
    <w:rsid w:val="004B5C5E"/>
    <w:rsid w:val="004D3110"/>
    <w:rsid w:val="00506D3F"/>
    <w:rsid w:val="0052223D"/>
    <w:rsid w:val="005254C0"/>
    <w:rsid w:val="00525A8C"/>
    <w:rsid w:val="00531B63"/>
    <w:rsid w:val="00531E2B"/>
    <w:rsid w:val="00550DFD"/>
    <w:rsid w:val="00584414"/>
    <w:rsid w:val="005B7B12"/>
    <w:rsid w:val="005B9EF7"/>
    <w:rsid w:val="005C3142"/>
    <w:rsid w:val="005C50C7"/>
    <w:rsid w:val="005C5795"/>
    <w:rsid w:val="005C667C"/>
    <w:rsid w:val="005D3498"/>
    <w:rsid w:val="005D632C"/>
    <w:rsid w:val="005D648F"/>
    <w:rsid w:val="00644503"/>
    <w:rsid w:val="0067465E"/>
    <w:rsid w:val="00675966"/>
    <w:rsid w:val="00677F9E"/>
    <w:rsid w:val="00680638"/>
    <w:rsid w:val="006B3DD8"/>
    <w:rsid w:val="006B4B9B"/>
    <w:rsid w:val="006D62B8"/>
    <w:rsid w:val="006DA7B0"/>
    <w:rsid w:val="006E7AB4"/>
    <w:rsid w:val="006E7BDF"/>
    <w:rsid w:val="006F4C06"/>
    <w:rsid w:val="007129C9"/>
    <w:rsid w:val="00716FED"/>
    <w:rsid w:val="00750FE8"/>
    <w:rsid w:val="0076256B"/>
    <w:rsid w:val="00772009"/>
    <w:rsid w:val="00774248"/>
    <w:rsid w:val="0077477A"/>
    <w:rsid w:val="0079136E"/>
    <w:rsid w:val="007AF508"/>
    <w:rsid w:val="007C380C"/>
    <w:rsid w:val="007C7F8A"/>
    <w:rsid w:val="007D1CEB"/>
    <w:rsid w:val="007E1BD7"/>
    <w:rsid w:val="007F50E5"/>
    <w:rsid w:val="00816A1A"/>
    <w:rsid w:val="008221BF"/>
    <w:rsid w:val="00822930"/>
    <w:rsid w:val="00825B8F"/>
    <w:rsid w:val="00834D01"/>
    <w:rsid w:val="00854058"/>
    <w:rsid w:val="008B55FB"/>
    <w:rsid w:val="008C5B29"/>
    <w:rsid w:val="008D4C68"/>
    <w:rsid w:val="008E0C77"/>
    <w:rsid w:val="0090669E"/>
    <w:rsid w:val="009133EE"/>
    <w:rsid w:val="009206C6"/>
    <w:rsid w:val="009773EF"/>
    <w:rsid w:val="009C7D49"/>
    <w:rsid w:val="009E2129"/>
    <w:rsid w:val="009E7AA6"/>
    <w:rsid w:val="00A01C9A"/>
    <w:rsid w:val="00A170E6"/>
    <w:rsid w:val="00A36974"/>
    <w:rsid w:val="00A375D1"/>
    <w:rsid w:val="00A5308C"/>
    <w:rsid w:val="00A5560B"/>
    <w:rsid w:val="00A71D63"/>
    <w:rsid w:val="00A961E5"/>
    <w:rsid w:val="00AA5CB0"/>
    <w:rsid w:val="00AB2834"/>
    <w:rsid w:val="00AB6AF8"/>
    <w:rsid w:val="00AB722E"/>
    <w:rsid w:val="00AC0ECC"/>
    <w:rsid w:val="00AC54D8"/>
    <w:rsid w:val="00AE6EED"/>
    <w:rsid w:val="00AE7110"/>
    <w:rsid w:val="00AF7595"/>
    <w:rsid w:val="00B11400"/>
    <w:rsid w:val="00B12C3D"/>
    <w:rsid w:val="00B23C2B"/>
    <w:rsid w:val="00B33996"/>
    <w:rsid w:val="00B477FC"/>
    <w:rsid w:val="00B63A3C"/>
    <w:rsid w:val="00B74A62"/>
    <w:rsid w:val="00B77D87"/>
    <w:rsid w:val="00B87FC8"/>
    <w:rsid w:val="00BC6408"/>
    <w:rsid w:val="00BECC51"/>
    <w:rsid w:val="00BF4A73"/>
    <w:rsid w:val="00BF7CDD"/>
    <w:rsid w:val="00C00108"/>
    <w:rsid w:val="00C02206"/>
    <w:rsid w:val="00C07B8B"/>
    <w:rsid w:val="00C44EB2"/>
    <w:rsid w:val="00C62A00"/>
    <w:rsid w:val="00C639D4"/>
    <w:rsid w:val="00C933D9"/>
    <w:rsid w:val="00C94D8F"/>
    <w:rsid w:val="00C9A48B"/>
    <w:rsid w:val="00CA0D63"/>
    <w:rsid w:val="00CD2BB7"/>
    <w:rsid w:val="00CE1602"/>
    <w:rsid w:val="00CE47F8"/>
    <w:rsid w:val="00CE5EB2"/>
    <w:rsid w:val="00CF0E99"/>
    <w:rsid w:val="00CF526D"/>
    <w:rsid w:val="00CF61C4"/>
    <w:rsid w:val="00D023E7"/>
    <w:rsid w:val="00D053B7"/>
    <w:rsid w:val="00D243D4"/>
    <w:rsid w:val="00D26B07"/>
    <w:rsid w:val="00D33CB7"/>
    <w:rsid w:val="00D425A3"/>
    <w:rsid w:val="00D5D2D9"/>
    <w:rsid w:val="00D61D18"/>
    <w:rsid w:val="00D7007A"/>
    <w:rsid w:val="00D77B2F"/>
    <w:rsid w:val="00DA0C4F"/>
    <w:rsid w:val="00DB59EA"/>
    <w:rsid w:val="00DC2539"/>
    <w:rsid w:val="00DD040A"/>
    <w:rsid w:val="00DD0D6E"/>
    <w:rsid w:val="00E0080D"/>
    <w:rsid w:val="00E04599"/>
    <w:rsid w:val="00E24ECF"/>
    <w:rsid w:val="00E259F4"/>
    <w:rsid w:val="00E27E2A"/>
    <w:rsid w:val="00E32EAB"/>
    <w:rsid w:val="00E3626F"/>
    <w:rsid w:val="00E43E00"/>
    <w:rsid w:val="00E51629"/>
    <w:rsid w:val="00E57286"/>
    <w:rsid w:val="00E62AF4"/>
    <w:rsid w:val="00E66208"/>
    <w:rsid w:val="00E66A3D"/>
    <w:rsid w:val="00E80685"/>
    <w:rsid w:val="00EB0196"/>
    <w:rsid w:val="00ED1D50"/>
    <w:rsid w:val="00F12863"/>
    <w:rsid w:val="00F40680"/>
    <w:rsid w:val="00F5767D"/>
    <w:rsid w:val="00F65448"/>
    <w:rsid w:val="00F714E5"/>
    <w:rsid w:val="00F7763C"/>
    <w:rsid w:val="00F8621A"/>
    <w:rsid w:val="00F930BA"/>
    <w:rsid w:val="00FD4DE5"/>
    <w:rsid w:val="00FF12B8"/>
    <w:rsid w:val="01015900"/>
    <w:rsid w:val="01048190"/>
    <w:rsid w:val="0119B455"/>
    <w:rsid w:val="011ADB5A"/>
    <w:rsid w:val="012E8AE1"/>
    <w:rsid w:val="01310215"/>
    <w:rsid w:val="013FC058"/>
    <w:rsid w:val="0142ACF2"/>
    <w:rsid w:val="01599DEA"/>
    <w:rsid w:val="01632030"/>
    <w:rsid w:val="016B3931"/>
    <w:rsid w:val="01726A5A"/>
    <w:rsid w:val="017A86F7"/>
    <w:rsid w:val="01839C4B"/>
    <w:rsid w:val="01842E84"/>
    <w:rsid w:val="018B894C"/>
    <w:rsid w:val="018B8D3C"/>
    <w:rsid w:val="019B1632"/>
    <w:rsid w:val="019C3B5D"/>
    <w:rsid w:val="01A6A3D4"/>
    <w:rsid w:val="01AEDDC0"/>
    <w:rsid w:val="01B51D70"/>
    <w:rsid w:val="01BE2B1E"/>
    <w:rsid w:val="01C4E3FE"/>
    <w:rsid w:val="01D4B0ED"/>
    <w:rsid w:val="01FB1D14"/>
    <w:rsid w:val="02063C4A"/>
    <w:rsid w:val="02578916"/>
    <w:rsid w:val="0263B045"/>
    <w:rsid w:val="026B63A5"/>
    <w:rsid w:val="027D8181"/>
    <w:rsid w:val="0282D23B"/>
    <w:rsid w:val="029BC276"/>
    <w:rsid w:val="02A33DC4"/>
    <w:rsid w:val="02EA5C77"/>
    <w:rsid w:val="0318CC51"/>
    <w:rsid w:val="03263DC1"/>
    <w:rsid w:val="032A84C3"/>
    <w:rsid w:val="034605E9"/>
    <w:rsid w:val="03480E3D"/>
    <w:rsid w:val="034ABB5D"/>
    <w:rsid w:val="03543D4C"/>
    <w:rsid w:val="0366FFB7"/>
    <w:rsid w:val="036D1B0E"/>
    <w:rsid w:val="037D6906"/>
    <w:rsid w:val="03825634"/>
    <w:rsid w:val="03862614"/>
    <w:rsid w:val="038B6D4F"/>
    <w:rsid w:val="03925320"/>
    <w:rsid w:val="039A302B"/>
    <w:rsid w:val="03A5A891"/>
    <w:rsid w:val="03A6C588"/>
    <w:rsid w:val="03ABC1DA"/>
    <w:rsid w:val="03B3B0C9"/>
    <w:rsid w:val="03BF3420"/>
    <w:rsid w:val="03C4161E"/>
    <w:rsid w:val="03C4CC16"/>
    <w:rsid w:val="03D09B89"/>
    <w:rsid w:val="03DA9E0C"/>
    <w:rsid w:val="03E8BD2E"/>
    <w:rsid w:val="040A1C76"/>
    <w:rsid w:val="04113530"/>
    <w:rsid w:val="041FA87D"/>
    <w:rsid w:val="0428C16D"/>
    <w:rsid w:val="04384FB8"/>
    <w:rsid w:val="043FA389"/>
    <w:rsid w:val="044A2BF8"/>
    <w:rsid w:val="04589B4F"/>
    <w:rsid w:val="04812930"/>
    <w:rsid w:val="0483DFC2"/>
    <w:rsid w:val="048E1C47"/>
    <w:rsid w:val="04BC28C2"/>
    <w:rsid w:val="04C5410E"/>
    <w:rsid w:val="04C7EC45"/>
    <w:rsid w:val="04CBABB2"/>
    <w:rsid w:val="04D63B45"/>
    <w:rsid w:val="04E557D6"/>
    <w:rsid w:val="051038DD"/>
    <w:rsid w:val="05111A71"/>
    <w:rsid w:val="051EBEB7"/>
    <w:rsid w:val="051FC05C"/>
    <w:rsid w:val="053EC451"/>
    <w:rsid w:val="0540D428"/>
    <w:rsid w:val="054E29C8"/>
    <w:rsid w:val="054FFAFC"/>
    <w:rsid w:val="0552B977"/>
    <w:rsid w:val="0557AB74"/>
    <w:rsid w:val="056B93C8"/>
    <w:rsid w:val="056BF0AF"/>
    <w:rsid w:val="056DEA0C"/>
    <w:rsid w:val="056DFE7D"/>
    <w:rsid w:val="05713ADD"/>
    <w:rsid w:val="057E233F"/>
    <w:rsid w:val="057F0E0F"/>
    <w:rsid w:val="0599AF04"/>
    <w:rsid w:val="05A40E7B"/>
    <w:rsid w:val="05D507E4"/>
    <w:rsid w:val="05ED0CE0"/>
    <w:rsid w:val="060AAC12"/>
    <w:rsid w:val="062C800B"/>
    <w:rsid w:val="063591D4"/>
    <w:rsid w:val="0640A480"/>
    <w:rsid w:val="0645CD6F"/>
    <w:rsid w:val="064BD93E"/>
    <w:rsid w:val="065517A6"/>
    <w:rsid w:val="066B7922"/>
    <w:rsid w:val="06738B53"/>
    <w:rsid w:val="067F7227"/>
    <w:rsid w:val="06AF242D"/>
    <w:rsid w:val="06B58451"/>
    <w:rsid w:val="06BE9122"/>
    <w:rsid w:val="06CD2F50"/>
    <w:rsid w:val="06CFA637"/>
    <w:rsid w:val="06D1E638"/>
    <w:rsid w:val="06D59FD8"/>
    <w:rsid w:val="06E802F4"/>
    <w:rsid w:val="0715B428"/>
    <w:rsid w:val="0731C0E2"/>
    <w:rsid w:val="07534DFC"/>
    <w:rsid w:val="07564996"/>
    <w:rsid w:val="0756D705"/>
    <w:rsid w:val="075BD6F2"/>
    <w:rsid w:val="0766DA3B"/>
    <w:rsid w:val="07868414"/>
    <w:rsid w:val="078F5302"/>
    <w:rsid w:val="079BA6F1"/>
    <w:rsid w:val="07AC6C0B"/>
    <w:rsid w:val="07BA1659"/>
    <w:rsid w:val="07E52FD8"/>
    <w:rsid w:val="07E8E0B3"/>
    <w:rsid w:val="07E97944"/>
    <w:rsid w:val="07F9C3F1"/>
    <w:rsid w:val="0803D9B5"/>
    <w:rsid w:val="080D5E23"/>
    <w:rsid w:val="081710E1"/>
    <w:rsid w:val="082B6628"/>
    <w:rsid w:val="083CAB44"/>
    <w:rsid w:val="083D8907"/>
    <w:rsid w:val="0840EE9E"/>
    <w:rsid w:val="0847044B"/>
    <w:rsid w:val="084CDFBE"/>
    <w:rsid w:val="084DE34C"/>
    <w:rsid w:val="085F013D"/>
    <w:rsid w:val="086F26EF"/>
    <w:rsid w:val="08881B8F"/>
    <w:rsid w:val="088924C6"/>
    <w:rsid w:val="08963C2C"/>
    <w:rsid w:val="08973FEA"/>
    <w:rsid w:val="08994A5C"/>
    <w:rsid w:val="08A9394B"/>
    <w:rsid w:val="08C6D58F"/>
    <w:rsid w:val="08C82972"/>
    <w:rsid w:val="08EFE86C"/>
    <w:rsid w:val="08FDF334"/>
    <w:rsid w:val="08FFFD50"/>
    <w:rsid w:val="090E413A"/>
    <w:rsid w:val="094947FB"/>
    <w:rsid w:val="09547EDA"/>
    <w:rsid w:val="09769213"/>
    <w:rsid w:val="097E3534"/>
    <w:rsid w:val="0980DA71"/>
    <w:rsid w:val="0997ABA9"/>
    <w:rsid w:val="099A8609"/>
    <w:rsid w:val="099AB09A"/>
    <w:rsid w:val="09A2CDA0"/>
    <w:rsid w:val="09BE1F55"/>
    <w:rsid w:val="09C4AEDD"/>
    <w:rsid w:val="09DBAE7E"/>
    <w:rsid w:val="09EC7E0D"/>
    <w:rsid w:val="09EFAAEC"/>
    <w:rsid w:val="09F7B465"/>
    <w:rsid w:val="09FB0063"/>
    <w:rsid w:val="09FBE46B"/>
    <w:rsid w:val="0A055750"/>
    <w:rsid w:val="0A0C2C2E"/>
    <w:rsid w:val="0A105714"/>
    <w:rsid w:val="0A268863"/>
    <w:rsid w:val="0A6901B8"/>
    <w:rsid w:val="0A6BF488"/>
    <w:rsid w:val="0A7360DD"/>
    <w:rsid w:val="0A76E1EF"/>
    <w:rsid w:val="0A7C1ADF"/>
    <w:rsid w:val="0A81F3D3"/>
    <w:rsid w:val="0A820B8A"/>
    <w:rsid w:val="0A839A96"/>
    <w:rsid w:val="0A8B86E3"/>
    <w:rsid w:val="0A8E65AF"/>
    <w:rsid w:val="0A951F22"/>
    <w:rsid w:val="0A961ED4"/>
    <w:rsid w:val="0A970FF4"/>
    <w:rsid w:val="0A9772A6"/>
    <w:rsid w:val="0AA30127"/>
    <w:rsid w:val="0AB93562"/>
    <w:rsid w:val="0ABB6B51"/>
    <w:rsid w:val="0AC3B8C8"/>
    <w:rsid w:val="0AC7ACF1"/>
    <w:rsid w:val="0AF0B1E7"/>
    <w:rsid w:val="0AF4CDCF"/>
    <w:rsid w:val="0AFE5060"/>
    <w:rsid w:val="0B12700C"/>
    <w:rsid w:val="0B211AF6"/>
    <w:rsid w:val="0B266A6C"/>
    <w:rsid w:val="0B4B133E"/>
    <w:rsid w:val="0B4C5887"/>
    <w:rsid w:val="0B61253D"/>
    <w:rsid w:val="0B67773E"/>
    <w:rsid w:val="0B7FC181"/>
    <w:rsid w:val="0BC28E4B"/>
    <w:rsid w:val="0BC8B58E"/>
    <w:rsid w:val="0BD3158F"/>
    <w:rsid w:val="0BD9D844"/>
    <w:rsid w:val="0BEA359B"/>
    <w:rsid w:val="0BF50D7A"/>
    <w:rsid w:val="0C3917D0"/>
    <w:rsid w:val="0C3BB301"/>
    <w:rsid w:val="0C4086D0"/>
    <w:rsid w:val="0C6874B6"/>
    <w:rsid w:val="0C7315DC"/>
    <w:rsid w:val="0C8DEDE3"/>
    <w:rsid w:val="0C8FDDE0"/>
    <w:rsid w:val="0CA87EE9"/>
    <w:rsid w:val="0CA8DF8D"/>
    <w:rsid w:val="0CC18A7C"/>
    <w:rsid w:val="0CC20831"/>
    <w:rsid w:val="0CD9FC66"/>
    <w:rsid w:val="0CDA03D0"/>
    <w:rsid w:val="0CE2FD09"/>
    <w:rsid w:val="0CE71932"/>
    <w:rsid w:val="0D19FA82"/>
    <w:rsid w:val="0D24EFEE"/>
    <w:rsid w:val="0D327300"/>
    <w:rsid w:val="0D4AC253"/>
    <w:rsid w:val="0D5060D8"/>
    <w:rsid w:val="0D5FEEAE"/>
    <w:rsid w:val="0D6A531D"/>
    <w:rsid w:val="0D6CB00C"/>
    <w:rsid w:val="0D7B0968"/>
    <w:rsid w:val="0D7B7921"/>
    <w:rsid w:val="0D811A49"/>
    <w:rsid w:val="0D8B5E8D"/>
    <w:rsid w:val="0D9586FA"/>
    <w:rsid w:val="0DCE7290"/>
    <w:rsid w:val="0E0B88E3"/>
    <w:rsid w:val="0E24DB5B"/>
    <w:rsid w:val="0E38B405"/>
    <w:rsid w:val="0E3B002A"/>
    <w:rsid w:val="0E3CD36F"/>
    <w:rsid w:val="0E419E99"/>
    <w:rsid w:val="0E493E03"/>
    <w:rsid w:val="0E5A196B"/>
    <w:rsid w:val="0E627B99"/>
    <w:rsid w:val="0E76CAB3"/>
    <w:rsid w:val="0E864ACB"/>
    <w:rsid w:val="0E915663"/>
    <w:rsid w:val="0E9BAD8D"/>
    <w:rsid w:val="0EAD6468"/>
    <w:rsid w:val="0EC2D31D"/>
    <w:rsid w:val="0EE36175"/>
    <w:rsid w:val="0EF2C2E4"/>
    <w:rsid w:val="0F0B30B9"/>
    <w:rsid w:val="0F0F5A53"/>
    <w:rsid w:val="0F0FE51E"/>
    <w:rsid w:val="0F321DDB"/>
    <w:rsid w:val="0F398DE1"/>
    <w:rsid w:val="0F67D4BB"/>
    <w:rsid w:val="0F70816D"/>
    <w:rsid w:val="0FC16BAE"/>
    <w:rsid w:val="0FD3FF82"/>
    <w:rsid w:val="0FD60D75"/>
    <w:rsid w:val="0FF3644D"/>
    <w:rsid w:val="102D1CDC"/>
    <w:rsid w:val="102D5501"/>
    <w:rsid w:val="10363236"/>
    <w:rsid w:val="106EFB9B"/>
    <w:rsid w:val="10764903"/>
    <w:rsid w:val="10894EB2"/>
    <w:rsid w:val="10AED71E"/>
    <w:rsid w:val="10BC46E2"/>
    <w:rsid w:val="10C9C12B"/>
    <w:rsid w:val="10CC5FC2"/>
    <w:rsid w:val="10DB2E18"/>
    <w:rsid w:val="10E1C3D8"/>
    <w:rsid w:val="10F50D1F"/>
    <w:rsid w:val="1101D1C8"/>
    <w:rsid w:val="1116BDFD"/>
    <w:rsid w:val="11224D80"/>
    <w:rsid w:val="11235A3F"/>
    <w:rsid w:val="112877CE"/>
    <w:rsid w:val="112CE2F4"/>
    <w:rsid w:val="112ED96E"/>
    <w:rsid w:val="112F0ACE"/>
    <w:rsid w:val="1133B23A"/>
    <w:rsid w:val="113B9B41"/>
    <w:rsid w:val="11537A7D"/>
    <w:rsid w:val="1160F618"/>
    <w:rsid w:val="1165BD37"/>
    <w:rsid w:val="117005B7"/>
    <w:rsid w:val="11754D68"/>
    <w:rsid w:val="11769B40"/>
    <w:rsid w:val="118D6528"/>
    <w:rsid w:val="119951DF"/>
    <w:rsid w:val="11A900CB"/>
    <w:rsid w:val="11C66EDB"/>
    <w:rsid w:val="11DC360D"/>
    <w:rsid w:val="11ED34DE"/>
    <w:rsid w:val="11F2BB7C"/>
    <w:rsid w:val="1208C7DC"/>
    <w:rsid w:val="12090266"/>
    <w:rsid w:val="12329DE5"/>
    <w:rsid w:val="1241509F"/>
    <w:rsid w:val="1254724D"/>
    <w:rsid w:val="12684962"/>
    <w:rsid w:val="1275FD31"/>
    <w:rsid w:val="12838318"/>
    <w:rsid w:val="12AF973A"/>
    <w:rsid w:val="12B28805"/>
    <w:rsid w:val="12BA5D82"/>
    <w:rsid w:val="12BF9786"/>
    <w:rsid w:val="12C38A80"/>
    <w:rsid w:val="12CC6E11"/>
    <w:rsid w:val="12D99768"/>
    <w:rsid w:val="12E3FEA2"/>
    <w:rsid w:val="12F4C956"/>
    <w:rsid w:val="12F6A4B3"/>
    <w:rsid w:val="13012555"/>
    <w:rsid w:val="13066E7D"/>
    <w:rsid w:val="130A0393"/>
    <w:rsid w:val="130A234E"/>
    <w:rsid w:val="131F9741"/>
    <w:rsid w:val="13443399"/>
    <w:rsid w:val="1352742A"/>
    <w:rsid w:val="1352D620"/>
    <w:rsid w:val="135A370E"/>
    <w:rsid w:val="137C480D"/>
    <w:rsid w:val="13A9AFA9"/>
    <w:rsid w:val="13BB1AE7"/>
    <w:rsid w:val="13BBB765"/>
    <w:rsid w:val="13C9E90D"/>
    <w:rsid w:val="13C9EE0A"/>
    <w:rsid w:val="13CCA3FF"/>
    <w:rsid w:val="13D9BEE2"/>
    <w:rsid w:val="13F2DE33"/>
    <w:rsid w:val="13FB161F"/>
    <w:rsid w:val="140D1AB9"/>
    <w:rsid w:val="140D2C15"/>
    <w:rsid w:val="1438BF72"/>
    <w:rsid w:val="143F6162"/>
    <w:rsid w:val="1443D0EC"/>
    <w:rsid w:val="144A5A59"/>
    <w:rsid w:val="1458FB11"/>
    <w:rsid w:val="1463075D"/>
    <w:rsid w:val="148883DF"/>
    <w:rsid w:val="148DA3C3"/>
    <w:rsid w:val="14B8846B"/>
    <w:rsid w:val="14C096BC"/>
    <w:rsid w:val="14CF70EE"/>
    <w:rsid w:val="14D1CFEE"/>
    <w:rsid w:val="14EB9791"/>
    <w:rsid w:val="14F06CDE"/>
    <w:rsid w:val="1500F5BD"/>
    <w:rsid w:val="15126717"/>
    <w:rsid w:val="15162637"/>
    <w:rsid w:val="151A4C00"/>
    <w:rsid w:val="155868E3"/>
    <w:rsid w:val="155D568C"/>
    <w:rsid w:val="15687D9B"/>
    <w:rsid w:val="1568DF7B"/>
    <w:rsid w:val="158C5226"/>
    <w:rsid w:val="159098F1"/>
    <w:rsid w:val="15958880"/>
    <w:rsid w:val="15981C12"/>
    <w:rsid w:val="15CB0B9A"/>
    <w:rsid w:val="15D2BC52"/>
    <w:rsid w:val="15E4B7DC"/>
    <w:rsid w:val="1600C16C"/>
    <w:rsid w:val="16072324"/>
    <w:rsid w:val="161B7D20"/>
    <w:rsid w:val="163FFB42"/>
    <w:rsid w:val="165CD04F"/>
    <w:rsid w:val="16B4E06B"/>
    <w:rsid w:val="16CDE3F7"/>
    <w:rsid w:val="16DA66B0"/>
    <w:rsid w:val="16DC2D96"/>
    <w:rsid w:val="16E7FE3B"/>
    <w:rsid w:val="16FE6543"/>
    <w:rsid w:val="1713162B"/>
    <w:rsid w:val="17185698"/>
    <w:rsid w:val="1722CFB2"/>
    <w:rsid w:val="17359338"/>
    <w:rsid w:val="1745B8FF"/>
    <w:rsid w:val="1772464A"/>
    <w:rsid w:val="179CC3C7"/>
    <w:rsid w:val="17A0DEDE"/>
    <w:rsid w:val="17AB28BC"/>
    <w:rsid w:val="17F8E071"/>
    <w:rsid w:val="180A801A"/>
    <w:rsid w:val="180D6925"/>
    <w:rsid w:val="180FD221"/>
    <w:rsid w:val="1820C9C2"/>
    <w:rsid w:val="182FD569"/>
    <w:rsid w:val="184CCAEA"/>
    <w:rsid w:val="184EAD99"/>
    <w:rsid w:val="186C0E17"/>
    <w:rsid w:val="18726A81"/>
    <w:rsid w:val="18875B4C"/>
    <w:rsid w:val="18A409B0"/>
    <w:rsid w:val="18AC4947"/>
    <w:rsid w:val="18C0F72F"/>
    <w:rsid w:val="18DAC5A2"/>
    <w:rsid w:val="18E39626"/>
    <w:rsid w:val="18E878DE"/>
    <w:rsid w:val="18E94BE0"/>
    <w:rsid w:val="1906B0F7"/>
    <w:rsid w:val="191AB361"/>
    <w:rsid w:val="192189DD"/>
    <w:rsid w:val="193E0FE8"/>
    <w:rsid w:val="193F5129"/>
    <w:rsid w:val="1957EF75"/>
    <w:rsid w:val="196E4D32"/>
    <w:rsid w:val="198E84DD"/>
    <w:rsid w:val="1990C2F3"/>
    <w:rsid w:val="19B23E3D"/>
    <w:rsid w:val="19B2E58A"/>
    <w:rsid w:val="19B7062D"/>
    <w:rsid w:val="19BACA44"/>
    <w:rsid w:val="19BED2D5"/>
    <w:rsid w:val="19C43460"/>
    <w:rsid w:val="19CA1540"/>
    <w:rsid w:val="19CA430F"/>
    <w:rsid w:val="19CBB49E"/>
    <w:rsid w:val="19DC9F41"/>
    <w:rsid w:val="19E6124B"/>
    <w:rsid w:val="1A21A04F"/>
    <w:rsid w:val="1A29BE42"/>
    <w:rsid w:val="1A2BCD7C"/>
    <w:rsid w:val="1A2F562B"/>
    <w:rsid w:val="1A3A8D16"/>
    <w:rsid w:val="1A40B63B"/>
    <w:rsid w:val="1A4FCB33"/>
    <w:rsid w:val="1A5DE2E7"/>
    <w:rsid w:val="1A694538"/>
    <w:rsid w:val="1A7444B8"/>
    <w:rsid w:val="1A91641B"/>
    <w:rsid w:val="1A983122"/>
    <w:rsid w:val="1AA7474D"/>
    <w:rsid w:val="1AA84BA9"/>
    <w:rsid w:val="1AABCC0A"/>
    <w:rsid w:val="1AB70FA3"/>
    <w:rsid w:val="1ACEC9D3"/>
    <w:rsid w:val="1AD62574"/>
    <w:rsid w:val="1ADE6397"/>
    <w:rsid w:val="1AFBFFF8"/>
    <w:rsid w:val="1B004D13"/>
    <w:rsid w:val="1B0590B5"/>
    <w:rsid w:val="1B1139A1"/>
    <w:rsid w:val="1B154E83"/>
    <w:rsid w:val="1B1C555B"/>
    <w:rsid w:val="1B2D0106"/>
    <w:rsid w:val="1B34E7A4"/>
    <w:rsid w:val="1B361210"/>
    <w:rsid w:val="1B3D41D3"/>
    <w:rsid w:val="1B4BA85C"/>
    <w:rsid w:val="1B5C6191"/>
    <w:rsid w:val="1B5F6D64"/>
    <w:rsid w:val="1B80FE65"/>
    <w:rsid w:val="1B82F2E5"/>
    <w:rsid w:val="1BB37553"/>
    <w:rsid w:val="1BC0A06F"/>
    <w:rsid w:val="1BD0465C"/>
    <w:rsid w:val="1BE36D5F"/>
    <w:rsid w:val="1BE879DA"/>
    <w:rsid w:val="1BEB7A51"/>
    <w:rsid w:val="1BFBE1A3"/>
    <w:rsid w:val="1C01FD67"/>
    <w:rsid w:val="1C13C399"/>
    <w:rsid w:val="1C1DF611"/>
    <w:rsid w:val="1C25CF9B"/>
    <w:rsid w:val="1C27157B"/>
    <w:rsid w:val="1C291E04"/>
    <w:rsid w:val="1C433D5E"/>
    <w:rsid w:val="1C44F0C9"/>
    <w:rsid w:val="1C54D1BA"/>
    <w:rsid w:val="1C6FDA36"/>
    <w:rsid w:val="1C995414"/>
    <w:rsid w:val="1CC2412F"/>
    <w:rsid w:val="1CDD83BC"/>
    <w:rsid w:val="1CEAF451"/>
    <w:rsid w:val="1CEB49EF"/>
    <w:rsid w:val="1CEF601F"/>
    <w:rsid w:val="1D0616A5"/>
    <w:rsid w:val="1D0D45DE"/>
    <w:rsid w:val="1D160EA9"/>
    <w:rsid w:val="1D319E6F"/>
    <w:rsid w:val="1D32FE7F"/>
    <w:rsid w:val="1D3F6A6F"/>
    <w:rsid w:val="1D459278"/>
    <w:rsid w:val="1D4F162A"/>
    <w:rsid w:val="1D50C5A7"/>
    <w:rsid w:val="1D5BE20F"/>
    <w:rsid w:val="1D750735"/>
    <w:rsid w:val="1D7A5F04"/>
    <w:rsid w:val="1D7F6692"/>
    <w:rsid w:val="1D8B544D"/>
    <w:rsid w:val="1D9E1721"/>
    <w:rsid w:val="1DDA3961"/>
    <w:rsid w:val="1DE00660"/>
    <w:rsid w:val="1DE6752D"/>
    <w:rsid w:val="1DE69B8D"/>
    <w:rsid w:val="1DF3BE2B"/>
    <w:rsid w:val="1E0C9D19"/>
    <w:rsid w:val="1E168255"/>
    <w:rsid w:val="1E316F08"/>
    <w:rsid w:val="1E389796"/>
    <w:rsid w:val="1E46EB9D"/>
    <w:rsid w:val="1E49FFA6"/>
    <w:rsid w:val="1E4F64D4"/>
    <w:rsid w:val="1E53339F"/>
    <w:rsid w:val="1E572E1E"/>
    <w:rsid w:val="1E574629"/>
    <w:rsid w:val="1E86025D"/>
    <w:rsid w:val="1E9C27D4"/>
    <w:rsid w:val="1EA9CC02"/>
    <w:rsid w:val="1EB43AB8"/>
    <w:rsid w:val="1EB49B6B"/>
    <w:rsid w:val="1EB5448C"/>
    <w:rsid w:val="1EBC751A"/>
    <w:rsid w:val="1EC9340D"/>
    <w:rsid w:val="1ECD1C65"/>
    <w:rsid w:val="1EE39895"/>
    <w:rsid w:val="1EF1F3DF"/>
    <w:rsid w:val="1EF90E7A"/>
    <w:rsid w:val="1EFA2297"/>
    <w:rsid w:val="1EFDACFB"/>
    <w:rsid w:val="1EFE7A0D"/>
    <w:rsid w:val="1F0C58B3"/>
    <w:rsid w:val="1F14AAAD"/>
    <w:rsid w:val="1F2C3B07"/>
    <w:rsid w:val="1F2FF102"/>
    <w:rsid w:val="1F315561"/>
    <w:rsid w:val="1F4F8C21"/>
    <w:rsid w:val="1F4FE1B9"/>
    <w:rsid w:val="1F6088E8"/>
    <w:rsid w:val="1F67E5C4"/>
    <w:rsid w:val="1F8197B4"/>
    <w:rsid w:val="1F823E37"/>
    <w:rsid w:val="1F8C7991"/>
    <w:rsid w:val="1FA1E3C5"/>
    <w:rsid w:val="1FA48155"/>
    <w:rsid w:val="1FB26CC7"/>
    <w:rsid w:val="1FBC279C"/>
    <w:rsid w:val="1FBDA3BF"/>
    <w:rsid w:val="1FBE154F"/>
    <w:rsid w:val="1FBE168B"/>
    <w:rsid w:val="1FE40517"/>
    <w:rsid w:val="1FEB7A60"/>
    <w:rsid w:val="1FF162E8"/>
    <w:rsid w:val="1FF35FB8"/>
    <w:rsid w:val="1FF6B1AC"/>
    <w:rsid w:val="20179D3E"/>
    <w:rsid w:val="203BA4CD"/>
    <w:rsid w:val="204755FF"/>
    <w:rsid w:val="205AF4AA"/>
    <w:rsid w:val="207249A4"/>
    <w:rsid w:val="2073580B"/>
    <w:rsid w:val="2076EECB"/>
    <w:rsid w:val="20885D8D"/>
    <w:rsid w:val="209A4161"/>
    <w:rsid w:val="20A3AA27"/>
    <w:rsid w:val="20B6E609"/>
    <w:rsid w:val="20C54B38"/>
    <w:rsid w:val="20CEF217"/>
    <w:rsid w:val="20DA7B2A"/>
    <w:rsid w:val="20E26C27"/>
    <w:rsid w:val="20EF3E8E"/>
    <w:rsid w:val="20F537D7"/>
    <w:rsid w:val="20F7DCB7"/>
    <w:rsid w:val="20F97F73"/>
    <w:rsid w:val="20FF0E81"/>
    <w:rsid w:val="2110D1D7"/>
    <w:rsid w:val="2112EB5F"/>
    <w:rsid w:val="2123D0C3"/>
    <w:rsid w:val="2126CE00"/>
    <w:rsid w:val="213C65AB"/>
    <w:rsid w:val="2154AE52"/>
    <w:rsid w:val="217219DD"/>
    <w:rsid w:val="2180DE33"/>
    <w:rsid w:val="21A13150"/>
    <w:rsid w:val="21A88ED7"/>
    <w:rsid w:val="21ABC3E4"/>
    <w:rsid w:val="21BCA0F2"/>
    <w:rsid w:val="21DC9160"/>
    <w:rsid w:val="21EE216C"/>
    <w:rsid w:val="21EFCAC9"/>
    <w:rsid w:val="21F0477C"/>
    <w:rsid w:val="21F0E306"/>
    <w:rsid w:val="22162BF1"/>
    <w:rsid w:val="2234FD20"/>
    <w:rsid w:val="223EB558"/>
    <w:rsid w:val="2253738C"/>
    <w:rsid w:val="225CEE99"/>
    <w:rsid w:val="225DD492"/>
    <w:rsid w:val="22BA8F4D"/>
    <w:rsid w:val="22BE2CE2"/>
    <w:rsid w:val="22C515CE"/>
    <w:rsid w:val="22EDBA8A"/>
    <w:rsid w:val="22F12203"/>
    <w:rsid w:val="23224D0B"/>
    <w:rsid w:val="232C7917"/>
    <w:rsid w:val="23385AE1"/>
    <w:rsid w:val="233EB356"/>
    <w:rsid w:val="234EDE9A"/>
    <w:rsid w:val="23686B49"/>
    <w:rsid w:val="236CF661"/>
    <w:rsid w:val="237867C1"/>
    <w:rsid w:val="23798105"/>
    <w:rsid w:val="238A4DE6"/>
    <w:rsid w:val="238E1E12"/>
    <w:rsid w:val="23A76D04"/>
    <w:rsid w:val="23ABCFCF"/>
    <w:rsid w:val="23B76349"/>
    <w:rsid w:val="23C12BEE"/>
    <w:rsid w:val="23C5CD29"/>
    <w:rsid w:val="23E7DF14"/>
    <w:rsid w:val="23FD2470"/>
    <w:rsid w:val="240612F4"/>
    <w:rsid w:val="240C58D5"/>
    <w:rsid w:val="240CDFF2"/>
    <w:rsid w:val="241783D6"/>
    <w:rsid w:val="2419EF4B"/>
    <w:rsid w:val="241C4237"/>
    <w:rsid w:val="243A9090"/>
    <w:rsid w:val="2445FB71"/>
    <w:rsid w:val="24535442"/>
    <w:rsid w:val="24562F69"/>
    <w:rsid w:val="245AFDE1"/>
    <w:rsid w:val="247E24A0"/>
    <w:rsid w:val="247F7E98"/>
    <w:rsid w:val="248C61DB"/>
    <w:rsid w:val="2498AE46"/>
    <w:rsid w:val="24A46A18"/>
    <w:rsid w:val="24A9E34A"/>
    <w:rsid w:val="24AFE028"/>
    <w:rsid w:val="24B9FC82"/>
    <w:rsid w:val="24BCB92D"/>
    <w:rsid w:val="24CAF1FD"/>
    <w:rsid w:val="24D0A100"/>
    <w:rsid w:val="24DB8E8D"/>
    <w:rsid w:val="24F0EE03"/>
    <w:rsid w:val="2518AD4B"/>
    <w:rsid w:val="251F7FD4"/>
    <w:rsid w:val="25209B20"/>
    <w:rsid w:val="2527AE59"/>
    <w:rsid w:val="2549D449"/>
    <w:rsid w:val="25579FDA"/>
    <w:rsid w:val="256B9662"/>
    <w:rsid w:val="259045E5"/>
    <w:rsid w:val="25B1D1DF"/>
    <w:rsid w:val="25B53230"/>
    <w:rsid w:val="25C319C8"/>
    <w:rsid w:val="25C4B9A1"/>
    <w:rsid w:val="25CFB5E9"/>
    <w:rsid w:val="25D3D179"/>
    <w:rsid w:val="25D99167"/>
    <w:rsid w:val="25DE38A4"/>
    <w:rsid w:val="2609DEA0"/>
    <w:rsid w:val="262658B2"/>
    <w:rsid w:val="262D41EA"/>
    <w:rsid w:val="2633F2C4"/>
    <w:rsid w:val="2635DF0F"/>
    <w:rsid w:val="2644A76E"/>
    <w:rsid w:val="2668CDDE"/>
    <w:rsid w:val="266F18E9"/>
    <w:rsid w:val="267A259C"/>
    <w:rsid w:val="2697BD48"/>
    <w:rsid w:val="26A7984F"/>
    <w:rsid w:val="26CA9B4C"/>
    <w:rsid w:val="26CAD804"/>
    <w:rsid w:val="26DA16AE"/>
    <w:rsid w:val="26EAC94C"/>
    <w:rsid w:val="26ED566D"/>
    <w:rsid w:val="270B9529"/>
    <w:rsid w:val="27142BCB"/>
    <w:rsid w:val="2718533D"/>
    <w:rsid w:val="271F8C95"/>
    <w:rsid w:val="27267F6D"/>
    <w:rsid w:val="272D24A9"/>
    <w:rsid w:val="27484655"/>
    <w:rsid w:val="274F370F"/>
    <w:rsid w:val="2765907D"/>
    <w:rsid w:val="2790BE2E"/>
    <w:rsid w:val="279E694E"/>
    <w:rsid w:val="27A3CC6D"/>
    <w:rsid w:val="27A87251"/>
    <w:rsid w:val="27BA7A47"/>
    <w:rsid w:val="27C4BE0B"/>
    <w:rsid w:val="27DEA591"/>
    <w:rsid w:val="27E38BF2"/>
    <w:rsid w:val="27ED076D"/>
    <w:rsid w:val="27FB10E5"/>
    <w:rsid w:val="27FEED9C"/>
    <w:rsid w:val="281213D0"/>
    <w:rsid w:val="28165774"/>
    <w:rsid w:val="2842E90F"/>
    <w:rsid w:val="285DF130"/>
    <w:rsid w:val="288228FD"/>
    <w:rsid w:val="2888C49E"/>
    <w:rsid w:val="28BD53A2"/>
    <w:rsid w:val="28CA8B44"/>
    <w:rsid w:val="28CBA488"/>
    <w:rsid w:val="28D42152"/>
    <w:rsid w:val="28FC6204"/>
    <w:rsid w:val="291B7D66"/>
    <w:rsid w:val="291DA574"/>
    <w:rsid w:val="2941A5FE"/>
    <w:rsid w:val="29451CEB"/>
    <w:rsid w:val="298755DD"/>
    <w:rsid w:val="298C7347"/>
    <w:rsid w:val="299D1215"/>
    <w:rsid w:val="29C79FE1"/>
    <w:rsid w:val="29D02A6A"/>
    <w:rsid w:val="29D94E1E"/>
    <w:rsid w:val="29FA27EB"/>
    <w:rsid w:val="2A0998D3"/>
    <w:rsid w:val="2A19D6A6"/>
    <w:rsid w:val="2A1A53ED"/>
    <w:rsid w:val="2A326934"/>
    <w:rsid w:val="2A471B95"/>
    <w:rsid w:val="2A47CA62"/>
    <w:rsid w:val="2A4FE2FE"/>
    <w:rsid w:val="2A5A9CB5"/>
    <w:rsid w:val="2A6EE929"/>
    <w:rsid w:val="2A71E625"/>
    <w:rsid w:val="2A7CFC3C"/>
    <w:rsid w:val="2A9A3EA0"/>
    <w:rsid w:val="2AC6D645"/>
    <w:rsid w:val="2AEDFABC"/>
    <w:rsid w:val="2AF55686"/>
    <w:rsid w:val="2B29EC6C"/>
    <w:rsid w:val="2B2B7919"/>
    <w:rsid w:val="2B3BD8CC"/>
    <w:rsid w:val="2B5222C0"/>
    <w:rsid w:val="2B649D3F"/>
    <w:rsid w:val="2B6A109E"/>
    <w:rsid w:val="2B7A9518"/>
    <w:rsid w:val="2BAAAE63"/>
    <w:rsid w:val="2BB6A79E"/>
    <w:rsid w:val="2BC51E8F"/>
    <w:rsid w:val="2BDE0869"/>
    <w:rsid w:val="2BEFF056"/>
    <w:rsid w:val="2BF34019"/>
    <w:rsid w:val="2BF9161F"/>
    <w:rsid w:val="2C0D14E0"/>
    <w:rsid w:val="2C12579D"/>
    <w:rsid w:val="2C291FE3"/>
    <w:rsid w:val="2C3CBB80"/>
    <w:rsid w:val="2C3D1598"/>
    <w:rsid w:val="2C541279"/>
    <w:rsid w:val="2C63775A"/>
    <w:rsid w:val="2C6A65AE"/>
    <w:rsid w:val="2C6CF4E8"/>
    <w:rsid w:val="2C738E97"/>
    <w:rsid w:val="2C75D3F0"/>
    <w:rsid w:val="2C8C9D2E"/>
    <w:rsid w:val="2C9DE101"/>
    <w:rsid w:val="2CB4AB4C"/>
    <w:rsid w:val="2CBD93DA"/>
    <w:rsid w:val="2CBE498E"/>
    <w:rsid w:val="2CD28BC0"/>
    <w:rsid w:val="2CE0EEF9"/>
    <w:rsid w:val="2CE1BA62"/>
    <w:rsid w:val="2CE40344"/>
    <w:rsid w:val="2CE8483C"/>
    <w:rsid w:val="2CFAA03B"/>
    <w:rsid w:val="2D2528F4"/>
    <w:rsid w:val="2D2A8002"/>
    <w:rsid w:val="2D2C0F71"/>
    <w:rsid w:val="2D31193C"/>
    <w:rsid w:val="2D45C7D2"/>
    <w:rsid w:val="2D462A00"/>
    <w:rsid w:val="2D80D64E"/>
    <w:rsid w:val="2D914386"/>
    <w:rsid w:val="2D9CD1FD"/>
    <w:rsid w:val="2DB96BC5"/>
    <w:rsid w:val="2DBF8447"/>
    <w:rsid w:val="2DC0E062"/>
    <w:rsid w:val="2DD56894"/>
    <w:rsid w:val="2DDD0043"/>
    <w:rsid w:val="2DE7EEB5"/>
    <w:rsid w:val="2E11BEE9"/>
    <w:rsid w:val="2E18F6D4"/>
    <w:rsid w:val="2E1906F7"/>
    <w:rsid w:val="2E31BF94"/>
    <w:rsid w:val="2E3E87A4"/>
    <w:rsid w:val="2E50B7A4"/>
    <w:rsid w:val="2E51FED1"/>
    <w:rsid w:val="2E567BBB"/>
    <w:rsid w:val="2EA059EA"/>
    <w:rsid w:val="2EA4616B"/>
    <w:rsid w:val="2EABC03A"/>
    <w:rsid w:val="2EAF203A"/>
    <w:rsid w:val="2EB6DBD5"/>
    <w:rsid w:val="2EC196E8"/>
    <w:rsid w:val="2ED4675B"/>
    <w:rsid w:val="2EE7331E"/>
    <w:rsid w:val="2EE76651"/>
    <w:rsid w:val="2F33A986"/>
    <w:rsid w:val="2F3AA152"/>
    <w:rsid w:val="2F3B8338"/>
    <w:rsid w:val="2F441DCE"/>
    <w:rsid w:val="2F88A5B0"/>
    <w:rsid w:val="2F8A33AB"/>
    <w:rsid w:val="2F8EB9CB"/>
    <w:rsid w:val="2F929FC8"/>
    <w:rsid w:val="2FBDF5EE"/>
    <w:rsid w:val="2FD83944"/>
    <w:rsid w:val="2FD867DB"/>
    <w:rsid w:val="2FDE909C"/>
    <w:rsid w:val="2FDE95C8"/>
    <w:rsid w:val="2FE38F50"/>
    <w:rsid w:val="2FEC6FE2"/>
    <w:rsid w:val="3013C0CF"/>
    <w:rsid w:val="3014171E"/>
    <w:rsid w:val="30192FDC"/>
    <w:rsid w:val="301C1956"/>
    <w:rsid w:val="301DD243"/>
    <w:rsid w:val="302BB2A1"/>
    <w:rsid w:val="302E5B64"/>
    <w:rsid w:val="3031909A"/>
    <w:rsid w:val="3033CCEF"/>
    <w:rsid w:val="30366504"/>
    <w:rsid w:val="3051195A"/>
    <w:rsid w:val="3056B3B9"/>
    <w:rsid w:val="305D8A44"/>
    <w:rsid w:val="306962E4"/>
    <w:rsid w:val="3083D0A5"/>
    <w:rsid w:val="30957A86"/>
    <w:rsid w:val="30B4D29A"/>
    <w:rsid w:val="30CD2DDB"/>
    <w:rsid w:val="30D0F0EE"/>
    <w:rsid w:val="30D1828A"/>
    <w:rsid w:val="30D18F3C"/>
    <w:rsid w:val="30D44B89"/>
    <w:rsid w:val="30E388EC"/>
    <w:rsid w:val="30E490D6"/>
    <w:rsid w:val="30E4CB02"/>
    <w:rsid w:val="30EC08DA"/>
    <w:rsid w:val="30EE4E0D"/>
    <w:rsid w:val="30EEA0AE"/>
    <w:rsid w:val="30FC4478"/>
    <w:rsid w:val="30FEFDE0"/>
    <w:rsid w:val="3117CFB1"/>
    <w:rsid w:val="312B312A"/>
    <w:rsid w:val="313590C8"/>
    <w:rsid w:val="31473C01"/>
    <w:rsid w:val="316FB094"/>
    <w:rsid w:val="3176DE6A"/>
    <w:rsid w:val="3182B0DC"/>
    <w:rsid w:val="3182F9B8"/>
    <w:rsid w:val="318584C8"/>
    <w:rsid w:val="319EA677"/>
    <w:rsid w:val="31B8192F"/>
    <w:rsid w:val="31D50E78"/>
    <w:rsid w:val="31E612D1"/>
    <w:rsid w:val="31E8F606"/>
    <w:rsid w:val="31FD86DC"/>
    <w:rsid w:val="3227A220"/>
    <w:rsid w:val="32491949"/>
    <w:rsid w:val="326F695E"/>
    <w:rsid w:val="3272D828"/>
    <w:rsid w:val="3276CA5E"/>
    <w:rsid w:val="327B5135"/>
    <w:rsid w:val="329DF4BA"/>
    <w:rsid w:val="32AD736D"/>
    <w:rsid w:val="3309DDC7"/>
    <w:rsid w:val="330B1A25"/>
    <w:rsid w:val="3314E510"/>
    <w:rsid w:val="3329E768"/>
    <w:rsid w:val="332EFED9"/>
    <w:rsid w:val="3336E2DD"/>
    <w:rsid w:val="3350B813"/>
    <w:rsid w:val="335D7108"/>
    <w:rsid w:val="3378CD42"/>
    <w:rsid w:val="337A6957"/>
    <w:rsid w:val="337ACEB3"/>
    <w:rsid w:val="337C6D17"/>
    <w:rsid w:val="33868613"/>
    <w:rsid w:val="338F2CC9"/>
    <w:rsid w:val="33AD4DFB"/>
    <w:rsid w:val="33B28388"/>
    <w:rsid w:val="33BDC940"/>
    <w:rsid w:val="34553CD9"/>
    <w:rsid w:val="34554119"/>
    <w:rsid w:val="346920F3"/>
    <w:rsid w:val="34734831"/>
    <w:rsid w:val="348219EF"/>
    <w:rsid w:val="3487FE16"/>
    <w:rsid w:val="34916D91"/>
    <w:rsid w:val="34AF3613"/>
    <w:rsid w:val="34B052CD"/>
    <w:rsid w:val="34D1C6EE"/>
    <w:rsid w:val="35026144"/>
    <w:rsid w:val="35071BE2"/>
    <w:rsid w:val="350A49A4"/>
    <w:rsid w:val="3517F742"/>
    <w:rsid w:val="351E304B"/>
    <w:rsid w:val="35206694"/>
    <w:rsid w:val="354B02DA"/>
    <w:rsid w:val="355BA7E9"/>
    <w:rsid w:val="355FBC79"/>
    <w:rsid w:val="356109C1"/>
    <w:rsid w:val="35660B88"/>
    <w:rsid w:val="35665DE9"/>
    <w:rsid w:val="35687C21"/>
    <w:rsid w:val="356A512F"/>
    <w:rsid w:val="3575A292"/>
    <w:rsid w:val="3577D502"/>
    <w:rsid w:val="3582FB33"/>
    <w:rsid w:val="358A5B26"/>
    <w:rsid w:val="35A109B6"/>
    <w:rsid w:val="35A4BE47"/>
    <w:rsid w:val="35A99C42"/>
    <w:rsid w:val="35AED5F5"/>
    <w:rsid w:val="35AF0C9E"/>
    <w:rsid w:val="35B27AA4"/>
    <w:rsid w:val="35DCD407"/>
    <w:rsid w:val="3607673C"/>
    <w:rsid w:val="360A03C4"/>
    <w:rsid w:val="360D5FFB"/>
    <w:rsid w:val="36158037"/>
    <w:rsid w:val="362778AE"/>
    <w:rsid w:val="36332CA4"/>
    <w:rsid w:val="363B5D11"/>
    <w:rsid w:val="364ED616"/>
    <w:rsid w:val="3659ED34"/>
    <w:rsid w:val="3669D1D1"/>
    <w:rsid w:val="36715B2C"/>
    <w:rsid w:val="367EA866"/>
    <w:rsid w:val="368C17AD"/>
    <w:rsid w:val="368F65D5"/>
    <w:rsid w:val="368F6852"/>
    <w:rsid w:val="3699A386"/>
    <w:rsid w:val="36AC842F"/>
    <w:rsid w:val="36B0264C"/>
    <w:rsid w:val="36BEAC81"/>
    <w:rsid w:val="36DDDB17"/>
    <w:rsid w:val="36E6BD84"/>
    <w:rsid w:val="36ECBCB2"/>
    <w:rsid w:val="36EDDBF3"/>
    <w:rsid w:val="36F97742"/>
    <w:rsid w:val="370F6F2C"/>
    <w:rsid w:val="371547EE"/>
    <w:rsid w:val="371997C6"/>
    <w:rsid w:val="37231612"/>
    <w:rsid w:val="3726EA2D"/>
    <w:rsid w:val="3727CF3A"/>
    <w:rsid w:val="372C74F1"/>
    <w:rsid w:val="3732FAC3"/>
    <w:rsid w:val="373A1556"/>
    <w:rsid w:val="3742C11E"/>
    <w:rsid w:val="37493741"/>
    <w:rsid w:val="3766D459"/>
    <w:rsid w:val="376F0692"/>
    <w:rsid w:val="377A8022"/>
    <w:rsid w:val="377BD67C"/>
    <w:rsid w:val="3790BAD1"/>
    <w:rsid w:val="37B97A75"/>
    <w:rsid w:val="37C77B75"/>
    <w:rsid w:val="38149F95"/>
    <w:rsid w:val="3838D07F"/>
    <w:rsid w:val="3838FF27"/>
    <w:rsid w:val="3842A151"/>
    <w:rsid w:val="38485524"/>
    <w:rsid w:val="384C9FAF"/>
    <w:rsid w:val="38554483"/>
    <w:rsid w:val="385D74D1"/>
    <w:rsid w:val="386CA0E4"/>
    <w:rsid w:val="387DF7A6"/>
    <w:rsid w:val="388B3C92"/>
    <w:rsid w:val="38A615D0"/>
    <w:rsid w:val="38C250C7"/>
    <w:rsid w:val="38CEE623"/>
    <w:rsid w:val="38E4E9F4"/>
    <w:rsid w:val="38E68B33"/>
    <w:rsid w:val="38EB53BB"/>
    <w:rsid w:val="38FFFD89"/>
    <w:rsid w:val="3909F346"/>
    <w:rsid w:val="390DC4AF"/>
    <w:rsid w:val="3919E6B5"/>
    <w:rsid w:val="391B3672"/>
    <w:rsid w:val="391C7A99"/>
    <w:rsid w:val="3920DB9F"/>
    <w:rsid w:val="39352730"/>
    <w:rsid w:val="3968A477"/>
    <w:rsid w:val="3976CEFF"/>
    <w:rsid w:val="3982EE76"/>
    <w:rsid w:val="3999F910"/>
    <w:rsid w:val="39A580F6"/>
    <w:rsid w:val="39A75104"/>
    <w:rsid w:val="39C656DA"/>
    <w:rsid w:val="39C714D5"/>
    <w:rsid w:val="39DF5E2B"/>
    <w:rsid w:val="39E017BC"/>
    <w:rsid w:val="39F783F8"/>
    <w:rsid w:val="39FF46A4"/>
    <w:rsid w:val="3A2FBD2A"/>
    <w:rsid w:val="3A38AE2C"/>
    <w:rsid w:val="3A516B43"/>
    <w:rsid w:val="3A8609F1"/>
    <w:rsid w:val="3A9B8174"/>
    <w:rsid w:val="3A9F6590"/>
    <w:rsid w:val="3AA30AD7"/>
    <w:rsid w:val="3AC357CF"/>
    <w:rsid w:val="3AD45782"/>
    <w:rsid w:val="3ADC5878"/>
    <w:rsid w:val="3AED06B2"/>
    <w:rsid w:val="3AF635C0"/>
    <w:rsid w:val="3AF7ABD4"/>
    <w:rsid w:val="3AFA04F9"/>
    <w:rsid w:val="3AFA6C43"/>
    <w:rsid w:val="3B06637C"/>
    <w:rsid w:val="3B0BF6ED"/>
    <w:rsid w:val="3B187146"/>
    <w:rsid w:val="3B21994A"/>
    <w:rsid w:val="3B4BA474"/>
    <w:rsid w:val="3B5BAD71"/>
    <w:rsid w:val="3B93EB02"/>
    <w:rsid w:val="3B968513"/>
    <w:rsid w:val="3BA4CABD"/>
    <w:rsid w:val="3BBDEB74"/>
    <w:rsid w:val="3BC346A7"/>
    <w:rsid w:val="3BDAE8A5"/>
    <w:rsid w:val="3BF09016"/>
    <w:rsid w:val="3BFA214F"/>
    <w:rsid w:val="3C018CCB"/>
    <w:rsid w:val="3C0B54BE"/>
    <w:rsid w:val="3C0CCDFF"/>
    <w:rsid w:val="3C13A73B"/>
    <w:rsid w:val="3C322F61"/>
    <w:rsid w:val="3C4C18E9"/>
    <w:rsid w:val="3C50893D"/>
    <w:rsid w:val="3C52F07B"/>
    <w:rsid w:val="3C569254"/>
    <w:rsid w:val="3C85D846"/>
    <w:rsid w:val="3C86FC52"/>
    <w:rsid w:val="3C9410BD"/>
    <w:rsid w:val="3C9C7A41"/>
    <w:rsid w:val="3C9DFC88"/>
    <w:rsid w:val="3CA19E07"/>
    <w:rsid w:val="3CAB152C"/>
    <w:rsid w:val="3CBEA933"/>
    <w:rsid w:val="3CC983FD"/>
    <w:rsid w:val="3CF4B0C9"/>
    <w:rsid w:val="3D2156FB"/>
    <w:rsid w:val="3D21CC0C"/>
    <w:rsid w:val="3D246162"/>
    <w:rsid w:val="3D271CE1"/>
    <w:rsid w:val="3D2FE956"/>
    <w:rsid w:val="3D32481F"/>
    <w:rsid w:val="3D393E19"/>
    <w:rsid w:val="3D3F57BF"/>
    <w:rsid w:val="3D4FC69A"/>
    <w:rsid w:val="3D503E14"/>
    <w:rsid w:val="3D560CE5"/>
    <w:rsid w:val="3D6AA5EF"/>
    <w:rsid w:val="3D727C40"/>
    <w:rsid w:val="3D72F899"/>
    <w:rsid w:val="3D7E8B2E"/>
    <w:rsid w:val="3D8227FC"/>
    <w:rsid w:val="3D832A9C"/>
    <w:rsid w:val="3D8D663E"/>
    <w:rsid w:val="3DA3518F"/>
    <w:rsid w:val="3DAB4BA2"/>
    <w:rsid w:val="3DC2C95D"/>
    <w:rsid w:val="3DD722E0"/>
    <w:rsid w:val="3DE6B1FC"/>
    <w:rsid w:val="3DEEE694"/>
    <w:rsid w:val="3DF549A7"/>
    <w:rsid w:val="3E08C95F"/>
    <w:rsid w:val="3E0BD5B0"/>
    <w:rsid w:val="3E1A439C"/>
    <w:rsid w:val="3E2A6D0C"/>
    <w:rsid w:val="3E48F363"/>
    <w:rsid w:val="3E4AD1CC"/>
    <w:rsid w:val="3E502FB3"/>
    <w:rsid w:val="3E584664"/>
    <w:rsid w:val="3E65CB55"/>
    <w:rsid w:val="3E6E5E70"/>
    <w:rsid w:val="3E715AD9"/>
    <w:rsid w:val="3E73F29E"/>
    <w:rsid w:val="3EA7D6D2"/>
    <w:rsid w:val="3EB48416"/>
    <w:rsid w:val="3ECE69DE"/>
    <w:rsid w:val="3ECFC32E"/>
    <w:rsid w:val="3ED09DA6"/>
    <w:rsid w:val="3EE73D11"/>
    <w:rsid w:val="3EED3E73"/>
    <w:rsid w:val="3F1B0A26"/>
    <w:rsid w:val="3F2BFCB5"/>
    <w:rsid w:val="3F32EE38"/>
    <w:rsid w:val="3F5433C6"/>
    <w:rsid w:val="3F54EFAA"/>
    <w:rsid w:val="3F760FB6"/>
    <w:rsid w:val="3FA3F7F3"/>
    <w:rsid w:val="3FAD828E"/>
    <w:rsid w:val="3FD6C947"/>
    <w:rsid w:val="3FDF6B0C"/>
    <w:rsid w:val="3FFE9E30"/>
    <w:rsid w:val="40148D73"/>
    <w:rsid w:val="404E5F04"/>
    <w:rsid w:val="405B80EB"/>
    <w:rsid w:val="40629C99"/>
    <w:rsid w:val="4073B91B"/>
    <w:rsid w:val="4085919C"/>
    <w:rsid w:val="408706AD"/>
    <w:rsid w:val="4094A6EB"/>
    <w:rsid w:val="40C06978"/>
    <w:rsid w:val="40D41EF1"/>
    <w:rsid w:val="40DD5140"/>
    <w:rsid w:val="40E1BCD8"/>
    <w:rsid w:val="40EB0052"/>
    <w:rsid w:val="4102B47B"/>
    <w:rsid w:val="4127046A"/>
    <w:rsid w:val="413D7D2E"/>
    <w:rsid w:val="4154108C"/>
    <w:rsid w:val="4175B0CB"/>
    <w:rsid w:val="417C312C"/>
    <w:rsid w:val="418587FC"/>
    <w:rsid w:val="418EE697"/>
    <w:rsid w:val="419643BD"/>
    <w:rsid w:val="41A63318"/>
    <w:rsid w:val="41A70DB6"/>
    <w:rsid w:val="41B2B006"/>
    <w:rsid w:val="41B8EA15"/>
    <w:rsid w:val="41CEC268"/>
    <w:rsid w:val="41ED2BF9"/>
    <w:rsid w:val="4232EE9C"/>
    <w:rsid w:val="4236DBCE"/>
    <w:rsid w:val="4242D221"/>
    <w:rsid w:val="425521F7"/>
    <w:rsid w:val="426D18BB"/>
    <w:rsid w:val="426E74EB"/>
    <w:rsid w:val="4272A37B"/>
    <w:rsid w:val="4278CFD3"/>
    <w:rsid w:val="427C825B"/>
    <w:rsid w:val="427D3D9B"/>
    <w:rsid w:val="4283F8DB"/>
    <w:rsid w:val="428836F1"/>
    <w:rsid w:val="4292A0D5"/>
    <w:rsid w:val="42B3CEC4"/>
    <w:rsid w:val="42C9A0D8"/>
    <w:rsid w:val="42CF6B26"/>
    <w:rsid w:val="42D391F7"/>
    <w:rsid w:val="42E0E23A"/>
    <w:rsid w:val="42E7732F"/>
    <w:rsid w:val="42E9C3B9"/>
    <w:rsid w:val="42F23E28"/>
    <w:rsid w:val="42FEFE05"/>
    <w:rsid w:val="4319C70D"/>
    <w:rsid w:val="431C25B6"/>
    <w:rsid w:val="432E402F"/>
    <w:rsid w:val="43376E44"/>
    <w:rsid w:val="43433516"/>
    <w:rsid w:val="4344629D"/>
    <w:rsid w:val="43469834"/>
    <w:rsid w:val="435EA389"/>
    <w:rsid w:val="4362486C"/>
    <w:rsid w:val="43675FF6"/>
    <w:rsid w:val="436E8301"/>
    <w:rsid w:val="43753A8D"/>
    <w:rsid w:val="437CC27A"/>
    <w:rsid w:val="43955681"/>
    <w:rsid w:val="439BD7E5"/>
    <w:rsid w:val="43A920D9"/>
    <w:rsid w:val="43B8D678"/>
    <w:rsid w:val="43BF0113"/>
    <w:rsid w:val="43C1D169"/>
    <w:rsid w:val="43D504E5"/>
    <w:rsid w:val="43DD4E69"/>
    <w:rsid w:val="43F3EF97"/>
    <w:rsid w:val="4403C20A"/>
    <w:rsid w:val="44222F85"/>
    <w:rsid w:val="44276A92"/>
    <w:rsid w:val="442E0C6E"/>
    <w:rsid w:val="4438174D"/>
    <w:rsid w:val="443AE4EF"/>
    <w:rsid w:val="443CF986"/>
    <w:rsid w:val="444A69BD"/>
    <w:rsid w:val="444D00BA"/>
    <w:rsid w:val="4468D12E"/>
    <w:rsid w:val="44739E61"/>
    <w:rsid w:val="44815431"/>
    <w:rsid w:val="448BF24F"/>
    <w:rsid w:val="449E1731"/>
    <w:rsid w:val="44C7419C"/>
    <w:rsid w:val="44CE154C"/>
    <w:rsid w:val="44CE6BBE"/>
    <w:rsid w:val="44D145D0"/>
    <w:rsid w:val="44E04BAE"/>
    <w:rsid w:val="44E68765"/>
    <w:rsid w:val="44EF89B0"/>
    <w:rsid w:val="44F07CEF"/>
    <w:rsid w:val="45209EDC"/>
    <w:rsid w:val="452D4638"/>
    <w:rsid w:val="453681E3"/>
    <w:rsid w:val="4564740A"/>
    <w:rsid w:val="4590CF5D"/>
    <w:rsid w:val="45922FBC"/>
    <w:rsid w:val="459FD7D2"/>
    <w:rsid w:val="45A2C93D"/>
    <w:rsid w:val="45A7A8B9"/>
    <w:rsid w:val="45A7BD10"/>
    <w:rsid w:val="45B543A1"/>
    <w:rsid w:val="45C63413"/>
    <w:rsid w:val="45C8862A"/>
    <w:rsid w:val="45E87930"/>
    <w:rsid w:val="45E8CF93"/>
    <w:rsid w:val="45FBE80B"/>
    <w:rsid w:val="460DFD0B"/>
    <w:rsid w:val="4619EF59"/>
    <w:rsid w:val="4654EFF7"/>
    <w:rsid w:val="46709112"/>
    <w:rsid w:val="469B8D8F"/>
    <w:rsid w:val="46B17755"/>
    <w:rsid w:val="46BA108E"/>
    <w:rsid w:val="46BA720B"/>
    <w:rsid w:val="46CF831A"/>
    <w:rsid w:val="46F11E5E"/>
    <w:rsid w:val="46F8308F"/>
    <w:rsid w:val="46FC181A"/>
    <w:rsid w:val="47210849"/>
    <w:rsid w:val="47468B3D"/>
    <w:rsid w:val="474BCC09"/>
    <w:rsid w:val="475B9F9A"/>
    <w:rsid w:val="475D1494"/>
    <w:rsid w:val="475E82A8"/>
    <w:rsid w:val="47622E8A"/>
    <w:rsid w:val="477CE121"/>
    <w:rsid w:val="479C0731"/>
    <w:rsid w:val="47A1381C"/>
    <w:rsid w:val="47A44D5B"/>
    <w:rsid w:val="47AEF03F"/>
    <w:rsid w:val="47CAAB83"/>
    <w:rsid w:val="47D54C97"/>
    <w:rsid w:val="47D5E43E"/>
    <w:rsid w:val="47E04961"/>
    <w:rsid w:val="47FD6263"/>
    <w:rsid w:val="480BDB64"/>
    <w:rsid w:val="48111C89"/>
    <w:rsid w:val="4813789B"/>
    <w:rsid w:val="481F788A"/>
    <w:rsid w:val="4831C4DE"/>
    <w:rsid w:val="4837E6BC"/>
    <w:rsid w:val="483B93E3"/>
    <w:rsid w:val="4841C99D"/>
    <w:rsid w:val="484DA515"/>
    <w:rsid w:val="48500F6E"/>
    <w:rsid w:val="48A4417E"/>
    <w:rsid w:val="48AAA616"/>
    <w:rsid w:val="48B2A1F0"/>
    <w:rsid w:val="48BB89B8"/>
    <w:rsid w:val="48C0BEAD"/>
    <w:rsid w:val="48C9555C"/>
    <w:rsid w:val="48E9ABBA"/>
    <w:rsid w:val="48EE5591"/>
    <w:rsid w:val="48EE9F7D"/>
    <w:rsid w:val="49052AB8"/>
    <w:rsid w:val="4919DEEC"/>
    <w:rsid w:val="4922B0C7"/>
    <w:rsid w:val="492EFD66"/>
    <w:rsid w:val="4935E6AF"/>
    <w:rsid w:val="4936CA96"/>
    <w:rsid w:val="493737CC"/>
    <w:rsid w:val="493A3A99"/>
    <w:rsid w:val="494DD7B5"/>
    <w:rsid w:val="49551F6D"/>
    <w:rsid w:val="498D0CC0"/>
    <w:rsid w:val="4997C48F"/>
    <w:rsid w:val="49A01832"/>
    <w:rsid w:val="49AAD06D"/>
    <w:rsid w:val="49C2CAFD"/>
    <w:rsid w:val="49C35CDB"/>
    <w:rsid w:val="49C53637"/>
    <w:rsid w:val="49C80AD6"/>
    <w:rsid w:val="49CA0B5D"/>
    <w:rsid w:val="49CCE9C8"/>
    <w:rsid w:val="49D3BD75"/>
    <w:rsid w:val="49DC1699"/>
    <w:rsid w:val="49DD26B3"/>
    <w:rsid w:val="49E06BCB"/>
    <w:rsid w:val="49E210CF"/>
    <w:rsid w:val="49EEC84B"/>
    <w:rsid w:val="49F30082"/>
    <w:rsid w:val="4A0E0C92"/>
    <w:rsid w:val="4A2279E8"/>
    <w:rsid w:val="4A33E3C0"/>
    <w:rsid w:val="4A49B031"/>
    <w:rsid w:val="4A64CBA1"/>
    <w:rsid w:val="4A6D01C1"/>
    <w:rsid w:val="4A9EBFE7"/>
    <w:rsid w:val="4AA99AC9"/>
    <w:rsid w:val="4ABA3051"/>
    <w:rsid w:val="4AC7EDD7"/>
    <w:rsid w:val="4AD3A1D9"/>
    <w:rsid w:val="4ADDDDA7"/>
    <w:rsid w:val="4AE7998C"/>
    <w:rsid w:val="4AFE9445"/>
    <w:rsid w:val="4B092C57"/>
    <w:rsid w:val="4B1057AB"/>
    <w:rsid w:val="4B15359A"/>
    <w:rsid w:val="4B49D208"/>
    <w:rsid w:val="4B4F5B99"/>
    <w:rsid w:val="4B56EAAC"/>
    <w:rsid w:val="4B5D3E4F"/>
    <w:rsid w:val="4B6F7F8F"/>
    <w:rsid w:val="4B6F94BB"/>
    <w:rsid w:val="4BA698C9"/>
    <w:rsid w:val="4BB88F7A"/>
    <w:rsid w:val="4BBE0B72"/>
    <w:rsid w:val="4BCB5D45"/>
    <w:rsid w:val="4BD58811"/>
    <w:rsid w:val="4C0989D5"/>
    <w:rsid w:val="4C1C69FD"/>
    <w:rsid w:val="4C25CB43"/>
    <w:rsid w:val="4C2B54D6"/>
    <w:rsid w:val="4C4C170D"/>
    <w:rsid w:val="4C6B6714"/>
    <w:rsid w:val="4C7BCACF"/>
    <w:rsid w:val="4C7F1162"/>
    <w:rsid w:val="4C81E9B6"/>
    <w:rsid w:val="4CB0D07C"/>
    <w:rsid w:val="4CCADE32"/>
    <w:rsid w:val="4CEC17B8"/>
    <w:rsid w:val="4CEC4729"/>
    <w:rsid w:val="4CF86D62"/>
    <w:rsid w:val="4CFC9B0E"/>
    <w:rsid w:val="4D0ACA7D"/>
    <w:rsid w:val="4D1A727F"/>
    <w:rsid w:val="4D2E30D4"/>
    <w:rsid w:val="4D3B25C7"/>
    <w:rsid w:val="4D3DAB76"/>
    <w:rsid w:val="4D62EBAB"/>
    <w:rsid w:val="4D7FE7F5"/>
    <w:rsid w:val="4D9E6D18"/>
    <w:rsid w:val="4D9FC08B"/>
    <w:rsid w:val="4DB56EDC"/>
    <w:rsid w:val="4DB9C2C6"/>
    <w:rsid w:val="4DC04CD2"/>
    <w:rsid w:val="4DE328CD"/>
    <w:rsid w:val="4DEBD471"/>
    <w:rsid w:val="4DF0E4EE"/>
    <w:rsid w:val="4DF3EDEF"/>
    <w:rsid w:val="4DFC68EA"/>
    <w:rsid w:val="4E02F2FF"/>
    <w:rsid w:val="4E226149"/>
    <w:rsid w:val="4E46AC4E"/>
    <w:rsid w:val="4E4780D4"/>
    <w:rsid w:val="4E5C69F5"/>
    <w:rsid w:val="4E5D0832"/>
    <w:rsid w:val="4E797230"/>
    <w:rsid w:val="4EA44A18"/>
    <w:rsid w:val="4EBAB250"/>
    <w:rsid w:val="4ED3965A"/>
    <w:rsid w:val="4ED64D6E"/>
    <w:rsid w:val="4EF22BCB"/>
    <w:rsid w:val="4EF9898A"/>
    <w:rsid w:val="4F19D0EF"/>
    <w:rsid w:val="4F28E47A"/>
    <w:rsid w:val="4F31991C"/>
    <w:rsid w:val="4F5B80F5"/>
    <w:rsid w:val="4F613E37"/>
    <w:rsid w:val="4F646CE4"/>
    <w:rsid w:val="4F7946A1"/>
    <w:rsid w:val="4F8A6885"/>
    <w:rsid w:val="4FA22EC1"/>
    <w:rsid w:val="4FCA0FCD"/>
    <w:rsid w:val="4FCD45C1"/>
    <w:rsid w:val="4FD77252"/>
    <w:rsid w:val="4FEDCAF5"/>
    <w:rsid w:val="4FF80382"/>
    <w:rsid w:val="500209F5"/>
    <w:rsid w:val="5007EDB5"/>
    <w:rsid w:val="501088D4"/>
    <w:rsid w:val="501AF39F"/>
    <w:rsid w:val="5034C2F1"/>
    <w:rsid w:val="503A1265"/>
    <w:rsid w:val="50424727"/>
    <w:rsid w:val="50536275"/>
    <w:rsid w:val="505C3082"/>
    <w:rsid w:val="5061C0EC"/>
    <w:rsid w:val="506CD2FD"/>
    <w:rsid w:val="509936C6"/>
    <w:rsid w:val="509A16A4"/>
    <w:rsid w:val="50B07A97"/>
    <w:rsid w:val="50C7C823"/>
    <w:rsid w:val="50CCECC8"/>
    <w:rsid w:val="50F2C965"/>
    <w:rsid w:val="50F99631"/>
    <w:rsid w:val="50FB3629"/>
    <w:rsid w:val="51160CDB"/>
    <w:rsid w:val="511C8E19"/>
    <w:rsid w:val="51389DF2"/>
    <w:rsid w:val="5143F179"/>
    <w:rsid w:val="514FFC54"/>
    <w:rsid w:val="517534C2"/>
    <w:rsid w:val="517A6E77"/>
    <w:rsid w:val="5181D7D2"/>
    <w:rsid w:val="518C34E7"/>
    <w:rsid w:val="5191B543"/>
    <w:rsid w:val="51AD544B"/>
    <w:rsid w:val="51E14D5C"/>
    <w:rsid w:val="51F29D8C"/>
    <w:rsid w:val="521F0F4C"/>
    <w:rsid w:val="52439AC7"/>
    <w:rsid w:val="52477261"/>
    <w:rsid w:val="524AB23E"/>
    <w:rsid w:val="5253D3C6"/>
    <w:rsid w:val="525A577E"/>
    <w:rsid w:val="52616303"/>
    <w:rsid w:val="52644236"/>
    <w:rsid w:val="529956A3"/>
    <w:rsid w:val="529DE503"/>
    <w:rsid w:val="52A1365F"/>
    <w:rsid w:val="52C39CE7"/>
    <w:rsid w:val="52DDFA94"/>
    <w:rsid w:val="5323F6F2"/>
    <w:rsid w:val="5351CE57"/>
    <w:rsid w:val="5357BEEB"/>
    <w:rsid w:val="536C458F"/>
    <w:rsid w:val="537A4845"/>
    <w:rsid w:val="537B5A4A"/>
    <w:rsid w:val="5381C449"/>
    <w:rsid w:val="5384A6FC"/>
    <w:rsid w:val="538B6156"/>
    <w:rsid w:val="53923F96"/>
    <w:rsid w:val="53A18670"/>
    <w:rsid w:val="53C2FE70"/>
    <w:rsid w:val="53CC6F10"/>
    <w:rsid w:val="53D3FAB9"/>
    <w:rsid w:val="53DC2257"/>
    <w:rsid w:val="53ED0226"/>
    <w:rsid w:val="53FA3EC4"/>
    <w:rsid w:val="5429956F"/>
    <w:rsid w:val="54398BB0"/>
    <w:rsid w:val="5444B1F3"/>
    <w:rsid w:val="544F12B3"/>
    <w:rsid w:val="54523175"/>
    <w:rsid w:val="545A3DAB"/>
    <w:rsid w:val="545FEC7A"/>
    <w:rsid w:val="54662B34"/>
    <w:rsid w:val="547D5630"/>
    <w:rsid w:val="548891A3"/>
    <w:rsid w:val="54936951"/>
    <w:rsid w:val="54A8C4E9"/>
    <w:rsid w:val="54AFEFBB"/>
    <w:rsid w:val="54BA3314"/>
    <w:rsid w:val="54D5E6FD"/>
    <w:rsid w:val="54E367E5"/>
    <w:rsid w:val="54EAA730"/>
    <w:rsid w:val="55056908"/>
    <w:rsid w:val="5514EFB0"/>
    <w:rsid w:val="551D622F"/>
    <w:rsid w:val="5524A462"/>
    <w:rsid w:val="552A9858"/>
    <w:rsid w:val="5534916B"/>
    <w:rsid w:val="553846B6"/>
    <w:rsid w:val="5558B135"/>
    <w:rsid w:val="55596169"/>
    <w:rsid w:val="555AA022"/>
    <w:rsid w:val="555B7C30"/>
    <w:rsid w:val="5591D610"/>
    <w:rsid w:val="55935938"/>
    <w:rsid w:val="55AA6059"/>
    <w:rsid w:val="55C50DD2"/>
    <w:rsid w:val="55E5E7A9"/>
    <w:rsid w:val="55EAD7F2"/>
    <w:rsid w:val="55FD331E"/>
    <w:rsid w:val="5613F18A"/>
    <w:rsid w:val="562522ED"/>
    <w:rsid w:val="563F6129"/>
    <w:rsid w:val="564F1BFD"/>
    <w:rsid w:val="5670EE03"/>
    <w:rsid w:val="5671B226"/>
    <w:rsid w:val="567F26DD"/>
    <w:rsid w:val="5684641A"/>
    <w:rsid w:val="56A6197B"/>
    <w:rsid w:val="56BF0147"/>
    <w:rsid w:val="56C0A7CE"/>
    <w:rsid w:val="56C2230D"/>
    <w:rsid w:val="56C5703E"/>
    <w:rsid w:val="56CDC9EA"/>
    <w:rsid w:val="56ECA0F9"/>
    <w:rsid w:val="571D1DA7"/>
    <w:rsid w:val="571E44E8"/>
    <w:rsid w:val="5730EAE8"/>
    <w:rsid w:val="57358BB6"/>
    <w:rsid w:val="573612D0"/>
    <w:rsid w:val="57509521"/>
    <w:rsid w:val="57639CE1"/>
    <w:rsid w:val="577E723F"/>
    <w:rsid w:val="577F6CA9"/>
    <w:rsid w:val="57B83099"/>
    <w:rsid w:val="57BC125A"/>
    <w:rsid w:val="57BCCB42"/>
    <w:rsid w:val="57C2778B"/>
    <w:rsid w:val="580516C8"/>
    <w:rsid w:val="58058934"/>
    <w:rsid w:val="581AB518"/>
    <w:rsid w:val="582B07BE"/>
    <w:rsid w:val="5843917C"/>
    <w:rsid w:val="5854A5ED"/>
    <w:rsid w:val="58700C5B"/>
    <w:rsid w:val="58740A51"/>
    <w:rsid w:val="58754F46"/>
    <w:rsid w:val="58880032"/>
    <w:rsid w:val="588CB538"/>
    <w:rsid w:val="5899B57F"/>
    <w:rsid w:val="589F66BB"/>
    <w:rsid w:val="58A7AB76"/>
    <w:rsid w:val="58CC1081"/>
    <w:rsid w:val="58E2115C"/>
    <w:rsid w:val="59048835"/>
    <w:rsid w:val="59073D60"/>
    <w:rsid w:val="5907C0C2"/>
    <w:rsid w:val="5914F0FC"/>
    <w:rsid w:val="591EDB29"/>
    <w:rsid w:val="592A3C13"/>
    <w:rsid w:val="5932A303"/>
    <w:rsid w:val="5938EE4D"/>
    <w:rsid w:val="5942DD22"/>
    <w:rsid w:val="594F0553"/>
    <w:rsid w:val="5954927C"/>
    <w:rsid w:val="5959D559"/>
    <w:rsid w:val="59622393"/>
    <w:rsid w:val="596C142C"/>
    <w:rsid w:val="597D29EB"/>
    <w:rsid w:val="5982395B"/>
    <w:rsid w:val="598D228D"/>
    <w:rsid w:val="59A2FC27"/>
    <w:rsid w:val="59A73C90"/>
    <w:rsid w:val="59C77236"/>
    <w:rsid w:val="59EA1F92"/>
    <w:rsid w:val="59EBEC48"/>
    <w:rsid w:val="5A15C79C"/>
    <w:rsid w:val="5A2AB2B3"/>
    <w:rsid w:val="5A349A5D"/>
    <w:rsid w:val="5A36A6FE"/>
    <w:rsid w:val="5A3ACBCE"/>
    <w:rsid w:val="5A432704"/>
    <w:rsid w:val="5A48524B"/>
    <w:rsid w:val="5A4A3BA5"/>
    <w:rsid w:val="5A4C0C2A"/>
    <w:rsid w:val="5A82FB9B"/>
    <w:rsid w:val="5A836F35"/>
    <w:rsid w:val="5A8786C3"/>
    <w:rsid w:val="5AB46EE3"/>
    <w:rsid w:val="5AC5833D"/>
    <w:rsid w:val="5AC5A6ED"/>
    <w:rsid w:val="5B024D72"/>
    <w:rsid w:val="5B11EB6C"/>
    <w:rsid w:val="5B284724"/>
    <w:rsid w:val="5B51A384"/>
    <w:rsid w:val="5B741241"/>
    <w:rsid w:val="5B82AEF3"/>
    <w:rsid w:val="5B8A5072"/>
    <w:rsid w:val="5B8B00F6"/>
    <w:rsid w:val="5B949A9E"/>
    <w:rsid w:val="5BABCA52"/>
    <w:rsid w:val="5BAC3425"/>
    <w:rsid w:val="5BDA9FF4"/>
    <w:rsid w:val="5BE3282A"/>
    <w:rsid w:val="5BF423B6"/>
    <w:rsid w:val="5C0900EC"/>
    <w:rsid w:val="5C15689C"/>
    <w:rsid w:val="5C1C8434"/>
    <w:rsid w:val="5C253A91"/>
    <w:rsid w:val="5C2C7B1E"/>
    <w:rsid w:val="5C306DFB"/>
    <w:rsid w:val="5C31131B"/>
    <w:rsid w:val="5C3CF612"/>
    <w:rsid w:val="5C420AA4"/>
    <w:rsid w:val="5C50E20A"/>
    <w:rsid w:val="5C520F44"/>
    <w:rsid w:val="5C5D106D"/>
    <w:rsid w:val="5C5F6AB5"/>
    <w:rsid w:val="5C6FCE99"/>
    <w:rsid w:val="5C803DE3"/>
    <w:rsid w:val="5C920A83"/>
    <w:rsid w:val="5C9B3E6D"/>
    <w:rsid w:val="5CC2624F"/>
    <w:rsid w:val="5CDE29BE"/>
    <w:rsid w:val="5CE03C54"/>
    <w:rsid w:val="5CE8A235"/>
    <w:rsid w:val="5CEB4635"/>
    <w:rsid w:val="5CECB5C7"/>
    <w:rsid w:val="5CFA660A"/>
    <w:rsid w:val="5D19AB98"/>
    <w:rsid w:val="5D1BBAB6"/>
    <w:rsid w:val="5D219242"/>
    <w:rsid w:val="5D4AE9AF"/>
    <w:rsid w:val="5D4C7857"/>
    <w:rsid w:val="5D597967"/>
    <w:rsid w:val="5D76415E"/>
    <w:rsid w:val="5D8510DD"/>
    <w:rsid w:val="5D911C9A"/>
    <w:rsid w:val="5DB4B3E4"/>
    <w:rsid w:val="5DBB9EC3"/>
    <w:rsid w:val="5DD470F2"/>
    <w:rsid w:val="5DE6377D"/>
    <w:rsid w:val="5DEF10F0"/>
    <w:rsid w:val="5DF70B2A"/>
    <w:rsid w:val="5DF7DB1F"/>
    <w:rsid w:val="5E163222"/>
    <w:rsid w:val="5E1C0E03"/>
    <w:rsid w:val="5E30568E"/>
    <w:rsid w:val="5E3D8330"/>
    <w:rsid w:val="5E3EE79B"/>
    <w:rsid w:val="5E48B9D3"/>
    <w:rsid w:val="5E54D371"/>
    <w:rsid w:val="5E6AF122"/>
    <w:rsid w:val="5E728086"/>
    <w:rsid w:val="5E7530F6"/>
    <w:rsid w:val="5E7A215D"/>
    <w:rsid w:val="5E816B94"/>
    <w:rsid w:val="5EB18CFE"/>
    <w:rsid w:val="5ED3B9F3"/>
    <w:rsid w:val="5F1BE9F8"/>
    <w:rsid w:val="5F375D98"/>
    <w:rsid w:val="5F3ED82A"/>
    <w:rsid w:val="5F49456E"/>
    <w:rsid w:val="5F6F83BC"/>
    <w:rsid w:val="5F7B51F0"/>
    <w:rsid w:val="5F7C715C"/>
    <w:rsid w:val="5FAC3B26"/>
    <w:rsid w:val="5FCB119C"/>
    <w:rsid w:val="5FD410A8"/>
    <w:rsid w:val="5FF0C609"/>
    <w:rsid w:val="5FF3500D"/>
    <w:rsid w:val="60021EFC"/>
    <w:rsid w:val="601587FF"/>
    <w:rsid w:val="601F01F3"/>
    <w:rsid w:val="6020623F"/>
    <w:rsid w:val="602296F8"/>
    <w:rsid w:val="603AE14C"/>
    <w:rsid w:val="603F7C02"/>
    <w:rsid w:val="604952EF"/>
    <w:rsid w:val="605B707B"/>
    <w:rsid w:val="605DBC8B"/>
    <w:rsid w:val="605FAC0E"/>
    <w:rsid w:val="60B89372"/>
    <w:rsid w:val="60BA4669"/>
    <w:rsid w:val="60C51220"/>
    <w:rsid w:val="60C78971"/>
    <w:rsid w:val="60D90C1F"/>
    <w:rsid w:val="61035A9E"/>
    <w:rsid w:val="610ED2A1"/>
    <w:rsid w:val="6122A7BA"/>
    <w:rsid w:val="612AA70B"/>
    <w:rsid w:val="612C5BC3"/>
    <w:rsid w:val="6191D5B7"/>
    <w:rsid w:val="61B09022"/>
    <w:rsid w:val="61B5E274"/>
    <w:rsid w:val="61B6DA97"/>
    <w:rsid w:val="61B7D356"/>
    <w:rsid w:val="61D0B299"/>
    <w:rsid w:val="61F1089F"/>
    <w:rsid w:val="6203FFD2"/>
    <w:rsid w:val="6204642C"/>
    <w:rsid w:val="6207BA68"/>
    <w:rsid w:val="621097A9"/>
    <w:rsid w:val="623C0ED5"/>
    <w:rsid w:val="624A3B1A"/>
    <w:rsid w:val="625715B1"/>
    <w:rsid w:val="62603537"/>
    <w:rsid w:val="62636407"/>
    <w:rsid w:val="62757451"/>
    <w:rsid w:val="6282BC92"/>
    <w:rsid w:val="62840D58"/>
    <w:rsid w:val="629568C2"/>
    <w:rsid w:val="6298D49F"/>
    <w:rsid w:val="62AFB435"/>
    <w:rsid w:val="62BD617A"/>
    <w:rsid w:val="62BD68E7"/>
    <w:rsid w:val="62C342A5"/>
    <w:rsid w:val="62CAEBBD"/>
    <w:rsid w:val="62CF0144"/>
    <w:rsid w:val="62D0CD18"/>
    <w:rsid w:val="62D6D4CD"/>
    <w:rsid w:val="62FAC9D2"/>
    <w:rsid w:val="62FC09AD"/>
    <w:rsid w:val="62FEB4EC"/>
    <w:rsid w:val="6300EE24"/>
    <w:rsid w:val="630B63A7"/>
    <w:rsid w:val="630C8948"/>
    <w:rsid w:val="631E8619"/>
    <w:rsid w:val="6326E11B"/>
    <w:rsid w:val="632A7AF0"/>
    <w:rsid w:val="632C44B1"/>
    <w:rsid w:val="635808D4"/>
    <w:rsid w:val="635B96ED"/>
    <w:rsid w:val="635CA515"/>
    <w:rsid w:val="6363EA52"/>
    <w:rsid w:val="6371D549"/>
    <w:rsid w:val="6374A9BC"/>
    <w:rsid w:val="6383294D"/>
    <w:rsid w:val="638AED0A"/>
    <w:rsid w:val="639ED78A"/>
    <w:rsid w:val="63BA18A5"/>
    <w:rsid w:val="63C1B88B"/>
    <w:rsid w:val="63CE0B37"/>
    <w:rsid w:val="63D1B15A"/>
    <w:rsid w:val="63E55D75"/>
    <w:rsid w:val="63F4120C"/>
    <w:rsid w:val="63FBA1DA"/>
    <w:rsid w:val="641350B2"/>
    <w:rsid w:val="64235FFF"/>
    <w:rsid w:val="642C52C4"/>
    <w:rsid w:val="6436B03B"/>
    <w:rsid w:val="6438928C"/>
    <w:rsid w:val="643E643D"/>
    <w:rsid w:val="646137FD"/>
    <w:rsid w:val="6467B60A"/>
    <w:rsid w:val="64830C5E"/>
    <w:rsid w:val="64910935"/>
    <w:rsid w:val="6493A2FA"/>
    <w:rsid w:val="64A4EC4D"/>
    <w:rsid w:val="64AE837A"/>
    <w:rsid w:val="64B23BDC"/>
    <w:rsid w:val="64B9147E"/>
    <w:rsid w:val="64C2CA7D"/>
    <w:rsid w:val="64D0FA71"/>
    <w:rsid w:val="64DD79A8"/>
    <w:rsid w:val="64E5EB34"/>
    <w:rsid w:val="64F3C7D2"/>
    <w:rsid w:val="64F8F34D"/>
    <w:rsid w:val="65052FD7"/>
    <w:rsid w:val="6517551B"/>
    <w:rsid w:val="651E6693"/>
    <w:rsid w:val="6549E6C9"/>
    <w:rsid w:val="65ADF7CE"/>
    <w:rsid w:val="65B02F5C"/>
    <w:rsid w:val="65B6C9CB"/>
    <w:rsid w:val="65B9A158"/>
    <w:rsid w:val="6629E511"/>
    <w:rsid w:val="662AAD42"/>
    <w:rsid w:val="66392A1B"/>
    <w:rsid w:val="663A79E9"/>
    <w:rsid w:val="664D5C83"/>
    <w:rsid w:val="666E9B9C"/>
    <w:rsid w:val="668A6588"/>
    <w:rsid w:val="6693F380"/>
    <w:rsid w:val="66AC7B5A"/>
    <w:rsid w:val="66AD0778"/>
    <w:rsid w:val="66B43407"/>
    <w:rsid w:val="66BD8666"/>
    <w:rsid w:val="66C09DEA"/>
    <w:rsid w:val="66C72803"/>
    <w:rsid w:val="66DA3232"/>
    <w:rsid w:val="66ED318F"/>
    <w:rsid w:val="66FDCAB8"/>
    <w:rsid w:val="670C9828"/>
    <w:rsid w:val="671D645A"/>
    <w:rsid w:val="672003F9"/>
    <w:rsid w:val="67248834"/>
    <w:rsid w:val="6727EC6B"/>
    <w:rsid w:val="6729A12A"/>
    <w:rsid w:val="672AF32A"/>
    <w:rsid w:val="67358652"/>
    <w:rsid w:val="6739BDB4"/>
    <w:rsid w:val="67558AE6"/>
    <w:rsid w:val="6765279C"/>
    <w:rsid w:val="67702BB9"/>
    <w:rsid w:val="6785F72B"/>
    <w:rsid w:val="679A62AD"/>
    <w:rsid w:val="67A8D8EF"/>
    <w:rsid w:val="67B0EB09"/>
    <w:rsid w:val="67BC19C5"/>
    <w:rsid w:val="67BCA62E"/>
    <w:rsid w:val="67C58C4A"/>
    <w:rsid w:val="67D4D707"/>
    <w:rsid w:val="67D740C6"/>
    <w:rsid w:val="67EB409E"/>
    <w:rsid w:val="67EBB48B"/>
    <w:rsid w:val="680C2639"/>
    <w:rsid w:val="68130CF4"/>
    <w:rsid w:val="681534BD"/>
    <w:rsid w:val="6829B602"/>
    <w:rsid w:val="683EDC41"/>
    <w:rsid w:val="6849B9FB"/>
    <w:rsid w:val="684F56A6"/>
    <w:rsid w:val="6863F039"/>
    <w:rsid w:val="687517F0"/>
    <w:rsid w:val="68979980"/>
    <w:rsid w:val="68C4A6F1"/>
    <w:rsid w:val="68CC70FB"/>
    <w:rsid w:val="68D0D1DF"/>
    <w:rsid w:val="68DBBC10"/>
    <w:rsid w:val="69083352"/>
    <w:rsid w:val="690B8833"/>
    <w:rsid w:val="690EDEC6"/>
    <w:rsid w:val="6913679A"/>
    <w:rsid w:val="691A017D"/>
    <w:rsid w:val="692BF97C"/>
    <w:rsid w:val="693AAAE7"/>
    <w:rsid w:val="693D2C13"/>
    <w:rsid w:val="69721797"/>
    <w:rsid w:val="69775C76"/>
    <w:rsid w:val="6980C22B"/>
    <w:rsid w:val="69A0774F"/>
    <w:rsid w:val="69A76894"/>
    <w:rsid w:val="69C6DFCF"/>
    <w:rsid w:val="69DD4FE4"/>
    <w:rsid w:val="69F11983"/>
    <w:rsid w:val="69FE9497"/>
    <w:rsid w:val="6A04AB12"/>
    <w:rsid w:val="6A1A34D3"/>
    <w:rsid w:val="6A4271E2"/>
    <w:rsid w:val="6A45463E"/>
    <w:rsid w:val="6A461BB2"/>
    <w:rsid w:val="6A4DD92C"/>
    <w:rsid w:val="6A52197E"/>
    <w:rsid w:val="6A57977A"/>
    <w:rsid w:val="6A68497B"/>
    <w:rsid w:val="6A85395C"/>
    <w:rsid w:val="6A8E7DD2"/>
    <w:rsid w:val="6A91F56F"/>
    <w:rsid w:val="6A98329C"/>
    <w:rsid w:val="6A9B10AC"/>
    <w:rsid w:val="6AB11DAC"/>
    <w:rsid w:val="6AB4CD9C"/>
    <w:rsid w:val="6AB5696B"/>
    <w:rsid w:val="6AC432CC"/>
    <w:rsid w:val="6ACC9266"/>
    <w:rsid w:val="6ACD8531"/>
    <w:rsid w:val="6AE18F23"/>
    <w:rsid w:val="6AE6532E"/>
    <w:rsid w:val="6AEB4987"/>
    <w:rsid w:val="6B12E7BA"/>
    <w:rsid w:val="6B1E87F2"/>
    <w:rsid w:val="6B1FCDFC"/>
    <w:rsid w:val="6B2275A8"/>
    <w:rsid w:val="6B2C8F8F"/>
    <w:rsid w:val="6B2CE3ED"/>
    <w:rsid w:val="6B30B1FE"/>
    <w:rsid w:val="6B3BE596"/>
    <w:rsid w:val="6B477952"/>
    <w:rsid w:val="6B4B8EE7"/>
    <w:rsid w:val="6B4DD858"/>
    <w:rsid w:val="6B577A4C"/>
    <w:rsid w:val="6B63688C"/>
    <w:rsid w:val="6B7E1B94"/>
    <w:rsid w:val="6B889C33"/>
    <w:rsid w:val="6B8CE595"/>
    <w:rsid w:val="6BAA352A"/>
    <w:rsid w:val="6BB19784"/>
    <w:rsid w:val="6BB2C8E2"/>
    <w:rsid w:val="6BB86D19"/>
    <w:rsid w:val="6BBBC172"/>
    <w:rsid w:val="6BC11EF5"/>
    <w:rsid w:val="6BC66FCE"/>
    <w:rsid w:val="6BC81134"/>
    <w:rsid w:val="6BDCB751"/>
    <w:rsid w:val="6BECE370"/>
    <w:rsid w:val="6C0BBC92"/>
    <w:rsid w:val="6C0CEF42"/>
    <w:rsid w:val="6C1315C9"/>
    <w:rsid w:val="6C2A5BD4"/>
    <w:rsid w:val="6C3C13D9"/>
    <w:rsid w:val="6C47A55E"/>
    <w:rsid w:val="6C5B645E"/>
    <w:rsid w:val="6C63C433"/>
    <w:rsid w:val="6C6578A7"/>
    <w:rsid w:val="6C659C1B"/>
    <w:rsid w:val="6C74E7EA"/>
    <w:rsid w:val="6C8B0676"/>
    <w:rsid w:val="6CA8E694"/>
    <w:rsid w:val="6CC3B63D"/>
    <w:rsid w:val="6CE89C70"/>
    <w:rsid w:val="6CF3CE39"/>
    <w:rsid w:val="6CF820FA"/>
    <w:rsid w:val="6CFA6D10"/>
    <w:rsid w:val="6D0C1EDB"/>
    <w:rsid w:val="6D1B398B"/>
    <w:rsid w:val="6D1DCC05"/>
    <w:rsid w:val="6D28EB34"/>
    <w:rsid w:val="6D2CFB63"/>
    <w:rsid w:val="6D548B89"/>
    <w:rsid w:val="6D587C7C"/>
    <w:rsid w:val="6D5E1510"/>
    <w:rsid w:val="6D719F48"/>
    <w:rsid w:val="6D7D078E"/>
    <w:rsid w:val="6D8D316A"/>
    <w:rsid w:val="6D932A05"/>
    <w:rsid w:val="6DA41458"/>
    <w:rsid w:val="6DA564F7"/>
    <w:rsid w:val="6DCD3CB4"/>
    <w:rsid w:val="6DCDE564"/>
    <w:rsid w:val="6DD81EFE"/>
    <w:rsid w:val="6DEF0901"/>
    <w:rsid w:val="6DF98C5D"/>
    <w:rsid w:val="6E20C61F"/>
    <w:rsid w:val="6E3C69D1"/>
    <w:rsid w:val="6E3F905C"/>
    <w:rsid w:val="6E4912DC"/>
    <w:rsid w:val="6E493238"/>
    <w:rsid w:val="6E4DBFEE"/>
    <w:rsid w:val="6E4ECD8E"/>
    <w:rsid w:val="6E4F3379"/>
    <w:rsid w:val="6E638132"/>
    <w:rsid w:val="6E82C658"/>
    <w:rsid w:val="6E9F1EBE"/>
    <w:rsid w:val="6EAF440F"/>
    <w:rsid w:val="6EBD9C03"/>
    <w:rsid w:val="6ED793CA"/>
    <w:rsid w:val="6EF1982D"/>
    <w:rsid w:val="6F00AD74"/>
    <w:rsid w:val="6F03B47A"/>
    <w:rsid w:val="6F18FFB5"/>
    <w:rsid w:val="6F2B6AE9"/>
    <w:rsid w:val="6F2BE008"/>
    <w:rsid w:val="6F2D20D6"/>
    <w:rsid w:val="6F2ED827"/>
    <w:rsid w:val="6F2F9AF2"/>
    <w:rsid w:val="6F34A160"/>
    <w:rsid w:val="6F3ACB76"/>
    <w:rsid w:val="6F4B8558"/>
    <w:rsid w:val="6F55C2D3"/>
    <w:rsid w:val="6F566B36"/>
    <w:rsid w:val="6F77639D"/>
    <w:rsid w:val="6FAF9A5A"/>
    <w:rsid w:val="6FBD63D0"/>
    <w:rsid w:val="6FC115C8"/>
    <w:rsid w:val="70047952"/>
    <w:rsid w:val="700BC11B"/>
    <w:rsid w:val="701794F8"/>
    <w:rsid w:val="701FB3D3"/>
    <w:rsid w:val="702A192F"/>
    <w:rsid w:val="7037AC48"/>
    <w:rsid w:val="704A5B6B"/>
    <w:rsid w:val="708F2C80"/>
    <w:rsid w:val="70918B3A"/>
    <w:rsid w:val="70967848"/>
    <w:rsid w:val="70A15E9C"/>
    <w:rsid w:val="70B0382C"/>
    <w:rsid w:val="70D98129"/>
    <w:rsid w:val="70FAFC43"/>
    <w:rsid w:val="71033222"/>
    <w:rsid w:val="71052929"/>
    <w:rsid w:val="7122CDA1"/>
    <w:rsid w:val="71257578"/>
    <w:rsid w:val="7129CF28"/>
    <w:rsid w:val="71342EEF"/>
    <w:rsid w:val="713538BB"/>
    <w:rsid w:val="7144102F"/>
    <w:rsid w:val="7144A1B5"/>
    <w:rsid w:val="71555926"/>
    <w:rsid w:val="7161B16F"/>
    <w:rsid w:val="7177912C"/>
    <w:rsid w:val="7182A6E9"/>
    <w:rsid w:val="718D4FB9"/>
    <w:rsid w:val="71BCE33C"/>
    <w:rsid w:val="71CA34B0"/>
    <w:rsid w:val="71F33FF1"/>
    <w:rsid w:val="72034F42"/>
    <w:rsid w:val="72128F12"/>
    <w:rsid w:val="72269B16"/>
    <w:rsid w:val="72403348"/>
    <w:rsid w:val="7243DD6E"/>
    <w:rsid w:val="7246712F"/>
    <w:rsid w:val="724E034F"/>
    <w:rsid w:val="7271374E"/>
    <w:rsid w:val="72731A32"/>
    <w:rsid w:val="72775126"/>
    <w:rsid w:val="7296994C"/>
    <w:rsid w:val="72F6AF8F"/>
    <w:rsid w:val="73102755"/>
    <w:rsid w:val="731EE2B9"/>
    <w:rsid w:val="73533FD6"/>
    <w:rsid w:val="73579302"/>
    <w:rsid w:val="7376DB3A"/>
    <w:rsid w:val="738A9921"/>
    <w:rsid w:val="73956B9F"/>
    <w:rsid w:val="739FB5CE"/>
    <w:rsid w:val="73A0DD50"/>
    <w:rsid w:val="73B7AE84"/>
    <w:rsid w:val="73C9C756"/>
    <w:rsid w:val="73D4D60D"/>
    <w:rsid w:val="73E196C3"/>
    <w:rsid w:val="73F3E3E7"/>
    <w:rsid w:val="73F67417"/>
    <w:rsid w:val="740E3AA7"/>
    <w:rsid w:val="7411989E"/>
    <w:rsid w:val="741F28CE"/>
    <w:rsid w:val="743A9203"/>
    <w:rsid w:val="74598CD2"/>
    <w:rsid w:val="745A4D81"/>
    <w:rsid w:val="745E32A5"/>
    <w:rsid w:val="746B7B9B"/>
    <w:rsid w:val="746E8494"/>
    <w:rsid w:val="7492CA9A"/>
    <w:rsid w:val="749BD451"/>
    <w:rsid w:val="749ECC0D"/>
    <w:rsid w:val="74F74FEA"/>
    <w:rsid w:val="74FDB4F6"/>
    <w:rsid w:val="750D90C9"/>
    <w:rsid w:val="751CAA40"/>
    <w:rsid w:val="751ECB2B"/>
    <w:rsid w:val="752D15B4"/>
    <w:rsid w:val="75307D3A"/>
    <w:rsid w:val="75311447"/>
    <w:rsid w:val="755F352C"/>
    <w:rsid w:val="75629E93"/>
    <w:rsid w:val="757A246F"/>
    <w:rsid w:val="7585ED80"/>
    <w:rsid w:val="759046FE"/>
    <w:rsid w:val="759993E3"/>
    <w:rsid w:val="75AB24A9"/>
    <w:rsid w:val="75ABD044"/>
    <w:rsid w:val="75C922EE"/>
    <w:rsid w:val="75CC80EE"/>
    <w:rsid w:val="75CEBB6B"/>
    <w:rsid w:val="75D1B294"/>
    <w:rsid w:val="75DA6D1F"/>
    <w:rsid w:val="75F115B3"/>
    <w:rsid w:val="76055440"/>
    <w:rsid w:val="76070780"/>
    <w:rsid w:val="7623FB34"/>
    <w:rsid w:val="7625BEC9"/>
    <w:rsid w:val="76392AD5"/>
    <w:rsid w:val="7642C0F9"/>
    <w:rsid w:val="7653C9EA"/>
    <w:rsid w:val="76654AFB"/>
    <w:rsid w:val="767316D2"/>
    <w:rsid w:val="76777D6F"/>
    <w:rsid w:val="76C725B9"/>
    <w:rsid w:val="76ECC983"/>
    <w:rsid w:val="76F9B8E5"/>
    <w:rsid w:val="7713FBCA"/>
    <w:rsid w:val="7718BFC8"/>
    <w:rsid w:val="771E2FB3"/>
    <w:rsid w:val="772E8748"/>
    <w:rsid w:val="773F4BAF"/>
    <w:rsid w:val="77435105"/>
    <w:rsid w:val="77691B9F"/>
    <w:rsid w:val="77759699"/>
    <w:rsid w:val="77A8D69F"/>
    <w:rsid w:val="77B259F3"/>
    <w:rsid w:val="77C12D19"/>
    <w:rsid w:val="77C393DB"/>
    <w:rsid w:val="77C4CC90"/>
    <w:rsid w:val="77C538E9"/>
    <w:rsid w:val="77D73366"/>
    <w:rsid w:val="77DADB6C"/>
    <w:rsid w:val="77DE0D10"/>
    <w:rsid w:val="77DF7DDB"/>
    <w:rsid w:val="77E13230"/>
    <w:rsid w:val="7802B82C"/>
    <w:rsid w:val="7807323D"/>
    <w:rsid w:val="78301C1D"/>
    <w:rsid w:val="783F72F9"/>
    <w:rsid w:val="785052F5"/>
    <w:rsid w:val="7871383F"/>
    <w:rsid w:val="78726885"/>
    <w:rsid w:val="78A8C4DB"/>
    <w:rsid w:val="78B33968"/>
    <w:rsid w:val="78B49408"/>
    <w:rsid w:val="78BB0D80"/>
    <w:rsid w:val="78D1DE9A"/>
    <w:rsid w:val="78E0BBC0"/>
    <w:rsid w:val="78EFE02E"/>
    <w:rsid w:val="78F9E116"/>
    <w:rsid w:val="78FCE2B4"/>
    <w:rsid w:val="79161FB4"/>
    <w:rsid w:val="792B2480"/>
    <w:rsid w:val="7941C842"/>
    <w:rsid w:val="7950A6AD"/>
    <w:rsid w:val="7952C089"/>
    <w:rsid w:val="79564C00"/>
    <w:rsid w:val="795DCD52"/>
    <w:rsid w:val="796C2B26"/>
    <w:rsid w:val="79B2011D"/>
    <w:rsid w:val="79D209E4"/>
    <w:rsid w:val="79E9A70F"/>
    <w:rsid w:val="7A024778"/>
    <w:rsid w:val="7A23EC13"/>
    <w:rsid w:val="7A28F6EA"/>
    <w:rsid w:val="7A395E49"/>
    <w:rsid w:val="7A3BE397"/>
    <w:rsid w:val="7A429B27"/>
    <w:rsid w:val="7A44C642"/>
    <w:rsid w:val="7A4EA9FA"/>
    <w:rsid w:val="7A558ABD"/>
    <w:rsid w:val="7A6549C0"/>
    <w:rsid w:val="7A6B5EE2"/>
    <w:rsid w:val="7A969061"/>
    <w:rsid w:val="7A9EDD6E"/>
    <w:rsid w:val="7AA19C64"/>
    <w:rsid w:val="7AA50052"/>
    <w:rsid w:val="7AA737A2"/>
    <w:rsid w:val="7ACC7449"/>
    <w:rsid w:val="7AD283A5"/>
    <w:rsid w:val="7ADDAE51"/>
    <w:rsid w:val="7AE4B6FD"/>
    <w:rsid w:val="7AEA685C"/>
    <w:rsid w:val="7AED0EAF"/>
    <w:rsid w:val="7AF77E20"/>
    <w:rsid w:val="7B06BABD"/>
    <w:rsid w:val="7B0782D9"/>
    <w:rsid w:val="7B0A8DC8"/>
    <w:rsid w:val="7B1B08EE"/>
    <w:rsid w:val="7B247130"/>
    <w:rsid w:val="7B3339D5"/>
    <w:rsid w:val="7B363D4B"/>
    <w:rsid w:val="7B38C0B2"/>
    <w:rsid w:val="7B42A44F"/>
    <w:rsid w:val="7B442C23"/>
    <w:rsid w:val="7B4E3EE8"/>
    <w:rsid w:val="7B572129"/>
    <w:rsid w:val="7B62765C"/>
    <w:rsid w:val="7B65AD0B"/>
    <w:rsid w:val="7B6927B2"/>
    <w:rsid w:val="7B692B71"/>
    <w:rsid w:val="7B77E0B3"/>
    <w:rsid w:val="7B8A9622"/>
    <w:rsid w:val="7B8CDE57"/>
    <w:rsid w:val="7B9FFF4B"/>
    <w:rsid w:val="7BA5CB8F"/>
    <w:rsid w:val="7BA7E3A4"/>
    <w:rsid w:val="7BC1815C"/>
    <w:rsid w:val="7BD5BEA4"/>
    <w:rsid w:val="7BD719BD"/>
    <w:rsid w:val="7BDF290A"/>
    <w:rsid w:val="7C02A516"/>
    <w:rsid w:val="7C0F62D2"/>
    <w:rsid w:val="7C18EEE9"/>
    <w:rsid w:val="7C43F6C0"/>
    <w:rsid w:val="7C583F46"/>
    <w:rsid w:val="7C728A5C"/>
    <w:rsid w:val="7C8AD06B"/>
    <w:rsid w:val="7CD107F8"/>
    <w:rsid w:val="7CEE39FD"/>
    <w:rsid w:val="7CF26C49"/>
    <w:rsid w:val="7CF98098"/>
    <w:rsid w:val="7D2A9773"/>
    <w:rsid w:val="7D3179F1"/>
    <w:rsid w:val="7D32A641"/>
    <w:rsid w:val="7D3402AE"/>
    <w:rsid w:val="7D544807"/>
    <w:rsid w:val="7D598B04"/>
    <w:rsid w:val="7D5B2BAC"/>
    <w:rsid w:val="7DC38546"/>
    <w:rsid w:val="7DC73785"/>
    <w:rsid w:val="7DCB0729"/>
    <w:rsid w:val="7DDEDBA9"/>
    <w:rsid w:val="7DF5BB53"/>
    <w:rsid w:val="7DFC2F7B"/>
    <w:rsid w:val="7DFDE807"/>
    <w:rsid w:val="7DFEFED2"/>
    <w:rsid w:val="7E25AC79"/>
    <w:rsid w:val="7E3F236F"/>
    <w:rsid w:val="7E51D4DF"/>
    <w:rsid w:val="7E53919D"/>
    <w:rsid w:val="7E565EA0"/>
    <w:rsid w:val="7E5A2E38"/>
    <w:rsid w:val="7E5FB2ED"/>
    <w:rsid w:val="7E7AF34F"/>
    <w:rsid w:val="7E7C526D"/>
    <w:rsid w:val="7E7FCB83"/>
    <w:rsid w:val="7E80BDFC"/>
    <w:rsid w:val="7E87FF84"/>
    <w:rsid w:val="7EBC0B87"/>
    <w:rsid w:val="7EC3C6D1"/>
    <w:rsid w:val="7ECB89B6"/>
    <w:rsid w:val="7EDFE5E6"/>
    <w:rsid w:val="7EE87073"/>
    <w:rsid w:val="7EEA3806"/>
    <w:rsid w:val="7EEE1C31"/>
    <w:rsid w:val="7EF89EBB"/>
    <w:rsid w:val="7F11C2BD"/>
    <w:rsid w:val="7F3C260B"/>
    <w:rsid w:val="7F4D5F9D"/>
    <w:rsid w:val="7F5DFD17"/>
    <w:rsid w:val="7F716863"/>
    <w:rsid w:val="7F73E7C4"/>
    <w:rsid w:val="7F78E9F0"/>
    <w:rsid w:val="7F7D01CB"/>
    <w:rsid w:val="7F811462"/>
    <w:rsid w:val="7F85A528"/>
    <w:rsid w:val="7F89CDF6"/>
    <w:rsid w:val="7FA9D0FE"/>
    <w:rsid w:val="7FB4F34B"/>
    <w:rsid w:val="7FC71DEA"/>
    <w:rsid w:val="7FCBA145"/>
    <w:rsid w:val="7FDB7A09"/>
    <w:rsid w:val="7FE35B9D"/>
    <w:rsid w:val="7FFB667F"/>
    <w:rsid w:val="7FFBC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B274"/>
  <w15:chartTrackingRefBased/>
  <w15:docId w15:val="{9FA0ED29-016F-451D-B138-7C3353B3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40A"/>
    <w:rPr>
      <w:rFonts w:ascii="Calibri" w:eastAsia="Calibri" w:hAnsi="Calibri" w:cs="Times New Roma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DD040A"/>
  </w:style>
  <w:style w:type="character" w:customStyle="1" w:styleId="eop">
    <w:name w:val="eop"/>
    <w:basedOn w:val="DefaultParagraphFont"/>
    <w:rsid w:val="00DD040A"/>
  </w:style>
  <w:style w:type="paragraph" w:styleId="NormalWeb">
    <w:name w:val="Normal (Web)"/>
    <w:basedOn w:val="Normal"/>
    <w:uiPriority w:val="99"/>
    <w:unhideWhenUsed/>
    <w:rsid w:val="00DD040A"/>
    <w:pPr>
      <w:spacing w:before="100" w:beforeAutospacing="1" w:after="100" w:afterAutospacing="1" w:line="240" w:lineRule="auto"/>
    </w:pPr>
    <w:rPr>
      <w:rFonts w:ascii="Times New Roman" w:eastAsia="Times New Roman" w:hAnsi="Times New Roman"/>
      <w:kern w:val="0"/>
      <w:sz w:val="24"/>
      <w:szCs w:val="24"/>
      <w:lang w:val="en-HK" w:eastAsia="zh-TW"/>
    </w:rPr>
  </w:style>
  <w:style w:type="character" w:styleId="CommentReference">
    <w:name w:val="annotation reference"/>
    <w:uiPriority w:val="99"/>
    <w:semiHidden/>
    <w:unhideWhenUsed/>
    <w:rsid w:val="00DD040A"/>
    <w:rPr>
      <w:sz w:val="16"/>
      <w:szCs w:val="16"/>
    </w:rPr>
  </w:style>
  <w:style w:type="paragraph" w:styleId="CommentText">
    <w:name w:val="annotation text"/>
    <w:basedOn w:val="Normal"/>
    <w:link w:val="CommentTextChar"/>
    <w:uiPriority w:val="99"/>
    <w:unhideWhenUsed/>
    <w:rsid w:val="00DD040A"/>
    <w:pPr>
      <w:spacing w:line="240" w:lineRule="auto"/>
    </w:pPr>
    <w:rPr>
      <w:sz w:val="20"/>
      <w:szCs w:val="20"/>
    </w:rPr>
  </w:style>
  <w:style w:type="character" w:customStyle="1" w:styleId="CommentTextChar">
    <w:name w:val="Comment Text Char"/>
    <w:basedOn w:val="DefaultParagraphFont"/>
    <w:link w:val="CommentText"/>
    <w:uiPriority w:val="99"/>
    <w:rsid w:val="00DD040A"/>
    <w:rPr>
      <w:rFonts w:ascii="Calibri" w:eastAsia="Calibri" w:hAnsi="Calibri"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DD040A"/>
    <w:rPr>
      <w:b/>
      <w:bCs/>
    </w:rPr>
  </w:style>
  <w:style w:type="character" w:customStyle="1" w:styleId="CommentSubjectChar">
    <w:name w:val="Comment Subject Char"/>
    <w:basedOn w:val="CommentTextChar"/>
    <w:link w:val="CommentSubject"/>
    <w:uiPriority w:val="99"/>
    <w:semiHidden/>
    <w:rsid w:val="00DD040A"/>
    <w:rPr>
      <w:rFonts w:ascii="Calibri" w:eastAsia="Calibri" w:hAnsi="Calibri" w:cs="Times New Roman"/>
      <w:b/>
      <w:bCs/>
      <w:sz w:val="20"/>
      <w:szCs w:val="20"/>
      <w14:ligatures w14:val="none"/>
    </w:rPr>
  </w:style>
  <w:style w:type="table" w:styleId="TableGrid">
    <w:name w:val="Table Grid"/>
    <w:basedOn w:val="TableNormal"/>
    <w:uiPriority w:val="39"/>
    <w:rsid w:val="00DD040A"/>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DD040A"/>
    <w:pPr>
      <w:spacing w:after="0"/>
      <w:jc w:val="center"/>
    </w:pPr>
    <w:rPr>
      <w:rFonts w:cs="Calibri"/>
      <w:noProof/>
      <w:lang w:val="en-US"/>
    </w:rPr>
  </w:style>
  <w:style w:type="character" w:customStyle="1" w:styleId="EndNoteBibliographyTitleChar">
    <w:name w:val="EndNote Bibliography Title Char"/>
    <w:link w:val="EndNoteBibliographyTitle"/>
    <w:rsid w:val="00DD040A"/>
    <w:rPr>
      <w:rFonts w:ascii="Calibri" w:eastAsia="Calibri" w:hAnsi="Calibri" w:cs="Calibri"/>
      <w:noProof/>
      <w:lang w:val="en-US"/>
      <w14:ligatures w14:val="none"/>
    </w:rPr>
  </w:style>
  <w:style w:type="paragraph" w:customStyle="1" w:styleId="EndNoteBibliography">
    <w:name w:val="EndNote Bibliography"/>
    <w:basedOn w:val="Normal"/>
    <w:link w:val="EndNoteBibliographyChar"/>
    <w:rsid w:val="00DD040A"/>
    <w:pPr>
      <w:spacing w:line="240" w:lineRule="auto"/>
    </w:pPr>
    <w:rPr>
      <w:rFonts w:cs="Calibri"/>
      <w:noProof/>
      <w:lang w:val="en-US"/>
    </w:rPr>
  </w:style>
  <w:style w:type="character" w:customStyle="1" w:styleId="EndNoteBibliographyChar">
    <w:name w:val="EndNote Bibliography Char"/>
    <w:link w:val="EndNoteBibliography"/>
    <w:rsid w:val="00DD040A"/>
    <w:rPr>
      <w:rFonts w:ascii="Calibri" w:eastAsia="Calibri" w:hAnsi="Calibri" w:cs="Calibri"/>
      <w:noProof/>
      <w:lang w:val="en-US"/>
      <w14:ligatures w14:val="none"/>
    </w:rPr>
  </w:style>
  <w:style w:type="table" w:styleId="PlainTable2">
    <w:name w:val="Plain Table 2"/>
    <w:basedOn w:val="TableNormal"/>
    <w:uiPriority w:val="42"/>
    <w:rsid w:val="00DD040A"/>
    <w:pPr>
      <w:spacing w:after="0" w:line="240" w:lineRule="auto"/>
    </w:pPr>
    <w:rPr>
      <w:rFonts w:ascii="Calibri" w:eastAsia="Calibri" w:hAnsi="Calibri" w:cs="Times New Roman"/>
      <w:kern w:val="0"/>
      <w:sz w:val="20"/>
      <w:szCs w:val="20"/>
      <w:lang w:eastAsia="en-GB"/>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eader">
    <w:name w:val="header"/>
    <w:basedOn w:val="Normal"/>
    <w:link w:val="HeaderChar"/>
    <w:uiPriority w:val="99"/>
    <w:unhideWhenUsed/>
    <w:rsid w:val="00DD0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40A"/>
    <w:rPr>
      <w:rFonts w:ascii="Calibri" w:eastAsia="Calibri" w:hAnsi="Calibri" w:cs="Times New Roman"/>
      <w14:ligatures w14:val="none"/>
    </w:rPr>
  </w:style>
  <w:style w:type="paragraph" w:styleId="Footer">
    <w:name w:val="footer"/>
    <w:basedOn w:val="Normal"/>
    <w:link w:val="FooterChar"/>
    <w:uiPriority w:val="99"/>
    <w:unhideWhenUsed/>
    <w:rsid w:val="00DD0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40A"/>
    <w:rPr>
      <w:rFonts w:ascii="Calibri" w:eastAsia="Calibri" w:hAnsi="Calibri" w:cs="Times New Roman"/>
      <w14:ligatures w14:val="none"/>
    </w:rPr>
  </w:style>
  <w:style w:type="paragraph" w:styleId="Revision">
    <w:name w:val="Revision"/>
    <w:hidden/>
    <w:uiPriority w:val="99"/>
    <w:semiHidden/>
    <w:rsid w:val="00DD040A"/>
    <w:pPr>
      <w:spacing w:after="0" w:line="240" w:lineRule="auto"/>
    </w:pPr>
    <w:rPr>
      <w:rFonts w:ascii="Calibri" w:eastAsia="Calibri" w:hAnsi="Calibri" w:cs="Times New Roman"/>
      <w14:ligatures w14:val="none"/>
    </w:rPr>
  </w:style>
  <w:style w:type="paragraph" w:styleId="ListParagraph">
    <w:name w:val="List Paragraph"/>
    <w:basedOn w:val="Normal"/>
    <w:uiPriority w:val="34"/>
    <w:qFormat/>
    <w:rsid w:val="00DD04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9170">
      <w:bodyDiv w:val="1"/>
      <w:marLeft w:val="0"/>
      <w:marRight w:val="0"/>
      <w:marTop w:val="0"/>
      <w:marBottom w:val="0"/>
      <w:divBdr>
        <w:top w:val="none" w:sz="0" w:space="0" w:color="auto"/>
        <w:left w:val="none" w:sz="0" w:space="0" w:color="auto"/>
        <w:bottom w:val="none" w:sz="0" w:space="0" w:color="auto"/>
        <w:right w:val="none" w:sz="0" w:space="0" w:color="auto"/>
      </w:divBdr>
    </w:div>
    <w:div w:id="230509150">
      <w:bodyDiv w:val="1"/>
      <w:marLeft w:val="0"/>
      <w:marRight w:val="0"/>
      <w:marTop w:val="0"/>
      <w:marBottom w:val="0"/>
      <w:divBdr>
        <w:top w:val="none" w:sz="0" w:space="0" w:color="auto"/>
        <w:left w:val="none" w:sz="0" w:space="0" w:color="auto"/>
        <w:bottom w:val="none" w:sz="0" w:space="0" w:color="auto"/>
        <w:right w:val="none" w:sz="0" w:space="0" w:color="auto"/>
      </w:divBdr>
    </w:div>
    <w:div w:id="636185302">
      <w:bodyDiv w:val="1"/>
      <w:marLeft w:val="0"/>
      <w:marRight w:val="0"/>
      <w:marTop w:val="0"/>
      <w:marBottom w:val="0"/>
      <w:divBdr>
        <w:top w:val="none" w:sz="0" w:space="0" w:color="auto"/>
        <w:left w:val="none" w:sz="0" w:space="0" w:color="auto"/>
        <w:bottom w:val="none" w:sz="0" w:space="0" w:color="auto"/>
        <w:right w:val="none" w:sz="0" w:space="0" w:color="auto"/>
      </w:divBdr>
    </w:div>
    <w:div w:id="724135578">
      <w:bodyDiv w:val="1"/>
      <w:marLeft w:val="0"/>
      <w:marRight w:val="0"/>
      <w:marTop w:val="0"/>
      <w:marBottom w:val="0"/>
      <w:divBdr>
        <w:top w:val="none" w:sz="0" w:space="0" w:color="auto"/>
        <w:left w:val="none" w:sz="0" w:space="0" w:color="auto"/>
        <w:bottom w:val="none" w:sz="0" w:space="0" w:color="auto"/>
        <w:right w:val="none" w:sz="0" w:space="0" w:color="auto"/>
      </w:divBdr>
    </w:div>
    <w:div w:id="780224648">
      <w:bodyDiv w:val="1"/>
      <w:marLeft w:val="0"/>
      <w:marRight w:val="0"/>
      <w:marTop w:val="0"/>
      <w:marBottom w:val="0"/>
      <w:divBdr>
        <w:top w:val="none" w:sz="0" w:space="0" w:color="auto"/>
        <w:left w:val="none" w:sz="0" w:space="0" w:color="auto"/>
        <w:bottom w:val="none" w:sz="0" w:space="0" w:color="auto"/>
        <w:right w:val="none" w:sz="0" w:space="0" w:color="auto"/>
      </w:divBdr>
    </w:div>
    <w:div w:id="785538697">
      <w:bodyDiv w:val="1"/>
      <w:marLeft w:val="0"/>
      <w:marRight w:val="0"/>
      <w:marTop w:val="0"/>
      <w:marBottom w:val="0"/>
      <w:divBdr>
        <w:top w:val="none" w:sz="0" w:space="0" w:color="auto"/>
        <w:left w:val="none" w:sz="0" w:space="0" w:color="auto"/>
        <w:bottom w:val="none" w:sz="0" w:space="0" w:color="auto"/>
        <w:right w:val="none" w:sz="0" w:space="0" w:color="auto"/>
      </w:divBdr>
    </w:div>
    <w:div w:id="1268350139">
      <w:bodyDiv w:val="1"/>
      <w:marLeft w:val="0"/>
      <w:marRight w:val="0"/>
      <w:marTop w:val="0"/>
      <w:marBottom w:val="0"/>
      <w:divBdr>
        <w:top w:val="none" w:sz="0" w:space="0" w:color="auto"/>
        <w:left w:val="none" w:sz="0" w:space="0" w:color="auto"/>
        <w:bottom w:val="none" w:sz="0" w:space="0" w:color="auto"/>
        <w:right w:val="none" w:sz="0" w:space="0" w:color="auto"/>
      </w:divBdr>
    </w:div>
    <w:div w:id="1281112004">
      <w:bodyDiv w:val="1"/>
      <w:marLeft w:val="0"/>
      <w:marRight w:val="0"/>
      <w:marTop w:val="0"/>
      <w:marBottom w:val="0"/>
      <w:divBdr>
        <w:top w:val="none" w:sz="0" w:space="0" w:color="auto"/>
        <w:left w:val="none" w:sz="0" w:space="0" w:color="auto"/>
        <w:bottom w:val="none" w:sz="0" w:space="0" w:color="auto"/>
        <w:right w:val="none" w:sz="0" w:space="0" w:color="auto"/>
      </w:divBdr>
    </w:div>
    <w:div w:id="1863741848">
      <w:bodyDiv w:val="1"/>
      <w:marLeft w:val="0"/>
      <w:marRight w:val="0"/>
      <w:marTop w:val="0"/>
      <w:marBottom w:val="0"/>
      <w:divBdr>
        <w:top w:val="none" w:sz="0" w:space="0" w:color="auto"/>
        <w:left w:val="none" w:sz="0" w:space="0" w:color="auto"/>
        <w:bottom w:val="none" w:sz="0" w:space="0" w:color="auto"/>
        <w:right w:val="none" w:sz="0" w:space="0" w:color="auto"/>
      </w:divBdr>
    </w:div>
    <w:div w:id="198122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2C675-E065-4732-996A-134D493EE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5851</Words>
  <Characters>33357</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Morriss</dc:creator>
  <cp:keywords/>
  <dc:description/>
  <cp:lastModifiedBy>Lyn Ellett</cp:lastModifiedBy>
  <cp:revision>2</cp:revision>
  <cp:lastPrinted>2024-12-10T11:04:00Z</cp:lastPrinted>
  <dcterms:created xsi:type="dcterms:W3CDTF">2025-04-24T07:35:00Z</dcterms:created>
  <dcterms:modified xsi:type="dcterms:W3CDTF">2025-04-24T07:35:00Z</dcterms:modified>
</cp:coreProperties>
</file>