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3B64" w14:textId="176FD39F" w:rsidR="000C4938" w:rsidRPr="009B605C" w:rsidRDefault="00F0703E" w:rsidP="0087752F">
      <w:pPr>
        <w:jc w:val="center"/>
        <w:rPr>
          <w:rFonts w:ascii="Cambria" w:hAnsi="Cambria"/>
          <w:sz w:val="36"/>
          <w:szCs w:val="36"/>
        </w:rPr>
      </w:pPr>
      <w:r w:rsidRPr="009B605C">
        <w:rPr>
          <w:rFonts w:ascii="Cambria" w:hAnsi="Cambria"/>
          <w:sz w:val="36"/>
          <w:szCs w:val="36"/>
        </w:rPr>
        <w:t>Can Cryptocurrency or Gold Rescue BRICS Stocks Amid the Russia-Ukraine Conflict?</w:t>
      </w:r>
    </w:p>
    <w:p w14:paraId="6268BEA3" w14:textId="77777777" w:rsidR="00F0703E" w:rsidRPr="009B605C" w:rsidRDefault="00F0703E" w:rsidP="0087752F">
      <w:pPr>
        <w:jc w:val="center"/>
        <w:rPr>
          <w:rFonts w:ascii="Cambria" w:hAnsi="Cambria"/>
          <w:sz w:val="36"/>
          <w:szCs w:val="36"/>
        </w:rPr>
      </w:pPr>
    </w:p>
    <w:p w14:paraId="76E75718" w14:textId="77777777" w:rsidR="00F0703E" w:rsidRPr="009B605C" w:rsidRDefault="00F0703E" w:rsidP="0087752F">
      <w:pPr>
        <w:jc w:val="center"/>
        <w:rPr>
          <w:rFonts w:ascii="Cambria" w:hAnsi="Cambria"/>
          <w:sz w:val="36"/>
          <w:szCs w:val="36"/>
        </w:rPr>
      </w:pPr>
    </w:p>
    <w:p w14:paraId="72F4011A" w14:textId="77777777" w:rsidR="00F0703E" w:rsidRPr="009B605C" w:rsidRDefault="00F0703E" w:rsidP="0087752F">
      <w:pPr>
        <w:jc w:val="center"/>
        <w:rPr>
          <w:rFonts w:ascii="Cambria" w:hAnsi="Cambria"/>
          <w:sz w:val="36"/>
          <w:szCs w:val="36"/>
        </w:rPr>
      </w:pPr>
    </w:p>
    <w:p w14:paraId="601EC4C6" w14:textId="27EB7BA9" w:rsidR="00F0703E" w:rsidRPr="009B605C" w:rsidRDefault="004A0585" w:rsidP="0087752F">
      <w:pPr>
        <w:tabs>
          <w:tab w:val="center" w:pos="4513"/>
          <w:tab w:val="left" w:pos="7626"/>
        </w:tabs>
        <w:rPr>
          <w:rFonts w:ascii="Cambria" w:hAnsi="Cambria"/>
          <w:b/>
          <w:bCs/>
        </w:rPr>
      </w:pPr>
      <w:r w:rsidRPr="009B605C">
        <w:rPr>
          <w:rFonts w:ascii="Cambria" w:hAnsi="Cambria"/>
          <w:b/>
          <w:bCs/>
        </w:rPr>
        <w:tab/>
      </w:r>
      <w:r w:rsidR="00F0703E" w:rsidRPr="009B605C">
        <w:rPr>
          <w:rFonts w:ascii="Cambria" w:hAnsi="Cambria"/>
          <w:b/>
          <w:bCs/>
        </w:rPr>
        <w:t>Abstract</w:t>
      </w:r>
      <w:r w:rsidRPr="009B605C">
        <w:rPr>
          <w:rFonts w:ascii="Cambria" w:hAnsi="Cambria"/>
          <w:b/>
          <w:bCs/>
        </w:rPr>
        <w:tab/>
      </w:r>
    </w:p>
    <w:p w14:paraId="2BFE3888" w14:textId="30B254CC" w:rsidR="00140257" w:rsidRPr="009B605C" w:rsidRDefault="00140257" w:rsidP="0087752F">
      <w:pPr>
        <w:spacing w:line="360" w:lineRule="auto"/>
        <w:jc w:val="both"/>
        <w:rPr>
          <w:rFonts w:ascii="Cambria" w:hAnsi="Cambria"/>
        </w:rPr>
      </w:pPr>
      <w:r w:rsidRPr="009B605C">
        <w:rPr>
          <w:rFonts w:ascii="Cambria" w:hAnsi="Cambria"/>
        </w:rPr>
        <w:t>This study examines whether cryptocurrency markets offer more resilient safe haven properties than gold for stock markets in the BRICS economies from 28</w:t>
      </w:r>
      <w:r w:rsidRPr="009B605C">
        <w:rPr>
          <w:rFonts w:ascii="Cambria" w:hAnsi="Cambria"/>
          <w:vertAlign w:val="superscript"/>
        </w:rPr>
        <w:t>th</w:t>
      </w:r>
      <w:r w:rsidRPr="009B605C">
        <w:rPr>
          <w:rFonts w:ascii="Cambria" w:hAnsi="Cambria"/>
        </w:rPr>
        <w:t xml:space="preserve"> April 2013 to 27</w:t>
      </w:r>
      <w:r w:rsidRPr="009B605C">
        <w:rPr>
          <w:rFonts w:ascii="Cambria" w:hAnsi="Cambria"/>
          <w:vertAlign w:val="superscript"/>
        </w:rPr>
        <w:t>th</w:t>
      </w:r>
      <w:r w:rsidRPr="009B605C">
        <w:rPr>
          <w:rFonts w:ascii="Cambria" w:hAnsi="Cambria"/>
        </w:rPr>
        <w:t xml:space="preserve"> September 2024. Unlike traditional studies that primarily focus on Bitcoin or top-market cap cryptocurrencies, we introduce a novel Crypto index that includes 9,468 active and defunct cryptocurrencies, providing a comprehensive view of daily market fluctuations across all listed crypto assets. We also investigate the impact of the Russia-Ukraine military conflict on the safe haven status of these assets. Using a time-varying robust Granger causality framework, we analyse the dynamic relationships between potential safe haven assets and BRICS stocks. Additionally, we explore the network structure of gold, cryptocurrencies, and BRICS stocks across different quantiles. Our results show limited evidence of time-invariant causality, but strong evidence of time-varying causality, suggesting that neither gold nor cryptocurrencies act as safe havens for BRICS stocks over the entire sample period. We find increased market interconnectedness during extreme conditions, with gold and cryptocurrencies initially acting as net receivers of </w:t>
      </w:r>
      <w:r w:rsidR="00E95705" w:rsidRPr="009B605C">
        <w:rPr>
          <w:rFonts w:ascii="Cambria" w:hAnsi="Cambria"/>
        </w:rPr>
        <w:t>shocks</w:t>
      </w:r>
      <w:r w:rsidRPr="009B605C">
        <w:rPr>
          <w:rFonts w:ascii="Cambria" w:hAnsi="Cambria"/>
        </w:rPr>
        <w:t>, but gold shifting to a net transmitter during the conflict, indicating stronger safe haven properties for gold. Portfolios favour gold over crypto, and small-cap cryptocurrencies are cheaper but less efficient hedges compared to large-cap cryptos, with Bitcoin emerging as the optimal investment for returns. These findings offer valuable insights for investors and policymakers, particularly for optimizing portfolio management and supporting financial stability during market turbulence.</w:t>
      </w:r>
    </w:p>
    <w:p w14:paraId="6CE80D76" w14:textId="77777777" w:rsidR="00606000" w:rsidRPr="009B605C" w:rsidRDefault="00606000" w:rsidP="0087752F">
      <w:pPr>
        <w:rPr>
          <w:rFonts w:ascii="Cambria" w:hAnsi="Cambria"/>
          <w:b/>
          <w:bCs/>
        </w:rPr>
      </w:pPr>
    </w:p>
    <w:p w14:paraId="77F95949" w14:textId="77777777" w:rsidR="00606000" w:rsidRPr="009B605C" w:rsidRDefault="00606000" w:rsidP="0087752F">
      <w:pPr>
        <w:rPr>
          <w:rFonts w:ascii="Cambria" w:hAnsi="Cambria"/>
          <w:b/>
          <w:bCs/>
        </w:rPr>
      </w:pPr>
    </w:p>
    <w:p w14:paraId="7AFE9ACE" w14:textId="0E29F04D" w:rsidR="00F0703E" w:rsidRPr="009B605C" w:rsidRDefault="00F0703E" w:rsidP="00A04325">
      <w:pPr>
        <w:spacing w:line="360" w:lineRule="auto"/>
        <w:jc w:val="both"/>
        <w:rPr>
          <w:rFonts w:ascii="Cambria" w:hAnsi="Cambria"/>
        </w:rPr>
      </w:pPr>
      <w:r w:rsidRPr="009B605C">
        <w:rPr>
          <w:rFonts w:ascii="Cambria" w:hAnsi="Cambria"/>
          <w:b/>
          <w:bCs/>
        </w:rPr>
        <w:t>Keywords:</w:t>
      </w:r>
      <w:r w:rsidRPr="009B605C">
        <w:rPr>
          <w:rFonts w:ascii="Cambria" w:hAnsi="Cambria"/>
        </w:rPr>
        <w:t xml:space="preserve"> </w:t>
      </w:r>
      <w:r w:rsidR="00D2656A" w:rsidRPr="009B605C">
        <w:rPr>
          <w:rFonts w:ascii="Cambria" w:hAnsi="Cambria"/>
        </w:rPr>
        <w:t xml:space="preserve">Crypto </w:t>
      </w:r>
      <w:r w:rsidR="008D1944" w:rsidRPr="009B605C">
        <w:rPr>
          <w:rFonts w:ascii="Cambria" w:hAnsi="Cambria"/>
        </w:rPr>
        <w:t>Index</w:t>
      </w:r>
      <w:r w:rsidR="00D2656A" w:rsidRPr="009B605C">
        <w:rPr>
          <w:rFonts w:ascii="Cambria" w:hAnsi="Cambria"/>
        </w:rPr>
        <w:t>; Safe haven assets; BRICS; Time-varying causality; 2022 Russia-Ukraine conflict</w:t>
      </w:r>
    </w:p>
    <w:p w14:paraId="6D5EF9D1" w14:textId="73F358F2" w:rsidR="00D2656A" w:rsidRPr="009B605C" w:rsidRDefault="00F0703E" w:rsidP="0087752F">
      <w:pPr>
        <w:spacing w:line="360" w:lineRule="auto"/>
        <w:rPr>
          <w:rFonts w:ascii="Cambria" w:hAnsi="Cambria"/>
        </w:rPr>
      </w:pPr>
      <w:r w:rsidRPr="009B605C">
        <w:rPr>
          <w:rFonts w:ascii="Cambria" w:hAnsi="Cambria"/>
          <w:b/>
          <w:bCs/>
        </w:rPr>
        <w:t>JEL:</w:t>
      </w:r>
      <w:r w:rsidRPr="009B605C">
        <w:rPr>
          <w:rFonts w:ascii="Cambria" w:hAnsi="Cambria"/>
        </w:rPr>
        <w:t xml:space="preserve"> </w:t>
      </w:r>
      <w:r w:rsidR="004C76BC" w:rsidRPr="009B605C">
        <w:rPr>
          <w:rFonts w:ascii="Cambria" w:hAnsi="Cambria"/>
        </w:rPr>
        <w:t xml:space="preserve">C32; </w:t>
      </w:r>
      <w:r w:rsidR="00D2656A" w:rsidRPr="009B605C">
        <w:rPr>
          <w:rFonts w:ascii="Cambria" w:hAnsi="Cambria"/>
        </w:rPr>
        <w:t>G15</w:t>
      </w:r>
      <w:r w:rsidR="004C76BC" w:rsidRPr="009B605C">
        <w:rPr>
          <w:rFonts w:ascii="Cambria" w:hAnsi="Cambria"/>
        </w:rPr>
        <w:t>; Q02</w:t>
      </w:r>
    </w:p>
    <w:p w14:paraId="14844A3E" w14:textId="77777777" w:rsidR="007E66BC" w:rsidRPr="009B605C" w:rsidRDefault="007E66BC" w:rsidP="0087752F">
      <w:pPr>
        <w:spacing w:line="360" w:lineRule="auto"/>
        <w:rPr>
          <w:rFonts w:ascii="Cambria" w:hAnsi="Cambria"/>
        </w:rPr>
      </w:pPr>
    </w:p>
    <w:p w14:paraId="3529900C" w14:textId="77777777" w:rsidR="007E66BC" w:rsidRPr="009B605C" w:rsidRDefault="007E66BC" w:rsidP="0087752F">
      <w:pPr>
        <w:spacing w:line="360" w:lineRule="auto"/>
        <w:rPr>
          <w:rFonts w:ascii="Cambria" w:hAnsi="Cambria"/>
        </w:rPr>
      </w:pPr>
    </w:p>
    <w:p w14:paraId="0B5EED0D" w14:textId="77777777" w:rsidR="00A04325" w:rsidRPr="009B605C" w:rsidRDefault="00A04325" w:rsidP="0087752F">
      <w:pPr>
        <w:spacing w:line="360" w:lineRule="auto"/>
        <w:rPr>
          <w:rFonts w:ascii="Cambria" w:hAnsi="Cambria"/>
        </w:rPr>
      </w:pPr>
    </w:p>
    <w:p w14:paraId="730A7469" w14:textId="67232588" w:rsidR="00EB759D" w:rsidRPr="009B605C" w:rsidRDefault="00EB759D" w:rsidP="0087752F">
      <w:pPr>
        <w:pStyle w:val="ListParagraph"/>
        <w:spacing w:after="120" w:line="360" w:lineRule="auto"/>
        <w:ind w:left="714" w:hanging="357"/>
        <w:jc w:val="both"/>
        <w:rPr>
          <w:rFonts w:ascii="Cambria" w:hAnsi="Cambria"/>
          <w:b/>
          <w:sz w:val="28"/>
          <w:szCs w:val="28"/>
        </w:rPr>
      </w:pPr>
      <w:r w:rsidRPr="009B605C">
        <w:rPr>
          <w:rFonts w:ascii="Cambria" w:hAnsi="Cambria"/>
          <w:b/>
          <w:sz w:val="28"/>
          <w:szCs w:val="28"/>
        </w:rPr>
        <w:lastRenderedPageBreak/>
        <w:t>1.Introduction</w:t>
      </w:r>
    </w:p>
    <w:p w14:paraId="111CC425" w14:textId="79F46641" w:rsidR="00E54851" w:rsidRPr="009B605C" w:rsidRDefault="00595897" w:rsidP="0087752F">
      <w:pPr>
        <w:spacing w:line="360" w:lineRule="auto"/>
        <w:jc w:val="both"/>
        <w:rPr>
          <w:rFonts w:ascii="Cambria" w:eastAsiaTheme="minorEastAsia" w:hAnsi="Cambria"/>
          <w:lang w:eastAsia="zh-CN"/>
        </w:rPr>
      </w:pPr>
      <w:r w:rsidRPr="009B605C">
        <w:rPr>
          <w:rFonts w:ascii="Cambria" w:eastAsiaTheme="minorEastAsia" w:hAnsi="Cambria"/>
          <w:lang w:eastAsia="zh-CN"/>
        </w:rPr>
        <w:t>Gold has long been considered a safe haven asset during times of market turmoil (</w:t>
      </w:r>
      <w:r w:rsidR="00CC5078" w:rsidRPr="009B605C">
        <w:rPr>
          <w:rFonts w:ascii="Cambria" w:eastAsiaTheme="minorEastAsia" w:hAnsi="Cambria"/>
          <w:lang w:eastAsia="zh-CN"/>
        </w:rPr>
        <w:t xml:space="preserve">see, </w:t>
      </w:r>
      <w:r w:rsidRPr="009B605C">
        <w:rPr>
          <w:rFonts w:ascii="Cambria" w:eastAsiaTheme="minorEastAsia" w:hAnsi="Cambria"/>
          <w:lang w:eastAsia="zh-CN"/>
        </w:rPr>
        <w:t xml:space="preserve">Baur and Lucey, 2010; Baur and McDermott, 2010; Hood and Malik, 2013; </w:t>
      </w:r>
      <w:proofErr w:type="spellStart"/>
      <w:r w:rsidRPr="009B605C">
        <w:rPr>
          <w:rFonts w:ascii="Cambria" w:eastAsiaTheme="minorEastAsia" w:hAnsi="Cambria"/>
          <w:lang w:eastAsia="zh-CN"/>
        </w:rPr>
        <w:t>Bekiros</w:t>
      </w:r>
      <w:proofErr w:type="spellEnd"/>
      <w:r w:rsidRPr="009B605C">
        <w:rPr>
          <w:rFonts w:ascii="Cambria" w:eastAsiaTheme="minorEastAsia" w:hAnsi="Cambria"/>
          <w:lang w:eastAsia="zh-CN"/>
        </w:rPr>
        <w:t xml:space="preserve"> et al., 2017; </w:t>
      </w:r>
      <w:r w:rsidR="00332F28" w:rsidRPr="009B605C">
        <w:rPr>
          <w:rFonts w:ascii="Cambria" w:eastAsiaTheme="minorEastAsia" w:hAnsi="Cambria"/>
          <w:lang w:eastAsia="zh-CN"/>
        </w:rPr>
        <w:t xml:space="preserve">He et al., 2018; </w:t>
      </w:r>
      <w:r w:rsidR="00112A28" w:rsidRPr="009B605C">
        <w:rPr>
          <w:rFonts w:ascii="Cambria" w:eastAsiaTheme="minorEastAsia" w:hAnsi="Cambria"/>
          <w:lang w:eastAsia="zh-CN"/>
        </w:rPr>
        <w:t xml:space="preserve">Ren et al., 2022; </w:t>
      </w:r>
      <w:r w:rsidR="00332F28" w:rsidRPr="009B605C">
        <w:rPr>
          <w:rFonts w:ascii="Cambria" w:eastAsiaTheme="minorEastAsia" w:hAnsi="Cambria"/>
          <w:lang w:eastAsia="zh-CN"/>
        </w:rPr>
        <w:t>Ming et al., 2023).</w:t>
      </w:r>
      <w:r w:rsidR="00CC5078" w:rsidRPr="009B605C">
        <w:rPr>
          <w:rFonts w:ascii="Cambria" w:eastAsiaTheme="minorEastAsia" w:hAnsi="Cambria"/>
          <w:lang w:eastAsia="zh-CN"/>
        </w:rPr>
        <w:t xml:space="preserve"> </w:t>
      </w:r>
      <w:r w:rsidR="00BB3035" w:rsidRPr="009B605C">
        <w:rPr>
          <w:rFonts w:ascii="Cambria" w:eastAsiaTheme="minorEastAsia" w:hAnsi="Cambria"/>
          <w:lang w:eastAsia="zh-CN"/>
        </w:rPr>
        <w:t>In fact, r</w:t>
      </w:r>
      <w:r w:rsidR="00CC5078" w:rsidRPr="009B605C">
        <w:rPr>
          <w:rFonts w:ascii="Cambria" w:eastAsiaTheme="minorEastAsia" w:hAnsi="Cambria"/>
          <w:lang w:eastAsia="zh-CN"/>
        </w:rPr>
        <w:t>ecently, there has been a growing interest in the role of traditional safe haven assets for risk management</w:t>
      </w:r>
      <w:r w:rsidR="00BB3035" w:rsidRPr="009B605C">
        <w:rPr>
          <w:rFonts w:ascii="Cambria" w:eastAsiaTheme="minorEastAsia" w:hAnsi="Cambria"/>
          <w:lang w:eastAsia="zh-CN"/>
        </w:rPr>
        <w:t xml:space="preserve">, particularly due to the outbreak of the COVID-19 pandemic </w:t>
      </w:r>
      <w:r w:rsidR="00CC5078" w:rsidRPr="009B605C">
        <w:rPr>
          <w:rFonts w:ascii="Cambria" w:eastAsiaTheme="minorEastAsia" w:hAnsi="Cambria"/>
          <w:lang w:eastAsia="zh-CN"/>
        </w:rPr>
        <w:t>and the subsequent 2022 Russia-Ukraine and 2023 Israel–Hamas military conflicts (see,</w:t>
      </w:r>
      <w:r w:rsidR="00BE4631" w:rsidRPr="009B605C">
        <w:rPr>
          <w:rFonts w:ascii="Cambria" w:eastAsiaTheme="minorEastAsia" w:hAnsi="Cambria"/>
          <w:lang w:eastAsia="zh-CN"/>
        </w:rPr>
        <w:t xml:space="preserve"> </w:t>
      </w:r>
      <w:r w:rsidR="00162576" w:rsidRPr="009B605C">
        <w:rPr>
          <w:rFonts w:ascii="Cambria" w:eastAsiaTheme="minorEastAsia" w:hAnsi="Cambria"/>
          <w:lang w:eastAsia="zh-CN"/>
        </w:rPr>
        <w:t xml:space="preserve">Ji et al., 2020; </w:t>
      </w:r>
      <w:r w:rsidR="00162576" w:rsidRPr="009B605C">
        <w:rPr>
          <w:rFonts w:ascii="Cambria" w:eastAsiaTheme="minorEastAsia" w:hAnsi="Cambria"/>
        </w:rPr>
        <w:t>Salisu</w:t>
      </w:r>
      <w:r w:rsidR="00162576" w:rsidRPr="009B605C">
        <w:rPr>
          <w:rFonts w:ascii="Cambria" w:eastAsiaTheme="minorEastAsia" w:hAnsi="Cambria"/>
          <w:lang w:eastAsia="zh-CN"/>
        </w:rPr>
        <w:t xml:space="preserve"> et al., 2021; </w:t>
      </w:r>
      <w:r w:rsidR="00BE4631" w:rsidRPr="009B605C">
        <w:rPr>
          <w:rFonts w:ascii="Cambria" w:eastAsiaTheme="minorEastAsia" w:hAnsi="Cambria"/>
          <w:lang w:eastAsia="zh-CN"/>
        </w:rPr>
        <w:t>Wen et al., 2022;</w:t>
      </w:r>
      <w:r w:rsidR="00CC5078" w:rsidRPr="009B605C">
        <w:rPr>
          <w:rFonts w:ascii="Cambria" w:eastAsiaTheme="minorEastAsia" w:hAnsi="Cambria"/>
          <w:lang w:eastAsia="zh-CN"/>
        </w:rPr>
        <w:t xml:space="preserve"> </w:t>
      </w:r>
      <w:proofErr w:type="spellStart"/>
      <w:r w:rsidR="007A3C74" w:rsidRPr="009B605C">
        <w:rPr>
          <w:rFonts w:ascii="Cambria" w:eastAsiaTheme="minorEastAsia" w:hAnsi="Cambria"/>
          <w:lang w:eastAsia="zh-CN"/>
        </w:rPr>
        <w:t>Karamti</w:t>
      </w:r>
      <w:proofErr w:type="spellEnd"/>
      <w:r w:rsidR="007A3C74" w:rsidRPr="009B605C">
        <w:rPr>
          <w:rFonts w:ascii="Cambria" w:eastAsiaTheme="minorEastAsia" w:hAnsi="Cambria"/>
          <w:lang w:eastAsia="zh-CN"/>
        </w:rPr>
        <w:t xml:space="preserve"> and </w:t>
      </w:r>
      <w:proofErr w:type="spellStart"/>
      <w:r w:rsidR="007A3C74" w:rsidRPr="009B605C">
        <w:rPr>
          <w:rFonts w:ascii="Cambria" w:eastAsiaTheme="minorEastAsia" w:hAnsi="Cambria"/>
          <w:lang w:eastAsia="zh-CN"/>
        </w:rPr>
        <w:t>Jeribi</w:t>
      </w:r>
      <w:proofErr w:type="spellEnd"/>
      <w:r w:rsidR="007A3C74" w:rsidRPr="009B605C">
        <w:rPr>
          <w:rFonts w:ascii="Cambria" w:eastAsiaTheme="minorEastAsia" w:hAnsi="Cambria"/>
          <w:lang w:eastAsia="zh-CN"/>
        </w:rPr>
        <w:t>, 2023</w:t>
      </w:r>
      <w:r w:rsidR="00162576" w:rsidRPr="009B605C">
        <w:rPr>
          <w:rFonts w:ascii="Cambria" w:eastAsiaTheme="minorEastAsia" w:hAnsi="Cambria"/>
          <w:lang w:eastAsia="zh-CN"/>
        </w:rPr>
        <w:t>; Qin et al., 2023;</w:t>
      </w:r>
      <w:r w:rsidR="00BB3035" w:rsidRPr="009B605C">
        <w:rPr>
          <w:rFonts w:ascii="Cambria" w:eastAsiaTheme="minorEastAsia" w:hAnsi="Cambria"/>
          <w:lang w:eastAsia="zh-CN"/>
        </w:rPr>
        <w:t xml:space="preserve"> Gunay et al., 2024;</w:t>
      </w:r>
      <w:r w:rsidR="00162576" w:rsidRPr="009B605C">
        <w:rPr>
          <w:rFonts w:ascii="Cambria" w:eastAsiaTheme="minorEastAsia" w:hAnsi="Cambria"/>
          <w:lang w:eastAsia="zh-CN"/>
        </w:rPr>
        <w:t xml:space="preserve"> </w:t>
      </w:r>
      <w:r w:rsidR="00BB3035" w:rsidRPr="009B605C">
        <w:rPr>
          <w:rFonts w:ascii="Cambria" w:eastAsiaTheme="minorEastAsia" w:hAnsi="Cambria"/>
          <w:lang w:eastAsia="zh-CN"/>
        </w:rPr>
        <w:t>Khan et al., 2024).</w:t>
      </w:r>
      <w:r w:rsidR="009764DB" w:rsidRPr="009B605C">
        <w:rPr>
          <w:rFonts w:ascii="Cambria" w:eastAsiaTheme="minorEastAsia" w:hAnsi="Cambria"/>
          <w:lang w:eastAsia="zh-CN"/>
        </w:rPr>
        <w:t xml:space="preserve"> </w:t>
      </w:r>
      <w:r w:rsidR="006639C2" w:rsidRPr="009B605C">
        <w:rPr>
          <w:rFonts w:ascii="Cambria" w:eastAsiaTheme="minorEastAsia" w:hAnsi="Cambria"/>
          <w:lang w:eastAsia="zh-CN"/>
        </w:rPr>
        <w:t xml:space="preserve">However, several studies have shown that gold can serve as a safe haven asset in certain situations, but not in all (see, Akhtaruzzaman et al., 2021; </w:t>
      </w:r>
      <w:r w:rsidR="009764DB" w:rsidRPr="009B605C">
        <w:rPr>
          <w:rFonts w:ascii="Cambria" w:eastAsiaTheme="minorEastAsia" w:hAnsi="Cambria"/>
          <w:lang w:eastAsia="zh-CN"/>
        </w:rPr>
        <w:t xml:space="preserve">Wang and Lee, 2022; </w:t>
      </w:r>
      <w:r w:rsidR="006639C2" w:rsidRPr="009B605C">
        <w:rPr>
          <w:rFonts w:ascii="Cambria" w:eastAsiaTheme="minorEastAsia" w:hAnsi="Cambria"/>
          <w:lang w:eastAsia="zh-CN"/>
        </w:rPr>
        <w:t xml:space="preserve">Enilov </w:t>
      </w:r>
      <w:r w:rsidR="009764DB" w:rsidRPr="009B605C">
        <w:rPr>
          <w:rFonts w:ascii="Cambria" w:eastAsiaTheme="minorEastAsia" w:hAnsi="Cambria"/>
          <w:lang w:eastAsia="zh-CN"/>
        </w:rPr>
        <w:t>et al.</w:t>
      </w:r>
      <w:r w:rsidR="006639C2" w:rsidRPr="009B605C">
        <w:rPr>
          <w:rFonts w:ascii="Cambria" w:eastAsiaTheme="minorEastAsia" w:hAnsi="Cambria"/>
          <w:lang w:eastAsia="zh-CN"/>
        </w:rPr>
        <w:t>, 2023</w:t>
      </w:r>
      <w:r w:rsidR="009764DB" w:rsidRPr="009B605C">
        <w:rPr>
          <w:rFonts w:ascii="Cambria" w:eastAsiaTheme="minorEastAsia" w:hAnsi="Cambria"/>
          <w:lang w:eastAsia="zh-CN"/>
        </w:rPr>
        <w:t>; Ustaoglu, 2023)</w:t>
      </w:r>
      <w:r w:rsidR="00474121" w:rsidRPr="009B605C">
        <w:rPr>
          <w:rFonts w:ascii="Cambria" w:eastAsiaTheme="minorEastAsia" w:hAnsi="Cambria"/>
          <w:lang w:eastAsia="zh-CN"/>
        </w:rPr>
        <w:t>.</w:t>
      </w:r>
      <w:r w:rsidR="008A4522" w:rsidRPr="009B605C">
        <w:rPr>
          <w:rFonts w:ascii="Cambria" w:eastAsiaTheme="minorEastAsia" w:hAnsi="Cambria"/>
          <w:lang w:eastAsia="zh-CN"/>
        </w:rPr>
        <w:t xml:space="preserve"> </w:t>
      </w:r>
      <w:r w:rsidR="009764DB" w:rsidRPr="009B605C">
        <w:rPr>
          <w:rFonts w:ascii="Cambria" w:eastAsiaTheme="minorEastAsia" w:hAnsi="Cambria"/>
          <w:lang w:eastAsia="zh-CN"/>
        </w:rPr>
        <w:t>In particular</w:t>
      </w:r>
      <w:r w:rsidR="00C2364F" w:rsidRPr="009B605C">
        <w:rPr>
          <w:rFonts w:ascii="Cambria" w:eastAsiaTheme="minorEastAsia" w:hAnsi="Cambria"/>
          <w:lang w:eastAsia="zh-CN"/>
        </w:rPr>
        <w:t xml:space="preserve">, </w:t>
      </w:r>
      <w:r w:rsidR="008A4522" w:rsidRPr="009B605C">
        <w:rPr>
          <w:rFonts w:ascii="Cambria" w:eastAsiaTheme="minorEastAsia" w:hAnsi="Cambria"/>
          <w:lang w:eastAsia="zh-CN"/>
        </w:rPr>
        <w:t>there</w:t>
      </w:r>
      <w:r w:rsidR="00C2364F" w:rsidRPr="009B605C">
        <w:rPr>
          <w:rFonts w:ascii="Cambria" w:eastAsiaTheme="minorEastAsia" w:hAnsi="Cambria"/>
          <w:lang w:eastAsia="zh-CN"/>
        </w:rPr>
        <w:t xml:space="preserve"> has been growing interest in alternative assets with similar safe-haven properties</w:t>
      </w:r>
      <w:r w:rsidR="008A4522" w:rsidRPr="009B605C">
        <w:rPr>
          <w:rFonts w:ascii="Cambria" w:eastAsiaTheme="minorEastAsia" w:hAnsi="Cambria"/>
          <w:lang w:eastAsia="zh-CN"/>
        </w:rPr>
        <w:t xml:space="preserve"> to gold</w:t>
      </w:r>
      <w:r w:rsidR="00C2364F" w:rsidRPr="009B605C">
        <w:rPr>
          <w:rFonts w:ascii="Cambria" w:eastAsiaTheme="minorEastAsia" w:hAnsi="Cambria"/>
          <w:lang w:eastAsia="zh-CN"/>
        </w:rPr>
        <w:t xml:space="preserve">, particularly digital currencies </w:t>
      </w:r>
      <w:r w:rsidR="006F791A" w:rsidRPr="009B605C">
        <w:rPr>
          <w:rFonts w:ascii="Cambria" w:eastAsiaTheme="minorEastAsia" w:hAnsi="Cambria"/>
          <w:lang w:eastAsia="zh-CN"/>
        </w:rPr>
        <w:t xml:space="preserve">(see, </w:t>
      </w:r>
      <w:r w:rsidR="00F8296C" w:rsidRPr="009B605C">
        <w:rPr>
          <w:rFonts w:ascii="Cambria" w:eastAsiaTheme="minorEastAsia" w:hAnsi="Cambria"/>
          <w:lang w:eastAsia="zh-CN"/>
        </w:rPr>
        <w:t xml:space="preserve">Urquhart and Zhang, 2019; </w:t>
      </w:r>
      <w:r w:rsidR="006F791A" w:rsidRPr="009B605C">
        <w:rPr>
          <w:rFonts w:ascii="Cambria" w:hAnsi="Cambria"/>
        </w:rPr>
        <w:t>Conlon</w:t>
      </w:r>
      <w:r w:rsidR="006F791A" w:rsidRPr="009B605C">
        <w:rPr>
          <w:rFonts w:ascii="Cambria" w:eastAsiaTheme="minorEastAsia" w:hAnsi="Cambria"/>
          <w:lang w:eastAsia="zh-CN"/>
        </w:rPr>
        <w:t xml:space="preserve"> et al., 2020; Li and Miu, 2023; </w:t>
      </w:r>
      <w:r w:rsidR="006F791A" w:rsidRPr="009B605C">
        <w:rPr>
          <w:rFonts w:ascii="Cambria" w:eastAsiaTheme="minorEastAsia" w:hAnsi="Cambria"/>
        </w:rPr>
        <w:t xml:space="preserve">Xu and </w:t>
      </w:r>
      <w:proofErr w:type="spellStart"/>
      <w:r w:rsidR="006F791A" w:rsidRPr="009B605C">
        <w:rPr>
          <w:rFonts w:ascii="Cambria" w:eastAsiaTheme="minorEastAsia" w:hAnsi="Cambria"/>
        </w:rPr>
        <w:t>Kinkyo</w:t>
      </w:r>
      <w:proofErr w:type="spellEnd"/>
      <w:r w:rsidR="006F791A" w:rsidRPr="009B605C">
        <w:rPr>
          <w:rFonts w:ascii="Cambria" w:eastAsiaTheme="minorEastAsia" w:hAnsi="Cambria"/>
        </w:rPr>
        <w:t xml:space="preserve">, 2023; </w:t>
      </w:r>
      <w:r w:rsidR="006F791A" w:rsidRPr="009B605C">
        <w:rPr>
          <w:rFonts w:ascii="Cambria" w:eastAsiaTheme="minorEastAsia" w:hAnsi="Cambria"/>
          <w:lang w:eastAsia="zh-CN"/>
        </w:rPr>
        <w:t>Liu and Yuan, 2024</w:t>
      </w:r>
      <w:r w:rsidR="006F791A" w:rsidRPr="009B605C">
        <w:rPr>
          <w:rFonts w:ascii="Cambria" w:eastAsiaTheme="minorEastAsia" w:hAnsi="Cambria"/>
        </w:rPr>
        <w:t xml:space="preserve">). </w:t>
      </w:r>
      <w:r w:rsidR="00794710" w:rsidRPr="009B605C">
        <w:rPr>
          <w:rFonts w:ascii="Cambria" w:eastAsiaTheme="minorEastAsia" w:hAnsi="Cambria"/>
          <w:lang w:eastAsia="zh-CN"/>
        </w:rPr>
        <w:t xml:space="preserve">As a prominent component of digital assets, cryptocurrency has significantly impacted the traditional financial system, emerging as a distinct and vital asset class (Liu and Yuan, 2024). Thanks to its decentralized nature and the underlying blockchain technology, cryptocurrencies offer the potential to hedge against economic uncertainty and inflation (Conlon et al., 2024), while also providing investors with opportunities for diversification (Duan et al., 2023). </w:t>
      </w:r>
      <w:r w:rsidR="00FE4E3F" w:rsidRPr="009B605C">
        <w:rPr>
          <w:rFonts w:ascii="Cambria" w:eastAsiaTheme="minorEastAsia" w:hAnsi="Cambria"/>
          <w:lang w:eastAsia="zh-CN"/>
        </w:rPr>
        <w:t>As a result, investors may lose faith in traditional asset</w:t>
      </w:r>
      <w:r w:rsidR="005A2F86" w:rsidRPr="009B605C">
        <w:rPr>
          <w:rFonts w:ascii="Cambria" w:eastAsiaTheme="minorEastAsia" w:hAnsi="Cambria"/>
          <w:lang w:eastAsia="zh-CN"/>
        </w:rPr>
        <w:t>s, such as gold,</w:t>
      </w:r>
      <w:r w:rsidR="00FE4E3F" w:rsidRPr="009B605C">
        <w:rPr>
          <w:rFonts w:ascii="Cambria" w:eastAsiaTheme="minorEastAsia" w:hAnsi="Cambria"/>
          <w:lang w:eastAsia="zh-CN"/>
        </w:rPr>
        <w:t xml:space="preserve"> and shift toward cryptocurrencies during periods of financial instability. Consequently, this paper addresses the following question:</w:t>
      </w:r>
      <w:r w:rsidR="00FE4E3F" w:rsidRPr="009B605C">
        <w:rPr>
          <w:rFonts w:ascii="Cambria" w:hAnsi="Cambria"/>
        </w:rPr>
        <w:t xml:space="preserve"> </w:t>
      </w:r>
      <w:r w:rsidR="00FE4E3F" w:rsidRPr="009B605C">
        <w:rPr>
          <w:rFonts w:ascii="Cambria" w:eastAsiaTheme="minorEastAsia" w:hAnsi="Cambria"/>
          <w:lang w:eastAsia="zh-CN"/>
        </w:rPr>
        <w:t>Can cryptocurrencies or gold act as a safe haven for BRICS stocks during the 2022 Russia-Ukraine military conflict?</w:t>
      </w:r>
    </w:p>
    <w:p w14:paraId="281630FE" w14:textId="74849189" w:rsidR="000216D2" w:rsidRPr="009B605C" w:rsidRDefault="000216D2" w:rsidP="0087752F">
      <w:pPr>
        <w:spacing w:line="360" w:lineRule="auto"/>
        <w:ind w:firstLine="720"/>
        <w:jc w:val="both"/>
        <w:rPr>
          <w:rFonts w:ascii="Cambria" w:hAnsi="Cambria"/>
        </w:rPr>
      </w:pPr>
      <w:r w:rsidRPr="009B605C">
        <w:rPr>
          <w:rFonts w:ascii="Cambria" w:eastAsiaTheme="minorEastAsia" w:hAnsi="Cambria"/>
          <w:lang w:eastAsia="zh-CN"/>
        </w:rPr>
        <w:t xml:space="preserve">Undoubtedly, numerous studies in the existing literature have explored the potential of cryptocurrencies as safe-haven assets. </w:t>
      </w:r>
      <w:r w:rsidRPr="009B605C">
        <w:rPr>
          <w:rFonts w:ascii="Cambria" w:hAnsi="Cambria"/>
        </w:rPr>
        <w:t xml:space="preserve">Unlike conventional studies that primarily focus on Bitcoin (see, </w:t>
      </w:r>
      <w:r w:rsidR="00F8296C" w:rsidRPr="009B605C">
        <w:rPr>
          <w:rFonts w:ascii="Cambria" w:eastAsiaTheme="minorEastAsia" w:hAnsi="Cambria"/>
          <w:lang w:eastAsia="zh-CN"/>
        </w:rPr>
        <w:t xml:space="preserve">Urquhart and Zhang, 2019; Wen et al., 2022; </w:t>
      </w:r>
      <w:r w:rsidR="00971F62" w:rsidRPr="009B605C">
        <w:rPr>
          <w:rFonts w:ascii="Cambria" w:eastAsiaTheme="minorEastAsia" w:hAnsi="Cambria"/>
          <w:lang w:eastAsia="zh-CN"/>
        </w:rPr>
        <w:t xml:space="preserve">Huang et al., 2023; </w:t>
      </w:r>
      <w:r w:rsidRPr="009B605C">
        <w:rPr>
          <w:rFonts w:ascii="Cambria" w:eastAsiaTheme="minorEastAsia" w:hAnsi="Cambria"/>
        </w:rPr>
        <w:t xml:space="preserve">Xu, and </w:t>
      </w:r>
      <w:proofErr w:type="spellStart"/>
      <w:r w:rsidRPr="009B605C">
        <w:rPr>
          <w:rFonts w:ascii="Cambria" w:eastAsiaTheme="minorEastAsia" w:hAnsi="Cambria"/>
        </w:rPr>
        <w:t>Kinkyo</w:t>
      </w:r>
      <w:proofErr w:type="spellEnd"/>
      <w:r w:rsidRPr="009B605C">
        <w:rPr>
          <w:rFonts w:ascii="Cambria" w:eastAsiaTheme="minorEastAsia" w:hAnsi="Cambria"/>
        </w:rPr>
        <w:t>, 2023</w:t>
      </w:r>
      <w:r w:rsidR="00400822" w:rsidRPr="009B605C">
        <w:rPr>
          <w:rFonts w:ascii="Cambria" w:eastAsiaTheme="minorEastAsia" w:hAnsi="Cambria"/>
        </w:rPr>
        <w:t>;</w:t>
      </w:r>
      <w:r w:rsidR="00F8296C" w:rsidRPr="009B605C">
        <w:rPr>
          <w:rFonts w:ascii="Cambria" w:hAnsi="Cambria"/>
        </w:rPr>
        <w:t xml:space="preserve"> Liu and </w:t>
      </w:r>
      <w:r w:rsidR="00F8296C" w:rsidRPr="009B605C">
        <w:rPr>
          <w:rFonts w:ascii="Cambria" w:eastAsiaTheme="minorEastAsia" w:hAnsi="Cambria"/>
          <w:lang w:eastAsia="zh-CN"/>
        </w:rPr>
        <w:t>Yuan</w:t>
      </w:r>
      <w:r w:rsidR="00F8296C" w:rsidRPr="009B605C">
        <w:rPr>
          <w:rFonts w:ascii="Cambria" w:hAnsi="Cambria"/>
        </w:rPr>
        <w:t>, 2024</w:t>
      </w:r>
      <w:r w:rsidRPr="009B605C">
        <w:rPr>
          <w:rFonts w:ascii="Cambria" w:hAnsi="Cambria"/>
        </w:rPr>
        <w:t xml:space="preserve">) or other top market-cap crypto assets (see, </w:t>
      </w:r>
      <w:proofErr w:type="spellStart"/>
      <w:r w:rsidRPr="009B605C">
        <w:rPr>
          <w:rFonts w:ascii="Cambria" w:hAnsi="Cambria"/>
        </w:rPr>
        <w:t>Katsiampa</w:t>
      </w:r>
      <w:proofErr w:type="spellEnd"/>
      <w:r w:rsidRPr="009B605C">
        <w:rPr>
          <w:rFonts w:ascii="Cambria" w:hAnsi="Cambria"/>
        </w:rPr>
        <w:t xml:space="preserve"> et al., 2022; </w:t>
      </w:r>
      <w:r w:rsidR="00DD2213" w:rsidRPr="009B605C">
        <w:rPr>
          <w:rFonts w:ascii="Cambria" w:hAnsi="Cambria"/>
        </w:rPr>
        <w:t>Ren and Lucey, 2022</w:t>
      </w:r>
      <w:r w:rsidR="008C11ED" w:rsidRPr="009B605C">
        <w:rPr>
          <w:rFonts w:ascii="Cambria" w:hAnsi="Cambria"/>
        </w:rPr>
        <w:t xml:space="preserve">; </w:t>
      </w:r>
      <w:proofErr w:type="spellStart"/>
      <w:r w:rsidR="008C11ED" w:rsidRPr="009B605C">
        <w:rPr>
          <w:rFonts w:ascii="Cambria" w:eastAsiaTheme="minorEastAsia" w:hAnsi="Cambria"/>
          <w:lang w:eastAsia="zh-CN"/>
        </w:rPr>
        <w:t>Rubbaniy</w:t>
      </w:r>
      <w:proofErr w:type="spellEnd"/>
      <w:r w:rsidR="008C11ED" w:rsidRPr="009B605C">
        <w:rPr>
          <w:rFonts w:ascii="Cambria" w:eastAsiaTheme="minorEastAsia" w:hAnsi="Cambria"/>
          <w:lang w:eastAsia="zh-CN"/>
        </w:rPr>
        <w:t xml:space="preserve"> et al., 2024</w:t>
      </w:r>
      <w:r w:rsidR="008F5882" w:rsidRPr="009B605C">
        <w:rPr>
          <w:rFonts w:ascii="Cambria" w:eastAsiaTheme="minorEastAsia" w:hAnsi="Cambria"/>
          <w:lang w:eastAsia="zh-CN"/>
        </w:rPr>
        <w:t>; Ali et al., 2025</w:t>
      </w:r>
      <w:r w:rsidRPr="009B605C">
        <w:rPr>
          <w:rFonts w:ascii="Cambria" w:hAnsi="Cambria"/>
        </w:rPr>
        <w:t>), our research is one of the few to consider the cryptocurrency market as a whole by constructing a novel Crypto index, including 9,468 active and defunct cryptocurrencies, that reflects the daily market fluctuations of all listed crypto assets. This approach enables our study to provide generalized evidence, rather than being asset-specific</w:t>
      </w:r>
      <w:r w:rsidR="00A92929" w:rsidRPr="009B605C">
        <w:rPr>
          <w:rFonts w:ascii="Cambria" w:hAnsi="Cambria"/>
        </w:rPr>
        <w:t xml:space="preserve"> (see, </w:t>
      </w:r>
      <w:r w:rsidR="00A92929" w:rsidRPr="009B605C">
        <w:rPr>
          <w:rFonts w:ascii="Cambria" w:hAnsi="Cambria"/>
        </w:rPr>
        <w:lastRenderedPageBreak/>
        <w:t>Enilov and Mishra, 2023, for a discussion)</w:t>
      </w:r>
      <w:r w:rsidRPr="009B605C">
        <w:rPr>
          <w:rFonts w:ascii="Cambria" w:hAnsi="Cambria"/>
        </w:rPr>
        <w:t>. Furthermore, we disaggregate the Crypto index into sub-indexes representing small-cap and large-cap cryptocurrencies. In line with conventional finance theories, small-cap stocks tend to exhibit higher systematic risk compared to large-cap stocks</w:t>
      </w:r>
      <w:r w:rsidR="0008799A" w:rsidRPr="009B605C">
        <w:rPr>
          <w:rFonts w:ascii="Cambria" w:hAnsi="Cambria"/>
        </w:rPr>
        <w:t xml:space="preserve"> (Bauman et al., 1998)</w:t>
      </w:r>
      <w:r w:rsidRPr="009B605C">
        <w:rPr>
          <w:rFonts w:ascii="Cambria" w:hAnsi="Cambria"/>
        </w:rPr>
        <w:t>, making them more volatile but potentially more rewarding during market upturns</w:t>
      </w:r>
      <w:r w:rsidR="0008799A" w:rsidRPr="009B605C">
        <w:rPr>
          <w:rFonts w:ascii="Cambria" w:hAnsi="Cambria"/>
        </w:rPr>
        <w:t xml:space="preserve"> (Eun et al., 2008)</w:t>
      </w:r>
      <w:r w:rsidRPr="009B605C">
        <w:rPr>
          <w:rFonts w:ascii="Cambria" w:hAnsi="Cambria"/>
        </w:rPr>
        <w:t>. Our study aims to provide novel evidence on whether conventional finance theories, which are primarily based on centralized markets like stocks, also apply to decentralized markets such as digital currencies.</w:t>
      </w:r>
    </w:p>
    <w:p w14:paraId="4F3BF8A0" w14:textId="62134F59" w:rsidR="005D7EC5" w:rsidRPr="009B605C" w:rsidRDefault="00FB296B" w:rsidP="0087752F">
      <w:pPr>
        <w:spacing w:line="360" w:lineRule="auto"/>
        <w:ind w:firstLine="720"/>
        <w:jc w:val="both"/>
        <w:rPr>
          <w:rFonts w:ascii="Cambria" w:eastAsiaTheme="minorEastAsia" w:hAnsi="Cambria"/>
          <w:lang w:eastAsia="zh-CN"/>
        </w:rPr>
      </w:pPr>
      <w:r w:rsidRPr="009B605C">
        <w:rPr>
          <w:rFonts w:ascii="Cambria" w:hAnsi="Cambria"/>
        </w:rPr>
        <w:t>In order to deepen our understanding of the safe haven characteristics of both cryptocurrency and gold, we examine the influence of the Russia-Ukraine military conflict on the safe haven status of these assets</w:t>
      </w:r>
      <w:r w:rsidR="00C02099" w:rsidRPr="009B605C">
        <w:rPr>
          <w:rFonts w:ascii="Cambria" w:hAnsi="Cambria"/>
        </w:rPr>
        <w:t xml:space="preserve"> for </w:t>
      </w:r>
      <w:r w:rsidR="005D7EC5" w:rsidRPr="009B605C">
        <w:rPr>
          <w:rFonts w:ascii="Cambria" w:eastAsiaTheme="minorEastAsia" w:hAnsi="Cambria"/>
          <w:lang w:eastAsia="zh-CN"/>
        </w:rPr>
        <w:t>leading emerging markets</w:t>
      </w:r>
      <w:r w:rsidRPr="009B605C">
        <w:rPr>
          <w:rFonts w:ascii="Cambria" w:hAnsi="Cambria"/>
        </w:rPr>
        <w:t>.</w:t>
      </w:r>
      <w:r w:rsidR="00C02099" w:rsidRPr="009B605C">
        <w:rPr>
          <w:rFonts w:ascii="Cambria" w:hAnsi="Cambria"/>
        </w:rPr>
        <w:t xml:space="preserve"> </w:t>
      </w:r>
      <w:r w:rsidR="005D7EC5" w:rsidRPr="009B605C">
        <w:rPr>
          <w:rFonts w:ascii="Cambria" w:hAnsi="Cambria"/>
        </w:rPr>
        <w:t>Specifically, our study focuses on the stock markets of BRICS countries (Brazil, Russia, India, China, and South Africa), as some are directly involved in the conflict, while others are influenced indirectly.</w:t>
      </w:r>
      <w:r w:rsidR="006C2310" w:rsidRPr="009B605C">
        <w:rPr>
          <w:rFonts w:ascii="Cambria" w:hAnsi="Cambria"/>
        </w:rPr>
        <w:t xml:space="preserve"> </w:t>
      </w:r>
      <w:proofErr w:type="spellStart"/>
      <w:r w:rsidR="006C2310" w:rsidRPr="009B605C">
        <w:rPr>
          <w:rFonts w:ascii="Cambria" w:eastAsiaTheme="minorEastAsia" w:hAnsi="Cambria"/>
          <w:lang w:eastAsia="zh-CN"/>
        </w:rPr>
        <w:t>Gökgöz</w:t>
      </w:r>
      <w:proofErr w:type="spellEnd"/>
      <w:r w:rsidR="006C2310" w:rsidRPr="009B605C">
        <w:rPr>
          <w:rFonts w:ascii="Cambria" w:eastAsiaTheme="minorEastAsia" w:hAnsi="Cambria"/>
          <w:lang w:eastAsia="zh-CN"/>
        </w:rPr>
        <w:t xml:space="preserve"> et al. (2024) discover that the economic sanctions imposed on Russia as a result of the Russia-Ukraine conflict have significantly impacted the Russian stock market, and this effect has spread to other BRICS stock markets</w:t>
      </w:r>
      <w:r w:rsidR="00BE309D" w:rsidRPr="009B605C">
        <w:rPr>
          <w:rFonts w:ascii="Cambria" w:eastAsiaTheme="minorEastAsia" w:hAnsi="Cambria"/>
          <w:lang w:eastAsia="zh-CN"/>
        </w:rPr>
        <w:t xml:space="preserve"> (Ahmed et al., 2023).</w:t>
      </w:r>
      <w:r w:rsidR="00CD4119" w:rsidRPr="009B605C">
        <w:rPr>
          <w:rFonts w:ascii="Cambria" w:eastAsiaTheme="minorEastAsia" w:hAnsi="Cambria"/>
          <w:lang w:eastAsia="zh-CN"/>
        </w:rPr>
        <w:t xml:space="preserve"> </w:t>
      </w:r>
      <w:r w:rsidR="00257FC5" w:rsidRPr="009B605C">
        <w:rPr>
          <w:rFonts w:ascii="Cambria" w:eastAsiaTheme="minorEastAsia" w:hAnsi="Cambria"/>
          <w:lang w:eastAsia="zh-CN"/>
        </w:rPr>
        <w:t>Chinese stock market has shown some resilience, with investors turning to Chinese assets as a safe haven (Zhou and Lu, 2023</w:t>
      </w:r>
      <w:r w:rsidR="00EA329E" w:rsidRPr="009B605C">
        <w:rPr>
          <w:rFonts w:ascii="Cambria" w:eastAsiaTheme="minorEastAsia" w:hAnsi="Cambria"/>
          <w:lang w:eastAsia="zh-CN"/>
        </w:rPr>
        <w:t>) but</w:t>
      </w:r>
      <w:r w:rsidR="00257FC5" w:rsidRPr="009B605C">
        <w:rPr>
          <w:rFonts w:ascii="Cambria" w:eastAsiaTheme="minorEastAsia" w:hAnsi="Cambria"/>
          <w:lang w:eastAsia="zh-CN"/>
        </w:rPr>
        <w:t xml:space="preserve"> has been indirectly affected by fluctuations in energy and commodity prices (Zhang and Sun, 2023;</w:t>
      </w:r>
      <w:r w:rsidR="00CD4119" w:rsidRPr="009B605C">
        <w:rPr>
          <w:rFonts w:ascii="Cambria" w:eastAsiaTheme="minorEastAsia" w:hAnsi="Cambria"/>
          <w:lang w:eastAsia="zh-CN"/>
        </w:rPr>
        <w:t xml:space="preserve"> Lin and Wang, 2024</w:t>
      </w:r>
      <w:r w:rsidR="00257FC5" w:rsidRPr="009B605C">
        <w:rPr>
          <w:rFonts w:ascii="Cambria" w:eastAsiaTheme="minorEastAsia" w:hAnsi="Cambria"/>
          <w:lang w:eastAsia="zh-CN"/>
        </w:rPr>
        <w:t>)</w:t>
      </w:r>
      <w:r w:rsidR="00CD4119" w:rsidRPr="009B605C">
        <w:rPr>
          <w:rFonts w:ascii="Cambria" w:eastAsiaTheme="minorEastAsia" w:hAnsi="Cambria"/>
          <w:lang w:eastAsia="zh-CN"/>
        </w:rPr>
        <w:t>.</w:t>
      </w:r>
      <w:r w:rsidR="00693838" w:rsidRPr="009B605C">
        <w:rPr>
          <w:rFonts w:ascii="Cambria" w:eastAsiaTheme="minorEastAsia" w:hAnsi="Cambria"/>
          <w:lang w:eastAsia="zh-CN"/>
        </w:rPr>
        <w:t xml:space="preserve"> Bhattacharjee et al. (2024) identify that the Indian stock market experienced initial volatility due to the conflict onset but has gradually recovered, supported by strong domestic fundamentals.</w:t>
      </w:r>
      <w:r w:rsidR="00676C81" w:rsidRPr="009B605C">
        <w:rPr>
          <w:rFonts w:ascii="Cambria" w:eastAsiaTheme="minorEastAsia" w:hAnsi="Cambria"/>
          <w:lang w:eastAsia="zh-CN"/>
        </w:rPr>
        <w:t xml:space="preserve"> Cui et al. (2024) </w:t>
      </w:r>
      <w:r w:rsidR="00FB4D04" w:rsidRPr="009B605C">
        <w:rPr>
          <w:rFonts w:ascii="Cambria" w:eastAsiaTheme="minorEastAsia" w:hAnsi="Cambria"/>
          <w:lang w:eastAsia="zh-CN"/>
        </w:rPr>
        <w:t xml:space="preserve">find </w:t>
      </w:r>
      <w:r w:rsidR="00676C81" w:rsidRPr="009B605C">
        <w:rPr>
          <w:rFonts w:ascii="Cambria" w:eastAsiaTheme="minorEastAsia" w:hAnsi="Cambria"/>
          <w:lang w:eastAsia="zh-CN"/>
        </w:rPr>
        <w:t>that, alongside Indian stocks, both the Brazilian and South African markets act as net transmitters of spillovers.</w:t>
      </w:r>
      <w:r w:rsidR="00CD16C8" w:rsidRPr="009B605C">
        <w:rPr>
          <w:rFonts w:ascii="Cambria" w:eastAsiaTheme="minorEastAsia" w:hAnsi="Cambria"/>
          <w:lang w:eastAsia="zh-CN"/>
        </w:rPr>
        <w:t xml:space="preserve"> Lawrence et al. (2024) confirm that while the South African stock market is relatively insulated from the direct impact of the military conflict, it has been affected by changes in international capital flows and the global economic slowdown.</w:t>
      </w:r>
      <w:r w:rsidR="00B93583" w:rsidRPr="009B605C">
        <w:rPr>
          <w:rFonts w:ascii="Cambria" w:eastAsiaTheme="minorEastAsia" w:hAnsi="Cambria"/>
          <w:lang w:eastAsia="zh-CN"/>
        </w:rPr>
        <w:t xml:space="preserve"> </w:t>
      </w:r>
      <w:r w:rsidR="003C1565" w:rsidRPr="009B605C">
        <w:rPr>
          <w:rFonts w:ascii="Cambria" w:eastAsiaTheme="minorEastAsia" w:hAnsi="Cambria"/>
          <w:lang w:eastAsia="zh-CN"/>
        </w:rPr>
        <w:t xml:space="preserve">Given that </w:t>
      </w:r>
      <w:r w:rsidR="00AF0BF3" w:rsidRPr="009B605C">
        <w:rPr>
          <w:rFonts w:ascii="Cambria" w:eastAsiaTheme="minorEastAsia" w:hAnsi="Cambria"/>
          <w:lang w:eastAsia="zh-CN"/>
        </w:rPr>
        <w:t xml:space="preserve">the BRICS countries </w:t>
      </w:r>
      <w:r w:rsidR="003C1565" w:rsidRPr="009B605C">
        <w:rPr>
          <w:rFonts w:ascii="Cambria" w:eastAsiaTheme="minorEastAsia" w:hAnsi="Cambria"/>
          <w:lang w:eastAsia="zh-CN"/>
        </w:rPr>
        <w:t xml:space="preserve">represent </w:t>
      </w:r>
      <w:r w:rsidR="00AF0BF3" w:rsidRPr="009B605C">
        <w:rPr>
          <w:rFonts w:ascii="Cambria" w:eastAsiaTheme="minorEastAsia" w:hAnsi="Cambria"/>
          <w:lang w:eastAsia="zh-CN"/>
        </w:rPr>
        <w:t>a significant portion of the global economy, examining the</w:t>
      </w:r>
      <w:r w:rsidR="003C1565" w:rsidRPr="009B605C">
        <w:rPr>
          <w:rFonts w:ascii="Cambria" w:eastAsiaTheme="minorEastAsia" w:hAnsi="Cambria"/>
          <w:lang w:eastAsia="zh-CN"/>
        </w:rPr>
        <w:t xml:space="preserve"> effects</w:t>
      </w:r>
      <w:r w:rsidR="00AF0BF3" w:rsidRPr="009B605C">
        <w:rPr>
          <w:rFonts w:ascii="Cambria" w:eastAsiaTheme="minorEastAsia" w:hAnsi="Cambria"/>
          <w:lang w:eastAsia="zh-CN"/>
        </w:rPr>
        <w:t xml:space="preserve"> </w:t>
      </w:r>
      <w:r w:rsidR="003C1565" w:rsidRPr="009B605C">
        <w:rPr>
          <w:rFonts w:ascii="Cambria" w:eastAsiaTheme="minorEastAsia" w:hAnsi="Cambria"/>
          <w:lang w:eastAsia="zh-CN"/>
        </w:rPr>
        <w:t xml:space="preserve">of the </w:t>
      </w:r>
      <w:r w:rsidR="00AF0BF3" w:rsidRPr="009B605C">
        <w:rPr>
          <w:rFonts w:ascii="Cambria" w:eastAsiaTheme="minorEastAsia" w:hAnsi="Cambria"/>
          <w:lang w:eastAsia="zh-CN"/>
        </w:rPr>
        <w:t xml:space="preserve">Russia-Ukraine military conflict </w:t>
      </w:r>
      <w:r w:rsidR="003C1565" w:rsidRPr="009B605C">
        <w:rPr>
          <w:rFonts w:ascii="Cambria" w:eastAsiaTheme="minorEastAsia" w:hAnsi="Cambria"/>
          <w:lang w:eastAsia="zh-CN"/>
        </w:rPr>
        <w:t xml:space="preserve">on </w:t>
      </w:r>
      <w:r w:rsidR="00AF0BF3" w:rsidRPr="009B605C">
        <w:rPr>
          <w:rFonts w:ascii="Cambria" w:eastAsiaTheme="minorEastAsia" w:hAnsi="Cambria"/>
          <w:lang w:eastAsia="zh-CN"/>
        </w:rPr>
        <w:t xml:space="preserve">their stock markets is key </w:t>
      </w:r>
      <w:r w:rsidR="003C1565" w:rsidRPr="009B605C">
        <w:rPr>
          <w:rFonts w:ascii="Cambria" w:eastAsiaTheme="minorEastAsia" w:hAnsi="Cambria"/>
          <w:lang w:eastAsia="zh-CN"/>
        </w:rPr>
        <w:t xml:space="preserve">for </w:t>
      </w:r>
      <w:r w:rsidR="00AF0BF3" w:rsidRPr="009B605C">
        <w:rPr>
          <w:rFonts w:ascii="Cambria" w:eastAsiaTheme="minorEastAsia" w:hAnsi="Cambria"/>
          <w:lang w:eastAsia="zh-CN"/>
        </w:rPr>
        <w:t>assessing broader global financial stability, which is the central focus of this study.</w:t>
      </w:r>
    </w:p>
    <w:p w14:paraId="1E58E519" w14:textId="13D7C864" w:rsidR="00F14D0A" w:rsidRPr="009B605C" w:rsidRDefault="00B404F9" w:rsidP="00E92651">
      <w:pPr>
        <w:spacing w:line="360" w:lineRule="auto"/>
        <w:ind w:firstLine="720"/>
        <w:jc w:val="both"/>
        <w:rPr>
          <w:rFonts w:ascii="Cambria" w:hAnsi="Cambria"/>
        </w:rPr>
      </w:pPr>
      <w:r w:rsidRPr="009B605C">
        <w:rPr>
          <w:rFonts w:ascii="Cambria" w:eastAsiaTheme="minorEastAsia" w:hAnsi="Cambria"/>
          <w:lang w:eastAsia="zh-CN"/>
        </w:rPr>
        <w:t>Our</w:t>
      </w:r>
      <w:r w:rsidR="008822AE" w:rsidRPr="009B605C">
        <w:rPr>
          <w:rFonts w:ascii="Cambria" w:eastAsiaTheme="minorEastAsia" w:hAnsi="Cambria"/>
          <w:lang w:eastAsia="zh-CN"/>
        </w:rPr>
        <w:t xml:space="preserve"> study</w:t>
      </w:r>
      <w:r w:rsidRPr="009B605C">
        <w:rPr>
          <w:rFonts w:ascii="Cambria" w:eastAsiaTheme="minorEastAsia" w:hAnsi="Cambria"/>
          <w:lang w:eastAsia="zh-CN"/>
        </w:rPr>
        <w:t xml:space="preserve"> </w:t>
      </w:r>
      <w:r w:rsidR="00374893" w:rsidRPr="009B605C">
        <w:rPr>
          <w:rFonts w:ascii="Cambria" w:eastAsiaTheme="minorEastAsia" w:hAnsi="Cambria"/>
          <w:lang w:eastAsia="zh-CN"/>
        </w:rPr>
        <w:t>contributes to the existing literature in the following ways</w:t>
      </w:r>
      <w:r w:rsidRPr="009B605C">
        <w:rPr>
          <w:rFonts w:ascii="Cambria" w:eastAsiaTheme="minorEastAsia" w:hAnsi="Cambria"/>
          <w:lang w:eastAsia="zh-CN"/>
        </w:rPr>
        <w:t>.</w:t>
      </w:r>
      <w:r w:rsidR="00D06492" w:rsidRPr="009B605C">
        <w:rPr>
          <w:rFonts w:ascii="Cambria" w:hAnsi="Cambria"/>
        </w:rPr>
        <w:t xml:space="preserve"> </w:t>
      </w:r>
      <w:r w:rsidR="00D06492" w:rsidRPr="009B605C">
        <w:rPr>
          <w:rFonts w:ascii="Cambria" w:eastAsiaTheme="minorEastAsia" w:hAnsi="Cambria"/>
          <w:lang w:eastAsia="zh-CN"/>
        </w:rPr>
        <w:t xml:space="preserve">First, </w:t>
      </w:r>
      <w:r w:rsidR="002C3E17" w:rsidRPr="009B605C">
        <w:rPr>
          <w:rFonts w:ascii="Cambria" w:eastAsiaTheme="minorEastAsia" w:hAnsi="Cambria"/>
          <w:lang w:eastAsia="zh-CN"/>
        </w:rPr>
        <w:t xml:space="preserve">past studies </w:t>
      </w:r>
      <w:r w:rsidR="00D06492" w:rsidRPr="009B605C">
        <w:rPr>
          <w:rFonts w:ascii="Cambria" w:eastAsiaTheme="minorEastAsia" w:hAnsi="Cambria"/>
          <w:lang w:eastAsia="zh-CN"/>
        </w:rPr>
        <w:t xml:space="preserve">in the safe-haven literature that examine cryptocurrencies' relationship with stocks typically focus on a single cryptocurrency, such as Bitcoin, or a small selection of top-market-cap assets. This approach provides asset-specific insights but lacks broader, </w:t>
      </w:r>
      <w:r w:rsidR="00D06492" w:rsidRPr="009B605C">
        <w:rPr>
          <w:rFonts w:ascii="Cambria" w:eastAsiaTheme="minorEastAsia" w:hAnsi="Cambria"/>
          <w:lang w:eastAsia="zh-CN"/>
        </w:rPr>
        <w:lastRenderedPageBreak/>
        <w:t>generalized evidence. Our study addresses this gap by constructing an innovative crypto index that includes 9,468 active and defunct cryptocurrencies, capturing the daily market fluctuations of all listed crypto assets.</w:t>
      </w:r>
      <w:r w:rsidR="009C221B" w:rsidRPr="009B605C">
        <w:rPr>
          <w:rFonts w:ascii="Cambria" w:eastAsiaTheme="minorEastAsia" w:hAnsi="Cambria"/>
          <w:lang w:eastAsia="zh-CN"/>
        </w:rPr>
        <w:t xml:space="preserve"> Second, our study contributes to the military finance literature by examining whether the Russia-Ukraine military conflict has affected the safe-haven properties of cryptocurrencies for stocks, and comparing these properties with those of gold to assess whether gold has lost its long-standing position as the leading safe haven during periods of economic instability. Third, most of these studies have primarily focused on major developed economies rather than emerging markets</w:t>
      </w:r>
      <w:r w:rsidR="0080546A" w:rsidRPr="009B605C">
        <w:rPr>
          <w:rFonts w:ascii="Cambria" w:eastAsiaTheme="minorEastAsia" w:hAnsi="Cambria"/>
          <w:lang w:eastAsia="zh-CN"/>
        </w:rPr>
        <w:t>, such as BRICS</w:t>
      </w:r>
      <w:r w:rsidR="009C221B" w:rsidRPr="009B605C">
        <w:rPr>
          <w:rFonts w:ascii="Cambria" w:eastAsiaTheme="minorEastAsia" w:hAnsi="Cambria"/>
          <w:lang w:eastAsia="zh-CN"/>
        </w:rPr>
        <w:t xml:space="preserve">. </w:t>
      </w:r>
      <w:r w:rsidR="0080546A" w:rsidRPr="009B605C">
        <w:rPr>
          <w:rFonts w:ascii="Cambria" w:eastAsiaTheme="minorEastAsia" w:hAnsi="Cambria"/>
          <w:lang w:eastAsia="zh-CN"/>
        </w:rPr>
        <w:t xml:space="preserve">In fact, </w:t>
      </w:r>
      <w:r w:rsidR="0080546A" w:rsidRPr="009B605C">
        <w:rPr>
          <w:rFonts w:ascii="Cambria" w:hAnsi="Cambria"/>
        </w:rPr>
        <w:t xml:space="preserve">BRICS countries together account for more than 40% of the global population and a significant portion of the world’s GDP. </w:t>
      </w:r>
      <w:r w:rsidR="0080546A" w:rsidRPr="009B605C">
        <w:rPr>
          <w:rFonts w:ascii="Cambria" w:eastAsiaTheme="minorEastAsia" w:hAnsi="Cambria"/>
          <w:lang w:eastAsia="zh-CN"/>
        </w:rPr>
        <w:t>As such, a</w:t>
      </w:r>
      <w:r w:rsidR="0080546A" w:rsidRPr="009B605C">
        <w:rPr>
          <w:rFonts w:ascii="Cambria" w:hAnsi="Cambria"/>
        </w:rPr>
        <w:t xml:space="preserve">ny shifts in their economic path </w:t>
      </w:r>
      <w:r w:rsidR="0080546A" w:rsidRPr="009B605C">
        <w:rPr>
          <w:rFonts w:ascii="Cambria" w:eastAsiaTheme="minorEastAsia" w:hAnsi="Cambria"/>
          <w:lang w:eastAsia="zh-CN"/>
        </w:rPr>
        <w:t xml:space="preserve">have major implications for trade, investment, and geopolitics, making it crucial for policymakers and investors to understand the factors influencing their development (Yu et al., 2024). </w:t>
      </w:r>
      <w:r w:rsidR="009C221B" w:rsidRPr="009B605C">
        <w:rPr>
          <w:rFonts w:ascii="Cambria" w:eastAsiaTheme="minorEastAsia" w:hAnsi="Cambria"/>
          <w:lang w:eastAsia="zh-CN"/>
        </w:rPr>
        <w:t xml:space="preserve">Therefore, our study offers new evidence on the impact of the Russia-Ukraine conflict on the leading emerging economies within the BRICS </w:t>
      </w:r>
      <w:r w:rsidR="0080546A" w:rsidRPr="009B605C">
        <w:rPr>
          <w:rFonts w:ascii="Cambria" w:eastAsiaTheme="minorEastAsia" w:hAnsi="Cambria"/>
          <w:lang w:eastAsia="zh-CN"/>
        </w:rPr>
        <w:t>group</w:t>
      </w:r>
      <w:r w:rsidR="009C221B" w:rsidRPr="009B605C">
        <w:rPr>
          <w:rFonts w:ascii="Cambria" w:eastAsiaTheme="minorEastAsia" w:hAnsi="Cambria"/>
          <w:lang w:eastAsia="zh-CN"/>
        </w:rPr>
        <w:t>, where some are directly involved in the conflict, such as Russia, while others are affected indirectly.</w:t>
      </w:r>
      <w:r w:rsidR="00F14D0A" w:rsidRPr="009B605C">
        <w:rPr>
          <w:rFonts w:ascii="Cambria" w:eastAsiaTheme="minorEastAsia" w:hAnsi="Cambria"/>
          <w:lang w:eastAsia="zh-CN"/>
        </w:rPr>
        <w:t xml:space="preserve"> </w:t>
      </w:r>
      <w:r w:rsidR="00F14D0A" w:rsidRPr="009B605C">
        <w:rPr>
          <w:rFonts w:ascii="Cambria" w:hAnsi="Cambria"/>
        </w:rPr>
        <w:t>Last but not least,</w:t>
      </w:r>
      <w:r w:rsidR="009B605C">
        <w:rPr>
          <w:rFonts w:ascii="Cambria" w:hAnsi="Cambria"/>
        </w:rPr>
        <w:t xml:space="preserve"> </w:t>
      </w:r>
      <w:r w:rsidR="00F26C86" w:rsidRPr="009B605C">
        <w:rPr>
          <w:rFonts w:ascii="Cambria" w:hAnsi="Cambria"/>
        </w:rPr>
        <w:t>the</w:t>
      </w:r>
      <w:r w:rsidR="00752827" w:rsidRPr="009B605C">
        <w:rPr>
          <w:rFonts w:ascii="Cambria" w:hAnsi="Cambria"/>
        </w:rPr>
        <w:t xml:space="preserve"> past studies in the literature discover that the relationship between stocks and potential safe haven assets may vary over time</w:t>
      </w:r>
      <w:r w:rsidR="00E618A8" w:rsidRPr="009B605C">
        <w:rPr>
          <w:rFonts w:ascii="Cambria" w:hAnsi="Cambria"/>
        </w:rPr>
        <w:t xml:space="preserve"> (</w:t>
      </w:r>
      <w:r w:rsidR="000745C2" w:rsidRPr="009B605C">
        <w:rPr>
          <w:rFonts w:ascii="Cambria" w:hAnsi="Cambria"/>
        </w:rPr>
        <w:t xml:space="preserve">Wen et al., 2022; </w:t>
      </w:r>
      <w:r w:rsidR="00E618A8" w:rsidRPr="009B605C">
        <w:rPr>
          <w:rFonts w:ascii="Cambria" w:hAnsi="Cambria"/>
        </w:rPr>
        <w:t>Zhao and Zhang, 2023; Liu and Yuan, 2024)</w:t>
      </w:r>
      <w:r w:rsidR="000745C2" w:rsidRPr="009B605C">
        <w:rPr>
          <w:rFonts w:ascii="Cambria" w:hAnsi="Cambria"/>
        </w:rPr>
        <w:t xml:space="preserve"> </w:t>
      </w:r>
      <w:r w:rsidR="00752827" w:rsidRPr="009B605C">
        <w:rPr>
          <w:rFonts w:ascii="Cambria" w:hAnsi="Cambria"/>
        </w:rPr>
        <w:t>and often change</w:t>
      </w:r>
      <w:r w:rsidR="00373535" w:rsidRPr="009B605C">
        <w:rPr>
          <w:rFonts w:ascii="Cambria" w:hAnsi="Cambria"/>
        </w:rPr>
        <w:t xml:space="preserve">s its </w:t>
      </w:r>
      <w:r w:rsidR="000745C2" w:rsidRPr="009B605C">
        <w:rPr>
          <w:rFonts w:ascii="Cambria" w:hAnsi="Cambria"/>
        </w:rPr>
        <w:t>strength</w:t>
      </w:r>
      <w:r w:rsidR="00373535" w:rsidRPr="009B605C">
        <w:rPr>
          <w:rFonts w:ascii="Cambria" w:hAnsi="Cambria"/>
        </w:rPr>
        <w:t xml:space="preserve"> during </w:t>
      </w:r>
      <w:r w:rsidR="00025A1A" w:rsidRPr="009B605C">
        <w:rPr>
          <w:rFonts w:ascii="Cambria" w:hAnsi="Cambria"/>
        </w:rPr>
        <w:t>extreme market events</w:t>
      </w:r>
      <w:r w:rsidR="00373535" w:rsidRPr="009B605C">
        <w:rPr>
          <w:rFonts w:ascii="Cambria" w:hAnsi="Cambria"/>
        </w:rPr>
        <w:t xml:space="preserve"> </w:t>
      </w:r>
      <w:r w:rsidR="001E0BE8" w:rsidRPr="009B605C">
        <w:rPr>
          <w:rFonts w:ascii="Cambria" w:hAnsi="Cambria"/>
        </w:rPr>
        <w:t>(</w:t>
      </w:r>
      <w:r w:rsidR="009C5F3D" w:rsidRPr="009B605C">
        <w:rPr>
          <w:rFonts w:ascii="Cambria" w:hAnsi="Cambria"/>
        </w:rPr>
        <w:t xml:space="preserve">Corbet et al., 2020; </w:t>
      </w:r>
      <w:r w:rsidR="00D17288" w:rsidRPr="009B605C">
        <w:rPr>
          <w:rFonts w:ascii="Cambria" w:hAnsi="Cambria"/>
        </w:rPr>
        <w:t xml:space="preserve">Billah et al., 2022; </w:t>
      </w:r>
      <w:r w:rsidR="001E0BE8" w:rsidRPr="009B605C">
        <w:rPr>
          <w:rFonts w:ascii="Cambria" w:hAnsi="Cambria"/>
        </w:rPr>
        <w:t>Kayani et al., 2024</w:t>
      </w:r>
      <w:r w:rsidR="009C5F3D" w:rsidRPr="009B605C">
        <w:rPr>
          <w:rFonts w:ascii="Cambria" w:hAnsi="Cambria"/>
        </w:rPr>
        <w:t>)</w:t>
      </w:r>
      <w:r w:rsidR="00025A1A" w:rsidRPr="009B605C">
        <w:rPr>
          <w:rFonts w:ascii="Cambria" w:hAnsi="Cambria"/>
        </w:rPr>
        <w:t>. To capture the</w:t>
      </w:r>
      <w:r w:rsidR="00013B42" w:rsidRPr="009B605C">
        <w:rPr>
          <w:rFonts w:ascii="Cambria" w:hAnsi="Cambria"/>
        </w:rPr>
        <w:t>se</w:t>
      </w:r>
      <w:r w:rsidR="00025A1A" w:rsidRPr="009B605C">
        <w:rPr>
          <w:rFonts w:ascii="Cambria" w:hAnsi="Cambria"/>
        </w:rPr>
        <w:t xml:space="preserve"> </w:t>
      </w:r>
      <w:r w:rsidR="00E92651" w:rsidRPr="009B605C">
        <w:rPr>
          <w:rFonts w:ascii="Cambria" w:hAnsi="Cambria"/>
        </w:rPr>
        <w:t>dynamics</w:t>
      </w:r>
      <w:r w:rsidR="00013B42" w:rsidRPr="009B605C">
        <w:rPr>
          <w:rFonts w:ascii="Cambria" w:hAnsi="Cambria"/>
        </w:rPr>
        <w:t xml:space="preserve"> </w:t>
      </w:r>
      <w:r w:rsidR="00E92651" w:rsidRPr="009B605C">
        <w:rPr>
          <w:rFonts w:ascii="Cambria" w:hAnsi="Cambria"/>
        </w:rPr>
        <w:t>in the relationships</w:t>
      </w:r>
      <w:r w:rsidR="00025A1A" w:rsidRPr="009B605C">
        <w:rPr>
          <w:rFonts w:ascii="Cambria" w:hAnsi="Cambria"/>
        </w:rPr>
        <w:t xml:space="preserve"> </w:t>
      </w:r>
      <w:r w:rsidR="00E92651" w:rsidRPr="009B605C">
        <w:rPr>
          <w:rFonts w:ascii="Cambria" w:hAnsi="Cambria"/>
        </w:rPr>
        <w:t>among gold, cryptocurrencies, and BRICS stock markets,</w:t>
      </w:r>
      <w:r w:rsidR="00025A1A" w:rsidRPr="009B605C">
        <w:rPr>
          <w:rFonts w:ascii="Cambria" w:hAnsi="Cambria"/>
        </w:rPr>
        <w:t xml:space="preserve"> we </w:t>
      </w:r>
      <w:r w:rsidR="00E92651" w:rsidRPr="009B605C">
        <w:rPr>
          <w:rFonts w:ascii="Cambria" w:hAnsi="Cambria"/>
        </w:rPr>
        <w:t xml:space="preserve">employ quantile-connectedness and time-varying parameter robust Granger causality (TVP-GC) methods. </w:t>
      </w:r>
      <w:bookmarkStart w:id="0" w:name="_Hlk196059575"/>
      <w:r w:rsidR="00E92651" w:rsidRPr="009B605C">
        <w:rPr>
          <w:rFonts w:ascii="Cambria" w:hAnsi="Cambria"/>
        </w:rPr>
        <w:t xml:space="preserve">These approaches help </w:t>
      </w:r>
      <w:r w:rsidR="00913C1E" w:rsidRPr="009B605C">
        <w:rPr>
          <w:rFonts w:ascii="Cambria" w:hAnsi="Cambria"/>
        </w:rPr>
        <w:t xml:space="preserve">us </w:t>
      </w:r>
      <w:r w:rsidR="00F14D0A" w:rsidRPr="009B605C">
        <w:rPr>
          <w:rFonts w:ascii="Cambria" w:hAnsi="Cambria"/>
        </w:rPr>
        <w:t>identify</w:t>
      </w:r>
      <w:r w:rsidR="00E92651" w:rsidRPr="009B605C">
        <w:rPr>
          <w:rFonts w:ascii="Cambria" w:hAnsi="Cambria"/>
        </w:rPr>
        <w:t>ing</w:t>
      </w:r>
      <w:r w:rsidR="00F14D0A" w:rsidRPr="009B605C">
        <w:rPr>
          <w:rFonts w:ascii="Cambria" w:hAnsi="Cambria"/>
        </w:rPr>
        <w:t xml:space="preserve"> the periods when gold and cryptocurrencies act as safe havens for BRICS stocks</w:t>
      </w:r>
      <w:r w:rsidR="00E92651" w:rsidRPr="009B605C">
        <w:rPr>
          <w:rFonts w:ascii="Cambria" w:hAnsi="Cambria"/>
        </w:rPr>
        <w:t xml:space="preserve">, such as when reduced connectivity or no causality from the </w:t>
      </w:r>
      <w:r w:rsidR="00727445" w:rsidRPr="009B605C">
        <w:rPr>
          <w:rFonts w:ascii="Cambria" w:hAnsi="Cambria"/>
        </w:rPr>
        <w:t xml:space="preserve">BRICS markets to the </w:t>
      </w:r>
      <w:r w:rsidR="00E92651" w:rsidRPr="009B605C">
        <w:rPr>
          <w:rFonts w:ascii="Cambria" w:hAnsi="Cambria"/>
        </w:rPr>
        <w:t xml:space="preserve">potential safe haven asset is observed. </w:t>
      </w:r>
      <w:bookmarkStart w:id="1" w:name="_Hlk196055692"/>
      <w:r w:rsidR="00E92651" w:rsidRPr="009B605C">
        <w:rPr>
          <w:rFonts w:ascii="Cambria" w:hAnsi="Cambria"/>
        </w:rPr>
        <w:t>Additionally, the</w:t>
      </w:r>
      <w:r w:rsidR="00AA1B35" w:rsidRPr="009B605C">
        <w:rPr>
          <w:rFonts w:ascii="Cambria" w:hAnsi="Cambria"/>
        </w:rPr>
        <w:t xml:space="preserve"> time-varying causality approach </w:t>
      </w:r>
      <w:r w:rsidR="00E92651" w:rsidRPr="009B605C">
        <w:rPr>
          <w:rFonts w:ascii="Cambria" w:hAnsi="Cambria"/>
        </w:rPr>
        <w:t>allow</w:t>
      </w:r>
      <w:r w:rsidR="00AA1B35" w:rsidRPr="009B605C">
        <w:rPr>
          <w:rFonts w:ascii="Cambria" w:hAnsi="Cambria"/>
        </w:rPr>
        <w:t>s</w:t>
      </w:r>
      <w:r w:rsidR="00E92651" w:rsidRPr="009B605C">
        <w:rPr>
          <w:rFonts w:ascii="Cambria" w:hAnsi="Cambria"/>
        </w:rPr>
        <w:t xml:space="preserve"> </w:t>
      </w:r>
      <w:r w:rsidR="00913C1E" w:rsidRPr="009B605C">
        <w:rPr>
          <w:rFonts w:ascii="Cambria" w:hAnsi="Cambria"/>
        </w:rPr>
        <w:t>determin</w:t>
      </w:r>
      <w:r w:rsidR="00AA1B35" w:rsidRPr="009B605C">
        <w:rPr>
          <w:rFonts w:ascii="Cambria" w:hAnsi="Cambria"/>
        </w:rPr>
        <w:t>ing</w:t>
      </w:r>
      <w:r w:rsidR="00F14D0A" w:rsidRPr="009B605C">
        <w:rPr>
          <w:rFonts w:ascii="Cambria" w:hAnsi="Cambria"/>
        </w:rPr>
        <w:t xml:space="preserve"> the persistence of the</w:t>
      </w:r>
      <w:r w:rsidR="00AA1B35" w:rsidRPr="009B605C">
        <w:rPr>
          <w:rFonts w:ascii="Cambria" w:hAnsi="Cambria"/>
        </w:rPr>
        <w:t xml:space="preserve"> two </w:t>
      </w:r>
      <w:r w:rsidR="00F14D0A" w:rsidRPr="009B605C">
        <w:rPr>
          <w:rFonts w:ascii="Cambria" w:hAnsi="Cambria"/>
        </w:rPr>
        <w:t xml:space="preserve">assets in </w:t>
      </w:r>
      <w:r w:rsidR="00AA1B35" w:rsidRPr="009B605C">
        <w:rPr>
          <w:rFonts w:ascii="Cambria" w:hAnsi="Cambria"/>
        </w:rPr>
        <w:t xml:space="preserve">their </w:t>
      </w:r>
      <w:r w:rsidR="00F14D0A" w:rsidRPr="009B605C">
        <w:rPr>
          <w:rFonts w:ascii="Cambria" w:hAnsi="Cambria"/>
        </w:rPr>
        <w:t xml:space="preserve">role </w:t>
      </w:r>
      <w:r w:rsidR="00AA1B35" w:rsidRPr="009B605C">
        <w:rPr>
          <w:rFonts w:ascii="Cambria" w:hAnsi="Cambria"/>
        </w:rPr>
        <w:t xml:space="preserve">of safe havens, how this role </w:t>
      </w:r>
      <w:r w:rsidR="00F14D0A" w:rsidRPr="009B605C">
        <w:rPr>
          <w:rFonts w:ascii="Cambria" w:hAnsi="Cambria"/>
        </w:rPr>
        <w:t xml:space="preserve">varies across different BRICS markets </w:t>
      </w:r>
      <w:r w:rsidR="00913C1E" w:rsidRPr="009B605C">
        <w:rPr>
          <w:rFonts w:ascii="Cambria" w:hAnsi="Cambria"/>
        </w:rPr>
        <w:t xml:space="preserve">and the </w:t>
      </w:r>
      <w:r w:rsidR="00F14D0A" w:rsidRPr="009B605C">
        <w:rPr>
          <w:rFonts w:ascii="Cambria" w:hAnsi="Cambria"/>
        </w:rPr>
        <w:t xml:space="preserve">impact </w:t>
      </w:r>
      <w:r w:rsidR="00913C1E" w:rsidRPr="009B605C">
        <w:rPr>
          <w:rFonts w:ascii="Cambria" w:hAnsi="Cambria"/>
        </w:rPr>
        <w:t xml:space="preserve">of </w:t>
      </w:r>
      <w:r w:rsidR="00F14D0A" w:rsidRPr="009B605C">
        <w:rPr>
          <w:rFonts w:ascii="Cambria" w:hAnsi="Cambria"/>
        </w:rPr>
        <w:t>the military conflict</w:t>
      </w:r>
      <w:r w:rsidR="00913C1E" w:rsidRPr="009B605C">
        <w:rPr>
          <w:rFonts w:ascii="Cambria" w:hAnsi="Cambria"/>
        </w:rPr>
        <w:t xml:space="preserve"> on it</w:t>
      </w:r>
      <w:r w:rsidR="00F14D0A" w:rsidRPr="009B605C">
        <w:rPr>
          <w:rFonts w:ascii="Cambria" w:hAnsi="Cambria"/>
        </w:rPr>
        <w:t>.</w:t>
      </w:r>
      <w:bookmarkEnd w:id="1"/>
    </w:p>
    <w:bookmarkEnd w:id="0"/>
    <w:p w14:paraId="651DB3B9" w14:textId="2E4707BE" w:rsidR="00457435" w:rsidRPr="009B605C" w:rsidRDefault="000D70C0" w:rsidP="0087752F">
      <w:pPr>
        <w:spacing w:line="360" w:lineRule="auto"/>
        <w:ind w:firstLine="720"/>
        <w:jc w:val="both"/>
        <w:rPr>
          <w:rFonts w:ascii="Cambria" w:hAnsi="Cambria"/>
        </w:rPr>
      </w:pPr>
      <w:r w:rsidRPr="009B605C">
        <w:rPr>
          <w:rFonts w:ascii="Cambria" w:hAnsi="Cambria"/>
        </w:rPr>
        <w:t xml:space="preserve">To further support our findings, we examine potential variations in the safe haven properties of cryptocurrency markets based on crypto asset capitalizations, specifically focusing on small-cap and large-cap cryptocurrencies. </w:t>
      </w:r>
      <w:r w:rsidR="00051658" w:rsidRPr="009B605C">
        <w:rPr>
          <w:rFonts w:ascii="Cambria" w:hAnsi="Cambria"/>
        </w:rPr>
        <w:t xml:space="preserve">Our research seeks to offer new insights into whether traditional finance theories, which are mainly </w:t>
      </w:r>
      <w:r w:rsidRPr="009B605C">
        <w:rPr>
          <w:rFonts w:ascii="Cambria" w:hAnsi="Cambria"/>
        </w:rPr>
        <w:t>based</w:t>
      </w:r>
      <w:r w:rsidR="00051658" w:rsidRPr="009B605C">
        <w:rPr>
          <w:rFonts w:ascii="Cambria" w:hAnsi="Cambria"/>
        </w:rPr>
        <w:t xml:space="preserve"> on centralized markets like stocks, also hold true for decentralized markets such as digital currencies.</w:t>
      </w:r>
    </w:p>
    <w:p w14:paraId="67F994B8" w14:textId="1859F347" w:rsidR="00CE4C7B" w:rsidRPr="009B605C" w:rsidRDefault="000D70C0" w:rsidP="0087752F">
      <w:pPr>
        <w:spacing w:line="360" w:lineRule="auto"/>
        <w:ind w:firstLine="720"/>
        <w:jc w:val="both"/>
        <w:rPr>
          <w:rFonts w:ascii="Cambria" w:hAnsi="Cambria"/>
        </w:rPr>
      </w:pPr>
      <w:r w:rsidRPr="009B605C">
        <w:rPr>
          <w:rFonts w:ascii="Cambria" w:hAnsi="Cambria"/>
        </w:rPr>
        <w:lastRenderedPageBreak/>
        <w:t>Our paper contributes to the existing literature on the safe haven behaviour of gold and cryptocurrency markets</w:t>
      </w:r>
      <w:r w:rsidR="00312762" w:rsidRPr="009B605C">
        <w:rPr>
          <w:rFonts w:ascii="Cambria" w:hAnsi="Cambria"/>
        </w:rPr>
        <w:t>, as a whole,</w:t>
      </w:r>
      <w:r w:rsidRPr="009B605C">
        <w:rPr>
          <w:rFonts w:ascii="Cambria" w:hAnsi="Cambria"/>
        </w:rPr>
        <w:t xml:space="preserve"> during periods of conflict-driven economic uncertainty. This is crucial for investors, portfolio managers, and financial advisors looking to hedge risks during market turmoil, as well as for policymakers striving to reduce the adverse effects of such events on the economy, particularly in large emerging markets.</w:t>
      </w:r>
    </w:p>
    <w:p w14:paraId="1E2D866B" w14:textId="7153EF5D" w:rsidR="001E1DAB" w:rsidRPr="009B605C" w:rsidRDefault="00F712E5" w:rsidP="0087752F">
      <w:pPr>
        <w:spacing w:line="360" w:lineRule="auto"/>
        <w:ind w:firstLine="720"/>
        <w:jc w:val="both"/>
        <w:rPr>
          <w:rFonts w:ascii="Cambria" w:eastAsiaTheme="minorEastAsia" w:hAnsi="Cambria"/>
          <w:lang w:eastAsia="zh-CN"/>
        </w:rPr>
      </w:pPr>
      <w:r w:rsidRPr="009B605C">
        <w:rPr>
          <w:rFonts w:ascii="Cambria" w:eastAsiaTheme="minorEastAsia" w:hAnsi="Cambria"/>
          <w:lang w:eastAsia="zh-CN"/>
        </w:rPr>
        <w:t xml:space="preserve">The remainder of the paper is </w:t>
      </w:r>
      <w:r w:rsidR="001E1DAB" w:rsidRPr="009B605C">
        <w:rPr>
          <w:rFonts w:ascii="Cambria" w:eastAsiaTheme="minorEastAsia" w:hAnsi="Cambria"/>
          <w:lang w:eastAsia="zh-CN"/>
        </w:rPr>
        <w:t xml:space="preserve">organized </w:t>
      </w:r>
      <w:r w:rsidRPr="009B605C">
        <w:rPr>
          <w:rFonts w:ascii="Cambria" w:eastAsiaTheme="minorEastAsia" w:hAnsi="Cambria"/>
          <w:lang w:eastAsia="zh-CN"/>
        </w:rPr>
        <w:t>as follows</w:t>
      </w:r>
      <w:r w:rsidR="001E1DAB" w:rsidRPr="009B605C">
        <w:rPr>
          <w:rFonts w:ascii="Cambria" w:eastAsiaTheme="minorEastAsia" w:hAnsi="Cambria"/>
          <w:lang w:eastAsia="zh-CN"/>
        </w:rPr>
        <w:t>. S</w:t>
      </w:r>
      <w:r w:rsidRPr="009B605C">
        <w:rPr>
          <w:rFonts w:ascii="Cambria" w:eastAsiaTheme="minorEastAsia" w:hAnsi="Cambria"/>
          <w:lang w:eastAsia="zh-CN"/>
        </w:rPr>
        <w:t xml:space="preserve">ection 2 </w:t>
      </w:r>
      <w:r w:rsidR="00F40F0F" w:rsidRPr="009B605C">
        <w:rPr>
          <w:rFonts w:ascii="Cambria" w:eastAsiaTheme="minorEastAsia" w:hAnsi="Cambria"/>
          <w:lang w:eastAsia="zh-CN"/>
        </w:rPr>
        <w:t xml:space="preserve">introduces </w:t>
      </w:r>
      <w:r w:rsidR="001E1DAB" w:rsidRPr="009B605C">
        <w:rPr>
          <w:rFonts w:ascii="Cambria" w:eastAsiaTheme="minorEastAsia" w:hAnsi="Cambria"/>
          <w:lang w:eastAsia="zh-CN"/>
        </w:rPr>
        <w:t xml:space="preserve">the research methodology and </w:t>
      </w:r>
      <w:r w:rsidR="00F40F0F" w:rsidRPr="009B605C">
        <w:rPr>
          <w:rFonts w:ascii="Cambria" w:eastAsiaTheme="minorEastAsia" w:hAnsi="Cambria"/>
          <w:lang w:eastAsia="zh-CN"/>
        </w:rPr>
        <w:t xml:space="preserve">outlines </w:t>
      </w:r>
      <w:r w:rsidR="001E1DAB" w:rsidRPr="009B605C">
        <w:rPr>
          <w:rFonts w:ascii="Cambria" w:eastAsiaTheme="minorEastAsia" w:hAnsi="Cambria"/>
          <w:lang w:eastAsia="zh-CN"/>
        </w:rPr>
        <w:t xml:space="preserve">the construction of the Crypto index. Section 3 describes the data and </w:t>
      </w:r>
      <w:r w:rsidR="00F40F0F" w:rsidRPr="009B605C">
        <w:rPr>
          <w:rFonts w:ascii="Cambria" w:eastAsiaTheme="minorEastAsia" w:hAnsi="Cambria"/>
          <w:lang w:eastAsia="zh-CN"/>
        </w:rPr>
        <w:t>conducts</w:t>
      </w:r>
      <w:r w:rsidR="001E1DAB" w:rsidRPr="009B605C">
        <w:rPr>
          <w:rFonts w:ascii="Cambria" w:eastAsiaTheme="minorEastAsia" w:hAnsi="Cambria"/>
          <w:lang w:eastAsia="zh-CN"/>
        </w:rPr>
        <w:t xml:space="preserve"> a preliminary analysis. Section 4 discusses </w:t>
      </w:r>
      <w:r w:rsidR="00F40F0F" w:rsidRPr="009B605C">
        <w:rPr>
          <w:rFonts w:ascii="Cambria" w:eastAsiaTheme="minorEastAsia" w:hAnsi="Cambria"/>
          <w:lang w:eastAsia="zh-CN"/>
        </w:rPr>
        <w:t>the empirical results</w:t>
      </w:r>
      <w:r w:rsidR="001E1DAB" w:rsidRPr="009B605C">
        <w:rPr>
          <w:rFonts w:ascii="Cambria" w:eastAsiaTheme="minorEastAsia" w:hAnsi="Cambria"/>
          <w:lang w:eastAsia="zh-CN"/>
        </w:rPr>
        <w:t>. Section 5 provides robustness check. Section 6 concludes the paper.</w:t>
      </w:r>
    </w:p>
    <w:p w14:paraId="41A10DCB" w14:textId="77777777" w:rsidR="0022067E" w:rsidRPr="009B605C" w:rsidRDefault="0022067E" w:rsidP="0087752F">
      <w:pPr>
        <w:rPr>
          <w:rFonts w:ascii="Cambria" w:hAnsi="Cambria"/>
        </w:rPr>
      </w:pPr>
    </w:p>
    <w:p w14:paraId="340874A4" w14:textId="1220A8D2" w:rsidR="00EB759D" w:rsidRPr="009B605C" w:rsidRDefault="000C667A" w:rsidP="0087752F">
      <w:pPr>
        <w:pStyle w:val="ListParagraph"/>
        <w:spacing w:after="120" w:line="360" w:lineRule="auto"/>
        <w:ind w:left="714" w:hanging="357"/>
        <w:jc w:val="both"/>
        <w:rPr>
          <w:rFonts w:ascii="Cambria" w:hAnsi="Cambria"/>
          <w:b/>
          <w:sz w:val="28"/>
          <w:szCs w:val="28"/>
        </w:rPr>
      </w:pPr>
      <w:r w:rsidRPr="009B605C">
        <w:rPr>
          <w:rFonts w:ascii="Cambria" w:hAnsi="Cambria"/>
          <w:b/>
          <w:sz w:val="28"/>
          <w:szCs w:val="28"/>
        </w:rPr>
        <w:t>2</w:t>
      </w:r>
      <w:r w:rsidR="00EB759D" w:rsidRPr="009B605C">
        <w:rPr>
          <w:rFonts w:ascii="Cambria" w:hAnsi="Cambria"/>
          <w:b/>
          <w:sz w:val="28"/>
          <w:szCs w:val="28"/>
        </w:rPr>
        <w:t>. Methodology</w:t>
      </w:r>
    </w:p>
    <w:p w14:paraId="0E8E8346" w14:textId="3AE4599D" w:rsidR="008974AF" w:rsidRPr="009B605C" w:rsidRDefault="000C667A" w:rsidP="0087752F">
      <w:pPr>
        <w:spacing w:before="160" w:after="40" w:line="360" w:lineRule="auto"/>
        <w:rPr>
          <w:rFonts w:ascii="Cambria" w:hAnsi="Cambria"/>
          <w:b/>
          <w:bCs/>
        </w:rPr>
      </w:pPr>
      <w:r w:rsidRPr="009B605C">
        <w:rPr>
          <w:rFonts w:ascii="Cambria" w:hAnsi="Cambria"/>
          <w:b/>
          <w:bCs/>
        </w:rPr>
        <w:t>2</w:t>
      </w:r>
      <w:r w:rsidR="00EB759D" w:rsidRPr="009B605C">
        <w:rPr>
          <w:rFonts w:ascii="Cambria" w:hAnsi="Cambria"/>
          <w:b/>
          <w:bCs/>
        </w:rPr>
        <w:t>.1.</w:t>
      </w:r>
      <w:r w:rsidR="00017175" w:rsidRPr="009B605C">
        <w:rPr>
          <w:rFonts w:ascii="Cambria" w:hAnsi="Cambria"/>
          <w:b/>
          <w:bCs/>
        </w:rPr>
        <w:t xml:space="preserve"> </w:t>
      </w:r>
      <w:r w:rsidR="00B1376B" w:rsidRPr="009B605C">
        <w:rPr>
          <w:rFonts w:ascii="Cambria" w:hAnsi="Cambria"/>
          <w:b/>
          <w:bCs/>
        </w:rPr>
        <w:t>Quantile connectedness</w:t>
      </w:r>
    </w:p>
    <w:p w14:paraId="20328197" w14:textId="15254507" w:rsidR="0044303F" w:rsidRPr="009B605C" w:rsidRDefault="00C938E4" w:rsidP="0087752F">
      <w:pPr>
        <w:pStyle w:val="NormalWeb"/>
        <w:spacing w:before="0" w:beforeAutospacing="0" w:after="0" w:afterAutospacing="0" w:line="360" w:lineRule="auto"/>
        <w:jc w:val="both"/>
        <w:rPr>
          <w:rFonts w:ascii="Cambria" w:hAnsi="Cambria"/>
          <w:highlight w:val="yellow"/>
        </w:rPr>
      </w:pPr>
      <w:r w:rsidRPr="009B605C">
        <w:rPr>
          <w:rFonts w:ascii="Cambria" w:eastAsiaTheme="minorHAnsi" w:hAnsi="Cambria"/>
          <w:kern w:val="2"/>
          <w:lang w:eastAsia="en-US"/>
        </w:rPr>
        <w:t xml:space="preserve">This </w:t>
      </w:r>
      <w:r w:rsidR="008974AF" w:rsidRPr="009B605C">
        <w:rPr>
          <w:rFonts w:ascii="Cambria" w:eastAsiaTheme="minorHAnsi" w:hAnsi="Cambria"/>
          <w:kern w:val="2"/>
          <w:lang w:eastAsia="en-US"/>
        </w:rPr>
        <w:t xml:space="preserve">study </w:t>
      </w:r>
      <w:r w:rsidR="00F07023" w:rsidRPr="009B605C">
        <w:rPr>
          <w:rFonts w:ascii="Cambria" w:eastAsiaTheme="minorHAnsi" w:hAnsi="Cambria"/>
          <w:kern w:val="2"/>
          <w:lang w:eastAsia="en-US"/>
        </w:rPr>
        <w:t xml:space="preserve">adopts the quantile connectedness approach of </w:t>
      </w:r>
      <w:r w:rsidR="00F07023" w:rsidRPr="009B605C">
        <w:rPr>
          <w:rFonts w:ascii="Cambria" w:hAnsi="Cambria"/>
        </w:rPr>
        <w:t xml:space="preserve">Ando et al. (2022) to estimate </w:t>
      </w:r>
      <w:r w:rsidR="008974AF" w:rsidRPr="009B605C">
        <w:rPr>
          <w:rFonts w:ascii="Cambria" w:eastAsiaTheme="minorHAnsi" w:hAnsi="Cambria"/>
          <w:kern w:val="2"/>
          <w:lang w:eastAsia="en-US"/>
        </w:rPr>
        <w:t xml:space="preserve">the </w:t>
      </w:r>
      <w:r w:rsidR="00415498" w:rsidRPr="009B605C">
        <w:rPr>
          <w:rFonts w:ascii="Cambria" w:eastAsiaTheme="minorHAnsi" w:hAnsi="Cambria"/>
          <w:kern w:val="2"/>
          <w:lang w:eastAsia="en-US"/>
        </w:rPr>
        <w:t xml:space="preserve">return </w:t>
      </w:r>
      <w:r w:rsidR="008974AF" w:rsidRPr="009B605C">
        <w:rPr>
          <w:rFonts w:ascii="Cambria" w:eastAsiaTheme="minorHAnsi" w:hAnsi="Cambria"/>
          <w:kern w:val="2"/>
          <w:lang w:eastAsia="en-US"/>
        </w:rPr>
        <w:t xml:space="preserve">spillovers between stocks, gold and cryptocurrency markets </w:t>
      </w:r>
      <w:r w:rsidR="008974AF" w:rsidRPr="009B605C">
        <w:rPr>
          <w:rFonts w:ascii="Cambria" w:hAnsi="Cambria"/>
        </w:rPr>
        <w:t>across different quantiles.</w:t>
      </w:r>
      <w:r w:rsidRPr="009B605C">
        <w:rPr>
          <w:rFonts w:ascii="Cambria" w:hAnsi="Cambria"/>
        </w:rPr>
        <w:t xml:space="preserve"> </w:t>
      </w:r>
      <w:r w:rsidR="00D638CE" w:rsidRPr="009B605C">
        <w:rPr>
          <w:rFonts w:ascii="Cambria" w:hAnsi="Cambria"/>
        </w:rPr>
        <w:t>This method extends Diebold and Yilmaz (2012, 2014)</w:t>
      </w:r>
      <w:r w:rsidR="005244BD" w:rsidRPr="009B605C">
        <w:rPr>
          <w:rFonts w:ascii="Cambria" w:hAnsi="Cambria"/>
        </w:rPr>
        <w:t>,</w:t>
      </w:r>
      <w:r w:rsidR="00D638CE" w:rsidRPr="009B605C">
        <w:rPr>
          <w:rFonts w:ascii="Cambria" w:hAnsi="Cambria"/>
        </w:rPr>
        <w:t xml:space="preserve"> by integrating the quantile regression technique of </w:t>
      </w:r>
      <w:proofErr w:type="spellStart"/>
      <w:r w:rsidR="00D638CE" w:rsidRPr="009B605C">
        <w:rPr>
          <w:rFonts w:ascii="Cambria" w:hAnsi="Cambria"/>
        </w:rPr>
        <w:t>Koenker</w:t>
      </w:r>
      <w:proofErr w:type="spellEnd"/>
      <w:r w:rsidR="00D638CE" w:rsidRPr="009B605C">
        <w:rPr>
          <w:rFonts w:ascii="Cambria" w:hAnsi="Cambria"/>
        </w:rPr>
        <w:t xml:space="preserve"> and Xiao (2006), enabling us to capture connectedness dynamics under both normal and extreme market conditions. </w:t>
      </w:r>
      <w:r w:rsidR="003D536D" w:rsidRPr="009B605C">
        <w:rPr>
          <w:rFonts w:ascii="Cambria" w:hAnsi="Cambria"/>
        </w:rPr>
        <w:t xml:space="preserve">In fact, </w:t>
      </w:r>
      <w:r w:rsidR="00681BBD" w:rsidRPr="009B605C">
        <w:rPr>
          <w:rFonts w:ascii="Cambria" w:hAnsi="Cambria"/>
        </w:rPr>
        <w:t>p</w:t>
      </w:r>
      <w:r w:rsidR="003D536D" w:rsidRPr="009B605C">
        <w:rPr>
          <w:rFonts w:ascii="Cambria" w:hAnsi="Cambria"/>
        </w:rPr>
        <w:t>ast studies determine an increased dependence between BRIC</w:t>
      </w:r>
      <w:r w:rsidR="001E27BC" w:rsidRPr="009B605C">
        <w:rPr>
          <w:rFonts w:ascii="Cambria" w:hAnsi="Cambria"/>
        </w:rPr>
        <w:t>S</w:t>
      </w:r>
      <w:r w:rsidR="003D536D" w:rsidRPr="009B605C">
        <w:rPr>
          <w:rFonts w:ascii="Cambria" w:hAnsi="Cambria"/>
        </w:rPr>
        <w:t xml:space="preserve"> stocks </w:t>
      </w:r>
      <w:r w:rsidR="001E27BC" w:rsidRPr="009B605C">
        <w:rPr>
          <w:rFonts w:ascii="Cambria" w:hAnsi="Cambria"/>
        </w:rPr>
        <w:t>with</w:t>
      </w:r>
      <w:r w:rsidR="003D536D" w:rsidRPr="009B605C">
        <w:rPr>
          <w:rFonts w:ascii="Cambria" w:hAnsi="Cambria"/>
        </w:rPr>
        <w:t xml:space="preserve"> </w:t>
      </w:r>
      <w:r w:rsidR="001E27BC" w:rsidRPr="009B605C">
        <w:rPr>
          <w:rFonts w:ascii="Cambria" w:hAnsi="Cambria"/>
        </w:rPr>
        <w:t xml:space="preserve">gold (see, </w:t>
      </w:r>
      <w:r w:rsidR="00F31C7C" w:rsidRPr="009B605C">
        <w:rPr>
          <w:rFonts w:ascii="Cambria" w:hAnsi="Cambria"/>
        </w:rPr>
        <w:t>Patra and Panda, 2021</w:t>
      </w:r>
      <w:r w:rsidR="001E27BC" w:rsidRPr="009B605C">
        <w:rPr>
          <w:rFonts w:ascii="Cambria" w:hAnsi="Cambria"/>
        </w:rPr>
        <w:t xml:space="preserve">; </w:t>
      </w:r>
      <w:r w:rsidR="00F31C7C" w:rsidRPr="009B605C">
        <w:rPr>
          <w:rFonts w:ascii="Cambria" w:hAnsi="Cambria"/>
        </w:rPr>
        <w:t>Chen et al., 2022</w:t>
      </w:r>
      <w:r w:rsidR="007E3C18" w:rsidRPr="009B605C">
        <w:rPr>
          <w:rFonts w:ascii="Cambria" w:hAnsi="Cambria"/>
        </w:rPr>
        <w:t>; Abid et al., 2023</w:t>
      </w:r>
      <w:r w:rsidR="00F31C7C" w:rsidRPr="009B605C">
        <w:rPr>
          <w:rFonts w:ascii="Cambria" w:hAnsi="Cambria"/>
        </w:rPr>
        <w:t xml:space="preserve">) and </w:t>
      </w:r>
      <w:r w:rsidR="00681BBD" w:rsidRPr="009B605C">
        <w:rPr>
          <w:rFonts w:ascii="Cambria" w:hAnsi="Cambria"/>
        </w:rPr>
        <w:t>cryptocurrencies</w:t>
      </w:r>
      <w:r w:rsidR="00F31C7C" w:rsidRPr="009B605C">
        <w:rPr>
          <w:rFonts w:ascii="Cambria" w:hAnsi="Cambria"/>
        </w:rPr>
        <w:t xml:space="preserve"> (</w:t>
      </w:r>
      <w:r w:rsidR="00681BBD" w:rsidRPr="009B605C">
        <w:rPr>
          <w:rFonts w:ascii="Cambria" w:hAnsi="Cambria"/>
        </w:rPr>
        <w:t xml:space="preserve">Shahzad et al., 2022; </w:t>
      </w:r>
      <w:proofErr w:type="spellStart"/>
      <w:r w:rsidR="007E3C18" w:rsidRPr="009B605C">
        <w:rPr>
          <w:rFonts w:ascii="Cambria" w:hAnsi="Cambria"/>
        </w:rPr>
        <w:t>BenSaïda</w:t>
      </w:r>
      <w:proofErr w:type="spellEnd"/>
      <w:r w:rsidR="007E3C18" w:rsidRPr="009B605C">
        <w:rPr>
          <w:rFonts w:ascii="Cambria" w:hAnsi="Cambria"/>
        </w:rPr>
        <w:t xml:space="preserve">, A., 2023; </w:t>
      </w:r>
      <w:r w:rsidR="00F31C7C" w:rsidRPr="009B605C">
        <w:rPr>
          <w:rFonts w:ascii="Cambria" w:hAnsi="Cambria"/>
        </w:rPr>
        <w:t>Khalfaoui et al., 2023</w:t>
      </w:r>
      <w:r w:rsidR="00FF60B5" w:rsidRPr="009B605C">
        <w:rPr>
          <w:rFonts w:ascii="Cambria" w:hAnsi="Cambria"/>
        </w:rPr>
        <w:t>a</w:t>
      </w:r>
      <w:r w:rsidR="00F31C7C" w:rsidRPr="009B605C">
        <w:rPr>
          <w:rFonts w:ascii="Cambria" w:hAnsi="Cambria"/>
        </w:rPr>
        <w:t xml:space="preserve">; </w:t>
      </w:r>
      <w:r w:rsidR="00681BBD" w:rsidRPr="009B605C">
        <w:rPr>
          <w:rFonts w:ascii="Cambria" w:hAnsi="Cambria"/>
        </w:rPr>
        <w:t>Ali et al., 2024</w:t>
      </w:r>
      <w:r w:rsidR="00723A8B" w:rsidRPr="009B605C">
        <w:rPr>
          <w:rFonts w:ascii="Cambria" w:hAnsi="Cambria"/>
        </w:rPr>
        <w:t>; Xie and Cao, 2024</w:t>
      </w:r>
      <w:r w:rsidR="00681BBD" w:rsidRPr="009B605C">
        <w:rPr>
          <w:rFonts w:ascii="Cambria" w:hAnsi="Cambria"/>
        </w:rPr>
        <w:t>)</w:t>
      </w:r>
      <w:r w:rsidR="00F07023" w:rsidRPr="009B605C">
        <w:rPr>
          <w:rFonts w:ascii="Cambria" w:hAnsi="Cambria"/>
        </w:rPr>
        <w:t xml:space="preserve"> </w:t>
      </w:r>
      <w:r w:rsidR="00681BBD" w:rsidRPr="009B605C">
        <w:rPr>
          <w:rFonts w:ascii="Cambria" w:hAnsi="Cambria"/>
        </w:rPr>
        <w:t>d</w:t>
      </w:r>
      <w:r w:rsidR="001E27BC" w:rsidRPr="009B605C">
        <w:rPr>
          <w:rFonts w:ascii="Cambria" w:hAnsi="Cambria"/>
        </w:rPr>
        <w:t xml:space="preserve">uring </w:t>
      </w:r>
      <w:r w:rsidR="00D638CE" w:rsidRPr="009B605C">
        <w:rPr>
          <w:rFonts w:ascii="Cambria" w:hAnsi="Cambria"/>
        </w:rPr>
        <w:t>extreme market conditions</w:t>
      </w:r>
      <w:r w:rsidR="00F07023" w:rsidRPr="009B605C">
        <w:rPr>
          <w:rFonts w:ascii="Cambria" w:hAnsi="Cambria"/>
        </w:rPr>
        <w:t xml:space="preserve">. </w:t>
      </w:r>
      <w:bookmarkStart w:id="2" w:name="bbib552"/>
      <w:r w:rsidR="0044303F" w:rsidRPr="009B605C">
        <w:rPr>
          <w:rFonts w:ascii="Cambria" w:hAnsi="Cambria"/>
        </w:rPr>
        <w:t>Given that our sample period includes several high-uncertainty events impacting the leading emerging markets, such as the COVID-19 pandemic, the 2023 Israeli-Hamas conflict, and the 2024 China stock market crash, along with the advantages of Ando et al.'s (2022) approach over traditional mean-based connectedness methods, our study follows previous research in adopting this approach to examine directional spillover effects between BRICS stocks, gold, and cryptocurrencies (see Yousaf et al., 2022; Khalfaoui et al., 2023</w:t>
      </w:r>
      <w:r w:rsidR="00FF60B5" w:rsidRPr="009B605C">
        <w:rPr>
          <w:rFonts w:ascii="Cambria" w:hAnsi="Cambria"/>
        </w:rPr>
        <w:t>b</w:t>
      </w:r>
      <w:r w:rsidR="0044303F" w:rsidRPr="009B605C">
        <w:rPr>
          <w:rFonts w:ascii="Cambria" w:hAnsi="Cambria"/>
        </w:rPr>
        <w:t>; Pham et al., 2024).</w:t>
      </w:r>
    </w:p>
    <w:bookmarkEnd w:id="2"/>
    <w:p w14:paraId="0CD21562" w14:textId="582F5209" w:rsidR="008974AF" w:rsidRPr="009B605C" w:rsidRDefault="00075EC7" w:rsidP="0087752F">
      <w:pPr>
        <w:pStyle w:val="NormalWeb"/>
        <w:spacing w:before="0" w:beforeAutospacing="0" w:after="0" w:afterAutospacing="0" w:line="360" w:lineRule="auto"/>
        <w:jc w:val="both"/>
        <w:rPr>
          <w:rFonts w:ascii="Cambria" w:hAnsi="Cambria"/>
        </w:rPr>
      </w:pPr>
      <w:r w:rsidRPr="009B605C">
        <w:rPr>
          <w:rFonts w:ascii="Cambria" w:hAnsi="Cambria"/>
        </w:rPr>
        <w:tab/>
        <w:t>Therefore</w:t>
      </w:r>
      <w:r w:rsidR="00554F77" w:rsidRPr="009B605C">
        <w:rPr>
          <w:rFonts w:ascii="Cambria" w:hAnsi="Cambria"/>
        </w:rPr>
        <w:t xml:space="preserve">, </w:t>
      </w:r>
      <w:r w:rsidR="00323399" w:rsidRPr="009B605C">
        <w:rPr>
          <w:rFonts w:ascii="Cambria" w:hAnsi="Cambria"/>
        </w:rPr>
        <w:t>the infinite order-based vector moving average specifications of quantile vector autoregressive</w:t>
      </w:r>
      <w:r w:rsidR="00554F77" w:rsidRPr="009B605C">
        <w:rPr>
          <w:rFonts w:ascii="Cambria" w:hAnsi="Cambria"/>
        </w:rPr>
        <w:t xml:space="preserve"> </w:t>
      </w:r>
      <m:oMath>
        <m:r>
          <w:rPr>
            <w:rFonts w:ascii="Cambria Math" w:hAnsi="Cambria Math"/>
          </w:rPr>
          <m:t>QVAR(τ,p)</m:t>
        </m:r>
      </m:oMath>
      <w:r w:rsidR="00554F77" w:rsidRPr="009B605C">
        <w:rPr>
          <w:rFonts w:ascii="Cambria" w:hAnsi="Cambria"/>
        </w:rPr>
        <w:t xml:space="preserve"> </w:t>
      </w:r>
      <w:r w:rsidR="00F24A6D" w:rsidRPr="009B605C">
        <w:rPr>
          <w:rFonts w:ascii="Cambria" w:hAnsi="Cambria"/>
        </w:rPr>
        <w:t>model</w:t>
      </w:r>
      <w:r w:rsidR="00323399" w:rsidRPr="009B605C">
        <w:rPr>
          <w:rFonts w:ascii="Cambria" w:hAnsi="Cambria"/>
        </w:rPr>
        <w:t xml:space="preserve">, with </w:t>
      </w:r>
      <m:oMath>
        <m:r>
          <w:rPr>
            <w:rFonts w:ascii="Cambria Math" w:hAnsi="Cambria Math"/>
          </w:rPr>
          <m:t>τ</m:t>
        </m:r>
      </m:oMath>
      <w:r w:rsidR="00323399" w:rsidRPr="009B605C">
        <w:rPr>
          <w:rFonts w:ascii="Cambria" w:hAnsi="Cambria"/>
        </w:rPr>
        <w:t xml:space="preserve"> being the quantile, </w:t>
      </w:r>
      <m:oMath>
        <m:r>
          <w:rPr>
            <w:rFonts w:ascii="Cambria Math" w:eastAsia="Arial" w:hAnsi="Cambria Math"/>
          </w:rPr>
          <m:t>τ∈</m:t>
        </m:r>
        <m:d>
          <m:dPr>
            <m:begChr m:val="["/>
            <m:endChr m:val="]"/>
            <m:ctrlPr>
              <w:rPr>
                <w:rFonts w:ascii="Cambria Math" w:eastAsia="Arial" w:hAnsi="Cambria Math"/>
                <w:i/>
                <w:iCs/>
              </w:rPr>
            </m:ctrlPr>
          </m:dPr>
          <m:e>
            <m:r>
              <w:rPr>
                <w:rFonts w:ascii="Cambria Math" w:eastAsia="Arial" w:hAnsi="Cambria Math"/>
              </w:rPr>
              <m:t>0,1</m:t>
            </m:r>
          </m:e>
        </m:d>
      </m:oMath>
      <w:r w:rsidR="00323399" w:rsidRPr="009B605C">
        <w:rPr>
          <w:rFonts w:ascii="Cambria" w:hAnsi="Cambria"/>
          <w:iCs/>
        </w:rPr>
        <w:t xml:space="preserve">, </w:t>
      </w:r>
      <w:r w:rsidR="00323399" w:rsidRPr="009B605C">
        <w:rPr>
          <w:rFonts w:ascii="Cambria" w:hAnsi="Cambria"/>
        </w:rPr>
        <w:t xml:space="preserve">and </w:t>
      </w:r>
      <m:oMath>
        <m:r>
          <w:rPr>
            <w:rFonts w:ascii="Cambria Math" w:hAnsi="Cambria Math"/>
          </w:rPr>
          <m:t>p</m:t>
        </m:r>
      </m:oMath>
      <w:r w:rsidR="00323399" w:rsidRPr="009B605C">
        <w:rPr>
          <w:rFonts w:ascii="Cambria" w:hAnsi="Cambria"/>
        </w:rPr>
        <w:t xml:space="preserve"> is the autoregressive order, is defined as</w:t>
      </w:r>
      <w:r w:rsidR="00554F77" w:rsidRPr="009B605C">
        <w:rPr>
          <w:rFonts w:ascii="Cambria" w:hAnsi="Cambria"/>
        </w:rPr>
        <w:t>:</w:t>
      </w:r>
    </w:p>
    <w:p w14:paraId="005EE2E2" w14:textId="70DF60F5" w:rsidR="00B1376B" w:rsidRPr="009B605C" w:rsidRDefault="00000000" w:rsidP="0087752F">
      <w:pPr>
        <w:pStyle w:val="BodyText"/>
        <w:spacing w:before="160" w:after="160" w:line="360" w:lineRule="auto"/>
        <w:ind w:firstLine="720"/>
        <w:rPr>
          <w:rFonts w:ascii="Cambria" w:hAnsi="Cambria"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τ</m:t>
            </m:r>
          </m:sub>
        </m:sSub>
        <m:r>
          <m:rPr>
            <m:sty m:val="p"/>
          </m:rP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μ</m:t>
            </m:r>
          </m:e>
          <m:sub>
            <m:r>
              <w:rPr>
                <w:rFonts w:ascii="Cambria Math" w:hAnsi="Cambria Math" w:cs="Times New Roman"/>
                <w:lang w:val="en-GB"/>
              </w:rPr>
              <m:t>τ</m:t>
            </m:r>
          </m:sub>
        </m:sSub>
        <m:r>
          <m:rPr>
            <m:sty m:val="p"/>
          </m:rPr>
          <w:rPr>
            <w:rFonts w:ascii="Cambria Math" w:hAnsi="Cambria Math" w:cs="Times New Roman"/>
            <w:lang w:val="en-GB"/>
          </w:rPr>
          <m:t>+</m:t>
        </m:r>
        <m:nary>
          <m:naryPr>
            <m:chr m:val="∑"/>
            <m:limLoc m:val="undOvr"/>
            <m:ctrlPr>
              <w:rPr>
                <w:rFonts w:ascii="Cambria Math" w:hAnsi="Cambria Math" w:cs="Times New Roman"/>
                <w:lang w:val="en-GB"/>
              </w:rPr>
            </m:ctrlPr>
          </m:naryPr>
          <m:sub>
            <m:r>
              <w:rPr>
                <w:rFonts w:ascii="Cambria Math" w:hAnsi="Cambria Math" w:cs="Times New Roman"/>
                <w:lang w:val="en-GB"/>
              </w:rPr>
              <m:t>j=1</m:t>
            </m:r>
          </m:sub>
          <m:sup>
            <m:r>
              <w:rPr>
                <w:rFonts w:ascii="Cambria Math" w:hAnsi="Cambria Math" w:cs="Times New Roman"/>
                <w:lang w:val="en-GB"/>
              </w:rPr>
              <m:t>p</m:t>
            </m:r>
          </m:sup>
          <m:e>
            <m:sSub>
              <m:sSubPr>
                <m:ctrlPr>
                  <w:rPr>
                    <w:rFonts w:ascii="Cambria Math" w:hAnsi="Cambria Math" w:cs="Times New Roman"/>
                    <w:lang w:val="en-GB"/>
                  </w:rPr>
                </m:ctrlPr>
              </m:sSubPr>
              <m:e>
                <m:r>
                  <w:rPr>
                    <w:rFonts w:ascii="Cambria Math" w:hAnsi="Cambria Math" w:cs="Times New Roman"/>
                    <w:lang w:val="en-GB"/>
                  </w:rPr>
                  <m:t>Ψ</m:t>
                </m:r>
              </m:e>
              <m:sub>
                <m:r>
                  <w:rPr>
                    <w:rFonts w:ascii="Cambria Math" w:hAnsi="Cambria Math" w:cs="Times New Roman"/>
                    <w:lang w:val="en-GB"/>
                  </w:rPr>
                  <m:t>j,τ</m:t>
                </m:r>
              </m:sub>
            </m:sSub>
          </m:e>
        </m:nary>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t</m:t>
            </m:r>
            <m:r>
              <m:rPr>
                <m:sty m:val="p"/>
              </m:rPr>
              <w:rPr>
                <w:rFonts w:ascii="Cambria Math" w:hAnsi="Cambria Math" w:cs="Times New Roman"/>
                <w:lang w:val="en-GB"/>
              </w:rPr>
              <m:t>-</m:t>
            </m:r>
            <m:r>
              <w:rPr>
                <w:rFonts w:ascii="Cambria Math" w:hAnsi="Cambria Math" w:cs="Times New Roman"/>
                <w:lang w:val="en-GB"/>
              </w:rPr>
              <m:t>j</m:t>
            </m:r>
          </m:sub>
        </m:sSub>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u</m:t>
            </m:r>
          </m:e>
          <m:sub>
            <m:r>
              <w:rPr>
                <w:rFonts w:ascii="Cambria Math" w:hAnsi="Cambria Math" w:cs="Times New Roman"/>
                <w:lang w:val="en-GB"/>
              </w:rPr>
              <m:t>t,τ</m:t>
            </m:r>
          </m:sub>
        </m:sSub>
        <m:r>
          <m:rPr>
            <m:sty m:val="p"/>
          </m:rP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η</m:t>
            </m:r>
          </m:e>
          <m:sub>
            <m:r>
              <w:rPr>
                <w:rFonts w:ascii="Cambria Math" w:hAnsi="Cambria Math" w:cs="Times New Roman"/>
                <w:lang w:val="en-GB"/>
              </w:rPr>
              <m:t>τ</m:t>
            </m:r>
          </m:sub>
        </m:sSub>
        <m:r>
          <m:rPr>
            <m:sty m:val="p"/>
          </m:rPr>
          <w:rPr>
            <w:rFonts w:ascii="Cambria Math" w:hAnsi="Cambria Math" w:cs="Times New Roman"/>
            <w:lang w:val="en-GB"/>
          </w:rPr>
          <m:t>+</m:t>
        </m:r>
        <m:nary>
          <m:naryPr>
            <m:chr m:val="∑"/>
            <m:limLoc m:val="undOvr"/>
            <m:ctrlPr>
              <w:rPr>
                <w:rFonts w:ascii="Cambria Math" w:hAnsi="Cambria Math" w:cs="Times New Roman"/>
                <w:lang w:val="en-GB"/>
              </w:rPr>
            </m:ctrlPr>
          </m:naryPr>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0</m:t>
            </m:r>
          </m:sub>
          <m:sup>
            <m:r>
              <m:rPr>
                <m:sty m:val="p"/>
              </m:rPr>
              <w:rPr>
                <w:rFonts w:ascii="Cambria Math" w:hAnsi="Cambria Math" w:cs="Times New Roman"/>
                <w:lang w:val="en-GB"/>
              </w:rPr>
              <m:t>∞</m:t>
            </m:r>
          </m:sup>
          <m:e>
            <m:sSub>
              <m:sSubPr>
                <m:ctrlPr>
                  <w:rPr>
                    <w:rFonts w:ascii="Cambria Math" w:hAnsi="Cambria Math" w:cs="Times New Roman"/>
                    <w:lang w:val="en-GB"/>
                  </w:rPr>
                </m:ctrlPr>
              </m:sSubPr>
              <m:e>
                <m:r>
                  <w:rPr>
                    <w:rFonts w:ascii="Cambria Math" w:hAnsi="Cambria Math" w:cs="Times New Roman"/>
                    <w:lang w:val="en-GB"/>
                  </w:rPr>
                  <m:t>Ω</m:t>
                </m:r>
              </m:e>
              <m:sub>
                <m:r>
                  <w:rPr>
                    <w:rFonts w:ascii="Cambria Math" w:hAnsi="Cambria Math" w:cs="Times New Roman"/>
                    <w:lang w:val="en-GB"/>
                  </w:rPr>
                  <m:t>i,τ</m:t>
                </m:r>
              </m:sub>
            </m:sSub>
          </m:e>
        </m:nary>
        <m:sSub>
          <m:sSubPr>
            <m:ctrlPr>
              <w:rPr>
                <w:rFonts w:ascii="Cambria Math" w:hAnsi="Cambria Math" w:cs="Times New Roman"/>
                <w:lang w:val="en-GB"/>
              </w:rPr>
            </m:ctrlPr>
          </m:sSubPr>
          <m:e>
            <m:r>
              <w:rPr>
                <w:rFonts w:ascii="Cambria Math" w:hAnsi="Cambria Math" w:cs="Times New Roman"/>
                <w:lang w:val="en-GB"/>
              </w:rPr>
              <m:t>u</m:t>
            </m:r>
          </m:e>
          <m:sub>
            <m:r>
              <w:rPr>
                <w:rFonts w:ascii="Cambria Math" w:hAnsi="Cambria Math" w:cs="Times New Roman"/>
                <w:lang w:val="en-GB"/>
              </w:rPr>
              <m:t>t</m:t>
            </m:r>
            <m:r>
              <m:rPr>
                <m:sty m:val="p"/>
              </m:rPr>
              <w:rPr>
                <w:rFonts w:ascii="Cambria Math" w:hAnsi="Cambria Math" w:cs="Times New Roman"/>
                <w:lang w:val="en-GB"/>
              </w:rPr>
              <m:t>-</m:t>
            </m:r>
            <m:r>
              <w:rPr>
                <w:rFonts w:ascii="Cambria Math" w:hAnsi="Cambria Math" w:cs="Times New Roman"/>
                <w:lang w:val="en-GB"/>
              </w:rPr>
              <m:t>i,τ</m:t>
            </m:r>
          </m:sub>
        </m:sSub>
      </m:oMath>
      <w:r w:rsidR="00B1376B" w:rsidRPr="009B605C">
        <w:rPr>
          <w:rFonts w:ascii="Cambria" w:hAnsi="Cambria" w:cs="Times New Roman"/>
          <w:lang w:val="en-GB"/>
        </w:rPr>
        <w:tab/>
      </w:r>
      <w:r w:rsidR="00B1376B" w:rsidRPr="009B605C">
        <w:rPr>
          <w:rFonts w:ascii="Cambria" w:hAnsi="Cambria" w:cs="Times New Roman"/>
          <w:lang w:val="en-GB"/>
        </w:rPr>
        <w:tab/>
      </w:r>
      <w:r w:rsidR="00A04325" w:rsidRPr="009B605C">
        <w:rPr>
          <w:rFonts w:ascii="Cambria" w:hAnsi="Cambria" w:cs="Times New Roman"/>
          <w:lang w:val="en-GB"/>
        </w:rPr>
        <w:tab/>
      </w:r>
      <w:r w:rsidR="00A04325" w:rsidRPr="009B605C">
        <w:rPr>
          <w:rFonts w:ascii="Cambria" w:hAnsi="Cambria" w:cs="Times New Roman"/>
          <w:lang w:val="en-GB"/>
        </w:rPr>
        <w:tab/>
      </w:r>
      <w:r w:rsidR="00B1376B" w:rsidRPr="009B605C">
        <w:rPr>
          <w:rFonts w:ascii="Cambria" w:hAnsi="Cambria" w:cs="Times New Roman"/>
          <w:lang w:val="en-GB"/>
        </w:rPr>
        <w:t>(</w:t>
      </w:r>
      <w:r w:rsidR="00554F77" w:rsidRPr="009B605C">
        <w:rPr>
          <w:rFonts w:ascii="Cambria" w:hAnsi="Cambria" w:cs="Times New Roman"/>
          <w:lang w:val="en-GB"/>
        </w:rPr>
        <w:t>1</w:t>
      </w:r>
      <w:r w:rsidR="00B1376B" w:rsidRPr="009B605C">
        <w:rPr>
          <w:rFonts w:ascii="Cambria" w:hAnsi="Cambria" w:cs="Times New Roman"/>
          <w:lang w:val="en-GB"/>
        </w:rPr>
        <w:t>)</w:t>
      </w:r>
    </w:p>
    <w:p w14:paraId="01B500A2" w14:textId="0B31CAE9" w:rsidR="00B60F73" w:rsidRPr="009B605C" w:rsidRDefault="006277AC" w:rsidP="00A04325">
      <w:pPr>
        <w:pStyle w:val="FirstParagraph"/>
        <w:spacing w:before="0" w:after="0" w:line="360" w:lineRule="auto"/>
        <w:jc w:val="both"/>
        <w:rPr>
          <w:rFonts w:ascii="Cambria" w:eastAsia="Times New Roman" w:hAnsi="Cambria" w:cs="Times New Roman"/>
          <w:lang w:val="en-GB"/>
        </w:rPr>
      </w:pPr>
      <w:r w:rsidRPr="009B605C">
        <w:rPr>
          <w:rFonts w:ascii="Cambria" w:eastAsia="Arial" w:hAnsi="Cambria" w:cs="Times New Roman"/>
          <w:lang w:val="en-GB"/>
        </w:rPr>
        <w:lastRenderedPageBreak/>
        <w:t>where</w:t>
      </w:r>
      <w:r w:rsidR="00B1376B" w:rsidRPr="009B605C">
        <w:rPr>
          <w:rFonts w:ascii="Cambria" w:eastAsia="Arial" w:hAnsi="Cambria" w:cs="Times New Roman"/>
          <w:lang w:val="en-GB"/>
        </w:rPr>
        <w:t xml:space="preserve"> </w:t>
      </w:r>
      <m:oMath>
        <m:sSub>
          <m:sSubPr>
            <m:ctrlPr>
              <w:rPr>
                <w:rFonts w:ascii="Cambria Math" w:eastAsia="Arial" w:hAnsi="Cambria Math" w:cs="Times New Roman"/>
                <w:lang w:val="en-GB"/>
              </w:rPr>
            </m:ctrlPr>
          </m:sSubPr>
          <m:e>
            <m:r>
              <w:rPr>
                <w:rFonts w:ascii="Cambria Math" w:eastAsia="Arial" w:hAnsi="Cambria Math" w:cs="Times New Roman"/>
                <w:lang w:val="en-GB"/>
              </w:rPr>
              <m:t>Y</m:t>
            </m:r>
          </m:e>
          <m:sub>
            <m:r>
              <w:rPr>
                <w:rFonts w:ascii="Cambria Math" w:hAnsi="Cambria Math" w:cs="Times New Roman"/>
                <w:lang w:val="en-GB"/>
              </w:rPr>
              <m:t>τ</m:t>
            </m:r>
          </m:sub>
        </m:sSub>
      </m:oMath>
      <w:r w:rsidR="00B1376B" w:rsidRPr="009B605C">
        <w:rPr>
          <w:rFonts w:ascii="Cambria" w:eastAsia="Arial" w:hAnsi="Cambria" w:cs="Times New Roman"/>
          <w:lang w:val="en-GB"/>
        </w:rPr>
        <w:t xml:space="preserve"> is </w:t>
      </w:r>
      <m:oMath>
        <m:r>
          <w:rPr>
            <w:rFonts w:ascii="Cambria Math" w:eastAsia="Arial" w:hAnsi="Cambria Math" w:cs="Times New Roman"/>
            <w:lang w:val="en-GB"/>
          </w:rPr>
          <m:t>m</m:t>
        </m:r>
      </m:oMath>
      <w:r w:rsidR="00B1376B" w:rsidRPr="009B605C">
        <w:rPr>
          <w:rFonts w:ascii="Cambria" w:eastAsia="Arial" w:hAnsi="Cambria" w:cs="Times New Roman"/>
          <w:lang w:val="en-GB"/>
        </w:rPr>
        <w:t xml:space="preserve">-dimensional vector of dependent variables, </w:t>
      </w:r>
      <m:oMath>
        <m:sSub>
          <m:sSubPr>
            <m:ctrlPr>
              <w:rPr>
                <w:rFonts w:ascii="Cambria Math" w:hAnsi="Cambria Math" w:cs="Times New Roman"/>
                <w:i/>
                <w:lang w:val="en-GB"/>
              </w:rPr>
            </m:ctrlPr>
          </m:sSubPr>
          <m:e>
            <m:r>
              <w:rPr>
                <w:rFonts w:ascii="Cambria Math" w:hAnsi="Cambria Math" w:cs="Times New Roman"/>
                <w:lang w:val="en-GB"/>
              </w:rPr>
              <m:t>η</m:t>
            </m:r>
          </m:e>
          <m:sub>
            <m:r>
              <w:rPr>
                <w:rFonts w:ascii="Cambria Math" w:hAnsi="Cambria Math" w:cs="Times New Roman"/>
                <w:lang w:val="en-GB"/>
              </w:rPr>
              <m:t>τ</m:t>
            </m:r>
          </m:sub>
        </m:sSub>
      </m:oMath>
      <w:r w:rsidR="00B1376B" w:rsidRPr="009B605C">
        <w:rPr>
          <w:rFonts w:ascii="Cambria" w:eastAsia="Arial" w:hAnsi="Cambria" w:cs="Times New Roman"/>
          <w:lang w:val="en-GB"/>
        </w:rPr>
        <w:t xml:space="preserve"> </w:t>
      </w:r>
      <w:r w:rsidR="00323399" w:rsidRPr="009B605C">
        <w:rPr>
          <w:rFonts w:ascii="Cambria" w:eastAsia="Arial" w:hAnsi="Cambria" w:cs="Times New Roman"/>
          <w:lang w:val="en-GB"/>
        </w:rPr>
        <w:t xml:space="preserve">and </w:t>
      </w:r>
      <m:oMath>
        <m:sSub>
          <m:sSubPr>
            <m:ctrlPr>
              <w:rPr>
                <w:rFonts w:ascii="Cambria Math" w:hAnsi="Cambria Math" w:cs="Times New Roman"/>
                <w:i/>
                <w:lang w:val="en-GB"/>
              </w:rPr>
            </m:ctrlPr>
          </m:sSubPr>
          <m:e>
            <m:r>
              <w:rPr>
                <w:rFonts w:ascii="Cambria Math" w:hAnsi="Cambria Math" w:cs="Times New Roman"/>
                <w:lang w:val="en-GB"/>
              </w:rPr>
              <m:t>μ</m:t>
            </m:r>
          </m:e>
          <m:sub>
            <m:r>
              <w:rPr>
                <w:rFonts w:ascii="Cambria Math" w:hAnsi="Cambria Math" w:cs="Times New Roman"/>
                <w:lang w:val="en-GB"/>
              </w:rPr>
              <m:t>τ</m:t>
            </m:r>
          </m:sub>
        </m:sSub>
      </m:oMath>
      <w:r w:rsidR="00B1376B" w:rsidRPr="009B605C">
        <w:rPr>
          <w:rFonts w:ascii="Cambria" w:eastAsia="Arial" w:hAnsi="Cambria" w:cs="Times New Roman"/>
          <w:lang w:val="en-GB"/>
        </w:rPr>
        <w:t xml:space="preserve"> </w:t>
      </w:r>
      <w:r w:rsidR="00323399" w:rsidRPr="009B605C">
        <w:rPr>
          <w:rFonts w:ascii="Cambria" w:eastAsia="Arial" w:hAnsi="Cambria" w:cs="Times New Roman"/>
          <w:lang w:val="en-GB"/>
        </w:rPr>
        <w:t>are</w:t>
      </w:r>
      <w:r w:rsidR="00B1376B" w:rsidRPr="009B605C">
        <w:rPr>
          <w:rFonts w:ascii="Cambria" w:eastAsia="Arial" w:hAnsi="Cambria" w:cs="Times New Roman"/>
          <w:lang w:val="en-GB"/>
        </w:rPr>
        <w:t xml:space="preserve"> </w:t>
      </w:r>
      <m:oMath>
        <m:r>
          <w:rPr>
            <w:rFonts w:ascii="Cambria Math" w:eastAsia="Arial" w:hAnsi="Cambria Math" w:cs="Times New Roman"/>
            <w:lang w:val="en-GB"/>
          </w:rPr>
          <m:t>m</m:t>
        </m:r>
        <m:r>
          <m:rPr>
            <m:sty m:val="p"/>
          </m:rPr>
          <w:rPr>
            <w:rFonts w:ascii="Cambria Math" w:eastAsia="Arial" w:hAnsi="Cambria Math" w:cs="Times New Roman"/>
            <w:lang w:val="en-GB"/>
          </w:rPr>
          <m:t xml:space="preserve">×1 </m:t>
        </m:r>
      </m:oMath>
      <w:r w:rsidR="00B1376B" w:rsidRPr="009B605C">
        <w:rPr>
          <w:rFonts w:ascii="Cambria" w:eastAsia="Arial" w:hAnsi="Cambria" w:cs="Times New Roman"/>
          <w:lang w:val="en-GB"/>
        </w:rPr>
        <w:t>vector</w:t>
      </w:r>
      <w:r w:rsidR="00323399" w:rsidRPr="009B605C">
        <w:rPr>
          <w:rFonts w:ascii="Cambria" w:eastAsia="Arial" w:hAnsi="Cambria" w:cs="Times New Roman"/>
          <w:lang w:val="en-GB"/>
        </w:rPr>
        <w:t>s</w:t>
      </w:r>
      <w:r w:rsidR="00B1376B" w:rsidRPr="009B605C">
        <w:rPr>
          <w:rFonts w:ascii="Cambria" w:eastAsia="Arial" w:hAnsi="Cambria" w:cs="Times New Roman"/>
          <w:lang w:val="en-GB"/>
        </w:rPr>
        <w:t xml:space="preserve"> of intercepts</w:t>
      </w:r>
      <w:r w:rsidR="00323399" w:rsidRPr="009B605C">
        <w:rPr>
          <w:rFonts w:ascii="Cambria" w:eastAsia="Arial" w:hAnsi="Cambria" w:cs="Times New Roman"/>
          <w:lang w:val="en-GB"/>
        </w:rPr>
        <w:t xml:space="preserve">, </w:t>
      </w:r>
      <m:oMath>
        <m:r>
          <w:rPr>
            <w:rFonts w:ascii="Cambria Math" w:eastAsia="Arial" w:hAnsi="Cambria Math" w:cs="Times New Roman"/>
            <w:lang w:val="en-GB"/>
          </w:rPr>
          <m:t>t</m:t>
        </m:r>
      </m:oMath>
      <w:r w:rsidR="00323399" w:rsidRPr="009B605C">
        <w:rPr>
          <w:rFonts w:ascii="Cambria" w:eastAsia="Arial" w:hAnsi="Cambria" w:cs="Times New Roman"/>
          <w:lang w:val="en-GB"/>
        </w:rPr>
        <w:t xml:space="preserve"> denotes time</w:t>
      </w:r>
      <w:r w:rsidR="00B1376B" w:rsidRPr="009B605C">
        <w:rPr>
          <w:rFonts w:ascii="Cambria" w:eastAsia="Arial" w:hAnsi="Cambria" w:cs="Times New Roman"/>
          <w:lang w:val="en-GB"/>
        </w:rPr>
        <w:t xml:space="preserve">, </w:t>
      </w:r>
      <m:oMath>
        <m:sSub>
          <m:sSubPr>
            <m:ctrlPr>
              <w:rPr>
                <w:rFonts w:ascii="Cambria Math" w:eastAsia="Arial" w:hAnsi="Cambria Math" w:cs="Times New Roman"/>
                <w:lang w:val="en-GB"/>
              </w:rPr>
            </m:ctrlPr>
          </m:sSubPr>
          <m:e>
            <m:r>
              <w:rPr>
                <w:rFonts w:ascii="Cambria Math" w:hAnsi="Cambria Math" w:cs="Times New Roman"/>
                <w:lang w:val="en-GB"/>
              </w:rPr>
              <m:t>Ψ</m:t>
            </m:r>
          </m:e>
          <m:sub>
            <m:r>
              <w:rPr>
                <w:rFonts w:ascii="Cambria Math" w:eastAsia="Arial" w:hAnsi="Cambria Math" w:cs="Times New Roman"/>
                <w:lang w:val="en-GB"/>
              </w:rPr>
              <m:t>j,τ</m:t>
            </m:r>
          </m:sub>
        </m:sSub>
      </m:oMath>
      <w:r w:rsidR="00B1376B" w:rsidRPr="009B605C">
        <w:rPr>
          <w:rFonts w:ascii="Cambria" w:eastAsia="Arial" w:hAnsi="Cambria" w:cs="Times New Roman"/>
          <w:lang w:val="en-GB"/>
        </w:rPr>
        <w:t xml:space="preserve"> </w:t>
      </w:r>
      <w:r w:rsidR="003E5CE5" w:rsidRPr="009B605C">
        <w:rPr>
          <w:rFonts w:ascii="Cambria" w:eastAsia="Arial" w:hAnsi="Cambria" w:cs="Times New Roman"/>
          <w:lang w:val="en-GB"/>
        </w:rPr>
        <w:t>and</w:t>
      </w:r>
      <m:oMath>
        <m:r>
          <w:rPr>
            <w:rFonts w:ascii="Cambria Math" w:eastAsia="Arial" w:hAnsi="Cambria Math" w:cs="Times New Roman"/>
            <w:lang w:val="en-GB"/>
          </w:rPr>
          <m:t xml:space="preserve"> </m:t>
        </m:r>
        <m:sSub>
          <m:sSubPr>
            <m:ctrlPr>
              <w:rPr>
                <w:rFonts w:ascii="Cambria Math" w:eastAsia="Arial" w:hAnsi="Cambria Math" w:cs="Times New Roman"/>
                <w:lang w:val="en-GB"/>
              </w:rPr>
            </m:ctrlPr>
          </m:sSubPr>
          <m:e>
            <m:r>
              <w:rPr>
                <w:rFonts w:ascii="Cambria Math" w:eastAsia="Arial" w:hAnsi="Cambria Math" w:cs="Times New Roman"/>
                <w:lang w:val="en-GB"/>
              </w:rPr>
              <m:t>Ω</m:t>
            </m:r>
          </m:e>
          <m:sub>
            <m:r>
              <w:rPr>
                <w:rFonts w:ascii="Cambria Math" w:eastAsia="Arial" w:hAnsi="Cambria Math" w:cs="Times New Roman"/>
                <w:lang w:val="en-GB"/>
              </w:rPr>
              <m:t>i,τ</m:t>
            </m:r>
          </m:sub>
        </m:sSub>
      </m:oMath>
      <w:r w:rsidR="003E5CE5" w:rsidRPr="009B605C">
        <w:rPr>
          <w:rFonts w:ascii="Cambria" w:eastAsia="Arial" w:hAnsi="Cambria" w:cs="Times New Roman"/>
          <w:lang w:val="en-GB"/>
        </w:rPr>
        <w:t xml:space="preserve"> are </w:t>
      </w:r>
      <w:r w:rsidR="00171234">
        <w:rPr>
          <w:rFonts w:ascii="Cambria" w:eastAsia="Arial" w:hAnsi="Cambria" w:cs="Times New Roman"/>
          <w:lang w:val="en-GB"/>
        </w:rPr>
        <w:t>both</w:t>
      </w:r>
      <w:r w:rsidR="00B1376B" w:rsidRPr="009B605C">
        <w:rPr>
          <w:rFonts w:ascii="Cambria" w:eastAsia="Arial" w:hAnsi="Cambria" w:cs="Times New Roman"/>
          <w:lang w:val="en-GB"/>
        </w:rPr>
        <w:t xml:space="preserve"> </w:t>
      </w:r>
      <m:oMath>
        <m:r>
          <w:rPr>
            <w:rFonts w:ascii="Cambria Math" w:eastAsia="Arial" w:hAnsi="Cambria Math" w:cs="Times New Roman"/>
            <w:lang w:val="en-GB"/>
          </w:rPr>
          <m:t>m</m:t>
        </m:r>
        <m:r>
          <m:rPr>
            <m:sty m:val="p"/>
          </m:rPr>
          <w:rPr>
            <w:rFonts w:ascii="Cambria Math" w:eastAsia="Arial" w:hAnsi="Cambria Math" w:cs="Times New Roman"/>
            <w:lang w:val="en-GB"/>
          </w:rPr>
          <m:t>×</m:t>
        </m:r>
        <m:r>
          <w:rPr>
            <w:rFonts w:ascii="Cambria Math" w:eastAsia="Arial" w:hAnsi="Cambria Math" w:cs="Times New Roman"/>
            <w:lang w:val="en-GB"/>
          </w:rPr>
          <m:t>m</m:t>
        </m:r>
      </m:oMath>
      <w:r w:rsidR="00B1376B" w:rsidRPr="009B605C">
        <w:rPr>
          <w:rFonts w:ascii="Cambria" w:eastAsia="Arial" w:hAnsi="Cambria" w:cs="Times New Roman"/>
          <w:lang w:val="en-GB"/>
        </w:rPr>
        <w:t xml:space="preserve"> </w:t>
      </w:r>
      <w:bookmarkStart w:id="3" w:name="_Hlk195957841"/>
      <w:r w:rsidR="00B1376B" w:rsidRPr="009B605C">
        <w:rPr>
          <w:rFonts w:ascii="Cambria" w:eastAsia="Arial" w:hAnsi="Cambria" w:cs="Times New Roman"/>
          <w:lang w:val="en-GB"/>
        </w:rPr>
        <w:t>matrix</w:t>
      </w:r>
      <w:r w:rsidR="003E5CE5" w:rsidRPr="009B605C">
        <w:rPr>
          <w:rFonts w:ascii="Cambria" w:eastAsia="Arial" w:hAnsi="Cambria" w:cs="Times New Roman"/>
          <w:lang w:val="en-GB"/>
        </w:rPr>
        <w:t>es</w:t>
      </w:r>
      <w:r w:rsidR="00B1376B" w:rsidRPr="009B605C">
        <w:rPr>
          <w:rFonts w:ascii="Cambria" w:eastAsia="Arial" w:hAnsi="Cambria" w:cs="Times New Roman"/>
          <w:lang w:val="en-GB"/>
        </w:rPr>
        <w:t xml:space="preserve"> </w:t>
      </w:r>
      <w:bookmarkEnd w:id="3"/>
      <w:r w:rsidR="00B1376B" w:rsidRPr="009B605C">
        <w:rPr>
          <w:rFonts w:ascii="Cambria" w:eastAsia="Arial" w:hAnsi="Cambria" w:cs="Times New Roman"/>
          <w:lang w:val="en-GB"/>
        </w:rPr>
        <w:t xml:space="preserve">of lag coefficients, </w:t>
      </w:r>
      <m:oMath>
        <m:sSub>
          <m:sSubPr>
            <m:ctrlPr>
              <w:rPr>
                <w:rFonts w:ascii="Cambria Math" w:eastAsia="Arial" w:hAnsi="Cambria Math" w:cs="Times New Roman"/>
                <w:lang w:val="en-GB"/>
              </w:rPr>
            </m:ctrlPr>
          </m:sSubPr>
          <m:e>
            <m:r>
              <m:rPr>
                <m:sty m:val="p"/>
              </m:rPr>
              <w:rPr>
                <w:rFonts w:ascii="Cambria Math" w:eastAsia="Arial" w:hAnsi="Cambria Math" w:cs="Times New Roman"/>
                <w:lang w:val="en-GB"/>
              </w:rPr>
              <m:t>u</m:t>
            </m:r>
          </m:e>
          <m:sub>
            <m:r>
              <w:rPr>
                <w:rFonts w:ascii="Cambria Math" w:eastAsia="Arial" w:hAnsi="Cambria Math" w:cs="Times New Roman"/>
                <w:lang w:val="en-GB"/>
              </w:rPr>
              <m:t>t,</m:t>
            </m:r>
            <m:r>
              <w:rPr>
                <w:rFonts w:ascii="Cambria Math" w:hAnsi="Cambria Math" w:cs="Times New Roman"/>
                <w:lang w:val="en-GB"/>
              </w:rPr>
              <m:t>τ</m:t>
            </m:r>
          </m:sub>
        </m:sSub>
      </m:oMath>
      <w:r w:rsidR="00B1376B" w:rsidRPr="009B605C">
        <w:rPr>
          <w:rFonts w:ascii="Cambria" w:eastAsia="Arial" w:hAnsi="Cambria" w:cs="Times New Roman"/>
          <w:lang w:val="en-GB"/>
        </w:rPr>
        <w:t xml:space="preserve"> is a </w:t>
      </w:r>
      <m:oMath>
        <m:r>
          <w:rPr>
            <w:rFonts w:ascii="Cambria Math" w:eastAsia="Arial" w:hAnsi="Cambria Math" w:cs="Times New Roman"/>
            <w:lang w:val="en-GB"/>
          </w:rPr>
          <m:t>m×1</m:t>
        </m:r>
      </m:oMath>
      <w:r w:rsidR="00B1376B" w:rsidRPr="009B605C">
        <w:rPr>
          <w:rFonts w:ascii="Cambria" w:eastAsia="Arial" w:hAnsi="Cambria" w:cs="Times New Roman"/>
          <w:lang w:val="en-GB"/>
        </w:rPr>
        <w:t xml:space="preserve"> vector of error disturbances</w:t>
      </w:r>
      <w:r w:rsidR="003E5CE5" w:rsidRPr="009B605C">
        <w:rPr>
          <w:rFonts w:ascii="Cambria" w:eastAsia="Arial" w:hAnsi="Cambria" w:cs="Times New Roman"/>
          <w:lang w:val="en-GB"/>
        </w:rPr>
        <w:t>.</w:t>
      </w:r>
      <w:r w:rsidR="00B60F73" w:rsidRPr="009B605C">
        <w:rPr>
          <w:rFonts w:ascii="Cambria" w:eastAsia="Arial" w:hAnsi="Cambria" w:cs="Times New Roman"/>
          <w:lang w:val="en-GB"/>
        </w:rPr>
        <w:t xml:space="preserve"> </w:t>
      </w:r>
      <w:r w:rsidR="004C1EE2" w:rsidRPr="009B605C">
        <w:rPr>
          <w:rFonts w:ascii="Cambria" w:eastAsia="Times New Roman" w:hAnsi="Cambria" w:cs="Times New Roman"/>
          <w:lang w:val="en-GB"/>
        </w:rPr>
        <w:t xml:space="preserve">Moreover, we </w:t>
      </w:r>
      <w:r w:rsidR="00B60F73" w:rsidRPr="009B605C">
        <w:rPr>
          <w:rFonts w:ascii="Cambria" w:eastAsia="Times New Roman" w:hAnsi="Cambria" w:cs="Times New Roman"/>
          <w:lang w:val="en-GB"/>
        </w:rPr>
        <w:t xml:space="preserve">address the issue of Cholesky-factor ordering, where the sequence of variables in the decomposition can influence the results, by following the </w:t>
      </w:r>
      <w:r w:rsidR="004C1EE2" w:rsidRPr="009B605C">
        <w:rPr>
          <w:rFonts w:ascii="Cambria" w:eastAsia="Times New Roman" w:hAnsi="Cambria" w:cs="Times New Roman"/>
          <w:lang w:val="en-GB"/>
        </w:rPr>
        <w:t>findings and observations of Koop</w:t>
      </w:r>
      <w:r w:rsidR="000B3AB5" w:rsidRPr="009B605C">
        <w:rPr>
          <w:rFonts w:ascii="Cambria" w:eastAsia="Times New Roman" w:hAnsi="Cambria" w:cs="Times New Roman"/>
          <w:lang w:val="en-GB"/>
        </w:rPr>
        <w:t xml:space="preserve"> et al.</w:t>
      </w:r>
      <w:r w:rsidR="004C1EE2" w:rsidRPr="009B605C">
        <w:rPr>
          <w:rFonts w:ascii="Cambria" w:eastAsia="Times New Roman" w:hAnsi="Cambria" w:cs="Times New Roman"/>
          <w:lang w:val="en-GB"/>
        </w:rPr>
        <w:t xml:space="preserve"> (1996) and </w:t>
      </w:r>
      <w:proofErr w:type="spellStart"/>
      <w:r w:rsidR="004C1EE2" w:rsidRPr="009B605C">
        <w:rPr>
          <w:rFonts w:ascii="Cambria" w:eastAsia="Times New Roman" w:hAnsi="Cambria" w:cs="Times New Roman"/>
          <w:lang w:val="en-GB"/>
        </w:rPr>
        <w:t>Pesaran</w:t>
      </w:r>
      <w:proofErr w:type="spellEnd"/>
      <w:r w:rsidR="004C1EE2" w:rsidRPr="009B605C">
        <w:rPr>
          <w:rFonts w:ascii="Cambria" w:eastAsia="Times New Roman" w:hAnsi="Cambria" w:cs="Times New Roman"/>
          <w:lang w:val="en-GB"/>
        </w:rPr>
        <w:t xml:space="preserve"> </w:t>
      </w:r>
      <w:r w:rsidR="000B3AB5" w:rsidRPr="009B605C">
        <w:rPr>
          <w:rFonts w:ascii="Cambria" w:eastAsia="Times New Roman" w:hAnsi="Cambria" w:cs="Times New Roman"/>
          <w:lang w:val="en-GB"/>
        </w:rPr>
        <w:t>and</w:t>
      </w:r>
      <w:r w:rsidR="004C1EE2" w:rsidRPr="009B605C">
        <w:rPr>
          <w:rFonts w:ascii="Cambria" w:eastAsia="Times New Roman" w:hAnsi="Cambria" w:cs="Times New Roman"/>
          <w:lang w:val="en-GB"/>
        </w:rPr>
        <w:t xml:space="preserve"> Shin (1998)</w:t>
      </w:r>
      <w:r w:rsidR="00B60F73" w:rsidRPr="009B605C">
        <w:rPr>
          <w:rFonts w:ascii="Cambria" w:eastAsia="Times New Roman" w:hAnsi="Cambria" w:cs="Times New Roman"/>
          <w:lang w:val="en-GB"/>
        </w:rPr>
        <w:t xml:space="preserve">. In particular, the </w:t>
      </w:r>
      <m:oMath>
        <m:r>
          <w:rPr>
            <w:rFonts w:ascii="Cambria Math" w:eastAsia="Times New Roman" w:hAnsi="Cambria Math" w:cs="Times New Roman"/>
            <w:lang w:val="en-GB"/>
          </w:rPr>
          <m:t>F</m:t>
        </m:r>
      </m:oMath>
      <w:r w:rsidR="00171234">
        <w:rPr>
          <w:rFonts w:ascii="Cambria" w:eastAsia="Times New Roman" w:hAnsi="Cambria" w:cs="Times New Roman"/>
          <w:lang w:val="en-GB"/>
        </w:rPr>
        <w:t xml:space="preserve">-step ahead </w:t>
      </w:r>
      <w:r w:rsidR="00B60F73" w:rsidRPr="009B605C">
        <w:rPr>
          <w:rFonts w:ascii="Cambria" w:eastAsia="Times New Roman" w:hAnsi="Cambria" w:cs="Times New Roman"/>
          <w:lang w:val="en-GB"/>
        </w:rPr>
        <w:t xml:space="preserve">generalized forecast error variance decomposition (GFEVD) </w:t>
      </w:r>
      <w:r w:rsidR="00171234">
        <w:rPr>
          <w:rFonts w:ascii="Cambria" w:eastAsia="Times New Roman" w:hAnsi="Cambria" w:cs="Times New Roman"/>
          <w:lang w:val="en-GB"/>
        </w:rPr>
        <w:t>shows</w:t>
      </w:r>
      <w:r w:rsidR="00B60F73" w:rsidRPr="009B605C">
        <w:rPr>
          <w:rFonts w:ascii="Cambria" w:eastAsia="Times New Roman" w:hAnsi="Cambria" w:cs="Times New Roman"/>
          <w:lang w:val="en-GB"/>
        </w:rPr>
        <w:t xml:space="preserve"> how a shock to </w:t>
      </w:r>
      <w:r w:rsidR="006B6BF6">
        <w:rPr>
          <w:rFonts w:ascii="Cambria" w:eastAsia="Times New Roman" w:hAnsi="Cambria" w:cs="Times New Roman"/>
          <w:lang w:val="en-GB"/>
        </w:rPr>
        <w:t>variable</w:t>
      </w:r>
      <w:r w:rsidR="00B60F73" w:rsidRPr="009B605C">
        <w:rPr>
          <w:rFonts w:ascii="Cambria" w:eastAsia="Times New Roman" w:hAnsi="Cambria" w:cs="Times New Roman"/>
          <w:lang w:val="en-GB"/>
        </w:rPr>
        <w:t xml:space="preserve"> </w:t>
      </w:r>
      <m:oMath>
        <m:r>
          <w:rPr>
            <w:rFonts w:ascii="Cambria Math" w:eastAsia="Times New Roman" w:hAnsi="Cambria Math" w:cs="Times New Roman"/>
            <w:lang w:val="en-GB"/>
          </w:rPr>
          <m:t>j</m:t>
        </m:r>
      </m:oMath>
      <w:r w:rsidR="00B60F73" w:rsidRPr="009B605C">
        <w:rPr>
          <w:rFonts w:ascii="Cambria" w:eastAsia="Times New Roman" w:hAnsi="Cambria" w:cs="Times New Roman"/>
          <w:lang w:val="en-GB"/>
        </w:rPr>
        <w:t xml:space="preserve"> impacts </w:t>
      </w:r>
      <w:r w:rsidR="006B6BF6">
        <w:rPr>
          <w:rFonts w:ascii="Cambria" w:eastAsia="Times New Roman" w:hAnsi="Cambria" w:cs="Times New Roman"/>
          <w:lang w:val="en-GB"/>
        </w:rPr>
        <w:t>variable</w:t>
      </w:r>
      <w:r w:rsidR="00B60F73" w:rsidRPr="009B605C">
        <w:rPr>
          <w:rFonts w:ascii="Cambria" w:eastAsia="Times New Roman" w:hAnsi="Cambria" w:cs="Times New Roman"/>
          <w:lang w:val="en-GB"/>
        </w:rPr>
        <w:t xml:space="preserve"> </w:t>
      </w:r>
      <m:oMath>
        <m:r>
          <w:rPr>
            <w:rFonts w:ascii="Cambria Math" w:eastAsia="Times New Roman" w:hAnsi="Cambria Math" w:cs="Times New Roman"/>
            <w:lang w:val="en-GB"/>
          </w:rPr>
          <m:t>i</m:t>
        </m:r>
      </m:oMath>
      <w:r w:rsidR="00171234">
        <w:rPr>
          <w:rFonts w:ascii="Cambria" w:eastAsia="Times New Roman" w:hAnsi="Cambria" w:cs="Times New Roman"/>
          <w:lang w:val="en-GB"/>
        </w:rPr>
        <w:t>, and is defined as</w:t>
      </w:r>
      <w:r w:rsidR="00B60F73" w:rsidRPr="009B605C">
        <w:rPr>
          <w:rFonts w:ascii="Cambria" w:eastAsia="Times New Roman" w:hAnsi="Cambria" w:cs="Times New Roman"/>
          <w:lang w:val="en-GB"/>
        </w:rPr>
        <w:t>:</w:t>
      </w:r>
    </w:p>
    <w:p w14:paraId="19B618B9" w14:textId="28E667E3" w:rsidR="00B1376B" w:rsidRPr="009B605C" w:rsidRDefault="00000000" w:rsidP="0087752F">
      <w:pPr>
        <w:pStyle w:val="BodyText"/>
        <w:spacing w:before="160" w:after="160" w:line="360" w:lineRule="auto"/>
        <w:ind w:left="2160" w:firstLine="720"/>
        <w:rPr>
          <w:rFonts w:ascii="Cambria" w:hAnsi="Cambria" w:cs="Times New Roman"/>
          <w:lang w:val="en-GB"/>
        </w:rPr>
      </w:pPr>
      <m:oMath>
        <m:sSubSup>
          <m:sSubSupPr>
            <m:ctrlPr>
              <w:rPr>
                <w:rFonts w:ascii="Cambria Math" w:hAnsi="Cambria Math" w:cs="Times New Roman"/>
                <w:lang w:val="en-GB"/>
              </w:rPr>
            </m:ctrlPr>
          </m:sSubSupPr>
          <m:e>
            <m:r>
              <w:rPr>
                <w:rFonts w:ascii="Cambria Math" w:hAnsi="Cambria Math" w:cs="Times New Roman"/>
                <w:lang w:val="en-GB"/>
              </w:rPr>
              <m:t>Θ</m:t>
            </m:r>
          </m:e>
          <m:sub>
            <m:r>
              <w:rPr>
                <w:rFonts w:ascii="Cambria Math" w:hAnsi="Cambria Math" w:cs="Times New Roman"/>
                <w:lang w:val="en-GB"/>
              </w:rPr>
              <m:t>i←j,τ</m:t>
            </m:r>
          </m:sub>
          <m:sup>
            <m:r>
              <w:rPr>
                <w:rFonts w:ascii="Cambria Math" w:hAnsi="Cambria Math" w:cs="Times New Roman"/>
                <w:lang w:val="en-GB"/>
              </w:rPr>
              <m:t>g</m:t>
            </m:r>
          </m:sup>
        </m:sSubSup>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m:t>
            </m:r>
            <m:sSubSup>
              <m:sSubSupPr>
                <m:ctrlPr>
                  <w:rPr>
                    <w:rFonts w:ascii="Cambria Math" w:hAnsi="Cambria Math" w:cs="Times New Roman"/>
                    <w:lang w:val="en-GB"/>
                  </w:rPr>
                </m:ctrlPr>
              </m:sSubSupPr>
              <m:e>
                <m:d>
                  <m:dPr>
                    <m:ctrlPr>
                      <w:rPr>
                        <w:rFonts w:ascii="Cambria Math" w:hAnsi="Cambria Math" w:cs="Times New Roman"/>
                        <w:lang w:val="en-GB"/>
                      </w:rPr>
                    </m:ctrlPr>
                  </m:dPr>
                  <m:e>
                    <m:r>
                      <w:rPr>
                        <w:rFonts w:ascii="Cambria Math" w:hAnsi="Cambria Math" w:cs="Times New Roman"/>
                        <w:lang w:val="en-GB"/>
                      </w:rPr>
                      <m:t>τ</m:t>
                    </m:r>
                  </m:e>
                </m:d>
              </m:e>
              <m:sub>
                <m:r>
                  <w:rPr>
                    <w:rFonts w:ascii="Cambria Math" w:hAnsi="Cambria Math" w:cs="Times New Roman"/>
                    <w:lang w:val="en-GB"/>
                  </w:rPr>
                  <m:t>jj</m:t>
                </m:r>
              </m:sub>
              <m:sup>
                <m:r>
                  <m:rPr>
                    <m:sty m:val="p"/>
                  </m:rPr>
                  <w:rPr>
                    <w:rFonts w:ascii="Cambria Math" w:hAnsi="Cambria Math" w:cs="Times New Roman"/>
                    <w:lang w:val="en-GB"/>
                  </w:rPr>
                  <m:t>-</m:t>
                </m:r>
                <m:r>
                  <w:rPr>
                    <w:rFonts w:ascii="Cambria Math" w:hAnsi="Cambria Math" w:cs="Times New Roman"/>
                    <w:lang w:val="en-GB"/>
                  </w:rPr>
                  <m:t>1</m:t>
                </m:r>
              </m:sup>
            </m:sSubSup>
            <m:nary>
              <m:naryPr>
                <m:chr m:val="∑"/>
                <m:limLoc m:val="undOvr"/>
                <m:ctrlPr>
                  <w:rPr>
                    <w:rFonts w:ascii="Cambria Math" w:hAnsi="Cambria Math" w:cs="Times New Roman"/>
                    <w:lang w:val="en-GB"/>
                  </w:rPr>
                </m:ctrlPr>
              </m:naryPr>
              <m:sub>
                <m:r>
                  <w:rPr>
                    <w:rFonts w:ascii="Cambria Math" w:hAnsi="Cambria Math" w:cs="Times New Roman"/>
                    <w:lang w:val="en-GB"/>
                  </w:rPr>
                  <m:t>f</m:t>
                </m:r>
                <m:r>
                  <m:rPr>
                    <m:sty m:val="p"/>
                  </m:rPr>
                  <w:rPr>
                    <w:rFonts w:ascii="Cambria Math" w:hAnsi="Cambria Math" w:cs="Times New Roman"/>
                    <w:lang w:val="en-GB"/>
                  </w:rPr>
                  <m:t>=</m:t>
                </m:r>
                <m:r>
                  <w:rPr>
                    <w:rFonts w:ascii="Cambria Math" w:hAnsi="Cambria Math" w:cs="Times New Roman"/>
                    <w:lang w:val="en-GB"/>
                  </w:rPr>
                  <m:t>0</m:t>
                </m:r>
              </m:sub>
              <m:sup>
                <m:r>
                  <w:rPr>
                    <w:rFonts w:ascii="Cambria Math" w:hAnsi="Cambria Math" w:cs="Times New Roman"/>
                    <w:lang w:val="en-GB"/>
                  </w:rPr>
                  <m:t>F</m:t>
                </m:r>
                <m:r>
                  <m:rPr>
                    <m:sty m:val="p"/>
                  </m:rPr>
                  <w:rPr>
                    <w:rFonts w:ascii="Cambria Math" w:hAnsi="Cambria Math" w:cs="Times New Roman"/>
                    <w:lang w:val="en-GB"/>
                  </w:rPr>
                  <m:t>-</m:t>
                </m:r>
                <m:r>
                  <w:rPr>
                    <w:rFonts w:ascii="Cambria Math" w:hAnsi="Cambria Math" w:cs="Times New Roman"/>
                    <w:lang w:val="en-GB"/>
                  </w:rPr>
                  <m:t>1</m:t>
                </m:r>
              </m:sup>
              <m:e>
                <m:sSup>
                  <m:sSupPr>
                    <m:ctrlPr>
                      <w:rPr>
                        <w:rFonts w:ascii="Cambria Math" w:hAnsi="Cambria Math" w:cs="Times New Roman"/>
                        <w:lang w:val="en-GB"/>
                      </w:rPr>
                    </m:ctrlPr>
                  </m:sSupPr>
                  <m:e>
                    <m:d>
                      <m:dPr>
                        <m:ctrlPr>
                          <w:rPr>
                            <w:rFonts w:ascii="Cambria Math" w:hAnsi="Cambria Math" w:cs="Times New Roman"/>
                            <w:lang w:val="en-GB"/>
                          </w:rPr>
                        </m:ctrlPr>
                      </m:dPr>
                      <m:e>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i</m:t>
                            </m:r>
                          </m:sub>
                          <m:sup>
                            <m:r>
                              <w:rPr>
                                <w:rFonts w:ascii="Cambria Math" w:hAnsi="Cambria Math" w:cs="Times New Roman"/>
                                <w:lang w:val="en-GB"/>
                              </w:rPr>
                              <m:t>'</m:t>
                            </m:r>
                          </m:sup>
                        </m:sSubSup>
                        <m:sSub>
                          <m:sSubPr>
                            <m:ctrlPr>
                              <w:rPr>
                                <w:rFonts w:ascii="Cambria Math" w:hAnsi="Cambria Math" w:cs="Times New Roman"/>
                                <w:lang w:val="en-GB"/>
                              </w:rPr>
                            </m:ctrlPr>
                          </m:sSubPr>
                          <m:e>
                            <m:r>
                              <w:rPr>
                                <w:rFonts w:ascii="Cambria Math" w:hAnsi="Cambria Math" w:cs="Times New Roman"/>
                                <w:lang w:val="en-GB"/>
                              </w:rPr>
                              <m:t>Ω</m:t>
                            </m:r>
                          </m:e>
                          <m:sub>
                            <m:r>
                              <w:rPr>
                                <w:rFonts w:ascii="Cambria Math" w:hAnsi="Cambria Math" w:cs="Times New Roman"/>
                                <w:lang w:val="en-GB"/>
                              </w:rPr>
                              <m:t>h,τ</m:t>
                            </m:r>
                          </m:sub>
                        </m:sSub>
                        <m:r>
                          <m:rPr>
                            <m:sty m:val="p"/>
                          </m:rPr>
                          <w:rPr>
                            <w:rFonts w:ascii="Cambria Math" w:hAnsi="Cambria Math" w:cs="Times New Roman"/>
                            <w:lang w:val="en-GB"/>
                          </w:rPr>
                          <m:t>∑</m:t>
                        </m:r>
                        <m:d>
                          <m:dPr>
                            <m:ctrlPr>
                              <w:rPr>
                                <w:rFonts w:ascii="Cambria Math" w:hAnsi="Cambria Math" w:cs="Times New Roman"/>
                                <w:lang w:val="en-GB"/>
                              </w:rPr>
                            </m:ctrlPr>
                          </m:dPr>
                          <m:e>
                            <m:r>
                              <w:rPr>
                                <w:rFonts w:ascii="Cambria Math" w:hAnsi="Cambria Math" w:cs="Times New Roman"/>
                                <w:lang w:val="en-GB"/>
                              </w:rPr>
                              <m:t>τ</m:t>
                            </m:r>
                          </m:e>
                        </m:d>
                        <m:sSub>
                          <m:sSubPr>
                            <m:ctrlPr>
                              <w:rPr>
                                <w:rFonts w:ascii="Cambria Math" w:hAnsi="Cambria Math" w:cs="Times New Roman"/>
                                <w:lang w:val="en-GB"/>
                              </w:rPr>
                            </m:ctrlPr>
                          </m:sSubPr>
                          <m:e>
                            <m:r>
                              <w:rPr>
                                <w:rFonts w:ascii="Cambria Math" w:hAnsi="Cambria Math" w:cs="Times New Roman"/>
                                <w:lang w:val="en-GB"/>
                              </w:rPr>
                              <m:t>e</m:t>
                            </m:r>
                          </m:e>
                          <m:sub>
                            <m:r>
                              <w:rPr>
                                <w:rFonts w:ascii="Cambria Math" w:hAnsi="Cambria Math" w:cs="Times New Roman"/>
                                <w:lang w:val="en-GB"/>
                              </w:rPr>
                              <m:t>j</m:t>
                            </m:r>
                          </m:sub>
                        </m:sSub>
                      </m:e>
                    </m:d>
                  </m:e>
                  <m:sup>
                    <m:r>
                      <w:rPr>
                        <w:rFonts w:ascii="Cambria Math" w:hAnsi="Cambria Math" w:cs="Times New Roman"/>
                        <w:lang w:val="en-GB"/>
                      </w:rPr>
                      <m:t>2</m:t>
                    </m:r>
                  </m:sup>
                </m:sSup>
              </m:e>
            </m:nary>
          </m:num>
          <m:den>
            <m:nary>
              <m:naryPr>
                <m:chr m:val="∑"/>
                <m:limLoc m:val="undOvr"/>
                <m:ctrlPr>
                  <w:rPr>
                    <w:rFonts w:ascii="Cambria Math" w:hAnsi="Cambria Math" w:cs="Times New Roman"/>
                    <w:lang w:val="en-GB"/>
                  </w:rPr>
                </m:ctrlPr>
              </m:naryPr>
              <m:sub>
                <m:r>
                  <w:rPr>
                    <w:rFonts w:ascii="Cambria Math" w:hAnsi="Cambria Math" w:cs="Times New Roman"/>
                    <w:lang w:val="en-GB"/>
                  </w:rPr>
                  <m:t>f</m:t>
                </m:r>
                <m:r>
                  <m:rPr>
                    <m:sty m:val="p"/>
                  </m:rPr>
                  <w:rPr>
                    <w:rFonts w:ascii="Cambria Math" w:hAnsi="Cambria Math" w:cs="Times New Roman"/>
                    <w:lang w:val="en-GB"/>
                  </w:rPr>
                  <m:t>=</m:t>
                </m:r>
                <m:r>
                  <w:rPr>
                    <w:rFonts w:ascii="Cambria Math" w:hAnsi="Cambria Math" w:cs="Times New Roman"/>
                    <w:lang w:val="en-GB"/>
                  </w:rPr>
                  <m:t>0</m:t>
                </m:r>
              </m:sub>
              <m:sup>
                <m:r>
                  <w:rPr>
                    <w:rFonts w:ascii="Cambria Math" w:hAnsi="Cambria Math" w:cs="Times New Roman"/>
                    <w:lang w:val="en-GB"/>
                  </w:rPr>
                  <m:t>F</m:t>
                </m:r>
                <m:r>
                  <m:rPr>
                    <m:sty m:val="p"/>
                  </m:rPr>
                  <w:rPr>
                    <w:rFonts w:ascii="Cambria Math" w:hAnsi="Cambria Math" w:cs="Times New Roman"/>
                    <w:lang w:val="en-GB"/>
                  </w:rPr>
                  <m:t>-</m:t>
                </m:r>
                <m:r>
                  <w:rPr>
                    <w:rFonts w:ascii="Cambria Math" w:hAnsi="Cambria Math" w:cs="Times New Roman"/>
                    <w:lang w:val="en-GB"/>
                  </w:rPr>
                  <m:t>1</m:t>
                </m:r>
              </m:sup>
              <m:e>
                <m:d>
                  <m:dPr>
                    <m:ctrlPr>
                      <w:rPr>
                        <w:rFonts w:ascii="Cambria Math" w:hAnsi="Cambria Math" w:cs="Times New Roman"/>
                        <w:lang w:val="en-GB"/>
                      </w:rPr>
                    </m:ctrlPr>
                  </m:dPr>
                  <m:e>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i</m:t>
                        </m:r>
                      </m:sub>
                      <m:sup>
                        <m:r>
                          <w:rPr>
                            <w:rFonts w:ascii="Cambria Math" w:hAnsi="Cambria Math" w:cs="Times New Roman"/>
                            <w:lang w:val="en-GB"/>
                          </w:rPr>
                          <m:t>'</m:t>
                        </m:r>
                      </m:sup>
                    </m:sSubSup>
                    <m:sSub>
                      <m:sSubPr>
                        <m:ctrlPr>
                          <w:rPr>
                            <w:rFonts w:ascii="Cambria Math" w:hAnsi="Cambria Math" w:cs="Times New Roman"/>
                            <w:lang w:val="en-GB"/>
                          </w:rPr>
                        </m:ctrlPr>
                      </m:sSubPr>
                      <m:e>
                        <m:r>
                          <w:rPr>
                            <w:rFonts w:ascii="Cambria Math" w:hAnsi="Cambria Math" w:cs="Times New Roman"/>
                            <w:lang w:val="en-GB"/>
                          </w:rPr>
                          <m:t>Ω</m:t>
                        </m:r>
                      </m:e>
                      <m:sub>
                        <m:r>
                          <w:rPr>
                            <w:rFonts w:ascii="Cambria Math" w:hAnsi="Cambria Math" w:cs="Times New Roman"/>
                            <w:lang w:val="en-GB"/>
                          </w:rPr>
                          <m:t>h,τ</m:t>
                        </m:r>
                      </m:sub>
                    </m:sSub>
                    <m:r>
                      <m:rPr>
                        <m:sty m:val="p"/>
                      </m:rPr>
                      <w:rPr>
                        <w:rFonts w:ascii="Cambria Math" w:hAnsi="Cambria Math" w:cs="Times New Roman"/>
                        <w:lang w:val="en-GB"/>
                      </w:rPr>
                      <m:t>∑</m:t>
                    </m:r>
                    <m:d>
                      <m:dPr>
                        <m:ctrlPr>
                          <w:rPr>
                            <w:rFonts w:ascii="Cambria Math" w:hAnsi="Cambria Math" w:cs="Times New Roman"/>
                            <w:lang w:val="en-GB"/>
                          </w:rPr>
                        </m:ctrlPr>
                      </m:dPr>
                      <m:e>
                        <m:r>
                          <w:rPr>
                            <w:rFonts w:ascii="Cambria Math" w:hAnsi="Cambria Math" w:cs="Times New Roman"/>
                            <w:lang w:val="en-GB"/>
                          </w:rPr>
                          <m:t>τ</m:t>
                        </m:r>
                      </m:e>
                    </m:d>
                    <m:sSup>
                      <m:sSupPr>
                        <m:ctrlPr>
                          <w:rPr>
                            <w:rFonts w:ascii="Cambria Math" w:hAnsi="Cambria Math" w:cs="Times New Roman"/>
                            <w:lang w:val="en-GB"/>
                          </w:rPr>
                        </m:ctrlPr>
                      </m:sSupPr>
                      <m:e>
                        <m:sSub>
                          <m:sSubPr>
                            <m:ctrlPr>
                              <w:rPr>
                                <w:rFonts w:ascii="Cambria Math" w:hAnsi="Cambria Math" w:cs="Times New Roman"/>
                                <w:lang w:val="en-GB"/>
                              </w:rPr>
                            </m:ctrlPr>
                          </m:sSubPr>
                          <m:e>
                            <m:r>
                              <w:rPr>
                                <w:rFonts w:ascii="Cambria Math" w:hAnsi="Cambria Math" w:cs="Times New Roman"/>
                                <w:lang w:val="en-GB"/>
                              </w:rPr>
                              <m:t>Ω</m:t>
                            </m:r>
                          </m:e>
                          <m:sub>
                            <m:r>
                              <w:rPr>
                                <w:rFonts w:ascii="Cambria Math" w:hAnsi="Cambria Math" w:cs="Times New Roman"/>
                                <w:lang w:val="en-GB"/>
                              </w:rPr>
                              <m:t>h,τ</m:t>
                            </m:r>
                          </m:sub>
                        </m:sSub>
                        <m:ctrlPr>
                          <w:rPr>
                            <w:rFonts w:ascii="Cambria Math" w:hAnsi="Cambria Math" w:cs="Times New Roman"/>
                            <w:i/>
                            <w:lang w:val="en-GB"/>
                          </w:rPr>
                        </m:ctrlPr>
                      </m:e>
                      <m:sup>
                        <m:r>
                          <w:rPr>
                            <w:rFonts w:ascii="Cambria Math" w:hAnsi="Cambria Math" w:cs="Times New Roman"/>
                            <w:lang w:val="en-GB"/>
                          </w:rPr>
                          <m:t>'</m:t>
                        </m:r>
                      </m:sup>
                    </m:sSup>
                    <m:sSub>
                      <m:sSubPr>
                        <m:ctrlPr>
                          <w:rPr>
                            <w:rFonts w:ascii="Cambria Math" w:hAnsi="Cambria Math" w:cs="Times New Roman"/>
                            <w:lang w:val="en-GB"/>
                          </w:rPr>
                        </m:ctrlPr>
                      </m:sSubPr>
                      <m:e>
                        <m:r>
                          <w:rPr>
                            <w:rFonts w:ascii="Cambria Math" w:hAnsi="Cambria Math" w:cs="Times New Roman"/>
                            <w:lang w:val="en-GB"/>
                          </w:rPr>
                          <m:t>e</m:t>
                        </m:r>
                      </m:e>
                      <m:sub>
                        <m:r>
                          <w:rPr>
                            <w:rFonts w:ascii="Cambria Math" w:hAnsi="Cambria Math" w:cs="Times New Roman"/>
                            <w:lang w:val="en-GB"/>
                          </w:rPr>
                          <m:t>i</m:t>
                        </m:r>
                      </m:sub>
                    </m:sSub>
                  </m:e>
                </m:d>
              </m:e>
            </m:nary>
          </m:den>
        </m:f>
      </m:oMath>
      <w:r w:rsidR="00B1376B" w:rsidRPr="009B605C">
        <w:rPr>
          <w:rFonts w:ascii="Cambria" w:hAnsi="Cambria" w:cs="Times New Roman"/>
          <w:lang w:val="en-GB"/>
        </w:rPr>
        <w:tab/>
      </w:r>
      <w:r w:rsidR="00B1376B" w:rsidRPr="009B605C">
        <w:rPr>
          <w:rFonts w:ascii="Cambria" w:hAnsi="Cambria" w:cs="Times New Roman"/>
          <w:lang w:val="en-GB"/>
        </w:rPr>
        <w:tab/>
      </w:r>
      <w:r w:rsidR="00B1376B" w:rsidRPr="009B605C">
        <w:rPr>
          <w:rFonts w:ascii="Cambria" w:hAnsi="Cambria" w:cs="Times New Roman"/>
          <w:lang w:val="en-GB"/>
        </w:rPr>
        <w:tab/>
      </w:r>
      <w:r w:rsidR="00A04325" w:rsidRPr="009B605C">
        <w:rPr>
          <w:rFonts w:ascii="Cambria" w:hAnsi="Cambria" w:cs="Times New Roman"/>
          <w:lang w:val="en-GB"/>
        </w:rPr>
        <w:tab/>
      </w:r>
      <w:r w:rsidR="00B1376B" w:rsidRPr="009B605C">
        <w:rPr>
          <w:rFonts w:ascii="Cambria" w:hAnsi="Cambria" w:cs="Times New Roman"/>
          <w:lang w:val="en-GB"/>
        </w:rPr>
        <w:t>(</w:t>
      </w:r>
      <w:r w:rsidR="00554F77" w:rsidRPr="009B605C">
        <w:rPr>
          <w:rFonts w:ascii="Cambria" w:hAnsi="Cambria" w:cs="Times New Roman"/>
          <w:lang w:val="en-GB"/>
        </w:rPr>
        <w:t>2</w:t>
      </w:r>
      <w:r w:rsidR="00B1376B" w:rsidRPr="009B605C">
        <w:rPr>
          <w:rFonts w:ascii="Cambria" w:hAnsi="Cambria" w:cs="Times New Roman"/>
          <w:lang w:val="en-GB"/>
        </w:rPr>
        <w:t>)</w:t>
      </w:r>
    </w:p>
    <w:p w14:paraId="03EA9895" w14:textId="1688B07A" w:rsidR="00B1376B" w:rsidRPr="009B605C" w:rsidRDefault="00B1376B" w:rsidP="0087752F">
      <w:pPr>
        <w:pStyle w:val="FirstParagraph"/>
        <w:spacing w:before="0" w:after="0" w:line="360" w:lineRule="auto"/>
        <w:jc w:val="both"/>
        <w:rPr>
          <w:rFonts w:ascii="Cambria" w:eastAsia="Arial" w:hAnsi="Cambria" w:cs="Times New Roman"/>
          <w:lang w:val="en-GB"/>
        </w:rPr>
      </w:pPr>
      <w:r w:rsidRPr="009B605C">
        <w:rPr>
          <w:rFonts w:ascii="Cambria" w:hAnsi="Cambria" w:cs="Times New Roman"/>
          <w:lang w:val="en-GB"/>
        </w:rPr>
        <w:t xml:space="preserve">where </w:t>
      </w:r>
      <m:oMath>
        <m:sSub>
          <m:sSubPr>
            <m:ctrlPr>
              <w:rPr>
                <w:rFonts w:ascii="Cambria Math" w:hAnsi="Cambria Math" w:cs="Times New Roman"/>
                <w:lang w:val="en-GB"/>
              </w:rPr>
            </m:ctrlPr>
          </m:sSubPr>
          <m:e>
            <m:r>
              <w:rPr>
                <w:rFonts w:ascii="Cambria Math" w:hAnsi="Cambria Math" w:cs="Times New Roman"/>
                <w:lang w:val="en-GB"/>
              </w:rPr>
              <m:t>e</m:t>
            </m:r>
          </m:e>
          <m:sub>
            <m:r>
              <w:rPr>
                <w:rFonts w:ascii="Cambria Math" w:hAnsi="Cambria Math" w:cs="Times New Roman"/>
                <w:lang w:val="en-GB"/>
              </w:rPr>
              <m:t>i</m:t>
            </m:r>
          </m:sub>
        </m:sSub>
      </m:oMath>
      <w:r w:rsidRPr="009B605C">
        <w:rPr>
          <w:rFonts w:ascii="Cambria" w:hAnsi="Cambria" w:cs="Times New Roman"/>
          <w:lang w:val="en-GB"/>
        </w:rPr>
        <w:t xml:space="preserve"> is a zero vector with unity on the </w:t>
      </w:r>
      <m:oMath>
        <m:r>
          <w:rPr>
            <w:rFonts w:ascii="Cambria Math" w:hAnsi="Cambria Math" w:cs="Times New Roman"/>
            <w:lang w:val="en-GB"/>
          </w:rPr>
          <m:t>i</m:t>
        </m:r>
      </m:oMath>
      <w:r w:rsidRPr="009B605C">
        <w:rPr>
          <w:rFonts w:ascii="Cambria" w:hAnsi="Cambria" w:cs="Times New Roman"/>
          <w:lang w:val="en-GB"/>
        </w:rPr>
        <w:t>-th position</w:t>
      </w:r>
      <w:r w:rsidR="00770536" w:rsidRPr="009B605C">
        <w:rPr>
          <w:rFonts w:ascii="Cambria" w:hAnsi="Cambria" w:cs="Times New Roman"/>
          <w:lang w:val="en-GB"/>
        </w:rPr>
        <w:t>, and</w:t>
      </w:r>
      <w:r w:rsidR="00A04325" w:rsidRPr="009B605C">
        <w:rPr>
          <w:rFonts w:ascii="Cambria" w:hAnsi="Cambria" w:cs="Times New Roman"/>
          <w:lang w:val="en-GB"/>
        </w:rPr>
        <w:t xml:space="preserve"> </w:t>
      </w:r>
      <m:oMath>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lang w:val="en-GB"/>
              </w:rPr>
            </m:ctrlPr>
          </m:dPr>
          <m:e>
            <m:r>
              <w:rPr>
                <w:rFonts w:ascii="Cambria Math" w:hAnsi="Cambria Math" w:cs="Times New Roman"/>
                <w:lang w:val="en-GB"/>
              </w:rPr>
              <m:t>F</m:t>
            </m:r>
          </m:e>
        </m:d>
      </m:oMath>
      <w:r w:rsidRPr="009B605C">
        <w:rPr>
          <w:rFonts w:ascii="Cambria" w:hAnsi="Cambria" w:cs="Times New Roman"/>
          <w:lang w:val="en-GB"/>
        </w:rPr>
        <w:t xml:space="preserve"> </w:t>
      </w:r>
      <w:r w:rsidRPr="009B605C">
        <w:rPr>
          <w:rFonts w:ascii="Cambria" w:eastAsia="Arial" w:hAnsi="Cambria" w:cs="Times New Roman"/>
          <w:lang w:val="en-GB"/>
        </w:rPr>
        <w:t>normalizes the unscaled GFEVD as:</w:t>
      </w:r>
    </w:p>
    <w:p w14:paraId="56933784" w14:textId="1A8D41B9" w:rsidR="00B1376B" w:rsidRPr="009B605C" w:rsidRDefault="00000000" w:rsidP="0087752F">
      <w:pPr>
        <w:pStyle w:val="BodyText"/>
        <w:spacing w:before="160" w:after="160" w:line="360" w:lineRule="auto"/>
        <w:ind w:left="2880" w:firstLine="720"/>
        <w:rPr>
          <w:rFonts w:ascii="Cambria" w:hAnsi="Cambria" w:cs="Times New Roman"/>
          <w:lang w:val="en-GB"/>
        </w:rPr>
      </w:pPr>
      <m:oMath>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i←j,τ</m:t>
            </m:r>
          </m:sub>
          <m:sup>
            <m:r>
              <w:rPr>
                <w:rFonts w:ascii="Cambria Math" w:hAnsi="Cambria Math" w:cs="Times New Roman"/>
                <w:lang w:val="en-GB"/>
              </w:rPr>
              <m:t>g</m:t>
            </m:r>
          </m:sup>
        </m:sSubSup>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f>
          <m:fPr>
            <m:ctrlPr>
              <w:rPr>
                <w:rFonts w:ascii="Cambria Math" w:hAnsi="Cambria Math" w:cs="Times New Roman"/>
                <w:lang w:val="en-GB"/>
              </w:rPr>
            </m:ctrlPr>
          </m:fPr>
          <m:num>
            <m:sSubSup>
              <m:sSubSupPr>
                <m:ctrlPr>
                  <w:rPr>
                    <w:rFonts w:ascii="Cambria Math" w:hAnsi="Cambria Math" w:cs="Times New Roman"/>
                    <w:lang w:val="en-GB"/>
                  </w:rPr>
                </m:ctrlPr>
              </m:sSubSupPr>
              <m:e>
                <m:r>
                  <w:rPr>
                    <w:rFonts w:ascii="Cambria Math" w:hAnsi="Cambria Math" w:cs="Times New Roman"/>
                    <w:lang w:val="en-GB"/>
                  </w:rPr>
                  <m:t>Θ</m:t>
                </m:r>
              </m:e>
              <m:sub>
                <m:r>
                  <w:rPr>
                    <w:rFonts w:ascii="Cambria Math" w:hAnsi="Cambria Math" w:cs="Times New Roman"/>
                    <w:lang w:val="en-GB"/>
                  </w:rPr>
                  <m:t>i←j,τ</m:t>
                </m:r>
              </m:sub>
              <m:sup>
                <m:r>
                  <w:rPr>
                    <w:rFonts w:ascii="Cambria Math" w:hAnsi="Cambria Math" w:cs="Times New Roman"/>
                    <w:lang w:val="en-GB"/>
                  </w:rPr>
                  <m:t>g</m:t>
                </m:r>
              </m:sup>
            </m:sSubSup>
            <m:d>
              <m:dPr>
                <m:ctrlPr>
                  <w:rPr>
                    <w:rFonts w:ascii="Cambria Math" w:hAnsi="Cambria Math" w:cs="Times New Roman"/>
                    <w:lang w:val="en-GB"/>
                  </w:rPr>
                </m:ctrlPr>
              </m:dPr>
              <m:e>
                <m:r>
                  <w:rPr>
                    <w:rFonts w:ascii="Cambria Math" w:hAnsi="Cambria Math" w:cs="Times New Roman"/>
                    <w:lang w:val="en-GB"/>
                  </w:rPr>
                  <m:t>F</m:t>
                </m:r>
              </m:e>
            </m:d>
          </m:num>
          <m:den>
            <m:nary>
              <m:naryPr>
                <m:chr m:val="∑"/>
                <m:limLoc m:val="undOvr"/>
                <m:ctrlPr>
                  <w:rPr>
                    <w:rFonts w:ascii="Cambria Math" w:hAnsi="Cambria Math" w:cs="Times New Roman"/>
                    <w:lang w:val="en-GB"/>
                  </w:rPr>
                </m:ctrlPr>
              </m:naryPr>
              <m:sub>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sub>
              <m:sup>
                <m:r>
                  <w:rPr>
                    <w:rFonts w:ascii="Cambria Math" w:hAnsi="Cambria Math" w:cs="Times New Roman"/>
                    <w:lang w:val="en-GB"/>
                  </w:rPr>
                  <m:t>m</m:t>
                </m:r>
              </m:sup>
              <m:e>
                <m:sSubSup>
                  <m:sSubSupPr>
                    <m:ctrlPr>
                      <w:rPr>
                        <w:rFonts w:ascii="Cambria Math" w:hAnsi="Cambria Math" w:cs="Times New Roman"/>
                        <w:lang w:val="en-GB"/>
                      </w:rPr>
                    </m:ctrlPr>
                  </m:sSubSupPr>
                  <m:e>
                    <m:r>
                      <w:rPr>
                        <w:rFonts w:ascii="Cambria Math" w:hAnsi="Cambria Math" w:cs="Times New Roman"/>
                        <w:lang w:val="en-GB"/>
                      </w:rPr>
                      <m:t>Θ</m:t>
                    </m:r>
                  </m:e>
                  <m:sub>
                    <m:r>
                      <w:rPr>
                        <w:rFonts w:ascii="Cambria Math" w:hAnsi="Cambria Math" w:cs="Times New Roman"/>
                        <w:lang w:val="en-GB"/>
                      </w:rPr>
                      <m:t>i←j,τ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den>
        </m:f>
      </m:oMath>
      <w:r w:rsidR="00B1376B" w:rsidRPr="009B605C">
        <w:rPr>
          <w:rFonts w:ascii="Cambria" w:hAnsi="Cambria" w:cs="Times New Roman"/>
          <w:lang w:val="en-GB"/>
        </w:rPr>
        <w:t xml:space="preserve"> </w:t>
      </w:r>
      <w:r w:rsidR="00B1376B" w:rsidRPr="009B605C">
        <w:rPr>
          <w:rFonts w:ascii="Cambria" w:hAnsi="Cambria" w:cs="Times New Roman"/>
          <w:lang w:val="en-GB"/>
        </w:rPr>
        <w:tab/>
      </w:r>
      <w:r w:rsidR="00B1376B" w:rsidRPr="009B605C">
        <w:rPr>
          <w:rFonts w:ascii="Cambria" w:hAnsi="Cambria" w:cs="Times New Roman"/>
          <w:lang w:val="en-GB"/>
        </w:rPr>
        <w:tab/>
      </w:r>
      <w:r w:rsidR="00B1376B" w:rsidRPr="009B605C">
        <w:rPr>
          <w:rFonts w:ascii="Cambria" w:hAnsi="Cambria" w:cs="Times New Roman"/>
          <w:lang w:val="en-GB"/>
        </w:rPr>
        <w:tab/>
      </w:r>
      <w:r w:rsidR="00B1376B" w:rsidRPr="009B605C">
        <w:rPr>
          <w:rFonts w:ascii="Cambria" w:hAnsi="Cambria" w:cs="Times New Roman"/>
          <w:lang w:val="en-GB"/>
        </w:rPr>
        <w:tab/>
        <w:t>(</w:t>
      </w:r>
      <w:r w:rsidR="00554F77" w:rsidRPr="009B605C">
        <w:rPr>
          <w:rFonts w:ascii="Cambria" w:hAnsi="Cambria" w:cs="Times New Roman"/>
          <w:lang w:val="en-GB"/>
        </w:rPr>
        <w:t>3</w:t>
      </w:r>
      <w:r w:rsidR="00B1376B" w:rsidRPr="009B605C">
        <w:rPr>
          <w:rFonts w:ascii="Cambria" w:hAnsi="Cambria" w:cs="Times New Roman"/>
          <w:lang w:val="en-GB"/>
        </w:rPr>
        <w:t>)</w:t>
      </w:r>
    </w:p>
    <w:p w14:paraId="008FE440" w14:textId="1488C303" w:rsidR="00B1376B" w:rsidRPr="009B605C" w:rsidRDefault="00B1376B" w:rsidP="0087752F">
      <w:pPr>
        <w:pStyle w:val="FirstParagraph"/>
        <w:spacing w:before="0" w:after="0" w:line="360" w:lineRule="auto"/>
        <w:jc w:val="both"/>
        <w:rPr>
          <w:rFonts w:ascii="Cambria" w:hAnsi="Cambria" w:cs="Times New Roman"/>
          <w:lang w:val="en-GB"/>
        </w:rPr>
      </w:pPr>
      <w:r w:rsidRPr="009B605C">
        <w:rPr>
          <w:rFonts w:ascii="Cambria" w:hAnsi="Cambria" w:cs="Times New Roman"/>
          <w:lang w:val="en-GB"/>
        </w:rPr>
        <w:t xml:space="preserve">where </w:t>
      </w:r>
      <m:oMath>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lang w:val="en-GB"/>
              </w:rPr>
            </m:ctrlPr>
          </m:dPr>
          <m:e>
            <m:r>
              <w:rPr>
                <w:rFonts w:ascii="Cambria Math" w:hAnsi="Cambria Math" w:cs="Times New Roman"/>
                <w:lang w:val="en-GB"/>
              </w:rPr>
              <m:t>F</m:t>
            </m:r>
          </m:e>
        </m:d>
      </m:oMath>
      <w:r w:rsidRPr="009B605C">
        <w:rPr>
          <w:rFonts w:ascii="Cambria" w:hAnsi="Cambria" w:cs="Times New Roman"/>
          <w:lang w:val="en-GB"/>
        </w:rPr>
        <w:t xml:space="preserve"> is the pairwise directional connectedness from variable </w:t>
      </w:r>
      <m:oMath>
        <m:r>
          <w:rPr>
            <w:rFonts w:ascii="Cambria Math" w:hAnsi="Cambria Math" w:cs="Times New Roman"/>
            <w:lang w:val="en-GB"/>
          </w:rPr>
          <m:t>j</m:t>
        </m:r>
      </m:oMath>
      <w:r w:rsidRPr="009B605C">
        <w:rPr>
          <w:rFonts w:ascii="Cambria" w:hAnsi="Cambria" w:cs="Times New Roman"/>
          <w:lang w:val="en-GB"/>
        </w:rPr>
        <w:t xml:space="preserve"> to variable </w:t>
      </w:r>
      <m:oMath>
        <m:r>
          <w:rPr>
            <w:rFonts w:ascii="Cambria Math" w:hAnsi="Cambria Math" w:cs="Times New Roman"/>
            <w:lang w:val="en-GB"/>
          </w:rPr>
          <m:t>i</m:t>
        </m:r>
      </m:oMath>
      <w:r w:rsidRPr="009B605C">
        <w:rPr>
          <w:rFonts w:ascii="Cambria" w:hAnsi="Cambria" w:cs="Times New Roman"/>
          <w:lang w:val="en-GB"/>
        </w:rPr>
        <w:t xml:space="preserve">, </w:t>
      </w:r>
      <m:oMath>
        <m:nary>
          <m:naryPr>
            <m:chr m:val="∑"/>
            <m:limLoc m:val="undOvr"/>
            <m:ctrlPr>
              <w:rPr>
                <w:rFonts w:ascii="Cambria Math" w:hAnsi="Cambria Math" w:cs="Times New Roman"/>
                <w:lang w:val="en-GB"/>
              </w:rPr>
            </m:ctrlPr>
          </m:naryPr>
          <m:sub>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sub>
          <m:sup>
            <m:r>
              <w:rPr>
                <w:rFonts w:ascii="Cambria Math" w:hAnsi="Cambria Math" w:cs="Times New Roman"/>
                <w:lang w:val="en-GB"/>
              </w:rPr>
              <m:t>m</m:t>
            </m:r>
          </m:sup>
          <m:e>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r>
          <w:rPr>
            <w:rFonts w:ascii="Cambria Math" w:hAnsi="Cambria Math" w:cs="Times New Roman"/>
            <w:lang w:val="en-GB"/>
          </w:rPr>
          <m:t xml:space="preserve">1 </m:t>
        </m:r>
      </m:oMath>
      <w:r w:rsidRPr="009B605C">
        <w:rPr>
          <w:rFonts w:ascii="Cambria" w:hAnsi="Cambria" w:cs="Times New Roman"/>
          <w:lang w:val="en-GB"/>
        </w:rPr>
        <w:t>and</w:t>
      </w:r>
      <m:oMath>
        <m:r>
          <w:rPr>
            <w:rFonts w:ascii="Cambria Math" w:hAnsi="Cambria Math" w:cs="Times New Roman"/>
            <w:lang w:val="en-GB"/>
          </w:rPr>
          <m:t xml:space="preserve"> </m:t>
        </m:r>
        <m:nary>
          <m:naryPr>
            <m:chr m:val="∑"/>
            <m:limLoc m:val="undOvr"/>
            <m:ctrlPr>
              <w:rPr>
                <w:rFonts w:ascii="Cambria Math" w:hAnsi="Cambria Math" w:cs="Times New Roman"/>
                <w:lang w:val="en-GB"/>
              </w:rPr>
            </m:ctrlPr>
          </m:naryPr>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sub>
          <m:sup>
            <m:r>
              <w:rPr>
                <w:rFonts w:ascii="Cambria Math" w:hAnsi="Cambria Math" w:cs="Times New Roman"/>
                <w:lang w:val="en-GB"/>
              </w:rPr>
              <m:t>m</m:t>
            </m:r>
          </m:sup>
          <m:e>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m:t>
        </m:r>
      </m:oMath>
      <w:r w:rsidRPr="009B605C">
        <w:rPr>
          <w:rFonts w:ascii="Cambria" w:hAnsi="Cambria" w:cs="Times New Roman"/>
          <w:lang w:val="en-GB"/>
        </w:rPr>
        <w:t>.</w:t>
      </w:r>
    </w:p>
    <w:p w14:paraId="07C56BAE" w14:textId="01A613D9" w:rsidR="00B1376B" w:rsidRPr="009B605C" w:rsidRDefault="004C2C8A" w:rsidP="0087752F">
      <w:pPr>
        <w:pStyle w:val="BodyText"/>
        <w:spacing w:line="360" w:lineRule="auto"/>
        <w:ind w:firstLine="720"/>
        <w:rPr>
          <w:rFonts w:ascii="Cambria" w:hAnsi="Cambria" w:cs="Times New Roman"/>
          <w:lang w:val="en-GB"/>
        </w:rPr>
      </w:pPr>
      <w:r w:rsidRPr="009B605C">
        <w:rPr>
          <w:rFonts w:ascii="Cambria" w:hAnsi="Cambria" w:cs="Times New Roman"/>
          <w:lang w:val="en-GB"/>
        </w:rPr>
        <w:t>Subsequently, we derive the following four connectedness measures for each quantile, τ:</w:t>
      </w:r>
    </w:p>
    <w:p w14:paraId="3BC0AFB1" w14:textId="7A171C76" w:rsidR="00B1376B" w:rsidRPr="009B605C" w:rsidRDefault="00B1376B" w:rsidP="0087752F">
      <w:pPr>
        <w:pStyle w:val="BodyText"/>
        <w:spacing w:before="160" w:after="160" w:line="360" w:lineRule="auto"/>
        <w:ind w:left="2160" w:firstLine="720"/>
        <w:rPr>
          <w:rFonts w:ascii="Cambria" w:hAnsi="Cambria" w:cs="Times New Roman"/>
          <w:lang w:val="en-GB"/>
        </w:rPr>
      </w:pPr>
      <m:oMath>
        <m:r>
          <w:rPr>
            <w:rFonts w:ascii="Cambria Math" w:hAnsi="Cambria Math" w:cs="Times New Roman"/>
            <w:lang w:val="en-GB"/>
          </w:rPr>
          <m:t>T</m:t>
        </m:r>
        <m:sSub>
          <m:sSubPr>
            <m:ctrlPr>
              <w:rPr>
                <w:rFonts w:ascii="Cambria Math" w:hAnsi="Cambria Math" w:cs="Times New Roman"/>
                <w:lang w:val="en-GB"/>
              </w:rPr>
            </m:ctrlPr>
          </m:sSubPr>
          <m:e>
            <m:r>
              <w:rPr>
                <w:rFonts w:ascii="Cambria Math" w:hAnsi="Cambria Math" w:cs="Times New Roman"/>
                <w:lang w:val="en-GB"/>
              </w:rPr>
              <m:t>O</m:t>
            </m:r>
          </m:e>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nary>
          <m:naryPr>
            <m:chr m:val="∑"/>
            <m:limLoc m:val="undOvr"/>
            <m:ctrlPr>
              <w:rPr>
                <w:rFonts w:ascii="Cambria Math" w:hAnsi="Cambria Math" w:cs="Times New Roman"/>
                <w:lang w:val="en-GB"/>
              </w:rPr>
            </m:ctrlPr>
          </m:naryPr>
          <m:sub>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r>
              <m:rPr>
                <m:sty m:val="p"/>
              </m:rPr>
              <w:rPr>
                <w:rFonts w:ascii="Cambria Math" w:hAnsi="Cambria Math" w:cs="Times New Roman"/>
                <w:lang w:val="en-GB"/>
              </w:rPr>
              <m:t>,</m:t>
            </m:r>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j</m:t>
            </m:r>
          </m:sub>
          <m:sup>
            <m:r>
              <w:rPr>
                <w:rFonts w:ascii="Cambria Math" w:hAnsi="Cambria Math" w:cs="Times New Roman"/>
                <w:lang w:val="en-GB"/>
              </w:rPr>
              <m:t>m</m:t>
            </m:r>
          </m:sup>
          <m:e>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j←i</m:t>
                </m:r>
                <m:r>
                  <m:rPr>
                    <m:sty m:val="p"/>
                  </m:rPr>
                  <w:rPr>
                    <w:rFonts w:ascii="Cambria Math" w:hAnsi="Cambria Math" w:cs="Times New Roman"/>
                    <w:lang w:val="en-GB"/>
                  </w:rPr>
                  <m:t>,</m:t>
                </m:r>
                <m:r>
                  <w:rPr>
                    <w:rFonts w:ascii="Cambria Math" w:hAnsi="Cambria Math" w:cs="Times New Roman"/>
                    <w:lang w:val="en-GB"/>
                  </w:rPr>
                  <m:t>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oMath>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t>(</w:t>
      </w:r>
      <w:r w:rsidR="004C2C8A" w:rsidRPr="009B605C">
        <w:rPr>
          <w:rFonts w:ascii="Cambria" w:hAnsi="Cambria" w:cs="Times New Roman"/>
          <w:lang w:val="en-GB"/>
        </w:rPr>
        <w:t>4</w:t>
      </w:r>
      <w:r w:rsidRPr="009B605C">
        <w:rPr>
          <w:rFonts w:ascii="Cambria" w:hAnsi="Cambria" w:cs="Times New Roman"/>
          <w:lang w:val="en-GB"/>
        </w:rPr>
        <w:t>)</w:t>
      </w:r>
    </w:p>
    <w:p w14:paraId="0A71CC6E" w14:textId="761457BB" w:rsidR="00B1376B" w:rsidRPr="009B605C" w:rsidRDefault="00B1376B" w:rsidP="0087752F">
      <w:pPr>
        <w:pStyle w:val="FirstParagraph"/>
        <w:spacing w:before="160" w:after="160" w:line="360" w:lineRule="auto"/>
        <w:ind w:left="2160" w:firstLine="720"/>
        <w:jc w:val="both"/>
        <w:rPr>
          <w:rFonts w:ascii="Cambria" w:hAnsi="Cambria" w:cs="Times New Roman"/>
          <w:lang w:val="en-GB"/>
        </w:rPr>
      </w:pPr>
      <m:oMath>
        <m:r>
          <w:rPr>
            <w:rFonts w:ascii="Cambria Math" w:hAnsi="Cambria Math" w:cs="Times New Roman"/>
            <w:lang w:val="en-GB"/>
          </w:rPr>
          <m:t>FRO</m:t>
        </m:r>
        <m:sSub>
          <m:sSubPr>
            <m:ctrlPr>
              <w:rPr>
                <w:rFonts w:ascii="Cambria Math" w:hAnsi="Cambria Math" w:cs="Times New Roman"/>
                <w:lang w:val="en-GB"/>
              </w:rPr>
            </m:ctrlPr>
          </m:sSubPr>
          <m:e>
            <m:r>
              <w:rPr>
                <w:rFonts w:ascii="Cambria Math" w:hAnsi="Cambria Math" w:cs="Times New Roman"/>
                <w:lang w:val="en-GB"/>
              </w:rPr>
              <m:t>M</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nary>
          <m:naryPr>
            <m:chr m:val="∑"/>
            <m:limLoc m:val="undOvr"/>
            <m:ctrlPr>
              <w:rPr>
                <w:rFonts w:ascii="Cambria Math" w:hAnsi="Cambria Math" w:cs="Times New Roman"/>
                <w:lang w:val="en-GB"/>
              </w:rPr>
            </m:ctrlPr>
          </m:naryPr>
          <m:sub>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r>
              <m:rPr>
                <m:sty m:val="p"/>
              </m:rPr>
              <w:rPr>
                <w:rFonts w:ascii="Cambria Math" w:hAnsi="Cambria Math" w:cs="Times New Roman"/>
                <w:lang w:val="en-GB"/>
              </w:rPr>
              <m:t>,</m:t>
            </m:r>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j</m:t>
            </m:r>
          </m:sub>
          <m:sup>
            <m:r>
              <w:rPr>
                <w:rFonts w:ascii="Cambria Math" w:hAnsi="Cambria Math" w:cs="Times New Roman"/>
                <w:lang w:val="en-GB"/>
              </w:rPr>
              <m:t>m</m:t>
            </m:r>
          </m:sup>
          <m:e>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m:t>
                </m:r>
                <m:r>
                  <m:rPr>
                    <m:sty m:val="p"/>
                  </m:rPr>
                  <w:rPr>
                    <w:rFonts w:ascii="Cambria Math" w:hAnsi="Cambria Math" w:cs="Times New Roman"/>
                    <w:lang w:val="en-GB"/>
                  </w:rPr>
                  <m:t>,</m:t>
                </m:r>
                <m:r>
                  <w:rPr>
                    <w:rFonts w:ascii="Cambria Math" w:eastAsia="Arial" w:hAnsi="Cambria Math" w:cs="Times New Roman"/>
                    <w:lang w:val="en-GB"/>
                  </w:rPr>
                  <m:t>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oMath>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t>(</w:t>
      </w:r>
      <w:r w:rsidR="004C2C8A" w:rsidRPr="009B605C">
        <w:rPr>
          <w:rFonts w:ascii="Cambria" w:hAnsi="Cambria" w:cs="Times New Roman"/>
          <w:lang w:val="en-GB"/>
        </w:rPr>
        <w:t>5</w:t>
      </w:r>
      <w:r w:rsidRPr="009B605C">
        <w:rPr>
          <w:rFonts w:ascii="Cambria" w:hAnsi="Cambria" w:cs="Times New Roman"/>
          <w:lang w:val="en-GB"/>
        </w:rPr>
        <w:t>)</w:t>
      </w:r>
    </w:p>
    <w:p w14:paraId="37027E34" w14:textId="6BCFEB21" w:rsidR="00B1376B" w:rsidRPr="009B605C" w:rsidRDefault="00B1376B" w:rsidP="0087752F">
      <w:pPr>
        <w:pStyle w:val="FirstParagraph"/>
        <w:spacing w:before="160" w:after="160" w:line="360" w:lineRule="auto"/>
        <w:ind w:left="2160" w:firstLine="720"/>
        <w:jc w:val="both"/>
        <w:rPr>
          <w:rFonts w:ascii="Cambria" w:hAnsi="Cambria" w:cs="Times New Roman"/>
          <w:lang w:val="en-GB"/>
        </w:rPr>
      </w:pPr>
      <m:oMath>
        <m:r>
          <w:rPr>
            <w:rFonts w:ascii="Cambria Math" w:hAnsi="Cambria Math" w:cs="Times New Roman"/>
            <w:lang w:val="en-GB"/>
          </w:rPr>
          <m:t>NE</m:t>
        </m:r>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r>
          <w:rPr>
            <w:rFonts w:ascii="Cambria Math" w:hAnsi="Cambria Math" w:cs="Times New Roman"/>
            <w:lang w:val="en-GB"/>
          </w:rPr>
          <m:t>T</m:t>
        </m:r>
        <m:sSub>
          <m:sSubPr>
            <m:ctrlPr>
              <w:rPr>
                <w:rFonts w:ascii="Cambria Math" w:hAnsi="Cambria Math" w:cs="Times New Roman"/>
                <w:lang w:val="en-GB"/>
              </w:rPr>
            </m:ctrlPr>
          </m:sSubPr>
          <m:e>
            <m:r>
              <w:rPr>
                <w:rFonts w:ascii="Cambria Math" w:hAnsi="Cambria Math" w:cs="Times New Roman"/>
                <w:lang w:val="en-GB"/>
              </w:rPr>
              <m:t>O</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r>
          <w:rPr>
            <w:rFonts w:ascii="Cambria Math" w:hAnsi="Cambria Math" w:cs="Times New Roman"/>
            <w:lang w:val="en-GB"/>
          </w:rPr>
          <m:t>FRO</m:t>
        </m:r>
        <m:sSub>
          <m:sSubPr>
            <m:ctrlPr>
              <w:rPr>
                <w:rFonts w:ascii="Cambria Math" w:hAnsi="Cambria Math" w:cs="Times New Roman"/>
                <w:lang w:val="en-GB"/>
              </w:rPr>
            </m:ctrlPr>
          </m:sSubPr>
          <m:e>
            <m:r>
              <w:rPr>
                <w:rFonts w:ascii="Cambria Math" w:hAnsi="Cambria Math" w:cs="Times New Roman"/>
                <w:lang w:val="en-GB"/>
              </w:rPr>
              <m:t>M</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oMath>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t>(</w:t>
      </w:r>
      <w:r w:rsidR="004C2C8A" w:rsidRPr="009B605C">
        <w:rPr>
          <w:rFonts w:ascii="Cambria" w:hAnsi="Cambria" w:cs="Times New Roman"/>
          <w:lang w:val="en-GB"/>
        </w:rPr>
        <w:t>6</w:t>
      </w:r>
      <w:r w:rsidRPr="009B605C">
        <w:rPr>
          <w:rFonts w:ascii="Cambria" w:hAnsi="Cambria" w:cs="Times New Roman"/>
          <w:lang w:val="en-GB"/>
        </w:rPr>
        <w:t>)</w:t>
      </w:r>
    </w:p>
    <w:p w14:paraId="08B3FF5F" w14:textId="38006302" w:rsidR="00B1376B" w:rsidRPr="009B605C" w:rsidRDefault="00B1376B" w:rsidP="0087752F">
      <w:pPr>
        <w:pStyle w:val="FirstParagraph"/>
        <w:spacing w:before="160" w:after="160" w:line="360" w:lineRule="auto"/>
        <w:ind w:left="2160" w:firstLine="720"/>
        <w:jc w:val="both"/>
        <w:rPr>
          <w:rFonts w:ascii="Cambria" w:hAnsi="Cambria" w:cs="Times New Roman"/>
          <w:lang w:val="en-GB"/>
        </w:rPr>
      </w:pPr>
      <m:oMath>
        <m:r>
          <w:rPr>
            <w:rFonts w:ascii="Cambria Math" w:hAnsi="Cambria Math" w:cs="Times New Roman"/>
            <w:lang w:val="en-GB"/>
          </w:rPr>
          <m:t>TC</m:t>
        </m:r>
        <m:sSub>
          <m:sSubPr>
            <m:ctrlPr>
              <w:rPr>
                <w:rFonts w:ascii="Cambria Math" w:hAnsi="Cambria Math" w:cs="Times New Roman"/>
                <w:lang w:val="en-GB"/>
              </w:rPr>
            </m:ctrlPr>
          </m:sSubPr>
          <m:e>
            <m:r>
              <w:rPr>
                <w:rFonts w:ascii="Cambria Math" w:hAnsi="Cambria Math" w:cs="Times New Roman"/>
                <w:lang w:val="en-GB"/>
              </w:rPr>
              <m:t>I</m:t>
            </m:r>
          </m:e>
          <m:sub>
            <m:r>
              <w:rPr>
                <w:rFonts w:ascii="Cambria Math" w:eastAsia="Arial" w:hAnsi="Cambria Math" w:cs="Times New Roman"/>
                <w:lang w:val="en-GB"/>
              </w:rPr>
              <m:t>τ</m:t>
            </m:r>
          </m:sub>
        </m:sSub>
        <m:d>
          <m:dPr>
            <m:ctrlPr>
              <w:rPr>
                <w:rFonts w:ascii="Cambria Math" w:hAnsi="Cambria Math" w:cs="Times New Roman"/>
                <w:lang w:val="en-GB"/>
              </w:rPr>
            </m:ctrlPr>
          </m:dPr>
          <m:e>
            <m:r>
              <w:rPr>
                <w:rFonts w:ascii="Cambria Math" w:hAnsi="Cambria Math" w:cs="Times New Roman"/>
                <w:lang w:val="en-GB"/>
              </w:rPr>
              <m:t>F</m:t>
            </m:r>
          </m:e>
        </m:d>
        <m:r>
          <m:rPr>
            <m:sty m:val="p"/>
          </m:rPr>
          <w:rPr>
            <w:rFonts w:ascii="Cambria Math" w:hAnsi="Cambria Math" w:cs="Times New Roman"/>
            <w:lang w:val="en-GB"/>
          </w:rPr>
          <m:t>=</m:t>
        </m:r>
        <m:f>
          <m:fPr>
            <m:ctrlPr>
              <w:rPr>
                <w:rFonts w:ascii="Cambria Math" w:hAnsi="Cambria Math" w:cs="Times New Roman"/>
                <w:lang w:val="en-GB"/>
              </w:rPr>
            </m:ctrlPr>
          </m:fPr>
          <m:num>
            <m:nary>
              <m:naryPr>
                <m:chr m:val="∑"/>
                <m:limLoc m:val="undOvr"/>
                <m:ctrlPr>
                  <w:rPr>
                    <w:rFonts w:ascii="Cambria Math" w:hAnsi="Cambria Math" w:cs="Times New Roman"/>
                    <w:lang w:val="en-GB"/>
                  </w:rPr>
                </m:ctrlPr>
              </m:naryPr>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j</m:t>
                </m:r>
                <m:r>
                  <m:rPr>
                    <m:sty m:val="p"/>
                  </m:rPr>
                  <w:rPr>
                    <w:rFonts w:ascii="Cambria Math" w:hAnsi="Cambria Math" w:cs="Times New Roman"/>
                    <w:lang w:val="en-GB"/>
                  </w:rPr>
                  <m:t>=</m:t>
                </m:r>
                <m:r>
                  <w:rPr>
                    <w:rFonts w:ascii="Cambria Math" w:hAnsi="Cambria Math" w:cs="Times New Roman"/>
                    <w:lang w:val="en-GB"/>
                  </w:rPr>
                  <m:t>1</m:t>
                </m:r>
                <m:r>
                  <m:rPr>
                    <m:sty m:val="p"/>
                  </m:rPr>
                  <w:rPr>
                    <w:rFonts w:ascii="Cambria Math" w:hAnsi="Cambria Math" w:cs="Times New Roman"/>
                    <w:lang w:val="en-GB"/>
                  </w:rPr>
                  <m:t>,</m:t>
                </m:r>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j</m:t>
                </m:r>
              </m:sub>
              <m:sup>
                <m:r>
                  <w:rPr>
                    <w:rFonts w:ascii="Cambria Math" w:hAnsi="Cambria Math" w:cs="Times New Roman"/>
                    <w:lang w:val="en-GB"/>
                  </w:rPr>
                  <m:t>m</m:t>
                </m:r>
              </m:sup>
              <m:e>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w:rPr>
                            <w:rFonts w:ascii="Cambria Math" w:hAnsi="Cambria Math" w:cs="Times New Roman"/>
                            <w:lang w:val="en-GB"/>
                          </w:rPr>
                          <m:t>Θ</m:t>
                        </m:r>
                      </m:e>
                    </m:acc>
                  </m:e>
                  <m:sub>
                    <m:r>
                      <w:rPr>
                        <w:rFonts w:ascii="Cambria Math" w:hAnsi="Cambria Math" w:cs="Times New Roman"/>
                        <w:lang w:val="en-GB"/>
                      </w:rPr>
                      <m:t>i←j</m:t>
                    </m:r>
                    <m:r>
                      <m:rPr>
                        <m:sty m:val="p"/>
                      </m:rPr>
                      <w:rPr>
                        <w:rFonts w:ascii="Cambria Math" w:hAnsi="Cambria Math" w:cs="Times New Roman"/>
                        <w:lang w:val="en-GB"/>
                      </w:rPr>
                      <m:t>,</m:t>
                    </m:r>
                    <m:r>
                      <w:rPr>
                        <w:rFonts w:ascii="Cambria Math" w:eastAsia="Arial" w:hAnsi="Cambria Math" w:cs="Times New Roman"/>
                        <w:lang w:val="en-GB"/>
                      </w:rPr>
                      <m:t>τ</m:t>
                    </m:r>
                  </m:sub>
                  <m:sup>
                    <m:r>
                      <w:rPr>
                        <w:rFonts w:ascii="Cambria Math" w:hAnsi="Cambria Math" w:cs="Times New Roman"/>
                        <w:lang w:val="en-GB"/>
                      </w:rPr>
                      <m:t>g</m:t>
                    </m:r>
                  </m:sup>
                </m:sSubSup>
              </m:e>
            </m:nary>
            <m:d>
              <m:dPr>
                <m:ctrlPr>
                  <w:rPr>
                    <w:rFonts w:ascii="Cambria Math" w:hAnsi="Cambria Math" w:cs="Times New Roman"/>
                    <w:lang w:val="en-GB"/>
                  </w:rPr>
                </m:ctrlPr>
              </m:dPr>
              <m:e>
                <m:r>
                  <w:rPr>
                    <w:rFonts w:ascii="Cambria Math" w:hAnsi="Cambria Math" w:cs="Times New Roman"/>
                    <w:lang w:val="en-GB"/>
                  </w:rPr>
                  <m:t>F</m:t>
                </m:r>
              </m:e>
            </m:d>
          </m:num>
          <m:den>
            <m:r>
              <w:rPr>
                <w:rFonts w:ascii="Cambria Math" w:hAnsi="Cambria Math" w:cs="Times New Roman"/>
                <w:lang w:val="en-GB"/>
              </w:rPr>
              <m:t>m-1</m:t>
            </m:r>
          </m:den>
        </m:f>
      </m:oMath>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r>
      <w:r w:rsidRPr="009B605C">
        <w:rPr>
          <w:rFonts w:ascii="Cambria" w:hAnsi="Cambria" w:cs="Times New Roman"/>
          <w:lang w:val="en-GB"/>
        </w:rPr>
        <w:tab/>
        <w:t>(</w:t>
      </w:r>
      <w:r w:rsidR="004C2C8A" w:rsidRPr="009B605C">
        <w:rPr>
          <w:rFonts w:ascii="Cambria" w:hAnsi="Cambria" w:cs="Times New Roman"/>
          <w:lang w:val="en-GB"/>
        </w:rPr>
        <w:t>7</w:t>
      </w:r>
      <w:r w:rsidRPr="009B605C">
        <w:rPr>
          <w:rFonts w:ascii="Cambria" w:hAnsi="Cambria" w:cs="Times New Roman"/>
          <w:lang w:val="en-GB"/>
        </w:rPr>
        <w:t>)</w:t>
      </w:r>
    </w:p>
    <w:p w14:paraId="6F1CADC9" w14:textId="5DAE1877" w:rsidR="00B1376B" w:rsidRPr="009B605C" w:rsidRDefault="00B1376B" w:rsidP="0087752F">
      <w:pPr>
        <w:pStyle w:val="FirstParagraph"/>
        <w:spacing w:before="0" w:after="0" w:line="360" w:lineRule="auto"/>
        <w:jc w:val="both"/>
        <w:rPr>
          <w:rFonts w:ascii="Cambria" w:hAnsi="Cambria" w:cs="Times New Roman"/>
          <w:lang w:val="en-GB"/>
        </w:rPr>
      </w:pPr>
      <m:oMath>
        <m:r>
          <w:rPr>
            <w:rFonts w:ascii="Cambria Math" w:hAnsi="Cambria Math" w:cs="Times New Roman"/>
            <w:lang w:val="en-GB"/>
          </w:rPr>
          <m:t>T</m:t>
        </m:r>
        <m:sSub>
          <m:sSubPr>
            <m:ctrlPr>
              <w:rPr>
                <w:rFonts w:ascii="Cambria Math" w:hAnsi="Cambria Math" w:cs="Times New Roman"/>
                <w:lang w:val="en-GB"/>
              </w:rPr>
            </m:ctrlPr>
          </m:sSubPr>
          <m:e>
            <m:r>
              <w:rPr>
                <w:rFonts w:ascii="Cambria Math" w:hAnsi="Cambria Math" w:cs="Times New Roman"/>
                <w:lang w:val="en-GB"/>
              </w:rPr>
              <m:t>O</m:t>
            </m:r>
          </m:e>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τ</m:t>
            </m:r>
          </m:sub>
        </m:sSub>
      </m:oMath>
      <w:r w:rsidRPr="009B605C">
        <w:rPr>
          <w:rFonts w:ascii="Cambria" w:hAnsi="Cambria" w:cs="Times New Roman"/>
          <w:lang w:val="en-GB"/>
        </w:rPr>
        <w:t xml:space="preserve"> </w:t>
      </w:r>
      <w:r w:rsidR="00255521" w:rsidRPr="009B605C">
        <w:rPr>
          <w:rFonts w:ascii="Cambria" w:hAnsi="Cambria" w:cs="Times New Roman"/>
          <w:lang w:val="en-GB"/>
        </w:rPr>
        <w:t xml:space="preserve">represents the influence </w:t>
      </w:r>
      <w:r w:rsidRPr="009B605C">
        <w:rPr>
          <w:rFonts w:ascii="Cambria" w:hAnsi="Cambria" w:cs="Times New Roman"/>
          <w:lang w:val="en-GB"/>
        </w:rPr>
        <w:t xml:space="preserve">of variable </w:t>
      </w:r>
      <m:oMath>
        <m:r>
          <w:rPr>
            <w:rFonts w:ascii="Cambria Math" w:hAnsi="Cambria Math" w:cs="Times New Roman"/>
            <w:lang w:val="en-GB"/>
          </w:rPr>
          <m:t>j</m:t>
        </m:r>
      </m:oMath>
      <w:r w:rsidRPr="009B605C">
        <w:rPr>
          <w:rFonts w:ascii="Cambria" w:hAnsi="Cambria" w:cs="Times New Roman"/>
          <w:lang w:val="en-GB"/>
        </w:rPr>
        <w:t xml:space="preserve"> on variable </w:t>
      </w:r>
      <m:oMath>
        <m:r>
          <w:rPr>
            <w:rFonts w:ascii="Cambria Math" w:hAnsi="Cambria Math" w:cs="Times New Roman"/>
            <w:lang w:val="en-GB"/>
          </w:rPr>
          <m:t>i</m:t>
        </m:r>
      </m:oMath>
      <w:r w:rsidRPr="009B605C">
        <w:rPr>
          <w:rFonts w:ascii="Cambria" w:hAnsi="Cambria" w:cs="Times New Roman"/>
          <w:lang w:val="en-GB"/>
        </w:rPr>
        <w:t xml:space="preserve"> at quantile </w:t>
      </w:r>
      <m:oMath>
        <m:r>
          <w:rPr>
            <w:rFonts w:ascii="Cambria Math" w:hAnsi="Cambria Math" w:cs="Times New Roman"/>
            <w:lang w:val="en-GB"/>
          </w:rPr>
          <m:t>τ</m:t>
        </m:r>
      </m:oMath>
      <w:r w:rsidRPr="009B605C">
        <w:rPr>
          <w:rFonts w:ascii="Cambria" w:hAnsi="Cambria" w:cs="Times New Roman"/>
          <w:lang w:val="en-GB"/>
        </w:rPr>
        <w:t xml:space="preserve">. </w:t>
      </w:r>
      <m:oMath>
        <m:r>
          <w:rPr>
            <w:rFonts w:ascii="Cambria Math" w:hAnsi="Cambria Math" w:cs="Times New Roman"/>
            <w:lang w:val="en-GB"/>
          </w:rPr>
          <m:t>FRO</m:t>
        </m:r>
        <m:sSub>
          <m:sSubPr>
            <m:ctrlPr>
              <w:rPr>
                <w:rFonts w:ascii="Cambria Math" w:hAnsi="Cambria Math" w:cs="Times New Roman"/>
                <w:lang w:val="en-GB"/>
              </w:rPr>
            </m:ctrlPr>
          </m:sSubPr>
          <m:e>
            <m:r>
              <w:rPr>
                <w:rFonts w:ascii="Cambria Math" w:hAnsi="Cambria Math" w:cs="Times New Roman"/>
                <w:lang w:val="en-GB"/>
              </w:rPr>
              <m:t>M</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oMath>
      <w:r w:rsidRPr="009B605C">
        <w:rPr>
          <w:rFonts w:ascii="Cambria" w:hAnsi="Cambria" w:cs="Times New Roman"/>
          <w:lang w:val="en-GB"/>
        </w:rPr>
        <w:t xml:space="preserve"> </w:t>
      </w:r>
      <w:r w:rsidR="00255521" w:rsidRPr="009B605C">
        <w:rPr>
          <w:rFonts w:ascii="Cambria" w:hAnsi="Cambria" w:cs="Times New Roman"/>
          <w:lang w:val="en-GB"/>
        </w:rPr>
        <w:t>indicates</w:t>
      </w:r>
      <w:r w:rsidRPr="009B605C">
        <w:rPr>
          <w:rFonts w:ascii="Cambria" w:hAnsi="Cambria" w:cs="Times New Roman"/>
          <w:lang w:val="en-GB"/>
        </w:rPr>
        <w:t xml:space="preserve"> the </w:t>
      </w:r>
      <w:r w:rsidR="00255521" w:rsidRPr="009B605C">
        <w:rPr>
          <w:rFonts w:ascii="Cambria" w:hAnsi="Cambria" w:cs="Times New Roman"/>
          <w:lang w:val="en-GB"/>
        </w:rPr>
        <w:t>effect</w:t>
      </w:r>
      <w:r w:rsidRPr="009B605C">
        <w:rPr>
          <w:rFonts w:ascii="Cambria" w:hAnsi="Cambria" w:cs="Times New Roman"/>
          <w:lang w:val="en-GB"/>
        </w:rPr>
        <w:t xml:space="preserve"> of </w:t>
      </w:r>
      <m:oMath>
        <m:r>
          <w:rPr>
            <w:rFonts w:ascii="Cambria Math" w:hAnsi="Cambria Math" w:cs="Times New Roman"/>
            <w:lang w:val="en-GB"/>
          </w:rPr>
          <m:t>i</m:t>
        </m:r>
      </m:oMath>
      <w:r w:rsidRPr="009B605C">
        <w:rPr>
          <w:rFonts w:ascii="Cambria" w:hAnsi="Cambria" w:cs="Times New Roman"/>
          <w:lang w:val="en-GB"/>
        </w:rPr>
        <w:t xml:space="preserve"> on </w:t>
      </w:r>
      <m:oMath>
        <m:r>
          <w:rPr>
            <w:rFonts w:ascii="Cambria Math" w:hAnsi="Cambria Math" w:cs="Times New Roman"/>
            <w:lang w:val="en-GB"/>
          </w:rPr>
          <m:t>j</m:t>
        </m:r>
      </m:oMath>
      <w:r w:rsidRPr="009B605C">
        <w:rPr>
          <w:rFonts w:ascii="Cambria" w:hAnsi="Cambria" w:cs="Times New Roman"/>
          <w:lang w:val="en-GB"/>
        </w:rPr>
        <w:t xml:space="preserve"> at quantile </w:t>
      </w:r>
      <m:oMath>
        <m:r>
          <w:rPr>
            <w:rFonts w:ascii="Cambria Math" w:hAnsi="Cambria Math" w:cs="Times New Roman"/>
            <w:lang w:val="en-GB"/>
          </w:rPr>
          <m:t>τ</m:t>
        </m:r>
      </m:oMath>
      <w:r w:rsidRPr="009B605C">
        <w:rPr>
          <w:rFonts w:ascii="Cambria" w:hAnsi="Cambria" w:cs="Times New Roman"/>
          <w:lang w:val="en-GB"/>
        </w:rPr>
        <w:t xml:space="preserve">. </w:t>
      </w:r>
      <m:oMath>
        <m:r>
          <w:rPr>
            <w:rFonts w:ascii="Cambria Math" w:hAnsi="Cambria Math" w:cs="Times New Roman"/>
            <w:lang w:val="en-GB"/>
          </w:rPr>
          <m:t>NE</m:t>
        </m:r>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oMath>
      <w:r w:rsidRPr="009B605C">
        <w:rPr>
          <w:rFonts w:ascii="Cambria" w:hAnsi="Cambria" w:cs="Times New Roman"/>
          <w:lang w:val="en-GB"/>
        </w:rPr>
        <w:t xml:space="preserve"> </w:t>
      </w:r>
      <w:r w:rsidR="00255521" w:rsidRPr="009B605C">
        <w:rPr>
          <w:rFonts w:ascii="Cambria" w:hAnsi="Cambria" w:cs="Times New Roman"/>
          <w:lang w:val="en-GB"/>
        </w:rPr>
        <w:t>reflects the difference</w:t>
      </w:r>
      <w:r w:rsidRPr="009B605C">
        <w:rPr>
          <w:rFonts w:ascii="Cambria" w:hAnsi="Cambria" w:cs="Times New Roman"/>
          <w:lang w:val="en-GB"/>
        </w:rPr>
        <w:t xml:space="preserve"> between </w:t>
      </w:r>
      <m:oMath>
        <m:r>
          <w:rPr>
            <w:rFonts w:ascii="Cambria Math" w:hAnsi="Cambria Math" w:cs="Times New Roman"/>
            <w:lang w:val="en-GB"/>
          </w:rPr>
          <m:t>T</m:t>
        </m:r>
        <m:sSub>
          <m:sSubPr>
            <m:ctrlPr>
              <w:rPr>
                <w:rFonts w:ascii="Cambria Math" w:hAnsi="Cambria Math" w:cs="Times New Roman"/>
                <w:lang w:val="en-GB"/>
              </w:rPr>
            </m:ctrlPr>
          </m:sSubPr>
          <m:e>
            <m:r>
              <w:rPr>
                <w:rFonts w:ascii="Cambria Math" w:hAnsi="Cambria Math" w:cs="Times New Roman"/>
                <w:lang w:val="en-GB"/>
              </w:rPr>
              <m:t>O</m:t>
            </m:r>
          </m:e>
          <m:sub>
            <m:r>
              <w:rPr>
                <w:rFonts w:ascii="Cambria Math" w:hAnsi="Cambria Math" w:cs="Times New Roman"/>
                <w:lang w:val="en-GB"/>
              </w:rPr>
              <m:t>•←i</m:t>
            </m:r>
            <m:r>
              <m:rPr>
                <m:sty m:val="p"/>
              </m:rPr>
              <w:rPr>
                <w:rFonts w:ascii="Cambria Math" w:hAnsi="Cambria Math" w:cs="Times New Roman"/>
                <w:lang w:val="en-GB"/>
              </w:rPr>
              <m:t>,</m:t>
            </m:r>
            <m:r>
              <w:rPr>
                <w:rFonts w:ascii="Cambria Math" w:hAnsi="Cambria Math" w:cs="Times New Roman"/>
                <w:lang w:val="en-GB"/>
              </w:rPr>
              <m:t>τ</m:t>
            </m:r>
          </m:sub>
        </m:sSub>
      </m:oMath>
      <w:r w:rsidRPr="009B605C">
        <w:rPr>
          <w:rFonts w:ascii="Cambria" w:hAnsi="Cambria" w:cs="Times New Roman"/>
          <w:lang w:val="en-GB"/>
        </w:rPr>
        <w:t xml:space="preserve"> and </w:t>
      </w:r>
      <m:oMath>
        <m:r>
          <w:rPr>
            <w:rFonts w:ascii="Cambria Math" w:hAnsi="Cambria Math" w:cs="Times New Roman"/>
            <w:lang w:val="en-GB"/>
          </w:rPr>
          <m:t>FRO</m:t>
        </m:r>
        <m:sSub>
          <m:sSubPr>
            <m:ctrlPr>
              <w:rPr>
                <w:rFonts w:ascii="Cambria Math" w:hAnsi="Cambria Math" w:cs="Times New Roman"/>
                <w:lang w:val="en-GB"/>
              </w:rPr>
            </m:ctrlPr>
          </m:sSubPr>
          <m:e>
            <m:r>
              <w:rPr>
                <w:rFonts w:ascii="Cambria Math" w:hAnsi="Cambria Math" w:cs="Times New Roman"/>
                <w:lang w:val="en-GB"/>
              </w:rPr>
              <m:t>M</m:t>
            </m:r>
          </m:e>
          <m:sub>
            <m:r>
              <w:rPr>
                <w:rFonts w:ascii="Cambria Math" w:hAnsi="Cambria Math" w:cs="Times New Roman"/>
                <w:lang w:val="en-GB"/>
              </w:rPr>
              <m:t>•→i</m:t>
            </m:r>
            <m:r>
              <m:rPr>
                <m:sty m:val="p"/>
              </m:rPr>
              <w:rPr>
                <w:rFonts w:ascii="Cambria Math" w:hAnsi="Cambria Math" w:cs="Times New Roman"/>
                <w:lang w:val="en-GB"/>
              </w:rPr>
              <m:t>,</m:t>
            </m:r>
            <m:r>
              <w:rPr>
                <w:rFonts w:ascii="Cambria Math" w:eastAsia="Arial" w:hAnsi="Cambria Math" w:cs="Times New Roman"/>
                <w:lang w:val="en-GB"/>
              </w:rPr>
              <m:t>τ</m:t>
            </m:r>
          </m:sub>
        </m:sSub>
      </m:oMath>
      <w:r w:rsidRPr="009B605C">
        <w:rPr>
          <w:rFonts w:ascii="Cambria" w:hAnsi="Cambria" w:cs="Times New Roman"/>
          <w:lang w:val="en-GB"/>
        </w:rPr>
        <w:t xml:space="preserve">, </w:t>
      </w:r>
      <w:r w:rsidR="00255521" w:rsidRPr="009B605C">
        <w:rPr>
          <w:rFonts w:ascii="Cambria" w:hAnsi="Cambria" w:cs="Times New Roman"/>
          <w:lang w:val="en-GB"/>
        </w:rPr>
        <w:t xml:space="preserve">where </w:t>
      </w:r>
      <w:r w:rsidRPr="009B605C">
        <w:rPr>
          <w:rFonts w:ascii="Cambria" w:hAnsi="Cambria" w:cs="Times New Roman"/>
          <w:lang w:val="en-GB"/>
        </w:rPr>
        <w:t xml:space="preserve">a negative (positive) value </w:t>
      </w:r>
      <w:r w:rsidR="00255521" w:rsidRPr="009B605C">
        <w:rPr>
          <w:rFonts w:ascii="Cambria" w:hAnsi="Cambria" w:cs="Times New Roman"/>
          <w:lang w:val="en-GB"/>
        </w:rPr>
        <w:t xml:space="preserve">indicates that </w:t>
      </w:r>
      <m:oMath>
        <m:r>
          <w:rPr>
            <w:rFonts w:ascii="Cambria Math" w:hAnsi="Cambria Math" w:cs="Times New Roman"/>
            <w:lang w:val="en-GB"/>
          </w:rPr>
          <m:t>i</m:t>
        </m:r>
      </m:oMath>
      <w:r w:rsidR="00255521" w:rsidRPr="009B605C">
        <w:rPr>
          <w:rFonts w:ascii="Cambria" w:hAnsi="Cambria" w:cs="Times New Roman"/>
          <w:lang w:val="en-GB"/>
        </w:rPr>
        <w:t xml:space="preserve"> is </w:t>
      </w:r>
      <w:r w:rsidRPr="009B605C">
        <w:rPr>
          <w:rFonts w:ascii="Cambria" w:hAnsi="Cambria" w:cs="Times New Roman"/>
          <w:lang w:val="en-GB"/>
        </w:rPr>
        <w:t xml:space="preserve">the net recipient (transmitter) of the spillover. </w:t>
      </w:r>
      <m:oMath>
        <m:r>
          <w:rPr>
            <w:rFonts w:ascii="Cambria Math" w:hAnsi="Cambria Math" w:cs="Times New Roman"/>
            <w:lang w:val="en-GB"/>
          </w:rPr>
          <m:t>TC</m:t>
        </m:r>
        <m:sSub>
          <m:sSubPr>
            <m:ctrlPr>
              <w:rPr>
                <w:rFonts w:ascii="Cambria Math" w:hAnsi="Cambria Math" w:cs="Times New Roman"/>
                <w:lang w:val="en-GB"/>
              </w:rPr>
            </m:ctrlPr>
          </m:sSubPr>
          <m:e>
            <m:r>
              <w:rPr>
                <w:rFonts w:ascii="Cambria Math" w:hAnsi="Cambria Math" w:cs="Times New Roman"/>
                <w:lang w:val="en-GB"/>
              </w:rPr>
              <m:t>I</m:t>
            </m:r>
          </m:e>
          <m:sub>
            <m:r>
              <w:rPr>
                <w:rFonts w:ascii="Cambria Math" w:eastAsia="Arial" w:hAnsi="Cambria Math" w:cs="Times New Roman"/>
                <w:lang w:val="en-GB"/>
              </w:rPr>
              <m:t>τ</m:t>
            </m:r>
          </m:sub>
        </m:sSub>
      </m:oMath>
      <w:r w:rsidRPr="009B605C">
        <w:rPr>
          <w:rFonts w:ascii="Cambria" w:hAnsi="Cambria" w:cs="Times New Roman"/>
          <w:lang w:val="en-GB"/>
        </w:rPr>
        <w:t xml:space="preserve"> </w:t>
      </w:r>
      <w:r w:rsidR="00255521" w:rsidRPr="009B605C">
        <w:rPr>
          <w:rFonts w:ascii="Cambria" w:hAnsi="Cambria" w:cs="Times New Roman"/>
          <w:lang w:val="en-GB"/>
        </w:rPr>
        <w:t>captures</w:t>
      </w:r>
      <w:r w:rsidRPr="009B605C">
        <w:rPr>
          <w:rFonts w:ascii="Cambria" w:hAnsi="Cambria" w:cs="Times New Roman"/>
          <w:lang w:val="en-GB"/>
        </w:rPr>
        <w:t xml:space="preserve"> the </w:t>
      </w:r>
      <w:r w:rsidR="00255521" w:rsidRPr="009B605C">
        <w:rPr>
          <w:rFonts w:ascii="Cambria" w:hAnsi="Cambria" w:cs="Times New Roman"/>
          <w:lang w:val="en-GB"/>
        </w:rPr>
        <w:t xml:space="preserve">overall </w:t>
      </w:r>
      <w:r w:rsidRPr="009B605C">
        <w:rPr>
          <w:rFonts w:ascii="Cambria" w:hAnsi="Cambria" w:cs="Times New Roman"/>
          <w:lang w:val="en-GB"/>
        </w:rPr>
        <w:t>average level of connectedness.</w:t>
      </w:r>
    </w:p>
    <w:p w14:paraId="2DCAEEF1" w14:textId="21D1F03B" w:rsidR="00681BBD" w:rsidRPr="009B605C" w:rsidRDefault="000D4ACE" w:rsidP="007528F8">
      <w:pPr>
        <w:pStyle w:val="FirstParagraph"/>
        <w:spacing w:before="0" w:after="0" w:line="360" w:lineRule="auto"/>
        <w:ind w:firstLine="720"/>
        <w:jc w:val="both"/>
        <w:rPr>
          <w:rFonts w:ascii="Cambria" w:hAnsi="Cambria" w:cs="Times New Roman"/>
          <w:lang w:val="en-GB"/>
        </w:rPr>
      </w:pPr>
      <w:r w:rsidRPr="009B605C">
        <w:rPr>
          <w:rFonts w:ascii="Cambria" w:hAnsi="Cambria" w:cs="Times New Roman"/>
          <w:lang w:val="en-GB"/>
        </w:rPr>
        <w:t xml:space="preserve">The connectedness measures employ a lag length of 1 based on the Bayesian Information Criterion (BIC) and a forecast horizon of one day. To accommodate potential </w:t>
      </w:r>
      <w:r w:rsidRPr="009B605C">
        <w:rPr>
          <w:rFonts w:ascii="Cambria" w:hAnsi="Cambria" w:cs="Times New Roman"/>
          <w:lang w:val="en-GB"/>
        </w:rPr>
        <w:lastRenderedPageBreak/>
        <w:t>time variability, a rolling-window technique with a window size of 40</w:t>
      </w:r>
      <w:r w:rsidR="00567BD8" w:rsidRPr="009B605C">
        <w:rPr>
          <w:rFonts w:ascii="Cambria" w:hAnsi="Cambria" w:cs="Times New Roman"/>
          <w:lang w:val="en-GB"/>
        </w:rPr>
        <w:t xml:space="preserve"> is adopted</w:t>
      </w:r>
      <w:r w:rsidR="00821B8B" w:rsidRPr="009B605C">
        <w:rPr>
          <w:rFonts w:ascii="Cambria" w:hAnsi="Cambria" w:cs="Times New Roman"/>
          <w:lang w:val="en-GB"/>
        </w:rPr>
        <w:t xml:space="preserve"> (see, </w:t>
      </w:r>
      <w:r w:rsidRPr="009B605C">
        <w:rPr>
          <w:rFonts w:ascii="Cambria" w:hAnsi="Cambria" w:cs="Times New Roman"/>
          <w:lang w:val="en-GB"/>
        </w:rPr>
        <w:t>Zhou et al.</w:t>
      </w:r>
      <w:r w:rsidR="00821B8B" w:rsidRPr="009B605C">
        <w:rPr>
          <w:rFonts w:ascii="Cambria" w:hAnsi="Cambria" w:cs="Times New Roman"/>
          <w:lang w:val="en-GB"/>
        </w:rPr>
        <w:t xml:space="preserve">, </w:t>
      </w:r>
      <w:r w:rsidRPr="009B605C">
        <w:rPr>
          <w:rFonts w:ascii="Cambria" w:hAnsi="Cambria" w:cs="Times New Roman"/>
          <w:lang w:val="en-GB"/>
        </w:rPr>
        <w:t>2024).</w:t>
      </w:r>
    </w:p>
    <w:p w14:paraId="43F012FA" w14:textId="16C9ADE1" w:rsidR="00EB759D" w:rsidRPr="009B605C" w:rsidRDefault="000C667A" w:rsidP="0087752F">
      <w:pPr>
        <w:spacing w:before="160" w:after="40" w:line="360" w:lineRule="auto"/>
        <w:rPr>
          <w:rFonts w:ascii="Cambria" w:hAnsi="Cambria"/>
          <w:b/>
          <w:bCs/>
        </w:rPr>
      </w:pPr>
      <w:r w:rsidRPr="009B605C">
        <w:rPr>
          <w:rFonts w:ascii="Cambria" w:hAnsi="Cambria"/>
          <w:b/>
          <w:bCs/>
        </w:rPr>
        <w:t>2</w:t>
      </w:r>
      <w:r w:rsidR="0040175D" w:rsidRPr="009B605C">
        <w:rPr>
          <w:rFonts w:ascii="Cambria" w:hAnsi="Cambria"/>
          <w:b/>
          <w:bCs/>
        </w:rPr>
        <w:t>.2.</w:t>
      </w:r>
      <w:r w:rsidR="00017175" w:rsidRPr="009B605C">
        <w:rPr>
          <w:rFonts w:ascii="Cambria" w:hAnsi="Cambria"/>
          <w:b/>
          <w:bCs/>
        </w:rPr>
        <w:t xml:space="preserve"> </w:t>
      </w:r>
      <w:r w:rsidR="00A1466F" w:rsidRPr="009B605C">
        <w:rPr>
          <w:rFonts w:ascii="Cambria" w:hAnsi="Cambria"/>
          <w:b/>
          <w:bCs/>
        </w:rPr>
        <w:t>Time-varying robust Granger causality approach</w:t>
      </w:r>
    </w:p>
    <w:p w14:paraId="1A3FFA73" w14:textId="56A13223" w:rsidR="00F91117" w:rsidRPr="009B605C" w:rsidRDefault="004A315D" w:rsidP="0087752F">
      <w:pPr>
        <w:spacing w:line="360" w:lineRule="auto"/>
        <w:jc w:val="both"/>
        <w:rPr>
          <w:rFonts w:ascii="Cambria" w:hAnsi="Cambria"/>
          <w:lang w:eastAsia="zh-CN"/>
        </w:rPr>
      </w:pPr>
      <w:r w:rsidRPr="009B605C">
        <w:rPr>
          <w:rFonts w:ascii="Cambria" w:hAnsi="Cambria"/>
          <w:lang w:eastAsia="zh-CN"/>
        </w:rPr>
        <w:t xml:space="preserve">To determine </w:t>
      </w:r>
      <w:bookmarkStart w:id="4" w:name="_Hlk196226820"/>
      <w:r w:rsidR="006B6BF6">
        <w:rPr>
          <w:rFonts w:ascii="Cambria" w:hAnsi="Cambria"/>
          <w:lang w:eastAsia="zh-CN"/>
        </w:rPr>
        <w:t>the existence of</w:t>
      </w:r>
      <w:r w:rsidR="00DB2FB9" w:rsidRPr="009B605C">
        <w:rPr>
          <w:rFonts w:ascii="Cambria" w:hAnsi="Cambria"/>
          <w:lang w:eastAsia="zh-CN"/>
        </w:rPr>
        <w:t xml:space="preserve"> </w:t>
      </w:r>
      <w:bookmarkEnd w:id="4"/>
      <w:r w:rsidRPr="009B605C">
        <w:rPr>
          <w:rFonts w:ascii="Cambria" w:hAnsi="Cambria"/>
          <w:lang w:eastAsia="zh-CN"/>
        </w:rPr>
        <w:t xml:space="preserve">causal relationship from </w:t>
      </w:r>
      <w:r w:rsidR="00A82921" w:rsidRPr="009B605C">
        <w:rPr>
          <w:rFonts w:ascii="Cambria" w:hAnsi="Cambria"/>
          <w:lang w:eastAsia="zh-CN"/>
        </w:rPr>
        <w:t>gold and cryptocurrency markets to BRICS stocks</w:t>
      </w:r>
      <w:r w:rsidRPr="009B605C">
        <w:rPr>
          <w:rFonts w:ascii="Cambria" w:hAnsi="Cambria"/>
          <w:lang w:eastAsia="zh-CN"/>
        </w:rPr>
        <w:t>, we apply the time-varying parameter robust Granger causality method (TVP-GC) proposed by Rossi and Wang (2019). This method offers a key advantage over traditional Granger causality tests by accounting for instabilities (</w:t>
      </w:r>
      <w:proofErr w:type="spellStart"/>
      <w:r w:rsidR="008C0A2B" w:rsidRPr="009B605C">
        <w:rPr>
          <w:rFonts w:ascii="Cambria" w:hAnsi="Cambria"/>
        </w:rPr>
        <w:t>Balcilar</w:t>
      </w:r>
      <w:proofErr w:type="spellEnd"/>
      <w:r w:rsidR="008C0A2B" w:rsidRPr="009B605C">
        <w:rPr>
          <w:rFonts w:ascii="Cambria" w:hAnsi="Cambria"/>
          <w:lang w:eastAsia="zh-CN"/>
        </w:rPr>
        <w:t xml:space="preserve"> </w:t>
      </w:r>
      <w:r w:rsidRPr="009B605C">
        <w:rPr>
          <w:rFonts w:ascii="Cambria" w:hAnsi="Cambria"/>
          <w:lang w:eastAsia="zh-CN"/>
        </w:rPr>
        <w:t>et al., 202</w:t>
      </w:r>
      <w:r w:rsidR="008C0A2B" w:rsidRPr="009B605C">
        <w:rPr>
          <w:rFonts w:ascii="Cambria" w:hAnsi="Cambria"/>
          <w:lang w:eastAsia="zh-CN"/>
        </w:rPr>
        <w:t>2</w:t>
      </w:r>
      <w:r w:rsidRPr="009B605C">
        <w:rPr>
          <w:rFonts w:ascii="Cambria" w:hAnsi="Cambria"/>
          <w:lang w:eastAsia="zh-CN"/>
        </w:rPr>
        <w:t xml:space="preserve">). </w:t>
      </w:r>
      <w:r w:rsidR="008C40E4" w:rsidRPr="009B605C">
        <w:rPr>
          <w:rFonts w:ascii="Cambria" w:hAnsi="Cambria"/>
          <w:lang w:eastAsia="zh-CN"/>
        </w:rPr>
        <w:t xml:space="preserve">In fact, the past </w:t>
      </w:r>
      <w:r w:rsidR="00723A8B" w:rsidRPr="009B605C">
        <w:rPr>
          <w:rFonts w:ascii="Cambria" w:hAnsi="Cambria"/>
          <w:lang w:eastAsia="zh-CN"/>
        </w:rPr>
        <w:t>literature</w:t>
      </w:r>
      <w:r w:rsidR="008C40E4" w:rsidRPr="009B605C">
        <w:rPr>
          <w:rFonts w:ascii="Cambria" w:hAnsi="Cambria"/>
          <w:lang w:eastAsia="zh-CN"/>
        </w:rPr>
        <w:t xml:space="preserve"> on the topic </w:t>
      </w:r>
      <w:r w:rsidR="00EA329E" w:rsidRPr="009B605C">
        <w:rPr>
          <w:rFonts w:ascii="Cambria" w:hAnsi="Cambria"/>
          <w:lang w:eastAsia="zh-CN"/>
        </w:rPr>
        <w:t>determines</w:t>
      </w:r>
      <w:r w:rsidR="008C40E4" w:rsidRPr="009B605C">
        <w:rPr>
          <w:rFonts w:ascii="Cambria" w:hAnsi="Cambria"/>
          <w:lang w:eastAsia="zh-CN"/>
        </w:rPr>
        <w:t xml:space="preserve"> a time-varying relations between BRICS stock</w:t>
      </w:r>
      <w:r w:rsidR="00723A8B" w:rsidRPr="009B605C">
        <w:rPr>
          <w:rFonts w:ascii="Cambria" w:hAnsi="Cambria"/>
          <w:lang w:eastAsia="zh-CN"/>
        </w:rPr>
        <w:t xml:space="preserve"> markets</w:t>
      </w:r>
      <w:r w:rsidR="008C40E4" w:rsidRPr="009B605C">
        <w:rPr>
          <w:rFonts w:ascii="Cambria" w:hAnsi="Cambria"/>
          <w:lang w:eastAsia="zh-CN"/>
        </w:rPr>
        <w:t xml:space="preserve">, gold and cryptocurrencies (Kang et al., 2016; Raza et al., 2016: Mensi et al., 2018; </w:t>
      </w:r>
      <w:r w:rsidR="00723A8B" w:rsidRPr="009B605C">
        <w:rPr>
          <w:rFonts w:ascii="Cambria" w:hAnsi="Cambria"/>
          <w:lang w:eastAsia="zh-CN"/>
        </w:rPr>
        <w:t xml:space="preserve">Dahir et al., 2020; </w:t>
      </w:r>
      <w:r w:rsidR="008C40E4" w:rsidRPr="009B605C">
        <w:rPr>
          <w:rFonts w:ascii="Cambria" w:hAnsi="Cambria"/>
        </w:rPr>
        <w:t>Shahzad et al., 2022</w:t>
      </w:r>
      <w:r w:rsidR="00E663E5" w:rsidRPr="009B605C">
        <w:rPr>
          <w:rFonts w:ascii="Cambria" w:hAnsi="Cambria"/>
        </w:rPr>
        <w:t>; Dash et al., 2024</w:t>
      </w:r>
      <w:r w:rsidR="00723A8B" w:rsidRPr="009B605C">
        <w:rPr>
          <w:rFonts w:ascii="Cambria" w:hAnsi="Cambria"/>
        </w:rPr>
        <w:t>)</w:t>
      </w:r>
      <w:r w:rsidR="00E663E5" w:rsidRPr="009B605C">
        <w:rPr>
          <w:rFonts w:ascii="Cambria" w:hAnsi="Cambria"/>
        </w:rPr>
        <w:t xml:space="preserve">. </w:t>
      </w:r>
      <w:r w:rsidR="00F55E33" w:rsidRPr="009B605C">
        <w:rPr>
          <w:rFonts w:ascii="Cambria" w:hAnsi="Cambria"/>
          <w:lang w:eastAsia="zh-CN"/>
        </w:rPr>
        <w:t>Considering that our sample includes periods affected by events such as the Syrian civil war,</w:t>
      </w:r>
      <w:r w:rsidR="00504C83" w:rsidRPr="009B605C">
        <w:rPr>
          <w:rFonts w:ascii="Cambria" w:hAnsi="Cambria"/>
        </w:rPr>
        <w:t xml:space="preserve"> the 2014-15 </w:t>
      </w:r>
      <w:r w:rsidR="00504C83" w:rsidRPr="009B605C">
        <w:rPr>
          <w:rFonts w:ascii="Cambria" w:hAnsi="Cambria"/>
          <w:lang w:eastAsia="zh-CN"/>
        </w:rPr>
        <w:t>Petrobras collapse,</w:t>
      </w:r>
      <w:r w:rsidR="00F55E33" w:rsidRPr="009B605C">
        <w:rPr>
          <w:rFonts w:ascii="Cambria" w:hAnsi="Cambria"/>
          <w:lang w:eastAsia="zh-CN"/>
        </w:rPr>
        <w:t xml:space="preserve"> the COVID-19 pandemic and the 2022 Russia-Ukraine military conflict, which have caused instability in stock market</w:t>
      </w:r>
      <w:r w:rsidR="00541760" w:rsidRPr="009B605C">
        <w:rPr>
          <w:rFonts w:ascii="Cambria" w:hAnsi="Cambria"/>
          <w:lang w:eastAsia="zh-CN"/>
        </w:rPr>
        <w:t>s</w:t>
      </w:r>
      <w:r w:rsidR="00F55E33" w:rsidRPr="009B605C">
        <w:rPr>
          <w:rFonts w:ascii="Cambria" w:hAnsi="Cambria"/>
          <w:lang w:eastAsia="zh-CN"/>
        </w:rPr>
        <w:t xml:space="preserve">, the TVP-GC method allows us to </w:t>
      </w:r>
      <w:r w:rsidR="00E663E5" w:rsidRPr="009B605C">
        <w:rPr>
          <w:rFonts w:ascii="Cambria" w:hAnsi="Cambria"/>
          <w:lang w:eastAsia="zh-CN"/>
        </w:rPr>
        <w:t xml:space="preserve">more precisely capture any existing </w:t>
      </w:r>
      <w:r w:rsidR="00F55E33" w:rsidRPr="009B605C">
        <w:rPr>
          <w:rFonts w:ascii="Cambria" w:hAnsi="Cambria"/>
          <w:lang w:eastAsia="zh-CN"/>
        </w:rPr>
        <w:t>time-varying causal relationships</w:t>
      </w:r>
      <w:r w:rsidR="0089725B" w:rsidRPr="009B605C">
        <w:rPr>
          <w:rFonts w:ascii="Cambria" w:hAnsi="Cambria"/>
          <w:lang w:eastAsia="zh-CN"/>
        </w:rPr>
        <w:t xml:space="preserve"> among BRICS stocks</w:t>
      </w:r>
      <w:r w:rsidR="007F582D" w:rsidRPr="009B605C">
        <w:rPr>
          <w:rFonts w:ascii="Cambria" w:hAnsi="Cambria"/>
          <w:lang w:eastAsia="zh-CN"/>
        </w:rPr>
        <w:t xml:space="preserve">, </w:t>
      </w:r>
      <w:r w:rsidR="0089725B" w:rsidRPr="009B605C">
        <w:rPr>
          <w:rFonts w:ascii="Cambria" w:hAnsi="Cambria"/>
          <w:lang w:eastAsia="zh-CN"/>
        </w:rPr>
        <w:t>gold and cryptocurrencies</w:t>
      </w:r>
      <w:r w:rsidR="00F55E33" w:rsidRPr="009B605C">
        <w:rPr>
          <w:rFonts w:ascii="Cambria" w:hAnsi="Cambria"/>
          <w:lang w:eastAsia="zh-CN"/>
        </w:rPr>
        <w:t xml:space="preserve">. </w:t>
      </w:r>
      <w:r w:rsidRPr="009B605C">
        <w:rPr>
          <w:rFonts w:ascii="Cambria" w:hAnsi="Cambria"/>
          <w:lang w:eastAsia="zh-CN"/>
        </w:rPr>
        <w:t xml:space="preserve">Therefore, we </w:t>
      </w:r>
      <w:r w:rsidR="008C0A2B" w:rsidRPr="009B605C">
        <w:rPr>
          <w:rFonts w:ascii="Cambria" w:hAnsi="Cambria"/>
          <w:lang w:eastAsia="zh-CN"/>
        </w:rPr>
        <w:t>specify</w:t>
      </w:r>
      <w:r w:rsidRPr="009B605C">
        <w:rPr>
          <w:rFonts w:ascii="Cambria" w:hAnsi="Cambria"/>
          <w:lang w:eastAsia="zh-CN"/>
        </w:rPr>
        <w:t xml:space="preserve"> the following TVP-VAR model:</w:t>
      </w:r>
    </w:p>
    <w:p w14:paraId="5173DFB3" w14:textId="7D33F5B7" w:rsidR="00A1466F" w:rsidRPr="009B605C" w:rsidRDefault="00000000" w:rsidP="00A04325">
      <w:pPr>
        <w:spacing w:before="160" w:after="160" w:line="360" w:lineRule="auto"/>
        <w:ind w:left="1440" w:firstLine="720"/>
        <w:jc w:val="both"/>
        <w:rPr>
          <w:rFonts w:ascii="Cambria" w:eastAsiaTheme="minorEastAsia" w:hAnsi="Cambria"/>
        </w:rPr>
      </w:p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1,t</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2,t</m:t>
            </m:r>
          </m:sub>
        </m:sSub>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m:t>
            </m:r>
          </m:sub>
        </m:sSub>
        <m:sSub>
          <m:sSubPr>
            <m:ctrlPr>
              <w:rPr>
                <w:rFonts w:ascii="Cambria Math" w:hAnsi="Cambria Math"/>
                <w:i/>
              </w:rPr>
            </m:ctrlPr>
          </m:sSubPr>
          <m:e>
            <m:r>
              <w:rPr>
                <w:rFonts w:ascii="Cambria Math" w:hAnsi="Cambria Math"/>
              </w:rPr>
              <m:t>Y</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t</m:t>
            </m:r>
          </m:sub>
        </m:sSub>
      </m:oMath>
      <w:r w:rsidR="00A1466F" w:rsidRPr="009B605C">
        <w:rPr>
          <w:rFonts w:ascii="Cambria" w:eastAsiaTheme="minorEastAsia" w:hAnsi="Cambria"/>
        </w:rPr>
        <w:tab/>
      </w:r>
      <w:r w:rsidR="00A1466F" w:rsidRPr="009B605C">
        <w:rPr>
          <w:rFonts w:ascii="Cambria" w:eastAsiaTheme="minorEastAsia" w:hAnsi="Cambria"/>
        </w:rPr>
        <w:tab/>
      </w:r>
      <w:r w:rsidR="00A1466F" w:rsidRPr="009B605C">
        <w:rPr>
          <w:rFonts w:ascii="Cambria" w:eastAsiaTheme="minorEastAsia" w:hAnsi="Cambria"/>
        </w:rPr>
        <w:tab/>
        <w:t xml:space="preserve"> (8)</w:t>
      </w:r>
    </w:p>
    <w:p w14:paraId="181153EA" w14:textId="506750EE" w:rsidR="00DB2FB9" w:rsidRPr="009B605C" w:rsidRDefault="00A1466F" w:rsidP="0087752F">
      <w:pPr>
        <w:spacing w:line="360" w:lineRule="auto"/>
        <w:jc w:val="both"/>
        <w:rPr>
          <w:rFonts w:ascii="Cambria" w:eastAsiaTheme="minorEastAsia" w:hAnsi="Cambria"/>
        </w:rPr>
      </w:pPr>
      <w:r w:rsidRPr="009B605C">
        <w:rPr>
          <w:rFonts w:ascii="Cambria" w:hAnsi="Cambria"/>
        </w:rPr>
        <w:t xml:space="preserve">where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m,t</m:t>
            </m:r>
          </m:sub>
        </m:sSub>
        <m:r>
          <w:rPr>
            <w:rFonts w:ascii="Cambria Math" w:hAnsi="Cambria Math"/>
          </w:rPr>
          <m:t>]'</m:t>
        </m:r>
      </m:oMath>
      <w:r w:rsidRPr="009B605C">
        <w:rPr>
          <w:rFonts w:ascii="Cambria" w:hAnsi="Cambria"/>
        </w:rPr>
        <w:t xml:space="preserve"> is a </w:t>
      </w:r>
      <m:oMath>
        <m:r>
          <w:rPr>
            <w:rFonts w:ascii="Cambria Math" w:hAnsi="Cambria Math"/>
          </w:rPr>
          <m:t>m×1</m:t>
        </m:r>
      </m:oMath>
      <w:r w:rsidRPr="009B605C">
        <w:rPr>
          <w:rFonts w:ascii="Cambria" w:hAnsi="Cambria"/>
        </w:rPr>
        <w:t xml:space="preserve"> vector, </w:t>
      </w:r>
      <m:oMath>
        <m:sSub>
          <m:sSubPr>
            <m:ctrlPr>
              <w:rPr>
                <w:rFonts w:ascii="Cambria Math" w:hAnsi="Cambria Math"/>
                <w:i/>
              </w:rPr>
            </m:ctrlPr>
          </m:sSubPr>
          <m:e>
            <m:r>
              <w:rPr>
                <w:rFonts w:ascii="Cambria Math" w:hAnsi="Cambria Math"/>
              </w:rPr>
              <m:t>θ</m:t>
            </m:r>
          </m:e>
          <m:sub>
            <m:r>
              <w:rPr>
                <w:rFonts w:ascii="Cambria Math" w:hAnsi="Cambria Math"/>
              </w:rPr>
              <m:t>j,t</m:t>
            </m:r>
          </m:sub>
        </m:sSub>
      </m:oMath>
      <w:r w:rsidR="007F582D" w:rsidRPr="009B605C">
        <w:rPr>
          <w:rFonts w:ascii="Cambria" w:hAnsi="Cambria"/>
        </w:rPr>
        <w:t xml:space="preserve"> </w:t>
      </w:r>
      <w:r w:rsidRPr="009B605C">
        <w:rPr>
          <w:rFonts w:ascii="Cambria" w:eastAsiaTheme="minorEastAsia" w:hAnsi="Cambria"/>
        </w:rPr>
        <w:t>are functions of time-varying coefficient matrixes</w:t>
      </w:r>
      <w:r w:rsidR="007F582D" w:rsidRPr="009B605C">
        <w:rPr>
          <w:rFonts w:ascii="Cambria" w:eastAsiaTheme="minorEastAsia" w:hAnsi="Cambria"/>
        </w:rPr>
        <w:t xml:space="preserve">, where </w:t>
      </w:r>
      <m:oMath>
        <m:r>
          <w:rPr>
            <w:rFonts w:ascii="Cambria Math" w:eastAsiaTheme="minorEastAsia" w:hAnsi="Cambria Math"/>
          </w:rPr>
          <m:t>j=1,2,…p</m:t>
        </m:r>
      </m:oMath>
      <w:r w:rsidR="007F582D" w:rsidRPr="009B605C">
        <w:rPr>
          <w:rFonts w:ascii="Cambria" w:eastAsiaTheme="minorEastAsia" w:hAnsi="Cambria"/>
        </w:rPr>
        <w:t xml:space="preserve"> for lag length</w:t>
      </w:r>
      <w:r w:rsidRPr="009B605C">
        <w:rPr>
          <w:rFonts w:ascii="Cambria" w:eastAsiaTheme="minorEastAsia" w:hAnsi="Cambria"/>
        </w:rPr>
        <w:t xml:space="preserve"> </w:t>
      </w:r>
      <m:oMath>
        <m:r>
          <w:rPr>
            <w:rFonts w:ascii="Cambria Math" w:eastAsiaTheme="minorEastAsia" w:hAnsi="Cambria Math"/>
          </w:rPr>
          <m:t>p</m:t>
        </m:r>
      </m:oMath>
      <w:r w:rsidRPr="009B605C">
        <w:rPr>
          <w:rFonts w:ascii="Cambria" w:eastAsiaTheme="minorEastAsia" w:hAnsi="Cambria"/>
        </w:rPr>
        <w:t xml:space="preserve">, and </w:t>
      </w:r>
      <m:oMath>
        <m:sSub>
          <m:sSubPr>
            <m:ctrlPr>
              <w:rPr>
                <w:rFonts w:ascii="Cambria Math" w:eastAsiaTheme="minorEastAsia" w:hAnsi="Cambria Math"/>
                <w:i/>
              </w:rPr>
            </m:ctrlPr>
          </m:sSubPr>
          <m:e>
            <m:r>
              <w:rPr>
                <w:rFonts w:ascii="Cambria Math" w:hAnsi="Cambria Math"/>
              </w:rPr>
              <m:t>ϵ</m:t>
            </m:r>
          </m:e>
          <m:sub>
            <m:r>
              <w:rPr>
                <w:rFonts w:ascii="Cambria Math" w:eastAsiaTheme="minorEastAsia" w:hAnsi="Cambria Math"/>
              </w:rPr>
              <m:t>t</m:t>
            </m:r>
          </m:sub>
        </m:sSub>
      </m:oMath>
      <w:r w:rsidRPr="009B605C">
        <w:rPr>
          <w:rFonts w:ascii="Cambria" w:eastAsiaTheme="minorEastAsia" w:hAnsi="Cambria"/>
        </w:rPr>
        <w:t xml:space="preserve"> are heteroscedastic and serially correlated idiosyncratic shocks</w:t>
      </w:r>
      <w:r w:rsidRPr="009B605C">
        <w:rPr>
          <w:rFonts w:ascii="Cambria" w:hAnsi="Cambria"/>
        </w:rPr>
        <w:t xml:space="preserve">. The null hypothesis is that </w:t>
      </w:r>
      <w:r w:rsidR="00DB2FB9" w:rsidRPr="009B605C">
        <w:rPr>
          <w:rFonts w:ascii="Cambria" w:hAnsi="Cambria"/>
        </w:rPr>
        <w:t>Gold/Crypto</w:t>
      </w:r>
      <w:r w:rsidRPr="009B605C">
        <w:rPr>
          <w:rFonts w:ascii="Cambria" w:hAnsi="Cambria"/>
        </w:rPr>
        <w:t xml:space="preserve"> (</w:t>
      </w:r>
      <w:r w:rsidR="00DB2FB9" w:rsidRPr="009B605C">
        <w:rPr>
          <w:rFonts w:ascii="Cambria" w:hAnsi="Cambria"/>
        </w:rPr>
        <w:t>Stocks</w:t>
      </w:r>
      <w:r w:rsidRPr="009B605C">
        <w:rPr>
          <w:rFonts w:ascii="Cambria" w:hAnsi="Cambria"/>
        </w:rPr>
        <w:t xml:space="preserve">) does not Granger cause </w:t>
      </w:r>
      <w:r w:rsidR="00DB2FB9" w:rsidRPr="009B605C">
        <w:rPr>
          <w:rFonts w:ascii="Cambria" w:hAnsi="Cambria"/>
        </w:rPr>
        <w:t>Stocks</w:t>
      </w:r>
      <w:r w:rsidRPr="009B605C">
        <w:rPr>
          <w:rFonts w:ascii="Cambria" w:hAnsi="Cambria"/>
        </w:rPr>
        <w:t xml:space="preserve"> (</w:t>
      </w:r>
      <w:r w:rsidR="00DB2FB9" w:rsidRPr="009B605C">
        <w:rPr>
          <w:rFonts w:ascii="Cambria" w:hAnsi="Cambria"/>
        </w:rPr>
        <w:t>Gold/Crypto</w:t>
      </w:r>
      <w:r w:rsidRPr="009B605C">
        <w:rPr>
          <w:rFonts w:ascii="Cambria" w:hAnsi="Cambria"/>
        </w:rPr>
        <w:t xml:space="preserve">), i.e.,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=0</m:t>
        </m:r>
      </m:oMath>
      <w:r w:rsidRPr="009B605C">
        <w:rPr>
          <w:rFonts w:ascii="Cambria" w:eastAsiaTheme="minorEastAsia" w:hAnsi="Cambria"/>
        </w:rPr>
        <w:t xml:space="preserve">, for </w:t>
      </w:r>
      <m:oMath>
        <m:r>
          <w:rPr>
            <w:rFonts w:ascii="Cambria Math" w:eastAsiaTheme="minorEastAsia" w:hAnsi="Cambria Math"/>
          </w:rPr>
          <m:t>∀t=1,2,…T</m:t>
        </m:r>
      </m:oMath>
      <w:r w:rsidRPr="009B605C">
        <w:rPr>
          <w:rFonts w:ascii="Cambria" w:eastAsiaTheme="minorEastAsia" w:hAnsi="Cambria"/>
        </w:rPr>
        <w:t xml:space="preserve">, where </w:t>
      </w:r>
      <m:oMath>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m:t>
            </m:r>
          </m:sub>
        </m:sSub>
        <m:r>
          <w:rPr>
            <w:rFonts w:ascii="Cambria Math" w:hAnsi="Cambria Math"/>
          </w:rPr>
          <m:t>)</m:t>
        </m:r>
      </m:oMath>
      <w:r w:rsidRPr="009B605C">
        <w:rPr>
          <w:rFonts w:ascii="Cambria" w:eastAsiaTheme="minorEastAsia" w:hAnsi="Cambria"/>
        </w:rPr>
        <w:t>, against its corresponding alternative.</w:t>
      </w:r>
      <w:r w:rsidR="00DB2FB9" w:rsidRPr="009B605C">
        <w:rPr>
          <w:rFonts w:ascii="Cambria" w:hAnsi="Cambria"/>
        </w:rPr>
        <w:t xml:space="preserve"> </w:t>
      </w:r>
      <w:r w:rsidR="00DB2FB9" w:rsidRPr="009B605C">
        <w:rPr>
          <w:rFonts w:ascii="Cambria" w:eastAsiaTheme="minorEastAsia" w:hAnsi="Cambria"/>
        </w:rPr>
        <w:t>In line with Rossi (2005), we employ the mean Wald (MeanW), Nyblom (Nyblom), and Quandt Likelihood Ratio (</w:t>
      </w:r>
      <w:proofErr w:type="spellStart"/>
      <w:r w:rsidR="00DB2FB9" w:rsidRPr="009B605C">
        <w:rPr>
          <w:rFonts w:ascii="Cambria" w:eastAsiaTheme="minorEastAsia" w:hAnsi="Cambria"/>
        </w:rPr>
        <w:t>SupLR</w:t>
      </w:r>
      <w:proofErr w:type="spellEnd"/>
      <w:r w:rsidR="00DB2FB9" w:rsidRPr="009B605C">
        <w:rPr>
          <w:rFonts w:ascii="Cambria" w:eastAsiaTheme="minorEastAsia" w:hAnsi="Cambria"/>
        </w:rPr>
        <w:t xml:space="preserve">) test statistics to confirm the outcome of the null hypothesis. As rule of thumb, if at least two of the three test statistics either reject or fail to reject the null hypothesis, we conclude whether causality exists or not, respectively. The BIC is used </w:t>
      </w:r>
      <w:r w:rsidR="003767F4" w:rsidRPr="009B605C">
        <w:rPr>
          <w:rFonts w:ascii="Cambria" w:eastAsiaTheme="minorEastAsia" w:hAnsi="Cambria"/>
        </w:rPr>
        <w:t>to select the</w:t>
      </w:r>
      <w:r w:rsidR="00DB2FB9" w:rsidRPr="009B605C">
        <w:rPr>
          <w:rFonts w:ascii="Cambria" w:eastAsiaTheme="minorEastAsia" w:hAnsi="Cambria"/>
        </w:rPr>
        <w:t xml:space="preserve"> lag length for the </w:t>
      </w:r>
      <w:r w:rsidR="00E663E5" w:rsidRPr="009B605C">
        <w:rPr>
          <w:rFonts w:ascii="Cambria" w:eastAsiaTheme="minorEastAsia" w:hAnsi="Cambria"/>
        </w:rPr>
        <w:t>TVP-</w:t>
      </w:r>
      <w:r w:rsidR="00DB2FB9" w:rsidRPr="009B605C">
        <w:rPr>
          <w:rFonts w:ascii="Cambria" w:eastAsiaTheme="minorEastAsia" w:hAnsi="Cambria"/>
        </w:rPr>
        <w:t>VAR model</w:t>
      </w:r>
      <w:r w:rsidR="00E663E5" w:rsidRPr="009B605C">
        <w:rPr>
          <w:rFonts w:ascii="Cambria" w:eastAsiaTheme="minorEastAsia" w:hAnsi="Cambria"/>
        </w:rPr>
        <w:t xml:space="preserve"> and</w:t>
      </w:r>
      <w:r w:rsidR="00DB2FB9" w:rsidRPr="009B605C">
        <w:rPr>
          <w:rFonts w:ascii="Cambria" w:eastAsiaTheme="minorEastAsia" w:hAnsi="Cambria"/>
        </w:rPr>
        <w:t xml:space="preserve"> a standard trimming parameter of 0.10 </w:t>
      </w:r>
      <w:r w:rsidR="00E663E5" w:rsidRPr="009B605C">
        <w:rPr>
          <w:rFonts w:ascii="Cambria" w:eastAsiaTheme="minorEastAsia" w:hAnsi="Cambria"/>
        </w:rPr>
        <w:t xml:space="preserve">is applied </w:t>
      </w:r>
      <w:r w:rsidR="00DB2FB9" w:rsidRPr="009B605C">
        <w:rPr>
          <w:rFonts w:ascii="Cambria" w:eastAsiaTheme="minorEastAsia" w:hAnsi="Cambria"/>
        </w:rPr>
        <w:t xml:space="preserve">(see, </w:t>
      </w:r>
      <w:proofErr w:type="spellStart"/>
      <w:r w:rsidR="00DB2FB9" w:rsidRPr="009B605C">
        <w:rPr>
          <w:rFonts w:ascii="Cambria" w:eastAsiaTheme="minorEastAsia" w:hAnsi="Cambria"/>
        </w:rPr>
        <w:t>Akyildirim</w:t>
      </w:r>
      <w:proofErr w:type="spellEnd"/>
      <w:r w:rsidR="00DB2FB9" w:rsidRPr="009B605C">
        <w:rPr>
          <w:rFonts w:ascii="Cambria" w:eastAsiaTheme="minorEastAsia" w:hAnsi="Cambria"/>
        </w:rPr>
        <w:t xml:space="preserve"> et al., 2022).</w:t>
      </w:r>
    </w:p>
    <w:p w14:paraId="05F38F0C" w14:textId="3BC5F991" w:rsidR="00017175" w:rsidRPr="009B605C" w:rsidRDefault="000C667A" w:rsidP="0087752F">
      <w:pPr>
        <w:spacing w:before="160" w:after="40" w:line="360" w:lineRule="auto"/>
        <w:rPr>
          <w:rFonts w:ascii="Cambria" w:hAnsi="Cambria"/>
          <w:b/>
          <w:bCs/>
        </w:rPr>
      </w:pPr>
      <w:r w:rsidRPr="009B605C">
        <w:rPr>
          <w:rFonts w:ascii="Cambria" w:hAnsi="Cambria"/>
          <w:b/>
          <w:bCs/>
        </w:rPr>
        <w:t>2</w:t>
      </w:r>
      <w:r w:rsidR="00017175" w:rsidRPr="009B605C">
        <w:rPr>
          <w:rFonts w:ascii="Cambria" w:hAnsi="Cambria"/>
          <w:b/>
          <w:bCs/>
        </w:rPr>
        <w:t xml:space="preserve">.3. </w:t>
      </w:r>
      <w:r w:rsidR="00A44904" w:rsidRPr="009B605C">
        <w:rPr>
          <w:rFonts w:ascii="Cambria" w:hAnsi="Cambria"/>
          <w:b/>
          <w:bCs/>
        </w:rPr>
        <w:t>Portfolio strategies and hedging effectiveness</w:t>
      </w:r>
    </w:p>
    <w:p w14:paraId="75F4FC5A" w14:textId="7023C7BE" w:rsidR="001D2A24" w:rsidRPr="009B605C" w:rsidRDefault="001D2A24" w:rsidP="00A04325">
      <w:pPr>
        <w:spacing w:line="360" w:lineRule="auto"/>
        <w:jc w:val="both"/>
        <w:rPr>
          <w:rFonts w:ascii="Cambria" w:hAnsi="Cambria"/>
        </w:rPr>
      </w:pPr>
      <w:r w:rsidRPr="009B605C">
        <w:rPr>
          <w:rFonts w:ascii="Cambria" w:hAnsi="Cambria"/>
        </w:rPr>
        <w:t xml:space="preserve">By constructing optimal hedge ratios and portfolio weights, we extend our empirical findings and assess the </w:t>
      </w:r>
      <w:r w:rsidR="00A44904" w:rsidRPr="009B605C">
        <w:rPr>
          <w:rFonts w:ascii="Cambria" w:hAnsi="Cambria"/>
        </w:rPr>
        <w:t xml:space="preserve">hedging costs and portfolio diversification properties </w:t>
      </w:r>
      <w:r w:rsidRPr="009B605C">
        <w:rPr>
          <w:rFonts w:ascii="Cambria" w:hAnsi="Cambria"/>
        </w:rPr>
        <w:t xml:space="preserve">of gold and cryptocurrencies for </w:t>
      </w:r>
      <w:r w:rsidR="00A44904" w:rsidRPr="009B605C">
        <w:rPr>
          <w:rFonts w:ascii="Cambria" w:hAnsi="Cambria"/>
        </w:rPr>
        <w:t xml:space="preserve">BRICS </w:t>
      </w:r>
      <w:r w:rsidRPr="009B605C">
        <w:rPr>
          <w:rFonts w:ascii="Cambria" w:hAnsi="Cambria"/>
        </w:rPr>
        <w:t>stoc</w:t>
      </w:r>
      <w:r w:rsidR="00A44904" w:rsidRPr="009B605C">
        <w:rPr>
          <w:rFonts w:ascii="Cambria" w:hAnsi="Cambria"/>
        </w:rPr>
        <w:t>ks</w:t>
      </w:r>
      <w:r w:rsidRPr="009B605C">
        <w:rPr>
          <w:rFonts w:ascii="Cambria" w:hAnsi="Cambria"/>
        </w:rPr>
        <w:t xml:space="preserve">. The hedge ratios determine the cost of hedging a $1 </w:t>
      </w:r>
      <w:r w:rsidRPr="009B605C">
        <w:rPr>
          <w:rFonts w:ascii="Cambria" w:hAnsi="Cambria"/>
        </w:rPr>
        <w:lastRenderedPageBreak/>
        <w:t xml:space="preserve">long position in variable </w:t>
      </w:r>
      <m:oMath>
        <m:r>
          <w:rPr>
            <w:rFonts w:ascii="Cambria Math" w:hAnsi="Cambria Math"/>
          </w:rPr>
          <m:t>i</m:t>
        </m:r>
      </m:oMath>
      <w:r w:rsidRPr="009B605C">
        <w:rPr>
          <w:rFonts w:ascii="Cambria" w:hAnsi="Cambria"/>
        </w:rPr>
        <w:t xml:space="preserve"> with a</w:t>
      </w:r>
      <w:r w:rsidR="00A44904" w:rsidRPr="009B605C">
        <w:rPr>
          <w:rFonts w:ascii="Cambria" w:hAnsi="Cambria"/>
        </w:rPr>
        <w:t xml:space="preserve"> </w:t>
      </w:r>
      <m:oMath>
        <m:sSub>
          <m:sSubPr>
            <m:ctrlPr>
              <w:rPr>
                <w:rFonts w:ascii="Cambria Math" w:hAnsi="Cambria Math"/>
                <w:i/>
              </w:rPr>
            </m:ctrlPr>
          </m:sSubPr>
          <m:e>
            <m:r>
              <w:rPr>
                <w:rFonts w:ascii="Cambria Math" w:hAnsi="Cambria Math"/>
              </w:rPr>
              <m:t>β</m:t>
            </m:r>
          </m:e>
          <m:sub>
            <m:r>
              <w:rPr>
                <w:rFonts w:ascii="Cambria Math" w:hAnsi="Cambria Math"/>
              </w:rPr>
              <m:t>ijt</m:t>
            </m:r>
          </m:sub>
        </m:sSub>
      </m:oMath>
      <w:r w:rsidRPr="009B605C">
        <w:rPr>
          <w:rFonts w:ascii="Cambria" w:hAnsi="Cambria"/>
        </w:rPr>
        <w:t xml:space="preserve"> $1 short position in variable </w:t>
      </w:r>
      <m:oMath>
        <m:r>
          <w:rPr>
            <w:rFonts w:ascii="Cambria Math" w:hAnsi="Cambria Math"/>
          </w:rPr>
          <m:t>j</m:t>
        </m:r>
      </m:oMath>
      <w:r w:rsidRPr="009B605C">
        <w:rPr>
          <w:rFonts w:ascii="Cambria" w:hAnsi="Cambria"/>
        </w:rPr>
        <w:t>. For this purpose, we apply the method of Kroner and Sultan</w:t>
      </w:r>
      <w:r w:rsidR="00A44904" w:rsidRPr="009B605C">
        <w:rPr>
          <w:rFonts w:ascii="Cambria" w:hAnsi="Cambria"/>
        </w:rPr>
        <w:t xml:space="preserve"> (</w:t>
      </w:r>
      <w:r w:rsidRPr="009B605C">
        <w:rPr>
          <w:rFonts w:ascii="Cambria" w:hAnsi="Cambria"/>
        </w:rPr>
        <w:t>1993) to calculate the hedge ratio</w:t>
      </w:r>
      <w:r w:rsidR="00A44904" w:rsidRPr="009B605C">
        <w:rPr>
          <w:rFonts w:ascii="Cambria" w:hAnsi="Cambria"/>
        </w:rPr>
        <w:t>:</w:t>
      </w:r>
    </w:p>
    <w:p w14:paraId="4AAAB570" w14:textId="382F3530" w:rsidR="001D2A24" w:rsidRPr="009B605C" w:rsidRDefault="00000000" w:rsidP="0087752F">
      <w:pPr>
        <w:spacing w:before="160" w:after="160" w:line="360" w:lineRule="auto"/>
        <w:ind w:left="2880" w:firstLine="720"/>
        <w:rPr>
          <w:rFonts w:ascii="Cambria" w:hAnsi="Cambria"/>
        </w:rPr>
      </w:pPr>
      <m:oMath>
        <m:sSub>
          <m:sSubPr>
            <m:ctrlPr>
              <w:rPr>
                <w:rFonts w:ascii="Cambria Math" w:hAnsi="Cambria Math"/>
                <w:i/>
              </w:rPr>
            </m:ctrlPr>
          </m:sSubPr>
          <m:e>
            <m:r>
              <w:rPr>
                <w:rFonts w:ascii="Cambria Math" w:hAnsi="Cambria Math"/>
              </w:rPr>
              <m:t>β</m:t>
            </m:r>
          </m:e>
          <m:sub>
            <m:r>
              <w:rPr>
                <w:rFonts w:ascii="Cambria Math" w:hAnsi="Cambria Math"/>
              </w:rPr>
              <m:t>ij,t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ij,t</m:t>
                </m:r>
              </m:sub>
            </m:sSub>
          </m:num>
          <m:den>
            <m:sSub>
              <m:sSubPr>
                <m:ctrlPr>
                  <w:rPr>
                    <w:rFonts w:ascii="Cambria Math" w:hAnsi="Cambria Math"/>
                    <w:i/>
                  </w:rPr>
                </m:ctrlPr>
              </m:sSubPr>
              <m:e>
                <m:r>
                  <w:rPr>
                    <w:rFonts w:ascii="Cambria Math" w:hAnsi="Cambria Math"/>
                  </w:rPr>
                  <m:t>h</m:t>
                </m:r>
              </m:e>
              <m:sub>
                <m:r>
                  <w:rPr>
                    <w:rFonts w:ascii="Cambria Math" w:hAnsi="Cambria Math"/>
                  </w:rPr>
                  <m:t>jj,t</m:t>
                </m:r>
              </m:sub>
            </m:sSub>
          </m:den>
        </m:f>
      </m:oMath>
      <w:r w:rsidR="008E165A" w:rsidRPr="009B605C">
        <w:rPr>
          <w:rFonts w:ascii="Cambria" w:hAnsi="Cambria"/>
        </w:rPr>
        <w:tab/>
      </w:r>
      <w:r w:rsidR="008E165A" w:rsidRPr="009B605C">
        <w:rPr>
          <w:rFonts w:ascii="Cambria" w:hAnsi="Cambria"/>
        </w:rPr>
        <w:tab/>
      </w:r>
      <w:r w:rsidR="008E165A" w:rsidRPr="009B605C">
        <w:rPr>
          <w:rFonts w:ascii="Cambria" w:hAnsi="Cambria"/>
        </w:rPr>
        <w:tab/>
      </w:r>
      <w:r w:rsidR="008E165A" w:rsidRPr="009B605C">
        <w:rPr>
          <w:rFonts w:ascii="Cambria" w:hAnsi="Cambria"/>
        </w:rPr>
        <w:tab/>
      </w:r>
      <w:r w:rsidR="008E165A" w:rsidRPr="009B605C">
        <w:rPr>
          <w:rFonts w:ascii="Cambria" w:hAnsi="Cambria"/>
        </w:rPr>
        <w:tab/>
      </w:r>
      <w:r w:rsidR="008E165A" w:rsidRPr="009B605C">
        <w:rPr>
          <w:rFonts w:ascii="Cambria" w:hAnsi="Cambria"/>
        </w:rPr>
        <w:tab/>
        <w:t>(9)</w:t>
      </w:r>
    </w:p>
    <w:p w14:paraId="4FBF9069" w14:textId="7C2F135B" w:rsidR="00FA3043" w:rsidRPr="009B605C" w:rsidRDefault="00A44904" w:rsidP="0087752F">
      <w:pPr>
        <w:spacing w:line="360" w:lineRule="auto"/>
        <w:jc w:val="both"/>
        <w:rPr>
          <w:rFonts w:ascii="Cambria" w:hAnsi="Cambria"/>
        </w:rPr>
      </w:pPr>
      <w:r w:rsidRPr="009B605C">
        <w:rPr>
          <w:rFonts w:ascii="Cambria" w:hAnsi="Cambria"/>
        </w:rPr>
        <w:t xml:space="preserve">where </w:t>
      </w:r>
      <m:oMath>
        <m:sSub>
          <m:sSubPr>
            <m:ctrlPr>
              <w:rPr>
                <w:rFonts w:ascii="Cambria Math" w:hAnsi="Cambria Math"/>
                <w:i/>
              </w:rPr>
            </m:ctrlPr>
          </m:sSubPr>
          <m:e>
            <m:r>
              <w:rPr>
                <w:rFonts w:ascii="Cambria Math" w:hAnsi="Cambria Math"/>
              </w:rPr>
              <m:t>h</m:t>
            </m:r>
          </m:e>
          <m:sub>
            <m:r>
              <w:rPr>
                <w:rFonts w:ascii="Cambria Math" w:hAnsi="Cambria Math"/>
              </w:rPr>
              <m:t>ij,t</m:t>
            </m:r>
          </m:sub>
        </m:sSub>
      </m:oMath>
      <w:r w:rsidRPr="009B605C">
        <w:rPr>
          <w:rFonts w:ascii="Cambria" w:hAnsi="Cambria"/>
        </w:rPr>
        <w:t xml:space="preserve"> denotes the conditional covariance between variables </w:t>
      </w:r>
      <m:oMath>
        <m:r>
          <w:rPr>
            <w:rFonts w:ascii="Cambria Math" w:hAnsi="Cambria Math"/>
          </w:rPr>
          <m:t>i</m:t>
        </m:r>
      </m:oMath>
      <w:r w:rsidRPr="009B605C">
        <w:rPr>
          <w:rFonts w:ascii="Cambria" w:hAnsi="Cambria"/>
        </w:rPr>
        <w:t xml:space="preserve"> and </w:t>
      </w:r>
      <m:oMath>
        <m:r>
          <w:rPr>
            <w:rFonts w:ascii="Cambria Math" w:hAnsi="Cambria Math"/>
          </w:rPr>
          <m:t>j</m:t>
        </m:r>
      </m:oMath>
      <w:r w:rsidRPr="009B605C">
        <w:rPr>
          <w:rFonts w:ascii="Cambria" w:hAnsi="Cambria"/>
        </w:rPr>
        <w:t xml:space="preserve">, while </w:t>
      </w:r>
      <m:oMath>
        <m:sSub>
          <m:sSubPr>
            <m:ctrlPr>
              <w:rPr>
                <w:rFonts w:ascii="Cambria Math" w:hAnsi="Cambria Math"/>
                <w:i/>
              </w:rPr>
            </m:ctrlPr>
          </m:sSubPr>
          <m:e>
            <m:r>
              <w:rPr>
                <w:rFonts w:ascii="Cambria Math" w:hAnsi="Cambria Math"/>
              </w:rPr>
              <m:t>h</m:t>
            </m:r>
          </m:e>
          <m:sub>
            <m:r>
              <w:rPr>
                <w:rFonts w:ascii="Cambria Math" w:hAnsi="Cambria Math"/>
              </w:rPr>
              <m:t>jj,t</m:t>
            </m:r>
          </m:sub>
        </m:sSub>
      </m:oMath>
      <w:r w:rsidRPr="009B605C">
        <w:rPr>
          <w:rFonts w:ascii="Cambria" w:hAnsi="Cambria"/>
        </w:rPr>
        <w:t xml:space="preserve"> is the conditional variance of asset </w:t>
      </w:r>
      <m:oMath>
        <m:r>
          <w:rPr>
            <w:rFonts w:ascii="Cambria Math" w:hAnsi="Cambria Math"/>
          </w:rPr>
          <m:t>j</m:t>
        </m:r>
      </m:oMath>
      <w:r w:rsidRPr="009B605C">
        <w:rPr>
          <w:rFonts w:ascii="Cambria" w:hAnsi="Cambria"/>
        </w:rPr>
        <w:t>. This indicates that greater conditional variance reduces the hedging costs for long positions, whereas higher conditional covariance increases these hedging costs.</w:t>
      </w:r>
    </w:p>
    <w:p w14:paraId="2EE91505" w14:textId="2BA3C28C" w:rsidR="00FA3043" w:rsidRPr="009B605C" w:rsidRDefault="0087273C" w:rsidP="0087752F">
      <w:pPr>
        <w:spacing w:line="360" w:lineRule="auto"/>
        <w:ind w:firstLine="720"/>
        <w:jc w:val="both"/>
        <w:rPr>
          <w:rFonts w:ascii="Cambria" w:hAnsi="Cambria"/>
        </w:rPr>
      </w:pPr>
      <w:r w:rsidRPr="009B605C">
        <w:rPr>
          <w:rFonts w:ascii="Cambria" w:hAnsi="Cambria"/>
        </w:rPr>
        <w:t xml:space="preserve">Next, we follow Kroner and Ng (1998) to construct the optimal bilateral portfolio weights between variables </w:t>
      </w:r>
      <w:proofErr w:type="spellStart"/>
      <w:r w:rsidRPr="009B605C">
        <w:rPr>
          <w:rFonts w:ascii="Cambria" w:hAnsi="Cambria"/>
          <w:i/>
          <w:iCs/>
        </w:rPr>
        <w:t>i</w:t>
      </w:r>
      <w:proofErr w:type="spellEnd"/>
      <w:r w:rsidRPr="009B605C">
        <w:rPr>
          <w:rFonts w:ascii="Cambria" w:hAnsi="Cambria"/>
        </w:rPr>
        <w:t xml:space="preserve"> and </w:t>
      </w:r>
      <w:r w:rsidRPr="009B605C">
        <w:rPr>
          <w:rFonts w:ascii="Cambria" w:hAnsi="Cambria"/>
          <w:i/>
          <w:iCs/>
        </w:rPr>
        <w:t>j</w:t>
      </w:r>
      <w:r w:rsidRPr="009B605C">
        <w:rPr>
          <w:rFonts w:ascii="Cambria" w:hAnsi="Cambria"/>
        </w:rPr>
        <w:t>. The optimal bilateral portfolio weights are calculated as:</w:t>
      </w:r>
    </w:p>
    <w:p w14:paraId="53CAFE0D" w14:textId="5A3FBAA4" w:rsidR="0087273C" w:rsidRPr="009B605C" w:rsidRDefault="00000000" w:rsidP="0087752F">
      <w:pPr>
        <w:spacing w:before="160" w:after="160" w:line="360" w:lineRule="auto"/>
        <w:ind w:left="2880"/>
        <w:rPr>
          <w:rFonts w:ascii="Cambria" w:hAnsi="Cambria"/>
        </w:rPr>
      </w:pPr>
      <m:oMath>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jj,t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ij,t</m:t>
                </m:r>
              </m:sub>
            </m:sSub>
          </m:num>
          <m:den>
            <m:sSub>
              <m:sSubPr>
                <m:ctrlPr>
                  <w:rPr>
                    <w:rFonts w:ascii="Cambria Math" w:hAnsi="Cambria Math"/>
                    <w:i/>
                  </w:rPr>
                </m:ctrlPr>
              </m:sSubPr>
              <m:e>
                <m:r>
                  <w:rPr>
                    <w:rFonts w:ascii="Cambria Math" w:hAnsi="Cambria Math"/>
                  </w:rPr>
                  <m:t>h</m:t>
                </m:r>
              </m:e>
              <m:sub>
                <m:r>
                  <w:rPr>
                    <w:rFonts w:ascii="Cambria Math" w:hAnsi="Cambria Math"/>
                  </w:rPr>
                  <m:t>ii,t</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jj,t</m:t>
                </m:r>
              </m:sub>
            </m:sSub>
          </m:den>
        </m:f>
      </m:oMath>
      <w:r w:rsidR="008E165A" w:rsidRPr="009B605C">
        <w:rPr>
          <w:rFonts w:ascii="Cambria" w:hAnsi="Cambria"/>
        </w:rPr>
        <w:t xml:space="preserve"> </w:t>
      </w:r>
      <w:r w:rsidR="008E165A" w:rsidRPr="009B605C">
        <w:rPr>
          <w:rFonts w:ascii="Cambria" w:hAnsi="Cambria"/>
        </w:rPr>
        <w:tab/>
      </w:r>
      <w:r w:rsidR="008E165A" w:rsidRPr="009B605C">
        <w:rPr>
          <w:rFonts w:ascii="Cambria" w:hAnsi="Cambria"/>
        </w:rPr>
        <w:tab/>
      </w:r>
      <w:r w:rsidR="008E165A" w:rsidRPr="009B605C">
        <w:rPr>
          <w:rFonts w:ascii="Cambria" w:hAnsi="Cambria"/>
        </w:rPr>
        <w:tab/>
      </w:r>
      <w:r w:rsidR="008E165A" w:rsidRPr="009B605C">
        <w:rPr>
          <w:rFonts w:ascii="Cambria" w:hAnsi="Cambria"/>
        </w:rPr>
        <w:tab/>
      </w:r>
      <w:r w:rsidR="008E165A" w:rsidRPr="009B605C">
        <w:rPr>
          <w:rFonts w:ascii="Cambria" w:hAnsi="Cambria"/>
        </w:rPr>
        <w:tab/>
      </w:r>
      <w:r w:rsidR="00903C31" w:rsidRPr="009B605C">
        <w:rPr>
          <w:rFonts w:ascii="Cambria" w:hAnsi="Cambria"/>
        </w:rPr>
        <w:t xml:space="preserve">          </w:t>
      </w:r>
      <w:r w:rsidR="008E165A" w:rsidRPr="009B605C">
        <w:rPr>
          <w:rFonts w:ascii="Cambria" w:hAnsi="Cambria"/>
        </w:rPr>
        <w:t>(10)</w:t>
      </w:r>
    </w:p>
    <w:p w14:paraId="06975B7F" w14:textId="439E9D11" w:rsidR="00FA3043" w:rsidRPr="009B605C" w:rsidRDefault="0087273C" w:rsidP="0087752F">
      <w:pPr>
        <w:spacing w:line="360" w:lineRule="auto"/>
        <w:jc w:val="both"/>
        <w:rPr>
          <w:rFonts w:ascii="Cambria" w:hAnsi="Cambria"/>
        </w:rPr>
      </w:pPr>
      <w:r w:rsidRPr="009B605C">
        <w:rPr>
          <w:rFonts w:ascii="Cambria" w:hAnsi="Cambria"/>
        </w:rPr>
        <w:t xml:space="preserve">This calculation, however, permits weights to be greater than one or less than zero (Antonakakis et al., 2020). As we are focusing solely on long positions, we apply constraints to the weights, ensuring they remain within the range of </w:t>
      </w:r>
      <m:oMath>
        <m:r>
          <w:rPr>
            <w:rFonts w:ascii="Cambria Math" w:hAnsi="Cambria Math"/>
          </w:rPr>
          <m:t>[0,1]</m:t>
        </m:r>
      </m:oMath>
      <w:r w:rsidRPr="009B605C">
        <w:rPr>
          <w:rFonts w:ascii="Cambria" w:hAnsi="Cambria"/>
        </w:rPr>
        <w:t>.</w:t>
      </w:r>
    </w:p>
    <w:p w14:paraId="70D689A8" w14:textId="6A879C26" w:rsidR="00DE6F5A" w:rsidRPr="009B605C" w:rsidRDefault="00000000" w:rsidP="0087752F">
      <w:pPr>
        <w:spacing w:before="160" w:after="160" w:line="360" w:lineRule="auto"/>
        <w:ind w:left="2160" w:firstLine="720"/>
        <w:rPr>
          <w:rFonts w:ascii="Cambria" w:hAnsi="Cambria"/>
        </w:rPr>
      </w:pPr>
      <m:oMath>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sSub>
                  <m:sSubPr>
                    <m:ctrlPr>
                      <w:rPr>
                        <w:rFonts w:ascii="Cambria Math" w:hAnsi="Cambria Math"/>
                        <w:i/>
                      </w:rPr>
                    </m:ctrlPr>
                  </m:sSubPr>
                  <m:e>
                    <m:r>
                      <w:rPr>
                        <w:rFonts w:ascii="Cambria Math" w:hAnsi="Cambria Math"/>
                      </w:rPr>
                      <m:t>ω</m:t>
                    </m:r>
                  </m:e>
                  <m:sub>
                    <m:r>
                      <w:rPr>
                        <w:rFonts w:ascii="Cambria Math" w:hAnsi="Cambria Math"/>
                      </w:rPr>
                      <m:t>ij,t</m:t>
                    </m:r>
                  </m:sub>
                </m:sSub>
              </m:e>
              <m:e>
                <m:r>
                  <w:rPr>
                    <w:rFonts w:ascii="Cambria Math" w:hAnsi="Cambria Math"/>
                  </w:rPr>
                  <m:t>1</m:t>
                </m:r>
              </m:e>
            </m:eqArr>
            <m:r>
              <w:rPr>
                <w:rFonts w:ascii="Cambria Math" w:hAnsi="Cambria Math"/>
              </w:rPr>
              <m:t xml:space="preserve">      </m:t>
            </m:r>
            <m:m>
              <m:mPr>
                <m:cGp m:val="8"/>
                <m:mcs>
                  <m:mc>
                    <m:mcPr>
                      <m:count m:val="1"/>
                      <m:mcJc m:val="left"/>
                    </m:mcPr>
                  </m:mc>
                </m:mcs>
                <m:ctrlPr>
                  <w:rPr>
                    <w:rFonts w:ascii="Cambria Math" w:hAnsi="Cambria Math"/>
                    <w:i/>
                  </w:rPr>
                </m:ctrlPr>
              </m:mPr>
              <m:mr>
                <m:e>
                  <m:r>
                    <w:rPr>
                      <w:rFonts w:ascii="Cambria Math" w:hAnsi="Cambria Math"/>
                    </w:rPr>
                    <m:t xml:space="preserve">if </m:t>
                  </m:r>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 xml:space="preserve">&lt;0 </m:t>
                  </m:r>
                </m:e>
              </m:mr>
              <m:mr>
                <m:e>
                  <m:r>
                    <w:rPr>
                      <w:rFonts w:ascii="Cambria Math" w:hAnsi="Cambria Math"/>
                    </w:rPr>
                    <m:t>if 0≤</m:t>
                  </m:r>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≤1</m:t>
                  </m:r>
                </m:e>
              </m:mr>
              <m:mr>
                <m:e>
                  <m:r>
                    <w:rPr>
                      <w:rFonts w:ascii="Cambria Math" w:hAnsi="Cambria Math"/>
                    </w:rPr>
                    <m:t xml:space="preserve">if </m:t>
                  </m:r>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&gt;1</m:t>
                  </m:r>
                </m:e>
              </m:mr>
            </m:m>
            <m:r>
              <w:rPr>
                <w:rFonts w:ascii="Cambria Math" w:hAnsi="Cambria Math"/>
              </w:rPr>
              <m:t xml:space="preserve"> </m:t>
            </m:r>
          </m:e>
        </m:d>
      </m:oMath>
      <w:r w:rsidR="00D26568" w:rsidRPr="009B605C">
        <w:rPr>
          <w:rFonts w:ascii="Cambria" w:hAnsi="Cambria"/>
        </w:rPr>
        <w:tab/>
      </w:r>
      <w:r w:rsidR="00D26568" w:rsidRPr="009B605C">
        <w:rPr>
          <w:rFonts w:ascii="Cambria" w:hAnsi="Cambria"/>
        </w:rPr>
        <w:tab/>
      </w:r>
      <w:r w:rsidR="00D26568" w:rsidRPr="009B605C">
        <w:rPr>
          <w:rFonts w:ascii="Cambria" w:hAnsi="Cambria"/>
        </w:rPr>
        <w:tab/>
      </w:r>
      <w:r w:rsidR="00903C31" w:rsidRPr="009B605C">
        <w:rPr>
          <w:rFonts w:ascii="Cambria" w:hAnsi="Cambria"/>
        </w:rPr>
        <w:t xml:space="preserve">          </w:t>
      </w:r>
      <w:r w:rsidR="00D26568" w:rsidRPr="009B605C">
        <w:rPr>
          <w:rFonts w:ascii="Cambria" w:hAnsi="Cambria"/>
        </w:rPr>
        <w:t>(11)</w:t>
      </w:r>
    </w:p>
    <w:p w14:paraId="7A25C8AD" w14:textId="47F3CED5" w:rsidR="00DE6F5A" w:rsidRPr="009B605C" w:rsidRDefault="00924823" w:rsidP="0087752F">
      <w:pPr>
        <w:spacing w:line="360" w:lineRule="auto"/>
        <w:jc w:val="both"/>
        <w:rPr>
          <w:rFonts w:ascii="Cambria" w:hAnsi="Cambria"/>
        </w:rPr>
      </w:pPr>
      <w:r w:rsidRPr="009B605C">
        <w:rPr>
          <w:rFonts w:ascii="Cambria" w:hAnsi="Cambria"/>
        </w:rPr>
        <w:t xml:space="preserve">where </w:t>
      </w:r>
      <m:oMath>
        <m:sSub>
          <m:sSubPr>
            <m:ctrlPr>
              <w:rPr>
                <w:rFonts w:ascii="Cambria Math" w:hAnsi="Cambria Math"/>
                <w:i/>
              </w:rPr>
            </m:ctrlPr>
          </m:sSubPr>
          <m:e>
            <m:r>
              <w:rPr>
                <w:rFonts w:ascii="Cambria Math" w:hAnsi="Cambria Math"/>
              </w:rPr>
              <m:t>ω</m:t>
            </m:r>
          </m:e>
          <m:sub>
            <m:r>
              <w:rPr>
                <w:rFonts w:ascii="Cambria Math" w:hAnsi="Cambria Math"/>
              </w:rPr>
              <m:t>ij,t</m:t>
            </m:r>
          </m:sub>
        </m:sSub>
      </m:oMath>
      <w:r w:rsidRPr="009B605C">
        <w:rPr>
          <w:rFonts w:ascii="Cambria" w:hAnsi="Cambria"/>
        </w:rPr>
        <w:t xml:space="preserve">is the weight of variable </w:t>
      </w:r>
      <w:proofErr w:type="spellStart"/>
      <w:r w:rsidRPr="009B605C">
        <w:rPr>
          <w:rFonts w:ascii="Cambria" w:hAnsi="Cambria"/>
          <w:i/>
          <w:iCs/>
        </w:rPr>
        <w:t>i</w:t>
      </w:r>
      <w:proofErr w:type="spellEnd"/>
      <w:r w:rsidRPr="009B605C">
        <w:rPr>
          <w:rFonts w:ascii="Cambria" w:hAnsi="Cambria"/>
        </w:rPr>
        <w:t xml:space="preserve"> in a 1 USD portfolio of two variables </w:t>
      </w:r>
      <w:proofErr w:type="spellStart"/>
      <w:r w:rsidRPr="009B605C">
        <w:rPr>
          <w:rFonts w:ascii="Cambria" w:hAnsi="Cambria"/>
          <w:i/>
          <w:iCs/>
        </w:rPr>
        <w:t>i</w:t>
      </w:r>
      <w:proofErr w:type="spellEnd"/>
      <w:r w:rsidRPr="009B605C">
        <w:rPr>
          <w:rFonts w:ascii="Cambria" w:hAnsi="Cambria"/>
        </w:rPr>
        <w:t xml:space="preserve"> and </w:t>
      </w:r>
      <w:r w:rsidRPr="009B605C">
        <w:rPr>
          <w:rFonts w:ascii="Cambria" w:hAnsi="Cambria"/>
          <w:i/>
          <w:iCs/>
        </w:rPr>
        <w:t>j</w:t>
      </w:r>
      <w:r w:rsidRPr="009B605C">
        <w:rPr>
          <w:rFonts w:ascii="Cambria" w:hAnsi="Cambria"/>
        </w:rPr>
        <w:t xml:space="preserve"> at time </w:t>
      </w:r>
      <w:r w:rsidRPr="009B605C">
        <w:rPr>
          <w:rFonts w:ascii="Cambria" w:hAnsi="Cambria"/>
          <w:i/>
          <w:iCs/>
        </w:rPr>
        <w:t>t</w:t>
      </w:r>
      <w:r w:rsidRPr="009B605C">
        <w:rPr>
          <w:rFonts w:ascii="Cambria" w:hAnsi="Cambria"/>
        </w:rPr>
        <w:t xml:space="preserve">. Analogously, the weight regarding variable </w:t>
      </w:r>
      <w:r w:rsidRPr="009B605C">
        <w:rPr>
          <w:rFonts w:ascii="Cambria" w:hAnsi="Cambria"/>
          <w:i/>
          <w:iCs/>
        </w:rPr>
        <w:t>j</w:t>
      </w:r>
      <w:r w:rsidRPr="009B605C">
        <w:rPr>
          <w:rFonts w:ascii="Cambria" w:hAnsi="Cambria"/>
        </w:rPr>
        <w:t xml:space="preserve"> </w:t>
      </w:r>
      <w:r w:rsidR="00D22197" w:rsidRPr="009B605C">
        <w:rPr>
          <w:rFonts w:ascii="Cambria" w:hAnsi="Cambria"/>
        </w:rPr>
        <w:t xml:space="preserve">in the same portfolio </w:t>
      </w:r>
      <w:r w:rsidRPr="009B605C">
        <w:rPr>
          <w:rFonts w:ascii="Cambria" w:hAnsi="Cambria"/>
        </w:rPr>
        <w:t xml:space="preserve">is </w:t>
      </w:r>
      <m:oMath>
        <m:sSub>
          <m:sSubPr>
            <m:ctrlPr>
              <w:rPr>
                <w:rFonts w:ascii="Cambria Math" w:hAnsi="Cambria Math"/>
                <w:i/>
              </w:rPr>
            </m:ctrlPr>
          </m:sSubPr>
          <m:e>
            <m:r>
              <w:rPr>
                <w:rFonts w:ascii="Cambria Math" w:hAnsi="Cambria Math"/>
              </w:rPr>
              <m:t>ω</m:t>
            </m:r>
          </m:e>
          <m:sub>
            <m:r>
              <w:rPr>
                <w:rFonts w:ascii="Cambria Math" w:hAnsi="Cambria Math"/>
              </w:rPr>
              <m:t>ji,t</m:t>
            </m:r>
          </m:sub>
        </m:sSub>
        <m:r>
          <w:rPr>
            <w:rFonts w:ascii="Cambria Math" w:hAnsi="Cambria Math"/>
          </w:rPr>
          <m:t>=1-</m:t>
        </m:r>
        <m:sSub>
          <m:sSubPr>
            <m:ctrlPr>
              <w:rPr>
                <w:rFonts w:ascii="Cambria Math" w:hAnsi="Cambria Math"/>
                <w:i/>
              </w:rPr>
            </m:ctrlPr>
          </m:sSubPr>
          <m:e>
            <m:r>
              <w:rPr>
                <w:rFonts w:ascii="Cambria Math" w:hAnsi="Cambria Math"/>
              </w:rPr>
              <m:t>ω</m:t>
            </m:r>
          </m:e>
          <m:sub>
            <m:r>
              <w:rPr>
                <w:rFonts w:ascii="Cambria Math" w:hAnsi="Cambria Math"/>
              </w:rPr>
              <m:t>ij,t</m:t>
            </m:r>
          </m:sub>
        </m:sSub>
      </m:oMath>
      <w:r w:rsidRPr="009B605C">
        <w:rPr>
          <w:rFonts w:ascii="Cambria" w:hAnsi="Cambria"/>
        </w:rPr>
        <w:t>.</w:t>
      </w:r>
    </w:p>
    <w:p w14:paraId="1DCA4BD3" w14:textId="7C7281C2" w:rsidR="00924823" w:rsidRPr="009B605C" w:rsidRDefault="004A6254" w:rsidP="0087752F">
      <w:pPr>
        <w:spacing w:line="360" w:lineRule="auto"/>
        <w:ind w:firstLine="720"/>
        <w:jc w:val="both"/>
        <w:rPr>
          <w:rFonts w:ascii="Cambria" w:hAnsi="Cambria"/>
        </w:rPr>
      </w:pPr>
      <w:r w:rsidRPr="009B605C">
        <w:rPr>
          <w:rFonts w:ascii="Cambria" w:hAnsi="Cambria"/>
        </w:rPr>
        <w:t xml:space="preserve">Last but not least, it is crucial to assess the effectiveness of the hedging and portfolio strategies. This is achieved by calculating the hedging effectiveness (HE) as outlined by </w:t>
      </w:r>
      <w:proofErr w:type="spellStart"/>
      <w:r w:rsidRPr="009B605C">
        <w:rPr>
          <w:rFonts w:ascii="Cambria" w:hAnsi="Cambria"/>
        </w:rPr>
        <w:t>Ederington</w:t>
      </w:r>
      <w:proofErr w:type="spellEnd"/>
      <w:r w:rsidRPr="009B605C">
        <w:rPr>
          <w:rFonts w:ascii="Cambria" w:hAnsi="Cambria"/>
        </w:rPr>
        <w:t xml:space="preserve"> (1979), which can be expressed as:</w:t>
      </w:r>
    </w:p>
    <w:p w14:paraId="6A6F1ECB" w14:textId="286FB8E3" w:rsidR="00430E3B" w:rsidRPr="009B605C" w:rsidRDefault="00000000" w:rsidP="0087752F">
      <w:pPr>
        <w:spacing w:before="160" w:after="160" w:line="360" w:lineRule="auto"/>
        <w:ind w:left="2160" w:firstLine="720"/>
        <w:rPr>
          <w:rFonts w:ascii="Cambria" w:hAnsi="Cambria"/>
        </w:rPr>
      </w:pPr>
      <m:oMath>
        <m:sSub>
          <m:sSubPr>
            <m:ctrlPr>
              <w:rPr>
                <w:rFonts w:ascii="Cambria Math" w:hAnsi="Cambria Math"/>
                <w:i/>
              </w:rPr>
            </m:ctrlPr>
          </m:sSubPr>
          <m:e>
            <m:r>
              <w:rPr>
                <w:rFonts w:ascii="Cambria Math" w:hAnsi="Cambria Math"/>
              </w:rPr>
              <m:t>ν</m:t>
            </m:r>
          </m:e>
          <m:sub>
            <m: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ij,t</m:t>
            </m:r>
          </m:sub>
        </m:sSub>
        <m:sSub>
          <m:sSubPr>
            <m:ctrlPr>
              <w:rPr>
                <w:rFonts w:ascii="Cambria Math" w:hAnsi="Cambria Math"/>
                <w:i/>
              </w:rPr>
            </m:ctrlPr>
          </m:sSubPr>
          <m:e>
            <m:r>
              <w:rPr>
                <w:rFonts w:ascii="Cambria Math" w:hAnsi="Cambria Math"/>
              </w:rPr>
              <m:t>y</m:t>
            </m:r>
          </m:e>
          <m:sub>
            <m:r>
              <w:rPr>
                <w:rFonts w:ascii="Cambria Math" w:hAnsi="Cambria Math"/>
              </w:rPr>
              <m:t>j,t</m:t>
            </m:r>
          </m:sub>
        </m:sSub>
      </m:oMath>
      <w:r w:rsidR="00D26568" w:rsidRPr="009B605C">
        <w:rPr>
          <w:rFonts w:ascii="Cambria" w:hAnsi="Cambria"/>
        </w:rPr>
        <w:tab/>
      </w:r>
      <w:r w:rsidR="00D26568" w:rsidRPr="009B605C">
        <w:rPr>
          <w:rFonts w:ascii="Cambria" w:hAnsi="Cambria"/>
        </w:rPr>
        <w:tab/>
      </w:r>
      <w:r w:rsidR="00D26568" w:rsidRPr="009B605C">
        <w:rPr>
          <w:rFonts w:ascii="Cambria" w:hAnsi="Cambria"/>
        </w:rPr>
        <w:tab/>
      </w:r>
      <w:r w:rsidR="00D26568" w:rsidRPr="009B605C">
        <w:rPr>
          <w:rFonts w:ascii="Cambria" w:hAnsi="Cambria"/>
        </w:rPr>
        <w:tab/>
      </w:r>
      <w:r w:rsidR="00D26568" w:rsidRPr="009B605C">
        <w:rPr>
          <w:rFonts w:ascii="Cambria" w:hAnsi="Cambria"/>
        </w:rPr>
        <w:tab/>
      </w:r>
      <w:r w:rsidR="00903C31" w:rsidRPr="009B605C">
        <w:rPr>
          <w:rFonts w:ascii="Cambria" w:hAnsi="Cambria"/>
        </w:rPr>
        <w:t xml:space="preserve">         </w:t>
      </w:r>
      <w:r w:rsidR="00D26568" w:rsidRPr="009B605C">
        <w:rPr>
          <w:rFonts w:ascii="Cambria" w:hAnsi="Cambria"/>
        </w:rPr>
        <w:t>(12)</w:t>
      </w:r>
    </w:p>
    <w:p w14:paraId="26FFF022" w14:textId="1741E84E" w:rsidR="00430E3B" w:rsidRPr="009B605C" w:rsidRDefault="00000000" w:rsidP="0087752F">
      <w:pPr>
        <w:spacing w:before="160" w:after="160" w:line="360" w:lineRule="auto"/>
        <w:ind w:left="2160" w:firstLine="720"/>
        <w:rPr>
          <w:rFonts w:ascii="Cambria" w:hAnsi="Cambria"/>
        </w:rPr>
      </w:pPr>
      <m:oMath>
        <m:sSub>
          <m:sSubPr>
            <m:ctrlPr>
              <w:rPr>
                <w:rFonts w:ascii="Cambria Math" w:hAnsi="Cambria Math"/>
                <w:i/>
              </w:rPr>
            </m:ctrlPr>
          </m:sSubPr>
          <m:e>
            <m:r>
              <w:rPr>
                <w:rFonts w:ascii="Cambria Math" w:hAnsi="Cambria Math"/>
              </w:rPr>
              <m:t>ν</m:t>
            </m:r>
          </m:e>
          <m:sub>
            <m:r>
              <w:rPr>
                <w:rFonts w:ascii="Cambria Math" w:hAnsi="Cambria Math"/>
              </w:rPr>
              <m:t>ω</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ij,t</m:t>
            </m:r>
          </m:sub>
        </m:sSub>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-(1-</m:t>
        </m:r>
        <m:sSub>
          <m:sSubPr>
            <m:ctrlPr>
              <w:rPr>
                <w:rFonts w:ascii="Cambria Math" w:hAnsi="Cambria Math"/>
                <w:i/>
              </w:rPr>
            </m:ctrlPr>
          </m:sSubPr>
          <m:e>
            <m:r>
              <w:rPr>
                <w:rFonts w:ascii="Cambria Math" w:hAnsi="Cambria Math"/>
              </w:rPr>
              <m:t>ω</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j,t</m:t>
            </m:r>
          </m:sub>
        </m:sSub>
      </m:oMath>
      <w:r w:rsidR="00D26568" w:rsidRPr="009B605C">
        <w:rPr>
          <w:rFonts w:ascii="Cambria" w:hAnsi="Cambria"/>
        </w:rPr>
        <w:tab/>
      </w:r>
      <w:r w:rsidR="00D26568" w:rsidRPr="009B605C">
        <w:rPr>
          <w:rFonts w:ascii="Cambria" w:hAnsi="Cambria"/>
        </w:rPr>
        <w:tab/>
      </w:r>
      <w:r w:rsidR="00D26568" w:rsidRPr="009B605C">
        <w:rPr>
          <w:rFonts w:ascii="Cambria" w:hAnsi="Cambria"/>
        </w:rPr>
        <w:tab/>
      </w:r>
      <w:r w:rsidR="00903C31" w:rsidRPr="009B605C">
        <w:rPr>
          <w:rFonts w:ascii="Cambria" w:hAnsi="Cambria"/>
        </w:rPr>
        <w:t xml:space="preserve">         </w:t>
      </w:r>
      <w:r w:rsidR="00D26568" w:rsidRPr="009B605C">
        <w:rPr>
          <w:rFonts w:ascii="Cambria" w:hAnsi="Cambria"/>
        </w:rPr>
        <w:t>(13)</w:t>
      </w:r>
    </w:p>
    <w:p w14:paraId="1052C031" w14:textId="0A72A9A2" w:rsidR="00430E3B" w:rsidRPr="009B605C" w:rsidRDefault="00A0593B" w:rsidP="0087752F">
      <w:pPr>
        <w:spacing w:before="160" w:after="160" w:line="360" w:lineRule="auto"/>
        <w:ind w:left="2160" w:firstLine="720"/>
        <w:rPr>
          <w:rFonts w:ascii="Cambria" w:hAnsi="Cambria"/>
        </w:rPr>
      </w:pPr>
      <m:oMath>
        <m:r>
          <w:rPr>
            <w:rFonts w:ascii="Cambria Math" w:hAnsi="Cambria Math"/>
          </w:rPr>
          <m:t>H</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=1-</m:t>
        </m:r>
        <m:f>
          <m:fPr>
            <m:ctrlPr>
              <w:rPr>
                <w:rFonts w:ascii="Cambria Math" w:hAnsi="Cambria Math"/>
                <w:i/>
              </w:rPr>
            </m:ctrlPr>
          </m:fPr>
          <m:num>
            <m:r>
              <w:rPr>
                <w:rFonts w:ascii="Cambria Math" w:hAnsi="Cambria Math"/>
              </w:rPr>
              <m:t>Var(</m:t>
            </m:r>
            <m:sSub>
              <m:sSubPr>
                <m:ctrlPr>
                  <w:rPr>
                    <w:rFonts w:ascii="Cambria Math" w:hAnsi="Cambria Math"/>
                    <w:i/>
                  </w:rPr>
                </m:ctrlPr>
              </m:sSubPr>
              <m:e>
                <m:r>
                  <w:rPr>
                    <w:rFonts w:ascii="Cambria Math" w:hAnsi="Cambria Math"/>
                  </w:rPr>
                  <m:t>ν</m:t>
                </m:r>
              </m:e>
              <m:sub>
                <m:r>
                  <w:rPr>
                    <w:rFonts w:ascii="Cambria Math" w:hAnsi="Cambria Math"/>
                  </w:rPr>
                  <m:t>β,ω</m:t>
                </m:r>
              </m:sub>
            </m:sSub>
            <m:r>
              <w:rPr>
                <w:rFonts w:ascii="Cambria Math" w:hAnsi="Cambria Math"/>
              </w:rPr>
              <m:t>)</m:t>
            </m:r>
          </m:num>
          <m:den>
            <m:r>
              <w:rPr>
                <w:rFonts w:ascii="Cambria Math" w:hAnsi="Cambria Math"/>
              </w:rPr>
              <m:t>Var(</m:t>
            </m:r>
            <m:sSub>
              <m:sSubPr>
                <m:ctrlPr>
                  <w:rPr>
                    <w:rFonts w:ascii="Cambria Math" w:hAnsi="Cambria Math"/>
                    <w:i/>
                  </w:rPr>
                </m:ctrlPr>
              </m:sSubPr>
              <m:e>
                <m:r>
                  <w:rPr>
                    <w:rFonts w:ascii="Cambria Math" w:hAnsi="Cambria Math"/>
                  </w:rPr>
                  <m:t>ν</m:t>
                </m:r>
              </m:e>
              <m:sub>
                <m:r>
                  <w:rPr>
                    <w:rFonts w:ascii="Cambria Math" w:hAnsi="Cambria Math"/>
                  </w:rPr>
                  <m:t>unhedged</m:t>
                </m:r>
              </m:sub>
            </m:sSub>
            <m:r>
              <w:rPr>
                <w:rFonts w:ascii="Cambria Math" w:hAnsi="Cambria Math"/>
              </w:rPr>
              <m:t>)</m:t>
            </m:r>
          </m:den>
        </m:f>
      </m:oMath>
      <w:r w:rsidR="00D26568" w:rsidRPr="009B605C">
        <w:rPr>
          <w:rFonts w:ascii="Cambria" w:hAnsi="Cambria"/>
        </w:rPr>
        <w:t xml:space="preserve"> </w:t>
      </w:r>
      <w:r w:rsidR="00D26568" w:rsidRPr="009B605C">
        <w:rPr>
          <w:rFonts w:ascii="Cambria" w:hAnsi="Cambria"/>
        </w:rPr>
        <w:tab/>
      </w:r>
      <w:r w:rsidR="00D26568" w:rsidRPr="009B605C">
        <w:rPr>
          <w:rFonts w:ascii="Cambria" w:hAnsi="Cambria"/>
        </w:rPr>
        <w:tab/>
      </w:r>
      <w:r w:rsidR="00D26568" w:rsidRPr="009B605C">
        <w:rPr>
          <w:rFonts w:ascii="Cambria" w:hAnsi="Cambria"/>
        </w:rPr>
        <w:tab/>
      </w:r>
      <w:r w:rsidR="00D26568" w:rsidRPr="009B605C">
        <w:rPr>
          <w:rFonts w:ascii="Cambria" w:hAnsi="Cambria"/>
        </w:rPr>
        <w:tab/>
      </w:r>
      <w:r w:rsidR="00903C31" w:rsidRPr="009B605C">
        <w:rPr>
          <w:rFonts w:ascii="Cambria" w:hAnsi="Cambria"/>
        </w:rPr>
        <w:t xml:space="preserve">         </w:t>
      </w:r>
      <w:r w:rsidR="00D26568" w:rsidRPr="009B605C">
        <w:rPr>
          <w:rFonts w:ascii="Cambria" w:hAnsi="Cambria"/>
        </w:rPr>
        <w:t>(14)</w:t>
      </w:r>
    </w:p>
    <w:p w14:paraId="4165E6D5" w14:textId="6F529C1D" w:rsidR="00924823" w:rsidRPr="009B605C" w:rsidRDefault="00430E3B" w:rsidP="0087752F">
      <w:pPr>
        <w:spacing w:line="360" w:lineRule="auto"/>
        <w:jc w:val="both"/>
        <w:rPr>
          <w:rFonts w:ascii="Cambria" w:hAnsi="Cambria"/>
        </w:rPr>
      </w:pPr>
      <w:r w:rsidRPr="009B605C">
        <w:rPr>
          <w:rFonts w:ascii="Cambria" w:hAnsi="Cambria"/>
        </w:rPr>
        <w:t xml:space="preserve">where </w:t>
      </w:r>
      <m:oMath>
        <m:r>
          <w:rPr>
            <w:rFonts w:ascii="Cambria Math" w:hAnsi="Cambria Math"/>
          </w:rPr>
          <m:t>Var(</m:t>
        </m:r>
        <m:sSub>
          <m:sSubPr>
            <m:ctrlPr>
              <w:rPr>
                <w:rFonts w:ascii="Cambria Math" w:hAnsi="Cambria Math"/>
                <w:i/>
              </w:rPr>
            </m:ctrlPr>
          </m:sSubPr>
          <m:e>
            <m:r>
              <w:rPr>
                <w:rFonts w:ascii="Cambria Math" w:hAnsi="Cambria Math"/>
              </w:rPr>
              <m:t>ν</m:t>
            </m:r>
          </m:e>
          <m:sub>
            <m:r>
              <w:rPr>
                <w:rFonts w:ascii="Cambria Math" w:hAnsi="Cambria Math"/>
              </w:rPr>
              <m:t>unhedged</m:t>
            </m:r>
          </m:sub>
        </m:sSub>
      </m:oMath>
      <w:r w:rsidRPr="009B605C">
        <w:rPr>
          <w:rFonts w:ascii="Cambria" w:hAnsi="Cambria"/>
        </w:rPr>
        <w:t>​</w:t>
      </w:r>
      <w:r w:rsidR="00AB33B9" w:rsidRPr="009B605C">
        <w:rPr>
          <w:rFonts w:ascii="Cambria" w:hAnsi="Cambria"/>
        </w:rPr>
        <w:t>)</w:t>
      </w:r>
      <w:r w:rsidRPr="009B605C">
        <w:rPr>
          <w:rFonts w:ascii="Cambria" w:hAnsi="Cambria"/>
        </w:rPr>
        <w:t xml:space="preserve"> </w:t>
      </w:r>
      <w:r w:rsidR="00AB33B9" w:rsidRPr="009B605C">
        <w:rPr>
          <w:rFonts w:ascii="Cambria" w:hAnsi="Cambria"/>
        </w:rPr>
        <w:t xml:space="preserve">denotes the variance of unhedged position between variables </w:t>
      </w:r>
      <m:oMath>
        <m:r>
          <w:rPr>
            <w:rFonts w:ascii="Cambria Math" w:hAnsi="Cambria Math"/>
          </w:rPr>
          <m:t>i</m:t>
        </m:r>
      </m:oMath>
      <w:r w:rsidR="00AB33B9" w:rsidRPr="009B605C">
        <w:rPr>
          <w:rFonts w:ascii="Cambria" w:hAnsi="Cambria"/>
        </w:rPr>
        <w:t xml:space="preserve"> and </w:t>
      </w:r>
      <m:oMath>
        <m:r>
          <w:rPr>
            <w:rFonts w:ascii="Cambria Math" w:hAnsi="Cambria Math"/>
          </w:rPr>
          <m:t>j</m:t>
        </m:r>
      </m:oMath>
      <w:r w:rsidR="00AB33B9" w:rsidRPr="009B605C">
        <w:rPr>
          <w:rFonts w:ascii="Cambria" w:hAnsi="Cambria"/>
        </w:rPr>
        <w:t xml:space="preserve">, </w:t>
      </w:r>
      <m:oMath>
        <m:r>
          <w:rPr>
            <w:rFonts w:ascii="Cambria Math" w:hAnsi="Cambria Math"/>
          </w:rPr>
          <m:t>Var(</m:t>
        </m:r>
        <m:sSub>
          <m:sSubPr>
            <m:ctrlPr>
              <w:rPr>
                <w:rFonts w:ascii="Cambria Math" w:hAnsi="Cambria Math"/>
                <w:i/>
              </w:rPr>
            </m:ctrlPr>
          </m:sSubPr>
          <m:e>
            <m:r>
              <w:rPr>
                <w:rFonts w:ascii="Cambria Math" w:hAnsi="Cambria Math"/>
              </w:rPr>
              <m:t>ν</m:t>
            </m:r>
          </m:e>
          <m:sub>
            <m:r>
              <w:rPr>
                <w:rFonts w:ascii="Cambria Math" w:hAnsi="Cambria Math"/>
              </w:rPr>
              <m:t>β,ω</m:t>
            </m:r>
          </m:sub>
        </m:sSub>
        <m:r>
          <w:rPr>
            <w:rFonts w:ascii="Cambria Math" w:hAnsi="Cambria Math"/>
          </w:rPr>
          <m:t>)</m:t>
        </m:r>
      </m:oMath>
      <w:r w:rsidR="00AB33B9" w:rsidRPr="009B605C">
        <w:rPr>
          <w:rFonts w:ascii="Cambria" w:hAnsi="Cambria"/>
        </w:rPr>
        <w:t xml:space="preserve"> is the variance of a portfolio that has been hedged using either the optimal </w:t>
      </w:r>
      <w:r w:rsidR="00AB33B9" w:rsidRPr="009B605C">
        <w:rPr>
          <w:rFonts w:ascii="Cambria" w:hAnsi="Cambria"/>
        </w:rPr>
        <w:lastRenderedPageBreak/>
        <w:t xml:space="preserve">dynamic hedge ratio or the optimal dynamic portfolio weight approach. Hence, </w:t>
      </w:r>
      <m:oMath>
        <m:r>
          <w:rPr>
            <w:rFonts w:ascii="Cambria Math" w:hAnsi="Cambria Math"/>
          </w:rPr>
          <m:t>H</m:t>
        </m:r>
        <m:sSub>
          <m:sSubPr>
            <m:ctrlPr>
              <w:rPr>
                <w:rFonts w:ascii="Cambria Math" w:hAnsi="Cambria Math"/>
                <w:i/>
              </w:rPr>
            </m:ctrlPr>
          </m:sSubPr>
          <m:e>
            <m:r>
              <w:rPr>
                <w:rFonts w:ascii="Cambria Math" w:hAnsi="Cambria Math"/>
              </w:rPr>
              <m:t>E</m:t>
            </m:r>
          </m:e>
          <m:sub>
            <m:r>
              <w:rPr>
                <w:rFonts w:ascii="Cambria Math" w:hAnsi="Cambria Math"/>
              </w:rPr>
              <m:t>i</m:t>
            </m:r>
          </m:sub>
        </m:sSub>
      </m:oMath>
      <w:r w:rsidR="00AB33B9" w:rsidRPr="009B605C">
        <w:rPr>
          <w:rFonts w:ascii="Cambria" w:hAnsi="Cambria"/>
        </w:rPr>
        <w:t xml:space="preserve"> </w:t>
      </w:r>
      <w:r w:rsidR="00187A8E" w:rsidRPr="009B605C">
        <w:rPr>
          <w:rFonts w:ascii="Cambria" w:hAnsi="Cambria"/>
        </w:rPr>
        <w:t>denotes</w:t>
      </w:r>
      <w:r w:rsidR="00AB33B9" w:rsidRPr="009B605C">
        <w:rPr>
          <w:rFonts w:ascii="Cambria" w:hAnsi="Cambria"/>
        </w:rPr>
        <w:t xml:space="preserve"> the percentage reduction in the variance of the unhedged position.</w:t>
      </w:r>
      <w:r w:rsidR="00187A8E" w:rsidRPr="009B605C">
        <w:rPr>
          <w:rFonts w:ascii="Cambria" w:hAnsi="Cambria"/>
        </w:rPr>
        <w:t xml:space="preserve"> A</w:t>
      </w:r>
      <w:r w:rsidR="00AB33B9" w:rsidRPr="009B605C">
        <w:rPr>
          <w:rFonts w:ascii="Cambria" w:hAnsi="Cambria"/>
        </w:rPr>
        <w:t xml:space="preserve"> </w:t>
      </w:r>
      <w:r w:rsidR="00187A8E" w:rsidRPr="009B605C">
        <w:rPr>
          <w:rFonts w:ascii="Cambria" w:hAnsi="Cambria"/>
        </w:rPr>
        <w:t>high</w:t>
      </w:r>
      <w:r w:rsidR="0045264D" w:rsidRPr="009B605C">
        <w:rPr>
          <w:rFonts w:ascii="Cambria" w:hAnsi="Cambria"/>
        </w:rPr>
        <w:t>er</w:t>
      </w:r>
      <w:r w:rsidR="00187A8E" w:rsidRPr="009B605C">
        <w:rPr>
          <w:rFonts w:ascii="Cambria" w:hAnsi="Cambria"/>
        </w:rPr>
        <w:t xml:space="preserve"> value of</w:t>
      </w:r>
      <w:r w:rsidR="00AB33B9" w:rsidRPr="009B605C">
        <w:rPr>
          <w:rFonts w:ascii="Cambria" w:hAnsi="Cambria"/>
        </w:rPr>
        <w:t xml:space="preserve"> </w:t>
      </w:r>
      <m:oMath>
        <m:r>
          <w:rPr>
            <w:rFonts w:ascii="Cambria Math" w:hAnsi="Cambria Math"/>
          </w:rPr>
          <m:t>H</m:t>
        </m:r>
        <m:sSub>
          <m:sSubPr>
            <m:ctrlPr>
              <w:rPr>
                <w:rFonts w:ascii="Cambria Math" w:hAnsi="Cambria Math"/>
                <w:i/>
              </w:rPr>
            </m:ctrlPr>
          </m:sSubPr>
          <m:e>
            <m:r>
              <w:rPr>
                <w:rFonts w:ascii="Cambria Math" w:hAnsi="Cambria Math"/>
              </w:rPr>
              <m:t>E</m:t>
            </m:r>
          </m:e>
          <m:sub>
            <m:r>
              <w:rPr>
                <w:rFonts w:ascii="Cambria Math" w:hAnsi="Cambria Math"/>
              </w:rPr>
              <m:t>i</m:t>
            </m:r>
          </m:sub>
        </m:sSub>
      </m:oMath>
      <w:r w:rsidR="00AB33B9" w:rsidRPr="009B605C">
        <w:rPr>
          <w:rFonts w:ascii="Cambria" w:hAnsi="Cambria"/>
        </w:rPr>
        <w:t xml:space="preserve"> indicates a greater reduction in the portfolio’s risk. Alongside, we also report the significance levels for both the optimal portfolio weight strategy and the hedging strategy</w:t>
      </w:r>
      <w:r w:rsidR="006412E1" w:rsidRPr="009B605C">
        <w:rPr>
          <w:rFonts w:ascii="Cambria" w:hAnsi="Cambria"/>
        </w:rPr>
        <w:t>.</w:t>
      </w:r>
    </w:p>
    <w:p w14:paraId="3BE890B5" w14:textId="74AEF87D" w:rsidR="007E7C1D" w:rsidRPr="009B605C" w:rsidRDefault="000C667A" w:rsidP="0087752F">
      <w:pPr>
        <w:spacing w:before="160" w:after="40" w:line="360" w:lineRule="auto"/>
        <w:rPr>
          <w:rFonts w:ascii="Cambria" w:hAnsi="Cambria"/>
          <w:b/>
          <w:bCs/>
        </w:rPr>
      </w:pPr>
      <w:r w:rsidRPr="009B605C">
        <w:rPr>
          <w:rFonts w:ascii="Cambria" w:hAnsi="Cambria"/>
          <w:b/>
          <w:bCs/>
        </w:rPr>
        <w:t>2</w:t>
      </w:r>
      <w:r w:rsidR="007E7C1D" w:rsidRPr="009B605C">
        <w:rPr>
          <w:rFonts w:ascii="Cambria" w:hAnsi="Cambria"/>
          <w:b/>
          <w:bCs/>
        </w:rPr>
        <w:t>.4. Global Cryptocurrency Index (Crypto)</w:t>
      </w:r>
    </w:p>
    <w:p w14:paraId="2E5B2BEE" w14:textId="2C35CD15" w:rsidR="00FB507D" w:rsidRPr="009B605C" w:rsidRDefault="00544B95" w:rsidP="00FB507D">
      <w:pPr>
        <w:spacing w:line="360" w:lineRule="auto"/>
        <w:jc w:val="both"/>
        <w:rPr>
          <w:rFonts w:ascii="Cambria" w:hAnsi="Cambria"/>
        </w:rPr>
      </w:pPr>
      <w:r w:rsidRPr="009B605C">
        <w:rPr>
          <w:rFonts w:ascii="Cambria" w:hAnsi="Cambria"/>
        </w:rPr>
        <w:t xml:space="preserve">The investigation of hedging and safe haven characteristics of cryptocurrencies is typically linked to top-traded crypto assets </w:t>
      </w:r>
      <w:r w:rsidR="008A7E65" w:rsidRPr="009B605C">
        <w:rPr>
          <w:rFonts w:ascii="Cambria" w:hAnsi="Cambria"/>
        </w:rPr>
        <w:t xml:space="preserve">such as Bitcoin, Ethereum, and Ripple (see, </w:t>
      </w:r>
      <w:proofErr w:type="spellStart"/>
      <w:r w:rsidR="008A7E65" w:rsidRPr="009B605C">
        <w:rPr>
          <w:rFonts w:ascii="Cambria" w:hAnsi="Cambria"/>
        </w:rPr>
        <w:t>Katsiampa</w:t>
      </w:r>
      <w:proofErr w:type="spellEnd"/>
      <w:r w:rsidR="008A7E65" w:rsidRPr="009B605C">
        <w:rPr>
          <w:rFonts w:ascii="Cambria" w:hAnsi="Cambria"/>
        </w:rPr>
        <w:t xml:space="preserve"> et al., 2022</w:t>
      </w:r>
      <w:r w:rsidRPr="009B605C">
        <w:rPr>
          <w:rFonts w:ascii="Cambria" w:hAnsi="Cambria"/>
        </w:rPr>
        <w:t>; Sharma, 2023</w:t>
      </w:r>
      <w:r w:rsidR="008A7E65" w:rsidRPr="009B605C">
        <w:rPr>
          <w:rFonts w:ascii="Cambria" w:hAnsi="Cambria"/>
        </w:rPr>
        <w:t xml:space="preserve">). However, since the COVID-19 pandemic, cryptocurrencies have not only gained popularity as high-return investments but also as a refuge during periods of market </w:t>
      </w:r>
      <w:r w:rsidR="00790BB1" w:rsidRPr="009B605C">
        <w:rPr>
          <w:rFonts w:ascii="Cambria" w:hAnsi="Cambria"/>
        </w:rPr>
        <w:t>turbulence, such as the subsequent 2022 Russia-Ukraine conflict</w:t>
      </w:r>
      <w:r w:rsidR="008A7E65" w:rsidRPr="009B605C">
        <w:rPr>
          <w:rFonts w:ascii="Cambria" w:hAnsi="Cambria"/>
        </w:rPr>
        <w:t xml:space="preserve">. This growing interest has led to a rise in the number of new crypto assets, challenging the dominance of established ones. In this study, we focus on a diverse set of </w:t>
      </w:r>
      <w:r w:rsidR="00790BB1" w:rsidRPr="009B605C">
        <w:rPr>
          <w:rFonts w:ascii="Cambria" w:hAnsi="Cambria"/>
        </w:rPr>
        <w:t>9,468 active and defunct cryptocurrencies</w:t>
      </w:r>
      <w:r w:rsidR="008A7E65" w:rsidRPr="009B605C">
        <w:rPr>
          <w:rFonts w:ascii="Cambria" w:hAnsi="Cambria"/>
        </w:rPr>
        <w:t xml:space="preserve"> to construct a new index</w:t>
      </w:r>
      <w:r w:rsidR="00545CE3" w:rsidRPr="009B605C">
        <w:rPr>
          <w:rFonts w:ascii="Cambria" w:hAnsi="Cambria"/>
        </w:rPr>
        <w:t xml:space="preserve"> (Crypto)</w:t>
      </w:r>
      <w:r w:rsidR="008A7E65" w:rsidRPr="009B605C">
        <w:rPr>
          <w:rFonts w:ascii="Cambria" w:hAnsi="Cambria"/>
        </w:rPr>
        <w:t xml:space="preserve"> that reflects the </w:t>
      </w:r>
      <w:r w:rsidR="00790BB1" w:rsidRPr="009B605C">
        <w:rPr>
          <w:rFonts w:ascii="Cambria" w:hAnsi="Cambria"/>
        </w:rPr>
        <w:t xml:space="preserve">global </w:t>
      </w:r>
      <w:r w:rsidR="008A7E65" w:rsidRPr="009B605C">
        <w:rPr>
          <w:rFonts w:ascii="Cambria" w:hAnsi="Cambria"/>
        </w:rPr>
        <w:t xml:space="preserve">cryptocurrency market. </w:t>
      </w:r>
      <w:r w:rsidR="00FA54A5" w:rsidRPr="009B605C">
        <w:rPr>
          <w:rFonts w:ascii="Cambria" w:hAnsi="Cambria"/>
        </w:rPr>
        <w:t>Our</w:t>
      </w:r>
      <w:r w:rsidR="003F0377" w:rsidRPr="009B605C">
        <w:rPr>
          <w:rFonts w:ascii="Cambria" w:hAnsi="Cambria"/>
        </w:rPr>
        <w:t xml:space="preserve"> dataset, which encompasses both active and defunct cryptocurrencies, addresses potential concerns about survivorship bias (Carpenter and Lynch, 1999)</w:t>
      </w:r>
      <w:r w:rsidR="00E81389" w:rsidRPr="009B605C">
        <w:rPr>
          <w:rFonts w:ascii="Cambria" w:hAnsi="Cambria"/>
        </w:rPr>
        <w:t xml:space="preserve"> arising from</w:t>
      </w:r>
      <w:r w:rsidR="00A04325" w:rsidRPr="009B605C">
        <w:rPr>
          <w:rFonts w:ascii="Cambria" w:hAnsi="Cambria"/>
        </w:rPr>
        <w:t xml:space="preserve"> sample selection </w:t>
      </w:r>
      <w:r w:rsidR="00E81389" w:rsidRPr="009B605C">
        <w:rPr>
          <w:rFonts w:ascii="Cambria" w:hAnsi="Cambria"/>
        </w:rPr>
        <w:t xml:space="preserve">(Gemayel and </w:t>
      </w:r>
      <w:proofErr w:type="spellStart"/>
      <w:r w:rsidR="00E81389" w:rsidRPr="009B605C">
        <w:rPr>
          <w:rFonts w:ascii="Cambria" w:hAnsi="Cambria"/>
        </w:rPr>
        <w:t>Preda</w:t>
      </w:r>
      <w:proofErr w:type="spellEnd"/>
      <w:r w:rsidR="00E81389" w:rsidRPr="009B605C">
        <w:rPr>
          <w:rFonts w:ascii="Cambria" w:hAnsi="Cambria"/>
        </w:rPr>
        <w:t>, 2021)</w:t>
      </w:r>
      <w:r w:rsidR="00FB507D" w:rsidRPr="009B605C">
        <w:rPr>
          <w:rFonts w:ascii="Cambria" w:hAnsi="Cambria"/>
        </w:rPr>
        <w:t>. This is particularly relevant in the cryptocurrency market, where the high attrition rate leads to the presence of survivorship and delisting biases (Ammann et al., 2022). Objectively, one of the main driving forces for high delisting rate in the cryptocurrency markets is the regulatory challenges (Fang et al., 2022). In particular, cryptocurrencies often face legal and regulatory uncertainties in many jurisdictions and if a cryptocurrency does not comply with local regulations, it may be delisted by exchanges to avoid legal issues (Cumming et al., 2019). As a result, our study follows Liu et al. (2022) to include both active and defunct cryptocurrencies in our analysis, in particular, in the construction of our Crypto index.</w:t>
      </w:r>
    </w:p>
    <w:p w14:paraId="55E2B829" w14:textId="3A468B22" w:rsidR="003121A8" w:rsidRPr="009B605C" w:rsidRDefault="00790BB1" w:rsidP="00A04325">
      <w:pPr>
        <w:spacing w:line="360" w:lineRule="auto"/>
        <w:ind w:firstLine="720"/>
        <w:jc w:val="both"/>
        <w:rPr>
          <w:rFonts w:ascii="Cambria" w:hAnsi="Cambria"/>
        </w:rPr>
      </w:pPr>
      <w:r w:rsidRPr="009B605C">
        <w:rPr>
          <w:rFonts w:ascii="Cambria" w:hAnsi="Cambria"/>
        </w:rPr>
        <w:t xml:space="preserve">Following Enilov and Mishra (2023), </w:t>
      </w:r>
      <w:r w:rsidR="008A7E65" w:rsidRPr="009B605C">
        <w:rPr>
          <w:rFonts w:ascii="Cambria" w:hAnsi="Cambria"/>
        </w:rPr>
        <w:t>our</w:t>
      </w:r>
      <w:r w:rsidRPr="009B605C">
        <w:rPr>
          <w:rFonts w:ascii="Cambria" w:hAnsi="Cambria"/>
        </w:rPr>
        <w:t xml:space="preserve"> index</w:t>
      </w:r>
      <w:r w:rsidR="008A7E65" w:rsidRPr="009B605C">
        <w:rPr>
          <w:rFonts w:ascii="Cambria" w:hAnsi="Cambria"/>
        </w:rPr>
        <w:t xml:space="preserve"> relies exclusively on actual numerical data, </w:t>
      </w:r>
      <w:r w:rsidR="002F7579" w:rsidRPr="009B605C">
        <w:rPr>
          <w:rFonts w:ascii="Cambria" w:hAnsi="Cambria"/>
        </w:rPr>
        <w:t xml:space="preserve">excluding </w:t>
      </w:r>
      <w:r w:rsidR="008A7E65" w:rsidRPr="009B605C">
        <w:rPr>
          <w:rFonts w:ascii="Cambria" w:hAnsi="Cambria"/>
        </w:rPr>
        <w:t>news-based information</w:t>
      </w:r>
      <w:r w:rsidR="002F7579" w:rsidRPr="009B605C">
        <w:rPr>
          <w:rFonts w:ascii="Cambria" w:hAnsi="Cambria"/>
        </w:rPr>
        <w:t xml:space="preserve"> that may</w:t>
      </w:r>
      <w:r w:rsidR="008A7E65" w:rsidRPr="009B605C">
        <w:rPr>
          <w:rFonts w:ascii="Cambria" w:hAnsi="Cambria"/>
        </w:rPr>
        <w:t xml:space="preserve"> be </w:t>
      </w:r>
      <w:r w:rsidR="002F7579" w:rsidRPr="009B605C">
        <w:rPr>
          <w:rFonts w:ascii="Cambria" w:hAnsi="Cambria"/>
        </w:rPr>
        <w:t xml:space="preserve">influenced </w:t>
      </w:r>
      <w:r w:rsidR="008A7E65" w:rsidRPr="009B605C">
        <w:rPr>
          <w:rFonts w:ascii="Cambria" w:hAnsi="Cambria"/>
        </w:rPr>
        <w:t xml:space="preserve">by speculation and </w:t>
      </w:r>
      <w:r w:rsidR="002F7579" w:rsidRPr="009B605C">
        <w:rPr>
          <w:rFonts w:ascii="Cambria" w:hAnsi="Cambria"/>
        </w:rPr>
        <w:t xml:space="preserve">potentially distort </w:t>
      </w:r>
      <w:r w:rsidRPr="009B605C">
        <w:rPr>
          <w:rFonts w:ascii="Cambria" w:hAnsi="Cambria"/>
        </w:rPr>
        <w:t xml:space="preserve">the </w:t>
      </w:r>
      <w:r w:rsidR="008A7E65" w:rsidRPr="009B605C">
        <w:rPr>
          <w:rFonts w:ascii="Cambria" w:hAnsi="Cambria"/>
        </w:rPr>
        <w:t>index</w:t>
      </w:r>
      <w:r w:rsidRPr="009B605C">
        <w:rPr>
          <w:rFonts w:ascii="Cambria" w:hAnsi="Cambria"/>
        </w:rPr>
        <w:t xml:space="preserve"> patterns</w:t>
      </w:r>
      <w:r w:rsidR="008A7E65" w:rsidRPr="009B605C">
        <w:rPr>
          <w:rFonts w:ascii="Cambria" w:hAnsi="Cambria"/>
        </w:rPr>
        <w:t>.</w:t>
      </w:r>
      <w:r w:rsidR="003121A8" w:rsidRPr="009B605C">
        <w:rPr>
          <w:rFonts w:ascii="Cambria" w:hAnsi="Cambria"/>
        </w:rPr>
        <w:t xml:space="preserve"> </w:t>
      </w:r>
      <w:bookmarkStart w:id="5" w:name="_Hlk118491440"/>
      <w:r w:rsidR="003121A8" w:rsidRPr="009B605C">
        <w:rPr>
          <w:rFonts w:ascii="Cambria" w:hAnsi="Cambria"/>
        </w:rPr>
        <w:t>To construct the Global Cryptocurrency Index (Crypto)</w:t>
      </w:r>
      <w:r w:rsidR="002F7579" w:rsidRPr="009B605C">
        <w:rPr>
          <w:rFonts w:ascii="Cambria" w:hAnsi="Cambria"/>
        </w:rPr>
        <w:t xml:space="preserve"> at day </w:t>
      </w:r>
      <m:oMath>
        <m:r>
          <w:rPr>
            <w:rFonts w:ascii="Cambria Math" w:hAnsi="Cambria Math"/>
          </w:rPr>
          <m:t>t</m:t>
        </m:r>
      </m:oMath>
      <w:r w:rsidR="003121A8" w:rsidRPr="009B605C">
        <w:rPr>
          <w:rFonts w:ascii="Cambria" w:hAnsi="Cambria"/>
        </w:rPr>
        <w:t>, we apply the following formula:</w:t>
      </w:r>
    </w:p>
    <w:p w14:paraId="75BFECFC" w14:textId="655692C8" w:rsidR="003121A8" w:rsidRPr="009B605C" w:rsidRDefault="000C7184" w:rsidP="0087752F">
      <w:pPr>
        <w:spacing w:before="160" w:after="160" w:line="360" w:lineRule="auto"/>
        <w:ind w:left="720"/>
        <w:jc w:val="both"/>
        <w:rPr>
          <w:rFonts w:ascii="Cambria" w:eastAsiaTheme="minorEastAsia" w:hAnsi="Cambria"/>
        </w:rPr>
      </w:pPr>
      <m:oMath>
        <m:r>
          <w:rPr>
            <w:rFonts w:ascii="Cambria Math" w:hAnsi="Cambria Math"/>
          </w:rPr>
          <m:t>Crypt</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it</m:t>
                </m:r>
              </m:sub>
            </m:sSub>
            <m:sSub>
              <m:sSubPr>
                <m:ctrlPr>
                  <w:rPr>
                    <w:rFonts w:ascii="Cambria Math" w:hAnsi="Cambria Math"/>
                    <w:i/>
                  </w:rPr>
                </m:ctrlPr>
              </m:sSubPr>
              <m:e>
                <m:r>
                  <w:rPr>
                    <w:rFonts w:ascii="Cambria Math" w:hAnsi="Cambria Math"/>
                  </w:rPr>
                  <m:t>P</m:t>
                </m:r>
              </m:e>
              <m:sub>
                <m:r>
                  <w:rPr>
                    <w:rFonts w:ascii="Cambria Math" w:hAnsi="Cambria Math"/>
                  </w:rPr>
                  <m:t>it</m:t>
                </m:r>
              </m:sub>
            </m:sSub>
          </m:e>
        </m:nary>
      </m:oMath>
      <w:r w:rsidR="003121A8" w:rsidRPr="009B605C">
        <w:rPr>
          <w:rFonts w:ascii="Cambria" w:hAnsi="Cambria"/>
        </w:rPr>
        <w:t xml:space="preserve">, </w:t>
      </w:r>
      <w:r w:rsidR="003121A8" w:rsidRPr="009B605C">
        <w:rPr>
          <w:rFonts w:ascii="Cambria" w:hAnsi="Cambria"/>
        </w:rPr>
        <w:tab/>
      </w:r>
      <w:r w:rsidR="003121A8" w:rsidRPr="009B605C">
        <w:rPr>
          <w:rFonts w:ascii="Cambria" w:eastAsiaTheme="minorEastAsia" w:hAnsi="Cambria"/>
        </w:rPr>
        <w:t xml:space="preserve">where </w:t>
      </w:r>
      <m:oMath>
        <m:sSub>
          <m:sSubPr>
            <m:ctrlPr>
              <w:rPr>
                <w:rFonts w:ascii="Cambria Math" w:hAnsi="Cambria Math"/>
                <w:i/>
              </w:rPr>
            </m:ctrlPr>
          </m:sSubPr>
          <m:e>
            <m:r>
              <w:rPr>
                <w:rFonts w:ascii="Cambria Math" w:hAnsi="Cambria Math"/>
              </w:rPr>
              <m:t>w</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C</m:t>
                </m:r>
              </m:e>
              <m:sub>
                <m:r>
                  <w:rPr>
                    <w:rFonts w:ascii="Cambria Math" w:hAnsi="Cambria Math"/>
                  </w:rPr>
                  <m:t>it</m:t>
                </m:r>
              </m:sub>
            </m:sSub>
            <m:ctrlPr>
              <w:rPr>
                <w:rFonts w:ascii="Cambria Math" w:eastAsiaTheme="minorEastAsia" w:hAnsi="Cambria Math"/>
                <w:i/>
              </w:rPr>
            </m:ctrlPr>
          </m:num>
          <m:den>
            <m:nary>
              <m:naryPr>
                <m:chr m:val="∑"/>
                <m:limLoc m:val="undOvr"/>
                <m:ctrlPr>
                  <w:rPr>
                    <w:rFonts w:ascii="Cambria Math" w:hAnsi="Cambria Math"/>
                    <w:i/>
                  </w:rPr>
                </m:ctrlPr>
              </m:naryPr>
              <m:sub>
                <m:r>
                  <w:rPr>
                    <w:rFonts w:ascii="Cambria Math" w:hAnsi="Cambria Math"/>
                  </w:rPr>
                  <m:t>l=1</m:t>
                </m:r>
              </m:sub>
              <m:sup>
                <m:r>
                  <w:rPr>
                    <w:rFonts w:ascii="Cambria Math" w:hAnsi="Cambria Math"/>
                  </w:rPr>
                  <m:t>N</m:t>
                </m:r>
              </m:sup>
              <m:e>
                <m:sSub>
                  <m:sSubPr>
                    <m:ctrlPr>
                      <w:rPr>
                        <w:rFonts w:ascii="Cambria Math" w:hAnsi="Cambria Math"/>
                        <w:i/>
                      </w:rPr>
                    </m:ctrlPr>
                  </m:sSubPr>
                  <m:e>
                    <m:r>
                      <w:rPr>
                        <w:rFonts w:ascii="Cambria Math" w:hAnsi="Cambria Math"/>
                      </w:rPr>
                      <m:t>MC</m:t>
                    </m:r>
                  </m:e>
                  <m:sub>
                    <m:r>
                      <w:rPr>
                        <w:rFonts w:ascii="Cambria Math" w:hAnsi="Cambria Math"/>
                      </w:rPr>
                      <m:t>lt</m:t>
                    </m:r>
                  </m:sub>
                </m:sSub>
              </m:e>
            </m:nary>
          </m:den>
        </m:f>
      </m:oMath>
      <w:r w:rsidR="003121A8" w:rsidRPr="009B605C">
        <w:rPr>
          <w:rFonts w:ascii="Cambria" w:hAnsi="Cambria"/>
        </w:rPr>
        <w:tab/>
      </w:r>
      <w:r w:rsidR="003121A8" w:rsidRPr="009B605C">
        <w:rPr>
          <w:rFonts w:ascii="Cambria" w:hAnsi="Cambria"/>
        </w:rPr>
        <w:tab/>
      </w:r>
      <w:r w:rsidR="003121A8" w:rsidRPr="009B605C">
        <w:rPr>
          <w:rFonts w:ascii="Cambria" w:hAnsi="Cambria"/>
        </w:rPr>
        <w:tab/>
      </w:r>
      <w:r w:rsidR="003121A8" w:rsidRPr="009B605C">
        <w:rPr>
          <w:rFonts w:ascii="Cambria" w:hAnsi="Cambria"/>
        </w:rPr>
        <w:tab/>
        <w:t xml:space="preserve"> </w:t>
      </w:r>
      <w:r w:rsidR="00F35942" w:rsidRPr="009B605C">
        <w:rPr>
          <w:rFonts w:ascii="Cambria" w:hAnsi="Cambria"/>
        </w:rPr>
        <w:t xml:space="preserve">         </w:t>
      </w:r>
      <w:r w:rsidR="003121A8" w:rsidRPr="009B605C">
        <w:rPr>
          <w:rFonts w:ascii="Cambria" w:hAnsi="Cambria"/>
        </w:rPr>
        <w:t xml:space="preserve"> </w:t>
      </w:r>
      <w:r w:rsidR="003121A8" w:rsidRPr="009B605C">
        <w:rPr>
          <w:rFonts w:ascii="Cambria" w:eastAsiaTheme="minorEastAsia" w:hAnsi="Cambria"/>
        </w:rPr>
        <w:t>(</w:t>
      </w:r>
      <w:r w:rsidR="0049249E" w:rsidRPr="009B605C">
        <w:rPr>
          <w:rFonts w:ascii="Cambria" w:eastAsiaTheme="minorEastAsia" w:hAnsi="Cambria"/>
        </w:rPr>
        <w:t>15</w:t>
      </w:r>
      <w:r w:rsidR="003121A8" w:rsidRPr="009B605C">
        <w:rPr>
          <w:rFonts w:ascii="Cambria" w:eastAsiaTheme="minorEastAsia" w:hAnsi="Cambria"/>
        </w:rPr>
        <w:t>)</w:t>
      </w:r>
    </w:p>
    <w:p w14:paraId="5EF3758F" w14:textId="58FB1008" w:rsidR="003121A8" w:rsidRPr="009B605C" w:rsidRDefault="003121A8" w:rsidP="0087752F">
      <w:pPr>
        <w:spacing w:line="360" w:lineRule="auto"/>
        <w:jc w:val="both"/>
        <w:rPr>
          <w:rFonts w:ascii="Cambria" w:eastAsia="Calibri" w:hAnsi="Cambria"/>
          <w:color w:val="000000"/>
          <w:szCs w:val="26"/>
          <w:shd w:val="clear" w:color="auto" w:fill="FFFFFF"/>
        </w:rPr>
      </w:pPr>
      <w:r w:rsidRPr="009B605C">
        <w:rPr>
          <w:rFonts w:ascii="Cambria" w:hAnsi="Cambria"/>
        </w:rPr>
        <w:lastRenderedPageBreak/>
        <w:t>where</w:t>
      </w:r>
      <w:r w:rsidR="000C7184" w:rsidRPr="009B605C">
        <w:rPr>
          <w:rFonts w:ascii="Cambria" w:hAnsi="Cambria"/>
        </w:rPr>
        <w:t xml:space="preserve"> </w:t>
      </w:r>
      <m:oMath>
        <m:r>
          <w:rPr>
            <w:rFonts w:ascii="Cambria Math" w:hAnsi="Cambria Math"/>
          </w:rPr>
          <m:t>N</m:t>
        </m:r>
      </m:oMath>
      <w:r w:rsidR="000C7184" w:rsidRPr="009B605C">
        <w:rPr>
          <w:rFonts w:ascii="Cambria" w:hAnsi="Cambria"/>
        </w:rPr>
        <w:t xml:space="preserve"> is the total number of traded cryptocurrencies at </w:t>
      </w:r>
      <w:r w:rsidR="0049249E" w:rsidRPr="009B605C">
        <w:rPr>
          <w:rFonts w:ascii="Cambria" w:hAnsi="Cambria"/>
        </w:rPr>
        <w:t>day</w:t>
      </w:r>
      <w:r w:rsidR="000C7184" w:rsidRPr="009B605C">
        <w:rPr>
          <w:rFonts w:ascii="Cambria" w:hAnsi="Cambria"/>
        </w:rPr>
        <w:t xml:space="preserve"> </w:t>
      </w:r>
      <m:oMath>
        <m:r>
          <w:rPr>
            <w:rFonts w:ascii="Cambria Math" w:hAnsi="Cambria Math"/>
          </w:rPr>
          <m:t>t</m:t>
        </m:r>
      </m:oMath>
      <w:r w:rsidR="0049249E" w:rsidRPr="009B605C">
        <w:rPr>
          <w:rFonts w:ascii="Cambria" w:hAnsi="Cambria"/>
        </w:rPr>
        <w:t xml:space="preserve">, </w:t>
      </w:r>
      <m:oMath>
        <m:sSub>
          <m:sSubPr>
            <m:ctrlPr>
              <w:rPr>
                <w:rFonts w:ascii="Cambria Math" w:hAnsi="Cambria Math"/>
                <w:i/>
              </w:rPr>
            </m:ctrlPr>
          </m:sSubPr>
          <m:e>
            <m:r>
              <w:rPr>
                <w:rFonts w:ascii="Cambria Math" w:hAnsi="Cambria Math"/>
              </w:rPr>
              <m:t>P</m:t>
            </m:r>
          </m:e>
          <m:sub>
            <m:r>
              <w:rPr>
                <w:rFonts w:ascii="Cambria Math" w:hAnsi="Cambria Math"/>
              </w:rPr>
              <m:t>it</m:t>
            </m:r>
          </m:sub>
        </m:sSub>
      </m:oMath>
      <w:r w:rsidRPr="009B605C">
        <w:rPr>
          <w:rFonts w:ascii="Cambria" w:eastAsiaTheme="minorEastAsia" w:hAnsi="Cambria"/>
        </w:rPr>
        <w:t xml:space="preserve"> is the </w:t>
      </w:r>
      <w:r w:rsidR="000C7184" w:rsidRPr="009B605C">
        <w:rPr>
          <w:rFonts w:ascii="Cambria" w:eastAsiaTheme="minorEastAsia" w:hAnsi="Cambria"/>
        </w:rPr>
        <w:t xml:space="preserve">closing price of </w:t>
      </w:r>
      <w:r w:rsidRPr="009B605C">
        <w:rPr>
          <w:rFonts w:ascii="Cambria" w:eastAsiaTheme="minorEastAsia" w:hAnsi="Cambria"/>
        </w:rPr>
        <w:t xml:space="preserve">cryptocurrency </w:t>
      </w:r>
      <m:oMath>
        <m:r>
          <w:rPr>
            <w:rFonts w:ascii="Cambria Math" w:eastAsiaTheme="minorEastAsia" w:hAnsi="Cambria Math"/>
          </w:rPr>
          <m:t>i</m:t>
        </m:r>
      </m:oMath>
      <w:r w:rsidR="000C7184" w:rsidRPr="009B605C">
        <w:rPr>
          <w:rFonts w:ascii="Cambria" w:eastAsiaTheme="minorEastAsia" w:hAnsi="Cambria"/>
        </w:rPr>
        <w:t xml:space="preserve"> at </w:t>
      </w:r>
      <w:r w:rsidR="0049249E" w:rsidRPr="009B605C">
        <w:rPr>
          <w:rFonts w:ascii="Cambria" w:eastAsiaTheme="minorEastAsia" w:hAnsi="Cambria"/>
        </w:rPr>
        <w:t>day</w:t>
      </w:r>
      <w:r w:rsidR="000C7184" w:rsidRPr="009B605C">
        <w:rPr>
          <w:rFonts w:ascii="Cambria" w:eastAsiaTheme="minorEastAsia" w:hAnsi="Cambria"/>
        </w:rPr>
        <w:t xml:space="preserve"> </w:t>
      </w:r>
      <m:oMath>
        <m:r>
          <w:rPr>
            <w:rFonts w:ascii="Cambria Math" w:eastAsiaTheme="minorEastAsia" w:hAnsi="Cambria Math"/>
          </w:rPr>
          <m:t>t</m:t>
        </m:r>
      </m:oMath>
      <w:r w:rsidR="0049249E" w:rsidRPr="009B605C">
        <w:rPr>
          <w:rFonts w:ascii="Cambria" w:eastAsiaTheme="minorEastAsia" w:hAnsi="Cambria"/>
        </w:rPr>
        <w:t>,</w:t>
      </w:r>
      <w:r w:rsidRPr="009B605C">
        <w:rPr>
          <w:rFonts w:ascii="Cambria" w:eastAsiaTheme="minorEastAsia" w:hAnsi="Cambria"/>
        </w:rPr>
        <w:t xml:space="preserve"> </w:t>
      </w:r>
      <m:oMath>
        <m:sSub>
          <m:sSubPr>
            <m:ctrlPr>
              <w:rPr>
                <w:rFonts w:ascii="Cambria Math" w:hAnsi="Cambria Math"/>
                <w:i/>
              </w:rPr>
            </m:ctrlPr>
          </m:sSubPr>
          <m:e>
            <m:r>
              <w:rPr>
                <w:rFonts w:ascii="Cambria Math" w:hAnsi="Cambria Math"/>
              </w:rPr>
              <m:t>w</m:t>
            </m:r>
          </m:e>
          <m:sub>
            <m:r>
              <w:rPr>
                <w:rFonts w:ascii="Cambria Math" w:hAnsi="Cambria Math"/>
              </w:rPr>
              <m:t>it</m:t>
            </m:r>
          </m:sub>
        </m:sSub>
      </m:oMath>
      <w:r w:rsidRPr="009B605C">
        <w:rPr>
          <w:rFonts w:ascii="Cambria" w:eastAsiaTheme="minorEastAsia" w:hAnsi="Cambria"/>
        </w:rPr>
        <w:t xml:space="preserve"> is the weights share of cryptocurrency </w:t>
      </w:r>
      <m:oMath>
        <m:r>
          <w:rPr>
            <w:rFonts w:ascii="Cambria Math" w:eastAsiaTheme="minorEastAsia" w:hAnsi="Cambria Math"/>
          </w:rPr>
          <m:t>i</m:t>
        </m:r>
      </m:oMath>
      <w:r w:rsidR="000C7184" w:rsidRPr="009B605C">
        <w:rPr>
          <w:rFonts w:ascii="Cambria" w:eastAsiaTheme="minorEastAsia" w:hAnsi="Cambria"/>
        </w:rPr>
        <w:t xml:space="preserve"> at </w:t>
      </w:r>
      <w:r w:rsidR="0049249E" w:rsidRPr="009B605C">
        <w:rPr>
          <w:rFonts w:ascii="Cambria" w:eastAsiaTheme="minorEastAsia" w:hAnsi="Cambria"/>
        </w:rPr>
        <w:t>day</w:t>
      </w:r>
      <w:r w:rsidR="000C7184" w:rsidRPr="009B605C">
        <w:rPr>
          <w:rFonts w:ascii="Cambria" w:eastAsiaTheme="minorEastAsia" w:hAnsi="Cambria"/>
        </w:rPr>
        <w:t xml:space="preserve"> </w:t>
      </w:r>
      <m:oMath>
        <m:r>
          <w:rPr>
            <w:rFonts w:ascii="Cambria Math" w:eastAsiaTheme="minorEastAsia" w:hAnsi="Cambria Math"/>
          </w:rPr>
          <m:t>t</m:t>
        </m:r>
      </m:oMath>
      <w:r w:rsidRPr="009B605C">
        <w:rPr>
          <w:rFonts w:ascii="Cambria" w:eastAsiaTheme="minorEastAsia" w:hAnsi="Cambria"/>
        </w:rPr>
        <w:t xml:space="preserve">, where, </w:t>
      </w:r>
      <m:oMath>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it</m:t>
                </m:r>
              </m:sub>
            </m:sSub>
          </m:e>
        </m:nary>
        <m:r>
          <w:rPr>
            <w:rFonts w:ascii="Cambria Math" w:eastAsiaTheme="minorEastAsia" w:hAnsi="Cambria Math"/>
          </w:rPr>
          <m:t>=1</m:t>
        </m:r>
      </m:oMath>
      <w:r w:rsidR="0049249E" w:rsidRPr="009B605C">
        <w:rPr>
          <w:rFonts w:ascii="Cambria" w:eastAsiaTheme="minorEastAsia" w:hAnsi="Cambria"/>
        </w:rPr>
        <w:t xml:space="preserve">,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it</m:t>
            </m:r>
          </m:sub>
        </m:sSub>
      </m:oMath>
      <w:r w:rsidRPr="009B605C">
        <w:rPr>
          <w:rFonts w:ascii="Cambria" w:eastAsiaTheme="minorEastAsia" w:hAnsi="Cambria"/>
        </w:rPr>
        <w:t xml:space="preserve"> is the market capitalization for </w:t>
      </w:r>
      <m:oMath>
        <m:r>
          <w:rPr>
            <w:rFonts w:ascii="Cambria Math" w:eastAsiaTheme="minorEastAsia" w:hAnsi="Cambria Math"/>
          </w:rPr>
          <m:t>i</m:t>
        </m:r>
      </m:oMath>
      <w:r w:rsidR="0049249E" w:rsidRPr="009B605C">
        <w:rPr>
          <w:rFonts w:ascii="Cambria" w:eastAsiaTheme="minorEastAsia" w:hAnsi="Cambria"/>
        </w:rPr>
        <w:t xml:space="preserve"> at day </w:t>
      </w:r>
      <m:oMath>
        <m:r>
          <w:rPr>
            <w:rFonts w:ascii="Cambria Math" w:eastAsiaTheme="minorEastAsia" w:hAnsi="Cambria Math"/>
          </w:rPr>
          <m:t>t</m:t>
        </m:r>
      </m:oMath>
      <w:r w:rsidR="00B758C3" w:rsidRPr="009B605C">
        <w:rPr>
          <w:rFonts w:ascii="Cambria" w:eastAsiaTheme="minorEastAsia" w:hAnsi="Cambria"/>
        </w:rPr>
        <w:t xml:space="preserve">, </w:t>
      </w:r>
      <m:oMath>
        <m:r>
          <w:rPr>
            <w:rFonts w:ascii="Cambria Math" w:eastAsiaTheme="minorEastAsia" w:hAnsi="Cambria Math" w:cs="Cambria Math"/>
          </w:rPr>
          <m:t>∃</m:t>
        </m:r>
        <m:r>
          <w:rPr>
            <w:rFonts w:ascii="Cambria Math" w:eastAsiaTheme="minorEastAsia" w:hAnsi="Cambria Math"/>
          </w:rPr>
          <m:t>i,l</m:t>
        </m:r>
      </m:oMath>
      <w:r w:rsidR="00B758C3" w:rsidRPr="009B605C">
        <w:rPr>
          <w:rFonts w:ascii="Cambria" w:eastAsiaTheme="minorEastAsia" w:hAnsi="Cambria"/>
        </w:rPr>
        <w:t> such that </w:t>
      </w:r>
      <m:oMath>
        <m:r>
          <w:rPr>
            <w:rFonts w:ascii="Cambria Math" w:eastAsiaTheme="minorEastAsia" w:hAnsi="Cambria Math"/>
          </w:rPr>
          <m:t>i≡l</m:t>
        </m:r>
      </m:oMath>
      <w:r w:rsidR="00B758C3" w:rsidRPr="009B605C">
        <w:rPr>
          <w:rFonts w:ascii="Cambria" w:eastAsiaTheme="minorEastAsia" w:hAnsi="Cambria"/>
        </w:rPr>
        <w:t xml:space="preserve">. </w:t>
      </w:r>
      <w:r w:rsidR="0049249E" w:rsidRPr="009B605C">
        <w:rPr>
          <w:rFonts w:ascii="Cambria" w:eastAsia="Calibri" w:hAnsi="Cambria"/>
          <w:color w:val="000000"/>
          <w:szCs w:val="26"/>
          <w:shd w:val="clear" w:color="auto" w:fill="FFFFFF"/>
        </w:rPr>
        <w:t>Hence</w:t>
      </w:r>
      <w:r w:rsidRPr="009B605C">
        <w:rPr>
          <w:rFonts w:ascii="Cambria" w:eastAsia="Calibri" w:hAnsi="Cambria"/>
          <w:color w:val="000000"/>
          <w:szCs w:val="26"/>
          <w:shd w:val="clear" w:color="auto" w:fill="FFFFFF"/>
        </w:rPr>
        <w:t xml:space="preserve">, the cryptocurrency weight </w:t>
      </w:r>
      <m:oMath>
        <m:sSub>
          <m:sSubPr>
            <m:ctrlPr>
              <w:rPr>
                <w:rFonts w:ascii="Cambria Math" w:eastAsia="Calibri" w:hAnsi="Cambria Math"/>
                <w:i/>
                <w:color w:val="000000"/>
                <w:szCs w:val="26"/>
                <w:shd w:val="clear" w:color="auto" w:fill="FFFFFF"/>
              </w:rPr>
            </m:ctrlPr>
          </m:sSubPr>
          <m:e>
            <m:r>
              <w:rPr>
                <w:rFonts w:ascii="Cambria Math" w:eastAsia="Calibri" w:hAnsi="Cambria Math"/>
                <w:color w:val="000000"/>
                <w:szCs w:val="26"/>
                <w:shd w:val="clear" w:color="auto" w:fill="FFFFFF"/>
              </w:rPr>
              <m:t>w</m:t>
            </m:r>
          </m:e>
          <m:sub>
            <m:r>
              <w:rPr>
                <w:rFonts w:ascii="Cambria Math" w:eastAsia="Calibri" w:hAnsi="Cambria Math"/>
                <w:color w:val="000000"/>
                <w:szCs w:val="26"/>
                <w:shd w:val="clear" w:color="auto" w:fill="FFFFFF"/>
              </w:rPr>
              <m:t>it</m:t>
            </m:r>
          </m:sub>
        </m:sSub>
      </m:oMath>
      <w:r w:rsidRPr="009B605C">
        <w:rPr>
          <w:rFonts w:ascii="Cambria" w:eastAsia="Calibri" w:hAnsi="Cambria"/>
          <w:color w:val="000000"/>
          <w:szCs w:val="26"/>
          <w:shd w:val="clear" w:color="auto" w:fill="FFFFFF"/>
        </w:rPr>
        <w:t xml:space="preserve"> is calculated by dividing the market capitalization value of </w:t>
      </w:r>
      <m:oMath>
        <m:r>
          <w:rPr>
            <w:rFonts w:ascii="Cambria Math" w:eastAsia="Calibri" w:hAnsi="Cambria Math"/>
            <w:color w:val="000000"/>
            <w:szCs w:val="26"/>
            <w:shd w:val="clear" w:color="auto" w:fill="FFFFFF"/>
          </w:rPr>
          <m:t>i</m:t>
        </m:r>
      </m:oMath>
      <w:r w:rsidRPr="009B605C">
        <w:rPr>
          <w:rFonts w:ascii="Cambria" w:eastAsia="Calibri" w:hAnsi="Cambria"/>
          <w:color w:val="000000"/>
          <w:szCs w:val="26"/>
          <w:shd w:val="clear" w:color="auto" w:fill="FFFFFF"/>
        </w:rPr>
        <w:t xml:space="preserve"> by total market capitalization value for all </w:t>
      </w:r>
      <m:oMath>
        <m:r>
          <w:rPr>
            <w:rFonts w:ascii="Cambria Math" w:eastAsia="Calibri" w:hAnsi="Cambria Math"/>
            <w:color w:val="000000"/>
            <w:szCs w:val="26"/>
            <w:shd w:val="clear" w:color="auto" w:fill="FFFFFF"/>
          </w:rPr>
          <m:t>N</m:t>
        </m:r>
      </m:oMath>
      <w:r w:rsidRPr="009B605C">
        <w:rPr>
          <w:rFonts w:ascii="Cambria" w:eastAsia="Calibri" w:hAnsi="Cambria"/>
          <w:color w:val="000000"/>
          <w:szCs w:val="26"/>
          <w:shd w:val="clear" w:color="auto" w:fill="FFFFFF"/>
        </w:rPr>
        <w:t xml:space="preserve"> cryptocurrencies</w:t>
      </w:r>
      <w:r w:rsidR="0049249E" w:rsidRPr="009B605C">
        <w:rPr>
          <w:rFonts w:ascii="Cambria" w:eastAsia="Calibri" w:hAnsi="Cambria"/>
          <w:color w:val="000000"/>
          <w:szCs w:val="26"/>
          <w:shd w:val="clear" w:color="auto" w:fill="FFFFFF"/>
        </w:rPr>
        <w:t xml:space="preserve"> at day </w:t>
      </w:r>
      <m:oMath>
        <m:r>
          <w:rPr>
            <w:rFonts w:ascii="Cambria Math" w:eastAsia="Calibri" w:hAnsi="Cambria Math"/>
            <w:color w:val="000000"/>
            <w:szCs w:val="26"/>
            <w:shd w:val="clear" w:color="auto" w:fill="FFFFFF"/>
          </w:rPr>
          <m:t>t</m:t>
        </m:r>
      </m:oMath>
      <w:r w:rsidR="00EE214F" w:rsidRPr="009B605C">
        <w:rPr>
          <w:rFonts w:ascii="Cambria" w:eastAsia="Calibri" w:hAnsi="Cambria"/>
          <w:color w:val="000000"/>
          <w:szCs w:val="26"/>
          <w:shd w:val="clear" w:color="auto" w:fill="FFFFFF"/>
        </w:rPr>
        <w:t>.</w:t>
      </w:r>
    </w:p>
    <w:p w14:paraId="316DA9D9" w14:textId="00B51261" w:rsidR="00EE214F" w:rsidRPr="009B605C" w:rsidRDefault="00EE214F" w:rsidP="0087752F">
      <w:pPr>
        <w:spacing w:line="360" w:lineRule="auto"/>
        <w:jc w:val="both"/>
        <w:rPr>
          <w:rFonts w:ascii="Cambria" w:eastAsiaTheme="minorEastAsia" w:hAnsi="Cambria"/>
        </w:rPr>
      </w:pPr>
      <w:r w:rsidRPr="009B605C">
        <w:rPr>
          <w:rFonts w:ascii="Cambria" w:eastAsia="Calibri" w:hAnsi="Cambria"/>
          <w:color w:val="000000"/>
          <w:szCs w:val="26"/>
          <w:shd w:val="clear" w:color="auto" w:fill="FFFFFF"/>
        </w:rPr>
        <w:tab/>
        <w:t xml:space="preserve"> </w:t>
      </w:r>
    </w:p>
    <w:bookmarkEnd w:id="5"/>
    <w:p w14:paraId="41AE214E" w14:textId="7ADDE2B2" w:rsidR="00EB759D" w:rsidRPr="009B605C" w:rsidRDefault="000C667A" w:rsidP="0087752F">
      <w:pPr>
        <w:pStyle w:val="ListParagraph"/>
        <w:spacing w:after="120" w:line="360" w:lineRule="auto"/>
        <w:ind w:left="714" w:hanging="357"/>
        <w:jc w:val="both"/>
        <w:rPr>
          <w:rFonts w:ascii="Cambria" w:hAnsi="Cambria"/>
          <w:b/>
          <w:sz w:val="28"/>
          <w:szCs w:val="28"/>
        </w:rPr>
      </w:pPr>
      <w:r w:rsidRPr="009B605C">
        <w:rPr>
          <w:rFonts w:ascii="Cambria" w:hAnsi="Cambria"/>
          <w:b/>
          <w:sz w:val="28"/>
          <w:szCs w:val="28"/>
        </w:rPr>
        <w:t>3</w:t>
      </w:r>
      <w:r w:rsidR="00EB759D" w:rsidRPr="009B605C">
        <w:rPr>
          <w:rFonts w:ascii="Cambria" w:hAnsi="Cambria"/>
          <w:b/>
          <w:sz w:val="28"/>
          <w:szCs w:val="28"/>
        </w:rPr>
        <w:t>. Data and preliminary analysis</w:t>
      </w:r>
    </w:p>
    <w:p w14:paraId="688EE761" w14:textId="23E330BC" w:rsidR="00F03214" w:rsidRPr="009B605C" w:rsidRDefault="00047754" w:rsidP="0087752F">
      <w:pPr>
        <w:spacing w:line="360" w:lineRule="auto"/>
        <w:jc w:val="both"/>
        <w:rPr>
          <w:rFonts w:ascii="Cambria" w:eastAsiaTheme="minorEastAsia" w:hAnsi="Cambria"/>
        </w:rPr>
      </w:pPr>
      <w:r w:rsidRPr="009B605C">
        <w:rPr>
          <w:rFonts w:ascii="Cambria" w:hAnsi="Cambria"/>
        </w:rPr>
        <w:t>To</w:t>
      </w:r>
      <w:r w:rsidR="008D4BA4" w:rsidRPr="009B605C">
        <w:rPr>
          <w:rFonts w:ascii="Cambria" w:hAnsi="Cambria"/>
        </w:rPr>
        <w:t xml:space="preserve"> examine the </w:t>
      </w:r>
      <w:r w:rsidRPr="009B605C">
        <w:rPr>
          <w:rFonts w:ascii="Cambria" w:hAnsi="Cambria"/>
        </w:rPr>
        <w:t xml:space="preserve">hedging and </w:t>
      </w:r>
      <w:r w:rsidR="008D4BA4" w:rsidRPr="009B605C">
        <w:rPr>
          <w:rFonts w:ascii="Cambria" w:hAnsi="Cambria"/>
        </w:rPr>
        <w:t>safe haven characteristics of cryptocurrencies and compare them to gold within the context of BRICS stock markets</w:t>
      </w:r>
      <w:r w:rsidRPr="009B605C">
        <w:rPr>
          <w:rFonts w:ascii="Cambria" w:hAnsi="Cambria"/>
        </w:rPr>
        <w:t>, we use daily closing prices from 28</w:t>
      </w:r>
      <w:r w:rsidRPr="009B605C">
        <w:rPr>
          <w:rFonts w:ascii="Cambria" w:hAnsi="Cambria"/>
          <w:vertAlign w:val="superscript"/>
        </w:rPr>
        <w:t>th</w:t>
      </w:r>
      <w:r w:rsidRPr="009B605C">
        <w:rPr>
          <w:rFonts w:ascii="Cambria" w:hAnsi="Cambria"/>
        </w:rPr>
        <w:t xml:space="preserve"> April 2013 to 27</w:t>
      </w:r>
      <w:r w:rsidRPr="009B605C">
        <w:rPr>
          <w:rFonts w:ascii="Cambria" w:hAnsi="Cambria"/>
          <w:vertAlign w:val="superscript"/>
        </w:rPr>
        <w:t>th</w:t>
      </w:r>
      <w:r w:rsidRPr="009B605C">
        <w:rPr>
          <w:rFonts w:ascii="Cambria" w:hAnsi="Cambria"/>
        </w:rPr>
        <w:t xml:space="preserve"> September 2024</w:t>
      </w:r>
      <w:r w:rsidR="00AC2945" w:rsidRPr="009B605C">
        <w:rPr>
          <w:rFonts w:ascii="Cambria" w:hAnsi="Cambria"/>
        </w:rPr>
        <w:t>. The sample period is determined by the data availability</w:t>
      </w:r>
      <w:r w:rsidRPr="009B605C">
        <w:rPr>
          <w:rFonts w:ascii="Cambria" w:hAnsi="Cambria"/>
        </w:rPr>
        <w:t xml:space="preserve"> on cryptocurrencies</w:t>
      </w:r>
      <w:r w:rsidR="00AC2945" w:rsidRPr="009B605C">
        <w:rPr>
          <w:rFonts w:ascii="Cambria" w:hAnsi="Cambria"/>
        </w:rPr>
        <w:t>.</w:t>
      </w:r>
      <w:r w:rsidR="009A7532" w:rsidRPr="009B605C">
        <w:rPr>
          <w:rFonts w:ascii="Cambria" w:hAnsi="Cambria"/>
        </w:rPr>
        <w:t xml:space="preserve"> The</w:t>
      </w:r>
      <w:r w:rsidR="00915FC6" w:rsidRPr="009B605C">
        <w:rPr>
          <w:rFonts w:ascii="Cambria" w:hAnsi="Cambria"/>
        </w:rPr>
        <w:t xml:space="preserve"> study considers </w:t>
      </w:r>
      <w:r w:rsidR="009A7532" w:rsidRPr="009B605C">
        <w:rPr>
          <w:rFonts w:ascii="Cambria" w:hAnsi="Cambria"/>
        </w:rPr>
        <w:t>the</w:t>
      </w:r>
      <w:r w:rsidR="00915FC6" w:rsidRPr="009B605C">
        <w:rPr>
          <w:rFonts w:ascii="Cambria" w:hAnsi="Cambria"/>
        </w:rPr>
        <w:t xml:space="preserve"> stock market indexes for all </w:t>
      </w:r>
      <w:r w:rsidR="009A7532" w:rsidRPr="009B605C">
        <w:rPr>
          <w:rFonts w:ascii="Cambria" w:hAnsi="Cambria"/>
        </w:rPr>
        <w:t>BRICS economies</w:t>
      </w:r>
      <w:r w:rsidR="00560DEB" w:rsidRPr="009B605C">
        <w:rPr>
          <w:rFonts w:ascii="Cambria" w:hAnsi="Cambria"/>
        </w:rPr>
        <w:t>:</w:t>
      </w:r>
      <w:r w:rsidR="00915FC6" w:rsidRPr="009B605C">
        <w:rPr>
          <w:rFonts w:ascii="Cambria" w:hAnsi="Cambria"/>
        </w:rPr>
        <w:t xml:space="preserve"> </w:t>
      </w:r>
      <w:r w:rsidR="009A7532" w:rsidRPr="009B605C">
        <w:rPr>
          <w:rFonts w:ascii="Cambria" w:hAnsi="Cambria"/>
        </w:rPr>
        <w:t>Brazil (</w:t>
      </w:r>
      <w:r w:rsidR="00C6133E" w:rsidRPr="009B605C">
        <w:rPr>
          <w:rFonts w:ascii="Cambria" w:hAnsi="Cambria"/>
        </w:rPr>
        <w:t>Bovespa</w:t>
      </w:r>
      <w:r w:rsidR="009A7532" w:rsidRPr="009B605C">
        <w:rPr>
          <w:rFonts w:ascii="Cambria" w:hAnsi="Cambria"/>
        </w:rPr>
        <w:t>), Russia (MICEX 10), India (N</w:t>
      </w:r>
      <w:r w:rsidR="00C6133E" w:rsidRPr="009B605C">
        <w:rPr>
          <w:rFonts w:ascii="Cambria" w:hAnsi="Cambria"/>
        </w:rPr>
        <w:t>ifty</w:t>
      </w:r>
      <w:r w:rsidR="009A7532" w:rsidRPr="009B605C">
        <w:rPr>
          <w:rFonts w:ascii="Cambria" w:hAnsi="Cambria"/>
        </w:rPr>
        <w:t xml:space="preserve"> 50), China (</w:t>
      </w:r>
      <w:r w:rsidR="00C6133E" w:rsidRPr="009B605C">
        <w:rPr>
          <w:rFonts w:ascii="Cambria" w:hAnsi="Cambria"/>
        </w:rPr>
        <w:t>Shanghai SE A Share</w:t>
      </w:r>
      <w:r w:rsidR="009A7532" w:rsidRPr="009B605C">
        <w:rPr>
          <w:rFonts w:ascii="Cambria" w:hAnsi="Cambria"/>
        </w:rPr>
        <w:t>) and South Africa (</w:t>
      </w:r>
      <w:r w:rsidR="00F03214" w:rsidRPr="009B605C">
        <w:rPr>
          <w:rFonts w:ascii="Cambria" w:hAnsi="Cambria"/>
        </w:rPr>
        <w:t>FTSE/JSE Top 40</w:t>
      </w:r>
      <w:r w:rsidR="009A7532" w:rsidRPr="009B605C">
        <w:rPr>
          <w:rFonts w:ascii="Cambria" w:hAnsi="Cambria"/>
        </w:rPr>
        <w:t>)</w:t>
      </w:r>
      <w:r w:rsidR="00904645" w:rsidRPr="009B605C">
        <w:rPr>
          <w:rFonts w:ascii="Cambria" w:hAnsi="Cambria"/>
        </w:rPr>
        <w:t xml:space="preserve">. As a proxy for gold price, we use </w:t>
      </w:r>
      <w:r w:rsidR="00F03214" w:rsidRPr="009B605C">
        <w:rPr>
          <w:rFonts w:ascii="Cambria" w:hAnsi="Cambria"/>
        </w:rPr>
        <w:t>Gold Bullion LBM prices (i.e., Gold Bullion LBM $/t oz)</w:t>
      </w:r>
      <w:r w:rsidR="00904645" w:rsidRPr="009B605C">
        <w:rPr>
          <w:rFonts w:ascii="Cambria" w:hAnsi="Cambria"/>
        </w:rPr>
        <w:t>.</w:t>
      </w:r>
      <w:r w:rsidR="009C65EE" w:rsidRPr="009B605C">
        <w:rPr>
          <w:rFonts w:ascii="Cambria" w:hAnsi="Cambria"/>
        </w:rPr>
        <w:t xml:space="preserve"> The sample is further divided into pre- and post-conflict announcement periods, based on February 24, 2022, the date marking the start of the Russia-Ukraine military conflict (see</w:t>
      </w:r>
      <w:r w:rsidR="002F3F02" w:rsidRPr="009B605C">
        <w:rPr>
          <w:rFonts w:ascii="Cambria" w:hAnsi="Cambria"/>
        </w:rPr>
        <w:t>,</w:t>
      </w:r>
      <w:r w:rsidR="009C65EE" w:rsidRPr="009B605C">
        <w:rPr>
          <w:rFonts w:ascii="Cambria" w:hAnsi="Cambria"/>
        </w:rPr>
        <w:t xml:space="preserve"> Zhou et al., 2024). Specifically, the pre-conflict period spans from 28</w:t>
      </w:r>
      <w:r w:rsidR="009C65EE" w:rsidRPr="009B605C">
        <w:rPr>
          <w:rFonts w:ascii="Cambria" w:hAnsi="Cambria"/>
          <w:vertAlign w:val="superscript"/>
        </w:rPr>
        <w:t>th</w:t>
      </w:r>
      <w:r w:rsidR="009C65EE" w:rsidRPr="009B605C">
        <w:rPr>
          <w:rFonts w:ascii="Cambria" w:hAnsi="Cambria"/>
        </w:rPr>
        <w:t xml:space="preserve"> April 2013 to 23</w:t>
      </w:r>
      <w:r w:rsidR="009C65EE" w:rsidRPr="009B605C">
        <w:rPr>
          <w:rFonts w:ascii="Cambria" w:hAnsi="Cambria"/>
          <w:vertAlign w:val="superscript"/>
        </w:rPr>
        <w:t>rd</w:t>
      </w:r>
      <w:r w:rsidR="009C65EE" w:rsidRPr="009B605C">
        <w:rPr>
          <w:rFonts w:ascii="Cambria" w:hAnsi="Cambria"/>
        </w:rPr>
        <w:t xml:space="preserve"> February 2022, while the conflict period extends from 24</w:t>
      </w:r>
      <w:r w:rsidR="009C65EE" w:rsidRPr="009B605C">
        <w:rPr>
          <w:rFonts w:ascii="Cambria" w:hAnsi="Cambria"/>
          <w:vertAlign w:val="superscript"/>
        </w:rPr>
        <w:t>th</w:t>
      </w:r>
      <w:r w:rsidR="009C65EE" w:rsidRPr="009B605C">
        <w:rPr>
          <w:rFonts w:ascii="Cambria" w:hAnsi="Cambria"/>
        </w:rPr>
        <w:t xml:space="preserve"> February 2022 to 27</w:t>
      </w:r>
      <w:r w:rsidR="009C65EE" w:rsidRPr="009B605C">
        <w:rPr>
          <w:rFonts w:ascii="Cambria" w:hAnsi="Cambria"/>
          <w:vertAlign w:val="superscript"/>
        </w:rPr>
        <w:t>th</w:t>
      </w:r>
      <w:r w:rsidR="009C65EE" w:rsidRPr="009B605C">
        <w:rPr>
          <w:rFonts w:ascii="Cambria" w:hAnsi="Cambria"/>
        </w:rPr>
        <w:t xml:space="preserve"> September 2024.</w:t>
      </w:r>
      <w:r w:rsidR="00710643" w:rsidRPr="009B605C">
        <w:rPr>
          <w:rFonts w:ascii="Cambria" w:hAnsi="Cambria"/>
        </w:rPr>
        <w:t xml:space="preserve"> </w:t>
      </w:r>
      <w:r w:rsidR="00E22906" w:rsidRPr="009B605C">
        <w:rPr>
          <w:rFonts w:ascii="Cambria" w:hAnsi="Cambria"/>
        </w:rPr>
        <w:t xml:space="preserve">The data are obtained from Thomson Reuters </w:t>
      </w:r>
      <w:proofErr w:type="spellStart"/>
      <w:r w:rsidR="00E22906" w:rsidRPr="009B605C">
        <w:rPr>
          <w:rFonts w:ascii="Cambria" w:hAnsi="Cambria"/>
        </w:rPr>
        <w:t>Datastream</w:t>
      </w:r>
      <w:proofErr w:type="spellEnd"/>
      <w:r w:rsidR="00492B2F" w:rsidRPr="009B605C">
        <w:rPr>
          <w:rFonts w:ascii="Cambria" w:hAnsi="Cambria"/>
        </w:rPr>
        <w:t xml:space="preserve"> database</w:t>
      </w:r>
      <w:r w:rsidR="00E22906" w:rsidRPr="009B605C">
        <w:rPr>
          <w:rFonts w:ascii="Cambria" w:hAnsi="Cambria"/>
        </w:rPr>
        <w:t xml:space="preserve">. </w:t>
      </w:r>
      <w:r w:rsidR="00710643" w:rsidRPr="009B605C">
        <w:rPr>
          <w:rFonts w:ascii="Cambria" w:hAnsi="Cambria"/>
        </w:rPr>
        <w:t>All series are calculated as log returns</w:t>
      </w:r>
      <w:r w:rsidR="00904836" w:rsidRPr="009B605C">
        <w:rPr>
          <w:rFonts w:ascii="Cambria" w:hAnsi="Cambria"/>
        </w:rPr>
        <w:t>,</w:t>
      </w:r>
      <w:r w:rsidR="0033031C" w:rsidRPr="009B605C">
        <w:rPr>
          <w:rFonts w:ascii="Cambria" w:eastAsiaTheme="minorEastAsia" w:hAnsi="Cambria"/>
          <w:i/>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oMath>
      <w:r w:rsidR="0033031C" w:rsidRPr="009B605C">
        <w:rPr>
          <w:rFonts w:ascii="Cambria" w:eastAsiaTheme="minorEastAsia" w:hAnsi="Cambria"/>
        </w:rPr>
        <w:t>, where</w:t>
      </w:r>
      <w:r w:rsidR="0033031C" w:rsidRPr="009B605C">
        <w:rPr>
          <w:rFonts w:ascii="Cambria" w:hAnsi="Cambr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t-1</m:t>
                        </m:r>
                      </m:sub>
                    </m:sSub>
                  </m:e>
                </m:d>
              </m:e>
            </m:func>
          </m:e>
        </m:func>
        <m:r>
          <w:rPr>
            <w:rFonts w:ascii="Cambria Math" w:eastAsiaTheme="minorEastAsia" w:hAnsi="Cambria Math"/>
          </w:rPr>
          <m:t>)×100</m:t>
        </m:r>
      </m:oMath>
      <w:r w:rsidR="0033031C" w:rsidRPr="009B605C">
        <w:rPr>
          <w:rFonts w:ascii="Cambria" w:eastAsiaTheme="minorEastAsia" w:hAnsi="Cambr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sidR="0033031C" w:rsidRPr="009B605C">
        <w:rPr>
          <w:rFonts w:ascii="Cambria" w:eastAsiaTheme="minorEastAsia" w:hAnsi="Cambria"/>
        </w:rPr>
        <w:t xml:space="preserve"> is the closing price at day </w:t>
      </w:r>
      <m:oMath>
        <m:r>
          <w:rPr>
            <w:rFonts w:ascii="Cambria Math" w:eastAsiaTheme="minorEastAsia" w:hAnsi="Cambria Math"/>
          </w:rPr>
          <m:t>t</m:t>
        </m:r>
      </m:oMath>
      <w:r w:rsidR="0033031C" w:rsidRPr="009B605C">
        <w:rPr>
          <w:rFonts w:ascii="Cambria" w:eastAsiaTheme="minorEastAsia" w:hAnsi="Cambria"/>
        </w:rPr>
        <w:t>.</w:t>
      </w:r>
    </w:p>
    <w:p w14:paraId="2C9FEABF" w14:textId="2FEF20D0" w:rsidR="00C0247B" w:rsidRPr="009B605C" w:rsidRDefault="00717DF2" w:rsidP="0087752F">
      <w:pPr>
        <w:spacing w:line="360" w:lineRule="auto"/>
        <w:jc w:val="both"/>
        <w:rPr>
          <w:rFonts w:ascii="Cambria" w:eastAsiaTheme="minorEastAsia" w:hAnsi="Cambria"/>
        </w:rPr>
      </w:pPr>
      <w:r w:rsidRPr="009B605C">
        <w:rPr>
          <w:rFonts w:ascii="Cambria" w:eastAsiaTheme="minorEastAsia" w:hAnsi="Cambria"/>
        </w:rPr>
        <w:tab/>
        <w:t>Figure 1</w:t>
      </w:r>
      <w:r w:rsidR="009B4FAA" w:rsidRPr="009B605C">
        <w:rPr>
          <w:rFonts w:ascii="Cambria" w:eastAsiaTheme="minorEastAsia" w:hAnsi="Cambria"/>
        </w:rPr>
        <w:t xml:space="preserve"> </w:t>
      </w:r>
      <w:r w:rsidR="00E004E4" w:rsidRPr="009B605C">
        <w:rPr>
          <w:rFonts w:ascii="Cambria" w:eastAsiaTheme="minorEastAsia" w:hAnsi="Cambria"/>
        </w:rPr>
        <w:t>shows</w:t>
      </w:r>
      <w:r w:rsidR="009B4FAA" w:rsidRPr="009B605C">
        <w:rPr>
          <w:rFonts w:ascii="Cambria" w:eastAsiaTheme="minorEastAsia" w:hAnsi="Cambria"/>
        </w:rPr>
        <w:t xml:space="preserve"> the </w:t>
      </w:r>
      <w:r w:rsidR="00331F10" w:rsidRPr="009B605C">
        <w:rPr>
          <w:rFonts w:ascii="Cambria" w:eastAsiaTheme="minorEastAsia" w:hAnsi="Cambria"/>
        </w:rPr>
        <w:t>raw stock prices of BRICS markets and the gold</w:t>
      </w:r>
      <w:r w:rsidR="009B4FAA" w:rsidRPr="009B605C">
        <w:rPr>
          <w:rFonts w:ascii="Cambria" w:eastAsiaTheme="minorEastAsia" w:hAnsi="Cambria"/>
        </w:rPr>
        <w:t xml:space="preserve"> series </w:t>
      </w:r>
      <w:r w:rsidR="00E004E4" w:rsidRPr="009B605C">
        <w:rPr>
          <w:rFonts w:ascii="Cambria" w:eastAsiaTheme="minorEastAsia" w:hAnsi="Cambria"/>
        </w:rPr>
        <w:t>for the full</w:t>
      </w:r>
      <w:r w:rsidR="009B4FAA" w:rsidRPr="009B605C">
        <w:rPr>
          <w:rFonts w:ascii="Cambria" w:eastAsiaTheme="minorEastAsia" w:hAnsi="Cambria"/>
        </w:rPr>
        <w:t xml:space="preserve"> sample period. </w:t>
      </w:r>
      <w:r w:rsidR="00C0247B" w:rsidRPr="009B605C">
        <w:rPr>
          <w:rFonts w:ascii="Cambria" w:eastAsiaTheme="minorEastAsia" w:hAnsi="Cambria"/>
        </w:rPr>
        <w:t>Evidently</w:t>
      </w:r>
      <w:r w:rsidR="00E004E4" w:rsidRPr="009B605C">
        <w:rPr>
          <w:rFonts w:ascii="Cambria" w:eastAsiaTheme="minorEastAsia" w:hAnsi="Cambria"/>
        </w:rPr>
        <w:t xml:space="preserve"> the periods of global instability, such as </w:t>
      </w:r>
      <w:r w:rsidR="00544099" w:rsidRPr="009B605C">
        <w:rPr>
          <w:rFonts w:ascii="Cambria" w:eastAsiaTheme="minorEastAsia" w:hAnsi="Cambria"/>
        </w:rPr>
        <w:t xml:space="preserve">the 2015–2016 stock market selloff, </w:t>
      </w:r>
      <w:r w:rsidR="00E004E4" w:rsidRPr="009B605C">
        <w:rPr>
          <w:rFonts w:ascii="Cambria" w:eastAsiaTheme="minorEastAsia" w:hAnsi="Cambria"/>
        </w:rPr>
        <w:t xml:space="preserve">the COVID-19 pandemic and the 2022 Russia-Ukraine military conflict seem to have a significant impact on both </w:t>
      </w:r>
      <w:r w:rsidR="00544099" w:rsidRPr="009B605C">
        <w:rPr>
          <w:rFonts w:ascii="Cambria" w:eastAsiaTheme="minorEastAsia" w:hAnsi="Cambria"/>
        </w:rPr>
        <w:t xml:space="preserve">BRICS </w:t>
      </w:r>
      <w:r w:rsidR="00E004E4" w:rsidRPr="009B605C">
        <w:rPr>
          <w:rFonts w:ascii="Cambria" w:eastAsiaTheme="minorEastAsia" w:hAnsi="Cambria"/>
        </w:rPr>
        <w:t xml:space="preserve">stock markets and gold prices. </w:t>
      </w:r>
      <w:r w:rsidR="00544099" w:rsidRPr="009B605C">
        <w:rPr>
          <w:rFonts w:ascii="Cambria" w:eastAsiaTheme="minorEastAsia" w:hAnsi="Cambria"/>
        </w:rPr>
        <w:t>Most of the</w:t>
      </w:r>
      <w:r w:rsidR="00E004E4" w:rsidRPr="009B605C">
        <w:rPr>
          <w:rFonts w:ascii="Cambria" w:eastAsiaTheme="minorEastAsia" w:hAnsi="Cambria"/>
        </w:rPr>
        <w:t xml:space="preserve"> BRICS stock markets show significant resilience and recovery following the initial downturn caused by the COVID-19 pandemic, with a noticeable upward trend starting as early as 2020. Specifically, the markets in Brazil, India, and South Africa, in particular, experience strong growth through 2023, reflecting global economic recovery and policy interventions</w:t>
      </w:r>
      <w:r w:rsidR="00544099" w:rsidRPr="009B605C">
        <w:rPr>
          <w:rFonts w:ascii="Cambria" w:eastAsiaTheme="minorEastAsia" w:hAnsi="Cambria"/>
        </w:rPr>
        <w:t xml:space="preserve"> (see, Naeem et al., 2022</w:t>
      </w:r>
      <w:r w:rsidR="00AC4938" w:rsidRPr="009B605C">
        <w:rPr>
          <w:rFonts w:ascii="Cambria" w:eastAsiaTheme="minorEastAsia" w:hAnsi="Cambria"/>
        </w:rPr>
        <w:t>; Shahzad et al., 2022</w:t>
      </w:r>
      <w:r w:rsidR="00544099" w:rsidRPr="009B605C">
        <w:rPr>
          <w:rFonts w:ascii="Cambria" w:eastAsiaTheme="minorEastAsia" w:hAnsi="Cambria"/>
        </w:rPr>
        <w:t>)</w:t>
      </w:r>
      <w:r w:rsidR="00E004E4" w:rsidRPr="009B605C">
        <w:rPr>
          <w:rFonts w:ascii="Cambria" w:eastAsiaTheme="minorEastAsia" w:hAnsi="Cambria"/>
        </w:rPr>
        <w:t xml:space="preserve">. </w:t>
      </w:r>
      <w:r w:rsidR="00544099" w:rsidRPr="009B605C">
        <w:rPr>
          <w:rFonts w:ascii="Cambria" w:eastAsiaTheme="minorEastAsia" w:hAnsi="Cambria"/>
        </w:rPr>
        <w:t>In meantime,</w:t>
      </w:r>
      <w:r w:rsidR="00E004E4" w:rsidRPr="009B605C">
        <w:rPr>
          <w:rFonts w:ascii="Cambria" w:eastAsiaTheme="minorEastAsia" w:hAnsi="Cambria"/>
        </w:rPr>
        <w:t xml:space="preserve"> the Chinese market shows somewhat downward trend in the </w:t>
      </w:r>
      <w:r w:rsidR="0041415E" w:rsidRPr="009B605C">
        <w:rPr>
          <w:rFonts w:ascii="Cambria" w:eastAsiaTheme="minorEastAsia" w:hAnsi="Cambria"/>
        </w:rPr>
        <w:t xml:space="preserve">aftermath of the </w:t>
      </w:r>
      <w:r w:rsidR="00E004E4" w:rsidRPr="009B605C">
        <w:rPr>
          <w:rFonts w:ascii="Cambria" w:eastAsiaTheme="minorEastAsia" w:hAnsi="Cambria"/>
        </w:rPr>
        <w:t>COVID-19 pandemic period</w:t>
      </w:r>
      <w:r w:rsidR="00544099" w:rsidRPr="009B605C">
        <w:rPr>
          <w:rFonts w:ascii="Cambria" w:eastAsiaTheme="minorEastAsia" w:hAnsi="Cambria"/>
        </w:rPr>
        <w:t xml:space="preserve">, whereas the Russian market has struggled to recover to its pre-pandemic levels, with recovery still lagging as of early 2024, likely influenced by the onset </w:t>
      </w:r>
      <w:r w:rsidR="00544099" w:rsidRPr="009B605C">
        <w:rPr>
          <w:rFonts w:ascii="Cambria" w:eastAsiaTheme="minorEastAsia" w:hAnsi="Cambria"/>
        </w:rPr>
        <w:lastRenderedPageBreak/>
        <w:t>of 2022 Russia-Ukraine military conflict and the subsequent international sanctions.</w:t>
      </w:r>
      <w:r w:rsidR="0041415E" w:rsidRPr="009B605C">
        <w:rPr>
          <w:rFonts w:ascii="Cambria" w:eastAsiaTheme="minorEastAsia" w:hAnsi="Cambria"/>
        </w:rPr>
        <w:t xml:space="preserve"> </w:t>
      </w:r>
      <w:r w:rsidR="003A5523" w:rsidRPr="009B605C">
        <w:rPr>
          <w:rFonts w:ascii="Cambria" w:eastAsiaTheme="minorEastAsia" w:hAnsi="Cambria"/>
        </w:rPr>
        <w:t xml:space="preserve">Actually, the Russia-Ukraine conflict in 2022 is reflected in market volatility, particularly in Russia, which experienced a sharp dip and subsequent recovery in stock prices. </w:t>
      </w:r>
      <w:r w:rsidR="0041415E" w:rsidRPr="009B605C">
        <w:rPr>
          <w:rFonts w:ascii="Cambria" w:eastAsiaTheme="minorEastAsia" w:hAnsi="Cambria"/>
        </w:rPr>
        <w:t xml:space="preserve">Other BRICS markets also show sensitivity to this geopolitical instability, as the conflict has led to economic disruptions and heightened uncertainty across the emerging markets </w:t>
      </w:r>
      <w:r w:rsidR="003A5523" w:rsidRPr="009B605C">
        <w:rPr>
          <w:rFonts w:ascii="Cambria" w:eastAsiaTheme="minorEastAsia" w:hAnsi="Cambria"/>
        </w:rPr>
        <w:t>(</w:t>
      </w:r>
      <w:proofErr w:type="spellStart"/>
      <w:r w:rsidR="003A5523" w:rsidRPr="009B605C">
        <w:rPr>
          <w:rFonts w:ascii="Cambria" w:eastAsiaTheme="minorEastAsia" w:hAnsi="Cambria"/>
        </w:rPr>
        <w:t>Karamti</w:t>
      </w:r>
      <w:proofErr w:type="spellEnd"/>
      <w:r w:rsidR="003A5523" w:rsidRPr="009B605C">
        <w:rPr>
          <w:rFonts w:ascii="Cambria" w:eastAsiaTheme="minorEastAsia" w:hAnsi="Cambria"/>
        </w:rPr>
        <w:t xml:space="preserve"> and </w:t>
      </w:r>
      <w:proofErr w:type="spellStart"/>
      <w:r w:rsidR="003A5523" w:rsidRPr="009B605C">
        <w:rPr>
          <w:rFonts w:ascii="Cambria" w:eastAsiaTheme="minorEastAsia" w:hAnsi="Cambria"/>
        </w:rPr>
        <w:t>Jeribi</w:t>
      </w:r>
      <w:proofErr w:type="spellEnd"/>
      <w:r w:rsidR="003A5523" w:rsidRPr="009B605C">
        <w:rPr>
          <w:rFonts w:ascii="Cambria" w:eastAsiaTheme="minorEastAsia" w:hAnsi="Cambria"/>
        </w:rPr>
        <w:t xml:space="preserve">, 2023). </w:t>
      </w:r>
      <w:r w:rsidR="00AC4938" w:rsidRPr="009B605C">
        <w:rPr>
          <w:rFonts w:ascii="Cambria" w:eastAsiaTheme="minorEastAsia" w:hAnsi="Cambria"/>
        </w:rPr>
        <w:t xml:space="preserve">Nonetheless, gold prices exhibit a steady increase, with noticeable peaks around mid-2015 and 2020, reflecting their safe-haven status during uncertain times (Baur and McDermott, 2010; Mensi et al., 2022; Xu and </w:t>
      </w:r>
      <w:proofErr w:type="spellStart"/>
      <w:r w:rsidR="00AC4938" w:rsidRPr="009B605C">
        <w:rPr>
          <w:rFonts w:ascii="Cambria" w:eastAsiaTheme="minorEastAsia" w:hAnsi="Cambria"/>
        </w:rPr>
        <w:t>Kinkyo</w:t>
      </w:r>
      <w:proofErr w:type="spellEnd"/>
      <w:r w:rsidR="00AC4938" w:rsidRPr="009B605C">
        <w:rPr>
          <w:rFonts w:ascii="Cambria" w:eastAsiaTheme="minorEastAsia" w:hAnsi="Cambria"/>
        </w:rPr>
        <w:t>, 2023). Furthermore, gold experienced a strong upsurge after the onset of the 2022 Russia-Ukraine military conflict, reaffirming its role as a safe-haven asset amid geopolitical-induced risks (see Qin et al., 2023; Biswas et al., 2024).</w:t>
      </w:r>
      <w:r w:rsidR="009F719F" w:rsidRPr="009B605C">
        <w:rPr>
          <w:rFonts w:ascii="Cambria" w:hAnsi="Cambria"/>
        </w:rPr>
        <w:t xml:space="preserve"> </w:t>
      </w:r>
      <w:r w:rsidR="009F719F" w:rsidRPr="009B605C">
        <w:rPr>
          <w:rFonts w:ascii="Cambria" w:eastAsiaTheme="minorEastAsia" w:hAnsi="Cambria"/>
        </w:rPr>
        <w:t>Such evidence provides further support for investigating the safe-haven properties of gold, particularly in relation to BRICS stocks during times of market turbulence.</w:t>
      </w:r>
    </w:p>
    <w:p w14:paraId="78969544" w14:textId="1972A428" w:rsidR="00717DF2" w:rsidRPr="009B605C" w:rsidRDefault="00717DF2"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[Figure 1]</w:t>
      </w:r>
    </w:p>
    <w:p w14:paraId="31CC5694" w14:textId="03E2ECFF" w:rsidR="00C058FF" w:rsidRPr="009B605C" w:rsidRDefault="00C058FF" w:rsidP="0087752F">
      <w:pPr>
        <w:spacing w:line="360" w:lineRule="auto"/>
        <w:jc w:val="both"/>
        <w:rPr>
          <w:rFonts w:ascii="Cambria" w:hAnsi="Cambria"/>
        </w:rPr>
      </w:pPr>
      <w:r w:rsidRPr="009B605C">
        <w:rPr>
          <w:rFonts w:ascii="Cambria" w:hAnsi="Cambria"/>
        </w:rPr>
        <w:t xml:space="preserve">Our cryptocurrency dataset is constructed </w:t>
      </w:r>
      <w:r w:rsidR="00563EB5" w:rsidRPr="009B605C">
        <w:rPr>
          <w:rFonts w:ascii="Cambria" w:hAnsi="Cambria"/>
        </w:rPr>
        <w:t xml:space="preserve">through </w:t>
      </w:r>
      <w:r w:rsidRPr="009B605C">
        <w:rPr>
          <w:rFonts w:ascii="Cambria" w:hAnsi="Cambria"/>
        </w:rPr>
        <w:t xml:space="preserve">a rigorous </w:t>
      </w:r>
      <w:r w:rsidR="007E3595" w:rsidRPr="009B605C">
        <w:rPr>
          <w:rFonts w:ascii="Cambria" w:hAnsi="Cambria"/>
        </w:rPr>
        <w:t>procedure</w:t>
      </w:r>
      <w:r w:rsidR="003E7282" w:rsidRPr="009B605C">
        <w:rPr>
          <w:rFonts w:ascii="Cambria" w:hAnsi="Cambria"/>
        </w:rPr>
        <w:t>, outlined as follows</w:t>
      </w:r>
      <w:r w:rsidRPr="009B605C">
        <w:rPr>
          <w:rFonts w:ascii="Cambria" w:hAnsi="Cambria"/>
        </w:rPr>
        <w:t xml:space="preserve"> </w:t>
      </w:r>
      <w:r w:rsidR="007424C2" w:rsidRPr="009B605C">
        <w:rPr>
          <w:rFonts w:ascii="Cambria" w:hAnsi="Cambria"/>
        </w:rPr>
        <w:t>(see, Enilov and Mishra, 2023)</w:t>
      </w:r>
      <w:r w:rsidRPr="009B605C">
        <w:rPr>
          <w:rFonts w:ascii="Cambria" w:hAnsi="Cambria"/>
        </w:rPr>
        <w:t>. First, we gather data on 9,</w:t>
      </w:r>
      <w:r w:rsidR="007E3595" w:rsidRPr="009B605C">
        <w:rPr>
          <w:rFonts w:ascii="Cambria" w:hAnsi="Cambria"/>
        </w:rPr>
        <w:t>581</w:t>
      </w:r>
      <w:r w:rsidRPr="009B605C">
        <w:rPr>
          <w:rFonts w:ascii="Cambria" w:hAnsi="Cambria"/>
        </w:rPr>
        <w:t xml:space="preserve"> cryptocurrencies from </w:t>
      </w:r>
      <w:r w:rsidR="007E3595" w:rsidRPr="009B605C">
        <w:rPr>
          <w:rFonts w:ascii="Cambria" w:hAnsi="Cambria"/>
        </w:rPr>
        <w:t>c</w:t>
      </w:r>
      <w:r w:rsidRPr="009B605C">
        <w:rPr>
          <w:rFonts w:ascii="Cambria" w:hAnsi="Cambria"/>
        </w:rPr>
        <w:t>oin</w:t>
      </w:r>
      <w:r w:rsidR="007E3595" w:rsidRPr="009B605C">
        <w:rPr>
          <w:rFonts w:ascii="Cambria" w:hAnsi="Cambria"/>
        </w:rPr>
        <w:t>m</w:t>
      </w:r>
      <w:r w:rsidRPr="009B605C">
        <w:rPr>
          <w:rFonts w:ascii="Cambria" w:hAnsi="Cambria"/>
        </w:rPr>
        <w:t>arket</w:t>
      </w:r>
      <w:r w:rsidR="007E3595" w:rsidRPr="009B605C">
        <w:rPr>
          <w:rFonts w:ascii="Cambria" w:hAnsi="Cambria"/>
        </w:rPr>
        <w:t>c</w:t>
      </w:r>
      <w:r w:rsidRPr="009B605C">
        <w:rPr>
          <w:rFonts w:ascii="Cambria" w:hAnsi="Cambria"/>
        </w:rPr>
        <w:t xml:space="preserve">ap.com, a </w:t>
      </w:r>
      <w:r w:rsidR="007424C2" w:rsidRPr="009B605C">
        <w:rPr>
          <w:rFonts w:ascii="Cambria" w:hAnsi="Cambria"/>
        </w:rPr>
        <w:t>comprehensive publicly available s</w:t>
      </w:r>
      <w:r w:rsidRPr="009B605C">
        <w:rPr>
          <w:rFonts w:ascii="Cambria" w:hAnsi="Cambria"/>
        </w:rPr>
        <w:t xml:space="preserve">ource for price and market capitalization </w:t>
      </w:r>
      <w:r w:rsidR="007424C2" w:rsidRPr="009B605C">
        <w:rPr>
          <w:rFonts w:ascii="Cambria" w:hAnsi="Cambria"/>
        </w:rPr>
        <w:t xml:space="preserve">data </w:t>
      </w:r>
      <w:r w:rsidRPr="009B605C">
        <w:rPr>
          <w:rFonts w:ascii="Cambria" w:hAnsi="Cambria"/>
        </w:rPr>
        <w:t>(</w:t>
      </w:r>
      <w:r w:rsidR="007E3595" w:rsidRPr="009B605C">
        <w:rPr>
          <w:rFonts w:ascii="Cambria" w:hAnsi="Cambria"/>
        </w:rPr>
        <w:t xml:space="preserve">see, </w:t>
      </w:r>
      <w:r w:rsidR="007424C2" w:rsidRPr="009B605C">
        <w:rPr>
          <w:rFonts w:ascii="Cambria" w:hAnsi="Cambria"/>
        </w:rPr>
        <w:t>Momtaz, 2021</w:t>
      </w:r>
      <w:r w:rsidR="007E3595" w:rsidRPr="009B605C">
        <w:rPr>
          <w:rFonts w:ascii="Cambria" w:hAnsi="Cambria"/>
        </w:rPr>
        <w:t>; Vidal-Tomás, 2022</w:t>
      </w:r>
      <w:r w:rsidRPr="009B605C">
        <w:rPr>
          <w:rFonts w:ascii="Cambria" w:hAnsi="Cambria"/>
        </w:rPr>
        <w:t xml:space="preserve">). This platform includes both active and defunct cryptocurrencies, </w:t>
      </w:r>
      <w:r w:rsidR="007424C2" w:rsidRPr="009B605C">
        <w:rPr>
          <w:rFonts w:ascii="Cambria" w:hAnsi="Cambria"/>
        </w:rPr>
        <w:t xml:space="preserve">hence, </w:t>
      </w:r>
      <w:r w:rsidRPr="009B605C">
        <w:rPr>
          <w:rFonts w:ascii="Cambria" w:hAnsi="Cambria"/>
        </w:rPr>
        <w:t>effectively reducing survivorship bias (Huang et al., 2022).</w:t>
      </w:r>
      <w:r w:rsidR="003734E1" w:rsidRPr="009B605C">
        <w:rPr>
          <w:rFonts w:ascii="Cambria" w:hAnsi="Cambria"/>
        </w:rPr>
        <w:t xml:space="preserve"> </w:t>
      </w:r>
      <w:r w:rsidR="007424C2" w:rsidRPr="009B605C">
        <w:rPr>
          <w:rFonts w:ascii="Cambria" w:hAnsi="Cambria"/>
        </w:rPr>
        <w:t>Second</w:t>
      </w:r>
      <w:r w:rsidRPr="009B605C">
        <w:rPr>
          <w:rFonts w:ascii="Cambria" w:hAnsi="Cambria"/>
        </w:rPr>
        <w:t xml:space="preserve">, we </w:t>
      </w:r>
      <w:r w:rsidR="007424C2" w:rsidRPr="009B605C">
        <w:rPr>
          <w:rFonts w:ascii="Cambria" w:hAnsi="Cambria"/>
        </w:rPr>
        <w:t>exclude</w:t>
      </w:r>
      <w:r w:rsidRPr="009B605C">
        <w:rPr>
          <w:rFonts w:ascii="Cambria" w:hAnsi="Cambria"/>
        </w:rPr>
        <w:t xml:space="preserve"> </w:t>
      </w:r>
      <w:r w:rsidR="00717DF2" w:rsidRPr="009B605C">
        <w:rPr>
          <w:rFonts w:ascii="Cambria" w:hAnsi="Cambria"/>
        </w:rPr>
        <w:t>any data points</w:t>
      </w:r>
      <w:r w:rsidRPr="009B605C">
        <w:rPr>
          <w:rFonts w:ascii="Cambria" w:hAnsi="Cambria"/>
        </w:rPr>
        <w:t xml:space="preserve"> with market capitalization</w:t>
      </w:r>
      <w:r w:rsidR="00717DF2" w:rsidRPr="009B605C">
        <w:rPr>
          <w:rFonts w:ascii="Cambria" w:hAnsi="Cambria"/>
        </w:rPr>
        <w:t xml:space="preserve"> of zero or less</w:t>
      </w:r>
      <w:r w:rsidRPr="009B605C">
        <w:rPr>
          <w:rFonts w:ascii="Cambria" w:hAnsi="Cambria"/>
        </w:rPr>
        <w:t xml:space="preserve">, as their inclusion could distort weight calculations in our index. </w:t>
      </w:r>
      <w:r w:rsidR="003734E1" w:rsidRPr="009B605C">
        <w:rPr>
          <w:rFonts w:ascii="Cambria" w:hAnsi="Cambria"/>
        </w:rPr>
        <w:t xml:space="preserve">Correspondingly, the price series associated with these excluded market capitalization values for each cryptocurrency asset have also been removed from the dataset. </w:t>
      </w:r>
      <w:r w:rsidR="0088263E" w:rsidRPr="009B605C">
        <w:rPr>
          <w:rFonts w:ascii="Cambria" w:hAnsi="Cambria"/>
        </w:rPr>
        <w:t>Third, price data with negative or zero values has been excluded, as well, their corresponding market capitalization values. Fourth</w:t>
      </w:r>
      <w:r w:rsidR="00717DF2" w:rsidRPr="009B605C">
        <w:rPr>
          <w:rFonts w:ascii="Cambria" w:hAnsi="Cambria"/>
        </w:rPr>
        <w:t xml:space="preserve">, </w:t>
      </w:r>
      <w:r w:rsidRPr="009B605C">
        <w:rPr>
          <w:rFonts w:ascii="Cambria" w:hAnsi="Cambria"/>
        </w:rPr>
        <w:t xml:space="preserve">stablecoins, as classified by </w:t>
      </w:r>
      <w:r w:rsidR="00717DF2" w:rsidRPr="009B605C">
        <w:rPr>
          <w:rFonts w:ascii="Cambria" w:hAnsi="Cambria"/>
        </w:rPr>
        <w:t>coinmarketcap.com</w:t>
      </w:r>
      <w:r w:rsidRPr="009B605C">
        <w:rPr>
          <w:rFonts w:ascii="Cambria" w:hAnsi="Cambria"/>
        </w:rPr>
        <w:t>, are removed due to their inherent stability mechanisms (see</w:t>
      </w:r>
      <w:r w:rsidR="00717DF2" w:rsidRPr="009B605C">
        <w:rPr>
          <w:rFonts w:ascii="Cambria" w:hAnsi="Cambria"/>
        </w:rPr>
        <w:t>,</w:t>
      </w:r>
      <w:r w:rsidRPr="009B605C">
        <w:rPr>
          <w:rFonts w:ascii="Cambria" w:hAnsi="Cambria"/>
        </w:rPr>
        <w:t xml:space="preserve"> </w:t>
      </w:r>
      <w:proofErr w:type="spellStart"/>
      <w:r w:rsidRPr="009B605C">
        <w:rPr>
          <w:rFonts w:ascii="Cambria" w:hAnsi="Cambria"/>
        </w:rPr>
        <w:t>Katsiampa</w:t>
      </w:r>
      <w:proofErr w:type="spellEnd"/>
      <w:r w:rsidRPr="009B605C">
        <w:rPr>
          <w:rFonts w:ascii="Cambria" w:hAnsi="Cambria"/>
        </w:rPr>
        <w:t xml:space="preserve"> et al., 2022</w:t>
      </w:r>
      <w:r w:rsidR="00F561D1" w:rsidRPr="009B605C">
        <w:rPr>
          <w:rFonts w:ascii="Cambria" w:hAnsi="Cambria"/>
        </w:rPr>
        <w:t>; Hui et al., 2025</w:t>
      </w:r>
      <w:r w:rsidRPr="009B605C">
        <w:rPr>
          <w:rFonts w:ascii="Cambria" w:hAnsi="Cambria"/>
        </w:rPr>
        <w:t>).</w:t>
      </w:r>
      <w:r w:rsidR="0075131C" w:rsidRPr="009B605C">
        <w:rPr>
          <w:rFonts w:ascii="Cambria" w:hAnsi="Cambria"/>
        </w:rPr>
        <w:t xml:space="preserve"> </w:t>
      </w:r>
      <w:r w:rsidRPr="009B605C">
        <w:rPr>
          <w:rFonts w:ascii="Cambria" w:hAnsi="Cambria"/>
        </w:rPr>
        <w:t xml:space="preserve">As a result of this selection process, our sample captures </w:t>
      </w:r>
      <w:r w:rsidR="0088263E" w:rsidRPr="009B605C">
        <w:rPr>
          <w:rFonts w:ascii="Cambria" w:hAnsi="Cambria"/>
        </w:rPr>
        <w:t>93</w:t>
      </w:r>
      <w:r w:rsidRPr="009B605C">
        <w:rPr>
          <w:rFonts w:ascii="Cambria" w:hAnsi="Cambria"/>
        </w:rPr>
        <w:t xml:space="preserve">% of the total cryptocurrency market capitalization as of </w:t>
      </w:r>
      <w:r w:rsidR="003734E1" w:rsidRPr="009B605C">
        <w:rPr>
          <w:rFonts w:ascii="Cambria" w:hAnsi="Cambria"/>
        </w:rPr>
        <w:t>27</w:t>
      </w:r>
      <w:r w:rsidR="003734E1" w:rsidRPr="009B605C">
        <w:rPr>
          <w:rFonts w:ascii="Cambria" w:hAnsi="Cambria"/>
          <w:vertAlign w:val="superscript"/>
        </w:rPr>
        <w:t>th</w:t>
      </w:r>
      <w:r w:rsidR="003734E1" w:rsidRPr="009B605C">
        <w:rPr>
          <w:rFonts w:ascii="Cambria" w:hAnsi="Cambria"/>
        </w:rPr>
        <w:t xml:space="preserve"> September 2024</w:t>
      </w:r>
      <w:r w:rsidRPr="009B605C">
        <w:rPr>
          <w:rFonts w:ascii="Cambria" w:hAnsi="Cambria"/>
        </w:rPr>
        <w:t xml:space="preserve">. The final dataset consists of daily closing prices for </w:t>
      </w:r>
      <w:r w:rsidR="007E3595" w:rsidRPr="009B605C">
        <w:rPr>
          <w:rFonts w:ascii="Cambria" w:hAnsi="Cambria"/>
        </w:rPr>
        <w:t>9,468</w:t>
      </w:r>
      <w:r w:rsidRPr="009B605C">
        <w:rPr>
          <w:rFonts w:ascii="Cambria" w:hAnsi="Cambria"/>
        </w:rPr>
        <w:t xml:space="preserve"> </w:t>
      </w:r>
      <w:r w:rsidR="0075131C" w:rsidRPr="009B605C">
        <w:rPr>
          <w:rFonts w:ascii="Cambria" w:hAnsi="Cambria"/>
        </w:rPr>
        <w:t xml:space="preserve">active and defunct </w:t>
      </w:r>
      <w:r w:rsidRPr="009B605C">
        <w:rPr>
          <w:rFonts w:ascii="Cambria" w:hAnsi="Cambria"/>
        </w:rPr>
        <w:t>cryptocurrencies</w:t>
      </w:r>
      <w:r w:rsidR="0075131C" w:rsidRPr="009B605C">
        <w:rPr>
          <w:rFonts w:ascii="Cambria" w:hAnsi="Cambria"/>
        </w:rPr>
        <w:t>, which are used in the calculation of the Global Cryptocurrency Index (Crypto). Consistent with the other variables, the Crypto series are calculated as log returns.</w:t>
      </w:r>
    </w:p>
    <w:p w14:paraId="25AA88AD" w14:textId="30737B8F" w:rsidR="006E67DB" w:rsidRPr="009B605C" w:rsidRDefault="00BB15D3" w:rsidP="0087752F">
      <w:pPr>
        <w:spacing w:line="360" w:lineRule="auto"/>
        <w:ind w:firstLine="720"/>
        <w:jc w:val="both"/>
        <w:rPr>
          <w:rFonts w:ascii="Cambria" w:hAnsi="Cambria"/>
        </w:rPr>
      </w:pPr>
      <w:r w:rsidRPr="009B605C">
        <w:rPr>
          <w:rFonts w:ascii="Cambria" w:hAnsi="Cambria"/>
        </w:rPr>
        <w:lastRenderedPageBreak/>
        <w:t xml:space="preserve">Table 1 </w:t>
      </w:r>
      <w:r w:rsidR="0069692D" w:rsidRPr="009B605C">
        <w:rPr>
          <w:rFonts w:ascii="Cambria" w:hAnsi="Cambria"/>
        </w:rPr>
        <w:t>provides</w:t>
      </w:r>
      <w:r w:rsidRPr="009B605C">
        <w:rPr>
          <w:rFonts w:ascii="Cambria" w:hAnsi="Cambria"/>
        </w:rPr>
        <w:t xml:space="preserve"> the descriptive statistics for </w:t>
      </w:r>
      <w:r w:rsidR="00F32DFD" w:rsidRPr="009B605C">
        <w:rPr>
          <w:rFonts w:ascii="Cambria" w:hAnsi="Cambria"/>
        </w:rPr>
        <w:t xml:space="preserve">the price returns of </w:t>
      </w:r>
      <w:r w:rsidRPr="009B605C">
        <w:rPr>
          <w:rFonts w:ascii="Cambria" w:hAnsi="Cambria"/>
        </w:rPr>
        <w:t xml:space="preserve">stocks, gold and Crypto series before and after the 2022 Russia–Ukraine conflict announcement in Panels A and B, respectively. </w:t>
      </w:r>
      <w:r w:rsidR="00F32DFD" w:rsidRPr="009B605C">
        <w:rPr>
          <w:rFonts w:ascii="Cambria" w:hAnsi="Cambria"/>
        </w:rPr>
        <w:t>Focusing on the results from Panel A, Crypto and gold market</w:t>
      </w:r>
      <w:r w:rsidR="000E3AF7" w:rsidRPr="009B605C">
        <w:rPr>
          <w:rFonts w:ascii="Cambria" w:hAnsi="Cambria"/>
        </w:rPr>
        <w:t>s</w:t>
      </w:r>
      <w:r w:rsidR="00F32DFD" w:rsidRPr="009B605C">
        <w:rPr>
          <w:rFonts w:ascii="Cambria" w:hAnsi="Cambria"/>
        </w:rPr>
        <w:t xml:space="preserve"> provide the highest and lowest average returns, respectively. </w:t>
      </w:r>
      <w:r w:rsidR="000E3AF7" w:rsidRPr="009B605C">
        <w:rPr>
          <w:rFonts w:ascii="Cambria" w:hAnsi="Cambria"/>
        </w:rPr>
        <w:t>After the 2022 Russia–Ukraine conflict announcement, Crypto maintains its leading position as provider of the highest average returns, whereas t</w:t>
      </w:r>
      <w:r w:rsidR="00F32DFD" w:rsidRPr="009B605C">
        <w:rPr>
          <w:rFonts w:ascii="Cambria" w:hAnsi="Cambria"/>
        </w:rPr>
        <w:t xml:space="preserve">he average returns are negative </w:t>
      </w:r>
      <w:r w:rsidR="000E3AF7" w:rsidRPr="009B605C">
        <w:rPr>
          <w:rFonts w:ascii="Cambria" w:hAnsi="Cambria"/>
        </w:rPr>
        <w:t xml:space="preserve">only </w:t>
      </w:r>
      <w:r w:rsidR="00F32DFD" w:rsidRPr="009B605C">
        <w:rPr>
          <w:rFonts w:ascii="Cambria" w:hAnsi="Cambria"/>
        </w:rPr>
        <w:t>for</w:t>
      </w:r>
      <w:r w:rsidR="000E3AF7" w:rsidRPr="009B605C">
        <w:rPr>
          <w:rFonts w:ascii="Cambria" w:hAnsi="Cambria"/>
        </w:rPr>
        <w:t xml:space="preserve"> the</w:t>
      </w:r>
      <w:r w:rsidR="00F32DFD" w:rsidRPr="009B605C">
        <w:rPr>
          <w:rFonts w:ascii="Cambria" w:hAnsi="Cambria"/>
        </w:rPr>
        <w:t xml:space="preserve"> </w:t>
      </w:r>
      <w:r w:rsidR="000E3AF7" w:rsidRPr="009B605C">
        <w:rPr>
          <w:rFonts w:ascii="Cambria" w:hAnsi="Cambria"/>
        </w:rPr>
        <w:t xml:space="preserve">Chinese market. The latter evidence aligns with </w:t>
      </w:r>
      <w:r w:rsidR="00DB177B" w:rsidRPr="009B605C">
        <w:rPr>
          <w:rFonts w:ascii="Cambria" w:hAnsi="Cambria"/>
        </w:rPr>
        <w:t xml:space="preserve">the past </w:t>
      </w:r>
      <w:r w:rsidR="00922D9B" w:rsidRPr="009B605C">
        <w:rPr>
          <w:rFonts w:ascii="Cambria" w:hAnsi="Cambria"/>
        </w:rPr>
        <w:t>studies</w:t>
      </w:r>
      <w:r w:rsidR="000E3AF7" w:rsidRPr="009B605C">
        <w:rPr>
          <w:rFonts w:ascii="Cambria" w:hAnsi="Cambria"/>
        </w:rPr>
        <w:t>, which show that the Chinese market exhibits downward trends in the post-conflict announcement period</w:t>
      </w:r>
      <w:r w:rsidR="00DB177B" w:rsidRPr="009B605C">
        <w:rPr>
          <w:rFonts w:ascii="Cambria" w:hAnsi="Cambria"/>
        </w:rPr>
        <w:t xml:space="preserve"> (see, </w:t>
      </w:r>
      <w:r w:rsidR="00922D9B" w:rsidRPr="009B605C">
        <w:rPr>
          <w:rFonts w:ascii="Cambria" w:hAnsi="Cambria"/>
        </w:rPr>
        <w:t>Wang et al., 2023</w:t>
      </w:r>
      <w:r w:rsidR="00DB177B" w:rsidRPr="009B605C">
        <w:rPr>
          <w:rFonts w:ascii="Cambria" w:hAnsi="Cambria"/>
        </w:rPr>
        <w:t>)</w:t>
      </w:r>
      <w:r w:rsidR="000E3AF7" w:rsidRPr="009B605C">
        <w:rPr>
          <w:rFonts w:ascii="Cambria" w:hAnsi="Cambria"/>
        </w:rPr>
        <w:t>.</w:t>
      </w:r>
      <w:r w:rsidR="00090BB6" w:rsidRPr="009B605C">
        <w:rPr>
          <w:rFonts w:ascii="Cambria" w:hAnsi="Cambria"/>
        </w:rPr>
        <w:t xml:space="preserve"> Moreover, gold has the lowest standard deviation of 0.899, whereas the highest standard deviation belongs to Crypto, of 4.753, in the pre-conflict times. After the onset of the conflict, the Crypto remains the most volatile asset across all markets in the sample,</w:t>
      </w:r>
      <w:r w:rsidR="00720CAD" w:rsidRPr="009B605C">
        <w:rPr>
          <w:rFonts w:ascii="Cambria" w:hAnsi="Cambria"/>
        </w:rPr>
        <w:t xml:space="preserve"> with standard deviation of 16.202,</w:t>
      </w:r>
      <w:r w:rsidR="00090BB6" w:rsidRPr="009B605C">
        <w:rPr>
          <w:rFonts w:ascii="Cambria" w:hAnsi="Cambria"/>
        </w:rPr>
        <w:t xml:space="preserve"> whereas the least </w:t>
      </w:r>
      <w:r w:rsidR="00720CAD" w:rsidRPr="009B605C">
        <w:rPr>
          <w:rFonts w:ascii="Cambria" w:hAnsi="Cambria"/>
        </w:rPr>
        <w:t>volatile asset is Indian stocks, with standard deviation of 0.848, followed by gold of 0.868.</w:t>
      </w:r>
      <w:r w:rsidR="002050A2" w:rsidRPr="009B605C">
        <w:rPr>
          <w:rFonts w:ascii="Cambria" w:hAnsi="Cambria"/>
        </w:rPr>
        <w:t xml:space="preserve"> </w:t>
      </w:r>
      <w:r w:rsidR="00B91233" w:rsidRPr="009B605C">
        <w:rPr>
          <w:rFonts w:ascii="Cambria" w:hAnsi="Cambria"/>
        </w:rPr>
        <w:t xml:space="preserve">Overall, the cryptocurrency market </w:t>
      </w:r>
      <w:r w:rsidR="002050A2" w:rsidRPr="009B605C">
        <w:rPr>
          <w:rFonts w:ascii="Cambria" w:hAnsi="Cambria"/>
        </w:rPr>
        <w:t xml:space="preserve">is found to be the most volatile market in both sub-periods, whereas gold market </w:t>
      </w:r>
      <w:r w:rsidR="00EA329E" w:rsidRPr="009B605C">
        <w:rPr>
          <w:rFonts w:ascii="Cambria" w:hAnsi="Cambria"/>
        </w:rPr>
        <w:t>provides</w:t>
      </w:r>
      <w:r w:rsidR="002050A2" w:rsidRPr="009B605C">
        <w:rPr>
          <w:rFonts w:ascii="Cambria" w:hAnsi="Cambria"/>
        </w:rPr>
        <w:t xml:space="preserve"> reasonable returns with lower risk, consistent with Salisu et al. (2021).</w:t>
      </w:r>
      <w:r w:rsidR="006E67DB" w:rsidRPr="009B605C">
        <w:rPr>
          <w:rFonts w:ascii="Cambria" w:hAnsi="Cambria"/>
        </w:rPr>
        <w:t xml:space="preserve"> The skewness is predominantly negative, while the kurtosis is much above three suggesting the existence of non-normality in our data series. Last but not least, the test statistics of the augmented Dickey–Fuller (ADF) (Dickey and Fuller, 1979) and Fourier ADF by Enders and Lee (2012) unit root tests are statistically significant at 1%, indicating stationarity for all series.</w:t>
      </w:r>
    </w:p>
    <w:p w14:paraId="64B18E85" w14:textId="7F335EA0" w:rsidR="00BB15D3" w:rsidRPr="009B605C" w:rsidRDefault="00BB15D3"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1]</w:t>
      </w:r>
    </w:p>
    <w:p w14:paraId="4F32DF07" w14:textId="04D0AD2C" w:rsidR="004A6049" w:rsidRPr="009B605C" w:rsidRDefault="0069692D" w:rsidP="0087752F">
      <w:pPr>
        <w:spacing w:line="360" w:lineRule="auto"/>
        <w:jc w:val="both"/>
        <w:rPr>
          <w:rFonts w:ascii="Cambria" w:hAnsi="Cambria"/>
        </w:rPr>
      </w:pPr>
      <w:r w:rsidRPr="009B605C">
        <w:rPr>
          <w:rFonts w:ascii="Cambria" w:hAnsi="Cambria"/>
        </w:rPr>
        <w:t xml:space="preserve">Table 2 presents the correlation coefficients between </w:t>
      </w:r>
      <w:r w:rsidR="0061144F" w:rsidRPr="009B605C">
        <w:rPr>
          <w:rFonts w:ascii="Cambria" w:hAnsi="Cambria"/>
        </w:rPr>
        <w:t>Crypto, gold and BRICS stocks</w:t>
      </w:r>
      <w:r w:rsidRPr="009B605C">
        <w:rPr>
          <w:rFonts w:ascii="Cambria" w:hAnsi="Cambria"/>
        </w:rPr>
        <w:t xml:space="preserve">, </w:t>
      </w:r>
      <w:r w:rsidR="0061144F" w:rsidRPr="009B605C">
        <w:rPr>
          <w:rFonts w:ascii="Cambria" w:hAnsi="Cambria"/>
        </w:rPr>
        <w:t xml:space="preserve">reflecting the </w:t>
      </w:r>
      <w:r w:rsidR="0020746D" w:rsidRPr="009B605C">
        <w:rPr>
          <w:rFonts w:ascii="Cambria" w:hAnsi="Cambria"/>
        </w:rPr>
        <w:t xml:space="preserve">pre- and post-conflict announcement </w:t>
      </w:r>
      <w:r w:rsidR="0061144F" w:rsidRPr="009B605C">
        <w:rPr>
          <w:rFonts w:ascii="Cambria" w:hAnsi="Cambria"/>
        </w:rPr>
        <w:t>periods</w:t>
      </w:r>
      <w:r w:rsidRPr="009B605C">
        <w:rPr>
          <w:rFonts w:ascii="Cambria" w:hAnsi="Cambria"/>
        </w:rPr>
        <w:t xml:space="preserve">. </w:t>
      </w:r>
      <w:r w:rsidR="00985F69" w:rsidRPr="009B605C">
        <w:rPr>
          <w:rFonts w:ascii="Cambria" w:hAnsi="Cambria"/>
        </w:rPr>
        <w:t>In the pre-conflict times, it can be noticed that gold serves as hedge for Russia and India stock markets, whereas Crypto acts as hedge for Russian market. In fact, gold is less connected than Crypto for all markets but Chinese one before the onset of the conflict. This finding suggests that gold serves as better hedge than Crypto for all BRICS stocks but Chinese market. It is somewhat contradictory to the findings of Shahzad et al. (2022), who claim that gold have higher and more stable diversification benefits in China than Bitcoin itself.</w:t>
      </w:r>
      <w:r w:rsidR="00A75EDB" w:rsidRPr="009B605C">
        <w:rPr>
          <w:rFonts w:ascii="Cambria" w:hAnsi="Cambria"/>
        </w:rPr>
        <w:t xml:space="preserve"> After the conflict announcement, it can be noticed that gold has increased its correlation with the BRICS stocks, showing all positive coefficients, compared to the pre-conflict times. This finding suggests that the conflict potentially weaken the safe haven properties of gold </w:t>
      </w:r>
      <w:r w:rsidR="00A75EDB" w:rsidRPr="009B605C">
        <w:rPr>
          <w:rFonts w:ascii="Cambria" w:hAnsi="Cambria"/>
        </w:rPr>
        <w:lastRenderedPageBreak/>
        <w:t xml:space="preserve">(see, </w:t>
      </w:r>
      <w:r w:rsidR="00607114" w:rsidRPr="009B605C">
        <w:rPr>
          <w:rFonts w:ascii="Cambria" w:eastAsiaTheme="minorEastAsia" w:hAnsi="Cambria"/>
        </w:rPr>
        <w:t>Naeem</w:t>
      </w:r>
      <w:r w:rsidR="00607114" w:rsidRPr="009B605C">
        <w:rPr>
          <w:rFonts w:ascii="Cambria" w:hAnsi="Cambria"/>
        </w:rPr>
        <w:t xml:space="preserve"> </w:t>
      </w:r>
      <w:r w:rsidR="00A75EDB" w:rsidRPr="009B605C">
        <w:rPr>
          <w:rFonts w:ascii="Cambria" w:hAnsi="Cambria"/>
        </w:rPr>
        <w:t>et al., 20</w:t>
      </w:r>
      <w:r w:rsidR="00607114" w:rsidRPr="009B605C">
        <w:rPr>
          <w:rFonts w:ascii="Cambria" w:hAnsi="Cambria"/>
        </w:rPr>
        <w:t>24</w:t>
      </w:r>
      <w:r w:rsidR="00A75EDB" w:rsidRPr="009B605C">
        <w:rPr>
          <w:rFonts w:ascii="Cambria" w:hAnsi="Cambria"/>
        </w:rPr>
        <w:t xml:space="preserve">). </w:t>
      </w:r>
      <w:r w:rsidR="00607114" w:rsidRPr="009B605C">
        <w:rPr>
          <w:rFonts w:ascii="Cambria" w:hAnsi="Cambria"/>
        </w:rPr>
        <w:t>Compared to gold, Crypto is found to be less connected with all stock markets but Brazil, implying that cryptocurrency market may serve as a better safe haven than gold in times of geopolitical uncertainty, such as the 2022 Russia-Ukraine military conflict.</w:t>
      </w:r>
      <w:r w:rsidR="0023568C" w:rsidRPr="009B605C">
        <w:rPr>
          <w:rFonts w:ascii="Cambria" w:hAnsi="Cambria"/>
        </w:rPr>
        <w:t xml:space="preserve"> </w:t>
      </w:r>
      <w:r w:rsidR="004A6049" w:rsidRPr="009B605C">
        <w:rPr>
          <w:rFonts w:ascii="Cambria" w:hAnsi="Cambria"/>
        </w:rPr>
        <w:t>This finding is somewhat consistent with Rizvi et al. (2022) and Zheng et al. (2023), who suggest that cryptocurrencies have become a preferred choice for investors amid bearish trends, positioning them as safe haven assets.</w:t>
      </w:r>
    </w:p>
    <w:p w14:paraId="7CC2285C" w14:textId="33C3440A" w:rsidR="00895903" w:rsidRPr="009B605C" w:rsidRDefault="00895903" w:rsidP="0087752F">
      <w:pPr>
        <w:spacing w:line="360" w:lineRule="auto"/>
        <w:jc w:val="both"/>
        <w:rPr>
          <w:rFonts w:ascii="Cambria" w:hAnsi="Cambria"/>
        </w:rPr>
      </w:pPr>
      <w:r w:rsidRPr="009B605C">
        <w:rPr>
          <w:rFonts w:ascii="Cambria" w:hAnsi="Cambria"/>
        </w:rPr>
        <w:tab/>
        <w:t xml:space="preserve">The correlation results bring important implications for conservative and speculative investors. </w:t>
      </w:r>
      <w:r w:rsidR="002A3948" w:rsidRPr="009B605C">
        <w:rPr>
          <w:rFonts w:ascii="Cambria" w:hAnsi="Cambria"/>
        </w:rPr>
        <w:t>In fact, c</w:t>
      </w:r>
      <w:r w:rsidRPr="009B605C">
        <w:rPr>
          <w:rFonts w:ascii="Cambria" w:hAnsi="Cambria"/>
        </w:rPr>
        <w:t xml:space="preserve">ryptocurrencies show slightly higher correlations with </w:t>
      </w:r>
      <w:r w:rsidR="002A3948" w:rsidRPr="009B605C">
        <w:rPr>
          <w:rFonts w:ascii="Cambria" w:hAnsi="Cambria"/>
        </w:rPr>
        <w:t>most</w:t>
      </w:r>
      <w:r w:rsidRPr="009B605C">
        <w:rPr>
          <w:rFonts w:ascii="Cambria" w:hAnsi="Cambria"/>
        </w:rPr>
        <w:t xml:space="preserve"> BRICS markets, </w:t>
      </w:r>
      <w:r w:rsidR="002A3948" w:rsidRPr="009B605C">
        <w:rPr>
          <w:rFonts w:ascii="Cambria" w:hAnsi="Cambria"/>
        </w:rPr>
        <w:t>except</w:t>
      </w:r>
      <w:r w:rsidRPr="009B605C">
        <w:rPr>
          <w:rFonts w:ascii="Cambria" w:hAnsi="Cambria"/>
        </w:rPr>
        <w:t xml:space="preserve"> Russia, </w:t>
      </w:r>
      <w:r w:rsidR="002A3948" w:rsidRPr="009B605C">
        <w:rPr>
          <w:rFonts w:ascii="Cambria" w:hAnsi="Cambria"/>
        </w:rPr>
        <w:t xml:space="preserve">during the conflict times </w:t>
      </w:r>
      <w:r w:rsidRPr="009B605C">
        <w:rPr>
          <w:rFonts w:ascii="Cambria" w:hAnsi="Cambria"/>
        </w:rPr>
        <w:t>indicating some degree of relationship between crypto assets and these economies, though still weak. These weak correlations suggest that, while not a perfect hedge, cryptocurrencies may be used as a speculative asset to capitalize on price movements independent of traditional markets.</w:t>
      </w:r>
      <w:r w:rsidR="002A3948" w:rsidRPr="009B605C">
        <w:rPr>
          <w:rFonts w:ascii="Cambria" w:hAnsi="Cambria"/>
        </w:rPr>
        <w:t xml:space="preserve"> For conservative investors, the low correlations suggest that gold will likely remain a preferred asset during times of geopolitical instability, particularly with ongoing tensions involving Russia and China. However, the decentralized nature of cryptocurrencies might be considered a supplementary hedge in the future, though with more caution. On the other hand, speculative investors may find the low correlation between crypto assets and traditional markets appealing, as it presents an opportunity to exploit volatility in different assets during market stress.</w:t>
      </w:r>
    </w:p>
    <w:p w14:paraId="6C7C8EB5" w14:textId="5EBD4015" w:rsidR="0069692D" w:rsidRPr="009B605C" w:rsidRDefault="0069692D"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2]</w:t>
      </w:r>
    </w:p>
    <w:p w14:paraId="3D0DBEE4" w14:textId="4332B8C2" w:rsidR="002769C8" w:rsidRPr="009B605C" w:rsidRDefault="000C667A" w:rsidP="0087752F">
      <w:pPr>
        <w:pStyle w:val="ListParagraph"/>
        <w:spacing w:after="120" w:line="360" w:lineRule="auto"/>
        <w:ind w:left="714" w:hanging="357"/>
        <w:jc w:val="both"/>
        <w:rPr>
          <w:rFonts w:ascii="Cambria" w:eastAsiaTheme="minorHAnsi" w:hAnsi="Cambria"/>
          <w:b/>
          <w:sz w:val="28"/>
          <w:szCs w:val="28"/>
        </w:rPr>
      </w:pPr>
      <w:r w:rsidRPr="009B605C">
        <w:rPr>
          <w:rFonts w:ascii="Cambria" w:hAnsi="Cambria"/>
          <w:b/>
          <w:sz w:val="28"/>
          <w:szCs w:val="28"/>
        </w:rPr>
        <w:t>4</w:t>
      </w:r>
      <w:r w:rsidR="002769C8" w:rsidRPr="009B605C">
        <w:rPr>
          <w:rFonts w:ascii="Cambria" w:hAnsi="Cambria"/>
          <w:b/>
          <w:sz w:val="28"/>
          <w:szCs w:val="28"/>
        </w:rPr>
        <w:t>. Empirical results</w:t>
      </w:r>
    </w:p>
    <w:p w14:paraId="40FCF32F" w14:textId="2C292A14" w:rsidR="00492B2F" w:rsidRPr="009B605C" w:rsidRDefault="000C667A" w:rsidP="0087752F">
      <w:pPr>
        <w:spacing w:before="160" w:after="40" w:line="360" w:lineRule="auto"/>
        <w:rPr>
          <w:rFonts w:ascii="Cambria" w:hAnsi="Cambria"/>
          <w:b/>
          <w:bCs/>
        </w:rPr>
      </w:pPr>
      <w:r w:rsidRPr="009B605C">
        <w:rPr>
          <w:rFonts w:ascii="Cambria" w:hAnsi="Cambria"/>
          <w:b/>
          <w:bCs/>
        </w:rPr>
        <w:t>4</w:t>
      </w:r>
      <w:r w:rsidR="00492B2F" w:rsidRPr="009B605C">
        <w:rPr>
          <w:rFonts w:ascii="Cambria" w:hAnsi="Cambria"/>
          <w:b/>
          <w:bCs/>
        </w:rPr>
        <w:t xml:space="preserve">.1. </w:t>
      </w:r>
      <w:r w:rsidR="0033688B" w:rsidRPr="009B605C">
        <w:rPr>
          <w:rFonts w:ascii="Cambria" w:hAnsi="Cambria"/>
          <w:b/>
          <w:bCs/>
        </w:rPr>
        <w:t>S</w:t>
      </w:r>
      <w:r w:rsidR="00E365E7" w:rsidRPr="009B605C">
        <w:rPr>
          <w:rFonts w:ascii="Cambria" w:hAnsi="Cambria"/>
          <w:b/>
          <w:bCs/>
        </w:rPr>
        <w:t xml:space="preserve">afe haven </w:t>
      </w:r>
      <w:r w:rsidR="00014D7F" w:rsidRPr="009B605C">
        <w:rPr>
          <w:rFonts w:ascii="Cambria" w:hAnsi="Cambria"/>
          <w:b/>
          <w:bCs/>
        </w:rPr>
        <w:t>characteristics</w:t>
      </w:r>
    </w:p>
    <w:p w14:paraId="0F75551E" w14:textId="012659F4" w:rsidR="00A465FC" w:rsidRPr="009B605C" w:rsidRDefault="00DD7817" w:rsidP="009B605C">
      <w:pPr>
        <w:spacing w:line="360" w:lineRule="auto"/>
        <w:jc w:val="both"/>
        <w:rPr>
          <w:rFonts w:ascii="Cambria" w:hAnsi="Cambria"/>
        </w:rPr>
      </w:pPr>
      <w:r w:rsidRPr="009B605C">
        <w:rPr>
          <w:rFonts w:ascii="Cambria" w:hAnsi="Cambria"/>
        </w:rPr>
        <w:t xml:space="preserve">In order to </w:t>
      </w:r>
      <w:r w:rsidR="006C561D" w:rsidRPr="009B605C">
        <w:rPr>
          <w:rFonts w:ascii="Cambria" w:hAnsi="Cambria"/>
        </w:rPr>
        <w:t>initially</w:t>
      </w:r>
      <w:r w:rsidR="00837BD3" w:rsidRPr="009B605C">
        <w:rPr>
          <w:rFonts w:ascii="Cambria" w:hAnsi="Cambria"/>
        </w:rPr>
        <w:t xml:space="preserve"> </w:t>
      </w:r>
      <w:r w:rsidRPr="009B605C">
        <w:rPr>
          <w:rFonts w:ascii="Cambria" w:hAnsi="Cambria"/>
        </w:rPr>
        <w:t>assess the safe haven (post-conflict announcement) and hedging (pre-conflict announcement) properties of cryptocurrenc</w:t>
      </w:r>
      <w:r w:rsidR="00A84E95" w:rsidRPr="009B605C">
        <w:rPr>
          <w:rFonts w:ascii="Cambria" w:hAnsi="Cambria"/>
        </w:rPr>
        <w:t>ies</w:t>
      </w:r>
      <w:r w:rsidRPr="009B605C">
        <w:rPr>
          <w:rFonts w:ascii="Cambria" w:hAnsi="Cambria"/>
        </w:rPr>
        <w:t xml:space="preserve"> and gold for BRICS stock returns, we consider the following model:</w:t>
      </w:r>
    </w:p>
    <w:bookmarkStart w:id="6" w:name="_Hlk118483710"/>
    <w:p w14:paraId="62059422" w14:textId="3343E585" w:rsidR="00767668" w:rsidRPr="009B605C" w:rsidRDefault="00000000" w:rsidP="0087752F">
      <w:pPr>
        <w:spacing w:before="160" w:after="160" w:line="360" w:lineRule="auto"/>
        <w:ind w:left="2160" w:firstLine="720"/>
        <w:jc w:val="both"/>
        <w:rPr>
          <w:rFonts w:ascii="Cambria" w:hAnsi="Cambria"/>
        </w:rPr>
      </w:pPr>
      <m:oMath>
        <m:sSub>
          <m:sSubPr>
            <m:ctrlPr>
              <w:rPr>
                <w:rFonts w:ascii="Cambria Math" w:hAnsi="Cambria Math"/>
                <w:i/>
              </w:rPr>
            </m:ctrlPr>
          </m:sSubPr>
          <m:e>
            <m:r>
              <w:rPr>
                <w:rFonts w:ascii="Cambria Math" w:hAnsi="Cambria Math"/>
              </w:rPr>
              <m:t>BRICS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SH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oMath>
      <w:r w:rsidR="00767668" w:rsidRPr="009B605C">
        <w:rPr>
          <w:rFonts w:ascii="Cambria" w:eastAsiaTheme="minorEastAsia" w:hAnsi="Cambria"/>
        </w:rPr>
        <w:t xml:space="preserve">, </w:t>
      </w:r>
      <w:r w:rsidR="00767668" w:rsidRPr="009B605C">
        <w:rPr>
          <w:rFonts w:ascii="Cambria" w:eastAsiaTheme="minorEastAsia" w:hAnsi="Cambria"/>
        </w:rPr>
        <w:tab/>
      </w:r>
      <w:r w:rsidR="00767668" w:rsidRPr="009B605C">
        <w:rPr>
          <w:rFonts w:ascii="Cambria" w:eastAsiaTheme="minorEastAsia" w:hAnsi="Cambria"/>
        </w:rPr>
        <w:tab/>
      </w:r>
      <w:r w:rsidR="00767668" w:rsidRPr="009B605C">
        <w:rPr>
          <w:rFonts w:ascii="Cambria" w:eastAsiaTheme="minorEastAsia" w:hAnsi="Cambria"/>
        </w:rPr>
        <w:tab/>
      </w:r>
      <w:r w:rsidR="008C7E75" w:rsidRPr="009B605C">
        <w:rPr>
          <w:rFonts w:ascii="Cambria" w:eastAsiaTheme="minorEastAsia" w:hAnsi="Cambria"/>
        </w:rPr>
        <w:tab/>
      </w:r>
      <w:r w:rsidR="00767668" w:rsidRPr="009B605C">
        <w:rPr>
          <w:rFonts w:ascii="Cambria" w:eastAsiaTheme="minorEastAsia" w:hAnsi="Cambria"/>
        </w:rPr>
        <w:t xml:space="preserve">  (</w:t>
      </w:r>
      <w:r w:rsidR="003239B5" w:rsidRPr="009B605C">
        <w:rPr>
          <w:rFonts w:ascii="Cambria" w:eastAsiaTheme="minorEastAsia" w:hAnsi="Cambria"/>
        </w:rPr>
        <w:t>16</w:t>
      </w:r>
      <w:r w:rsidR="00767668" w:rsidRPr="009B605C">
        <w:rPr>
          <w:rFonts w:ascii="Cambria" w:eastAsiaTheme="minorEastAsia" w:hAnsi="Cambria"/>
        </w:rPr>
        <w:t>)</w:t>
      </w:r>
    </w:p>
    <w:p w14:paraId="71BB5146" w14:textId="13FE380B" w:rsidR="00837BD3" w:rsidRPr="009B605C" w:rsidRDefault="00767668" w:rsidP="0087752F">
      <w:pPr>
        <w:spacing w:line="360" w:lineRule="auto"/>
        <w:jc w:val="both"/>
        <w:rPr>
          <w:rFonts w:ascii="Cambria" w:eastAsiaTheme="minorEastAsia" w:hAnsi="Cambria"/>
        </w:rPr>
      </w:pPr>
      <w:r w:rsidRPr="009B605C">
        <w:rPr>
          <w:rFonts w:ascii="Cambria" w:hAnsi="Cambria"/>
        </w:rPr>
        <w:t xml:space="preserve">where </w:t>
      </w:r>
      <m:oMath>
        <m:sSub>
          <m:sSubPr>
            <m:ctrlPr>
              <w:rPr>
                <w:rFonts w:ascii="Cambria Math" w:hAnsi="Cambria Math"/>
                <w:i/>
              </w:rPr>
            </m:ctrlPr>
          </m:sSubPr>
          <m:e>
            <m:r>
              <w:rPr>
                <w:rFonts w:ascii="Cambria Math" w:hAnsi="Cambria Math"/>
              </w:rPr>
              <m:t>BRICS</m:t>
            </m:r>
          </m:e>
          <m:sub>
            <m:r>
              <w:rPr>
                <w:rFonts w:ascii="Cambria Math" w:hAnsi="Cambria Math"/>
              </w:rPr>
              <m:t>t</m:t>
            </m:r>
          </m:sub>
        </m:sSub>
      </m:oMath>
      <w:r w:rsidRPr="009B605C">
        <w:rPr>
          <w:rFonts w:ascii="Cambria" w:hAnsi="Cambria"/>
        </w:rPr>
        <w:t xml:space="preserve"> </w:t>
      </w:r>
      <w:r w:rsidR="00586306" w:rsidRPr="009B605C">
        <w:rPr>
          <w:rFonts w:ascii="Cambria" w:eastAsiaTheme="minorEastAsia" w:hAnsi="Cambria"/>
        </w:rPr>
        <w:t>denotes</w:t>
      </w:r>
      <w:r w:rsidRPr="009B605C">
        <w:rPr>
          <w:rFonts w:ascii="Cambria" w:eastAsiaTheme="minorEastAsia" w:hAnsi="Cambria"/>
        </w:rPr>
        <w:t xml:space="preserve"> the</w:t>
      </w:r>
      <w:r w:rsidR="00586306" w:rsidRPr="009B605C">
        <w:rPr>
          <w:rFonts w:ascii="Cambria" w:eastAsiaTheme="minorEastAsia" w:hAnsi="Cambria"/>
        </w:rPr>
        <w:t xml:space="preserve"> stock returns</w:t>
      </w:r>
      <w:r w:rsidR="00C911B3" w:rsidRPr="009B605C">
        <w:rPr>
          <w:rFonts w:ascii="Cambria" w:eastAsiaTheme="minorEastAsia" w:hAnsi="Cambria"/>
        </w:rPr>
        <w:t xml:space="preserve"> at time </w:t>
      </w:r>
      <m:oMath>
        <m:r>
          <w:rPr>
            <w:rFonts w:ascii="Cambria Math" w:eastAsiaTheme="minorEastAsia" w:hAnsi="Cambria Math"/>
          </w:rPr>
          <m:t>t</m:t>
        </m:r>
      </m:oMath>
      <w:r w:rsidRPr="009B605C">
        <w:rPr>
          <w:rFonts w:ascii="Cambria" w:eastAsiaTheme="minorEastAsia" w:hAnsi="Cambria"/>
        </w:rPr>
        <w:t>,</w:t>
      </w:r>
      <w:r w:rsidR="00C911B3" w:rsidRPr="009B605C">
        <w:rPr>
          <w:rFonts w:ascii="Cambria" w:eastAsiaTheme="minorEastAsia" w:hAnsi="Cambria"/>
        </w:rPr>
        <w:t xml:space="preserve"> i.e., </w:t>
      </w:r>
      <m:oMath>
        <m:r>
          <w:rPr>
            <w:rFonts w:ascii="Cambria Math" w:eastAsiaTheme="minorEastAsia" w:hAnsi="Cambria Math"/>
          </w:rPr>
          <m:t>BRIC</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={Brazi</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,Russi</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,Indi</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,Chin</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 South Afric</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oMath>
      <w:r w:rsidR="00C911B3" w:rsidRPr="009B605C">
        <w:rPr>
          <w:rFonts w:ascii="Cambria" w:eastAsiaTheme="minorEastAsia" w:hAnsi="Cambr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SH</m:t>
            </m:r>
          </m:e>
          <m:sub>
            <m:r>
              <w:rPr>
                <w:rFonts w:ascii="Cambria Math" w:eastAsiaTheme="minorEastAsia" w:hAnsi="Cambria Math"/>
              </w:rPr>
              <m:t>t</m:t>
            </m:r>
          </m:sub>
        </m:sSub>
      </m:oMath>
      <w:r w:rsidR="008C7E75" w:rsidRPr="009B605C">
        <w:rPr>
          <w:rFonts w:ascii="Cambria" w:eastAsiaTheme="minorEastAsia" w:hAnsi="Cambria"/>
        </w:rPr>
        <w:t xml:space="preserve"> </w:t>
      </w:r>
      <w:r w:rsidR="00586306" w:rsidRPr="009B605C">
        <w:rPr>
          <w:rFonts w:ascii="Cambria" w:eastAsiaTheme="minorEastAsia" w:hAnsi="Cambria"/>
        </w:rPr>
        <w:t xml:space="preserve">refers to gold </w:t>
      </w:r>
      <w:r w:rsidR="008C7E75" w:rsidRPr="009B605C">
        <w:rPr>
          <w:rFonts w:ascii="Cambria" w:eastAsiaTheme="minorEastAsia" w:hAnsi="Cambria"/>
        </w:rPr>
        <w:t>and</w:t>
      </w:r>
      <w:r w:rsidR="00586306" w:rsidRPr="009B605C">
        <w:rPr>
          <w:rFonts w:ascii="Cambria" w:eastAsiaTheme="minorEastAsia" w:hAnsi="Cambria"/>
        </w:rPr>
        <w:t xml:space="preserve"> cryptocurrencies returns</w:t>
      </w:r>
      <w:r w:rsidRPr="009B605C">
        <w:rPr>
          <w:rFonts w:ascii="Cambria" w:eastAsiaTheme="minorEastAsia" w:hAnsi="Cambria"/>
        </w:rPr>
        <w:t xml:space="preserve"> at time </w:t>
      </w:r>
      <m:oMath>
        <m:r>
          <w:rPr>
            <w:rFonts w:ascii="Cambria Math" w:eastAsiaTheme="minorEastAsia" w:hAnsi="Cambria Math"/>
          </w:rPr>
          <m:t>t</m:t>
        </m:r>
      </m:oMath>
      <w:r w:rsidRPr="009B605C">
        <w:rPr>
          <w:rFonts w:ascii="Cambria" w:eastAsiaTheme="minorEastAsia" w:hAnsi="Cambria"/>
        </w:rPr>
        <w:t>,</w:t>
      </w:r>
      <w:r w:rsidR="008C7E75" w:rsidRPr="009B605C">
        <w:rPr>
          <w:rFonts w:ascii="Cambria" w:eastAsiaTheme="minorEastAsia" w:hAnsi="Cambria"/>
        </w:rPr>
        <w:t xml:space="preserve"> i.e., </w:t>
      </w:r>
      <m:oMath>
        <m:sSub>
          <m:sSubPr>
            <m:ctrlPr>
              <w:rPr>
                <w:rFonts w:ascii="Cambria Math" w:eastAsiaTheme="minorEastAsia" w:hAnsi="Cambria Math"/>
                <w:i/>
              </w:rPr>
            </m:ctrlPr>
          </m:sSubPr>
          <m:e>
            <m:r>
              <w:rPr>
                <w:rFonts w:ascii="Cambria Math" w:eastAsiaTheme="minorEastAsia" w:hAnsi="Cambria Math"/>
              </w:rPr>
              <m:t>SH</m:t>
            </m:r>
          </m:e>
          <m:sub>
            <m:r>
              <w:rPr>
                <w:rFonts w:ascii="Cambria Math" w:eastAsiaTheme="minorEastAsia" w:hAnsi="Cambria Math"/>
              </w:rPr>
              <m:t>t</m:t>
            </m:r>
          </m:sub>
        </m:sSub>
        <m:r>
          <w:rPr>
            <w:rFonts w:ascii="Cambria Math" w:eastAsiaTheme="minorEastAsia" w:hAnsi="Cambria Math"/>
          </w:rPr>
          <m:t>={Crypt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t</m:t>
            </m:r>
          </m:sub>
        </m:sSub>
        <m:r>
          <w:rPr>
            <w:rFonts w:ascii="Cambria Math" w:eastAsiaTheme="minorEastAsia" w:hAnsi="Cambria Math"/>
          </w:rPr>
          <m:t>,Gol</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w:rPr>
            <w:rFonts w:ascii="Cambria Math" w:eastAsiaTheme="minorEastAsia" w:hAnsi="Cambria Math"/>
          </w:rPr>
          <m:t>}</m:t>
        </m:r>
      </m:oMath>
      <w:r w:rsidR="008C7E75" w:rsidRPr="009B605C">
        <w:rPr>
          <w:rFonts w:ascii="Cambria" w:eastAsiaTheme="minorEastAsia" w:hAnsi="Cambria"/>
        </w:rPr>
        <w:t>,</w:t>
      </w:r>
      <w:r w:rsidRPr="009B605C">
        <w:rPr>
          <w:rFonts w:ascii="Cambria" w:eastAsiaTheme="minorEastAsia" w:hAnsi="Cambria"/>
        </w:rPr>
        <w:t xml:space="preserve"> and</w:t>
      </w:r>
      <w:r w:rsidRPr="009B605C">
        <w:rPr>
          <w:rFonts w:ascii="Cambria" w:eastAsiaTheme="minorEastAsia" w:hAnsi="Cambria"/>
          <w:i/>
          <w:iCs/>
        </w:rPr>
        <w:t xml:space="preserve">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9B605C">
        <w:rPr>
          <w:rFonts w:ascii="Cambria" w:eastAsiaTheme="minorEastAsia" w:hAnsi="Cambria"/>
        </w:rPr>
        <w:t xml:space="preserve"> is the error term.</w:t>
      </w:r>
      <w:r w:rsidR="009B605C">
        <w:rPr>
          <w:rFonts w:ascii="Cambria" w:eastAsiaTheme="minorEastAsia" w:hAnsi="Cambria"/>
        </w:rPr>
        <w:t xml:space="preserve"> </w:t>
      </w:r>
      <w:r w:rsidR="00837BD3" w:rsidRPr="009B605C">
        <w:rPr>
          <w:rFonts w:ascii="Cambria" w:eastAsiaTheme="minorEastAsia" w:hAnsi="Cambria"/>
        </w:rPr>
        <w:t xml:space="preserve">In line with previous research, if the estimated parameter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00837BD3" w:rsidRPr="009B605C">
        <w:rPr>
          <w:rFonts w:ascii="Cambria" w:eastAsiaTheme="minorEastAsia" w:hAnsi="Cambria"/>
        </w:rPr>
        <w:t xml:space="preserve">​ in Equation (16) is either insignificant (irrespective of its sign) or significantly positive, the asset can be identified </w:t>
      </w:r>
      <w:r w:rsidR="00837BD3" w:rsidRPr="009B605C">
        <w:rPr>
          <w:rFonts w:ascii="Cambria" w:eastAsiaTheme="minorEastAsia" w:hAnsi="Cambria"/>
        </w:rPr>
        <w:lastRenderedPageBreak/>
        <w:t xml:space="preserve">as a safe haven for </w:t>
      </w:r>
      <w:r w:rsidR="005E7807" w:rsidRPr="009B605C">
        <w:rPr>
          <w:rFonts w:ascii="Cambria" w:eastAsiaTheme="minorEastAsia" w:hAnsi="Cambria"/>
        </w:rPr>
        <w:t xml:space="preserve">BRICS stocks </w:t>
      </w:r>
      <w:r w:rsidR="00837BD3" w:rsidRPr="009B605C">
        <w:rPr>
          <w:rFonts w:ascii="Cambria" w:eastAsiaTheme="minorEastAsia" w:hAnsi="Cambria"/>
        </w:rPr>
        <w:t xml:space="preserve">(see, Baur and Lucey, 2010; Baur and McDermott, 2010). Conversely, if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00837BD3" w:rsidRPr="009B605C">
        <w:rPr>
          <w:rFonts w:ascii="Cambria" w:eastAsiaTheme="minorEastAsia" w:hAnsi="Cambria"/>
        </w:rPr>
        <w:t xml:space="preserve">​ is significantly negative, the asset does not qualify as a safe haven for </w:t>
      </w:r>
      <w:r w:rsidR="005E7807" w:rsidRPr="009B605C">
        <w:rPr>
          <w:rFonts w:ascii="Cambria" w:eastAsiaTheme="minorEastAsia" w:hAnsi="Cambria"/>
        </w:rPr>
        <w:t>BRICS stocks</w:t>
      </w:r>
      <w:r w:rsidR="00837BD3" w:rsidRPr="009B605C">
        <w:rPr>
          <w:rFonts w:ascii="Cambria" w:eastAsiaTheme="minorEastAsia" w:hAnsi="Cambria"/>
        </w:rPr>
        <w:t>.</w:t>
      </w:r>
      <w:r w:rsidR="002F3475" w:rsidRPr="009B605C">
        <w:rPr>
          <w:rStyle w:val="FootnoteReference"/>
          <w:rFonts w:ascii="Cambria" w:eastAsiaTheme="minorEastAsia" w:hAnsi="Cambria"/>
        </w:rPr>
        <w:footnoteReference w:id="1"/>
      </w:r>
    </w:p>
    <w:bookmarkEnd w:id="6"/>
    <w:p w14:paraId="185E88D0" w14:textId="083DEC65" w:rsidR="009D7F0B" w:rsidRPr="009B605C" w:rsidRDefault="00E365E7" w:rsidP="0087752F">
      <w:pPr>
        <w:spacing w:line="360" w:lineRule="auto"/>
        <w:ind w:firstLine="720"/>
        <w:jc w:val="both"/>
        <w:rPr>
          <w:rFonts w:ascii="Cambria" w:hAnsi="Cambria"/>
        </w:rPr>
      </w:pPr>
      <w:r w:rsidRPr="009B605C">
        <w:rPr>
          <w:rFonts w:ascii="Cambria" w:hAnsi="Cambria"/>
        </w:rPr>
        <w:t>Table 3</w:t>
      </w:r>
      <w:r w:rsidR="00C911B3" w:rsidRPr="009B605C">
        <w:rPr>
          <w:rFonts w:ascii="Cambria" w:hAnsi="Cambria"/>
        </w:rPr>
        <w:t xml:space="preserve"> displays the outcomes from the time-invariant safe haven models</w:t>
      </w:r>
      <w:r w:rsidR="00933E72" w:rsidRPr="009B605C">
        <w:rPr>
          <w:rFonts w:ascii="Cambria" w:hAnsi="Cambria"/>
        </w:rPr>
        <w:t xml:space="preserve"> of Equation (16)</w:t>
      </w:r>
      <w:r w:rsidR="00C911B3" w:rsidRPr="009B605C">
        <w:rPr>
          <w:rFonts w:ascii="Cambria" w:hAnsi="Cambria"/>
        </w:rPr>
        <w:t xml:space="preserve">, </w:t>
      </w:r>
      <w:r w:rsidR="00933E72" w:rsidRPr="009B605C">
        <w:rPr>
          <w:rFonts w:ascii="Cambria" w:hAnsi="Cambria"/>
        </w:rPr>
        <w:t xml:space="preserve">for the pre- and post-conflict announcement periods, respectively, </w:t>
      </w:r>
      <w:r w:rsidR="004C723F" w:rsidRPr="009B605C">
        <w:rPr>
          <w:rFonts w:ascii="Cambria" w:hAnsi="Cambria"/>
        </w:rPr>
        <w:t xml:space="preserve">in </w:t>
      </w:r>
      <w:r w:rsidR="00933E72" w:rsidRPr="009B605C">
        <w:rPr>
          <w:rFonts w:ascii="Cambria" w:hAnsi="Cambria"/>
        </w:rPr>
        <w:t>Panels A and B.</w:t>
      </w:r>
      <w:r w:rsidR="00C911B3" w:rsidRPr="009B605C">
        <w:rPr>
          <w:rFonts w:ascii="Cambria" w:hAnsi="Cambria"/>
        </w:rPr>
        <w:t xml:space="preserve"> </w:t>
      </w:r>
      <w:r w:rsidR="00933E72" w:rsidRPr="009B605C">
        <w:rPr>
          <w:rFonts w:ascii="Cambria" w:hAnsi="Cambria"/>
        </w:rPr>
        <w:t>In fact,</w:t>
      </w:r>
      <w:r w:rsidR="009D7F0B" w:rsidRPr="009B605C">
        <w:rPr>
          <w:rFonts w:ascii="Cambria" w:hAnsi="Cambria"/>
        </w:rPr>
        <w:t xml:space="preserve"> both gold and crypto</w:t>
      </w:r>
      <w:r w:rsidR="00933E72" w:rsidRPr="009B605C">
        <w:rPr>
          <w:rFonts w:ascii="Cambria" w:hAnsi="Cambria"/>
        </w:rPr>
        <w:t>currency markets</w:t>
      </w:r>
      <w:r w:rsidR="009D7F0B" w:rsidRPr="009B605C">
        <w:rPr>
          <w:rFonts w:ascii="Cambria" w:hAnsi="Cambria"/>
        </w:rPr>
        <w:t xml:space="preserve"> act as safe haven</w:t>
      </w:r>
      <w:r w:rsidR="00933E72" w:rsidRPr="009B605C">
        <w:rPr>
          <w:rFonts w:ascii="Cambria" w:hAnsi="Cambria"/>
        </w:rPr>
        <w:t xml:space="preserve"> for BRICS stocks</w:t>
      </w:r>
      <w:r w:rsidR="009D7F0B" w:rsidRPr="009B605C">
        <w:rPr>
          <w:rFonts w:ascii="Cambria" w:hAnsi="Cambria"/>
        </w:rPr>
        <w:t xml:space="preserve"> </w:t>
      </w:r>
      <w:r w:rsidR="00933E72" w:rsidRPr="009B605C">
        <w:rPr>
          <w:rFonts w:ascii="Cambria" w:hAnsi="Cambria"/>
        </w:rPr>
        <w:t>in both sub-periods</w:t>
      </w:r>
      <w:r w:rsidR="009D7F0B" w:rsidRPr="009B605C">
        <w:rPr>
          <w:rFonts w:ascii="Cambria" w:hAnsi="Cambria"/>
        </w:rPr>
        <w:t>.</w:t>
      </w:r>
      <w:r w:rsidR="00933E72" w:rsidRPr="009B605C">
        <w:rPr>
          <w:rFonts w:ascii="Cambria" w:hAnsi="Cambria"/>
        </w:rPr>
        <w:t xml:space="preserve"> In Panel A, our findings show </w:t>
      </w:r>
      <w:r w:rsidR="009D7F0B" w:rsidRPr="009B605C">
        <w:rPr>
          <w:rFonts w:ascii="Cambria" w:hAnsi="Cambria"/>
        </w:rPr>
        <w:t xml:space="preserve">predominantly </w:t>
      </w:r>
      <w:r w:rsidR="00933E72" w:rsidRPr="009B605C">
        <w:rPr>
          <w:rFonts w:ascii="Cambria" w:hAnsi="Cambria"/>
        </w:rPr>
        <w:t xml:space="preserve">insignificant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933E72" w:rsidRPr="009B605C">
        <w:rPr>
          <w:rFonts w:ascii="Cambria" w:hAnsi="Cambria"/>
        </w:rPr>
        <w:t xml:space="preserve"> coefficients</w:t>
      </w:r>
      <w:r w:rsidR="009D7F0B" w:rsidRPr="009B605C">
        <w:rPr>
          <w:rFonts w:ascii="Cambria" w:hAnsi="Cambria"/>
        </w:rPr>
        <w:t>, which came out significant</w:t>
      </w:r>
      <w:r w:rsidR="00933E72" w:rsidRPr="009B605C">
        <w:rPr>
          <w:rFonts w:ascii="Cambria" w:hAnsi="Cambria"/>
        </w:rPr>
        <w:t>ly positive</w:t>
      </w:r>
      <w:r w:rsidR="009D7F0B" w:rsidRPr="009B605C">
        <w:rPr>
          <w:rFonts w:ascii="Cambria" w:hAnsi="Cambria"/>
        </w:rPr>
        <w:t xml:space="preserve"> </w:t>
      </w:r>
      <w:r w:rsidR="00933E72" w:rsidRPr="009B605C">
        <w:rPr>
          <w:rFonts w:ascii="Cambria" w:hAnsi="Cambria"/>
        </w:rPr>
        <w:t xml:space="preserve">only </w:t>
      </w:r>
      <w:r w:rsidR="009D7F0B" w:rsidRPr="009B605C">
        <w:rPr>
          <w:rFonts w:ascii="Cambria" w:hAnsi="Cambria"/>
        </w:rPr>
        <w:t xml:space="preserve">for South Africa. The result is preserved after the start of the conflict, when most estimates retain their insignificance. </w:t>
      </w:r>
      <w:r w:rsidR="002A31A5" w:rsidRPr="009B605C">
        <w:rPr>
          <w:rFonts w:ascii="Cambria" w:hAnsi="Cambria"/>
        </w:rPr>
        <w:t>This finding highlights the role of gold to serve as hedge and safe haven for stocks (</w:t>
      </w:r>
      <w:proofErr w:type="spellStart"/>
      <w:r w:rsidR="002A31A5" w:rsidRPr="009B605C">
        <w:rPr>
          <w:rFonts w:ascii="Cambria" w:hAnsi="Cambria"/>
        </w:rPr>
        <w:t>Bekiros</w:t>
      </w:r>
      <w:proofErr w:type="spellEnd"/>
      <w:r w:rsidR="002A31A5" w:rsidRPr="009B605C">
        <w:rPr>
          <w:rFonts w:ascii="Cambria" w:hAnsi="Cambria"/>
        </w:rPr>
        <w:t xml:space="preserve"> et al., 2017) but also the uprising importance of cryptocurrency markets in investors’ portfolios</w:t>
      </w:r>
      <w:r w:rsidR="006153CA" w:rsidRPr="009B605C">
        <w:rPr>
          <w:rFonts w:ascii="Cambria" w:hAnsi="Cambria"/>
        </w:rPr>
        <w:t xml:space="preserve"> (Rizvi et al., 2022)</w:t>
      </w:r>
      <w:r w:rsidR="002A31A5" w:rsidRPr="009B605C">
        <w:rPr>
          <w:rFonts w:ascii="Cambria" w:hAnsi="Cambria"/>
        </w:rPr>
        <w:t>.</w:t>
      </w:r>
      <w:r w:rsidR="005C5134" w:rsidRPr="009B605C">
        <w:rPr>
          <w:rFonts w:ascii="Cambria" w:hAnsi="Cambria"/>
        </w:rPr>
        <w:t xml:space="preserve"> Furthermore,</w:t>
      </w:r>
      <w:r w:rsidR="009D7F0B" w:rsidRPr="009B605C">
        <w:rPr>
          <w:rFonts w:ascii="Cambria" w:hAnsi="Cambria"/>
        </w:rPr>
        <w:t xml:space="preserve"> gold emerge</w:t>
      </w:r>
      <w:r w:rsidR="005C5134" w:rsidRPr="009B605C">
        <w:rPr>
          <w:rFonts w:ascii="Cambria" w:hAnsi="Cambria"/>
        </w:rPr>
        <w:t>s</w:t>
      </w:r>
      <w:r w:rsidR="009D7F0B" w:rsidRPr="009B605C">
        <w:rPr>
          <w:rFonts w:ascii="Cambria" w:hAnsi="Cambria"/>
        </w:rPr>
        <w:t xml:space="preserve"> as a stronger safe haven after the </w:t>
      </w:r>
      <w:r w:rsidR="005C5134" w:rsidRPr="009B605C">
        <w:rPr>
          <w:rFonts w:ascii="Cambria" w:hAnsi="Cambria"/>
        </w:rPr>
        <w:t>onset</w:t>
      </w:r>
      <w:r w:rsidR="009D7F0B" w:rsidRPr="009B605C">
        <w:rPr>
          <w:rFonts w:ascii="Cambria" w:hAnsi="Cambria"/>
        </w:rPr>
        <w:t xml:space="preserve"> of the conflict for Chin</w:t>
      </w:r>
      <w:r w:rsidR="005C5134" w:rsidRPr="009B605C">
        <w:rPr>
          <w:rFonts w:ascii="Cambria" w:hAnsi="Cambria"/>
        </w:rPr>
        <w:t>ese stocks</w:t>
      </w:r>
      <w:r w:rsidR="009D7F0B" w:rsidRPr="009B605C">
        <w:rPr>
          <w:rFonts w:ascii="Cambria" w:hAnsi="Cambria"/>
        </w:rPr>
        <w:t xml:space="preserve"> than it ha</w:t>
      </w:r>
      <w:r w:rsidR="005C5134" w:rsidRPr="009B605C">
        <w:rPr>
          <w:rFonts w:ascii="Cambria" w:hAnsi="Cambria"/>
        </w:rPr>
        <w:t xml:space="preserve">s </w:t>
      </w:r>
      <w:r w:rsidR="009D7F0B" w:rsidRPr="009B605C">
        <w:rPr>
          <w:rFonts w:ascii="Cambria" w:hAnsi="Cambria"/>
        </w:rPr>
        <w:t>been before the conflict</w:t>
      </w:r>
      <w:r w:rsidR="005C5134" w:rsidRPr="009B605C">
        <w:rPr>
          <w:rFonts w:ascii="Cambria" w:hAnsi="Cambria"/>
        </w:rPr>
        <w:t>. In particular, its estimates</w:t>
      </w:r>
      <w:r w:rsidR="009D7F0B" w:rsidRPr="009B605C">
        <w:rPr>
          <w:rFonts w:ascii="Cambria" w:hAnsi="Cambria"/>
        </w:rPr>
        <w:t xml:space="preserve"> becom</w:t>
      </w:r>
      <w:r w:rsidR="005C5134" w:rsidRPr="009B605C">
        <w:rPr>
          <w:rFonts w:ascii="Cambria" w:hAnsi="Cambria"/>
        </w:rPr>
        <w:t>e</w:t>
      </w:r>
      <w:r w:rsidR="009D7F0B" w:rsidRPr="009B605C">
        <w:rPr>
          <w:rFonts w:ascii="Cambria" w:hAnsi="Cambria"/>
        </w:rPr>
        <w:t xml:space="preserve"> four times larger and emerging significant at the 1% level. </w:t>
      </w:r>
      <w:r w:rsidR="005C5134" w:rsidRPr="009B605C">
        <w:rPr>
          <w:rFonts w:ascii="Cambria" w:hAnsi="Cambria"/>
        </w:rPr>
        <w:t>Similarly</w:t>
      </w:r>
      <w:r w:rsidR="009D7F0B" w:rsidRPr="009B605C">
        <w:rPr>
          <w:rFonts w:ascii="Cambria" w:hAnsi="Cambria"/>
        </w:rPr>
        <w:t>, gold</w:t>
      </w:r>
      <w:r w:rsidR="005C54F6" w:rsidRPr="009B605C">
        <w:rPr>
          <w:rFonts w:ascii="Cambria" w:hAnsi="Cambria"/>
        </w:rPr>
        <w:t xml:space="preserve"> (Crypto)</w:t>
      </w:r>
      <w:r w:rsidR="009D7F0B" w:rsidRPr="009B605C">
        <w:rPr>
          <w:rFonts w:ascii="Cambria" w:hAnsi="Cambria"/>
        </w:rPr>
        <w:t xml:space="preserve"> reinforce</w:t>
      </w:r>
      <w:r w:rsidR="005C54F6" w:rsidRPr="009B605C">
        <w:rPr>
          <w:rFonts w:ascii="Cambria" w:hAnsi="Cambria"/>
        </w:rPr>
        <w:t xml:space="preserve">s its </w:t>
      </w:r>
      <w:r w:rsidR="009D7F0B" w:rsidRPr="009B605C">
        <w:rPr>
          <w:rFonts w:ascii="Cambria" w:hAnsi="Cambria"/>
        </w:rPr>
        <w:t xml:space="preserve">position as </w:t>
      </w:r>
      <w:r w:rsidR="005C54F6" w:rsidRPr="009B605C">
        <w:rPr>
          <w:rFonts w:ascii="Cambria" w:hAnsi="Cambria"/>
        </w:rPr>
        <w:t xml:space="preserve">a </w:t>
      </w:r>
      <w:r w:rsidR="009D7F0B" w:rsidRPr="009B605C">
        <w:rPr>
          <w:rFonts w:ascii="Cambria" w:hAnsi="Cambria"/>
        </w:rPr>
        <w:t>safe haven</w:t>
      </w:r>
      <w:r w:rsidR="005C5134" w:rsidRPr="009B605C">
        <w:rPr>
          <w:rFonts w:ascii="Cambria" w:hAnsi="Cambria"/>
        </w:rPr>
        <w:t xml:space="preserve"> asset for stock market in South Africa </w:t>
      </w:r>
      <w:r w:rsidR="009D7F0B" w:rsidRPr="009B605C">
        <w:rPr>
          <w:rFonts w:ascii="Cambria" w:hAnsi="Cambria"/>
        </w:rPr>
        <w:t>after the</w:t>
      </w:r>
      <w:r w:rsidR="005C5134" w:rsidRPr="009B605C">
        <w:rPr>
          <w:rFonts w:ascii="Cambria" w:hAnsi="Cambria"/>
        </w:rPr>
        <w:t xml:space="preserve"> conflict outbreak</w:t>
      </w:r>
      <w:r w:rsidR="009D7F0B" w:rsidRPr="009B605C">
        <w:rPr>
          <w:rFonts w:ascii="Cambria" w:hAnsi="Cambria"/>
        </w:rPr>
        <w:t xml:space="preserve">, </w:t>
      </w:r>
      <w:r w:rsidR="005C5134" w:rsidRPr="009B605C">
        <w:rPr>
          <w:rFonts w:ascii="Cambria" w:hAnsi="Cambria"/>
        </w:rPr>
        <w:t>having</w:t>
      </w:r>
      <w:r w:rsidR="009D7F0B" w:rsidRPr="009B605C">
        <w:rPr>
          <w:rFonts w:ascii="Cambria" w:hAnsi="Cambria"/>
        </w:rPr>
        <w:t xml:space="preserve"> </w:t>
      </w:r>
      <w:r w:rsidR="005C54F6" w:rsidRPr="009B605C">
        <w:rPr>
          <w:rFonts w:ascii="Cambria" w:hAnsi="Cambria"/>
        </w:rPr>
        <w:t>significantly positive coefficients at 1% (5%) significance level. Last but not least, the impact of cryptocurrencies on BRICS stocks has decreased after the post-conflict announcement, becoming closer to negligible compared to the pre-conflict period. In contrast, gold has strengthened its impact on most markets, specifically India, China, and South Africa.</w:t>
      </w:r>
    </w:p>
    <w:p w14:paraId="74F56863" w14:textId="214F44A4" w:rsidR="006D2CBB" w:rsidRPr="009B605C" w:rsidRDefault="006D2CBB"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3]</w:t>
      </w:r>
    </w:p>
    <w:p w14:paraId="1FEB3EBD" w14:textId="69DADD9F" w:rsidR="005F536D" w:rsidRPr="009B605C" w:rsidRDefault="005E7807" w:rsidP="0087752F">
      <w:pPr>
        <w:spacing w:line="360" w:lineRule="auto"/>
        <w:jc w:val="both"/>
        <w:rPr>
          <w:rFonts w:ascii="Cambria" w:hAnsi="Cambria"/>
        </w:rPr>
      </w:pPr>
      <w:r w:rsidRPr="009B605C">
        <w:rPr>
          <w:rFonts w:ascii="Cambria" w:hAnsi="Cambria"/>
        </w:rPr>
        <w:t>The model</w:t>
      </w:r>
      <w:r w:rsidR="005F2E20" w:rsidRPr="009B605C">
        <w:rPr>
          <w:rFonts w:ascii="Cambria" w:hAnsi="Cambria"/>
        </w:rPr>
        <w:t xml:space="preserve"> given in</w:t>
      </w:r>
      <w:r w:rsidRPr="009B605C">
        <w:rPr>
          <w:rFonts w:ascii="Cambria" w:hAnsi="Cambria"/>
        </w:rPr>
        <w:t xml:space="preserve"> Equation (</w:t>
      </w:r>
      <w:r w:rsidR="005F2E20" w:rsidRPr="009B605C">
        <w:rPr>
          <w:rFonts w:ascii="Cambria" w:hAnsi="Cambria"/>
        </w:rPr>
        <w:t>16</w:t>
      </w:r>
      <w:r w:rsidRPr="009B605C">
        <w:rPr>
          <w:rFonts w:ascii="Cambria" w:hAnsi="Cambria"/>
        </w:rPr>
        <w:t>)</w:t>
      </w:r>
      <w:r w:rsidR="005F2E20" w:rsidRPr="009B605C">
        <w:rPr>
          <w:rFonts w:ascii="Cambria" w:hAnsi="Cambria"/>
        </w:rPr>
        <w:t xml:space="preserve"> does not consider the possibility that the effect of gold or cryptocurrency assets on BRICS stocks may change over time.</w:t>
      </w:r>
      <w:r w:rsidR="00A367BE" w:rsidRPr="009B605C">
        <w:rPr>
          <w:rFonts w:ascii="Cambria" w:hAnsi="Cambria"/>
        </w:rPr>
        <w:t xml:space="preserve"> I</w:t>
      </w:r>
      <w:r w:rsidR="005F2E20" w:rsidRPr="009B605C">
        <w:rPr>
          <w:rFonts w:ascii="Cambria" w:hAnsi="Cambria"/>
        </w:rPr>
        <w:t xml:space="preserve">n fact, </w:t>
      </w:r>
      <w:r w:rsidRPr="009B605C">
        <w:rPr>
          <w:rFonts w:ascii="Cambria" w:hAnsi="Cambria"/>
        </w:rPr>
        <w:t xml:space="preserve">numerous studies </w:t>
      </w:r>
      <w:r w:rsidR="005F536D" w:rsidRPr="009B605C">
        <w:rPr>
          <w:rFonts w:ascii="Cambria" w:hAnsi="Cambria"/>
        </w:rPr>
        <w:t>determine</w:t>
      </w:r>
      <w:r w:rsidRPr="009B605C">
        <w:rPr>
          <w:rFonts w:ascii="Cambria" w:hAnsi="Cambria"/>
        </w:rPr>
        <w:t xml:space="preserve"> that</w:t>
      </w:r>
      <w:r w:rsidR="00A367BE" w:rsidRPr="009B605C">
        <w:rPr>
          <w:rFonts w:ascii="Cambria" w:hAnsi="Cambria"/>
        </w:rPr>
        <w:t xml:space="preserve"> gold and</w:t>
      </w:r>
      <w:r w:rsidRPr="009B605C">
        <w:rPr>
          <w:rFonts w:ascii="Cambria" w:hAnsi="Cambria"/>
        </w:rPr>
        <w:t xml:space="preserve"> cryptocurrencies may act as a safe haven in some periods but not others (</w:t>
      </w:r>
      <w:r w:rsidR="00A367BE" w:rsidRPr="009B605C">
        <w:rPr>
          <w:rFonts w:ascii="Cambria" w:hAnsi="Cambria"/>
        </w:rPr>
        <w:t>Hood and Malik, 2013</w:t>
      </w:r>
      <w:r w:rsidRPr="009B605C">
        <w:rPr>
          <w:rFonts w:ascii="Cambria" w:hAnsi="Cambria"/>
        </w:rPr>
        <w:t>;</w:t>
      </w:r>
      <w:r w:rsidR="00A367BE" w:rsidRPr="009B605C">
        <w:rPr>
          <w:rFonts w:ascii="Cambria" w:hAnsi="Cambria"/>
        </w:rPr>
        <w:t xml:space="preserve"> He et al., 2018; Ming et al., 2023).</w:t>
      </w:r>
      <w:r w:rsidRPr="009B605C">
        <w:rPr>
          <w:rFonts w:ascii="Cambria" w:hAnsi="Cambria"/>
        </w:rPr>
        <w:t xml:space="preserve"> </w:t>
      </w:r>
      <w:r w:rsidR="005F536D" w:rsidRPr="009B605C">
        <w:rPr>
          <w:rFonts w:ascii="Cambria" w:hAnsi="Cambria"/>
        </w:rPr>
        <w:t>To address this, we extend Equation (16) into a time-varying model. Specifically, we estimate the following rolling-window regression:</w:t>
      </w:r>
    </w:p>
    <w:p w14:paraId="0207805A" w14:textId="7F4772CB" w:rsidR="005E7807" w:rsidRPr="009B605C" w:rsidRDefault="00000000" w:rsidP="0087752F">
      <w:pPr>
        <w:spacing w:before="160" w:after="160" w:line="360" w:lineRule="auto"/>
        <w:ind w:left="2160" w:firstLine="720"/>
        <w:jc w:val="both"/>
        <w:rPr>
          <w:rFonts w:ascii="Cambria" w:hAnsi="Cambria"/>
        </w:rPr>
      </w:pPr>
      <m:oMath>
        <m:sSub>
          <m:sSubPr>
            <m:ctrlPr>
              <w:rPr>
                <w:rFonts w:ascii="Cambria Math" w:hAnsi="Cambria Math"/>
                <w:i/>
              </w:rPr>
            </m:ctrlPr>
          </m:sSubPr>
          <m:e>
            <m:r>
              <w:rPr>
                <w:rFonts w:ascii="Cambria Math" w:hAnsi="Cambria Math"/>
              </w:rPr>
              <m:t>BRICS</m:t>
            </m:r>
          </m:e>
          <m:sub>
            <m:r>
              <w:rPr>
                <w:rFonts w:ascii="Cambria Math" w:hAnsi="Cambria Math"/>
              </w:rPr>
              <m:t>t,t+ξ</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1,t+ξ</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SH</m:t>
            </m:r>
          </m:e>
          <m:sub>
            <m:r>
              <w:rPr>
                <w:rFonts w:ascii="Cambria Math" w:hAnsi="Cambria Math"/>
              </w:rPr>
              <m:t>t,t+</m:t>
            </m:r>
            <m:r>
              <m:rPr>
                <m:sty m:val="p"/>
              </m:rPr>
              <w:rPr>
                <w:rFonts w:ascii="Cambria Math" w:hAnsi="Cambria Math"/>
              </w:rPr>
              <m:t>ξ</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t,t+ξ</m:t>
            </m:r>
          </m:sub>
        </m:sSub>
      </m:oMath>
      <w:r w:rsidR="005E7807" w:rsidRPr="009B605C">
        <w:rPr>
          <w:rFonts w:ascii="Cambria" w:eastAsiaTheme="minorEastAsia" w:hAnsi="Cambria"/>
        </w:rPr>
        <w:t xml:space="preserve">, </w:t>
      </w:r>
      <w:r w:rsidR="005E7807" w:rsidRPr="009B605C">
        <w:rPr>
          <w:rFonts w:ascii="Cambria" w:eastAsiaTheme="minorEastAsia" w:hAnsi="Cambria"/>
        </w:rPr>
        <w:tab/>
      </w:r>
      <w:r w:rsidR="005E7807" w:rsidRPr="009B605C">
        <w:rPr>
          <w:rFonts w:ascii="Cambria" w:eastAsiaTheme="minorEastAsia" w:hAnsi="Cambria"/>
        </w:rPr>
        <w:tab/>
        <w:t>(17)</w:t>
      </w:r>
    </w:p>
    <w:p w14:paraId="74D3A1DB" w14:textId="51948F33" w:rsidR="005E7807" w:rsidRPr="009B605C" w:rsidRDefault="005E7807" w:rsidP="0087752F">
      <w:pPr>
        <w:spacing w:line="360" w:lineRule="auto"/>
        <w:jc w:val="both"/>
        <w:rPr>
          <w:rFonts w:ascii="Cambria" w:hAnsi="Cambria"/>
        </w:rPr>
      </w:pPr>
      <w:r w:rsidRPr="009B605C">
        <w:rPr>
          <w:rFonts w:ascii="Cambria" w:hAnsi="Cambria"/>
        </w:rPr>
        <w:lastRenderedPageBreak/>
        <w:t xml:space="preserve">where </w:t>
      </w:r>
      <m:oMath>
        <m:sSub>
          <m:sSubPr>
            <m:ctrlPr>
              <w:rPr>
                <w:rFonts w:ascii="Cambria Math" w:hAnsi="Cambria Math"/>
                <w:i/>
              </w:rPr>
            </m:ctrlPr>
          </m:sSubPr>
          <m:e>
            <m:r>
              <w:rPr>
                <w:rFonts w:ascii="Cambria Math" w:hAnsi="Cambria Math"/>
              </w:rPr>
              <m:t>BRICS</m:t>
            </m:r>
          </m:e>
          <m:sub>
            <m:r>
              <w:rPr>
                <w:rFonts w:ascii="Cambria Math" w:hAnsi="Cambria Math"/>
              </w:rPr>
              <m:t>t,t+ξ</m:t>
            </m:r>
          </m:sub>
        </m:sSub>
        <m:r>
          <w:rPr>
            <w:rFonts w:ascii="Cambria Math" w:hAnsi="Cambria Math"/>
          </w:rPr>
          <m:t>=</m:t>
        </m:r>
        <m:sSub>
          <m:sSubPr>
            <m:ctrlPr>
              <w:rPr>
                <w:rFonts w:ascii="Cambria Math" w:hAnsi="Cambria Math"/>
                <w:i/>
              </w:rPr>
            </m:ctrlPr>
          </m:sSubPr>
          <m:e>
            <m:r>
              <w:rPr>
                <w:rFonts w:ascii="Cambria Math" w:hAnsi="Cambria Math"/>
              </w:rPr>
              <m:t>BRICS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BRICS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BRICS</m:t>
            </m:r>
          </m:e>
          <m:sub>
            <m:r>
              <w:rPr>
                <w:rFonts w:ascii="Cambria Math" w:hAnsi="Cambria Math"/>
              </w:rPr>
              <m:t>t+ξ</m:t>
            </m:r>
          </m:sub>
        </m:sSub>
      </m:oMath>
      <w:r w:rsidRPr="009B605C">
        <w:rPr>
          <w:rFonts w:ascii="Cambria" w:eastAsiaTheme="minorEastAsia" w:hAnsi="Cambria"/>
        </w:rPr>
        <w:t xml:space="preserve">; </w:t>
      </w:r>
      <m:oMath>
        <m:sSub>
          <m:sSubPr>
            <m:ctrlPr>
              <w:rPr>
                <w:rFonts w:ascii="Cambria Math" w:hAnsi="Cambria Math"/>
                <w:i/>
              </w:rPr>
            </m:ctrlPr>
          </m:sSubPr>
          <m:e>
            <m:r>
              <w:rPr>
                <w:rFonts w:ascii="Cambria Math" w:hAnsi="Cambria Math"/>
              </w:rPr>
              <m:t>SH</m:t>
            </m:r>
          </m:e>
          <m:sub>
            <m:r>
              <w:rPr>
                <w:rFonts w:ascii="Cambria Math" w:hAnsi="Cambria Math"/>
              </w:rPr>
              <m:t>t,t+ξ</m:t>
            </m:r>
          </m:sub>
        </m:sSub>
        <m:r>
          <w:rPr>
            <w:rFonts w:ascii="Cambria Math" w:hAnsi="Cambria Math"/>
          </w:rPr>
          <m:t>=</m:t>
        </m:r>
        <m:sSub>
          <m:sSubPr>
            <m:ctrlPr>
              <w:rPr>
                <w:rFonts w:ascii="Cambria Math" w:hAnsi="Cambria Math"/>
                <w:i/>
              </w:rPr>
            </m:ctrlPr>
          </m:sSubPr>
          <m:e>
            <m:r>
              <w:rPr>
                <w:rFonts w:ascii="Cambria Math" w:hAnsi="Cambria Math"/>
              </w:rPr>
              <m:t>SH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SH</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SH</m:t>
            </m:r>
          </m:e>
          <m:sub>
            <m:r>
              <w:rPr>
                <w:rFonts w:ascii="Cambria Math" w:hAnsi="Cambria Math"/>
              </w:rPr>
              <m:t>t+ξ</m:t>
            </m:r>
          </m:sub>
        </m:sSub>
      </m:oMath>
      <w:r w:rsidRPr="009B605C">
        <w:rPr>
          <w:rFonts w:ascii="Cambria" w:eastAsiaTheme="minorEastAsia" w:hAnsi="Cambria"/>
        </w:rPr>
        <w:t xml:space="preserve">; </w:t>
      </w:r>
      <m:oMath>
        <m:sSub>
          <m:sSubPr>
            <m:ctrlPr>
              <w:rPr>
                <w:rFonts w:ascii="Cambria Math" w:hAnsi="Cambria Math"/>
                <w:i/>
              </w:rPr>
            </m:ctrlPr>
          </m:sSubPr>
          <m:e>
            <m:r>
              <w:rPr>
                <w:rFonts w:ascii="Cambria Math" w:hAnsi="Cambria Math"/>
              </w:rPr>
              <m:t>u</m:t>
            </m:r>
          </m:e>
          <m:sub>
            <m:r>
              <w:rPr>
                <w:rFonts w:ascii="Cambria Math" w:hAnsi="Cambria Math"/>
              </w:rPr>
              <m:t>t,t+ξ</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t+ξ</m:t>
            </m:r>
          </m:sub>
        </m:sSub>
      </m:oMath>
      <w:r w:rsidRPr="009B605C">
        <w:rPr>
          <w:rFonts w:ascii="Cambria" w:eastAsiaTheme="minorEastAsia" w:hAnsi="Cambria"/>
        </w:rPr>
        <w:t xml:space="preserve">, where </w:t>
      </w:r>
      <m:oMath>
        <m:r>
          <w:rPr>
            <w:rFonts w:ascii="Cambria Math" w:hAnsi="Cambria Math"/>
          </w:rPr>
          <m:t>ξ</m:t>
        </m:r>
      </m:oMath>
      <w:r w:rsidRPr="009B605C">
        <w:rPr>
          <w:rFonts w:ascii="Cambria" w:eastAsiaTheme="minorEastAsia" w:hAnsi="Cambria"/>
        </w:rPr>
        <w:t xml:space="preserve"> is the size of the rolling window. </w:t>
      </w:r>
      <w:r w:rsidR="004540CB" w:rsidRPr="009B605C">
        <w:rPr>
          <w:rFonts w:ascii="Cambria" w:eastAsiaTheme="minorEastAsia" w:hAnsi="Cambria"/>
        </w:rPr>
        <w:t>In line with the past studies t</w:t>
      </w:r>
      <w:r w:rsidRPr="009B605C">
        <w:rPr>
          <w:rFonts w:ascii="Cambria" w:eastAsiaTheme="minorEastAsia" w:hAnsi="Cambria"/>
        </w:rPr>
        <w:t>he size of rolling window is set to 40</w:t>
      </w:r>
      <w:r w:rsidR="004540CB" w:rsidRPr="009B605C">
        <w:rPr>
          <w:rFonts w:ascii="Cambria" w:eastAsiaTheme="minorEastAsia" w:hAnsi="Cambria"/>
        </w:rPr>
        <w:t xml:space="preserve"> </w:t>
      </w:r>
      <w:r w:rsidRPr="009B605C">
        <w:rPr>
          <w:rFonts w:ascii="Cambria" w:eastAsiaTheme="minorEastAsia" w:hAnsi="Cambria"/>
        </w:rPr>
        <w:t>(</w:t>
      </w:r>
      <w:r w:rsidR="00463C66" w:rsidRPr="009B605C">
        <w:rPr>
          <w:rFonts w:ascii="Cambria" w:eastAsiaTheme="minorEastAsia" w:hAnsi="Cambria"/>
        </w:rPr>
        <w:t xml:space="preserve">see, </w:t>
      </w:r>
      <w:r w:rsidRPr="009B605C">
        <w:rPr>
          <w:rFonts w:ascii="Cambria" w:hAnsi="Cambria"/>
        </w:rPr>
        <w:t>Wang</w:t>
      </w:r>
      <w:r w:rsidR="00463C66" w:rsidRPr="009B605C">
        <w:rPr>
          <w:rFonts w:ascii="Cambria" w:hAnsi="Cambria"/>
        </w:rPr>
        <w:t xml:space="preserve"> et al., 2024</w:t>
      </w:r>
      <w:r w:rsidRPr="009B605C">
        <w:rPr>
          <w:rFonts w:ascii="Cambria" w:hAnsi="Cambria"/>
        </w:rPr>
        <w:t>).</w:t>
      </w:r>
    </w:p>
    <w:p w14:paraId="36726ADE" w14:textId="2AAC9121" w:rsidR="00533C82" w:rsidRPr="009B605C" w:rsidRDefault="00786F60" w:rsidP="0087752F">
      <w:pPr>
        <w:spacing w:line="360" w:lineRule="auto"/>
        <w:ind w:firstLine="720"/>
        <w:jc w:val="both"/>
        <w:rPr>
          <w:rFonts w:ascii="Cambria" w:hAnsi="Cambria"/>
        </w:rPr>
      </w:pPr>
      <w:r w:rsidRPr="009B605C">
        <w:rPr>
          <w:rFonts w:ascii="Cambria" w:hAnsi="Cambria"/>
        </w:rPr>
        <w:t>Table 4 reports the percentage frequency</w:t>
      </w:r>
      <w:r w:rsidR="00FB2D22" w:rsidRPr="009B605C">
        <w:rPr>
          <w:rFonts w:ascii="Cambria" w:hAnsi="Cambria"/>
        </w:rPr>
        <w:t xml:space="preserve"> </w:t>
      </w:r>
      <w:r w:rsidRPr="009B605C">
        <w:rPr>
          <w:rFonts w:ascii="Cambria" w:hAnsi="Cambria"/>
        </w:rPr>
        <w:t xml:space="preserve">of significant </w:t>
      </w:r>
      <w:r w:rsidR="00636A52" w:rsidRPr="009B605C">
        <w:rPr>
          <w:rFonts w:ascii="Cambria" w:hAnsi="Cambria"/>
        </w:rPr>
        <w:t xml:space="preserve">negative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636A52" w:rsidRPr="009B605C">
        <w:rPr>
          <w:rFonts w:ascii="Cambria" w:hAnsi="Cambria"/>
        </w:rPr>
        <w:t xml:space="preserve"> </w:t>
      </w:r>
      <w:r w:rsidRPr="009B605C">
        <w:rPr>
          <w:rFonts w:ascii="Cambria" w:hAnsi="Cambria"/>
        </w:rPr>
        <w:t>coefficients from Equation (17)</w:t>
      </w:r>
      <w:r w:rsidR="00533C82" w:rsidRPr="009B605C">
        <w:rPr>
          <w:rFonts w:ascii="Cambria" w:hAnsi="Cambria"/>
        </w:rPr>
        <w:t>. Panel A reveals the percentage frequencies before the conflict, while Panel B provides those frequencies in the post-conflict announcement period.</w:t>
      </w:r>
      <w:r w:rsidR="00636A52" w:rsidRPr="009B605C">
        <w:rPr>
          <w:rFonts w:ascii="Cambria" w:hAnsi="Cambria"/>
        </w:rPr>
        <w:t xml:space="preserve"> </w:t>
      </w:r>
      <w:r w:rsidR="004F3987" w:rsidRPr="009B605C">
        <w:rPr>
          <w:rFonts w:ascii="Cambria" w:hAnsi="Cambria"/>
        </w:rPr>
        <w:t>To address the potential impact that the chosen significance level may have on our final conclusions, we evaluate the results at both the 5% and 10% levels of significance.</w:t>
      </w:r>
      <w:r w:rsidR="00533C82" w:rsidRPr="009B605C">
        <w:rPr>
          <w:rFonts w:ascii="Cambria" w:hAnsi="Cambria"/>
        </w:rPr>
        <w:t xml:space="preserve"> </w:t>
      </w:r>
      <w:r w:rsidRPr="009B605C">
        <w:rPr>
          <w:rFonts w:ascii="Cambria" w:hAnsi="Cambria"/>
        </w:rPr>
        <w:t xml:space="preserve">The percentage frequency is calculated as the total number of significant negative coefficients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9B605C">
        <w:rPr>
          <w:rFonts w:ascii="Cambria" w:hAnsi="Cambria"/>
        </w:rPr>
        <w:t xml:space="preserve"> is divided by the total number of rolling window tests.</w:t>
      </w:r>
      <w:r w:rsidR="00533C82" w:rsidRPr="009B605C">
        <w:rPr>
          <w:rFonts w:ascii="Cambria" w:hAnsi="Cambria"/>
        </w:rPr>
        <w:t xml:space="preserve"> In fact, the higher the </w:t>
      </w:r>
      <w:r w:rsidR="007C7F4B" w:rsidRPr="009B605C">
        <w:rPr>
          <w:rFonts w:ascii="Cambria" w:hAnsi="Cambria"/>
        </w:rPr>
        <w:t xml:space="preserve">percentage frequency </w:t>
      </w:r>
      <w:r w:rsidR="00533C82" w:rsidRPr="009B605C">
        <w:rPr>
          <w:rFonts w:ascii="Cambria" w:hAnsi="Cambria"/>
        </w:rPr>
        <w:t>of negative and significant coefficients, the poorer safe haven the asset is for the given stock market. In particular, the p</w:t>
      </w:r>
      <w:r w:rsidR="0044755F" w:rsidRPr="009B605C">
        <w:rPr>
          <w:rFonts w:ascii="Cambria" w:hAnsi="Cambria"/>
        </w:rPr>
        <w:t>ost</w:t>
      </w:r>
      <w:r w:rsidR="00533C82" w:rsidRPr="009B605C">
        <w:rPr>
          <w:rFonts w:ascii="Cambria" w:hAnsi="Cambria"/>
        </w:rPr>
        <w:t>-conflict impact of gold on Brazilian stocks is 0.0</w:t>
      </w:r>
      <w:r w:rsidR="0044755F" w:rsidRPr="009B605C">
        <w:rPr>
          <w:rFonts w:ascii="Cambria" w:hAnsi="Cambria"/>
        </w:rPr>
        <w:t>36</w:t>
      </w:r>
      <w:r w:rsidR="00533C82" w:rsidRPr="009B605C">
        <w:rPr>
          <w:rFonts w:ascii="Cambria" w:hAnsi="Cambria"/>
        </w:rPr>
        <w:t xml:space="preserve"> at the 5% significance level, indicating that gold acts as a </w:t>
      </w:r>
      <w:r w:rsidR="0044755F" w:rsidRPr="009B605C">
        <w:rPr>
          <w:rFonts w:ascii="Cambria" w:hAnsi="Cambria"/>
        </w:rPr>
        <w:t>safe haven</w:t>
      </w:r>
      <w:r w:rsidR="00533C82" w:rsidRPr="009B605C">
        <w:rPr>
          <w:rFonts w:ascii="Cambria" w:hAnsi="Cambria"/>
        </w:rPr>
        <w:t xml:space="preserve"> for the Brazilian stock market 9</w:t>
      </w:r>
      <w:r w:rsidR="0044755F" w:rsidRPr="009B605C">
        <w:rPr>
          <w:rFonts w:ascii="Cambria" w:hAnsi="Cambria"/>
        </w:rPr>
        <w:t>6</w:t>
      </w:r>
      <w:r w:rsidR="00533C82" w:rsidRPr="009B605C">
        <w:rPr>
          <w:rFonts w:ascii="Cambria" w:hAnsi="Cambria"/>
        </w:rPr>
        <w:t>.</w:t>
      </w:r>
      <w:r w:rsidR="0044755F" w:rsidRPr="009B605C">
        <w:rPr>
          <w:rFonts w:ascii="Cambria" w:hAnsi="Cambria"/>
        </w:rPr>
        <w:t>4</w:t>
      </w:r>
      <w:r w:rsidR="00533C82" w:rsidRPr="009B605C">
        <w:rPr>
          <w:rFonts w:ascii="Cambria" w:hAnsi="Cambria"/>
        </w:rPr>
        <w:t xml:space="preserve">% of the time, as shown in Panel </w:t>
      </w:r>
      <w:r w:rsidR="0044755F" w:rsidRPr="009B605C">
        <w:rPr>
          <w:rFonts w:ascii="Cambria" w:hAnsi="Cambria"/>
        </w:rPr>
        <w:t>B</w:t>
      </w:r>
      <w:r w:rsidR="00533C82" w:rsidRPr="009B605C">
        <w:rPr>
          <w:rFonts w:ascii="Cambria" w:hAnsi="Cambria"/>
        </w:rPr>
        <w:t>.</w:t>
      </w:r>
      <w:r w:rsidR="00AE4950" w:rsidRPr="009B605C">
        <w:rPr>
          <w:rFonts w:ascii="Cambria" w:hAnsi="Cambria"/>
        </w:rPr>
        <w:t xml:space="preserve"> </w:t>
      </w:r>
      <w:r w:rsidR="00777432" w:rsidRPr="009B605C">
        <w:rPr>
          <w:rFonts w:ascii="Cambria" w:hAnsi="Cambria"/>
        </w:rPr>
        <w:t>In general, g</w:t>
      </w:r>
      <w:r w:rsidR="00533C82" w:rsidRPr="009B605C">
        <w:rPr>
          <w:rFonts w:ascii="Cambria" w:hAnsi="Cambria"/>
        </w:rPr>
        <w:t xml:space="preserve">old </w:t>
      </w:r>
      <w:r w:rsidR="006E58E5" w:rsidRPr="009B605C">
        <w:rPr>
          <w:rFonts w:ascii="Cambria" w:hAnsi="Cambria"/>
        </w:rPr>
        <w:t xml:space="preserve">is </w:t>
      </w:r>
      <w:r w:rsidR="00777432" w:rsidRPr="009B605C">
        <w:rPr>
          <w:rFonts w:ascii="Cambria" w:hAnsi="Cambria"/>
        </w:rPr>
        <w:t xml:space="preserve">found to be </w:t>
      </w:r>
      <w:r w:rsidR="006E58E5" w:rsidRPr="009B605C">
        <w:rPr>
          <w:rFonts w:ascii="Cambria" w:hAnsi="Cambria"/>
        </w:rPr>
        <w:t>poorer</w:t>
      </w:r>
      <w:r w:rsidR="00533C82" w:rsidRPr="009B605C">
        <w:rPr>
          <w:rFonts w:ascii="Cambria" w:hAnsi="Cambria"/>
        </w:rPr>
        <w:t xml:space="preserve"> safe haven for BRICS stocks relative to Crypto before the conflict</w:t>
      </w:r>
      <w:r w:rsidR="006E58E5" w:rsidRPr="009B605C">
        <w:rPr>
          <w:rFonts w:ascii="Cambria" w:hAnsi="Cambria"/>
        </w:rPr>
        <w:t>, as shown in Panel A of Table 4</w:t>
      </w:r>
      <w:r w:rsidR="00533C82" w:rsidRPr="009B605C">
        <w:rPr>
          <w:rFonts w:ascii="Cambria" w:hAnsi="Cambria"/>
        </w:rPr>
        <w:t xml:space="preserve">. </w:t>
      </w:r>
      <w:r w:rsidR="0044755F" w:rsidRPr="009B605C">
        <w:rPr>
          <w:rFonts w:ascii="Cambria" w:hAnsi="Cambria"/>
        </w:rPr>
        <w:t>In fact, t</w:t>
      </w:r>
      <w:r w:rsidR="00533C82" w:rsidRPr="009B605C">
        <w:rPr>
          <w:rFonts w:ascii="Cambria" w:hAnsi="Cambria"/>
        </w:rPr>
        <w:t xml:space="preserve">he </w:t>
      </w:r>
      <w:r w:rsidR="0044755F" w:rsidRPr="009B605C">
        <w:rPr>
          <w:rFonts w:ascii="Cambria" w:hAnsi="Cambria"/>
        </w:rPr>
        <w:t xml:space="preserve">percentage frequencies of gold </w:t>
      </w:r>
      <w:r w:rsidR="00533C82" w:rsidRPr="009B605C">
        <w:rPr>
          <w:rFonts w:ascii="Cambria" w:hAnsi="Cambria"/>
        </w:rPr>
        <w:t xml:space="preserve">are higher </w:t>
      </w:r>
      <w:r w:rsidR="0044755F" w:rsidRPr="009B605C">
        <w:rPr>
          <w:rFonts w:ascii="Cambria" w:hAnsi="Cambria"/>
        </w:rPr>
        <w:t xml:space="preserve">than those for Crypto </w:t>
      </w:r>
      <w:r w:rsidR="00533C82" w:rsidRPr="009B605C">
        <w:rPr>
          <w:rFonts w:ascii="Cambria" w:hAnsi="Cambria"/>
        </w:rPr>
        <w:t>not only at the 5%, but also at the 10% significance level</w:t>
      </w:r>
      <w:r w:rsidR="0044755F" w:rsidRPr="009B605C">
        <w:rPr>
          <w:rFonts w:ascii="Cambria" w:hAnsi="Cambria"/>
        </w:rPr>
        <w:t>, with the exemption of the</w:t>
      </w:r>
      <w:r w:rsidR="00533C82" w:rsidRPr="009B605C">
        <w:rPr>
          <w:rFonts w:ascii="Cambria" w:hAnsi="Cambria"/>
        </w:rPr>
        <w:t xml:space="preserve"> marginally better performance </w:t>
      </w:r>
      <w:r w:rsidR="0044755F" w:rsidRPr="009B605C">
        <w:rPr>
          <w:rFonts w:ascii="Cambria" w:hAnsi="Cambria"/>
        </w:rPr>
        <w:t>of g</w:t>
      </w:r>
      <w:r w:rsidR="00533C82" w:rsidRPr="009B605C">
        <w:rPr>
          <w:rFonts w:ascii="Cambria" w:hAnsi="Cambria"/>
        </w:rPr>
        <w:t xml:space="preserve">old </w:t>
      </w:r>
      <w:r w:rsidR="0044755F" w:rsidRPr="009B605C">
        <w:rPr>
          <w:rFonts w:ascii="Cambria" w:hAnsi="Cambria"/>
        </w:rPr>
        <w:t xml:space="preserve">for Chinese stocks </w:t>
      </w:r>
      <w:r w:rsidR="00533C82" w:rsidRPr="009B605C">
        <w:rPr>
          <w:rFonts w:ascii="Cambria" w:hAnsi="Cambria"/>
        </w:rPr>
        <w:t>at the 10%</w:t>
      </w:r>
      <w:r w:rsidR="0044755F" w:rsidRPr="009B605C">
        <w:rPr>
          <w:rFonts w:ascii="Cambria" w:hAnsi="Cambria"/>
        </w:rPr>
        <w:t xml:space="preserve"> level. This finding provides reassurance of</w:t>
      </w:r>
      <w:r w:rsidR="00533C82" w:rsidRPr="009B605C">
        <w:rPr>
          <w:rFonts w:ascii="Cambria" w:hAnsi="Cambria"/>
        </w:rPr>
        <w:t xml:space="preserve"> the robustness of </w:t>
      </w:r>
      <w:r w:rsidR="0044755F" w:rsidRPr="009B605C">
        <w:rPr>
          <w:rFonts w:ascii="Cambria" w:hAnsi="Cambria"/>
        </w:rPr>
        <w:t>our</w:t>
      </w:r>
      <w:r w:rsidR="00533C82" w:rsidRPr="009B605C">
        <w:rPr>
          <w:rFonts w:ascii="Cambria" w:hAnsi="Cambria"/>
        </w:rPr>
        <w:t xml:space="preserve"> results</w:t>
      </w:r>
      <w:r w:rsidR="0044755F" w:rsidRPr="009B605C">
        <w:rPr>
          <w:rFonts w:ascii="Cambria" w:hAnsi="Cambria"/>
        </w:rPr>
        <w:t xml:space="preserve"> for the lengthier persistency of Crypto to act as </w:t>
      </w:r>
      <w:r w:rsidR="009302D9" w:rsidRPr="009B605C">
        <w:rPr>
          <w:rFonts w:ascii="Cambria" w:hAnsi="Cambria"/>
        </w:rPr>
        <w:t>hedge</w:t>
      </w:r>
      <w:r w:rsidR="0044755F" w:rsidRPr="009B605C">
        <w:rPr>
          <w:rFonts w:ascii="Cambria" w:hAnsi="Cambria"/>
        </w:rPr>
        <w:t xml:space="preserve"> for BRICS stocks than gold</w:t>
      </w:r>
      <w:r w:rsidR="00533C82" w:rsidRPr="009B605C">
        <w:rPr>
          <w:rFonts w:ascii="Cambria" w:hAnsi="Cambria"/>
        </w:rPr>
        <w:t xml:space="preserve">. Even though Crypto outperforms </w:t>
      </w:r>
      <w:r w:rsidR="009302D9" w:rsidRPr="009B605C">
        <w:rPr>
          <w:rFonts w:ascii="Cambria" w:hAnsi="Cambria"/>
        </w:rPr>
        <w:t>g</w:t>
      </w:r>
      <w:r w:rsidR="00533C82" w:rsidRPr="009B605C">
        <w:rPr>
          <w:rFonts w:ascii="Cambria" w:hAnsi="Cambria"/>
        </w:rPr>
        <w:t>old before the conflict, BRICS investors change their behaviour since the conflict started</w:t>
      </w:r>
      <w:r w:rsidR="00FB2D22" w:rsidRPr="009B605C">
        <w:rPr>
          <w:rFonts w:ascii="Cambria" w:hAnsi="Cambria"/>
        </w:rPr>
        <w:t xml:space="preserve"> (see, Xu and </w:t>
      </w:r>
      <w:proofErr w:type="spellStart"/>
      <w:r w:rsidR="00FB2D22" w:rsidRPr="009B605C">
        <w:rPr>
          <w:rFonts w:ascii="Cambria" w:hAnsi="Cambria"/>
        </w:rPr>
        <w:t>Kinkyo</w:t>
      </w:r>
      <w:proofErr w:type="spellEnd"/>
      <w:r w:rsidR="00FB2D22" w:rsidRPr="009B605C">
        <w:rPr>
          <w:rFonts w:ascii="Cambria" w:hAnsi="Cambria"/>
        </w:rPr>
        <w:t>, 2023)</w:t>
      </w:r>
      <w:r w:rsidR="00533C82" w:rsidRPr="009B605C">
        <w:rPr>
          <w:rFonts w:ascii="Cambria" w:hAnsi="Cambria"/>
        </w:rPr>
        <w:t xml:space="preserve">. This is seen from the changing relative dynamics of the </w:t>
      </w:r>
      <w:r w:rsidR="007C7F4B" w:rsidRPr="009B605C">
        <w:rPr>
          <w:rFonts w:ascii="Cambria" w:hAnsi="Cambria"/>
        </w:rPr>
        <w:t xml:space="preserve">percentage frequencies </w:t>
      </w:r>
      <w:r w:rsidR="00533C82" w:rsidRPr="009B605C">
        <w:rPr>
          <w:rFonts w:ascii="Cambria" w:hAnsi="Cambria"/>
        </w:rPr>
        <w:t>in Panel B relative to Panel A</w:t>
      </w:r>
      <w:r w:rsidR="00661AFC" w:rsidRPr="009B605C">
        <w:rPr>
          <w:rFonts w:ascii="Cambria" w:hAnsi="Cambria"/>
        </w:rPr>
        <w:t xml:space="preserve"> of Table 4</w:t>
      </w:r>
      <w:r w:rsidR="00533C82" w:rsidRPr="009B605C">
        <w:rPr>
          <w:rFonts w:ascii="Cambria" w:hAnsi="Cambria"/>
        </w:rPr>
        <w:t xml:space="preserve">. After the conflict has started, Crypto outperforms </w:t>
      </w:r>
      <w:r w:rsidR="00FB2D22" w:rsidRPr="009B605C">
        <w:rPr>
          <w:rFonts w:ascii="Cambria" w:hAnsi="Cambria"/>
        </w:rPr>
        <w:t>g</w:t>
      </w:r>
      <w:r w:rsidR="00533C82" w:rsidRPr="009B605C">
        <w:rPr>
          <w:rFonts w:ascii="Cambria" w:hAnsi="Cambria"/>
        </w:rPr>
        <w:t xml:space="preserve">old in Brazil only, as seen from </w:t>
      </w:r>
      <w:r w:rsidR="00FB2D22" w:rsidRPr="009B605C">
        <w:rPr>
          <w:rFonts w:ascii="Cambria" w:hAnsi="Cambria"/>
        </w:rPr>
        <w:t>its</w:t>
      </w:r>
      <w:r w:rsidR="00533C82" w:rsidRPr="009B605C">
        <w:rPr>
          <w:rFonts w:ascii="Cambria" w:hAnsi="Cambria"/>
        </w:rPr>
        <w:t xml:space="preserve"> smaller </w:t>
      </w:r>
      <w:r w:rsidR="007C7F4B" w:rsidRPr="009B605C">
        <w:rPr>
          <w:rFonts w:ascii="Cambria" w:hAnsi="Cambria"/>
        </w:rPr>
        <w:t xml:space="preserve">percentage frequency </w:t>
      </w:r>
      <w:r w:rsidR="00533C82" w:rsidRPr="009B605C">
        <w:rPr>
          <w:rFonts w:ascii="Cambria" w:hAnsi="Cambria"/>
        </w:rPr>
        <w:t xml:space="preserve">at both 5% and 10% significance levels. </w:t>
      </w:r>
      <w:r w:rsidR="00535042" w:rsidRPr="009B605C">
        <w:rPr>
          <w:rFonts w:ascii="Cambria" w:hAnsi="Cambria"/>
        </w:rPr>
        <w:t>However, for all other BRICS markets, Crypto shows a larger percentage frequency than gold in the post-conflict announcement period, indicating the diminishing safe haven properties of crypto</w:t>
      </w:r>
      <w:r w:rsidR="00FA046C" w:rsidRPr="009B605C">
        <w:rPr>
          <w:rFonts w:ascii="Cambria" w:hAnsi="Cambria"/>
        </w:rPr>
        <w:t>currency market</w:t>
      </w:r>
      <w:r w:rsidR="00535042" w:rsidRPr="009B605C">
        <w:rPr>
          <w:rFonts w:ascii="Cambria" w:hAnsi="Cambria"/>
        </w:rPr>
        <w:t xml:space="preserve"> and the resurgence of gold as a safe haven for BRICS investors during the </w:t>
      </w:r>
      <w:r w:rsidR="00FA046C" w:rsidRPr="009B605C">
        <w:rPr>
          <w:rFonts w:ascii="Cambria" w:hAnsi="Cambria"/>
        </w:rPr>
        <w:t>2022 Russia-Ukraine military conflict</w:t>
      </w:r>
      <w:r w:rsidR="00535042" w:rsidRPr="009B605C">
        <w:rPr>
          <w:rFonts w:ascii="Cambria" w:hAnsi="Cambria"/>
        </w:rPr>
        <w:t>.</w:t>
      </w:r>
    </w:p>
    <w:p w14:paraId="79091760" w14:textId="4EFEAFEE" w:rsidR="006D2CBB" w:rsidRPr="009B605C" w:rsidRDefault="006D2CBB"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4]</w:t>
      </w:r>
    </w:p>
    <w:p w14:paraId="2AC759A0" w14:textId="77777777" w:rsidR="00927C6B" w:rsidRDefault="00927C6B" w:rsidP="0087752F">
      <w:pPr>
        <w:spacing w:before="160" w:after="40" w:line="360" w:lineRule="auto"/>
        <w:rPr>
          <w:rFonts w:ascii="Cambria" w:hAnsi="Cambria"/>
          <w:b/>
          <w:bCs/>
        </w:rPr>
      </w:pPr>
    </w:p>
    <w:p w14:paraId="181E88EA" w14:textId="77777777" w:rsidR="00927C6B" w:rsidRDefault="00927C6B" w:rsidP="0087752F">
      <w:pPr>
        <w:spacing w:before="160" w:after="40" w:line="360" w:lineRule="auto"/>
        <w:rPr>
          <w:rFonts w:ascii="Cambria" w:hAnsi="Cambria"/>
          <w:b/>
          <w:bCs/>
        </w:rPr>
      </w:pPr>
    </w:p>
    <w:p w14:paraId="3A24D6CE" w14:textId="3CC6224C" w:rsidR="00EB759D" w:rsidRPr="009B605C" w:rsidRDefault="000C667A" w:rsidP="0087752F">
      <w:pPr>
        <w:spacing w:before="160" w:after="40" w:line="360" w:lineRule="auto"/>
        <w:rPr>
          <w:rFonts w:ascii="Cambria" w:hAnsi="Cambria"/>
          <w:b/>
          <w:bCs/>
        </w:rPr>
      </w:pPr>
      <w:r w:rsidRPr="009B605C">
        <w:rPr>
          <w:rFonts w:ascii="Cambria" w:hAnsi="Cambria"/>
          <w:b/>
          <w:bCs/>
        </w:rPr>
        <w:lastRenderedPageBreak/>
        <w:t>4</w:t>
      </w:r>
      <w:r w:rsidR="006D2CBB" w:rsidRPr="009B605C">
        <w:rPr>
          <w:rFonts w:ascii="Cambria" w:hAnsi="Cambria"/>
          <w:b/>
          <w:bCs/>
        </w:rPr>
        <w:t xml:space="preserve">.2. Granger </w:t>
      </w:r>
      <w:r w:rsidR="00222364" w:rsidRPr="009B605C">
        <w:rPr>
          <w:rFonts w:ascii="Cambria" w:hAnsi="Cambria"/>
          <w:b/>
          <w:bCs/>
        </w:rPr>
        <w:t>c</w:t>
      </w:r>
      <w:r w:rsidR="006D2CBB" w:rsidRPr="009B605C">
        <w:rPr>
          <w:rFonts w:ascii="Cambria" w:hAnsi="Cambria"/>
          <w:b/>
          <w:bCs/>
        </w:rPr>
        <w:t xml:space="preserve">ausality </w:t>
      </w:r>
      <w:r w:rsidR="00EA710C" w:rsidRPr="009B605C">
        <w:rPr>
          <w:rFonts w:ascii="Cambria" w:hAnsi="Cambria"/>
          <w:b/>
          <w:bCs/>
        </w:rPr>
        <w:t>test results</w:t>
      </w:r>
    </w:p>
    <w:p w14:paraId="19799B44" w14:textId="1E3919D8" w:rsidR="0016167C" w:rsidRPr="009B605C" w:rsidRDefault="00661AFC" w:rsidP="00A04325">
      <w:pPr>
        <w:spacing w:line="360" w:lineRule="auto"/>
        <w:jc w:val="both"/>
        <w:rPr>
          <w:rFonts w:ascii="Cambria" w:hAnsi="Cambria"/>
        </w:rPr>
      </w:pPr>
      <w:r w:rsidRPr="009B605C">
        <w:rPr>
          <w:rFonts w:ascii="Cambria" w:hAnsi="Cambria"/>
        </w:rPr>
        <w:t xml:space="preserve">This section outlines the outcomes from our Granger causality tests. </w:t>
      </w:r>
      <w:r w:rsidR="0016167C" w:rsidRPr="009B605C">
        <w:rPr>
          <w:rFonts w:ascii="Cambria" w:hAnsi="Cambria"/>
        </w:rPr>
        <w:t>We begin by applying a standard time-invariant Granger causality test, followed by the time-varying robust Granger causality test proposed by Rossi and Wang (2019) to address parameter instability. Both tests evaluate the null hypothesis of non-causality against the alternative hypothesis of causality, using the BIC</w:t>
      </w:r>
      <w:r w:rsidR="00655DDD" w:rsidRPr="009B605C">
        <w:rPr>
          <w:rFonts w:ascii="Cambria" w:hAnsi="Cambria"/>
        </w:rPr>
        <w:t xml:space="preserve"> for lag selection</w:t>
      </w:r>
      <w:r w:rsidR="0016167C" w:rsidRPr="009B605C">
        <w:rPr>
          <w:rFonts w:ascii="Cambria" w:hAnsi="Cambria"/>
        </w:rPr>
        <w:t>.</w:t>
      </w:r>
      <w:r w:rsidR="00B923A6" w:rsidRPr="009B605C">
        <w:rPr>
          <w:rFonts w:ascii="Cambria" w:hAnsi="Cambria"/>
        </w:rPr>
        <w:t xml:space="preserve"> Our study assumes that an asset serves as </w:t>
      </w:r>
      <w:r w:rsidR="00EA329E">
        <w:rPr>
          <w:rFonts w:ascii="Cambria" w:hAnsi="Cambria"/>
        </w:rPr>
        <w:t xml:space="preserve">a </w:t>
      </w:r>
      <w:r w:rsidR="00B923A6" w:rsidRPr="009B605C">
        <w:rPr>
          <w:rFonts w:ascii="Cambria" w:hAnsi="Cambria"/>
        </w:rPr>
        <w:t>safe haven if there is no evidence of causality or causality is found only in the case from the potential safe haven asset, either gold or crypto, to the BRICS stocks, but not vice versa. From an investor’s perspective, if causality exists in both directions or if causality is observed from BRICS stocks to the potential safe haven asset, it suggests that the asset is not truly serving as a hedge or safe haven. This would imply that the asset does not effectively protect the investor from market downturns or volatility. In such cases, investors would need to reconsider their strategies as relying on such assets for risk mitigation could expose them to greater market risks rather than providing the expected protection.</w:t>
      </w:r>
    </w:p>
    <w:p w14:paraId="7AB80E66" w14:textId="758FF5DA" w:rsidR="00D74E3B" w:rsidRPr="009B605C" w:rsidRDefault="00935B55" w:rsidP="0087752F">
      <w:pPr>
        <w:spacing w:line="360" w:lineRule="auto"/>
        <w:ind w:firstLine="720"/>
        <w:jc w:val="both"/>
        <w:rPr>
          <w:rFonts w:ascii="Cambria" w:hAnsi="Cambria"/>
        </w:rPr>
      </w:pPr>
      <w:r w:rsidRPr="009B605C">
        <w:rPr>
          <w:rFonts w:ascii="Cambria" w:hAnsi="Cambria"/>
        </w:rPr>
        <w:t xml:space="preserve">Table 5 reports the results from the standard time-invariant Granger causality test for both pre- and post-conflict announcement periods, </w:t>
      </w:r>
      <w:r w:rsidR="004C723F" w:rsidRPr="009B605C">
        <w:rPr>
          <w:rFonts w:ascii="Cambria" w:hAnsi="Cambria"/>
        </w:rPr>
        <w:t xml:space="preserve">in </w:t>
      </w:r>
      <w:r w:rsidRPr="009B605C">
        <w:rPr>
          <w:rFonts w:ascii="Cambria" w:hAnsi="Cambria"/>
        </w:rPr>
        <w:t xml:space="preserve">Panels A and B, respectively. </w:t>
      </w:r>
      <w:r w:rsidR="005A110B" w:rsidRPr="009B605C">
        <w:rPr>
          <w:rFonts w:ascii="Cambria" w:hAnsi="Cambria"/>
        </w:rPr>
        <w:t>In particular</w:t>
      </w:r>
      <w:r w:rsidR="008534A6" w:rsidRPr="009B605C">
        <w:rPr>
          <w:rFonts w:ascii="Cambria" w:hAnsi="Cambria"/>
        </w:rPr>
        <w:t xml:space="preserve">, Panel A of Table 5 provides </w:t>
      </w:r>
      <w:r w:rsidR="00CC2210" w:rsidRPr="009B605C">
        <w:rPr>
          <w:rFonts w:ascii="Cambria" w:hAnsi="Cambria"/>
        </w:rPr>
        <w:t xml:space="preserve">significant </w:t>
      </w:r>
      <w:r w:rsidR="008534A6" w:rsidRPr="009B605C">
        <w:rPr>
          <w:rFonts w:ascii="Cambria" w:hAnsi="Cambria"/>
        </w:rPr>
        <w:t xml:space="preserve">evidence for bi-directional causality only </w:t>
      </w:r>
      <w:r w:rsidR="00D220D6" w:rsidRPr="009B605C">
        <w:rPr>
          <w:rFonts w:ascii="Cambria" w:hAnsi="Cambria"/>
        </w:rPr>
        <w:t xml:space="preserve">in the case of </w:t>
      </w:r>
      <w:r w:rsidR="008534A6" w:rsidRPr="009B605C">
        <w:rPr>
          <w:rFonts w:ascii="Cambria" w:hAnsi="Cambria"/>
        </w:rPr>
        <w:t xml:space="preserve">Crypto </w:t>
      </w:r>
      <w:r w:rsidR="00CC2210" w:rsidRPr="009B605C">
        <w:rPr>
          <w:rFonts w:ascii="Cambria" w:hAnsi="Cambria"/>
        </w:rPr>
        <w:t>with</w:t>
      </w:r>
      <w:r w:rsidR="008534A6" w:rsidRPr="009B605C">
        <w:rPr>
          <w:rFonts w:ascii="Cambria" w:hAnsi="Cambria"/>
        </w:rPr>
        <w:t xml:space="preserve"> </w:t>
      </w:r>
      <w:r w:rsidR="00CC2210" w:rsidRPr="009B605C">
        <w:rPr>
          <w:rFonts w:ascii="Cambria" w:hAnsi="Cambria"/>
        </w:rPr>
        <w:t xml:space="preserve">the stock markets for </w:t>
      </w:r>
      <w:r w:rsidR="008534A6" w:rsidRPr="009B605C">
        <w:rPr>
          <w:rFonts w:ascii="Cambria" w:hAnsi="Cambria"/>
        </w:rPr>
        <w:t>Brazil and India</w:t>
      </w:r>
      <w:r w:rsidR="00CC2210" w:rsidRPr="009B605C">
        <w:rPr>
          <w:rFonts w:ascii="Cambria" w:hAnsi="Cambria"/>
        </w:rPr>
        <w:t xml:space="preserve">. Further to that, for the period before the conflict, evidence of </w:t>
      </w:r>
      <w:proofErr w:type="spellStart"/>
      <w:r w:rsidR="00CC2210" w:rsidRPr="009B605C">
        <w:rPr>
          <w:rFonts w:ascii="Cambria" w:hAnsi="Cambria"/>
        </w:rPr>
        <w:t>uni</w:t>
      </w:r>
      <w:proofErr w:type="spellEnd"/>
      <w:r w:rsidR="00CC2210" w:rsidRPr="009B605C">
        <w:rPr>
          <w:rFonts w:ascii="Cambria" w:hAnsi="Cambria"/>
        </w:rPr>
        <w:t>-directional causality is determined from Brazilian and Chinese stocks to gold, and from South African stocks to Crypto. Thus, the hedging properties of gold are observed only for the Russian, Indian, and South African stocks, while those of cryptocurrencies are seen for the Russian and Chinese markets.</w:t>
      </w:r>
      <w:r w:rsidR="00D74E3B" w:rsidRPr="009B605C">
        <w:rPr>
          <w:rFonts w:ascii="Cambria" w:hAnsi="Cambria"/>
        </w:rPr>
        <w:t xml:space="preserve"> For the period after the onset of the conflict, evidence of causality is far weaker, with the significant test statistics emerging only from South African stocks to gold. This evidence implies that both gold and cryptocurrency market improve their safe haven properties for BRICS stocks in periods of high geopolitical uncertainty, such as the 2022 Russia-Ukraine military conflict. As South African stocks have impact on gold in the post-conflict announcement period, we can infer that Crypto’s safe have properties mildly outperform those of gold during the military conflict. </w:t>
      </w:r>
    </w:p>
    <w:p w14:paraId="2C2167FE" w14:textId="415B8DAB" w:rsidR="006D2CBB" w:rsidRPr="009B605C" w:rsidRDefault="006D2CBB"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5]</w:t>
      </w:r>
    </w:p>
    <w:p w14:paraId="761427CF" w14:textId="77777777" w:rsidR="006B6BF6" w:rsidRDefault="006D2CBB" w:rsidP="00681FFE">
      <w:pPr>
        <w:spacing w:line="360" w:lineRule="auto"/>
        <w:jc w:val="both"/>
        <w:rPr>
          <w:rFonts w:ascii="Cambria" w:hAnsi="Cambria"/>
        </w:rPr>
      </w:pPr>
      <w:r w:rsidRPr="009B605C">
        <w:rPr>
          <w:rFonts w:ascii="Cambria" w:hAnsi="Cambria"/>
        </w:rPr>
        <w:lastRenderedPageBreak/>
        <w:t>Table 6</w:t>
      </w:r>
      <w:r w:rsidR="00095F15" w:rsidRPr="009B605C">
        <w:rPr>
          <w:rFonts w:ascii="Cambria" w:hAnsi="Cambria"/>
        </w:rPr>
        <w:t xml:space="preserve"> </w:t>
      </w:r>
      <w:r w:rsidR="0074359C" w:rsidRPr="009B605C">
        <w:rPr>
          <w:rFonts w:ascii="Cambria" w:hAnsi="Cambria"/>
        </w:rPr>
        <w:t xml:space="preserve">presents the results from </w:t>
      </w:r>
      <w:r w:rsidR="006260F4" w:rsidRPr="009B605C">
        <w:rPr>
          <w:rFonts w:ascii="Cambria" w:hAnsi="Cambria"/>
        </w:rPr>
        <w:t xml:space="preserve">time-varying robust Granger causality test </w:t>
      </w:r>
      <w:r w:rsidR="0074359C" w:rsidRPr="009B605C">
        <w:rPr>
          <w:rFonts w:ascii="Cambria" w:hAnsi="Cambria"/>
        </w:rPr>
        <w:t xml:space="preserve">of Rossi and Wang (2019). </w:t>
      </w:r>
      <w:r w:rsidR="00347EB4" w:rsidRPr="009B605C">
        <w:rPr>
          <w:rFonts w:ascii="Cambria" w:hAnsi="Cambria"/>
        </w:rPr>
        <w:t xml:space="preserve">The results are divided into two panels: pre- and post-conflict announcement periods. </w:t>
      </w:r>
      <w:r w:rsidR="00C50B25" w:rsidRPr="009B605C">
        <w:rPr>
          <w:rFonts w:ascii="Cambria" w:hAnsi="Cambria"/>
        </w:rPr>
        <w:t>Here, we use three distinct test statistics to ensure the robustness of our results: Mean Wald (MeanW), Nyblom (Nyblom), and Quandt Likelihood Ratio (</w:t>
      </w:r>
      <w:proofErr w:type="spellStart"/>
      <w:r w:rsidR="00C50B25" w:rsidRPr="009B605C">
        <w:rPr>
          <w:rFonts w:ascii="Cambria" w:hAnsi="Cambria"/>
        </w:rPr>
        <w:t>SupLR</w:t>
      </w:r>
      <w:proofErr w:type="spellEnd"/>
      <w:r w:rsidR="00C50B25" w:rsidRPr="009B605C">
        <w:rPr>
          <w:rFonts w:ascii="Cambria" w:hAnsi="Cambria"/>
        </w:rPr>
        <w:t>). As a rule of thumb, if at least two out of the three statistics are significant at the 10% significance level, we infer the existence of causality and conclude that the asset does not act as a safe haven (see, Zhou et al., 2024).</w:t>
      </w:r>
      <w:r w:rsidR="0029178F" w:rsidRPr="009B605C">
        <w:rPr>
          <w:rFonts w:ascii="Cambria" w:hAnsi="Cambria"/>
        </w:rPr>
        <w:t xml:space="preserve"> </w:t>
      </w:r>
      <w:r w:rsidR="006549A0" w:rsidRPr="009B605C">
        <w:rPr>
          <w:rFonts w:ascii="Cambria" w:hAnsi="Cambria"/>
        </w:rPr>
        <w:t xml:space="preserve">Consistent with the time-invariant Granger causality tests, our study assumes that an asset serves as a safe haven if there is no evidence of causality, or if causality is found only in the direction from the potential safe haven asset (either gold or crypto) to the BRICS stocks, but not the other way round. </w:t>
      </w:r>
      <w:r w:rsidR="0029178F" w:rsidRPr="009B605C">
        <w:rPr>
          <w:rFonts w:ascii="Cambria" w:hAnsi="Cambria"/>
        </w:rPr>
        <w:t>Therefore, the following discussion focuses on the causality results from stock returns to the potential safe haven asset.</w:t>
      </w:r>
      <w:r w:rsidR="0029178F" w:rsidRPr="009B605C">
        <w:rPr>
          <w:rStyle w:val="FootnoteReference"/>
          <w:rFonts w:ascii="Cambria" w:hAnsi="Cambria"/>
        </w:rPr>
        <w:footnoteReference w:id="2"/>
      </w:r>
      <w:r w:rsidR="008723DE" w:rsidRPr="009B605C">
        <w:rPr>
          <w:rFonts w:ascii="Cambria" w:hAnsi="Cambria"/>
        </w:rPr>
        <w:t xml:space="preserve"> </w:t>
      </w:r>
      <w:r w:rsidR="00430E26" w:rsidRPr="009B605C">
        <w:rPr>
          <w:rFonts w:ascii="Cambria" w:hAnsi="Cambria"/>
        </w:rPr>
        <w:t xml:space="preserve">The results in Panel A of Table 6 show causality from the potential safe haven asset to BRICS stocks for all series in the pre-conflict period. In contrast, the post-conflict announcement period is marked by causality for all cases except the Crypto-China pair. These findings are supported by the MeanW, Nyblom, and </w:t>
      </w:r>
      <w:proofErr w:type="spellStart"/>
      <w:r w:rsidR="00430E26" w:rsidRPr="009B605C">
        <w:rPr>
          <w:rFonts w:ascii="Cambria" w:hAnsi="Cambria"/>
        </w:rPr>
        <w:t>SupLR</w:t>
      </w:r>
      <w:proofErr w:type="spellEnd"/>
      <w:r w:rsidR="00430E26" w:rsidRPr="009B605C">
        <w:rPr>
          <w:rFonts w:ascii="Cambria" w:hAnsi="Cambria"/>
        </w:rPr>
        <w:t xml:space="preserve"> statistics at the 10% significance level.</w:t>
      </w:r>
      <w:r w:rsidR="00793C75" w:rsidRPr="009B605C">
        <w:rPr>
          <w:rFonts w:ascii="Cambria" w:hAnsi="Cambria"/>
        </w:rPr>
        <w:t xml:space="preserve"> As such, our results indicate that cryptocurrencies</w:t>
      </w:r>
      <w:r w:rsidR="005D5211" w:rsidRPr="009B605C">
        <w:rPr>
          <w:rFonts w:ascii="Cambria" w:hAnsi="Cambria"/>
        </w:rPr>
        <w:t>, represented by Crypto,</w:t>
      </w:r>
      <w:r w:rsidR="00793C75" w:rsidRPr="009B605C">
        <w:rPr>
          <w:rFonts w:ascii="Cambria" w:hAnsi="Cambria"/>
        </w:rPr>
        <w:t xml:space="preserve"> serve as a safe haven for Chinese stocks during the 2022 Russia-Ukraine military conflict. For the other cases, causality exists at least temporarily, suggesting that there are periods when these assets do not serve as safe havens for BRICS stocks. This finding adds to study of Li and Miu (2023) who determine that cryptocurrency is far from a </w:t>
      </w:r>
      <w:hyperlink r:id="rId8" w:tooltip="Learn more about safe haven from ScienceDirect's AI-generated Topic Pages" w:history="1">
        <w:r w:rsidR="00793C75" w:rsidRPr="009B605C">
          <w:rPr>
            <w:rFonts w:ascii="Cambria" w:eastAsiaTheme="majorEastAsia" w:hAnsi="Cambria"/>
          </w:rPr>
          <w:t>safe haven</w:t>
        </w:r>
      </w:hyperlink>
      <w:r w:rsidR="00793C75" w:rsidRPr="009B605C">
        <w:rPr>
          <w:rFonts w:ascii="Cambria" w:hAnsi="Cambria"/>
        </w:rPr>
        <w:t xml:space="preserve"> asset considering the four most liquid cryptocurrencies – Bitcoin, Dash, Litecoin, and Ripple.</w:t>
      </w:r>
    </w:p>
    <w:p w14:paraId="696A6941" w14:textId="7E482C47" w:rsidR="00F64AA9" w:rsidRPr="009B605C" w:rsidRDefault="00F64AA9" w:rsidP="006B6BF6">
      <w:pPr>
        <w:spacing w:line="360" w:lineRule="auto"/>
        <w:ind w:firstLine="720"/>
        <w:jc w:val="both"/>
        <w:rPr>
          <w:rFonts w:ascii="Cambria" w:hAnsi="Cambria"/>
        </w:rPr>
      </w:pPr>
      <w:r w:rsidRPr="009B605C">
        <w:rPr>
          <w:rFonts w:ascii="Cambria" w:hAnsi="Cambria"/>
        </w:rPr>
        <w:t xml:space="preserve">In summary, the results from the time-invariant Granger causality tests in Table 5 indicate increased evidence of safe haven properties during the conflict period. </w:t>
      </w:r>
      <w:r w:rsidR="009A34D7" w:rsidRPr="009B605C">
        <w:rPr>
          <w:rFonts w:ascii="Cambria" w:hAnsi="Cambria"/>
        </w:rPr>
        <w:t>Specifically</w:t>
      </w:r>
      <w:r w:rsidRPr="009B605C">
        <w:rPr>
          <w:rFonts w:ascii="Cambria" w:hAnsi="Cambria"/>
        </w:rPr>
        <w:t>, cryptocurrencies are found to serve as a safe haven for all stock markets, while gold serves as a safe haven for all markets except South Africa. In contrast, the results from the time-varying causality tests</w:t>
      </w:r>
      <w:r w:rsidR="009A34D7" w:rsidRPr="009B605C">
        <w:rPr>
          <w:rFonts w:ascii="Cambria" w:hAnsi="Cambria"/>
        </w:rPr>
        <w:t>, presented in Table 6,</w:t>
      </w:r>
      <w:r w:rsidRPr="009B605C">
        <w:rPr>
          <w:rFonts w:ascii="Cambria" w:hAnsi="Cambria"/>
        </w:rPr>
        <w:t xml:space="preserve"> reveal substantial evidence of temporal dependence between the BRICS stocks and potential safe haven assets during the conflict period. </w:t>
      </w:r>
      <w:r w:rsidR="009A34D7" w:rsidRPr="009B605C">
        <w:rPr>
          <w:rFonts w:ascii="Cambria" w:hAnsi="Cambria"/>
        </w:rPr>
        <w:t xml:space="preserve">In fact, the China-Crypto pair is the only case where safe haven status is confirmed by at least two of the three statistics, suggesting that conservative investors may disproportionately benefit from considering </w:t>
      </w:r>
      <w:r w:rsidR="009A34D7" w:rsidRPr="009B605C">
        <w:rPr>
          <w:rFonts w:ascii="Cambria" w:hAnsi="Cambria"/>
        </w:rPr>
        <w:lastRenderedPageBreak/>
        <w:t>cryptocurrencies as a safe haven for Chinese stocks in times of crisis. Furthermore, our results highlight the advantage of the time-varying causality tests, which are capable of uncovering temporal causality in places where the standard time-invariant tests fail.</w:t>
      </w:r>
    </w:p>
    <w:p w14:paraId="06A47DCA" w14:textId="2C792D78" w:rsidR="006D2CBB" w:rsidRPr="009B605C" w:rsidRDefault="006D2CBB"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6]</w:t>
      </w:r>
    </w:p>
    <w:p w14:paraId="56960539" w14:textId="3C5C8ADA" w:rsidR="006D2CBB" w:rsidRPr="009B605C" w:rsidRDefault="000C667A" w:rsidP="0087752F">
      <w:pPr>
        <w:spacing w:before="160" w:after="40" w:line="360" w:lineRule="auto"/>
        <w:rPr>
          <w:rFonts w:ascii="Cambria" w:hAnsi="Cambria"/>
          <w:b/>
          <w:bCs/>
        </w:rPr>
      </w:pPr>
      <w:r w:rsidRPr="009B605C">
        <w:rPr>
          <w:rFonts w:ascii="Cambria" w:hAnsi="Cambria"/>
          <w:b/>
          <w:bCs/>
        </w:rPr>
        <w:t>4</w:t>
      </w:r>
      <w:r w:rsidR="006D2CBB" w:rsidRPr="009B605C">
        <w:rPr>
          <w:rFonts w:ascii="Cambria" w:hAnsi="Cambria"/>
          <w:b/>
          <w:bCs/>
        </w:rPr>
        <w:t xml:space="preserve">.3. </w:t>
      </w:r>
      <w:r w:rsidR="00EA710C" w:rsidRPr="009B605C">
        <w:rPr>
          <w:rFonts w:ascii="Cambria" w:hAnsi="Cambria"/>
          <w:b/>
          <w:bCs/>
        </w:rPr>
        <w:t>Time-varying causal graphical inferences</w:t>
      </w:r>
    </w:p>
    <w:p w14:paraId="35635C4D" w14:textId="3429460B" w:rsidR="00CB6E9C" w:rsidRPr="009B605C" w:rsidRDefault="00CB6E9C" w:rsidP="0087752F">
      <w:pPr>
        <w:spacing w:line="360" w:lineRule="auto"/>
        <w:jc w:val="both"/>
        <w:rPr>
          <w:rFonts w:ascii="Cambria" w:hAnsi="Cambria"/>
        </w:rPr>
      </w:pPr>
      <w:r w:rsidRPr="009B605C">
        <w:rPr>
          <w:rFonts w:ascii="Cambria" w:hAnsi="Cambria"/>
        </w:rPr>
        <w:t xml:space="preserve">In this section, we determine the specific periods during which a causal relationship exists between BRICS stocks and the potential safe haven asset. </w:t>
      </w:r>
      <w:r w:rsidR="004820C0" w:rsidRPr="009B605C">
        <w:rPr>
          <w:rFonts w:ascii="Cambria" w:hAnsi="Cambria"/>
        </w:rPr>
        <w:t>In line with the Granger causality tests, our study defines an asset as not</w:t>
      </w:r>
      <w:r w:rsidR="002A672B" w:rsidRPr="009B605C">
        <w:rPr>
          <w:rFonts w:ascii="Cambria" w:hAnsi="Cambria"/>
        </w:rPr>
        <w:t xml:space="preserve"> being</w:t>
      </w:r>
      <w:r w:rsidR="004820C0" w:rsidRPr="009B605C">
        <w:rPr>
          <w:rFonts w:ascii="Cambria" w:hAnsi="Cambria"/>
        </w:rPr>
        <w:t xml:space="preserve"> a safe haven if </w:t>
      </w:r>
      <w:r w:rsidR="002A672B" w:rsidRPr="009B605C">
        <w:rPr>
          <w:rFonts w:ascii="Cambria" w:hAnsi="Cambria"/>
        </w:rPr>
        <w:t xml:space="preserve">evidence of </w:t>
      </w:r>
      <w:r w:rsidR="004820C0" w:rsidRPr="009B605C">
        <w:rPr>
          <w:rFonts w:ascii="Cambria" w:hAnsi="Cambria"/>
        </w:rPr>
        <w:t>causality exists from the BRICS stocks to the potential safe haven asset (either gold or crypto).</w:t>
      </w:r>
      <w:r w:rsidR="00180C4A" w:rsidRPr="009B605C">
        <w:rPr>
          <w:rFonts w:ascii="Cambria" w:hAnsi="Cambria"/>
        </w:rPr>
        <w:t xml:space="preserve"> Consequently, the presented results, in Figures 2 and 3, are for null hypothesis of that BRICS stock returns do not Granger cause the potential safe haven asset, i.e., gold or Crypto.</w:t>
      </w:r>
      <w:r w:rsidR="000E45B7" w:rsidRPr="009B605C">
        <w:rPr>
          <w:rFonts w:ascii="Cambria" w:hAnsi="Cambria"/>
        </w:rPr>
        <w:t xml:space="preserve"> As such</w:t>
      </w:r>
      <w:r w:rsidR="00225D96" w:rsidRPr="009B605C">
        <w:rPr>
          <w:rFonts w:ascii="Cambria" w:hAnsi="Cambria"/>
        </w:rPr>
        <w:t xml:space="preserve">, </w:t>
      </w:r>
      <w:r w:rsidRPr="009B605C">
        <w:rPr>
          <w:rFonts w:ascii="Cambria" w:hAnsi="Cambria"/>
        </w:rPr>
        <w:t xml:space="preserve">the exact periods when </w:t>
      </w:r>
      <w:r w:rsidR="00225D96" w:rsidRPr="009B605C">
        <w:rPr>
          <w:rFonts w:ascii="Cambria" w:hAnsi="Cambria"/>
        </w:rPr>
        <w:t xml:space="preserve">cryptocurrencies and gold serve as </w:t>
      </w:r>
      <w:r w:rsidR="00EA329E">
        <w:rPr>
          <w:rFonts w:ascii="Cambria" w:hAnsi="Cambria"/>
        </w:rPr>
        <w:t xml:space="preserve">a </w:t>
      </w:r>
      <w:r w:rsidR="00225D96" w:rsidRPr="009B605C">
        <w:rPr>
          <w:rFonts w:ascii="Cambria" w:hAnsi="Cambria"/>
        </w:rPr>
        <w:t>safe haven for BRICS stocks are determined from the</w:t>
      </w:r>
      <w:r w:rsidRPr="009B605C">
        <w:rPr>
          <w:rFonts w:ascii="Cambria" w:hAnsi="Cambria"/>
        </w:rPr>
        <w:t xml:space="preserve"> outcomes </w:t>
      </w:r>
      <w:r w:rsidR="00225D96" w:rsidRPr="009B605C">
        <w:rPr>
          <w:rFonts w:ascii="Cambria" w:hAnsi="Cambria"/>
        </w:rPr>
        <w:t xml:space="preserve">of </w:t>
      </w:r>
      <w:r w:rsidRPr="009B605C">
        <w:rPr>
          <w:rFonts w:ascii="Cambria" w:hAnsi="Cambria"/>
        </w:rPr>
        <w:t>TVP-GC tests by Rossi and Wang (2019).</w:t>
      </w:r>
    </w:p>
    <w:p w14:paraId="0ABEE454" w14:textId="12491D85" w:rsidR="00B5591C" w:rsidRPr="009B605C" w:rsidRDefault="00C11C00" w:rsidP="0087752F">
      <w:pPr>
        <w:spacing w:line="360" w:lineRule="auto"/>
        <w:ind w:firstLine="720"/>
        <w:jc w:val="both"/>
        <w:rPr>
          <w:rFonts w:ascii="Cambria" w:hAnsi="Cambria"/>
        </w:rPr>
      </w:pPr>
      <w:r w:rsidRPr="009B605C">
        <w:rPr>
          <w:rFonts w:ascii="Cambria" w:hAnsi="Cambria"/>
        </w:rPr>
        <w:t xml:space="preserve">Figure 2 presents the time-varying Wald test statistics for the period before the 2022 Russia-Ukraine conflict, highlighting significant differences in the safe haven properties of </w:t>
      </w:r>
      <w:r w:rsidR="00613FAB" w:rsidRPr="009B605C">
        <w:rPr>
          <w:rFonts w:ascii="Cambria" w:hAnsi="Cambria"/>
        </w:rPr>
        <w:t>g</w:t>
      </w:r>
      <w:r w:rsidRPr="009B605C">
        <w:rPr>
          <w:rFonts w:ascii="Cambria" w:hAnsi="Cambria"/>
        </w:rPr>
        <w:t xml:space="preserve">old and Crypto across the BRICS stock markets. </w:t>
      </w:r>
      <w:r w:rsidR="00613FAB" w:rsidRPr="009B605C">
        <w:rPr>
          <w:rFonts w:ascii="Cambria" w:hAnsi="Cambria"/>
        </w:rPr>
        <w:t>Our findings indicate that</w:t>
      </w:r>
      <w:r w:rsidRPr="009B605C">
        <w:rPr>
          <w:rFonts w:ascii="Cambria" w:hAnsi="Cambria"/>
        </w:rPr>
        <w:t xml:space="preserve"> neither </w:t>
      </w:r>
      <w:r w:rsidR="00613FAB" w:rsidRPr="009B605C">
        <w:rPr>
          <w:rFonts w:ascii="Cambria" w:hAnsi="Cambria"/>
        </w:rPr>
        <w:t>g</w:t>
      </w:r>
      <w:r w:rsidRPr="009B605C">
        <w:rPr>
          <w:rFonts w:ascii="Cambria" w:hAnsi="Cambria"/>
        </w:rPr>
        <w:t xml:space="preserve">old nor </w:t>
      </w:r>
      <w:r w:rsidR="00613FAB" w:rsidRPr="009B605C">
        <w:rPr>
          <w:rFonts w:ascii="Cambria" w:hAnsi="Cambria"/>
        </w:rPr>
        <w:t>Crypto</w:t>
      </w:r>
      <w:r w:rsidRPr="009B605C">
        <w:rPr>
          <w:rFonts w:ascii="Cambria" w:hAnsi="Cambria"/>
        </w:rPr>
        <w:t xml:space="preserve"> acts as a </w:t>
      </w:r>
      <w:r w:rsidR="00613FAB" w:rsidRPr="009B605C">
        <w:rPr>
          <w:rFonts w:ascii="Cambria" w:hAnsi="Cambria"/>
        </w:rPr>
        <w:t xml:space="preserve">persistent </w:t>
      </w:r>
      <w:r w:rsidRPr="009B605C">
        <w:rPr>
          <w:rFonts w:ascii="Cambria" w:hAnsi="Cambria"/>
        </w:rPr>
        <w:t xml:space="preserve">safe haven </w:t>
      </w:r>
      <w:r w:rsidR="00613FAB" w:rsidRPr="009B605C">
        <w:rPr>
          <w:rFonts w:ascii="Cambria" w:hAnsi="Cambria"/>
        </w:rPr>
        <w:t xml:space="preserve">for any of the stock markets. In fact, </w:t>
      </w:r>
      <w:r w:rsidR="003E3FC8" w:rsidRPr="009B605C">
        <w:rPr>
          <w:rFonts w:ascii="Cambria" w:hAnsi="Cambria"/>
        </w:rPr>
        <w:t>g</w:t>
      </w:r>
      <w:r w:rsidR="00613FAB" w:rsidRPr="009B605C">
        <w:rPr>
          <w:rFonts w:ascii="Cambria" w:hAnsi="Cambria"/>
        </w:rPr>
        <w:t xml:space="preserve">old predominantly acts as a safe haven for Russia and South Africa markets in the period of around 2015 up to the </w:t>
      </w:r>
      <w:r w:rsidR="00FA0898" w:rsidRPr="009B605C">
        <w:rPr>
          <w:rFonts w:ascii="Cambria" w:hAnsi="Cambria"/>
        </w:rPr>
        <w:t>outbreak</w:t>
      </w:r>
      <w:r w:rsidR="00613FAB" w:rsidRPr="009B605C">
        <w:rPr>
          <w:rFonts w:ascii="Cambria" w:hAnsi="Cambria"/>
        </w:rPr>
        <w:t xml:space="preserve"> of the COVID-19 pandemic. </w:t>
      </w:r>
      <w:r w:rsidR="00FA0898" w:rsidRPr="009B605C">
        <w:rPr>
          <w:rFonts w:ascii="Cambria" w:hAnsi="Cambria"/>
        </w:rPr>
        <w:t>Interestingly, gold has lost its safe haven properties for the two stock markets during the COVID-19 pandemic.</w:t>
      </w:r>
      <w:r w:rsidR="00314F5D" w:rsidRPr="009B605C">
        <w:rPr>
          <w:rFonts w:ascii="Cambria" w:hAnsi="Cambria"/>
        </w:rPr>
        <w:t xml:space="preserve"> This finding is consistent </w:t>
      </w:r>
      <w:r w:rsidR="00D141FE" w:rsidRPr="009B605C">
        <w:rPr>
          <w:rFonts w:ascii="Cambria" w:hAnsi="Cambria"/>
        </w:rPr>
        <w:t>with</w:t>
      </w:r>
      <w:r w:rsidR="00314F5D" w:rsidRPr="009B605C">
        <w:rPr>
          <w:rFonts w:ascii="Cambria" w:hAnsi="Cambria"/>
        </w:rPr>
        <w:t xml:space="preserve"> Bentes (2023) who f</w:t>
      </w:r>
      <w:r w:rsidR="00D141FE" w:rsidRPr="009B605C">
        <w:rPr>
          <w:rFonts w:ascii="Cambria" w:hAnsi="Cambria"/>
        </w:rPr>
        <w:t>inds</w:t>
      </w:r>
      <w:r w:rsidR="00314F5D" w:rsidRPr="009B605C">
        <w:rPr>
          <w:rFonts w:ascii="Cambria" w:hAnsi="Cambria"/>
        </w:rPr>
        <w:t xml:space="preserve"> that the safe haven property of gold vanishes during the COVID-19 pandemic.</w:t>
      </w:r>
      <w:r w:rsidR="003E3FC8" w:rsidRPr="009B605C">
        <w:rPr>
          <w:rFonts w:ascii="Cambria" w:hAnsi="Cambria"/>
        </w:rPr>
        <w:t xml:space="preserve"> Nonetheless, gold can be seen as a safe haven for the Indian market in 2015 and shortly after the outbreak of the COVID-19 pandemic, suggesting its significant role for investors in this market as a safe haven during periods of turbulence. Similarly, gold has been barely found as a safe haven in the cases of Brazilian and Chinese markets. Focusing on cryptocurrencies, they are not found to serve as safe haven for any of the periods for Brazil, whereas cryptocurrencies are seen as safe haven during majority of the time for the Chinese stocks. </w:t>
      </w:r>
      <w:r w:rsidR="00B5591C" w:rsidRPr="009B605C">
        <w:rPr>
          <w:rFonts w:ascii="Cambria" w:hAnsi="Cambria"/>
        </w:rPr>
        <w:t xml:space="preserve">Similarly, gold has rarely been found to act as a safe haven for the Brazilian and Chinese markets. Regarding cryptocurrencies, they are not found to serve as a safe haven for Brazil, whereas cryptocurrencies are seen as a safe haven for the Chinese stocks for the majority of the </w:t>
      </w:r>
      <w:r w:rsidR="00B5591C" w:rsidRPr="009B605C">
        <w:rPr>
          <w:rFonts w:ascii="Cambria" w:hAnsi="Cambria"/>
        </w:rPr>
        <w:lastRenderedPageBreak/>
        <w:t>time. This finding adds to the previous studies of Conlon et al. (2020) and Ji et al. (2020) who discover that Bitcoin may only act as weak safe haven, if at all.</w:t>
      </w:r>
      <w:r w:rsidR="00AC40A1" w:rsidRPr="009B605C">
        <w:rPr>
          <w:rFonts w:ascii="Cambria" w:hAnsi="Cambria"/>
        </w:rPr>
        <w:t xml:space="preserve"> In similar manner, crypto is not found to act as safe haven for Indian and South African stock markets at any point of time before the conflict. Regardless of this, our results show that </w:t>
      </w:r>
      <w:r w:rsidR="000E45B7" w:rsidRPr="009B605C">
        <w:rPr>
          <w:rFonts w:ascii="Cambria" w:hAnsi="Cambria"/>
        </w:rPr>
        <w:t xml:space="preserve">cryptocurrencies </w:t>
      </w:r>
      <w:r w:rsidR="00AC40A1" w:rsidRPr="009B605C">
        <w:rPr>
          <w:rFonts w:ascii="Cambria" w:hAnsi="Cambria"/>
        </w:rPr>
        <w:t xml:space="preserve">serve as a safe haven for Russian stocks after the </w:t>
      </w:r>
      <w:r w:rsidR="00C23A85" w:rsidRPr="009B605C">
        <w:rPr>
          <w:rFonts w:ascii="Cambria" w:hAnsi="Cambria"/>
        </w:rPr>
        <w:t>2014 Commodity Crash</w:t>
      </w:r>
      <w:r w:rsidR="00AC40A1" w:rsidRPr="009B605C">
        <w:rPr>
          <w:rFonts w:ascii="Cambria" w:hAnsi="Cambria"/>
        </w:rPr>
        <w:t>, with its effect fading in 2017 and reappearing when the COVID-19 pandemic began. This suggests that cryptocurrencies may act as a safe haven against adverse stock movements in the Russian market during health pandemics, particularly at times when gold does not serve as a safe haven, as shown in the graph.</w:t>
      </w:r>
      <w:r w:rsidR="00C23A85" w:rsidRPr="009B605C">
        <w:rPr>
          <w:rFonts w:ascii="Cambria" w:hAnsi="Cambria"/>
        </w:rPr>
        <w:t xml:space="preserve"> Overall, our findings determine that the hedge and safe haven behaviour of gold and cryptocurrencies varies across BRICS stocks. Therefore, policymakers may consider implementing country-specific policies to protect and promote </w:t>
      </w:r>
      <w:r w:rsidR="001414EA" w:rsidRPr="009B605C">
        <w:rPr>
          <w:rFonts w:ascii="Cambria" w:hAnsi="Cambria"/>
        </w:rPr>
        <w:t>financial stability</w:t>
      </w:r>
      <w:r w:rsidR="00C23A85" w:rsidRPr="009B605C">
        <w:rPr>
          <w:rFonts w:ascii="Cambria" w:hAnsi="Cambria"/>
        </w:rPr>
        <w:t>, rather than adopting a uniform approach.</w:t>
      </w:r>
    </w:p>
    <w:p w14:paraId="59DF6DE4" w14:textId="77777777" w:rsidR="00215E08" w:rsidRPr="009B605C" w:rsidRDefault="00215E08"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[Figure 2]</w:t>
      </w:r>
    </w:p>
    <w:p w14:paraId="6B6AE67F" w14:textId="080602E1" w:rsidR="007B6901" w:rsidRPr="009B605C" w:rsidRDefault="001D116D" w:rsidP="0087752F">
      <w:pPr>
        <w:spacing w:line="360" w:lineRule="auto"/>
        <w:jc w:val="both"/>
        <w:rPr>
          <w:rFonts w:ascii="Cambria" w:hAnsi="Cambria"/>
        </w:rPr>
      </w:pPr>
      <w:r w:rsidRPr="009B605C">
        <w:rPr>
          <w:rFonts w:ascii="Cambria" w:hAnsi="Cambria"/>
        </w:rPr>
        <w:t>Figure 3 displays the time-varying Wald test statistics for the post-conflict announcement period, highlighting, on average, a significant weakening of gold's role as a safe haven. In contrast, cryptocurrencies show more frequent periods of acting as a safe haven across the BRICS stock markets</w:t>
      </w:r>
      <w:r w:rsidR="00D97932" w:rsidRPr="009B605C">
        <w:rPr>
          <w:rFonts w:ascii="Cambria" w:hAnsi="Cambria"/>
        </w:rPr>
        <w:t xml:space="preserve"> compared to the pre-conflict times</w:t>
      </w:r>
      <w:r w:rsidRPr="009B605C">
        <w:rPr>
          <w:rFonts w:ascii="Cambria" w:hAnsi="Cambria"/>
        </w:rPr>
        <w:t>.</w:t>
      </w:r>
      <w:r w:rsidR="001378F7" w:rsidRPr="009B605C">
        <w:rPr>
          <w:rFonts w:ascii="Cambria" w:hAnsi="Cambria"/>
        </w:rPr>
        <w:t xml:space="preserve"> In particular, gold has acted frequently as safe haven for South African market at the pre-conflict announcement period, whereas after the conflict onset gold lost its safe-haven property for this market. In contrast, the cryptocurrencies do not serve as safe haven before the conflict for South Africa stocks, whereas they show evidence of such property after its announcement, specifically, from mid-2023 to early 2024. </w:t>
      </w:r>
      <w:r w:rsidR="002348D0" w:rsidRPr="009B605C">
        <w:rPr>
          <w:rFonts w:ascii="Cambria" w:hAnsi="Cambria"/>
        </w:rPr>
        <w:t xml:space="preserve">The enhanced role of the Crypto as safe haven after the conflict announcement can also be noticed in other markets, such as Brazil and India. </w:t>
      </w:r>
      <w:r w:rsidR="00923F28" w:rsidRPr="009B605C">
        <w:rPr>
          <w:rFonts w:ascii="Cambria" w:hAnsi="Cambria"/>
        </w:rPr>
        <w:t>Our</w:t>
      </w:r>
      <w:r w:rsidR="007B6901" w:rsidRPr="009B605C">
        <w:rPr>
          <w:rFonts w:ascii="Cambria" w:hAnsi="Cambria"/>
        </w:rPr>
        <w:t xml:space="preserve"> findings add to the study of Chibane and Janson (2024) who find that Bitcoin acts as safe haven for US stocks against geopolitical risk </w:t>
      </w:r>
      <w:r w:rsidR="00923F28" w:rsidRPr="009B605C">
        <w:rPr>
          <w:rFonts w:ascii="Cambria" w:hAnsi="Cambria"/>
        </w:rPr>
        <w:t>but</w:t>
      </w:r>
      <w:r w:rsidR="007B6901" w:rsidRPr="009B605C">
        <w:rPr>
          <w:rFonts w:ascii="Cambria" w:hAnsi="Cambria"/>
        </w:rPr>
        <w:t xml:space="preserve"> gold do</w:t>
      </w:r>
      <w:r w:rsidR="00923F28" w:rsidRPr="009B605C">
        <w:rPr>
          <w:rFonts w:ascii="Cambria" w:hAnsi="Cambria"/>
        </w:rPr>
        <w:t>es</w:t>
      </w:r>
      <w:r w:rsidR="007B6901" w:rsidRPr="009B605C">
        <w:rPr>
          <w:rFonts w:ascii="Cambria" w:hAnsi="Cambria"/>
        </w:rPr>
        <w:t xml:space="preserve"> not,</w:t>
      </w:r>
      <w:r w:rsidR="00923F28" w:rsidRPr="009B605C">
        <w:rPr>
          <w:rFonts w:ascii="Cambria" w:hAnsi="Cambria"/>
        </w:rPr>
        <w:t xml:space="preserve"> that the same is valid for emerging stock markets.</w:t>
      </w:r>
      <w:r w:rsidR="008F05BE" w:rsidRPr="009B605C">
        <w:rPr>
          <w:rFonts w:ascii="Cambria" w:hAnsi="Cambria"/>
        </w:rPr>
        <w:t xml:space="preserve"> </w:t>
      </w:r>
      <w:r w:rsidR="00CB531C" w:rsidRPr="009B605C">
        <w:rPr>
          <w:rFonts w:ascii="Cambria" w:hAnsi="Cambria"/>
        </w:rPr>
        <w:t>For Russian stocks, we observe a weakening of the safe haven properties of both gold and cryptocurrencies during the conflict, compared to the preceding period.</w:t>
      </w:r>
      <w:r w:rsidR="00B46D41" w:rsidRPr="009B605C">
        <w:rPr>
          <w:rFonts w:ascii="Cambria" w:hAnsi="Cambria"/>
        </w:rPr>
        <w:t xml:space="preserve"> Although a similar trend can be observed for Chinese stocks and gold, its cryptocurrency counterpart reinforces its position as a safe haven for the Chinese market throughout the entire period after the conflict announcement</w:t>
      </w:r>
      <w:r w:rsidR="007A7412" w:rsidRPr="009B605C">
        <w:rPr>
          <w:rFonts w:ascii="Cambria" w:hAnsi="Cambria"/>
        </w:rPr>
        <w:t>, underscoring the implications for conservative investors outlined earlier</w:t>
      </w:r>
      <w:r w:rsidR="00712326" w:rsidRPr="00712326">
        <w:t xml:space="preserve"> </w:t>
      </w:r>
      <w:r w:rsidR="00712326" w:rsidRPr="00712326">
        <w:rPr>
          <w:rFonts w:ascii="Cambria" w:hAnsi="Cambria"/>
        </w:rPr>
        <w:t>(see, also, Li et al., 2025).</w:t>
      </w:r>
      <w:r w:rsidR="00B46D41" w:rsidRPr="009B605C">
        <w:rPr>
          <w:rFonts w:ascii="Cambria" w:hAnsi="Cambria"/>
        </w:rPr>
        <w:t xml:space="preserve"> Therefore, investors in Chinese stocks should be aware that the safe haven properties of </w:t>
      </w:r>
      <w:r w:rsidR="00B46D41" w:rsidRPr="009B605C">
        <w:rPr>
          <w:rFonts w:ascii="Cambria" w:hAnsi="Cambria"/>
        </w:rPr>
        <w:lastRenderedPageBreak/>
        <w:t>traditional assets like gold may diminish in times of military conflict, prompting them to adjust their strategies and potentially incorporate alternative assets such as cryptocurrencies. Overall, policymakers might want to advise investors in emerging stocks to include a broader range of assets in their portfolios, especially during times of global uncertainty. Our finding that cryptocurrencies can act as a safe haven during military conflicts could influence recommendations for national investment strategies, ensuring that emerging markets are more resilient to external shocks.</w:t>
      </w:r>
      <w:r w:rsidR="007A7412" w:rsidRPr="009B605C">
        <w:rPr>
          <w:rFonts w:ascii="Cambria" w:hAnsi="Cambria"/>
        </w:rPr>
        <w:t xml:space="preserve"> They could also affect the way both conservative and speculative investors change their portfolio strategies in response to conflicts.</w:t>
      </w:r>
    </w:p>
    <w:p w14:paraId="48D4554B" w14:textId="6F646E90" w:rsidR="003B38C1" w:rsidRPr="009B605C" w:rsidRDefault="003B38C1" w:rsidP="00A04325">
      <w:pPr>
        <w:spacing w:line="360" w:lineRule="auto"/>
        <w:ind w:firstLine="720"/>
        <w:jc w:val="both"/>
        <w:rPr>
          <w:rFonts w:ascii="Cambria" w:hAnsi="Cambria"/>
        </w:rPr>
      </w:pPr>
      <w:r w:rsidRPr="009B605C">
        <w:rPr>
          <w:rFonts w:ascii="Cambria" w:hAnsi="Cambria"/>
        </w:rPr>
        <w:t xml:space="preserve">In a nutshell, the results from the </w:t>
      </w:r>
      <w:r w:rsidR="0047530A" w:rsidRPr="009B605C">
        <w:rPr>
          <w:rFonts w:ascii="Cambria" w:hAnsi="Cambria"/>
        </w:rPr>
        <w:t xml:space="preserve">time-varying causal graphical inferences </w:t>
      </w:r>
      <w:r w:rsidRPr="009B605C">
        <w:rPr>
          <w:rFonts w:ascii="Cambria" w:hAnsi="Cambria"/>
        </w:rPr>
        <w:t>reveal substantial evidence of temporal dependence between the BRICS stocks and potential safe haven assets during the conflict period</w:t>
      </w:r>
      <w:r w:rsidR="0047530A" w:rsidRPr="009B605C">
        <w:rPr>
          <w:rFonts w:ascii="Cambria" w:hAnsi="Cambria"/>
        </w:rPr>
        <w:t>. T</w:t>
      </w:r>
      <w:r w:rsidRPr="009B605C">
        <w:rPr>
          <w:rFonts w:ascii="Cambria" w:hAnsi="Cambria"/>
        </w:rPr>
        <w:t>he only exception is China, where cryptocurrencies remain a safe haven asset throughout the entire conflict period, unlike gold. Thus, our study concludes that the causal relationship between BRICS stocks and gold/cryptocurrencies is time-varying and differs across BRICS markets. Equally important, we find that during periods of conflict when gold is not a safe haven asset</w:t>
      </w:r>
      <w:r w:rsidR="00A448FE">
        <w:rPr>
          <w:rFonts w:ascii="Cambria" w:hAnsi="Cambria"/>
        </w:rPr>
        <w:t xml:space="preserve">, for markets </w:t>
      </w:r>
      <w:r w:rsidRPr="009B605C">
        <w:rPr>
          <w:rFonts w:ascii="Cambria" w:hAnsi="Cambria"/>
        </w:rPr>
        <w:t>such as South Africa, cryptocurrencies may fulfil this role, and conversely, when cryptocurrencies are not a safe haven</w:t>
      </w:r>
      <w:r w:rsidR="00A448FE">
        <w:rPr>
          <w:rFonts w:ascii="Cambria" w:hAnsi="Cambria"/>
        </w:rPr>
        <w:t xml:space="preserve">, </w:t>
      </w:r>
      <w:bookmarkStart w:id="7" w:name="_Hlk196227017"/>
      <w:r w:rsidR="00A448FE">
        <w:rPr>
          <w:rFonts w:ascii="Cambria" w:hAnsi="Cambria"/>
        </w:rPr>
        <w:t>for markets</w:t>
      </w:r>
      <w:r w:rsidRPr="009B605C">
        <w:rPr>
          <w:rFonts w:ascii="Cambria" w:hAnsi="Cambria"/>
        </w:rPr>
        <w:t xml:space="preserve"> </w:t>
      </w:r>
      <w:bookmarkEnd w:id="7"/>
      <w:r w:rsidRPr="009B605C">
        <w:rPr>
          <w:rFonts w:ascii="Cambria" w:hAnsi="Cambria"/>
        </w:rPr>
        <w:t xml:space="preserve">such as Russia, gold may serve as an alternative hedge. </w:t>
      </w:r>
    </w:p>
    <w:p w14:paraId="26E168BA" w14:textId="4751B1F5" w:rsidR="003A1E8C" w:rsidRPr="009B605C" w:rsidRDefault="003A1E8C"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[Figure 3]</w:t>
      </w:r>
    </w:p>
    <w:p w14:paraId="029143FD" w14:textId="675607A8" w:rsidR="006F7442" w:rsidRPr="009B605C" w:rsidRDefault="000C667A" w:rsidP="0087752F">
      <w:pPr>
        <w:spacing w:before="160" w:after="40" w:line="360" w:lineRule="auto"/>
        <w:rPr>
          <w:rFonts w:ascii="Cambria" w:hAnsi="Cambria"/>
          <w:b/>
          <w:bCs/>
        </w:rPr>
      </w:pPr>
      <w:r w:rsidRPr="009B605C">
        <w:rPr>
          <w:rFonts w:ascii="Cambria" w:hAnsi="Cambria"/>
          <w:b/>
          <w:bCs/>
        </w:rPr>
        <w:t>4</w:t>
      </w:r>
      <w:r w:rsidR="006F7442" w:rsidRPr="009B605C">
        <w:rPr>
          <w:rFonts w:ascii="Cambria" w:hAnsi="Cambria"/>
          <w:b/>
          <w:bCs/>
        </w:rPr>
        <w:t xml:space="preserve">.4. Dynamic total spillover connectedness </w:t>
      </w:r>
    </w:p>
    <w:p w14:paraId="36843B5B" w14:textId="5DE285B3" w:rsidR="00917F5A" w:rsidRPr="009B605C" w:rsidRDefault="00EA2016" w:rsidP="0087752F">
      <w:pPr>
        <w:tabs>
          <w:tab w:val="left" w:pos="1578"/>
        </w:tabs>
        <w:spacing w:line="360" w:lineRule="auto"/>
        <w:jc w:val="both"/>
        <w:rPr>
          <w:rFonts w:ascii="Cambria" w:eastAsiaTheme="minorHAnsi" w:hAnsi="Cambria"/>
        </w:rPr>
      </w:pPr>
      <w:r w:rsidRPr="009B605C">
        <w:rPr>
          <w:rFonts w:ascii="Cambria" w:eastAsiaTheme="minorHAnsi" w:hAnsi="Cambria"/>
        </w:rPr>
        <w:t>Figure 4</w:t>
      </w:r>
      <w:r w:rsidR="006F7442" w:rsidRPr="009B605C">
        <w:rPr>
          <w:rFonts w:ascii="Cambria" w:eastAsiaTheme="minorHAnsi" w:hAnsi="Cambria"/>
        </w:rPr>
        <w:t xml:space="preserve"> </w:t>
      </w:r>
      <w:r w:rsidRPr="009B605C">
        <w:rPr>
          <w:rFonts w:ascii="Cambria" w:eastAsiaTheme="minorHAnsi" w:hAnsi="Cambria"/>
        </w:rPr>
        <w:t>shows</w:t>
      </w:r>
      <w:r w:rsidR="006F7442" w:rsidRPr="009B605C">
        <w:rPr>
          <w:rFonts w:ascii="Cambria" w:eastAsiaTheme="minorHAnsi" w:hAnsi="Cambria"/>
        </w:rPr>
        <w:t xml:space="preserve"> </w:t>
      </w:r>
      <w:r w:rsidR="006F7442" w:rsidRPr="009B605C">
        <w:rPr>
          <w:rFonts w:ascii="Cambria" w:hAnsi="Cambria"/>
        </w:rPr>
        <w:t>the</w:t>
      </w:r>
      <w:r w:rsidR="006F7442" w:rsidRPr="009B605C">
        <w:rPr>
          <w:rFonts w:ascii="Cambria" w:eastAsiaTheme="minorHAnsi" w:hAnsi="Cambria"/>
        </w:rPr>
        <w:t xml:space="preserve"> </w:t>
      </w:r>
      <w:r w:rsidRPr="009B605C">
        <w:rPr>
          <w:rFonts w:ascii="Cambria" w:hAnsi="Cambria"/>
        </w:rPr>
        <w:t>Total Connectedness Index (</w:t>
      </w:r>
      <w:r w:rsidR="006F7442" w:rsidRPr="009B605C">
        <w:rPr>
          <w:rFonts w:ascii="Cambria" w:eastAsiaTheme="minorHAnsi" w:hAnsi="Cambria"/>
        </w:rPr>
        <w:t>TCI</w:t>
      </w:r>
      <w:r w:rsidRPr="009B605C">
        <w:rPr>
          <w:rFonts w:ascii="Cambria" w:eastAsiaTheme="minorHAnsi" w:hAnsi="Cambria"/>
        </w:rPr>
        <w:t>)</w:t>
      </w:r>
      <w:r w:rsidR="006F7442" w:rsidRPr="009B605C">
        <w:rPr>
          <w:rFonts w:ascii="Cambria" w:eastAsiaTheme="minorHAnsi" w:hAnsi="Cambria"/>
        </w:rPr>
        <w:t xml:space="preserve"> across </w:t>
      </w:r>
      <w:r w:rsidRPr="009B605C">
        <w:rPr>
          <w:rFonts w:ascii="Cambria" w:hAnsi="Cambria"/>
        </w:rPr>
        <w:t>the median</w:t>
      </w:r>
      <w:r w:rsidR="00CD59CD" w:rsidRPr="009B605C">
        <w:rPr>
          <w:rFonts w:ascii="Cambria" w:hAnsi="Cambria"/>
        </w:rPr>
        <w:t xml:space="preserve"> (</w:t>
      </w:r>
      <m:oMath>
        <m:r>
          <w:rPr>
            <w:rFonts w:ascii="Cambria Math" w:hAnsi="Cambria Math"/>
          </w:rPr>
          <m:t>τ</m:t>
        </m:r>
      </m:oMath>
      <w:r w:rsidR="00CD59CD" w:rsidRPr="009B605C">
        <w:rPr>
          <w:rFonts w:ascii="Cambria" w:hAnsi="Cambria"/>
        </w:rPr>
        <w:t xml:space="preserve"> = 0.5)</w:t>
      </w:r>
      <w:r w:rsidRPr="009B605C">
        <w:rPr>
          <w:rFonts w:ascii="Cambria" w:hAnsi="Cambria"/>
        </w:rPr>
        <w:t>, left</w:t>
      </w:r>
      <w:r w:rsidR="00CD59CD" w:rsidRPr="009B605C">
        <w:rPr>
          <w:rFonts w:ascii="Cambria" w:hAnsi="Cambria"/>
        </w:rPr>
        <w:t xml:space="preserve"> (</w:t>
      </w:r>
      <m:oMath>
        <m:r>
          <w:rPr>
            <w:rFonts w:ascii="Cambria Math" w:hAnsi="Cambria Math"/>
          </w:rPr>
          <m:t>τ</m:t>
        </m:r>
      </m:oMath>
      <w:r w:rsidR="00CD59CD" w:rsidRPr="009B605C">
        <w:rPr>
          <w:rFonts w:ascii="Cambria" w:hAnsi="Cambria"/>
        </w:rPr>
        <w:t xml:space="preserve"> = 0.05)</w:t>
      </w:r>
      <w:r w:rsidRPr="009B605C">
        <w:rPr>
          <w:rFonts w:ascii="Cambria" w:hAnsi="Cambria"/>
        </w:rPr>
        <w:t xml:space="preserve">, and right </w:t>
      </w:r>
      <w:r w:rsidR="00CD59CD" w:rsidRPr="009B605C">
        <w:rPr>
          <w:rFonts w:ascii="Cambria" w:hAnsi="Cambria"/>
        </w:rPr>
        <w:t>(</w:t>
      </w:r>
      <m:oMath>
        <m:r>
          <w:rPr>
            <w:rFonts w:ascii="Cambria Math" w:hAnsi="Cambria Math"/>
          </w:rPr>
          <m:t>τ</m:t>
        </m:r>
      </m:oMath>
      <w:r w:rsidR="00CD59CD" w:rsidRPr="009B605C">
        <w:rPr>
          <w:rFonts w:ascii="Cambria" w:hAnsi="Cambria"/>
        </w:rPr>
        <w:t xml:space="preserve"> = 0.95) </w:t>
      </w:r>
      <w:r w:rsidRPr="009B605C">
        <w:rPr>
          <w:rFonts w:ascii="Cambria" w:hAnsi="Cambria"/>
        </w:rPr>
        <w:t>tails of the distribution.</w:t>
      </w:r>
      <w:r w:rsidR="00CD59CD" w:rsidRPr="009B605C">
        <w:rPr>
          <w:rFonts w:ascii="Cambria" w:hAnsi="Cambria"/>
        </w:rPr>
        <w:t xml:space="preserve"> </w:t>
      </w:r>
      <w:r w:rsidR="00CD59CD" w:rsidRPr="009B605C">
        <w:rPr>
          <w:rFonts w:ascii="Cambria" w:eastAsiaTheme="minorHAnsi" w:hAnsi="Cambria"/>
        </w:rPr>
        <w:t xml:space="preserve">Panels A and B present the findings from pre- and post-conflict announcement periods, respectively. </w:t>
      </w:r>
      <w:r w:rsidR="00CD59CD" w:rsidRPr="009B605C">
        <w:rPr>
          <w:rFonts w:ascii="Cambria" w:hAnsi="Cambria"/>
        </w:rPr>
        <w:t>Our findings determine substantial differences in the connectedness during</w:t>
      </w:r>
      <w:r w:rsidRPr="009B605C">
        <w:rPr>
          <w:rFonts w:ascii="Cambria" w:eastAsiaTheme="minorHAnsi" w:hAnsi="Cambria"/>
        </w:rPr>
        <w:t xml:space="preserve"> normal </w:t>
      </w:r>
      <w:r w:rsidR="00CD59CD" w:rsidRPr="009B605C">
        <w:rPr>
          <w:rFonts w:ascii="Cambria" w:eastAsiaTheme="minorHAnsi" w:hAnsi="Cambria"/>
        </w:rPr>
        <w:t>and</w:t>
      </w:r>
      <w:r w:rsidRPr="009B605C">
        <w:rPr>
          <w:rFonts w:ascii="Cambria" w:eastAsiaTheme="minorHAnsi" w:hAnsi="Cambria"/>
        </w:rPr>
        <w:t xml:space="preserve"> extreme </w:t>
      </w:r>
      <w:r w:rsidR="00CD59CD" w:rsidRPr="009B605C">
        <w:rPr>
          <w:rFonts w:ascii="Cambria" w:eastAsiaTheme="minorHAnsi" w:hAnsi="Cambria"/>
        </w:rPr>
        <w:t>times</w:t>
      </w:r>
      <w:r w:rsidRPr="009B605C">
        <w:rPr>
          <w:rFonts w:ascii="Cambria" w:eastAsiaTheme="minorHAnsi" w:hAnsi="Cambria"/>
        </w:rPr>
        <w:t>.</w:t>
      </w:r>
      <w:r w:rsidR="00CD59CD" w:rsidRPr="009B605C">
        <w:rPr>
          <w:rFonts w:ascii="Cambria" w:eastAsiaTheme="minorHAnsi" w:hAnsi="Cambria"/>
        </w:rPr>
        <w:t xml:space="preserve"> In fact, the TCI is almost tripled</w:t>
      </w:r>
      <w:r w:rsidR="00917F5A" w:rsidRPr="009B605C">
        <w:rPr>
          <w:rFonts w:ascii="Cambria" w:eastAsiaTheme="minorHAnsi" w:hAnsi="Cambria"/>
        </w:rPr>
        <w:t>, on average,</w:t>
      </w:r>
      <w:r w:rsidR="00CD59CD" w:rsidRPr="009B605C">
        <w:rPr>
          <w:rFonts w:ascii="Cambria" w:eastAsiaTheme="minorHAnsi" w:hAnsi="Cambria"/>
        </w:rPr>
        <w:t xml:space="preserve"> during extreme periods compared to normal times</w:t>
      </w:r>
      <w:r w:rsidR="00F67A5F" w:rsidRPr="009B605C">
        <w:rPr>
          <w:rFonts w:ascii="Cambria" w:eastAsiaTheme="minorHAnsi" w:hAnsi="Cambria"/>
        </w:rPr>
        <w:t>, as shown in Figure 4</w:t>
      </w:r>
      <w:r w:rsidR="00CD59CD" w:rsidRPr="009B605C">
        <w:rPr>
          <w:rFonts w:ascii="Cambria" w:eastAsiaTheme="minorHAnsi" w:hAnsi="Cambria"/>
        </w:rPr>
        <w:t xml:space="preserve">. </w:t>
      </w:r>
      <w:r w:rsidR="00F67A5F" w:rsidRPr="009B605C">
        <w:rPr>
          <w:rFonts w:ascii="Cambria" w:eastAsiaTheme="minorHAnsi" w:hAnsi="Cambria"/>
        </w:rPr>
        <w:t xml:space="preserve">This finding suggests higher market interconnectedness during extreme market conditions, which may impact the </w:t>
      </w:r>
      <w:r w:rsidR="00917F5A" w:rsidRPr="009B605C">
        <w:rPr>
          <w:rFonts w:ascii="Cambria" w:eastAsiaTheme="minorHAnsi" w:hAnsi="Cambria"/>
        </w:rPr>
        <w:t>safe haven</w:t>
      </w:r>
      <w:r w:rsidR="00F67A5F" w:rsidRPr="009B605C">
        <w:rPr>
          <w:rFonts w:ascii="Cambria" w:eastAsiaTheme="minorHAnsi" w:hAnsi="Cambria"/>
        </w:rPr>
        <w:t xml:space="preserve"> properties of assets and create favourable conditions for spillover effects. </w:t>
      </w:r>
      <w:r w:rsidR="00917F5A" w:rsidRPr="009B605C">
        <w:rPr>
          <w:rFonts w:ascii="Cambria" w:eastAsiaTheme="minorHAnsi" w:hAnsi="Cambria"/>
        </w:rPr>
        <w:t xml:space="preserve">As markets become more interconnected during periods of geopolitical tension, such as the 2022 Russia-Ukraine military conflict, the ability of individual assets to act as effective hedges may diminish. This requires portfolio managers to actively restructure portfolios to adapt to changing </w:t>
      </w:r>
      <w:r w:rsidR="00917F5A" w:rsidRPr="009B605C">
        <w:rPr>
          <w:rFonts w:ascii="Cambria" w:eastAsiaTheme="minorHAnsi" w:hAnsi="Cambria"/>
        </w:rPr>
        <w:lastRenderedPageBreak/>
        <w:t>risk dynamics and ensure effective risk management in such turbulent times. Nonetheless, a slight but not substantial decrease in the connectedness between both periods is observed.</w:t>
      </w:r>
      <w:r w:rsidR="00273D25" w:rsidRPr="009B605C">
        <w:rPr>
          <w:rFonts w:ascii="Cambria" w:eastAsiaTheme="minorHAnsi" w:hAnsi="Cambria"/>
        </w:rPr>
        <w:t xml:space="preserve"> </w:t>
      </w:r>
      <w:r w:rsidR="002B3885" w:rsidRPr="009B605C">
        <w:rPr>
          <w:rFonts w:ascii="Cambria" w:eastAsiaTheme="minorHAnsi" w:hAnsi="Cambria"/>
        </w:rPr>
        <w:t>In general, our findings show a certain level of consistency in the overall connectedness between both periods, while also highlighting asymmetric behaviour in stock market reactions to shocks within the network across different quantiles.</w:t>
      </w:r>
    </w:p>
    <w:p w14:paraId="46E812A6" w14:textId="77777777" w:rsidR="006F7442" w:rsidRPr="009B605C" w:rsidRDefault="006F7442"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[Figure 4]</w:t>
      </w:r>
    </w:p>
    <w:p w14:paraId="13D28D10" w14:textId="19FE2DA4" w:rsidR="003A1E8C" w:rsidRPr="009B605C" w:rsidRDefault="000C667A" w:rsidP="0087752F">
      <w:pPr>
        <w:spacing w:before="160" w:after="40" w:line="360" w:lineRule="auto"/>
        <w:rPr>
          <w:rFonts w:ascii="Cambria" w:hAnsi="Cambria"/>
          <w:b/>
          <w:bCs/>
        </w:rPr>
      </w:pPr>
      <w:r w:rsidRPr="009B605C">
        <w:rPr>
          <w:rFonts w:ascii="Cambria" w:hAnsi="Cambria"/>
          <w:b/>
          <w:bCs/>
        </w:rPr>
        <w:t>4</w:t>
      </w:r>
      <w:r w:rsidR="00EA710C" w:rsidRPr="009B605C">
        <w:rPr>
          <w:rFonts w:ascii="Cambria" w:hAnsi="Cambria"/>
          <w:b/>
          <w:bCs/>
        </w:rPr>
        <w:t>.</w:t>
      </w:r>
      <w:r w:rsidR="006F7442" w:rsidRPr="009B605C">
        <w:rPr>
          <w:rFonts w:ascii="Cambria" w:hAnsi="Cambria"/>
          <w:b/>
          <w:bCs/>
        </w:rPr>
        <w:t>5</w:t>
      </w:r>
      <w:r w:rsidR="00EA710C" w:rsidRPr="009B605C">
        <w:rPr>
          <w:rFonts w:ascii="Cambria" w:hAnsi="Cambria"/>
          <w:b/>
          <w:bCs/>
        </w:rPr>
        <w:t>. Quantile directional spillover effects and connectedness</w:t>
      </w:r>
    </w:p>
    <w:p w14:paraId="126DF889" w14:textId="26E4BD1C" w:rsidR="00C91503" w:rsidRPr="009B605C" w:rsidRDefault="00931CA8" w:rsidP="0087752F">
      <w:pPr>
        <w:tabs>
          <w:tab w:val="left" w:pos="1578"/>
        </w:tabs>
        <w:spacing w:line="360" w:lineRule="auto"/>
        <w:jc w:val="both"/>
        <w:rPr>
          <w:rFonts w:ascii="Cambria" w:hAnsi="Cambria"/>
        </w:rPr>
      </w:pPr>
      <w:r w:rsidRPr="009B605C">
        <w:rPr>
          <w:rFonts w:ascii="Cambria" w:hAnsi="Cambria"/>
        </w:rPr>
        <w:t xml:space="preserve">Table 7 provides the outcomes from quantile directional spillover analysis </w:t>
      </w:r>
      <w:r w:rsidR="004A39A2" w:rsidRPr="009B605C">
        <w:rPr>
          <w:rFonts w:ascii="Cambria" w:hAnsi="Cambria"/>
        </w:rPr>
        <w:t>across</w:t>
      </w:r>
      <w:r w:rsidRPr="009B605C">
        <w:rPr>
          <w:rFonts w:ascii="Cambria" w:hAnsi="Cambria"/>
        </w:rPr>
        <w:t xml:space="preserve"> pre- and post-conflict announcement periods. Panel A reports the quantile spillovers at the median quantile (</w:t>
      </w:r>
      <m:oMath>
        <m:r>
          <w:rPr>
            <w:rFonts w:ascii="Cambria Math" w:hAnsi="Cambria Math"/>
          </w:rPr>
          <m:t>τ</m:t>
        </m:r>
      </m:oMath>
      <w:r w:rsidRPr="009B605C">
        <w:rPr>
          <w:rFonts w:ascii="Cambria" w:hAnsi="Cambria"/>
        </w:rPr>
        <w:t xml:space="preserve"> = 0.5), Panel B at the lower quantile (</w:t>
      </w:r>
      <m:oMath>
        <m:r>
          <w:rPr>
            <w:rFonts w:ascii="Cambria Math" w:hAnsi="Cambria Math"/>
          </w:rPr>
          <m:t>τ</m:t>
        </m:r>
      </m:oMath>
      <w:r w:rsidRPr="009B605C">
        <w:rPr>
          <w:rFonts w:ascii="Cambria" w:hAnsi="Cambria"/>
        </w:rPr>
        <w:t xml:space="preserve"> = 0.05), and Panel C at the upper quantile (</w:t>
      </w:r>
      <m:oMath>
        <m:r>
          <w:rPr>
            <w:rFonts w:ascii="Cambria Math" w:hAnsi="Cambria Math"/>
          </w:rPr>
          <m:t>τ</m:t>
        </m:r>
      </m:oMath>
      <w:r w:rsidRPr="009B605C">
        <w:rPr>
          <w:rFonts w:ascii="Cambria" w:hAnsi="Cambria"/>
        </w:rPr>
        <w:t xml:space="preserve"> = 0.95). This approach allows us to detect asymmetries in spillovers and analyse the connectedness between gold, cryptocurrencies and BRICS stocks at the extreme</w:t>
      </w:r>
      <w:r w:rsidR="00C43248" w:rsidRPr="009B605C">
        <w:rPr>
          <w:rFonts w:ascii="Cambria" w:hAnsi="Cambria"/>
        </w:rPr>
        <w:t xml:space="preserve"> tails</w:t>
      </w:r>
      <w:r w:rsidRPr="009B605C">
        <w:rPr>
          <w:rFonts w:ascii="Cambria" w:hAnsi="Cambria"/>
        </w:rPr>
        <w:t xml:space="preserve"> of the distribution.</w:t>
      </w:r>
      <w:r w:rsidR="00DB1A70" w:rsidRPr="009B605C">
        <w:rPr>
          <w:rFonts w:ascii="Cambria" w:hAnsi="Cambria"/>
        </w:rPr>
        <w:t xml:space="preserve"> </w:t>
      </w:r>
      <w:r w:rsidR="00873BE7" w:rsidRPr="009B605C">
        <w:rPr>
          <w:rFonts w:ascii="Cambria" w:hAnsi="Cambria"/>
        </w:rPr>
        <w:t>In fact, we discover that the pre-conflict TCI at the lower (upper) quantile is 68.25% (68.27%) compared to only 23.72% at the median quantile, indicating that the interdependence within the network of variables is significantly stronger during extreme events.</w:t>
      </w:r>
      <w:r w:rsidR="00D97DA1" w:rsidRPr="009B605C">
        <w:rPr>
          <w:rFonts w:ascii="Cambria" w:hAnsi="Cambria"/>
        </w:rPr>
        <w:t xml:space="preserve"> The post-conflict announcement period suggests</w:t>
      </w:r>
      <w:r w:rsidR="008A04ED" w:rsidRPr="009B605C">
        <w:rPr>
          <w:rFonts w:ascii="Cambria" w:hAnsi="Cambria"/>
        </w:rPr>
        <w:t xml:space="preserve"> slightly lower but nonetheless very</w:t>
      </w:r>
      <w:r w:rsidR="00D97DA1" w:rsidRPr="009B605C">
        <w:rPr>
          <w:rFonts w:ascii="Cambria" w:hAnsi="Cambria"/>
        </w:rPr>
        <w:t xml:space="preserve"> similar TCI values</w:t>
      </w:r>
      <w:r w:rsidR="008A04ED" w:rsidRPr="009B605C">
        <w:rPr>
          <w:rFonts w:ascii="Cambria" w:hAnsi="Cambria"/>
        </w:rPr>
        <w:t xml:space="preserve">. </w:t>
      </w:r>
      <w:r w:rsidR="00D97DA1" w:rsidRPr="009B605C">
        <w:rPr>
          <w:rFonts w:ascii="Cambria" w:hAnsi="Cambria"/>
        </w:rPr>
        <w:t>Further to that</w:t>
      </w:r>
      <w:r w:rsidR="004A39A2" w:rsidRPr="009B605C">
        <w:rPr>
          <w:rFonts w:ascii="Cambria" w:hAnsi="Cambria"/>
        </w:rPr>
        <w:t xml:space="preserve">, </w:t>
      </w:r>
      <w:r w:rsidR="00D97DA1" w:rsidRPr="009B605C">
        <w:rPr>
          <w:rFonts w:ascii="Cambria" w:hAnsi="Cambria"/>
        </w:rPr>
        <w:t>our results show</w:t>
      </w:r>
      <w:r w:rsidR="004A39A2" w:rsidRPr="009B605C">
        <w:rPr>
          <w:rFonts w:ascii="Cambria" w:hAnsi="Cambria"/>
        </w:rPr>
        <w:t xml:space="preserve"> that the potential safe haven assets, gold and cryptocurrencies, have a higher forecast error variance attributed to internal market shocks compared to stock markets. As a result, gold and cryptocurrencies are less susceptible to external shocks compared to BRICS stocks, maintaining a lower level of connection to the equity markets.</w:t>
      </w:r>
      <w:r w:rsidR="00D97DA1" w:rsidRPr="009B605C">
        <w:rPr>
          <w:rFonts w:ascii="Cambria" w:hAnsi="Cambria"/>
        </w:rPr>
        <w:t xml:space="preserve"> Moreover, o</w:t>
      </w:r>
      <w:r w:rsidR="00DB1A70" w:rsidRPr="009B605C">
        <w:rPr>
          <w:rFonts w:ascii="Cambria" w:hAnsi="Cambria"/>
        </w:rPr>
        <w:t xml:space="preserve">ur analysis </w:t>
      </w:r>
      <w:r w:rsidR="001B5083" w:rsidRPr="009B605C">
        <w:rPr>
          <w:rFonts w:ascii="Cambria" w:hAnsi="Cambria"/>
        </w:rPr>
        <w:t>discovers</w:t>
      </w:r>
      <w:r w:rsidR="00DB1A70" w:rsidRPr="009B605C">
        <w:rPr>
          <w:rFonts w:ascii="Cambria" w:hAnsi="Cambria"/>
        </w:rPr>
        <w:t xml:space="preserve"> that South Africa is the most impacted market within the network. </w:t>
      </w:r>
      <w:r w:rsidR="00BD2E73" w:rsidRPr="009B605C">
        <w:rPr>
          <w:rFonts w:ascii="Cambria" w:hAnsi="Cambria"/>
        </w:rPr>
        <w:t>At</w:t>
      </w:r>
      <w:r w:rsidR="00DB1A70" w:rsidRPr="009B605C">
        <w:rPr>
          <w:rFonts w:ascii="Cambria" w:hAnsi="Cambria"/>
        </w:rPr>
        <w:t xml:space="preserve"> </w:t>
      </w:r>
      <w:r w:rsidR="00BD2E73" w:rsidRPr="009B605C">
        <w:rPr>
          <w:rFonts w:ascii="Cambria" w:hAnsi="Cambria"/>
        </w:rPr>
        <w:t xml:space="preserve">the </w:t>
      </w:r>
      <w:r w:rsidR="00DB1A70" w:rsidRPr="009B605C">
        <w:rPr>
          <w:rFonts w:ascii="Cambria" w:hAnsi="Cambria"/>
        </w:rPr>
        <w:t xml:space="preserve">extreme </w:t>
      </w:r>
      <w:r w:rsidR="00BD2E73" w:rsidRPr="009B605C">
        <w:rPr>
          <w:rFonts w:ascii="Cambria" w:hAnsi="Cambria"/>
        </w:rPr>
        <w:t xml:space="preserve">lower (upper) </w:t>
      </w:r>
      <w:r w:rsidR="00DB1A70" w:rsidRPr="009B605C">
        <w:rPr>
          <w:rFonts w:ascii="Cambria" w:hAnsi="Cambria"/>
        </w:rPr>
        <w:t xml:space="preserve">quantile, 70.76% (70.07%) of </w:t>
      </w:r>
      <w:r w:rsidR="006210FC" w:rsidRPr="009B605C">
        <w:rPr>
          <w:rFonts w:ascii="Cambria" w:hAnsi="Cambria"/>
        </w:rPr>
        <w:t xml:space="preserve">its </w:t>
      </w:r>
      <w:r w:rsidR="00DB1A70" w:rsidRPr="009B605C">
        <w:rPr>
          <w:rFonts w:ascii="Cambria" w:hAnsi="Cambria"/>
        </w:rPr>
        <w:t xml:space="preserve">variance and </w:t>
      </w:r>
      <w:r w:rsidR="001B5083" w:rsidRPr="009B605C">
        <w:rPr>
          <w:rFonts w:ascii="Cambria" w:hAnsi="Cambria"/>
        </w:rPr>
        <w:t>70.64</w:t>
      </w:r>
      <w:r w:rsidR="00DB1A70" w:rsidRPr="009B605C">
        <w:rPr>
          <w:rFonts w:ascii="Cambria" w:hAnsi="Cambria"/>
        </w:rPr>
        <w:t>% (</w:t>
      </w:r>
      <w:r w:rsidR="001B5083" w:rsidRPr="009B605C">
        <w:rPr>
          <w:rFonts w:ascii="Cambria" w:hAnsi="Cambria"/>
        </w:rPr>
        <w:t>70.24</w:t>
      </w:r>
      <w:r w:rsidR="00DB1A70" w:rsidRPr="009B605C">
        <w:rPr>
          <w:rFonts w:ascii="Cambria" w:hAnsi="Cambria"/>
        </w:rPr>
        <w:t xml:space="preserve">%) of </w:t>
      </w:r>
      <w:r w:rsidR="006210FC" w:rsidRPr="009B605C">
        <w:rPr>
          <w:rFonts w:ascii="Cambria" w:hAnsi="Cambria"/>
        </w:rPr>
        <w:t xml:space="preserve">its </w:t>
      </w:r>
      <w:r w:rsidR="00DB1A70" w:rsidRPr="009B605C">
        <w:rPr>
          <w:rFonts w:ascii="Cambria" w:hAnsi="Cambria"/>
        </w:rPr>
        <w:t xml:space="preserve">variance is driven by interactions within the </w:t>
      </w:r>
      <w:r w:rsidR="001B5083" w:rsidRPr="009B605C">
        <w:rPr>
          <w:rFonts w:ascii="Cambria" w:hAnsi="Cambria"/>
        </w:rPr>
        <w:t>stock</w:t>
      </w:r>
      <w:r w:rsidR="00DB1A70" w:rsidRPr="009B605C">
        <w:rPr>
          <w:rFonts w:ascii="Cambria" w:hAnsi="Cambria"/>
        </w:rPr>
        <w:t xml:space="preserve"> market network </w:t>
      </w:r>
      <w:r w:rsidR="00BD2E73" w:rsidRPr="009B605C">
        <w:rPr>
          <w:rFonts w:ascii="Cambria" w:hAnsi="Cambria"/>
        </w:rPr>
        <w:t>in the pre- and post-conflict announcement periods</w:t>
      </w:r>
      <w:r w:rsidR="00DB1A70" w:rsidRPr="009B605C">
        <w:rPr>
          <w:rFonts w:ascii="Cambria" w:hAnsi="Cambria"/>
        </w:rPr>
        <w:t>, respectively</w:t>
      </w:r>
      <w:r w:rsidR="00BD2E73" w:rsidRPr="009B605C">
        <w:rPr>
          <w:rFonts w:ascii="Cambria" w:hAnsi="Cambria"/>
        </w:rPr>
        <w:t>.</w:t>
      </w:r>
      <w:r w:rsidR="00C91503" w:rsidRPr="009B605C">
        <w:rPr>
          <w:rFonts w:ascii="Cambria" w:hAnsi="Cambria"/>
        </w:rPr>
        <w:t xml:space="preserve"> Interesting to notice is that </w:t>
      </w:r>
      <w:r w:rsidR="00E95705" w:rsidRPr="009B605C">
        <w:rPr>
          <w:rFonts w:ascii="Cambria" w:hAnsi="Cambria"/>
        </w:rPr>
        <w:t>the conflict</w:t>
      </w:r>
      <w:r w:rsidR="00C91503" w:rsidRPr="009B605C">
        <w:rPr>
          <w:rFonts w:ascii="Cambria" w:hAnsi="Cambria"/>
        </w:rPr>
        <w:t xml:space="preserve"> results in generally increased spillovers, particularly within the gold and Crypto markets. Russia and India exhibit larger spillover effects </w:t>
      </w:r>
      <w:r w:rsidR="003446AA" w:rsidRPr="009B605C">
        <w:rPr>
          <w:rFonts w:ascii="Cambria" w:hAnsi="Cambria"/>
        </w:rPr>
        <w:t xml:space="preserve">during the 2022 Russia-Ukraine military </w:t>
      </w:r>
      <w:r w:rsidR="00C91503" w:rsidRPr="009B605C">
        <w:rPr>
          <w:rFonts w:ascii="Cambria" w:hAnsi="Cambria"/>
        </w:rPr>
        <w:t>conflict, whereas Brazil and China spillovers remain largely unaffected.</w:t>
      </w:r>
      <w:r w:rsidR="007A7412" w:rsidRPr="009B605C">
        <w:rPr>
          <w:rFonts w:ascii="Cambria" w:hAnsi="Cambria"/>
        </w:rPr>
        <w:t xml:space="preserve"> This underscores the heightened safe haven properties of both gold and cryptocurrencies in turbulent times, suggesting that conservative investors may want to reconsider their adversity to the cryptocurrencies.</w:t>
      </w:r>
    </w:p>
    <w:p w14:paraId="4B5A50FA" w14:textId="5B664B04" w:rsidR="00A85C99" w:rsidRPr="009B605C" w:rsidRDefault="00C47D1F" w:rsidP="0087752F">
      <w:pPr>
        <w:spacing w:line="360" w:lineRule="auto"/>
        <w:ind w:firstLine="720"/>
        <w:jc w:val="both"/>
        <w:rPr>
          <w:rFonts w:ascii="Cambria" w:hAnsi="Cambria"/>
        </w:rPr>
      </w:pPr>
      <w:r w:rsidRPr="009B605C">
        <w:rPr>
          <w:rFonts w:ascii="Cambria" w:hAnsi="Cambria"/>
        </w:rPr>
        <w:lastRenderedPageBreak/>
        <w:t xml:space="preserve">The </w:t>
      </w:r>
      <w:r w:rsidR="00046B92" w:rsidRPr="009B605C">
        <w:rPr>
          <w:rFonts w:ascii="Cambria" w:hAnsi="Cambria"/>
        </w:rPr>
        <w:t>results</w:t>
      </w:r>
      <w:r w:rsidRPr="009B605C">
        <w:rPr>
          <w:rFonts w:ascii="Cambria" w:hAnsi="Cambria"/>
        </w:rPr>
        <w:t xml:space="preserve"> of net </w:t>
      </w:r>
      <w:r w:rsidR="00E95705" w:rsidRPr="009B605C">
        <w:rPr>
          <w:rFonts w:ascii="Cambria" w:hAnsi="Cambria"/>
        </w:rPr>
        <w:t xml:space="preserve">shocks </w:t>
      </w:r>
      <w:r w:rsidRPr="009B605C">
        <w:rPr>
          <w:rFonts w:ascii="Cambria" w:hAnsi="Cambria"/>
        </w:rPr>
        <w:t>transmitters and receivers reveal key differences across pre- and post-conflict</w:t>
      </w:r>
      <w:r w:rsidR="00046B92" w:rsidRPr="009B605C">
        <w:rPr>
          <w:rFonts w:ascii="Cambria" w:hAnsi="Cambria"/>
        </w:rPr>
        <w:t xml:space="preserve"> announcement</w:t>
      </w:r>
      <w:r w:rsidRPr="009B605C">
        <w:rPr>
          <w:rFonts w:ascii="Cambria" w:hAnsi="Cambria"/>
        </w:rPr>
        <w:t xml:space="preserve"> periods</w:t>
      </w:r>
      <w:r w:rsidR="00046B92" w:rsidRPr="009B605C">
        <w:rPr>
          <w:rFonts w:ascii="Cambria" w:hAnsi="Cambria"/>
        </w:rPr>
        <w:t>, as shown in Table 7</w:t>
      </w:r>
      <w:r w:rsidRPr="009B605C">
        <w:rPr>
          <w:rFonts w:ascii="Cambria" w:hAnsi="Cambria"/>
        </w:rPr>
        <w:t>. Russia</w:t>
      </w:r>
      <w:r w:rsidR="003F671D" w:rsidRPr="009B605C">
        <w:rPr>
          <w:rFonts w:ascii="Cambria" w:hAnsi="Cambria"/>
        </w:rPr>
        <w:t xml:space="preserve">, </w:t>
      </w:r>
      <w:r w:rsidRPr="009B605C">
        <w:rPr>
          <w:rFonts w:ascii="Cambria" w:hAnsi="Cambria"/>
        </w:rPr>
        <w:t>India</w:t>
      </w:r>
      <w:r w:rsidR="003F671D" w:rsidRPr="009B605C">
        <w:rPr>
          <w:rFonts w:ascii="Cambria" w:hAnsi="Cambria"/>
        </w:rPr>
        <w:t xml:space="preserve"> and South Africa</w:t>
      </w:r>
      <w:r w:rsidRPr="009B605C">
        <w:rPr>
          <w:rFonts w:ascii="Cambria" w:hAnsi="Cambria"/>
        </w:rPr>
        <w:t xml:space="preserve"> act as net </w:t>
      </w:r>
      <w:r w:rsidR="00E95705" w:rsidRPr="009B605C">
        <w:rPr>
          <w:rFonts w:ascii="Cambria" w:hAnsi="Cambria"/>
        </w:rPr>
        <w:t xml:space="preserve">shocks </w:t>
      </w:r>
      <w:r w:rsidR="003F671D" w:rsidRPr="009B605C">
        <w:rPr>
          <w:rFonts w:ascii="Cambria" w:hAnsi="Cambria"/>
        </w:rPr>
        <w:t>transmitters</w:t>
      </w:r>
      <w:r w:rsidRPr="009B605C">
        <w:rPr>
          <w:rFonts w:ascii="Cambria" w:hAnsi="Cambria"/>
        </w:rPr>
        <w:t xml:space="preserve"> </w:t>
      </w:r>
      <w:r w:rsidR="003F671D" w:rsidRPr="009B605C">
        <w:rPr>
          <w:rFonts w:ascii="Cambria" w:hAnsi="Cambria"/>
        </w:rPr>
        <w:t>pre-conflict across all quantiles</w:t>
      </w:r>
      <w:r w:rsidRPr="009B605C">
        <w:rPr>
          <w:rFonts w:ascii="Cambria" w:hAnsi="Cambria"/>
        </w:rPr>
        <w:t xml:space="preserve">, </w:t>
      </w:r>
      <w:r w:rsidR="003F671D" w:rsidRPr="009B605C">
        <w:rPr>
          <w:rFonts w:ascii="Cambria" w:hAnsi="Cambria"/>
        </w:rPr>
        <w:t xml:space="preserve">spreading </w:t>
      </w:r>
      <w:r w:rsidR="00E95705" w:rsidRPr="009B605C">
        <w:rPr>
          <w:rFonts w:ascii="Cambria" w:hAnsi="Cambria"/>
        </w:rPr>
        <w:t xml:space="preserve">shocks </w:t>
      </w:r>
      <w:r w:rsidR="003F671D" w:rsidRPr="009B605C">
        <w:rPr>
          <w:rFonts w:ascii="Cambria" w:hAnsi="Cambria"/>
        </w:rPr>
        <w:t xml:space="preserve">to other markets. Although South African stocks remain transmitters of </w:t>
      </w:r>
      <w:r w:rsidR="00E95705" w:rsidRPr="009B605C">
        <w:rPr>
          <w:rFonts w:ascii="Cambria" w:hAnsi="Cambria"/>
        </w:rPr>
        <w:t xml:space="preserve">shocks </w:t>
      </w:r>
      <w:r w:rsidR="003F671D" w:rsidRPr="009B605C">
        <w:rPr>
          <w:rFonts w:ascii="Cambria" w:hAnsi="Cambria"/>
        </w:rPr>
        <w:t xml:space="preserve">during the conflict, the Russian market become </w:t>
      </w:r>
      <w:r w:rsidR="00E95705" w:rsidRPr="009B605C">
        <w:rPr>
          <w:rFonts w:ascii="Cambria" w:hAnsi="Cambria"/>
        </w:rPr>
        <w:t xml:space="preserve">a </w:t>
      </w:r>
      <w:r w:rsidR="003F671D" w:rsidRPr="009B605C">
        <w:rPr>
          <w:rFonts w:ascii="Cambria" w:hAnsi="Cambria"/>
        </w:rPr>
        <w:t xml:space="preserve">receiver of </w:t>
      </w:r>
      <w:r w:rsidR="00E95705" w:rsidRPr="009B605C">
        <w:rPr>
          <w:rFonts w:ascii="Cambria" w:hAnsi="Cambria"/>
        </w:rPr>
        <w:t xml:space="preserve">shocks </w:t>
      </w:r>
      <w:r w:rsidR="003F671D" w:rsidRPr="009B605C">
        <w:rPr>
          <w:rFonts w:ascii="Cambria" w:hAnsi="Cambria"/>
        </w:rPr>
        <w:t xml:space="preserve">regardless the quantile. Unsurprisingly, this finding suggests that the military conflict has a substantial impact on Russian stocks. The conflict </w:t>
      </w:r>
      <w:r w:rsidR="007A7412" w:rsidRPr="009B605C">
        <w:rPr>
          <w:rFonts w:ascii="Cambria" w:hAnsi="Cambria"/>
        </w:rPr>
        <w:t>triggers</w:t>
      </w:r>
      <w:r w:rsidR="003F671D" w:rsidRPr="009B605C">
        <w:rPr>
          <w:rFonts w:ascii="Cambria" w:hAnsi="Cambria"/>
        </w:rPr>
        <w:t xml:space="preserve"> rather mixed results for the Indian market, which </w:t>
      </w:r>
      <w:r w:rsidR="007A7412" w:rsidRPr="009B605C">
        <w:rPr>
          <w:rFonts w:ascii="Cambria" w:hAnsi="Cambria"/>
        </w:rPr>
        <w:t>becomes</w:t>
      </w:r>
      <w:r w:rsidR="003F671D" w:rsidRPr="009B605C">
        <w:rPr>
          <w:rFonts w:ascii="Cambria" w:hAnsi="Cambria"/>
        </w:rPr>
        <w:t xml:space="preserve"> </w:t>
      </w:r>
      <w:r w:rsidR="007A7412" w:rsidRPr="009B605C">
        <w:rPr>
          <w:rFonts w:ascii="Cambria" w:hAnsi="Cambria"/>
        </w:rPr>
        <w:t xml:space="preserve">a </w:t>
      </w:r>
      <w:r w:rsidR="003F671D" w:rsidRPr="009B605C">
        <w:rPr>
          <w:rFonts w:ascii="Cambria" w:hAnsi="Cambria"/>
        </w:rPr>
        <w:t xml:space="preserve">net receiver of </w:t>
      </w:r>
      <w:r w:rsidR="00E95705" w:rsidRPr="009B605C">
        <w:rPr>
          <w:rFonts w:ascii="Cambria" w:hAnsi="Cambria"/>
        </w:rPr>
        <w:t xml:space="preserve">shocks </w:t>
      </w:r>
      <w:r w:rsidR="003F671D" w:rsidRPr="009B605C">
        <w:rPr>
          <w:rFonts w:ascii="Cambria" w:hAnsi="Cambria"/>
        </w:rPr>
        <w:t xml:space="preserve">at the extreme quantiles, while it remains </w:t>
      </w:r>
      <w:r w:rsidR="007A7412" w:rsidRPr="009B605C">
        <w:rPr>
          <w:rFonts w:ascii="Cambria" w:hAnsi="Cambria"/>
        </w:rPr>
        <w:t xml:space="preserve">a </w:t>
      </w:r>
      <w:r w:rsidR="003F671D" w:rsidRPr="009B605C">
        <w:rPr>
          <w:rFonts w:ascii="Cambria" w:hAnsi="Cambria"/>
        </w:rPr>
        <w:t>net transmitter in normal times.</w:t>
      </w:r>
      <w:r w:rsidR="00A65F3A" w:rsidRPr="009B605C">
        <w:rPr>
          <w:rFonts w:ascii="Cambria" w:hAnsi="Cambria"/>
        </w:rPr>
        <w:t xml:space="preserve"> Focusing on the results from Brazil, the market acts as a net </w:t>
      </w:r>
      <w:r w:rsidR="00E95705" w:rsidRPr="009B605C">
        <w:rPr>
          <w:rFonts w:ascii="Cambria" w:hAnsi="Cambria"/>
        </w:rPr>
        <w:t xml:space="preserve">shocks </w:t>
      </w:r>
      <w:r w:rsidR="00A65F3A" w:rsidRPr="009B605C">
        <w:rPr>
          <w:rFonts w:ascii="Cambria" w:hAnsi="Cambria"/>
        </w:rPr>
        <w:t xml:space="preserve">transmitter across all quantiles but the lower one before the conflict onset. In contrast, the Chinese market acts as net receiver of </w:t>
      </w:r>
      <w:r w:rsidR="00E95705" w:rsidRPr="009B605C">
        <w:rPr>
          <w:rFonts w:ascii="Cambria" w:hAnsi="Cambria"/>
        </w:rPr>
        <w:t xml:space="preserve">shocks </w:t>
      </w:r>
      <w:r w:rsidR="00A65F3A" w:rsidRPr="009B605C">
        <w:rPr>
          <w:rFonts w:ascii="Cambria" w:hAnsi="Cambria"/>
        </w:rPr>
        <w:t xml:space="preserve">for all quantiles but the upper one after the onset of the conflict. </w:t>
      </w:r>
      <w:r w:rsidR="00BE460B" w:rsidRPr="009B605C">
        <w:rPr>
          <w:rFonts w:ascii="Cambria" w:hAnsi="Cambria"/>
        </w:rPr>
        <w:t xml:space="preserve">Last but not least, both gold and cryptocurrencies act as net receivers of </w:t>
      </w:r>
      <w:r w:rsidR="00E95705" w:rsidRPr="009B605C">
        <w:rPr>
          <w:rFonts w:ascii="Cambria" w:hAnsi="Cambria"/>
        </w:rPr>
        <w:t xml:space="preserve">shocks </w:t>
      </w:r>
      <w:r w:rsidR="00BE460B" w:rsidRPr="009B605C">
        <w:rPr>
          <w:rFonts w:ascii="Cambria" w:hAnsi="Cambria"/>
        </w:rPr>
        <w:t>in pre-conflict times. This tendency remains unchanged for cryptocurrency market, whereas gold become</w:t>
      </w:r>
      <w:r w:rsidR="007A7412" w:rsidRPr="009B605C">
        <w:rPr>
          <w:rFonts w:ascii="Cambria" w:hAnsi="Cambria"/>
        </w:rPr>
        <w:t>s a</w:t>
      </w:r>
      <w:r w:rsidR="00BE460B" w:rsidRPr="009B605C">
        <w:rPr>
          <w:rFonts w:ascii="Cambria" w:hAnsi="Cambria"/>
        </w:rPr>
        <w:t xml:space="preserve"> net transmitter of </w:t>
      </w:r>
      <w:r w:rsidR="007A7412" w:rsidRPr="009B605C">
        <w:rPr>
          <w:rFonts w:ascii="Cambria" w:hAnsi="Cambria"/>
        </w:rPr>
        <w:t xml:space="preserve">spillover </w:t>
      </w:r>
      <w:r w:rsidR="00BE460B" w:rsidRPr="009B605C">
        <w:rPr>
          <w:rFonts w:ascii="Cambria" w:hAnsi="Cambria"/>
        </w:rPr>
        <w:t xml:space="preserve">during the conflict. Such evidence </w:t>
      </w:r>
      <w:r w:rsidR="00EA329E" w:rsidRPr="009B605C">
        <w:rPr>
          <w:rFonts w:ascii="Cambria" w:hAnsi="Cambria"/>
        </w:rPr>
        <w:t>suggests</w:t>
      </w:r>
      <w:r w:rsidR="00BE460B" w:rsidRPr="009B605C">
        <w:rPr>
          <w:rFonts w:ascii="Cambria" w:hAnsi="Cambria"/>
        </w:rPr>
        <w:t xml:space="preserve"> potentially better safe haven properties of gold compared to Crypto.</w:t>
      </w:r>
      <w:r w:rsidR="009764DB" w:rsidRPr="009B605C">
        <w:rPr>
          <w:rFonts w:ascii="Cambria" w:hAnsi="Cambria"/>
        </w:rPr>
        <w:t xml:space="preserve"> This is somewhat consistent with the findings of Long et al. (2021).</w:t>
      </w:r>
      <w:r w:rsidR="00BE460B" w:rsidRPr="009B605C">
        <w:rPr>
          <w:rFonts w:ascii="Cambria" w:hAnsi="Cambria"/>
        </w:rPr>
        <w:t xml:space="preserve"> In sum, o</w:t>
      </w:r>
      <w:r w:rsidR="00A65F3A" w:rsidRPr="009B605C">
        <w:rPr>
          <w:rFonts w:ascii="Cambria" w:hAnsi="Cambria"/>
        </w:rPr>
        <w:t>ur findings discover differences across quantile directional spillovers</w:t>
      </w:r>
      <w:r w:rsidR="00AE0CF7" w:rsidRPr="009B605C">
        <w:rPr>
          <w:rFonts w:ascii="Cambria" w:hAnsi="Cambria"/>
        </w:rPr>
        <w:t xml:space="preserve"> and imply that n</w:t>
      </w:r>
      <w:r w:rsidR="00A85C99" w:rsidRPr="009B605C">
        <w:rPr>
          <w:rFonts w:ascii="Cambria" w:hAnsi="Cambria"/>
        </w:rPr>
        <w:t xml:space="preserve">et transmitter like South Africa may play an amplifying role during market stress, increasing systemic risks. On the other hand, net receiver like </w:t>
      </w:r>
      <w:r w:rsidR="00AE0CF7" w:rsidRPr="009B605C">
        <w:rPr>
          <w:rFonts w:ascii="Cambria" w:hAnsi="Cambria"/>
        </w:rPr>
        <w:t>China</w:t>
      </w:r>
      <w:r w:rsidR="00A85C99" w:rsidRPr="009B605C">
        <w:rPr>
          <w:rFonts w:ascii="Cambria" w:hAnsi="Cambria"/>
        </w:rPr>
        <w:t xml:space="preserve"> can act as buffer, reducing systemic risk but also potentially adding to the uncertainty if the shock propagation is significant.</w:t>
      </w:r>
      <w:r w:rsidR="00195345" w:rsidRPr="009B605C">
        <w:rPr>
          <w:rFonts w:ascii="Cambria" w:hAnsi="Cambria"/>
        </w:rPr>
        <w:t xml:space="preserve"> </w:t>
      </w:r>
      <w:r w:rsidR="00126380" w:rsidRPr="009B605C">
        <w:rPr>
          <w:rFonts w:ascii="Cambria" w:hAnsi="Cambria"/>
        </w:rPr>
        <w:t>Understanding which markets function as net transmitters or net receivers is essential for effective risk management</w:t>
      </w:r>
      <w:r w:rsidR="00C539E5" w:rsidRPr="009B605C">
        <w:rPr>
          <w:rFonts w:ascii="Cambria" w:hAnsi="Cambria"/>
        </w:rPr>
        <w:t xml:space="preserve"> </w:t>
      </w:r>
      <w:r w:rsidR="00126380" w:rsidRPr="009B605C">
        <w:rPr>
          <w:rFonts w:ascii="Cambria" w:hAnsi="Cambria"/>
        </w:rPr>
        <w:t>and the development of favourable trading strategies</w:t>
      </w:r>
      <w:r w:rsidR="00C539E5" w:rsidRPr="009B605C">
        <w:rPr>
          <w:rFonts w:ascii="Cambria" w:hAnsi="Cambria"/>
        </w:rPr>
        <w:t xml:space="preserve"> by portfolio managers</w:t>
      </w:r>
      <w:r w:rsidR="00126380" w:rsidRPr="009B605C">
        <w:rPr>
          <w:rFonts w:ascii="Cambria" w:hAnsi="Cambria"/>
        </w:rPr>
        <w:t>.</w:t>
      </w:r>
      <w:r w:rsidR="0086239B" w:rsidRPr="009B605C">
        <w:rPr>
          <w:rFonts w:ascii="Cambria" w:hAnsi="Cambria"/>
        </w:rPr>
        <w:t xml:space="preserve"> The fact that gold retains its safe haven properties in general, while improving them relative to the cryptocurrencies in turbulent times implies that conservative portfolio managers may still find gold preferrable to crypto.</w:t>
      </w:r>
    </w:p>
    <w:p w14:paraId="328AC382" w14:textId="7A73251C" w:rsidR="00EA710C" w:rsidRPr="009B605C" w:rsidRDefault="00EA710C"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7]</w:t>
      </w:r>
    </w:p>
    <w:p w14:paraId="5AF13E67" w14:textId="0ABB4413" w:rsidR="00111ABA" w:rsidRPr="009B605C" w:rsidRDefault="00AE79CC" w:rsidP="0087752F">
      <w:pPr>
        <w:spacing w:line="360" w:lineRule="auto"/>
        <w:jc w:val="both"/>
        <w:rPr>
          <w:rFonts w:ascii="Cambria" w:eastAsiaTheme="minorEastAsia" w:hAnsi="Cambria"/>
        </w:rPr>
      </w:pPr>
      <w:r w:rsidRPr="009B605C">
        <w:rPr>
          <w:rFonts w:ascii="Cambria" w:eastAsiaTheme="minorEastAsia" w:hAnsi="Cambria"/>
        </w:rPr>
        <w:t>Figure 5 visually illustrates the net directional connectedness during the pre- and post-conflict announcement periods, presented in Panel A and B, respectively. The yellow (blue) nodes represent net receivers (transmitters), and the size of nodes refer</w:t>
      </w:r>
      <w:r w:rsidR="003B07A6" w:rsidRPr="009B605C">
        <w:rPr>
          <w:rFonts w:ascii="Cambria" w:eastAsiaTheme="minorEastAsia" w:hAnsi="Cambria"/>
        </w:rPr>
        <w:t>s</w:t>
      </w:r>
      <w:r w:rsidRPr="009B605C">
        <w:rPr>
          <w:rFonts w:ascii="Cambria" w:eastAsiaTheme="minorEastAsia" w:hAnsi="Cambria"/>
        </w:rPr>
        <w:t xml:space="preserve"> to the corresponding net estimates. The direction of the arrows indicates the direction of spillovers, while their thickness reflects the intensity of the spillovers.</w:t>
      </w:r>
      <w:r w:rsidR="00193854" w:rsidRPr="009B605C">
        <w:rPr>
          <w:rFonts w:ascii="Cambria" w:eastAsiaTheme="minorEastAsia" w:hAnsi="Cambria"/>
        </w:rPr>
        <w:t xml:space="preserve"> </w:t>
      </w:r>
      <w:r w:rsidR="003E56BF" w:rsidRPr="009B605C">
        <w:rPr>
          <w:rFonts w:ascii="Cambria" w:eastAsiaTheme="minorEastAsia" w:hAnsi="Cambria"/>
        </w:rPr>
        <w:t xml:space="preserve">The graphical </w:t>
      </w:r>
      <w:r w:rsidR="003E56BF" w:rsidRPr="009B605C">
        <w:rPr>
          <w:rFonts w:ascii="Cambria" w:eastAsiaTheme="minorEastAsia" w:hAnsi="Cambria"/>
        </w:rPr>
        <w:lastRenderedPageBreak/>
        <w:t>analysis</w:t>
      </w:r>
      <w:r w:rsidR="00193854" w:rsidRPr="009B605C">
        <w:rPr>
          <w:rFonts w:ascii="Cambria" w:eastAsiaTheme="minorEastAsia" w:hAnsi="Cambria"/>
        </w:rPr>
        <w:t xml:space="preserve"> in Figure 5</w:t>
      </w:r>
      <w:r w:rsidR="003E56BF" w:rsidRPr="009B605C">
        <w:rPr>
          <w:rFonts w:ascii="Cambria" w:eastAsiaTheme="minorEastAsia" w:hAnsi="Cambria"/>
        </w:rPr>
        <w:t xml:space="preserve"> allows to observe the changes in the shock transmission in and out of the two potential safe haven asset classes before and after the start of the conflict. Specifically, before the conflict, both Gold and Crypto act as large receivers of </w:t>
      </w:r>
      <w:r w:rsidR="00E95705" w:rsidRPr="009B605C">
        <w:rPr>
          <w:rFonts w:ascii="Cambria" w:eastAsiaTheme="minorEastAsia" w:hAnsi="Cambria"/>
        </w:rPr>
        <w:t>shocks</w:t>
      </w:r>
      <w:r w:rsidR="003E56BF" w:rsidRPr="009B605C">
        <w:rPr>
          <w:rFonts w:ascii="Cambria" w:eastAsiaTheme="minorEastAsia" w:hAnsi="Cambria"/>
        </w:rPr>
        <w:t xml:space="preserve">, particularly from </w:t>
      </w:r>
      <w:r w:rsidR="003B07A6" w:rsidRPr="009B605C">
        <w:rPr>
          <w:rFonts w:ascii="Cambria" w:eastAsiaTheme="minorEastAsia" w:hAnsi="Cambria"/>
        </w:rPr>
        <w:t xml:space="preserve">India, Russia and </w:t>
      </w:r>
      <w:r w:rsidR="003E56BF" w:rsidRPr="009B605C">
        <w:rPr>
          <w:rFonts w:ascii="Cambria" w:eastAsiaTheme="minorEastAsia" w:hAnsi="Cambria"/>
        </w:rPr>
        <w:t xml:space="preserve">South Africa. Chinese stocks are also receivers of </w:t>
      </w:r>
      <w:r w:rsidR="00E95705" w:rsidRPr="009B605C">
        <w:rPr>
          <w:rFonts w:ascii="Cambria" w:eastAsiaTheme="minorEastAsia" w:hAnsi="Cambria"/>
        </w:rPr>
        <w:t xml:space="preserve">shocks </w:t>
      </w:r>
      <w:r w:rsidR="003E56BF" w:rsidRPr="009B605C">
        <w:rPr>
          <w:rFonts w:ascii="Cambria" w:eastAsiaTheme="minorEastAsia" w:hAnsi="Cambria"/>
        </w:rPr>
        <w:t>before the conflict</w:t>
      </w:r>
      <w:r w:rsidR="003B07A6" w:rsidRPr="009B605C">
        <w:rPr>
          <w:rFonts w:ascii="Cambria" w:eastAsiaTheme="minorEastAsia" w:hAnsi="Cambria"/>
        </w:rPr>
        <w:t>, whereas they show some evidence of net transmitters at the upper quantile</w:t>
      </w:r>
      <w:r w:rsidR="00193854" w:rsidRPr="009B605C">
        <w:rPr>
          <w:rFonts w:ascii="Cambria" w:eastAsiaTheme="minorEastAsia" w:hAnsi="Cambria"/>
        </w:rPr>
        <w:t xml:space="preserve"> after the conflict announcement</w:t>
      </w:r>
      <w:r w:rsidR="003E56BF" w:rsidRPr="009B605C">
        <w:rPr>
          <w:rFonts w:ascii="Cambria" w:eastAsiaTheme="minorEastAsia" w:hAnsi="Cambria"/>
        </w:rPr>
        <w:t>.</w:t>
      </w:r>
      <w:r w:rsidR="00193854" w:rsidRPr="009B605C">
        <w:rPr>
          <w:rFonts w:ascii="Cambria" w:eastAsiaTheme="minorEastAsia" w:hAnsi="Cambria"/>
        </w:rPr>
        <w:t xml:space="preserve"> </w:t>
      </w:r>
      <w:r w:rsidR="0061186D" w:rsidRPr="009B605C">
        <w:rPr>
          <w:rFonts w:ascii="Cambria" w:eastAsiaTheme="minorEastAsia" w:hAnsi="Cambria"/>
        </w:rPr>
        <w:t>Consistent with the past study of Lin and Wang (2024)</w:t>
      </w:r>
      <w:r w:rsidR="003E56BF" w:rsidRPr="009B605C">
        <w:rPr>
          <w:rFonts w:ascii="Cambria" w:eastAsiaTheme="minorEastAsia" w:hAnsi="Cambria"/>
        </w:rPr>
        <w:t xml:space="preserve">, </w:t>
      </w:r>
      <w:r w:rsidR="0061186D" w:rsidRPr="009B605C">
        <w:rPr>
          <w:rFonts w:ascii="Cambria" w:eastAsiaTheme="minorEastAsia" w:hAnsi="Cambria"/>
        </w:rPr>
        <w:t xml:space="preserve">our findings determine that </w:t>
      </w:r>
      <w:r w:rsidR="003E56BF" w:rsidRPr="009B605C">
        <w:rPr>
          <w:rFonts w:ascii="Cambria" w:eastAsiaTheme="minorEastAsia" w:hAnsi="Cambria"/>
        </w:rPr>
        <w:t xml:space="preserve">Russian stocks change their role after the conflict, operating as a growing </w:t>
      </w:r>
      <w:r w:rsidR="00E95705" w:rsidRPr="009B605C">
        <w:rPr>
          <w:rFonts w:ascii="Cambria" w:eastAsiaTheme="minorEastAsia" w:hAnsi="Cambria"/>
        </w:rPr>
        <w:t xml:space="preserve">a </w:t>
      </w:r>
      <w:r w:rsidR="003E56BF" w:rsidRPr="009B605C">
        <w:rPr>
          <w:rFonts w:ascii="Cambria" w:eastAsiaTheme="minorEastAsia" w:hAnsi="Cambria"/>
        </w:rPr>
        <w:t xml:space="preserve">net receiver of </w:t>
      </w:r>
      <w:r w:rsidR="00E95705" w:rsidRPr="009B605C">
        <w:rPr>
          <w:rFonts w:ascii="Cambria" w:eastAsiaTheme="minorEastAsia" w:hAnsi="Cambria"/>
        </w:rPr>
        <w:t>shocks</w:t>
      </w:r>
      <w:r w:rsidR="003E56BF" w:rsidRPr="009B605C">
        <w:rPr>
          <w:rFonts w:ascii="Cambria" w:eastAsiaTheme="minorEastAsia" w:hAnsi="Cambria"/>
        </w:rPr>
        <w:t xml:space="preserve">. This can be seen </w:t>
      </w:r>
      <w:r w:rsidR="00566450" w:rsidRPr="009B605C">
        <w:rPr>
          <w:rFonts w:ascii="Cambria" w:eastAsiaTheme="minorEastAsia" w:hAnsi="Cambria"/>
        </w:rPr>
        <w:t>across</w:t>
      </w:r>
      <w:r w:rsidR="003E56BF" w:rsidRPr="009B605C">
        <w:rPr>
          <w:rFonts w:ascii="Cambria" w:eastAsiaTheme="minorEastAsia" w:hAnsi="Cambria"/>
        </w:rPr>
        <w:t xml:space="preserve"> all quantile</w:t>
      </w:r>
      <w:r w:rsidR="00566450" w:rsidRPr="009B605C">
        <w:rPr>
          <w:rFonts w:ascii="Cambria" w:eastAsiaTheme="minorEastAsia" w:hAnsi="Cambria"/>
        </w:rPr>
        <w:t>s</w:t>
      </w:r>
      <w:r w:rsidR="003E56BF" w:rsidRPr="009B605C">
        <w:rPr>
          <w:rFonts w:ascii="Cambria" w:eastAsiaTheme="minorEastAsia" w:hAnsi="Cambria"/>
        </w:rPr>
        <w:t xml:space="preserve">. </w:t>
      </w:r>
      <w:r w:rsidR="009A53E5" w:rsidRPr="009B605C">
        <w:rPr>
          <w:rFonts w:ascii="Cambria" w:eastAsiaTheme="minorEastAsia" w:hAnsi="Cambria"/>
        </w:rPr>
        <w:t xml:space="preserve">In addition, Brazilian stocks are mainly </w:t>
      </w:r>
      <w:r w:rsidR="00E95705" w:rsidRPr="009B605C">
        <w:rPr>
          <w:rFonts w:ascii="Cambria" w:eastAsiaTheme="minorEastAsia" w:hAnsi="Cambria"/>
        </w:rPr>
        <w:t xml:space="preserve">a </w:t>
      </w:r>
      <w:r w:rsidR="009A53E5" w:rsidRPr="009B605C">
        <w:rPr>
          <w:rFonts w:ascii="Cambria" w:eastAsiaTheme="minorEastAsia" w:hAnsi="Cambria"/>
        </w:rPr>
        <w:t xml:space="preserve">net receiver of </w:t>
      </w:r>
      <w:r w:rsidR="00E95705" w:rsidRPr="009B605C">
        <w:rPr>
          <w:rFonts w:ascii="Cambria" w:eastAsiaTheme="minorEastAsia" w:hAnsi="Cambria"/>
        </w:rPr>
        <w:t xml:space="preserve">shocks </w:t>
      </w:r>
      <w:r w:rsidR="009A53E5" w:rsidRPr="009B605C">
        <w:rPr>
          <w:rFonts w:ascii="Cambria" w:eastAsiaTheme="minorEastAsia" w:hAnsi="Cambria"/>
        </w:rPr>
        <w:t xml:space="preserve">for all quantiles and periods but the median quantile before the conflict. Interestingly, the only spillover between gold and cryptocurrencies across the six cases occurs at the lower quantile during the conflict period, flowing from gold to cryptocurrencies. Both assets are disconnected in all other cases. </w:t>
      </w:r>
      <w:r w:rsidR="000C16FD" w:rsidRPr="009B605C">
        <w:rPr>
          <w:rFonts w:ascii="Cambria" w:eastAsiaTheme="minorEastAsia" w:hAnsi="Cambria"/>
        </w:rPr>
        <w:t>This finding implies that gold and cryptocurrencies may serve as hedges for each other in certain situations.</w:t>
      </w:r>
      <w:r w:rsidR="00D32DA0" w:rsidRPr="009B605C">
        <w:rPr>
          <w:rFonts w:ascii="Cambria" w:eastAsiaTheme="minorEastAsia" w:hAnsi="Cambria"/>
        </w:rPr>
        <w:t xml:space="preserve"> </w:t>
      </w:r>
      <w:r w:rsidR="00EB4A70" w:rsidRPr="009B605C">
        <w:rPr>
          <w:rFonts w:ascii="Cambria" w:eastAsiaTheme="minorEastAsia" w:hAnsi="Cambria"/>
        </w:rPr>
        <w:t>Lastly, the results from both panels suggest that markets are less connected at the median than at the extreme tails of the distribution, confirming the suitability of the quantile-based methodology.</w:t>
      </w:r>
      <w:r w:rsidR="006D4530" w:rsidRPr="009B605C">
        <w:rPr>
          <w:rFonts w:ascii="Cambria" w:eastAsiaTheme="minorEastAsia" w:hAnsi="Cambria"/>
        </w:rPr>
        <w:t xml:space="preserve"> </w:t>
      </w:r>
      <w:r w:rsidR="00111ABA" w:rsidRPr="009B605C">
        <w:rPr>
          <w:rFonts w:ascii="Cambria" w:eastAsiaTheme="minorEastAsia" w:hAnsi="Cambria"/>
        </w:rPr>
        <w:t xml:space="preserve">Thus, our graphical analysis reinforces earlier findings about the asymmetric impact of the 2022 Russia-Ukraine conflict on </w:t>
      </w:r>
      <w:r w:rsidR="00E95705" w:rsidRPr="009B605C">
        <w:rPr>
          <w:rFonts w:ascii="Cambria" w:eastAsiaTheme="minorEastAsia" w:hAnsi="Cambria"/>
        </w:rPr>
        <w:t>asset returns</w:t>
      </w:r>
      <w:r w:rsidR="00111ABA" w:rsidRPr="009B605C">
        <w:rPr>
          <w:rFonts w:ascii="Cambria" w:eastAsiaTheme="minorEastAsia" w:hAnsi="Cambria"/>
        </w:rPr>
        <w:t xml:space="preserve">, not only in agricultural commodity markets (see, Just and </w:t>
      </w:r>
      <w:proofErr w:type="spellStart"/>
      <w:r w:rsidR="00111ABA" w:rsidRPr="009B605C">
        <w:rPr>
          <w:rFonts w:ascii="Cambria" w:eastAsiaTheme="minorEastAsia" w:hAnsi="Cambria"/>
        </w:rPr>
        <w:t>Echaust</w:t>
      </w:r>
      <w:proofErr w:type="spellEnd"/>
      <w:r w:rsidR="00111ABA" w:rsidRPr="009B605C">
        <w:rPr>
          <w:rFonts w:ascii="Cambria" w:eastAsiaTheme="minorEastAsia" w:hAnsi="Cambria"/>
        </w:rPr>
        <w:t>, 2022) but also across equity, gold, and cryptocurrency markets.</w:t>
      </w:r>
    </w:p>
    <w:p w14:paraId="0225708D" w14:textId="02D4667A" w:rsidR="002A7094" w:rsidRPr="009B605C" w:rsidRDefault="002A7094"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[Figure 5]</w:t>
      </w:r>
    </w:p>
    <w:p w14:paraId="17A88C93" w14:textId="31C0664E" w:rsidR="0080386F" w:rsidRPr="009B605C" w:rsidRDefault="000C667A" w:rsidP="0087752F">
      <w:pPr>
        <w:spacing w:before="160" w:after="40" w:line="360" w:lineRule="auto"/>
        <w:rPr>
          <w:rFonts w:ascii="Cambria" w:hAnsi="Cambria"/>
          <w:b/>
          <w:bCs/>
        </w:rPr>
      </w:pPr>
      <w:r w:rsidRPr="009B605C">
        <w:rPr>
          <w:rFonts w:ascii="Cambria" w:hAnsi="Cambria"/>
          <w:b/>
          <w:bCs/>
        </w:rPr>
        <w:t>4</w:t>
      </w:r>
      <w:r w:rsidR="0080386F" w:rsidRPr="009B605C">
        <w:rPr>
          <w:rFonts w:ascii="Cambria" w:hAnsi="Cambria"/>
          <w:b/>
          <w:bCs/>
        </w:rPr>
        <w:t>.</w:t>
      </w:r>
      <w:r w:rsidR="00B92159" w:rsidRPr="009B605C">
        <w:rPr>
          <w:rFonts w:ascii="Cambria" w:hAnsi="Cambria"/>
          <w:b/>
          <w:bCs/>
        </w:rPr>
        <w:t>6</w:t>
      </w:r>
      <w:r w:rsidR="0080386F" w:rsidRPr="009B605C">
        <w:rPr>
          <w:rFonts w:ascii="Cambria" w:hAnsi="Cambria"/>
          <w:b/>
          <w:bCs/>
        </w:rPr>
        <w:t>. Portfolio implications</w:t>
      </w:r>
    </w:p>
    <w:p w14:paraId="1B34BBE3" w14:textId="4D2F35BD" w:rsidR="00442FCF" w:rsidRPr="009B605C" w:rsidRDefault="00A14D3B" w:rsidP="0087752F">
      <w:pPr>
        <w:tabs>
          <w:tab w:val="left" w:pos="1578"/>
        </w:tabs>
        <w:spacing w:line="360" w:lineRule="auto"/>
        <w:jc w:val="both"/>
        <w:rPr>
          <w:rFonts w:ascii="Cambria" w:hAnsi="Cambria"/>
        </w:rPr>
      </w:pPr>
      <w:r w:rsidRPr="009B605C">
        <w:rPr>
          <w:rFonts w:ascii="Cambria" w:hAnsi="Cambria"/>
        </w:rPr>
        <w:t xml:space="preserve">Table 8 provides the </w:t>
      </w:r>
      <w:r w:rsidR="00470545" w:rsidRPr="009B605C">
        <w:rPr>
          <w:rFonts w:ascii="Cambria" w:hAnsi="Cambria"/>
        </w:rPr>
        <w:t>optimal portfolio weights</w:t>
      </w:r>
      <w:r w:rsidR="00442FCF" w:rsidRPr="009B605C">
        <w:rPr>
          <w:rFonts w:ascii="Cambria" w:hAnsi="Cambria"/>
        </w:rPr>
        <w:t xml:space="preserve"> </w:t>
      </w:r>
      <w:r w:rsidR="00470545" w:rsidRPr="009B605C">
        <w:rPr>
          <w:rFonts w:ascii="Cambria" w:hAnsi="Cambria"/>
        </w:rPr>
        <w:t>and</w:t>
      </w:r>
      <w:r w:rsidR="00442FCF" w:rsidRPr="009B605C">
        <w:rPr>
          <w:rFonts w:ascii="Cambria" w:hAnsi="Cambria"/>
        </w:rPr>
        <w:t xml:space="preserve"> optimal</w:t>
      </w:r>
      <w:r w:rsidR="00470545" w:rsidRPr="009B605C">
        <w:rPr>
          <w:rFonts w:ascii="Cambria" w:hAnsi="Cambria"/>
        </w:rPr>
        <w:t xml:space="preserve"> hedge ratios </w:t>
      </w:r>
      <w:r w:rsidR="00442FCF" w:rsidRPr="009B605C">
        <w:rPr>
          <w:rFonts w:ascii="Cambria" w:hAnsi="Cambria"/>
        </w:rPr>
        <w:t xml:space="preserve">between the potential safe haven assets (gold and cryptocurrencies) and BRICS stocks for the pre- and post-conflict announcement periods, respectively, </w:t>
      </w:r>
      <w:r w:rsidR="004C723F" w:rsidRPr="009B605C">
        <w:rPr>
          <w:rFonts w:ascii="Cambria" w:hAnsi="Cambria"/>
        </w:rPr>
        <w:t xml:space="preserve">in </w:t>
      </w:r>
      <w:r w:rsidR="00442FCF" w:rsidRPr="009B605C">
        <w:rPr>
          <w:rFonts w:ascii="Cambria" w:hAnsi="Cambria"/>
        </w:rPr>
        <w:t>Panels A and B.</w:t>
      </w:r>
      <w:r w:rsidR="00D9713C" w:rsidRPr="009B605C">
        <w:rPr>
          <w:rFonts w:ascii="Cambria" w:hAnsi="Cambria"/>
        </w:rPr>
        <w:t xml:space="preserve"> </w:t>
      </w:r>
      <w:r w:rsidR="00442FCF" w:rsidRPr="009B605C">
        <w:rPr>
          <w:rFonts w:ascii="Cambria" w:hAnsi="Cambria"/>
        </w:rPr>
        <w:t xml:space="preserve">The </w:t>
      </w:r>
      <w:r w:rsidR="00D9713C" w:rsidRPr="009B605C">
        <w:rPr>
          <w:rFonts w:ascii="Cambria" w:hAnsi="Cambria"/>
        </w:rPr>
        <w:t xml:space="preserve">pre-conflict </w:t>
      </w:r>
      <w:r w:rsidR="00442FCF" w:rsidRPr="009B605C">
        <w:rPr>
          <w:rFonts w:ascii="Cambria" w:hAnsi="Cambria"/>
        </w:rPr>
        <w:t xml:space="preserve">optimal portfolio weight of the </w:t>
      </w:r>
      <w:r w:rsidR="00F42D00" w:rsidRPr="009B605C">
        <w:rPr>
          <w:rFonts w:ascii="Cambria" w:hAnsi="Cambria"/>
        </w:rPr>
        <w:t>India</w:t>
      </w:r>
      <w:r w:rsidR="00ED36B9" w:rsidRPr="009B605C">
        <w:rPr>
          <w:rFonts w:ascii="Cambria" w:hAnsi="Cambria"/>
        </w:rPr>
        <w:t>/Gold</w:t>
      </w:r>
      <w:r w:rsidR="00442FCF" w:rsidRPr="009B605C">
        <w:rPr>
          <w:rFonts w:ascii="Cambria" w:hAnsi="Cambria"/>
        </w:rPr>
        <w:t xml:space="preserve"> portfolio is 0.</w:t>
      </w:r>
      <w:r w:rsidR="00ED36B9" w:rsidRPr="009B605C">
        <w:rPr>
          <w:rFonts w:ascii="Cambria" w:hAnsi="Cambria"/>
        </w:rPr>
        <w:t>456</w:t>
      </w:r>
      <w:r w:rsidR="00442FCF" w:rsidRPr="009B605C">
        <w:rPr>
          <w:rFonts w:ascii="Cambria" w:hAnsi="Cambria"/>
        </w:rPr>
        <w:t xml:space="preserve">, demonstrating that, for a </w:t>
      </w:r>
      <w:r w:rsidR="00D9713C" w:rsidRPr="009B605C">
        <w:rPr>
          <w:rFonts w:ascii="Cambria" w:hAnsi="Cambria"/>
        </w:rPr>
        <w:t>$</w:t>
      </w:r>
      <w:r w:rsidR="00442FCF" w:rsidRPr="009B605C">
        <w:rPr>
          <w:rFonts w:ascii="Cambria" w:hAnsi="Cambria"/>
        </w:rPr>
        <w:t>1</w:t>
      </w:r>
      <w:r w:rsidR="00ED36B9" w:rsidRPr="009B605C">
        <w:rPr>
          <w:rFonts w:ascii="Cambria" w:hAnsi="Cambria"/>
        </w:rPr>
        <w:t>0</w:t>
      </w:r>
      <w:r w:rsidR="00442FCF" w:rsidRPr="009B605C">
        <w:rPr>
          <w:rFonts w:ascii="Cambria" w:hAnsi="Cambria"/>
        </w:rPr>
        <w:t xml:space="preserve"> portfolio, </w:t>
      </w:r>
      <w:r w:rsidR="00D9713C" w:rsidRPr="009B605C">
        <w:rPr>
          <w:rFonts w:ascii="Cambria" w:hAnsi="Cambria"/>
        </w:rPr>
        <w:t>$</w:t>
      </w:r>
      <w:r w:rsidR="00ED36B9" w:rsidRPr="009B605C">
        <w:rPr>
          <w:rFonts w:ascii="Cambria" w:hAnsi="Cambria"/>
        </w:rPr>
        <w:t xml:space="preserve">4.56 </w:t>
      </w:r>
      <w:r w:rsidR="00442FCF" w:rsidRPr="009B605C">
        <w:rPr>
          <w:rFonts w:ascii="Cambria" w:hAnsi="Cambria"/>
        </w:rPr>
        <w:t xml:space="preserve">should be invested in </w:t>
      </w:r>
      <w:r w:rsidR="00F42D00" w:rsidRPr="009B605C">
        <w:rPr>
          <w:rFonts w:ascii="Cambria" w:hAnsi="Cambria"/>
        </w:rPr>
        <w:t xml:space="preserve">Indian </w:t>
      </w:r>
      <w:r w:rsidR="00ED36B9" w:rsidRPr="009B605C">
        <w:rPr>
          <w:rFonts w:ascii="Cambria" w:hAnsi="Cambria"/>
        </w:rPr>
        <w:t>stocks</w:t>
      </w:r>
      <w:r w:rsidR="00442FCF" w:rsidRPr="009B605C">
        <w:rPr>
          <w:rFonts w:ascii="Cambria" w:hAnsi="Cambria"/>
        </w:rPr>
        <w:t xml:space="preserve">, while the other </w:t>
      </w:r>
      <w:r w:rsidR="00D9713C" w:rsidRPr="009B605C">
        <w:rPr>
          <w:rFonts w:ascii="Cambria" w:hAnsi="Cambria"/>
        </w:rPr>
        <w:t>$</w:t>
      </w:r>
      <w:r w:rsidR="00ED36B9" w:rsidRPr="009B605C">
        <w:rPr>
          <w:rFonts w:ascii="Cambria" w:hAnsi="Cambria"/>
        </w:rPr>
        <w:t xml:space="preserve">5.44 </w:t>
      </w:r>
      <w:r w:rsidR="00442FCF" w:rsidRPr="009B605C">
        <w:rPr>
          <w:rFonts w:ascii="Cambria" w:hAnsi="Cambria"/>
        </w:rPr>
        <w:t xml:space="preserve">should be invested in </w:t>
      </w:r>
      <w:r w:rsidR="00ED36B9" w:rsidRPr="009B605C">
        <w:rPr>
          <w:rFonts w:ascii="Cambria" w:hAnsi="Cambria"/>
        </w:rPr>
        <w:t>gold</w:t>
      </w:r>
      <w:r w:rsidR="00442FCF" w:rsidRPr="009B605C">
        <w:rPr>
          <w:rFonts w:ascii="Cambria" w:hAnsi="Cambria"/>
        </w:rPr>
        <w:t xml:space="preserve">. The average </w:t>
      </w:r>
      <w:r w:rsidR="00D9713C" w:rsidRPr="009B605C">
        <w:rPr>
          <w:rFonts w:ascii="Cambria" w:hAnsi="Cambria"/>
        </w:rPr>
        <w:t xml:space="preserve">pre-conflict </w:t>
      </w:r>
      <w:r w:rsidR="00442FCF" w:rsidRPr="009B605C">
        <w:rPr>
          <w:rFonts w:ascii="Cambria" w:hAnsi="Cambria"/>
        </w:rPr>
        <w:t>portfolio weights</w:t>
      </w:r>
      <w:r w:rsidR="00D9713C" w:rsidRPr="009B605C">
        <w:rPr>
          <w:rFonts w:ascii="Cambria" w:hAnsi="Cambria"/>
        </w:rPr>
        <w:t>, including gold,</w:t>
      </w:r>
      <w:r w:rsidR="00442FCF" w:rsidRPr="009B605C">
        <w:rPr>
          <w:rFonts w:ascii="Cambria" w:hAnsi="Cambria"/>
        </w:rPr>
        <w:t xml:space="preserve"> are all lower than </w:t>
      </w:r>
      <w:r w:rsidR="00D9713C" w:rsidRPr="009B605C">
        <w:rPr>
          <w:rFonts w:ascii="Cambria" w:hAnsi="Cambria"/>
        </w:rPr>
        <w:t>45.6</w:t>
      </w:r>
      <w:r w:rsidR="00442FCF" w:rsidRPr="009B605C">
        <w:rPr>
          <w:rFonts w:ascii="Cambria" w:hAnsi="Cambria"/>
        </w:rPr>
        <w:t xml:space="preserve">%, implying that more </w:t>
      </w:r>
      <w:r w:rsidR="00F42D00" w:rsidRPr="009B605C">
        <w:rPr>
          <w:rFonts w:ascii="Cambria" w:hAnsi="Cambria"/>
        </w:rPr>
        <w:t>gold</w:t>
      </w:r>
      <w:r w:rsidR="00442FCF" w:rsidRPr="009B605C">
        <w:rPr>
          <w:rFonts w:ascii="Cambria" w:hAnsi="Cambria"/>
        </w:rPr>
        <w:t xml:space="preserve"> should be included in </w:t>
      </w:r>
      <w:r w:rsidR="00F42D00" w:rsidRPr="009B605C">
        <w:rPr>
          <w:rFonts w:ascii="Cambria" w:hAnsi="Cambria"/>
        </w:rPr>
        <w:t>gold</w:t>
      </w:r>
      <w:r w:rsidR="00442FCF" w:rsidRPr="009B605C">
        <w:rPr>
          <w:rFonts w:ascii="Cambria" w:hAnsi="Cambria"/>
        </w:rPr>
        <w:t>-</w:t>
      </w:r>
      <w:r w:rsidR="00F42D00" w:rsidRPr="009B605C">
        <w:rPr>
          <w:rFonts w:ascii="Cambria" w:hAnsi="Cambria"/>
        </w:rPr>
        <w:t>stocks</w:t>
      </w:r>
      <w:r w:rsidR="00442FCF" w:rsidRPr="009B605C">
        <w:rPr>
          <w:rFonts w:ascii="Cambria" w:hAnsi="Cambria"/>
        </w:rPr>
        <w:t xml:space="preserve"> portfolios.</w:t>
      </w:r>
      <w:r w:rsidR="00F42D00" w:rsidRPr="009B605C">
        <w:rPr>
          <w:rFonts w:ascii="Cambria" w:hAnsi="Cambria"/>
        </w:rPr>
        <w:t xml:space="preserve"> In contrast, the results from crypto portfolios show an average pre-conflict portfolio weights of over 90.8%, indicating that a larger proportion of the portfolio must be invested in stocks for any crypto-stock combination.</w:t>
      </w:r>
      <w:r w:rsidR="003166D7" w:rsidRPr="009B605C">
        <w:rPr>
          <w:rFonts w:ascii="Cambria" w:hAnsi="Cambria"/>
        </w:rPr>
        <w:t xml:space="preserve"> The results from the post-conflict period are qualitatively consistent. Nonetheless, it is notable that the 2022 Russia-</w:t>
      </w:r>
      <w:r w:rsidR="003166D7" w:rsidRPr="009B605C">
        <w:rPr>
          <w:rFonts w:ascii="Cambria" w:hAnsi="Cambria"/>
        </w:rPr>
        <w:lastRenderedPageBreak/>
        <w:t>Ukraine conflict led to increased investment in stocks rather than safe haven assets like gold and cryptocurrencies. The only exceptions are South Africa, for gold, and Russia, for both crypto and gold, where higher optimal weights are allocated to safe haven assets than to stocks. This suggests that both gold and crypto enhanced their roles as safe haven assets in countries directly involved in the conflict, such as Russia.</w:t>
      </w:r>
    </w:p>
    <w:p w14:paraId="551B87A3" w14:textId="268B018C" w:rsidR="00871A5F" w:rsidRPr="009B605C" w:rsidRDefault="00B82906" w:rsidP="0087752F">
      <w:pPr>
        <w:spacing w:line="360" w:lineRule="auto"/>
        <w:ind w:firstLine="720"/>
        <w:jc w:val="both"/>
        <w:rPr>
          <w:rFonts w:ascii="Cambria" w:hAnsi="Cambria"/>
        </w:rPr>
      </w:pPr>
      <w:r w:rsidRPr="009B605C">
        <w:rPr>
          <w:rFonts w:ascii="Cambria" w:hAnsi="Cambria"/>
        </w:rPr>
        <w:t>An alternative diversification strategy to optimal portfolio weights is the optimal hedge ratios. The results of the dynamic optimal hedge ratios for two-asset portfolios, consisting of stocks and one of the safe haven assets, gold or crypto, are presented at the right column of Table 8.</w:t>
      </w:r>
      <w:r w:rsidR="001D7C9D" w:rsidRPr="009B605C">
        <w:rPr>
          <w:rFonts w:ascii="Cambria" w:hAnsi="Cambria"/>
        </w:rPr>
        <w:t xml:space="preserve"> The optimal hedge ratio evaluates the hedging potential of gold and cryptocurrencies. A value of 1 indicates an effective hedge, while a value of 0 signifies no hedging properties. Our results show that the hedge ratio values are low in general, for both pre- and post-conflict announcement periods. </w:t>
      </w:r>
      <w:r w:rsidR="00871A5F" w:rsidRPr="009B605C">
        <w:rPr>
          <w:rFonts w:ascii="Cambria" w:hAnsi="Cambria"/>
        </w:rPr>
        <w:t>During the pre-conflict period, the hedge ratio values range from -0.029 (India/Gold) to 0.080 (Brazil/Gold). The most costly hedging is found with gold, particularly for Brazil (0.080), followed by South Africa (0.073). This suggests that investment strategies based on cryptocurrencies are generally less expensive. However, the evidence is somewhat mixed. In contrast, cryptocurrencies emerge as the more cost-effective hedge compared to gold for all BRICS stocks</w:t>
      </w:r>
      <w:r w:rsidR="00043959" w:rsidRPr="009B605C">
        <w:rPr>
          <w:rFonts w:ascii="Cambria" w:hAnsi="Cambria"/>
        </w:rPr>
        <w:t xml:space="preserve"> after the onset of the conflict</w:t>
      </w:r>
      <w:r w:rsidR="00871A5F" w:rsidRPr="009B605C">
        <w:rPr>
          <w:rFonts w:ascii="Cambria" w:hAnsi="Cambria"/>
        </w:rPr>
        <w:t>.</w:t>
      </w:r>
      <w:r w:rsidR="00043959" w:rsidRPr="009B605C">
        <w:rPr>
          <w:rFonts w:ascii="Cambria" w:hAnsi="Cambria"/>
        </w:rPr>
        <w:t xml:space="preserve"> </w:t>
      </w:r>
    </w:p>
    <w:p w14:paraId="034DAD13" w14:textId="6A0F9214" w:rsidR="000570D5" w:rsidRPr="009B605C" w:rsidRDefault="00043959" w:rsidP="0087752F">
      <w:pPr>
        <w:spacing w:line="360" w:lineRule="auto"/>
        <w:ind w:firstLine="720"/>
        <w:jc w:val="both"/>
        <w:rPr>
          <w:rFonts w:ascii="Cambria" w:hAnsi="Cambria"/>
        </w:rPr>
      </w:pPr>
      <w:r w:rsidRPr="009B605C">
        <w:rPr>
          <w:rFonts w:ascii="Cambria" w:hAnsi="Cambria"/>
        </w:rPr>
        <w:t xml:space="preserve">Regarding hedging effectiveness, our results reveal that strategies involving cryptocurrencies provide higher hedging effectiveness for Brazil and Russia, while gold is a more effective hedge for stocks from India, China, and South Africa in the pre-conflict announcement period. In contrast, after the onset of the military conflict, gold offers higher hedging effectiveness than cryptocurrencies for all stocks. </w:t>
      </w:r>
      <w:r w:rsidR="000570D5" w:rsidRPr="009B605C">
        <w:rPr>
          <w:rFonts w:ascii="Cambria" w:hAnsi="Cambria"/>
        </w:rPr>
        <w:t xml:space="preserve">Nonetheless, significance is observed for all cryptocurrency-based hedging strategies, while none of the gold-based strategies are statistically significant. This finding is partially consistent with Xu and </w:t>
      </w:r>
      <w:proofErr w:type="spellStart"/>
      <w:r w:rsidR="000570D5" w:rsidRPr="009B605C">
        <w:rPr>
          <w:rFonts w:ascii="Cambria" w:hAnsi="Cambria"/>
        </w:rPr>
        <w:t>Kinkyo</w:t>
      </w:r>
      <w:proofErr w:type="spellEnd"/>
      <w:r w:rsidR="000570D5" w:rsidRPr="009B605C">
        <w:rPr>
          <w:rFonts w:ascii="Cambria" w:hAnsi="Cambria"/>
        </w:rPr>
        <w:t xml:space="preserve"> (2023), who discover that gold is a better risk hedging instrument than bitcoin for G-7 stocks, and that hedging effects are stronger during the 2022 Russia-Ukraine military conflict. Our results align with the first finding but show that for BRICS stocks, the hedging effects of both gold and cryptocurrencies decline after the onset of the conflict.</w:t>
      </w:r>
    </w:p>
    <w:p w14:paraId="75EA6662" w14:textId="5F12D65A" w:rsidR="00706EBF" w:rsidRDefault="00706EBF"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8]</w:t>
      </w:r>
    </w:p>
    <w:p w14:paraId="081A1E62" w14:textId="77777777" w:rsidR="00927C6B" w:rsidRPr="009B605C" w:rsidRDefault="00927C6B" w:rsidP="0087752F">
      <w:pPr>
        <w:spacing w:before="120" w:after="120" w:line="360" w:lineRule="auto"/>
        <w:jc w:val="center"/>
        <w:rPr>
          <w:rFonts w:ascii="Cambria" w:eastAsiaTheme="minorEastAsia" w:hAnsi="Cambria"/>
          <w:b/>
          <w:bCs/>
          <w:sz w:val="28"/>
          <w:szCs w:val="28"/>
        </w:rPr>
      </w:pPr>
    </w:p>
    <w:p w14:paraId="785152E4" w14:textId="4C05F176" w:rsidR="00EB759D" w:rsidRPr="009B605C" w:rsidRDefault="000C667A" w:rsidP="0087752F">
      <w:pPr>
        <w:pStyle w:val="ListParagraph"/>
        <w:spacing w:after="120" w:line="360" w:lineRule="auto"/>
        <w:ind w:left="714" w:hanging="357"/>
        <w:jc w:val="both"/>
        <w:rPr>
          <w:rFonts w:ascii="Cambria" w:hAnsi="Cambria"/>
          <w:b/>
          <w:sz w:val="28"/>
          <w:szCs w:val="28"/>
        </w:rPr>
      </w:pPr>
      <w:r w:rsidRPr="009B605C">
        <w:rPr>
          <w:rFonts w:ascii="Cambria" w:hAnsi="Cambria"/>
          <w:b/>
          <w:sz w:val="28"/>
          <w:szCs w:val="28"/>
        </w:rPr>
        <w:lastRenderedPageBreak/>
        <w:t>5</w:t>
      </w:r>
      <w:r w:rsidR="00EB759D" w:rsidRPr="009B605C">
        <w:rPr>
          <w:rFonts w:ascii="Cambria" w:hAnsi="Cambria"/>
          <w:b/>
          <w:sz w:val="28"/>
          <w:szCs w:val="28"/>
        </w:rPr>
        <w:t>. Robustness check</w:t>
      </w:r>
    </w:p>
    <w:p w14:paraId="27CD5F73" w14:textId="5C64BCA5" w:rsidR="00740BB2" w:rsidRPr="009B605C" w:rsidRDefault="00740BB2" w:rsidP="0087752F">
      <w:pPr>
        <w:spacing w:line="360" w:lineRule="auto"/>
        <w:jc w:val="both"/>
        <w:rPr>
          <w:rFonts w:ascii="Cambria" w:hAnsi="Cambria"/>
        </w:rPr>
      </w:pPr>
      <w:bookmarkStart w:id="8" w:name="OLE_LINK21"/>
      <w:r w:rsidRPr="009B605C">
        <w:rPr>
          <w:rFonts w:ascii="Cambria" w:hAnsi="Cambria"/>
        </w:rPr>
        <w:t>Modern Portfolio Theory</w:t>
      </w:r>
      <w:bookmarkEnd w:id="8"/>
      <w:r w:rsidRPr="009B605C">
        <w:rPr>
          <w:rFonts w:ascii="Cambria" w:hAnsi="Cambria"/>
        </w:rPr>
        <w:t xml:space="preserve"> (MPT) plays a pivotal role in explaining how investors can mitigate risk by diversifying their investment portfolios</w:t>
      </w:r>
      <w:r w:rsidR="00F83BAB" w:rsidRPr="009B605C">
        <w:rPr>
          <w:rFonts w:ascii="Cambria" w:hAnsi="Cambria"/>
        </w:rPr>
        <w:t xml:space="preserve"> (Markowitz, 1952). </w:t>
      </w:r>
      <w:r w:rsidRPr="009B605C">
        <w:rPr>
          <w:rFonts w:ascii="Cambria" w:hAnsi="Cambria"/>
        </w:rPr>
        <w:t>MPT posits that incorporating assets with imperfect correlations, like small-cap and large-cap stocks, can decrease the overall risk of a portfolio. The theory underscores the importance of diversification across different asset classes, such as small and large stocks, in reducing risk. Since the correlation between small-cap and large-cap stocks is typically not perfect, a diversified portfolio can safeguard against market declines while preserving growth prospects in positive market conditions.</w:t>
      </w:r>
    </w:p>
    <w:p w14:paraId="0CD37ACC" w14:textId="39F97625" w:rsidR="00740BB2" w:rsidRPr="009B605C" w:rsidRDefault="00740BB2" w:rsidP="0087752F">
      <w:pPr>
        <w:spacing w:line="360" w:lineRule="auto"/>
        <w:ind w:firstLine="462"/>
        <w:jc w:val="both"/>
        <w:rPr>
          <w:rFonts w:ascii="Cambria" w:hAnsi="Cambria"/>
        </w:rPr>
      </w:pPr>
      <w:r w:rsidRPr="009B605C">
        <w:rPr>
          <w:rFonts w:ascii="Cambria" w:hAnsi="Cambria"/>
        </w:rPr>
        <w:t xml:space="preserve">Developed by </w:t>
      </w:r>
      <w:bookmarkStart w:id="9" w:name="OLE_LINK23"/>
      <w:bookmarkStart w:id="10" w:name="OLE_LINK24"/>
      <w:r w:rsidRPr="009B605C">
        <w:rPr>
          <w:rFonts w:ascii="Cambria" w:hAnsi="Cambria"/>
        </w:rPr>
        <w:t>Sharpe</w:t>
      </w:r>
      <w:r w:rsidR="00F83BAB" w:rsidRPr="009B605C">
        <w:rPr>
          <w:rFonts w:ascii="Cambria" w:hAnsi="Cambria"/>
        </w:rPr>
        <w:t xml:space="preserve"> (Sharpe, 1964)</w:t>
      </w:r>
      <w:r w:rsidRPr="009B605C">
        <w:rPr>
          <w:rFonts w:ascii="Cambria" w:hAnsi="Cambria"/>
        </w:rPr>
        <w:fldChar w:fldCharType="begin"/>
      </w:r>
      <w:r w:rsidRPr="009B605C">
        <w:rPr>
          <w:rFonts w:ascii="Cambria" w:hAnsi="Cambria"/>
        </w:rPr>
        <w:instrText xml:space="preserve"> ADDIN EN.CITE &lt;EndNote&gt;&lt;Cite&gt;&lt;Author&gt;Sharpe&lt;/Author&gt;&lt;Year&gt;1964&lt;/Year&gt;&lt;RecNum&gt;308&lt;/RecNum&gt;&lt;DisplayText&gt;(Sharpe, 1964)&lt;/DisplayText&gt;&lt;record&gt;&lt;rec-number&gt;308&lt;/rec-number&gt;&lt;foreign-keys&gt;&lt;key app="EN" db-id="pfpd2tps9e0fe6ettxy5ptzcz9srwaz55spr" timestamp="1736070627"&gt;308&lt;/key&gt;&lt;/foreign-keys&gt;&lt;ref-type name="Journal Article"&gt;17&lt;/ref-type&gt;&lt;contributors&gt;&lt;authors&gt;&lt;author&gt;Sharpe, William F&lt;/author&gt;&lt;/authors&gt;&lt;/contributors&gt;&lt;titles&gt;&lt;title&gt;Capital asset prices: A theory of market equilibrium under conditions of risk&lt;/title&gt;&lt;secondary-title&gt;The journal of finance&lt;/secondary-title&gt;&lt;/titles&gt;&lt;periodical&gt;&lt;full-title&gt;The journal of finance&lt;/full-title&gt;&lt;/periodical&gt;&lt;pages&gt;425-442&lt;/pages&gt;&lt;volume&gt;19&lt;/volume&gt;&lt;number&gt;3&lt;/number&gt;&lt;dates&gt;&lt;year&gt;1964&lt;/year&gt;&lt;/dates&gt;&lt;isbn&gt;0022-1082&lt;/isbn&gt;&lt;urls&gt;&lt;/urls&gt;&lt;/record&gt;&lt;/Cite&gt;&lt;/EndNote&gt;</w:instrText>
      </w:r>
      <w:r w:rsidRPr="009B605C">
        <w:rPr>
          <w:rFonts w:ascii="Cambria" w:hAnsi="Cambria"/>
        </w:rPr>
        <w:fldChar w:fldCharType="separate"/>
      </w:r>
      <w:r w:rsidRPr="009B605C">
        <w:rPr>
          <w:rFonts w:ascii="Cambria" w:hAnsi="Cambria"/>
        </w:rPr>
        <w:fldChar w:fldCharType="end"/>
      </w:r>
      <w:r w:rsidRPr="009B605C">
        <w:rPr>
          <w:rFonts w:ascii="Cambria" w:hAnsi="Cambria"/>
        </w:rPr>
        <w:t>, Lintner</w:t>
      </w:r>
      <w:bookmarkEnd w:id="9"/>
      <w:r w:rsidR="00F83BAB" w:rsidRPr="009B605C">
        <w:rPr>
          <w:rFonts w:ascii="Cambria" w:hAnsi="Cambria"/>
        </w:rPr>
        <w:t xml:space="preserve"> (Lintner, 1975)</w:t>
      </w:r>
      <w:r w:rsidRPr="009B605C">
        <w:rPr>
          <w:rFonts w:ascii="Cambria" w:hAnsi="Cambria"/>
        </w:rPr>
        <w:t>, and Mossin</w:t>
      </w:r>
      <w:bookmarkEnd w:id="10"/>
      <w:r w:rsidR="00F83BAB" w:rsidRPr="009B605C">
        <w:rPr>
          <w:rFonts w:ascii="Cambria" w:hAnsi="Cambria"/>
        </w:rPr>
        <w:t xml:space="preserve"> (Mossin, 1966)</w:t>
      </w:r>
      <w:r w:rsidRPr="009B605C">
        <w:rPr>
          <w:rFonts w:ascii="Cambria" w:hAnsi="Cambria"/>
        </w:rPr>
        <w:fldChar w:fldCharType="begin"/>
      </w:r>
      <w:r w:rsidRPr="009B605C">
        <w:rPr>
          <w:rFonts w:ascii="Cambria" w:hAnsi="Cambria"/>
        </w:rPr>
        <w:instrText xml:space="preserve"> ADDIN EN.CITE &lt;EndNote&gt;&lt;Cite&gt;&lt;Author&gt;Mossin&lt;/Author&gt;&lt;Year&gt;1966&lt;/Year&gt;&lt;RecNum&gt;310&lt;/RecNum&gt;&lt;DisplayText&gt;(Mossin, 1966)&lt;/DisplayText&gt;&lt;record&gt;&lt;rec-number&gt;310&lt;/rec-number&gt;&lt;foreign-keys&gt;&lt;key app="EN" db-id="pfpd2tps9e0fe6ettxy5ptzcz9srwaz55spr" timestamp="1736070860"&gt;310&lt;/key&gt;&lt;/foreign-keys&gt;&lt;ref-type name="Journal Article"&gt;17&lt;/ref-type&gt;&lt;contributors&gt;&lt;authors&gt;&lt;author&gt;Mossin, Jan&lt;/author&gt;&lt;/authors&gt;&lt;/contributors&gt;&lt;titles&gt;&lt;title&gt;Equilibrium in a capital asset market&lt;/title&gt;&lt;secondary-title&gt;Econometrica: Journal of the econometric society&lt;/secondary-title&gt;&lt;/titles&gt;&lt;periodical&gt;&lt;full-title&gt;Econometrica: Journal of the econometric society&lt;/full-title&gt;&lt;/periodical&gt;&lt;pages&gt;768-783&lt;/pages&gt;&lt;dates&gt;&lt;year&gt;1966&lt;/year&gt;&lt;/dates&gt;&lt;isbn&gt;0012-9682&lt;/isbn&gt;&lt;urls&gt;&lt;/urls&gt;&lt;/record&gt;&lt;/Cite&gt;&lt;/EndNote&gt;</w:instrText>
      </w:r>
      <w:r w:rsidRPr="009B605C">
        <w:rPr>
          <w:rFonts w:ascii="Cambria" w:hAnsi="Cambria"/>
        </w:rPr>
        <w:fldChar w:fldCharType="separate"/>
      </w:r>
      <w:r w:rsidRPr="009B605C">
        <w:rPr>
          <w:rFonts w:ascii="Cambria" w:hAnsi="Cambria"/>
        </w:rPr>
        <w:fldChar w:fldCharType="end"/>
      </w:r>
      <w:r w:rsidRPr="009B605C">
        <w:rPr>
          <w:rFonts w:ascii="Cambria" w:hAnsi="Cambria"/>
        </w:rPr>
        <w:t xml:space="preserve">, the </w:t>
      </w:r>
      <w:bookmarkStart w:id="11" w:name="OLE_LINK22"/>
      <w:r w:rsidRPr="009B605C">
        <w:rPr>
          <w:rFonts w:ascii="Cambria" w:hAnsi="Cambria"/>
        </w:rPr>
        <w:t>Capital Asset Pricing Model</w:t>
      </w:r>
      <w:bookmarkEnd w:id="11"/>
      <w:r w:rsidRPr="009B605C">
        <w:rPr>
          <w:rFonts w:ascii="Cambria" w:hAnsi="Cambria"/>
        </w:rPr>
        <w:t xml:space="preserve"> (CAPM) offers valuable insights into the relationship between risk and expected return for individual securities, considering their </w:t>
      </w:r>
      <w:bookmarkStart w:id="12" w:name="OLE_LINK26"/>
      <w:r w:rsidRPr="009B605C">
        <w:rPr>
          <w:rFonts w:ascii="Cambria" w:hAnsi="Cambria"/>
        </w:rPr>
        <w:t>systematic risk</w:t>
      </w:r>
      <w:bookmarkEnd w:id="12"/>
      <w:r w:rsidRPr="009B605C">
        <w:rPr>
          <w:rFonts w:ascii="Cambria" w:hAnsi="Cambria"/>
        </w:rPr>
        <w:t>. In this framework, small-cap stocks often exhibit higher systematic risk compared to large-cap stocks, indicating their greater sensitivity to market fluctuations and higher volatility. This characteristic makes small-cap stocks more risky but also potentially more lucrative during market upturns. To hedge against the higher risk associated with small-cap stocks, investors may incorporate large-cap stocks, which typically have lower systematic risks. By maintaining a balance between these two types of stocks, investors can manage their overall portfolio risk while striving for attractive returns.</w:t>
      </w:r>
    </w:p>
    <w:p w14:paraId="3076AFCF" w14:textId="4D895B5B" w:rsidR="00740BB2" w:rsidRPr="009B605C" w:rsidRDefault="00077E8A" w:rsidP="0087752F">
      <w:pPr>
        <w:spacing w:line="360" w:lineRule="auto"/>
        <w:ind w:firstLine="462"/>
        <w:jc w:val="both"/>
        <w:rPr>
          <w:rFonts w:ascii="Cambria" w:hAnsi="Cambria"/>
        </w:rPr>
      </w:pPr>
      <w:r w:rsidRPr="009B605C">
        <w:rPr>
          <w:rFonts w:ascii="Cambria" w:hAnsi="Cambria"/>
        </w:rPr>
        <w:t xml:space="preserve">To evaluate the validity of conventional finance theories during periods of military-induced market turbulence, we disaggregate the Crypto index into the following sub-indexes: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10</m:t>
            </m:r>
          </m:sup>
        </m:sSubSup>
      </m:oMath>
      <w:r w:rsidRPr="009B605C">
        <w:rPr>
          <w:rFonts w:ascii="Cambria" w:hAnsi="Cambria"/>
        </w:rPr>
        <w:t xml:space="preserve">,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100</m:t>
            </m:r>
          </m:sup>
        </m:sSubSup>
      </m:oMath>
      <w:r w:rsidRPr="009B605C">
        <w:rPr>
          <w:rFonts w:ascii="Cambria" w:hAnsi="Cambria"/>
        </w:rPr>
        <w:t xml:space="preserve">,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500</m:t>
            </m:r>
          </m:sup>
        </m:sSubSup>
      </m:oMath>
      <w:r w:rsidRPr="009B605C">
        <w:rPr>
          <w:rFonts w:ascii="Cambria" w:hAnsi="Cambria"/>
        </w:rPr>
        <w:t xml:space="preserve">,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10</m:t>
            </m:r>
          </m:sup>
        </m:sSubSup>
      </m:oMath>
      <w:r w:rsidRPr="009B605C">
        <w:rPr>
          <w:rFonts w:ascii="Cambria" w:hAnsi="Cambria"/>
        </w:rPr>
        <w:t xml:space="preserve">,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100</m:t>
            </m:r>
          </m:sup>
        </m:sSubSup>
      </m:oMath>
      <w:r w:rsidRPr="009B605C">
        <w:rPr>
          <w:rFonts w:ascii="Cambria" w:hAnsi="Cambria"/>
        </w:rPr>
        <w:t xml:space="preserve">,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500</m:t>
            </m:r>
          </m:sup>
        </m:sSubSup>
      </m:oMath>
      <w:r w:rsidRPr="009B605C">
        <w:rPr>
          <w:rFonts w:ascii="Cambria" w:hAnsi="Cambria"/>
        </w:rPr>
        <w:t>. Specifically, the first three sub-indexes represent large-cap crypto assets, including the top 10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10</m:t>
            </m:r>
          </m:sup>
        </m:sSubSup>
      </m:oMath>
      <w:r w:rsidRPr="009B605C">
        <w:rPr>
          <w:rFonts w:ascii="Cambria" w:hAnsi="Cambria"/>
        </w:rPr>
        <w:t>), 100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100</m:t>
            </m:r>
          </m:sup>
        </m:sSubSup>
      </m:oMath>
      <w:r w:rsidRPr="009B605C">
        <w:rPr>
          <w:rFonts w:ascii="Cambria" w:hAnsi="Cambria"/>
        </w:rPr>
        <w:t>) and 500 (</w:t>
      </w:r>
      <m:oMath>
        <m:sSubSup>
          <m:sSubSupPr>
            <m:ctrlPr>
              <w:rPr>
                <w:rFonts w:ascii="Cambria Math" w:hAnsi="Cambria Math"/>
                <w:i/>
              </w:rPr>
            </m:ctrlPr>
          </m:sSubSupPr>
          <m:e>
            <m:r>
              <w:rPr>
                <w:rFonts w:ascii="Cambria Math" w:hAnsi="Cambria Math"/>
              </w:rPr>
              <m:t>Crypto</m:t>
            </m:r>
          </m:e>
          <m:sub>
            <m:r>
              <w:rPr>
                <w:rFonts w:ascii="Cambria Math" w:hAnsi="Cambria Math"/>
              </w:rPr>
              <m:t>T</m:t>
            </m:r>
          </m:sub>
          <m:sup>
            <m:r>
              <w:rPr>
                <w:rFonts w:ascii="Cambria Math" w:hAnsi="Cambria Math"/>
              </w:rPr>
              <m:t>500</m:t>
            </m:r>
          </m:sup>
        </m:sSubSup>
      </m:oMath>
      <w:r w:rsidRPr="009B605C">
        <w:rPr>
          <w:rFonts w:ascii="Cambria" w:hAnsi="Cambria"/>
        </w:rPr>
        <w:t>) crypto assets, ranked by daily market capitalization, and are constructed in the same manner as the overall Crypto index. In contrast, the latter three sub-indexes correspond to small-cap crypto assets, including the bottom 10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10</m:t>
            </m:r>
          </m:sup>
        </m:sSubSup>
      </m:oMath>
      <w:r w:rsidRPr="009B605C">
        <w:rPr>
          <w:rFonts w:ascii="Cambria" w:hAnsi="Cambria"/>
        </w:rPr>
        <w:t>), 100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100</m:t>
            </m:r>
          </m:sup>
        </m:sSubSup>
      </m:oMath>
      <w:r w:rsidRPr="009B605C">
        <w:rPr>
          <w:rFonts w:ascii="Cambria" w:hAnsi="Cambria"/>
        </w:rPr>
        <w:t>) and 500 (</w:t>
      </w:r>
      <m:oMath>
        <m:sSubSup>
          <m:sSubSupPr>
            <m:ctrlPr>
              <w:rPr>
                <w:rFonts w:ascii="Cambria Math" w:hAnsi="Cambria Math"/>
                <w:i/>
              </w:rPr>
            </m:ctrlPr>
          </m:sSubSupPr>
          <m:e>
            <m:r>
              <w:rPr>
                <w:rFonts w:ascii="Cambria Math" w:hAnsi="Cambria Math"/>
              </w:rPr>
              <m:t>Crypto</m:t>
            </m:r>
          </m:e>
          <m:sub>
            <m:r>
              <w:rPr>
                <w:rFonts w:ascii="Cambria Math" w:hAnsi="Cambria Math"/>
              </w:rPr>
              <m:t>B</m:t>
            </m:r>
          </m:sub>
          <m:sup>
            <m:r>
              <w:rPr>
                <w:rFonts w:ascii="Cambria Math" w:hAnsi="Cambria Math"/>
              </w:rPr>
              <m:t>500</m:t>
            </m:r>
          </m:sup>
        </m:sSubSup>
      </m:oMath>
      <w:r w:rsidRPr="009B605C">
        <w:rPr>
          <w:rFonts w:ascii="Cambria" w:hAnsi="Cambria"/>
        </w:rPr>
        <w:t xml:space="preserve">) crypto assets. Additionally, our study includes Bitcoin, as </w:t>
      </w:r>
      <w:r w:rsidR="00BF59B0" w:rsidRPr="009B605C">
        <w:rPr>
          <w:rFonts w:ascii="Cambria" w:hAnsi="Cambria"/>
        </w:rPr>
        <w:t>the largest cryptocurrency by market share (see, Harris et al., 2024)</w:t>
      </w:r>
      <w:r w:rsidRPr="009B605C">
        <w:rPr>
          <w:rFonts w:ascii="Cambria" w:hAnsi="Cambria"/>
        </w:rPr>
        <w:t>.</w:t>
      </w:r>
    </w:p>
    <w:p w14:paraId="51F8C124" w14:textId="52F4B2BB" w:rsidR="00C63467" w:rsidRPr="009B605C" w:rsidRDefault="007B6E28" w:rsidP="0087752F">
      <w:pPr>
        <w:spacing w:line="360" w:lineRule="auto"/>
        <w:ind w:firstLine="462"/>
        <w:jc w:val="both"/>
        <w:rPr>
          <w:rFonts w:ascii="Cambria" w:hAnsi="Cambria"/>
        </w:rPr>
      </w:pPr>
      <w:r w:rsidRPr="009B605C">
        <w:rPr>
          <w:rFonts w:ascii="Cambria" w:hAnsi="Cambria"/>
        </w:rPr>
        <w:t xml:space="preserve">Table 9 presents the optimal portfolio weights between potential safe haven assets (gold and cryptocurrencies) and BRICS stocks for the pre- and post-conflict </w:t>
      </w:r>
      <w:r w:rsidRPr="009B605C">
        <w:rPr>
          <w:rFonts w:ascii="Cambria" w:hAnsi="Cambria"/>
        </w:rPr>
        <w:lastRenderedPageBreak/>
        <w:t>announcement periods, displayed in Panels A and B, respectively.</w:t>
      </w:r>
      <w:r w:rsidR="00C63467" w:rsidRPr="009B605C">
        <w:rPr>
          <w:rFonts w:ascii="Cambria" w:hAnsi="Cambria"/>
        </w:rPr>
        <w:t xml:space="preserve"> Focusing on the returnability aspect of the portfolio strategy, the average portfolio weights for gold remain relatively consistent across all crypto sub-indexes for any of the given stocks. However, our results indicate that, on average, optimal portfolio weights </w:t>
      </w:r>
      <w:r w:rsidR="00A30185" w:rsidRPr="009B605C">
        <w:rPr>
          <w:rFonts w:ascii="Cambria" w:hAnsi="Cambria"/>
        </w:rPr>
        <w:t>for</w:t>
      </w:r>
      <w:r w:rsidR="00C63467" w:rsidRPr="009B605C">
        <w:rPr>
          <w:rFonts w:ascii="Cambria" w:hAnsi="Cambria"/>
        </w:rPr>
        <w:t xml:space="preserve"> large-cap crypto assets are </w:t>
      </w:r>
      <w:r w:rsidR="00A30185" w:rsidRPr="009B605C">
        <w:rPr>
          <w:rFonts w:ascii="Cambria" w:hAnsi="Cambria"/>
        </w:rPr>
        <w:t>higher</w:t>
      </w:r>
      <w:r w:rsidR="00C63467" w:rsidRPr="009B605C">
        <w:rPr>
          <w:rFonts w:ascii="Cambria" w:hAnsi="Cambria"/>
        </w:rPr>
        <w:t xml:space="preserve"> than those </w:t>
      </w:r>
      <w:r w:rsidR="00A30185" w:rsidRPr="009B605C">
        <w:rPr>
          <w:rFonts w:ascii="Cambria" w:hAnsi="Cambria"/>
        </w:rPr>
        <w:t>for</w:t>
      </w:r>
      <w:r w:rsidR="00C63467" w:rsidRPr="009B605C">
        <w:rPr>
          <w:rFonts w:ascii="Cambria" w:hAnsi="Cambria"/>
        </w:rPr>
        <w:t xml:space="preserve"> small-cap crypto assets, implying that a larger share should be allocated to large-cap crypto assets rather than their small-cap counterparts. This finding holds for both the pre- and post-conflict announcement periods. Interestingly, our results also suggest that a larger portion of the portfolio should be devoted to Bitcoin rather than any of the large-cap crypto sub-indexes. This implies that investing in Bitcoin is the optimal strategy for achieving portfolio returnability in both pre- and post-conflict announcement periods.</w:t>
      </w:r>
    </w:p>
    <w:p w14:paraId="054574BF" w14:textId="40A1B20B" w:rsidR="00674245" w:rsidRPr="009B605C" w:rsidRDefault="00674245"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9]</w:t>
      </w:r>
    </w:p>
    <w:p w14:paraId="3EA3B98C" w14:textId="272D6D47" w:rsidR="00F81FB6" w:rsidRPr="009B605C" w:rsidRDefault="006F6E1E" w:rsidP="0087752F">
      <w:pPr>
        <w:spacing w:line="360" w:lineRule="auto"/>
        <w:jc w:val="both"/>
        <w:rPr>
          <w:rFonts w:ascii="Cambria" w:hAnsi="Cambria"/>
        </w:rPr>
      </w:pPr>
      <w:r w:rsidRPr="009B605C">
        <w:rPr>
          <w:rFonts w:ascii="Cambria" w:hAnsi="Cambria"/>
        </w:rPr>
        <w:t>Table 10</w:t>
      </w:r>
      <w:r w:rsidR="00634AA5" w:rsidRPr="009B605C">
        <w:rPr>
          <w:rFonts w:ascii="Cambria" w:hAnsi="Cambria"/>
        </w:rPr>
        <w:t xml:space="preserve"> </w:t>
      </w:r>
      <w:r w:rsidR="001C378D" w:rsidRPr="009B605C">
        <w:rPr>
          <w:rFonts w:ascii="Cambria" w:hAnsi="Cambria"/>
        </w:rPr>
        <w:t xml:space="preserve">gives the optimal hedge ratios between the potential safe haven assets and BRICS stocks for the pre- and post-conflict announcement periods, respectively, </w:t>
      </w:r>
      <w:r w:rsidR="004C723F" w:rsidRPr="009B605C">
        <w:rPr>
          <w:rFonts w:ascii="Cambria" w:hAnsi="Cambria"/>
        </w:rPr>
        <w:t xml:space="preserve">in </w:t>
      </w:r>
      <w:r w:rsidR="001C378D" w:rsidRPr="009B605C">
        <w:rPr>
          <w:rFonts w:ascii="Cambria" w:hAnsi="Cambria"/>
        </w:rPr>
        <w:t>Panels A and B.</w:t>
      </w:r>
      <w:r w:rsidR="008B2540" w:rsidRPr="009B605C">
        <w:rPr>
          <w:rFonts w:ascii="Cambria" w:hAnsi="Cambria"/>
        </w:rPr>
        <w:t xml:space="preserve"> Our results suggest that Bitcoin is the most expensive hedge across all crypto combinations, with this outcome holding for both the pre- and post-conflict announcement periods. In fact, the onset of the military conflict increases the cost of hedging with Bitcoin for all BRICS stocks. At a more disaggregated level, our findings indicate that all large-cap crypto assets are more expensive hedges than any of their small-cap counterparts. Specifically, </w:t>
      </w:r>
      <m:oMath>
        <m:r>
          <w:rPr>
            <w:rFonts w:ascii="Cambria Math" w:hAnsi="Cambria Math"/>
          </w:rPr>
          <m:t>Crypt</m:t>
        </m:r>
        <m:sSubSup>
          <m:sSubSupPr>
            <m:ctrlPr>
              <w:rPr>
                <w:rFonts w:ascii="Cambria Math" w:hAnsi="Cambria Math"/>
              </w:rPr>
            </m:ctrlPr>
          </m:sSubSupPr>
          <m:e>
            <m:r>
              <w:rPr>
                <w:rFonts w:ascii="Cambria Math" w:hAnsi="Cambria Math"/>
              </w:rPr>
              <m:t>o</m:t>
            </m:r>
          </m:e>
          <m:sub>
            <m:r>
              <w:rPr>
                <w:rFonts w:ascii="Cambria Math" w:hAnsi="Cambria Math"/>
              </w:rPr>
              <m:t>B</m:t>
            </m:r>
          </m:sub>
          <m:sup>
            <m:r>
              <m:rPr>
                <m:sty m:val="p"/>
              </m:rPr>
              <w:rPr>
                <w:rFonts w:ascii="Cambria Math" w:hAnsi="Cambria Math"/>
              </w:rPr>
              <m:t>10</m:t>
            </m:r>
          </m:sup>
        </m:sSubSup>
      </m:oMath>
      <w:r w:rsidR="008B2540" w:rsidRPr="009B605C">
        <w:rPr>
          <w:rFonts w:ascii="Cambria" w:hAnsi="Cambria"/>
        </w:rPr>
        <w:t xml:space="preserve"> is found to be the cheapest hedge for all stocks except South Africa. An exception to this is the Indian stock market during the conflict period, where both </w:t>
      </w:r>
      <m:oMath>
        <m:r>
          <w:rPr>
            <w:rFonts w:ascii="Cambria Math" w:hAnsi="Cambria Math"/>
          </w:rPr>
          <m:t>Crypt</m:t>
        </m:r>
        <m:sSubSup>
          <m:sSubSupPr>
            <m:ctrlPr>
              <w:rPr>
                <w:rFonts w:ascii="Cambria Math" w:hAnsi="Cambria Math"/>
              </w:rPr>
            </m:ctrlPr>
          </m:sSubSupPr>
          <m:e>
            <m:r>
              <w:rPr>
                <w:rFonts w:ascii="Cambria Math" w:hAnsi="Cambria Math"/>
              </w:rPr>
              <m:t>o</m:t>
            </m:r>
          </m:e>
          <m:sub>
            <m:r>
              <w:rPr>
                <w:rFonts w:ascii="Cambria Math" w:hAnsi="Cambria Math"/>
              </w:rPr>
              <m:t>B</m:t>
            </m:r>
          </m:sub>
          <m:sup>
            <m:r>
              <m:rPr>
                <m:sty m:val="p"/>
              </m:rPr>
              <w:rPr>
                <w:rFonts w:ascii="Cambria Math" w:hAnsi="Cambria Math"/>
              </w:rPr>
              <m:t>100</m:t>
            </m:r>
          </m:sup>
        </m:sSubSup>
      </m:oMath>
      <w:r w:rsidR="008B2540" w:rsidRPr="009B605C">
        <w:rPr>
          <w:rFonts w:ascii="Cambria" w:hAnsi="Cambria"/>
        </w:rPr>
        <w:t xml:space="preserve"> and </w:t>
      </w:r>
      <m:oMath>
        <m:r>
          <w:rPr>
            <w:rFonts w:ascii="Cambria Math" w:hAnsi="Cambria Math"/>
          </w:rPr>
          <m:t>Crypt</m:t>
        </m:r>
        <m:sSubSup>
          <m:sSubSupPr>
            <m:ctrlPr>
              <w:rPr>
                <w:rFonts w:ascii="Cambria Math" w:hAnsi="Cambria Math"/>
              </w:rPr>
            </m:ctrlPr>
          </m:sSubSupPr>
          <m:e>
            <m:r>
              <w:rPr>
                <w:rFonts w:ascii="Cambria Math" w:hAnsi="Cambria Math"/>
              </w:rPr>
              <m:t>o</m:t>
            </m:r>
          </m:e>
          <m:sub>
            <m:r>
              <w:rPr>
                <w:rFonts w:ascii="Cambria Math" w:hAnsi="Cambria Math"/>
              </w:rPr>
              <m:t>B</m:t>
            </m:r>
          </m:sub>
          <m:sup>
            <m:r>
              <m:rPr>
                <m:sty m:val="p"/>
              </m:rPr>
              <w:rPr>
                <w:rFonts w:ascii="Cambria Math" w:hAnsi="Cambria Math"/>
              </w:rPr>
              <m:t>500</m:t>
            </m:r>
          </m:sup>
        </m:sSubSup>
      </m:oMath>
      <w:r w:rsidR="008B2540" w:rsidRPr="009B605C">
        <w:rPr>
          <w:rFonts w:ascii="Cambria" w:hAnsi="Cambria"/>
        </w:rPr>
        <w:t xml:space="preserve"> provide the cheapest hedge.</w:t>
      </w:r>
      <w:r w:rsidR="00EB78C8" w:rsidRPr="009B605C">
        <w:rPr>
          <w:rFonts w:ascii="Cambria" w:hAnsi="Cambria"/>
        </w:rPr>
        <w:t xml:space="preserve"> </w:t>
      </w:r>
      <w:r w:rsidR="00561A1A" w:rsidRPr="009B605C">
        <w:rPr>
          <w:rFonts w:ascii="Cambria" w:hAnsi="Cambria"/>
        </w:rPr>
        <w:t>In a nutshell</w:t>
      </w:r>
      <w:r w:rsidR="006B7718" w:rsidRPr="009B605C">
        <w:rPr>
          <w:rFonts w:ascii="Cambria" w:hAnsi="Cambria"/>
        </w:rPr>
        <w:t>, gold remains a more costly hedging strategy than cryptocurrencies.</w:t>
      </w:r>
    </w:p>
    <w:p w14:paraId="46081B80" w14:textId="4CFF93A1" w:rsidR="00674245" w:rsidRPr="009B605C" w:rsidRDefault="00674245"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10]</w:t>
      </w:r>
    </w:p>
    <w:p w14:paraId="332D1E1D" w14:textId="49D323C3" w:rsidR="00561A1A" w:rsidRPr="009B605C" w:rsidRDefault="00561A1A" w:rsidP="0087752F">
      <w:pPr>
        <w:spacing w:line="360" w:lineRule="auto"/>
        <w:jc w:val="both"/>
        <w:rPr>
          <w:rFonts w:ascii="Cambria" w:hAnsi="Cambria"/>
        </w:rPr>
      </w:pPr>
      <w:r w:rsidRPr="009B605C">
        <w:rPr>
          <w:rFonts w:ascii="Cambria" w:hAnsi="Cambria"/>
        </w:rPr>
        <w:t xml:space="preserve">Table 11 presents the hedge effectiveness of the diversification strategies. </w:t>
      </w:r>
      <w:r w:rsidR="00EB78C8" w:rsidRPr="009B605C">
        <w:rPr>
          <w:rFonts w:ascii="Cambria" w:hAnsi="Cambria"/>
        </w:rPr>
        <w:t xml:space="preserve">Our findings confirm conventional finance theories that large-cap crypto assets are more effective hedgers than their small-cap counterparts. However, this effectiveness comes at a higher cost, as shown in Table 10. Further to that, the effectiveness of crypto assets largely declines during the conflict, whereas Bitcoin increases its hedge effectiveness for all BRICS stocks compared to the pre-conflict period. In contrast, gold has enhanced its </w:t>
      </w:r>
      <w:r w:rsidR="00EB78C8" w:rsidRPr="009B605C">
        <w:rPr>
          <w:rFonts w:ascii="Cambria" w:hAnsi="Cambria"/>
        </w:rPr>
        <w:lastRenderedPageBreak/>
        <w:t xml:space="preserve">hedge effectiveness for all BRICS stocks, except Brazil, during the conflict. </w:t>
      </w:r>
      <w:r w:rsidRPr="009B605C">
        <w:rPr>
          <w:rFonts w:ascii="Cambria" w:hAnsi="Cambria"/>
        </w:rPr>
        <w:t>Overall, the results remain consistent with our main findings.</w:t>
      </w:r>
    </w:p>
    <w:p w14:paraId="0F285744" w14:textId="0E85B60F" w:rsidR="00674245" w:rsidRPr="009B605C" w:rsidRDefault="00674245" w:rsidP="0087752F">
      <w:pPr>
        <w:spacing w:before="120" w:after="120" w:line="360" w:lineRule="auto"/>
        <w:jc w:val="center"/>
        <w:rPr>
          <w:rFonts w:ascii="Cambria" w:eastAsiaTheme="minorEastAsia" w:hAnsi="Cambria"/>
          <w:b/>
          <w:bCs/>
          <w:sz w:val="28"/>
          <w:szCs w:val="28"/>
        </w:rPr>
      </w:pPr>
      <w:r w:rsidRPr="009B605C">
        <w:rPr>
          <w:rFonts w:ascii="Cambria" w:eastAsiaTheme="minorEastAsia" w:hAnsi="Cambria"/>
          <w:b/>
          <w:bCs/>
          <w:sz w:val="28"/>
          <w:szCs w:val="28"/>
        </w:rPr>
        <w:t>[Table 11]</w:t>
      </w:r>
    </w:p>
    <w:p w14:paraId="26560B96" w14:textId="5F0C7DAD" w:rsidR="00EB759D" w:rsidRPr="009B605C" w:rsidRDefault="000C667A" w:rsidP="0087752F">
      <w:pPr>
        <w:pStyle w:val="ListParagraph"/>
        <w:spacing w:after="120" w:line="360" w:lineRule="auto"/>
        <w:ind w:left="714" w:hanging="357"/>
        <w:jc w:val="both"/>
        <w:rPr>
          <w:rFonts w:ascii="Cambria" w:hAnsi="Cambria"/>
          <w:b/>
          <w:sz w:val="28"/>
          <w:szCs w:val="28"/>
        </w:rPr>
      </w:pPr>
      <w:r w:rsidRPr="009B605C">
        <w:rPr>
          <w:rFonts w:ascii="Cambria" w:hAnsi="Cambria"/>
          <w:b/>
          <w:sz w:val="28"/>
          <w:szCs w:val="28"/>
        </w:rPr>
        <w:t>6</w:t>
      </w:r>
      <w:r w:rsidR="00EB759D" w:rsidRPr="009B605C">
        <w:rPr>
          <w:rFonts w:ascii="Cambria" w:hAnsi="Cambria"/>
          <w:b/>
          <w:sz w:val="28"/>
          <w:szCs w:val="28"/>
        </w:rPr>
        <w:t>. Conclusion</w:t>
      </w:r>
    </w:p>
    <w:p w14:paraId="7A57A2D2" w14:textId="75791D7C" w:rsidR="00C42A7F" w:rsidRPr="009B605C" w:rsidRDefault="00C42A7F" w:rsidP="0087752F">
      <w:pPr>
        <w:spacing w:line="360" w:lineRule="auto"/>
        <w:jc w:val="both"/>
        <w:rPr>
          <w:rFonts w:ascii="Cambria" w:hAnsi="Cambria"/>
        </w:rPr>
      </w:pPr>
      <w:r w:rsidRPr="009B605C">
        <w:rPr>
          <w:rFonts w:ascii="Cambria" w:hAnsi="Cambria"/>
        </w:rPr>
        <w:t>This paper makes a significant contribution to the literature by investigating whether the safe haven properties of cryptocurrency markets are more resilient than those of gold for stock markets in the leading emerging economies, BRICS, covering the period from 28</w:t>
      </w:r>
      <w:r w:rsidRPr="009B605C">
        <w:rPr>
          <w:rFonts w:ascii="Cambria" w:hAnsi="Cambria"/>
          <w:vertAlign w:val="superscript"/>
        </w:rPr>
        <w:t>th</w:t>
      </w:r>
      <w:r w:rsidRPr="009B605C">
        <w:rPr>
          <w:rFonts w:ascii="Cambria" w:hAnsi="Cambria"/>
        </w:rPr>
        <w:t xml:space="preserve"> April 2013 to 27</w:t>
      </w:r>
      <w:r w:rsidRPr="009B605C">
        <w:rPr>
          <w:rFonts w:ascii="Cambria" w:hAnsi="Cambria"/>
          <w:vertAlign w:val="superscript"/>
        </w:rPr>
        <w:t>th</w:t>
      </w:r>
      <w:r w:rsidRPr="009B605C">
        <w:rPr>
          <w:rFonts w:ascii="Cambria" w:hAnsi="Cambria"/>
        </w:rPr>
        <w:t xml:space="preserve"> September 202</w:t>
      </w:r>
      <w:r w:rsidR="001F03C2" w:rsidRPr="009B605C">
        <w:rPr>
          <w:rFonts w:ascii="Cambria" w:hAnsi="Cambria"/>
        </w:rPr>
        <w:t>4</w:t>
      </w:r>
      <w:r w:rsidRPr="009B605C">
        <w:rPr>
          <w:rFonts w:ascii="Cambria" w:hAnsi="Cambria"/>
        </w:rPr>
        <w:t xml:space="preserve">. In order to deepen our understanding of the safe haven characteristics of both cryptocurrency and gold, we also examine the influence of the Russia-Ukraine military conflict on the safe haven status of these assets. To achieve this, we apply a novel time-varying robust Granger causality framework to analyse the dynamic relationship between potential safe haven assets and BRICS stocks. Furthermore, we explore the network structure of gold, cryptocurrencies, and BRICS stocks across different quantile regimes. Additionally, we compute optimal hedge ratios and portfolio weights to assess the hedging costs and diversification potential of gold and cryptocurrencies in relation to BRICS stocks. This study is particularly relevant in the context of global portfolio management and asset reallocation, offering valuable insights for investors navigating markets that experience heightened volatility due to </w:t>
      </w:r>
      <w:r w:rsidR="00F41820" w:rsidRPr="009B605C">
        <w:rPr>
          <w:rFonts w:ascii="Cambria" w:hAnsi="Cambria"/>
        </w:rPr>
        <w:t>military-induced market turbulence</w:t>
      </w:r>
      <w:r w:rsidRPr="009B605C">
        <w:rPr>
          <w:rFonts w:ascii="Cambria" w:hAnsi="Cambria"/>
        </w:rPr>
        <w:t>.</w:t>
      </w:r>
    </w:p>
    <w:p w14:paraId="72F8E393" w14:textId="060337B9" w:rsidR="00EF6257" w:rsidRPr="009B605C" w:rsidRDefault="00EF6257" w:rsidP="0087752F">
      <w:pPr>
        <w:spacing w:line="360" w:lineRule="auto"/>
        <w:ind w:firstLine="720"/>
        <w:jc w:val="both"/>
        <w:rPr>
          <w:rFonts w:ascii="Cambria" w:hAnsi="Cambria"/>
        </w:rPr>
      </w:pPr>
      <w:r w:rsidRPr="009B605C">
        <w:rPr>
          <w:rFonts w:ascii="Cambria" w:hAnsi="Cambria"/>
        </w:rPr>
        <w:t xml:space="preserve">Given this framework, our time-invariant results present </w:t>
      </w:r>
      <w:r w:rsidR="00EA329E" w:rsidRPr="009B605C">
        <w:rPr>
          <w:rFonts w:ascii="Cambria" w:hAnsi="Cambria"/>
        </w:rPr>
        <w:t>mixed evidence</w:t>
      </w:r>
      <w:r w:rsidRPr="009B605C">
        <w:rPr>
          <w:rFonts w:ascii="Cambria" w:hAnsi="Cambria"/>
        </w:rPr>
        <w:t xml:space="preserve">. Our sample estimates indicate that both gold and cryptocurrencies serve as hedges and safe havens for most BRICS stocks, with the exception of South Africa. Notably, Chinese stocks are shown to rely on gold as a safe haven during the conflict period. Analysing the time-invariant causality results, we find that gold does not act as a safe haven for South Africa, while cryptocurrencies do not serve as safe havens for Brazil and India before the conflict. During the conflict, neither gold nor cryptocurrencies have a significant impact on BRICS stocks, meaning they both act as safe havens. </w:t>
      </w:r>
    </w:p>
    <w:p w14:paraId="25E4A7EC" w14:textId="210D4081" w:rsidR="00EF6257" w:rsidRPr="009B605C" w:rsidRDefault="00EF6257" w:rsidP="0087752F">
      <w:pPr>
        <w:spacing w:line="360" w:lineRule="auto"/>
        <w:ind w:firstLine="720"/>
        <w:jc w:val="both"/>
        <w:rPr>
          <w:rFonts w:ascii="Cambria" w:hAnsi="Cambria"/>
        </w:rPr>
      </w:pPr>
      <w:r w:rsidRPr="009B605C">
        <w:rPr>
          <w:rFonts w:ascii="Cambria" w:hAnsi="Cambria"/>
        </w:rPr>
        <w:t>Expanding our framework to a time-varying setting, we observe heterogeneous findings across different stock markets. Our</w:t>
      </w:r>
      <w:r w:rsidR="00EE18E1" w:rsidRPr="009B605C">
        <w:rPr>
          <w:rFonts w:ascii="Cambria" w:hAnsi="Cambria"/>
        </w:rPr>
        <w:t xml:space="preserve"> sample estimates</w:t>
      </w:r>
      <w:r w:rsidRPr="009B605C">
        <w:rPr>
          <w:rFonts w:ascii="Cambria" w:hAnsi="Cambria"/>
        </w:rPr>
        <w:t xml:space="preserve"> show that cryptocurrencies act as a hedge for BRICS stocks for a longer period than gold. After the 2022 Russia-Ukraine conflict began, cryptocurrencies outperform gold in Brazil, reflecting the diminishing safe haven properties of cryptocurrencies and the resurgence </w:t>
      </w:r>
      <w:r w:rsidRPr="009B605C">
        <w:rPr>
          <w:rFonts w:ascii="Cambria" w:hAnsi="Cambria"/>
        </w:rPr>
        <w:lastRenderedPageBreak/>
        <w:t xml:space="preserve">of gold as a safe haven for BRICS investors during the conflict. </w:t>
      </w:r>
      <w:r w:rsidR="00EE18E1" w:rsidRPr="009B605C">
        <w:rPr>
          <w:rFonts w:ascii="Cambria" w:hAnsi="Cambria"/>
        </w:rPr>
        <w:t>Similarly</w:t>
      </w:r>
      <w:r w:rsidRPr="009B605C">
        <w:rPr>
          <w:rFonts w:ascii="Cambria" w:hAnsi="Cambria"/>
        </w:rPr>
        <w:t>, the time-</w:t>
      </w:r>
      <w:r w:rsidR="00EE18E1" w:rsidRPr="009B605C">
        <w:rPr>
          <w:rFonts w:ascii="Cambria" w:hAnsi="Cambria"/>
        </w:rPr>
        <w:t>varying</w:t>
      </w:r>
      <w:r w:rsidRPr="009B605C">
        <w:rPr>
          <w:rFonts w:ascii="Cambria" w:hAnsi="Cambria"/>
        </w:rPr>
        <w:t xml:space="preserve"> causality results show that causality runs from the potential safe haven asset to BRICS stocks for all series in the pre-conflict period. In contrast, the post-conflict announcement period reveals causality for all markets except the Crypto-China pair, suggesting that the cryptocurrency market acts as a safe haven for Chinese stocks during the Russia-Ukraine conflict.</w:t>
      </w:r>
    </w:p>
    <w:p w14:paraId="12076DCA" w14:textId="311AD251" w:rsidR="00CB7F75" w:rsidRPr="009B605C" w:rsidRDefault="00E45C2C" w:rsidP="0087752F">
      <w:pPr>
        <w:spacing w:line="360" w:lineRule="auto"/>
        <w:ind w:firstLine="720"/>
        <w:jc w:val="both"/>
        <w:rPr>
          <w:rFonts w:ascii="Cambria" w:hAnsi="Cambria"/>
        </w:rPr>
      </w:pPr>
      <w:r w:rsidRPr="009B605C">
        <w:rPr>
          <w:rFonts w:ascii="Cambria" w:hAnsi="Cambria"/>
        </w:rPr>
        <w:t xml:space="preserve">Furthermore, </w:t>
      </w:r>
      <w:r w:rsidR="00CB7F75" w:rsidRPr="009B605C">
        <w:rPr>
          <w:rFonts w:ascii="Cambria" w:hAnsi="Cambria"/>
        </w:rPr>
        <w:t>our results from the</w:t>
      </w:r>
      <w:r w:rsidRPr="009B605C">
        <w:rPr>
          <w:rFonts w:ascii="Cambria" w:hAnsi="Cambria"/>
        </w:rPr>
        <w:t xml:space="preserve"> </w:t>
      </w:r>
      <w:r w:rsidR="00CB7F75" w:rsidRPr="009B605C">
        <w:rPr>
          <w:rFonts w:ascii="Cambria" w:hAnsi="Cambria"/>
        </w:rPr>
        <w:t xml:space="preserve">time-varying causal graphical inferences </w:t>
      </w:r>
      <w:r w:rsidRPr="009B605C">
        <w:rPr>
          <w:rFonts w:ascii="Cambria" w:hAnsi="Cambria"/>
        </w:rPr>
        <w:t>determine significant differences in the safe haven properties of gold and Crypto across the BRICS stock markets.</w:t>
      </w:r>
      <w:r w:rsidR="00CB7F75" w:rsidRPr="009B605C">
        <w:rPr>
          <w:rFonts w:ascii="Cambria" w:hAnsi="Cambria"/>
        </w:rPr>
        <w:t xml:space="preserve"> In particular, our results show a significant weakening of gold’s role as a safe haven during the post-conflict announcement period, while cryptocurrencies exhibit more frequent periods of serving as a safe haven across BRICS stock markets compared to the pre-conflict period. Gold frequently act as a safe haven for the South African market before the conflict but lost this property afterward, whereas cryptocurrencies, which do not serve as a safe haven for South Africa before the conflict, start to exhibit such </w:t>
      </w:r>
      <w:r w:rsidR="00EE75EC" w:rsidRPr="009B605C">
        <w:rPr>
          <w:rFonts w:ascii="Cambria" w:hAnsi="Cambria"/>
        </w:rPr>
        <w:t>behaviour</w:t>
      </w:r>
      <w:r w:rsidR="00CB7F75" w:rsidRPr="009B605C">
        <w:rPr>
          <w:rFonts w:ascii="Cambria" w:hAnsi="Cambria"/>
        </w:rPr>
        <w:t xml:space="preserve"> after the conflict announcement, particularly from mid-2023 to early 2024. This trend is also evident in markets like Brazil and India, where cryptocurrencies increase their role as safe haven assets. For Russian stocks, both gold and cryptocurrencies weaken as safe havens during the conflict. However, cryptocurrencies maintain their safe haven role for the Chinese market throughout the entire post-conflict period, suggesting that traditional assets like gold may lose their safe haven properties during military conflicts, prompting investors to consider alternatives like cryptocurrencies. These findings highlight the need for policymakers to advise investors in emerging markets to diversify their portfolios, especially during times of global uncertainty.</w:t>
      </w:r>
    </w:p>
    <w:p w14:paraId="4B8CD9D3" w14:textId="12A18BCA" w:rsidR="00BD6CA5" w:rsidRPr="009B605C" w:rsidRDefault="002B1120" w:rsidP="0087752F">
      <w:pPr>
        <w:spacing w:line="360" w:lineRule="auto"/>
        <w:ind w:firstLine="720"/>
        <w:jc w:val="both"/>
        <w:rPr>
          <w:rFonts w:ascii="Cambria" w:hAnsi="Cambria"/>
        </w:rPr>
      </w:pPr>
      <w:r w:rsidRPr="009B605C">
        <w:rPr>
          <w:rFonts w:ascii="Cambria" w:hAnsi="Cambria"/>
        </w:rPr>
        <w:t xml:space="preserve">Exploring the dynamic quantile connectedness, we determine a </w:t>
      </w:r>
      <w:r w:rsidRPr="009B605C">
        <w:rPr>
          <w:rFonts w:ascii="Cambria" w:eastAsiaTheme="minorHAnsi" w:hAnsi="Cambria"/>
        </w:rPr>
        <w:t xml:space="preserve">higher market interconnectedness during extreme market conditions, which may impact the safe haven properties of assets and create favourable conditions for spillover effects. In particular, </w:t>
      </w:r>
      <w:r w:rsidRPr="009B605C">
        <w:rPr>
          <w:rFonts w:ascii="Cambria" w:hAnsi="Cambria"/>
        </w:rPr>
        <w:t xml:space="preserve">Russia, India, and South Africa act as net transmitters of </w:t>
      </w:r>
      <w:r w:rsidR="00E95705" w:rsidRPr="009B605C">
        <w:rPr>
          <w:rFonts w:ascii="Cambria" w:hAnsi="Cambria"/>
        </w:rPr>
        <w:t xml:space="preserve">shocks </w:t>
      </w:r>
      <w:r w:rsidRPr="009B605C">
        <w:rPr>
          <w:rFonts w:ascii="Cambria" w:hAnsi="Cambria"/>
        </w:rPr>
        <w:t xml:space="preserve">before the conflict, with South Africa continuing as a transmitter during the conflict, while Russia becomes a net </w:t>
      </w:r>
      <w:r w:rsidR="00E95705" w:rsidRPr="009B605C">
        <w:rPr>
          <w:rFonts w:ascii="Cambria" w:hAnsi="Cambria"/>
        </w:rPr>
        <w:t xml:space="preserve">shocks </w:t>
      </w:r>
      <w:r w:rsidRPr="009B605C">
        <w:rPr>
          <w:rFonts w:ascii="Cambria" w:hAnsi="Cambria"/>
        </w:rPr>
        <w:t xml:space="preserve">receiver. India's role is mixed, acting as a net receiver at extreme quantiles and a transmitter under normal conditions. Brazil transmits </w:t>
      </w:r>
      <w:r w:rsidR="00E95705" w:rsidRPr="009B605C">
        <w:rPr>
          <w:rFonts w:ascii="Cambria" w:hAnsi="Cambria"/>
        </w:rPr>
        <w:t xml:space="preserve">shocks </w:t>
      </w:r>
      <w:r w:rsidRPr="009B605C">
        <w:rPr>
          <w:rFonts w:ascii="Cambria" w:hAnsi="Cambria"/>
        </w:rPr>
        <w:t xml:space="preserve">across most quantiles before the conflict, whereas China becomes a net receiver after the conflict begins. Both gold and cryptocurrencies are net receivers of </w:t>
      </w:r>
      <w:r w:rsidR="00E95705" w:rsidRPr="009B605C">
        <w:rPr>
          <w:rFonts w:ascii="Cambria" w:hAnsi="Cambria"/>
        </w:rPr>
        <w:t xml:space="preserve">shocks </w:t>
      </w:r>
      <w:r w:rsidRPr="009B605C">
        <w:rPr>
          <w:rFonts w:ascii="Cambria" w:hAnsi="Cambria"/>
        </w:rPr>
        <w:t xml:space="preserve">before the conflict, but gold shifts </w:t>
      </w:r>
      <w:r w:rsidRPr="009B605C">
        <w:rPr>
          <w:rFonts w:ascii="Cambria" w:hAnsi="Cambria"/>
        </w:rPr>
        <w:lastRenderedPageBreak/>
        <w:t xml:space="preserve">to a net transmitter during the conflict, suggesting stronger safe haven properties for gold compared to crypto. Overall, our findings highlight the varying roles of markets as net transmitters or receivers of </w:t>
      </w:r>
      <w:r w:rsidR="00E95705" w:rsidRPr="009B605C">
        <w:rPr>
          <w:rFonts w:ascii="Cambria" w:hAnsi="Cambria"/>
        </w:rPr>
        <w:t>shocks</w:t>
      </w:r>
      <w:r w:rsidRPr="009B605C">
        <w:rPr>
          <w:rFonts w:ascii="Cambria" w:hAnsi="Cambria"/>
        </w:rPr>
        <w:t>, which is crucial for risk management and portfolio strategies.</w:t>
      </w:r>
    </w:p>
    <w:p w14:paraId="19B48861" w14:textId="1983DBCF" w:rsidR="006E4A49" w:rsidRPr="009B605C" w:rsidRDefault="00A30185" w:rsidP="0087752F">
      <w:pPr>
        <w:spacing w:line="360" w:lineRule="auto"/>
        <w:ind w:firstLine="720"/>
        <w:jc w:val="both"/>
        <w:rPr>
          <w:rFonts w:ascii="Cambria" w:hAnsi="Cambria"/>
        </w:rPr>
      </w:pPr>
      <w:r w:rsidRPr="009B605C">
        <w:rPr>
          <w:rFonts w:ascii="Cambria" w:hAnsi="Cambria"/>
        </w:rPr>
        <w:t xml:space="preserve">Moreover, </w:t>
      </w:r>
      <w:r w:rsidR="006E4A49" w:rsidRPr="009B605C">
        <w:rPr>
          <w:rFonts w:ascii="Cambria" w:hAnsi="Cambria"/>
        </w:rPr>
        <w:t xml:space="preserve">we find that portfolios including gold tend to favour higher gold allocations, while crypto-based portfolios prioritize stocks. Further to that, on average, portfolios with large-cap crypto have lower optimal portfolio weights assigned to stocks compared to those with small-cap digital assets. </w:t>
      </w:r>
      <w:r w:rsidR="00F41820" w:rsidRPr="009B605C">
        <w:rPr>
          <w:rFonts w:ascii="Cambria" w:hAnsi="Cambria"/>
        </w:rPr>
        <w:t xml:space="preserve">As such, </w:t>
      </w:r>
      <w:r w:rsidR="00F41820" w:rsidRPr="009B605C">
        <w:rPr>
          <w:rFonts w:ascii="Cambria" w:eastAsiaTheme="minorEastAsia" w:hAnsi="Cambria"/>
          <w:lang w:eastAsia="zh-CN"/>
        </w:rPr>
        <w:t xml:space="preserve">hedging BRICS stocks with small-cap crypto assets is less expensive but more inefficient than large-cap cryptos, which confirms that cryptocurrency markets are similar to </w:t>
      </w:r>
      <w:r w:rsidR="00F41820" w:rsidRPr="009B605C">
        <w:rPr>
          <w:rFonts w:ascii="Cambria" w:hAnsi="Cambria"/>
        </w:rPr>
        <w:t>centralized markets like stocks</w:t>
      </w:r>
      <w:r w:rsidR="00F41820" w:rsidRPr="009B605C">
        <w:rPr>
          <w:rFonts w:ascii="Cambria" w:eastAsiaTheme="minorEastAsia" w:hAnsi="Cambria"/>
          <w:lang w:eastAsia="zh-CN"/>
        </w:rPr>
        <w:t xml:space="preserve"> for which s</w:t>
      </w:r>
      <w:r w:rsidR="00F41820" w:rsidRPr="009B605C">
        <w:rPr>
          <w:rFonts w:ascii="Cambria" w:hAnsi="Cambria"/>
        </w:rPr>
        <w:t xml:space="preserve">mall-cap assets are normally seen as </w:t>
      </w:r>
      <w:r w:rsidR="00EA329E" w:rsidRPr="009B605C">
        <w:rPr>
          <w:rFonts w:ascii="Cambria" w:hAnsi="Cambria"/>
        </w:rPr>
        <w:t>riskier</w:t>
      </w:r>
      <w:r w:rsidR="00F41820" w:rsidRPr="009B605C">
        <w:rPr>
          <w:rFonts w:ascii="Cambria" w:eastAsiaTheme="minorEastAsia" w:hAnsi="Cambria"/>
          <w:lang w:eastAsia="zh-CN"/>
        </w:rPr>
        <w:t xml:space="preserve">. </w:t>
      </w:r>
      <w:r w:rsidR="006E4A49" w:rsidRPr="009B605C">
        <w:rPr>
          <w:rFonts w:ascii="Cambria" w:hAnsi="Cambria"/>
        </w:rPr>
        <w:t>Interestingly, our results also suggest that a larger portion of the portfolio should be devoted to Bitcoin rather than any of the large-cap crypto sub-indexes. This implies that investing in Bitcoin is the optimal strategy for achieving portfolio returnability in both pre- and post-conflict announcement periods.</w:t>
      </w:r>
    </w:p>
    <w:p w14:paraId="557AD862" w14:textId="19BE9710" w:rsidR="006E4A49" w:rsidRPr="009B605C" w:rsidRDefault="00F41820" w:rsidP="0087752F">
      <w:pPr>
        <w:spacing w:line="360" w:lineRule="auto"/>
        <w:ind w:firstLine="720"/>
        <w:jc w:val="both"/>
        <w:rPr>
          <w:rFonts w:ascii="Cambria" w:hAnsi="Cambria"/>
        </w:rPr>
      </w:pPr>
      <w:r w:rsidRPr="009B605C">
        <w:rPr>
          <w:rFonts w:ascii="Cambria" w:hAnsi="Cambria"/>
        </w:rPr>
        <w:t>Our findings provide valuable insights for both investors and policymakers, particularly in the context of emerging markets during periods of military-induced market turbulence. For investors, the analysis highlights the relative advantages of small-cap versus large-cap cryptocurrencies in portfolio construction and hedging strategies, with small-cap assets offering lower costs and larger allocations, yet large-cap assets like Bitcoin proving more effective for long-term returns. Additionally, the study underscores the role of gold and cryptocurrencies as safe haven assets, revealing shifting patterns in asset allocation during periods of geopolitical instability. For policymakers, these findings emphasize the importance of understanding the evolving dynamics of safe haven assets, particularly in volatile markets, and the need for adaptive strategies to manage risk. By considering these insights, both investors and policymakers can better navigate the uncertainties of emerging market conditions, optimizing portfolio management and developing policies that support financial stability during times of conflict.</w:t>
      </w:r>
    </w:p>
    <w:p w14:paraId="73D972B7" w14:textId="33A11F5F" w:rsidR="00272551" w:rsidRPr="009B605C" w:rsidRDefault="009A3FF8" w:rsidP="009A3FF8">
      <w:pPr>
        <w:spacing w:line="360" w:lineRule="auto"/>
        <w:ind w:firstLine="720"/>
        <w:jc w:val="both"/>
        <w:rPr>
          <w:rFonts w:ascii="Cambria" w:hAnsi="Cambria"/>
        </w:rPr>
      </w:pPr>
      <w:r w:rsidRPr="009B605C">
        <w:rPr>
          <w:rFonts w:ascii="Cambria" w:hAnsi="Cambria"/>
        </w:rPr>
        <w:t xml:space="preserve">Moreover, our results offer several key policy implications, particularly for conservative investment strategies in the context of evolving global dynamics affecting the BRICS economies. Notably, we find that the cryptocurrencies have developed safe-haven properties independently of gold, a finding that is increasingly important as geopolitical instability, such as the ongoing Russia-Ukraine conflict, </w:t>
      </w:r>
      <w:r w:rsidR="006A41D3">
        <w:rPr>
          <w:rFonts w:ascii="Cambria" w:hAnsi="Cambria"/>
        </w:rPr>
        <w:t>affects</w:t>
      </w:r>
      <w:r w:rsidRPr="009B605C">
        <w:rPr>
          <w:rFonts w:ascii="Cambria" w:hAnsi="Cambria"/>
        </w:rPr>
        <w:t xml:space="preserve"> market </w:t>
      </w:r>
      <w:r w:rsidRPr="009B605C">
        <w:rPr>
          <w:rFonts w:ascii="Cambria" w:hAnsi="Cambria"/>
        </w:rPr>
        <w:lastRenderedPageBreak/>
        <w:t xml:space="preserve">behaviour. For BRICS countries, this has important implications. </w:t>
      </w:r>
      <w:r w:rsidR="00272551" w:rsidRPr="009B605C">
        <w:rPr>
          <w:rFonts w:ascii="Cambria" w:hAnsi="Cambria"/>
        </w:rPr>
        <w:t>First, these nations, particularly Russia, face heightened economic and political risks due to ongoing geopolitical tensions, while China is also exposed to significant risks, especially as a result of the US-China trade war. In this context, the growing role of crypto assets as a potential alternative safe haven becomes increasingly relevant. The decentralized nature of crypto assets offers a unique advantage for investment managers, especially in regions where traditional financial systems may be under strain or where political instability threatens the value of conventional assets. This shift could provide a new avenue for diversifying portfolios and hedging against the risks associated with both regional and global instability through cryptocurrencies.</w:t>
      </w:r>
    </w:p>
    <w:p w14:paraId="6C63D695" w14:textId="6010564F" w:rsidR="009A3FF8" w:rsidRPr="009B605C" w:rsidRDefault="009A3FF8" w:rsidP="00272551">
      <w:pPr>
        <w:spacing w:line="360" w:lineRule="auto"/>
        <w:ind w:firstLine="720"/>
        <w:jc w:val="both"/>
        <w:rPr>
          <w:rFonts w:ascii="Cambria" w:hAnsi="Cambria"/>
        </w:rPr>
      </w:pPr>
      <w:r w:rsidRPr="009B605C">
        <w:rPr>
          <w:rFonts w:ascii="Cambria" w:hAnsi="Cambria"/>
        </w:rPr>
        <w:t>However, while crypto assets present new hedging opportunities, they are not a one-size-fits-all solution. Our robustness checks show that not all crypto assets are equally effective as hedges</w:t>
      </w:r>
      <w:r w:rsidR="003A5421" w:rsidRPr="009B605C">
        <w:rPr>
          <w:rFonts w:ascii="Cambria" w:hAnsi="Cambria"/>
        </w:rPr>
        <w:t xml:space="preserve"> for BRICS stocks</w:t>
      </w:r>
      <w:r w:rsidRPr="009B605C">
        <w:rPr>
          <w:rFonts w:ascii="Cambria" w:hAnsi="Cambria"/>
        </w:rPr>
        <w:t>, with large-cap cryptocurrencies offering more robust protection compared to their small-cap counterparts. Yet, the higher cost of large-cap assets</w:t>
      </w:r>
      <w:r w:rsidR="00272551" w:rsidRPr="009B605C">
        <w:rPr>
          <w:rFonts w:ascii="Cambria" w:hAnsi="Cambria"/>
        </w:rPr>
        <w:t xml:space="preserve">, </w:t>
      </w:r>
      <w:r w:rsidRPr="009B605C">
        <w:rPr>
          <w:rFonts w:ascii="Cambria" w:hAnsi="Cambria"/>
        </w:rPr>
        <w:t xml:space="preserve">especially Bitcoin, which </w:t>
      </w:r>
      <w:r w:rsidR="00272551" w:rsidRPr="009B605C">
        <w:rPr>
          <w:rFonts w:ascii="Cambria" w:hAnsi="Cambria"/>
        </w:rPr>
        <w:t xml:space="preserve">our results show to be </w:t>
      </w:r>
      <w:r w:rsidRPr="009B605C">
        <w:rPr>
          <w:rFonts w:ascii="Cambria" w:hAnsi="Cambria"/>
        </w:rPr>
        <w:t xml:space="preserve">the most expensive hedge in the entire crypto </w:t>
      </w:r>
      <w:r w:rsidR="00272551" w:rsidRPr="009B605C">
        <w:rPr>
          <w:rFonts w:ascii="Cambria" w:hAnsi="Cambria"/>
        </w:rPr>
        <w:t xml:space="preserve">market, </w:t>
      </w:r>
      <w:r w:rsidRPr="009B605C">
        <w:rPr>
          <w:rFonts w:ascii="Cambria" w:hAnsi="Cambria"/>
        </w:rPr>
        <w:t>suggests that more speculative investors may find small-cap cryptos a more affordable alternative. Gold, however, retains its status as a reliable safe-haven asset, particularly during extreme market stress, providing reassurance for conservative strategies during periods of significant global instability</w:t>
      </w:r>
      <w:r w:rsidR="00272551" w:rsidRPr="009B605C">
        <w:rPr>
          <w:rFonts w:ascii="Cambria" w:hAnsi="Cambria"/>
        </w:rPr>
        <w:t>.</w:t>
      </w:r>
    </w:p>
    <w:p w14:paraId="583FA6DB" w14:textId="472CE32D" w:rsidR="008703E7" w:rsidRPr="009B605C" w:rsidRDefault="008703E7" w:rsidP="0087752F">
      <w:pPr>
        <w:spacing w:line="360" w:lineRule="auto"/>
        <w:ind w:firstLine="720"/>
        <w:jc w:val="both"/>
        <w:rPr>
          <w:rFonts w:ascii="Cambria" w:hAnsi="Cambria"/>
        </w:rPr>
      </w:pPr>
      <w:r w:rsidRPr="009B605C">
        <w:rPr>
          <w:rFonts w:ascii="Cambria" w:hAnsi="Cambria"/>
        </w:rPr>
        <w:t>Future research can explore the safe haven properties of cryptocurrency markets in relation to other asset classes, such as fossil fuels, government bonds, or even real estate. Additionally, it can be expanded to include traditional safe haven assets like gold, as well as agricultural commodities, which have also been found by past studies to act as safe havens during times of market turmoil.</w:t>
      </w:r>
    </w:p>
    <w:p w14:paraId="63125912" w14:textId="77777777" w:rsidR="008703E7" w:rsidRPr="009B605C" w:rsidRDefault="008703E7" w:rsidP="0087752F">
      <w:pPr>
        <w:spacing w:line="360" w:lineRule="auto"/>
        <w:ind w:firstLine="720"/>
        <w:jc w:val="both"/>
        <w:rPr>
          <w:rFonts w:ascii="Cambria" w:hAnsi="Cambria"/>
        </w:rPr>
      </w:pPr>
    </w:p>
    <w:p w14:paraId="3EDB590D" w14:textId="77777777" w:rsidR="00F712E5" w:rsidRPr="009B605C" w:rsidRDefault="00F712E5" w:rsidP="0087752F">
      <w:pPr>
        <w:rPr>
          <w:rFonts w:ascii="Cambria" w:hAnsi="Cambria"/>
        </w:rPr>
      </w:pPr>
    </w:p>
    <w:p w14:paraId="50AD6608" w14:textId="77777777" w:rsidR="00F712E5" w:rsidRPr="009B605C" w:rsidRDefault="00F712E5" w:rsidP="0087752F">
      <w:pPr>
        <w:rPr>
          <w:rFonts w:ascii="Cambria" w:hAnsi="Cambria"/>
        </w:rPr>
      </w:pPr>
    </w:p>
    <w:p w14:paraId="63F86504" w14:textId="77777777" w:rsidR="00F712E5" w:rsidRPr="009B605C" w:rsidRDefault="00F712E5" w:rsidP="0087752F">
      <w:pPr>
        <w:rPr>
          <w:rFonts w:ascii="Cambria" w:hAnsi="Cambria"/>
        </w:rPr>
      </w:pPr>
    </w:p>
    <w:p w14:paraId="74FA8352" w14:textId="77777777" w:rsidR="00F41820" w:rsidRPr="009B605C" w:rsidRDefault="00F41820" w:rsidP="0087752F">
      <w:pPr>
        <w:rPr>
          <w:rFonts w:ascii="Cambria" w:hAnsi="Cambria"/>
        </w:rPr>
      </w:pPr>
    </w:p>
    <w:p w14:paraId="3DB9F559" w14:textId="77777777" w:rsidR="00F41820" w:rsidRPr="009B605C" w:rsidRDefault="00F41820" w:rsidP="0087752F">
      <w:pPr>
        <w:rPr>
          <w:rFonts w:ascii="Cambria" w:hAnsi="Cambria"/>
        </w:rPr>
      </w:pPr>
    </w:p>
    <w:p w14:paraId="2A519B29" w14:textId="77777777" w:rsidR="00F712E5" w:rsidRPr="009B605C" w:rsidRDefault="00F712E5" w:rsidP="0087752F">
      <w:pPr>
        <w:rPr>
          <w:rFonts w:ascii="Cambria" w:hAnsi="Cambria"/>
        </w:rPr>
      </w:pPr>
    </w:p>
    <w:p w14:paraId="34E73000" w14:textId="77777777" w:rsidR="009B605C" w:rsidRPr="009B605C" w:rsidRDefault="009B605C" w:rsidP="0087752F">
      <w:pPr>
        <w:rPr>
          <w:rFonts w:ascii="Cambria" w:hAnsi="Cambria"/>
        </w:rPr>
      </w:pPr>
    </w:p>
    <w:p w14:paraId="5D678145" w14:textId="77777777" w:rsidR="009B605C" w:rsidRPr="009B605C" w:rsidRDefault="009B605C" w:rsidP="0087752F">
      <w:pPr>
        <w:rPr>
          <w:rFonts w:ascii="Cambria" w:hAnsi="Cambria"/>
        </w:rPr>
      </w:pPr>
    </w:p>
    <w:p w14:paraId="653FD7CD" w14:textId="77777777" w:rsidR="009B605C" w:rsidRPr="009B605C" w:rsidRDefault="009B605C" w:rsidP="0087752F">
      <w:pPr>
        <w:rPr>
          <w:rFonts w:ascii="Cambria" w:hAnsi="Cambria"/>
        </w:rPr>
      </w:pPr>
    </w:p>
    <w:p w14:paraId="7FD1D56C" w14:textId="77777777" w:rsidR="009B605C" w:rsidRPr="009B605C" w:rsidRDefault="009B605C" w:rsidP="0087752F">
      <w:pPr>
        <w:rPr>
          <w:rFonts w:ascii="Cambria" w:hAnsi="Cambria"/>
        </w:rPr>
      </w:pPr>
    </w:p>
    <w:p w14:paraId="7BDAFD2F" w14:textId="77777777" w:rsidR="009B605C" w:rsidRPr="009B605C" w:rsidRDefault="009B605C" w:rsidP="0087752F">
      <w:pPr>
        <w:rPr>
          <w:rFonts w:ascii="Cambria" w:hAnsi="Cambria"/>
        </w:rPr>
      </w:pPr>
    </w:p>
    <w:p w14:paraId="1B61A69B" w14:textId="77777777" w:rsidR="009B605C" w:rsidRPr="009B605C" w:rsidRDefault="009B605C" w:rsidP="0087752F">
      <w:pPr>
        <w:rPr>
          <w:rFonts w:ascii="Cambria" w:hAnsi="Cambria"/>
        </w:rPr>
      </w:pPr>
    </w:p>
    <w:p w14:paraId="48CD5A3A" w14:textId="53DF571F" w:rsidR="00040A1B" w:rsidRPr="009B605C" w:rsidRDefault="00492B2F" w:rsidP="0087752F">
      <w:pPr>
        <w:spacing w:after="120"/>
        <w:rPr>
          <w:rFonts w:ascii="Cambria" w:hAnsi="Cambria"/>
          <w:b/>
          <w:bCs/>
        </w:rPr>
      </w:pPr>
      <w:r w:rsidRPr="009B605C">
        <w:rPr>
          <w:rFonts w:ascii="Cambria" w:hAnsi="Cambria"/>
          <w:b/>
          <w:bCs/>
        </w:rPr>
        <w:lastRenderedPageBreak/>
        <w:t>References</w:t>
      </w:r>
    </w:p>
    <w:p w14:paraId="5CD9B8EC"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Ahmed, S., Hasan, M.M. and Kamal, M.R., 2023. Russia–Ukraine crisis: The effects on the European stock market. </w:t>
      </w:r>
      <w:r w:rsidRPr="009B605C">
        <w:rPr>
          <w:rFonts w:ascii="Cambria" w:eastAsiaTheme="minorEastAsia" w:hAnsi="Cambria"/>
          <w:i/>
          <w:iCs/>
          <w:lang w:eastAsia="zh-CN"/>
        </w:rPr>
        <w:t>European Financial Management</w:t>
      </w:r>
      <w:r w:rsidRPr="009B605C">
        <w:rPr>
          <w:rFonts w:ascii="Cambria" w:eastAsiaTheme="minorEastAsia" w:hAnsi="Cambria"/>
          <w:lang w:eastAsia="zh-CN"/>
        </w:rPr>
        <w:t xml:space="preserve">, </w:t>
      </w:r>
      <w:r w:rsidRPr="009B605C">
        <w:rPr>
          <w:rFonts w:ascii="Cambria" w:eastAsiaTheme="minorEastAsia" w:hAnsi="Cambria"/>
          <w:i/>
          <w:iCs/>
          <w:lang w:eastAsia="zh-CN"/>
        </w:rPr>
        <w:t>29</w:t>
      </w:r>
      <w:r w:rsidRPr="009B605C">
        <w:rPr>
          <w:rFonts w:ascii="Cambria" w:eastAsiaTheme="minorEastAsia" w:hAnsi="Cambria"/>
          <w:lang w:eastAsia="zh-CN"/>
        </w:rPr>
        <w:t>(4), pp.1078-1118.</w:t>
      </w:r>
    </w:p>
    <w:p w14:paraId="27982CB9"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Akhtaruzzaman, M., Boubaker, S., Lucey, B.M. and </w:t>
      </w:r>
      <w:proofErr w:type="spellStart"/>
      <w:r w:rsidRPr="009B605C">
        <w:rPr>
          <w:rFonts w:ascii="Cambria" w:eastAsiaTheme="minorEastAsia" w:hAnsi="Cambria"/>
          <w:lang w:eastAsia="zh-CN"/>
        </w:rPr>
        <w:t>Sensoy</w:t>
      </w:r>
      <w:proofErr w:type="spellEnd"/>
      <w:r w:rsidRPr="009B605C">
        <w:rPr>
          <w:rFonts w:ascii="Cambria" w:eastAsiaTheme="minorEastAsia" w:hAnsi="Cambria"/>
          <w:lang w:eastAsia="zh-CN"/>
        </w:rPr>
        <w:t xml:space="preserve">, A., 2021. Is gold a hedge or a safe-haven asset in the COVID–19 crisis?. </w:t>
      </w:r>
      <w:r w:rsidRPr="009B605C">
        <w:rPr>
          <w:rFonts w:ascii="Cambria" w:eastAsiaTheme="minorEastAsia" w:hAnsi="Cambria"/>
          <w:i/>
          <w:iCs/>
          <w:lang w:eastAsia="zh-CN"/>
        </w:rPr>
        <w:t>Economic Modelling</w:t>
      </w:r>
      <w:r w:rsidRPr="009B605C">
        <w:rPr>
          <w:rFonts w:ascii="Cambria" w:eastAsiaTheme="minorEastAsia" w:hAnsi="Cambria"/>
          <w:lang w:eastAsia="zh-CN"/>
        </w:rPr>
        <w:t xml:space="preserve">, </w:t>
      </w:r>
      <w:r w:rsidRPr="009B605C">
        <w:rPr>
          <w:rFonts w:ascii="Cambria" w:eastAsiaTheme="minorEastAsia" w:hAnsi="Cambria"/>
          <w:i/>
          <w:iCs/>
          <w:lang w:eastAsia="zh-CN"/>
        </w:rPr>
        <w:t>102</w:t>
      </w:r>
      <w:r w:rsidRPr="009B605C">
        <w:rPr>
          <w:rFonts w:ascii="Cambria" w:eastAsiaTheme="minorEastAsia" w:hAnsi="Cambria"/>
          <w:lang w:eastAsia="zh-CN"/>
        </w:rPr>
        <w:t>, p.105588.</w:t>
      </w:r>
    </w:p>
    <w:p w14:paraId="13F879C5" w14:textId="77777777"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t>Akyildirim</w:t>
      </w:r>
      <w:proofErr w:type="spellEnd"/>
      <w:r w:rsidRPr="009B605C">
        <w:rPr>
          <w:rFonts w:ascii="Cambria" w:hAnsi="Cambria"/>
        </w:rPr>
        <w:t xml:space="preserve">, E., </w:t>
      </w:r>
      <w:proofErr w:type="spellStart"/>
      <w:r w:rsidRPr="009B605C">
        <w:rPr>
          <w:rFonts w:ascii="Cambria" w:hAnsi="Cambria"/>
        </w:rPr>
        <w:t>Cepni</w:t>
      </w:r>
      <w:proofErr w:type="spellEnd"/>
      <w:r w:rsidRPr="009B605C">
        <w:rPr>
          <w:rFonts w:ascii="Cambria" w:hAnsi="Cambria"/>
        </w:rPr>
        <w:t xml:space="preserve">, O., Pham, L. and Uddin, G.S., 2022. How connected is the agricultural commodity market to the news-based investor sentiment?. </w:t>
      </w:r>
      <w:r w:rsidRPr="009B605C">
        <w:rPr>
          <w:rFonts w:ascii="Cambria" w:hAnsi="Cambria"/>
          <w:i/>
          <w:iCs/>
        </w:rPr>
        <w:t>Energy Economics</w:t>
      </w:r>
      <w:r w:rsidRPr="009B605C">
        <w:rPr>
          <w:rFonts w:ascii="Cambria" w:hAnsi="Cambria"/>
        </w:rPr>
        <w:t xml:space="preserve">, </w:t>
      </w:r>
      <w:r w:rsidRPr="009B605C">
        <w:rPr>
          <w:rFonts w:ascii="Cambria" w:hAnsi="Cambria"/>
          <w:i/>
          <w:iCs/>
        </w:rPr>
        <w:t>113</w:t>
      </w:r>
      <w:r w:rsidRPr="009B605C">
        <w:rPr>
          <w:rFonts w:ascii="Cambria" w:hAnsi="Cambria"/>
        </w:rPr>
        <w:t>, p.106174.</w:t>
      </w:r>
    </w:p>
    <w:p w14:paraId="3E6435C3"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Ali, F., Khurram, M.U. and </w:t>
      </w:r>
      <w:proofErr w:type="spellStart"/>
      <w:r w:rsidRPr="009B605C">
        <w:rPr>
          <w:rFonts w:ascii="Cambria" w:eastAsiaTheme="minorEastAsia" w:hAnsi="Cambria"/>
          <w:lang w:eastAsia="zh-CN"/>
        </w:rPr>
        <w:t>Sensoy</w:t>
      </w:r>
      <w:proofErr w:type="spellEnd"/>
      <w:r w:rsidRPr="009B605C">
        <w:rPr>
          <w:rFonts w:ascii="Cambria" w:eastAsiaTheme="minorEastAsia" w:hAnsi="Cambria"/>
          <w:lang w:eastAsia="zh-CN"/>
        </w:rPr>
        <w:t xml:space="preserve">, A., 2025. Safe havens for Bitcoin and Ethereum: evidence from high-frequency data. </w:t>
      </w:r>
      <w:r w:rsidRPr="009B605C">
        <w:rPr>
          <w:rFonts w:ascii="Cambria" w:eastAsiaTheme="minorEastAsia" w:hAnsi="Cambria"/>
          <w:i/>
          <w:iCs/>
          <w:lang w:eastAsia="zh-CN"/>
        </w:rPr>
        <w:t>Financial Innovation</w:t>
      </w:r>
      <w:r w:rsidRPr="009B605C">
        <w:rPr>
          <w:rFonts w:ascii="Cambria" w:eastAsiaTheme="minorEastAsia" w:hAnsi="Cambria"/>
          <w:lang w:eastAsia="zh-CN"/>
        </w:rPr>
        <w:t xml:space="preserve">, </w:t>
      </w:r>
      <w:r w:rsidRPr="009B605C">
        <w:rPr>
          <w:rFonts w:ascii="Cambria" w:eastAsiaTheme="minorEastAsia" w:hAnsi="Cambria"/>
          <w:i/>
          <w:iCs/>
          <w:lang w:eastAsia="zh-CN"/>
        </w:rPr>
        <w:t>11</w:t>
      </w:r>
      <w:r w:rsidRPr="009B605C">
        <w:rPr>
          <w:rFonts w:ascii="Cambria" w:eastAsiaTheme="minorEastAsia" w:hAnsi="Cambria"/>
          <w:lang w:eastAsia="zh-CN"/>
        </w:rPr>
        <w:t>(1), p.61.</w:t>
      </w:r>
    </w:p>
    <w:p w14:paraId="6521A572" w14:textId="409F009B" w:rsidR="0070466F" w:rsidRPr="009B605C" w:rsidRDefault="0070466F" w:rsidP="0070466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Ali, S., Umar, M., Naveed, M. and Shan, S., 2024. Assessing the impact of renewable energy tokens on BRICS stock markets: a new diversification approach. </w:t>
      </w:r>
      <w:r w:rsidRPr="009B605C">
        <w:rPr>
          <w:rFonts w:ascii="Cambria" w:eastAsiaTheme="minorEastAsia" w:hAnsi="Cambria"/>
          <w:i/>
          <w:iCs/>
          <w:lang w:eastAsia="zh-CN"/>
        </w:rPr>
        <w:t>Energy Economics</w:t>
      </w:r>
      <w:r w:rsidRPr="009B605C">
        <w:rPr>
          <w:rFonts w:ascii="Cambria" w:eastAsiaTheme="minorEastAsia" w:hAnsi="Cambria"/>
          <w:lang w:eastAsia="zh-CN"/>
        </w:rPr>
        <w:t xml:space="preserve">, </w:t>
      </w:r>
      <w:r w:rsidRPr="009B605C">
        <w:rPr>
          <w:rFonts w:ascii="Cambria" w:eastAsiaTheme="minorEastAsia" w:hAnsi="Cambria"/>
          <w:i/>
          <w:iCs/>
          <w:lang w:eastAsia="zh-CN"/>
        </w:rPr>
        <w:t>134</w:t>
      </w:r>
      <w:r w:rsidRPr="009B605C">
        <w:rPr>
          <w:rFonts w:ascii="Cambria" w:eastAsiaTheme="minorEastAsia" w:hAnsi="Cambria"/>
          <w:lang w:eastAsia="zh-CN"/>
        </w:rPr>
        <w:t>, p.107523.</w:t>
      </w:r>
    </w:p>
    <w:p w14:paraId="442CFC42" w14:textId="79CAE9BD" w:rsidR="008B1BBA" w:rsidRPr="009B605C" w:rsidRDefault="008B1BBA" w:rsidP="00A04325">
      <w:pPr>
        <w:spacing w:after="16" w:line="276" w:lineRule="auto"/>
        <w:jc w:val="both"/>
        <w:rPr>
          <w:rFonts w:ascii="Cambria" w:hAnsi="Cambria"/>
        </w:rPr>
      </w:pPr>
      <w:r w:rsidRPr="009B605C">
        <w:rPr>
          <w:rFonts w:ascii="Cambria" w:hAnsi="Cambria"/>
        </w:rPr>
        <w:t xml:space="preserve">Ammann, M., Burdorf, T., </w:t>
      </w:r>
      <w:proofErr w:type="spellStart"/>
      <w:r w:rsidRPr="009B605C">
        <w:rPr>
          <w:rFonts w:ascii="Cambria" w:hAnsi="Cambria"/>
        </w:rPr>
        <w:t>Liebi</w:t>
      </w:r>
      <w:proofErr w:type="spellEnd"/>
      <w:r w:rsidRPr="009B605C">
        <w:rPr>
          <w:rFonts w:ascii="Cambria" w:hAnsi="Cambria"/>
        </w:rPr>
        <w:t xml:space="preserve">, L. and Stöckl, S., 2022. Survivorship and delisting bias in cryptocurrency markets. </w:t>
      </w:r>
      <w:r w:rsidRPr="009B605C">
        <w:rPr>
          <w:rFonts w:ascii="Cambria" w:hAnsi="Cambria"/>
          <w:i/>
          <w:iCs/>
        </w:rPr>
        <w:t>Available at SSRN 4287573</w:t>
      </w:r>
      <w:r w:rsidRPr="009B605C">
        <w:rPr>
          <w:rFonts w:ascii="Cambria" w:hAnsi="Cambria"/>
        </w:rPr>
        <w:t>.</w:t>
      </w:r>
    </w:p>
    <w:p w14:paraId="2860E2B9" w14:textId="77777777" w:rsidR="008B1BBA" w:rsidRPr="009B605C" w:rsidRDefault="008B1BBA" w:rsidP="00A04325">
      <w:pPr>
        <w:spacing w:line="276" w:lineRule="auto"/>
        <w:jc w:val="both"/>
        <w:rPr>
          <w:rFonts w:ascii="Cambria" w:hAnsi="Cambria"/>
        </w:rPr>
      </w:pPr>
    </w:p>
    <w:p w14:paraId="256F4059"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Ando, T., Greenwood-Nimmo, M. and Shin, Y., 2022. Quantile connectedness: </w:t>
      </w:r>
      <w:proofErr w:type="spellStart"/>
      <w:r w:rsidRPr="009B605C">
        <w:rPr>
          <w:rFonts w:ascii="Cambria" w:hAnsi="Cambria"/>
        </w:rPr>
        <w:t>modeling</w:t>
      </w:r>
      <w:proofErr w:type="spellEnd"/>
      <w:r w:rsidRPr="009B605C">
        <w:rPr>
          <w:rFonts w:ascii="Cambria" w:hAnsi="Cambria"/>
        </w:rPr>
        <w:t xml:space="preserve"> tail </w:t>
      </w:r>
      <w:proofErr w:type="spellStart"/>
      <w:r w:rsidRPr="009B605C">
        <w:rPr>
          <w:rFonts w:ascii="Cambria" w:hAnsi="Cambria"/>
        </w:rPr>
        <w:t>behavior</w:t>
      </w:r>
      <w:proofErr w:type="spellEnd"/>
      <w:r w:rsidRPr="009B605C">
        <w:rPr>
          <w:rFonts w:ascii="Cambria" w:hAnsi="Cambria"/>
        </w:rPr>
        <w:t xml:space="preserve"> in the topology of financial networks. </w:t>
      </w:r>
      <w:r w:rsidRPr="009B605C">
        <w:rPr>
          <w:rFonts w:ascii="Cambria" w:hAnsi="Cambria"/>
          <w:i/>
          <w:iCs/>
        </w:rPr>
        <w:t>Management Science</w:t>
      </w:r>
      <w:r w:rsidRPr="009B605C">
        <w:rPr>
          <w:rFonts w:ascii="Cambria" w:hAnsi="Cambria"/>
        </w:rPr>
        <w:t xml:space="preserve">, </w:t>
      </w:r>
      <w:r w:rsidRPr="009B605C">
        <w:rPr>
          <w:rFonts w:ascii="Cambria" w:hAnsi="Cambria"/>
          <w:i/>
          <w:iCs/>
        </w:rPr>
        <w:t>68</w:t>
      </w:r>
      <w:r w:rsidRPr="009B605C">
        <w:rPr>
          <w:rFonts w:ascii="Cambria" w:hAnsi="Cambria"/>
        </w:rPr>
        <w:t>(4), pp.2401-2431.</w:t>
      </w:r>
    </w:p>
    <w:p w14:paraId="38046D40"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Antonakakis, N., </w:t>
      </w:r>
      <w:proofErr w:type="spellStart"/>
      <w:r w:rsidRPr="009B605C">
        <w:rPr>
          <w:rFonts w:ascii="Cambria" w:hAnsi="Cambria"/>
        </w:rPr>
        <w:t>Cunado</w:t>
      </w:r>
      <w:proofErr w:type="spellEnd"/>
      <w:r w:rsidRPr="009B605C">
        <w:rPr>
          <w:rFonts w:ascii="Cambria" w:hAnsi="Cambria"/>
        </w:rPr>
        <w:t xml:space="preserve">, J., Filis, G., Gabauer, D. and de Gracia, F.P., 2020. Oil and asset classes implied volatilities: Investment strategies and hedging effectiveness. </w:t>
      </w:r>
      <w:r w:rsidRPr="009B605C">
        <w:rPr>
          <w:rFonts w:ascii="Cambria" w:hAnsi="Cambria"/>
          <w:i/>
          <w:iCs/>
        </w:rPr>
        <w:t>Energy Economics</w:t>
      </w:r>
      <w:r w:rsidRPr="009B605C">
        <w:rPr>
          <w:rFonts w:ascii="Cambria" w:hAnsi="Cambria"/>
        </w:rPr>
        <w:t xml:space="preserve">, </w:t>
      </w:r>
      <w:r w:rsidRPr="009B605C">
        <w:rPr>
          <w:rFonts w:ascii="Cambria" w:hAnsi="Cambria"/>
          <w:i/>
          <w:iCs/>
        </w:rPr>
        <w:t>91</w:t>
      </w:r>
      <w:r w:rsidRPr="009B605C">
        <w:rPr>
          <w:rFonts w:ascii="Cambria" w:hAnsi="Cambria"/>
        </w:rPr>
        <w:t>, p.104762.</w:t>
      </w:r>
    </w:p>
    <w:p w14:paraId="1CDFFEB4" w14:textId="77777777"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t>Balcilar</w:t>
      </w:r>
      <w:proofErr w:type="spellEnd"/>
      <w:r w:rsidRPr="009B605C">
        <w:rPr>
          <w:rFonts w:ascii="Cambria" w:hAnsi="Cambria"/>
        </w:rPr>
        <w:t xml:space="preserve">, M., Berisha, E., </w:t>
      </w:r>
      <w:proofErr w:type="spellStart"/>
      <w:r w:rsidRPr="009B605C">
        <w:rPr>
          <w:rFonts w:ascii="Cambria" w:hAnsi="Cambria"/>
        </w:rPr>
        <w:t>Çepni</w:t>
      </w:r>
      <w:proofErr w:type="spellEnd"/>
      <w:r w:rsidRPr="009B605C">
        <w:rPr>
          <w:rFonts w:ascii="Cambria" w:hAnsi="Cambria"/>
        </w:rPr>
        <w:t xml:space="preserve">, O. and Gupta, R., 2022. The predictive power of the term spread on inequality in the United Kingdom: an empirical analysis. </w:t>
      </w:r>
      <w:r w:rsidRPr="009B605C">
        <w:rPr>
          <w:rFonts w:ascii="Cambria" w:hAnsi="Cambria"/>
          <w:i/>
          <w:iCs/>
        </w:rPr>
        <w:t>International Journal of Finance &amp; Economics</w:t>
      </w:r>
      <w:r w:rsidRPr="009B605C">
        <w:rPr>
          <w:rFonts w:ascii="Cambria" w:hAnsi="Cambria"/>
        </w:rPr>
        <w:t xml:space="preserve">, </w:t>
      </w:r>
      <w:r w:rsidRPr="009B605C">
        <w:rPr>
          <w:rFonts w:ascii="Cambria" w:hAnsi="Cambria"/>
          <w:i/>
          <w:iCs/>
        </w:rPr>
        <w:t>27</w:t>
      </w:r>
      <w:r w:rsidRPr="009B605C">
        <w:rPr>
          <w:rFonts w:ascii="Cambria" w:hAnsi="Cambria"/>
        </w:rPr>
        <w:t>(2), pp.1979-1988.</w:t>
      </w:r>
    </w:p>
    <w:p w14:paraId="583AF9AF"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Bauman, W.S., Conover, C.M. and Miller, R.E., 1998. Growth versus value and large-cap versus small-cap stocks in international markets. </w:t>
      </w:r>
      <w:r w:rsidRPr="009B605C">
        <w:rPr>
          <w:rFonts w:ascii="Cambria" w:eastAsiaTheme="minorEastAsia" w:hAnsi="Cambria"/>
          <w:i/>
          <w:iCs/>
          <w:lang w:eastAsia="zh-CN"/>
        </w:rPr>
        <w:t>Financial Analysts Journal</w:t>
      </w:r>
      <w:r w:rsidRPr="009B605C">
        <w:rPr>
          <w:rFonts w:ascii="Cambria" w:eastAsiaTheme="minorEastAsia" w:hAnsi="Cambria"/>
          <w:lang w:eastAsia="zh-CN"/>
        </w:rPr>
        <w:t xml:space="preserve">, </w:t>
      </w:r>
      <w:r w:rsidRPr="009B605C">
        <w:rPr>
          <w:rFonts w:ascii="Cambria" w:eastAsiaTheme="minorEastAsia" w:hAnsi="Cambria"/>
          <w:i/>
          <w:iCs/>
          <w:lang w:eastAsia="zh-CN"/>
        </w:rPr>
        <w:t>54</w:t>
      </w:r>
      <w:r w:rsidRPr="009B605C">
        <w:rPr>
          <w:rFonts w:ascii="Cambria" w:eastAsiaTheme="minorEastAsia" w:hAnsi="Cambria"/>
          <w:lang w:eastAsia="zh-CN"/>
        </w:rPr>
        <w:t>(2), pp.75-89.</w:t>
      </w:r>
    </w:p>
    <w:p w14:paraId="6989948D"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Baur, D.G. and Lucey, B.M., 2010. Is gold a hedge or a safe haven? An analysis of stocks, bonds and gold. </w:t>
      </w:r>
      <w:r w:rsidRPr="009B605C">
        <w:rPr>
          <w:rFonts w:ascii="Cambria" w:hAnsi="Cambria"/>
          <w:i/>
          <w:iCs/>
        </w:rPr>
        <w:t>Financial review</w:t>
      </w:r>
      <w:r w:rsidRPr="009B605C">
        <w:rPr>
          <w:rFonts w:ascii="Cambria" w:hAnsi="Cambria"/>
        </w:rPr>
        <w:t>, 45(2), pp.217-229.</w:t>
      </w:r>
    </w:p>
    <w:p w14:paraId="5E14C73A"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Baur, D.G. and McDermott, T.K., 2010. Is gold a safe haven? International evidence. </w:t>
      </w:r>
      <w:r w:rsidRPr="009B605C">
        <w:rPr>
          <w:rFonts w:ascii="Cambria" w:hAnsi="Cambria"/>
          <w:i/>
          <w:iCs/>
        </w:rPr>
        <w:t>Journal of Banking &amp; Finance</w:t>
      </w:r>
      <w:r w:rsidRPr="009B605C">
        <w:rPr>
          <w:rFonts w:ascii="Cambria" w:hAnsi="Cambria"/>
        </w:rPr>
        <w:t xml:space="preserve">, </w:t>
      </w:r>
      <w:r w:rsidRPr="009B605C">
        <w:rPr>
          <w:rFonts w:ascii="Cambria" w:hAnsi="Cambria"/>
          <w:i/>
          <w:iCs/>
        </w:rPr>
        <w:t>34</w:t>
      </w:r>
      <w:r w:rsidRPr="009B605C">
        <w:rPr>
          <w:rFonts w:ascii="Cambria" w:hAnsi="Cambria"/>
        </w:rPr>
        <w:t>(8), pp.1886-1898.</w:t>
      </w:r>
    </w:p>
    <w:p w14:paraId="5E2BEC63" w14:textId="77777777" w:rsidR="003E6CF1" w:rsidRPr="009B605C" w:rsidRDefault="003E6CF1" w:rsidP="0087752F">
      <w:pPr>
        <w:spacing w:afterLines="80" w:after="192" w:line="276" w:lineRule="auto"/>
        <w:jc w:val="both"/>
        <w:rPr>
          <w:rFonts w:ascii="Cambria" w:eastAsiaTheme="minorEastAsia" w:hAnsi="Cambria"/>
        </w:rPr>
      </w:pPr>
      <w:proofErr w:type="spellStart"/>
      <w:r w:rsidRPr="009B605C">
        <w:rPr>
          <w:rFonts w:ascii="Cambria" w:eastAsiaTheme="minorEastAsia" w:hAnsi="Cambria"/>
        </w:rPr>
        <w:t>Bekiros</w:t>
      </w:r>
      <w:proofErr w:type="spellEnd"/>
      <w:r w:rsidRPr="009B605C">
        <w:rPr>
          <w:rFonts w:ascii="Cambria" w:eastAsiaTheme="minorEastAsia" w:hAnsi="Cambria"/>
        </w:rPr>
        <w:t xml:space="preserve">, S., Boubaker, S., Nguyen, D.K. and Uddin, G.S., 2017. Black swan events and safe havens: The role of gold in globally integrated emerging markets. </w:t>
      </w:r>
      <w:r w:rsidRPr="009B605C">
        <w:rPr>
          <w:rFonts w:ascii="Cambria" w:eastAsiaTheme="minorEastAsia" w:hAnsi="Cambria"/>
          <w:i/>
          <w:iCs/>
        </w:rPr>
        <w:t>Journal of International Money and Finance</w:t>
      </w:r>
      <w:r w:rsidRPr="009B605C">
        <w:rPr>
          <w:rFonts w:ascii="Cambria" w:eastAsiaTheme="minorEastAsia" w:hAnsi="Cambria"/>
        </w:rPr>
        <w:t xml:space="preserve">, </w:t>
      </w:r>
      <w:r w:rsidRPr="009B605C">
        <w:rPr>
          <w:rFonts w:ascii="Cambria" w:eastAsiaTheme="minorEastAsia" w:hAnsi="Cambria"/>
          <w:i/>
          <w:iCs/>
        </w:rPr>
        <w:t>73</w:t>
      </w:r>
      <w:r w:rsidRPr="009B605C">
        <w:rPr>
          <w:rFonts w:ascii="Cambria" w:eastAsiaTheme="minorEastAsia" w:hAnsi="Cambria"/>
        </w:rPr>
        <w:t>, pp.317-334.</w:t>
      </w:r>
    </w:p>
    <w:p w14:paraId="4ECA0129" w14:textId="53EF54D1" w:rsidR="00F56785" w:rsidRPr="009B605C" w:rsidRDefault="00F56785" w:rsidP="0087752F">
      <w:pPr>
        <w:spacing w:afterLines="80" w:after="192" w:line="276" w:lineRule="auto"/>
        <w:jc w:val="both"/>
        <w:rPr>
          <w:rFonts w:ascii="Cambria" w:hAnsi="Cambria"/>
        </w:rPr>
      </w:pPr>
      <w:proofErr w:type="spellStart"/>
      <w:r w:rsidRPr="009B605C">
        <w:rPr>
          <w:rFonts w:ascii="Cambria" w:hAnsi="Cambria"/>
        </w:rPr>
        <w:lastRenderedPageBreak/>
        <w:t>BenSaïda</w:t>
      </w:r>
      <w:proofErr w:type="spellEnd"/>
      <w:r w:rsidRPr="009B605C">
        <w:rPr>
          <w:rFonts w:ascii="Cambria" w:hAnsi="Cambria"/>
        </w:rPr>
        <w:t xml:space="preserve">, A., 2023. The linkage between Bitcoin and foreign exchanges in developed and emerging markets. </w:t>
      </w:r>
      <w:r w:rsidRPr="009B605C">
        <w:rPr>
          <w:rFonts w:ascii="Cambria" w:hAnsi="Cambria"/>
          <w:i/>
          <w:iCs/>
        </w:rPr>
        <w:t>Financial Innovation</w:t>
      </w:r>
      <w:r w:rsidRPr="009B605C">
        <w:rPr>
          <w:rFonts w:ascii="Cambria" w:hAnsi="Cambria"/>
        </w:rPr>
        <w:t xml:space="preserve">, </w:t>
      </w:r>
      <w:r w:rsidRPr="009B605C">
        <w:rPr>
          <w:rFonts w:ascii="Cambria" w:hAnsi="Cambria"/>
          <w:i/>
          <w:iCs/>
        </w:rPr>
        <w:t>9</w:t>
      </w:r>
      <w:r w:rsidRPr="009B605C">
        <w:rPr>
          <w:rFonts w:ascii="Cambria" w:hAnsi="Cambria"/>
        </w:rPr>
        <w:t>(1), p.38.</w:t>
      </w:r>
    </w:p>
    <w:p w14:paraId="56187685"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Bentes, S.R., 2023. Is gold a safe haven for the CIVETS countries under extremely adverse market conditions? Some new evidence from the MF-DCCA analysis. </w:t>
      </w:r>
      <w:r w:rsidRPr="009B605C">
        <w:rPr>
          <w:rFonts w:ascii="Cambria" w:hAnsi="Cambria"/>
          <w:i/>
          <w:iCs/>
        </w:rPr>
        <w:t>Physica A: Statistical Mechanics and its Applications</w:t>
      </w:r>
      <w:r w:rsidRPr="009B605C">
        <w:rPr>
          <w:rFonts w:ascii="Cambria" w:hAnsi="Cambria"/>
        </w:rPr>
        <w:t xml:space="preserve">, </w:t>
      </w:r>
      <w:r w:rsidRPr="009B605C">
        <w:rPr>
          <w:rFonts w:ascii="Cambria" w:hAnsi="Cambria"/>
          <w:i/>
          <w:iCs/>
        </w:rPr>
        <w:t>623</w:t>
      </w:r>
      <w:r w:rsidRPr="009B605C">
        <w:rPr>
          <w:rFonts w:ascii="Cambria" w:hAnsi="Cambria"/>
        </w:rPr>
        <w:t>, p.128898.</w:t>
      </w:r>
    </w:p>
    <w:p w14:paraId="03879D05"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Bhattacharjee, A., Gaur, D. and Gupta, K., 2024. Russia–Ukraine war and the impact on Indian economy. </w:t>
      </w:r>
      <w:r w:rsidRPr="009B605C">
        <w:rPr>
          <w:rFonts w:ascii="Cambria" w:eastAsiaTheme="minorEastAsia" w:hAnsi="Cambria"/>
          <w:i/>
          <w:iCs/>
          <w:lang w:eastAsia="zh-CN"/>
        </w:rPr>
        <w:t>Journal of Economic Studies</w:t>
      </w:r>
      <w:r w:rsidRPr="009B605C">
        <w:rPr>
          <w:rFonts w:ascii="Cambria" w:eastAsiaTheme="minorEastAsia" w:hAnsi="Cambria"/>
          <w:lang w:eastAsia="zh-CN"/>
        </w:rPr>
        <w:t xml:space="preserve">, </w:t>
      </w:r>
      <w:r w:rsidRPr="009B605C">
        <w:rPr>
          <w:rFonts w:ascii="Cambria" w:eastAsiaTheme="minorEastAsia" w:hAnsi="Cambria"/>
          <w:i/>
          <w:iCs/>
          <w:lang w:eastAsia="zh-CN"/>
        </w:rPr>
        <w:t>51</w:t>
      </w:r>
      <w:r w:rsidRPr="009B605C">
        <w:rPr>
          <w:rFonts w:ascii="Cambria" w:eastAsiaTheme="minorEastAsia" w:hAnsi="Cambria"/>
          <w:lang w:eastAsia="zh-CN"/>
        </w:rPr>
        <w:t>(4), pp.841-858.</w:t>
      </w:r>
    </w:p>
    <w:p w14:paraId="4AB8C145" w14:textId="3ADF1DA6" w:rsidR="00D17288" w:rsidRPr="009B605C" w:rsidRDefault="00D17288"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Billah, M., Karim, S., Naeem, M.A. and Vigne, S.A., 2022. Return and volatility spillovers between energy and BRIC markets: Evidence from quantile connectedness. </w:t>
      </w:r>
      <w:r w:rsidRPr="009B605C">
        <w:rPr>
          <w:rFonts w:ascii="Cambria" w:eastAsiaTheme="minorEastAsia" w:hAnsi="Cambria"/>
          <w:i/>
          <w:iCs/>
          <w:lang w:eastAsia="zh-CN"/>
        </w:rPr>
        <w:t>Research in International Business and Finance</w:t>
      </w:r>
      <w:r w:rsidRPr="009B605C">
        <w:rPr>
          <w:rFonts w:ascii="Cambria" w:eastAsiaTheme="minorEastAsia" w:hAnsi="Cambria"/>
          <w:lang w:eastAsia="zh-CN"/>
        </w:rPr>
        <w:t xml:space="preserve">, </w:t>
      </w:r>
      <w:r w:rsidRPr="009B605C">
        <w:rPr>
          <w:rFonts w:ascii="Cambria" w:eastAsiaTheme="minorEastAsia" w:hAnsi="Cambria"/>
          <w:i/>
          <w:iCs/>
          <w:lang w:eastAsia="zh-CN"/>
        </w:rPr>
        <w:t>62</w:t>
      </w:r>
      <w:r w:rsidRPr="009B605C">
        <w:rPr>
          <w:rFonts w:ascii="Cambria" w:eastAsiaTheme="minorEastAsia" w:hAnsi="Cambria"/>
          <w:lang w:eastAsia="zh-CN"/>
        </w:rPr>
        <w:t>, p.101680.</w:t>
      </w:r>
    </w:p>
    <w:p w14:paraId="049F6DFC"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Biswas, P., Jain, P. and Maitra, D., 2024. Are shocks in the stock markets driven by commodity markets? Evidence from Russia-Ukraine war. </w:t>
      </w:r>
      <w:r w:rsidRPr="009B605C">
        <w:rPr>
          <w:rFonts w:ascii="Cambria" w:eastAsiaTheme="minorEastAsia" w:hAnsi="Cambria"/>
          <w:i/>
          <w:iCs/>
        </w:rPr>
        <w:t>Journal of Commodity Markets</w:t>
      </w:r>
      <w:r w:rsidRPr="009B605C">
        <w:rPr>
          <w:rFonts w:ascii="Cambria" w:eastAsiaTheme="minorEastAsia" w:hAnsi="Cambria"/>
        </w:rPr>
        <w:t xml:space="preserve">, </w:t>
      </w:r>
      <w:r w:rsidRPr="009B605C">
        <w:rPr>
          <w:rFonts w:ascii="Cambria" w:eastAsiaTheme="minorEastAsia" w:hAnsi="Cambria"/>
          <w:i/>
          <w:iCs/>
        </w:rPr>
        <w:t>34</w:t>
      </w:r>
      <w:r w:rsidRPr="009B605C">
        <w:rPr>
          <w:rFonts w:ascii="Cambria" w:eastAsiaTheme="minorEastAsia" w:hAnsi="Cambria"/>
        </w:rPr>
        <w:t>, p.100387.</w:t>
      </w:r>
    </w:p>
    <w:p w14:paraId="1B633E7F" w14:textId="5ECDD5AA" w:rsidR="00942BC6" w:rsidRPr="009B605C" w:rsidRDefault="00942BC6" w:rsidP="00942BC6">
      <w:pPr>
        <w:spacing w:afterLines="80" w:after="192" w:line="276" w:lineRule="auto"/>
        <w:jc w:val="both"/>
        <w:rPr>
          <w:rFonts w:ascii="Cambria" w:eastAsiaTheme="minorEastAsia" w:hAnsi="Cambria"/>
        </w:rPr>
      </w:pPr>
      <w:r w:rsidRPr="009B605C">
        <w:rPr>
          <w:rFonts w:ascii="Cambria" w:eastAsiaTheme="minorEastAsia" w:hAnsi="Cambria"/>
        </w:rPr>
        <w:t xml:space="preserve">Carpenter, J.N. and Lynch, A.W., 1999. Survivorship bias and attrition effects in measures of performance persistence. </w:t>
      </w:r>
      <w:r w:rsidRPr="009B605C">
        <w:rPr>
          <w:rFonts w:ascii="Cambria" w:eastAsiaTheme="minorEastAsia" w:hAnsi="Cambria"/>
          <w:i/>
          <w:iCs/>
        </w:rPr>
        <w:t>Journal of Financial Economics</w:t>
      </w:r>
      <w:r w:rsidRPr="009B605C">
        <w:rPr>
          <w:rFonts w:ascii="Cambria" w:eastAsiaTheme="minorEastAsia" w:hAnsi="Cambria"/>
        </w:rPr>
        <w:t xml:space="preserve">, </w:t>
      </w:r>
      <w:r w:rsidRPr="009B605C">
        <w:rPr>
          <w:rFonts w:ascii="Cambria" w:eastAsiaTheme="minorEastAsia" w:hAnsi="Cambria"/>
          <w:i/>
          <w:iCs/>
        </w:rPr>
        <w:t>54</w:t>
      </w:r>
      <w:r w:rsidRPr="009B605C">
        <w:rPr>
          <w:rFonts w:ascii="Cambria" w:eastAsiaTheme="minorEastAsia" w:hAnsi="Cambria"/>
        </w:rPr>
        <w:t>(3), pp.337-374.</w:t>
      </w:r>
    </w:p>
    <w:p w14:paraId="0B4FB18F" w14:textId="69A6679F" w:rsidR="00075A7F" w:rsidRPr="009B605C" w:rsidRDefault="00075A7F" w:rsidP="00075A7F">
      <w:pPr>
        <w:spacing w:afterLines="80" w:after="192" w:line="276" w:lineRule="auto"/>
        <w:jc w:val="both"/>
        <w:rPr>
          <w:rFonts w:ascii="Cambria" w:eastAsiaTheme="minorEastAsia" w:hAnsi="Cambria"/>
        </w:rPr>
      </w:pPr>
      <w:r w:rsidRPr="009B605C">
        <w:rPr>
          <w:rFonts w:ascii="Cambria" w:eastAsiaTheme="minorEastAsia" w:hAnsi="Cambria"/>
        </w:rPr>
        <w:t xml:space="preserve">Chen, Y., Xu, J. and Hu, M., 2022. Asymmetric volatility spillovers and dynamic correlations between crude oil price, exchange rate and gold price in BRICS. </w:t>
      </w:r>
      <w:r w:rsidRPr="009B605C">
        <w:rPr>
          <w:rFonts w:ascii="Cambria" w:eastAsiaTheme="minorEastAsia" w:hAnsi="Cambria"/>
          <w:i/>
          <w:iCs/>
        </w:rPr>
        <w:t>Resources Policy</w:t>
      </w:r>
      <w:r w:rsidRPr="009B605C">
        <w:rPr>
          <w:rFonts w:ascii="Cambria" w:eastAsiaTheme="minorEastAsia" w:hAnsi="Cambria"/>
        </w:rPr>
        <w:t xml:space="preserve">, </w:t>
      </w:r>
      <w:r w:rsidRPr="009B605C">
        <w:rPr>
          <w:rFonts w:ascii="Cambria" w:eastAsiaTheme="minorEastAsia" w:hAnsi="Cambria"/>
          <w:i/>
          <w:iCs/>
        </w:rPr>
        <w:t>78</w:t>
      </w:r>
      <w:r w:rsidRPr="009B605C">
        <w:rPr>
          <w:rFonts w:ascii="Cambria" w:eastAsiaTheme="minorEastAsia" w:hAnsi="Cambria"/>
        </w:rPr>
        <w:t>, p.102857.</w:t>
      </w:r>
    </w:p>
    <w:p w14:paraId="734B139E"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Chibane, M. and Janson, N., 2024. Is Bitcoin the Best Safe Haven Against Geopolitical Risk?. </w:t>
      </w:r>
      <w:r w:rsidRPr="009B605C">
        <w:rPr>
          <w:rFonts w:ascii="Cambria" w:hAnsi="Cambria"/>
          <w:i/>
          <w:iCs/>
        </w:rPr>
        <w:t>Finance Research Letters</w:t>
      </w:r>
      <w:r w:rsidRPr="009B605C">
        <w:rPr>
          <w:rFonts w:ascii="Cambria" w:hAnsi="Cambria"/>
        </w:rPr>
        <w:t>, p.106543.</w:t>
      </w:r>
    </w:p>
    <w:p w14:paraId="223C81A5"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Conlon, T., Corbet, S. and McGee, R.J., 2020. Are cryptocurrencies a safe haven for equity markets? An international perspective from the COVID-19 pandemic. </w:t>
      </w:r>
      <w:r w:rsidRPr="009B605C">
        <w:rPr>
          <w:rFonts w:ascii="Cambria" w:hAnsi="Cambria"/>
          <w:i/>
          <w:iCs/>
        </w:rPr>
        <w:t>Research in International Business and Finance</w:t>
      </w:r>
      <w:r w:rsidRPr="009B605C">
        <w:rPr>
          <w:rFonts w:ascii="Cambria" w:hAnsi="Cambria"/>
        </w:rPr>
        <w:t xml:space="preserve">, </w:t>
      </w:r>
      <w:r w:rsidRPr="009B605C">
        <w:rPr>
          <w:rFonts w:ascii="Cambria" w:hAnsi="Cambria"/>
          <w:i/>
          <w:iCs/>
        </w:rPr>
        <w:t>54</w:t>
      </w:r>
      <w:r w:rsidRPr="009B605C">
        <w:rPr>
          <w:rFonts w:ascii="Cambria" w:hAnsi="Cambria"/>
        </w:rPr>
        <w:t>, p.101248.</w:t>
      </w:r>
    </w:p>
    <w:p w14:paraId="06466A7E"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Conlon, T., Corbet, S. and Oxley, L., 2024. Investor Sentiment, Unexpected Inflation, and Bitcoin Basis Risk. </w:t>
      </w:r>
      <w:r w:rsidRPr="009B605C">
        <w:rPr>
          <w:rFonts w:ascii="Cambria" w:eastAsiaTheme="minorEastAsia" w:hAnsi="Cambria"/>
          <w:i/>
          <w:iCs/>
          <w:lang w:eastAsia="zh-CN"/>
        </w:rPr>
        <w:t>Journal of Futures Markets</w:t>
      </w:r>
      <w:r w:rsidRPr="009B605C">
        <w:rPr>
          <w:rFonts w:ascii="Cambria" w:eastAsiaTheme="minorEastAsia" w:hAnsi="Cambria"/>
          <w:lang w:eastAsia="zh-CN"/>
        </w:rPr>
        <w:t xml:space="preserve">, </w:t>
      </w:r>
      <w:r w:rsidRPr="009B605C">
        <w:rPr>
          <w:rFonts w:ascii="Cambria" w:eastAsiaTheme="minorEastAsia" w:hAnsi="Cambria"/>
          <w:i/>
          <w:iCs/>
          <w:lang w:eastAsia="zh-CN"/>
        </w:rPr>
        <w:t>44</w:t>
      </w:r>
      <w:r w:rsidRPr="009B605C">
        <w:rPr>
          <w:rFonts w:ascii="Cambria" w:eastAsiaTheme="minorEastAsia" w:hAnsi="Cambria"/>
          <w:lang w:eastAsia="zh-CN"/>
        </w:rPr>
        <w:t>(11), pp.1807-1831.</w:t>
      </w:r>
    </w:p>
    <w:p w14:paraId="75C87EBE" w14:textId="575499A4" w:rsidR="009C5F3D" w:rsidRPr="009B605C" w:rsidRDefault="009C5F3D" w:rsidP="009C5F3D">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Corbet, S., </w:t>
      </w:r>
      <w:proofErr w:type="spellStart"/>
      <w:r w:rsidRPr="009B605C">
        <w:rPr>
          <w:rFonts w:ascii="Cambria" w:eastAsiaTheme="minorEastAsia" w:hAnsi="Cambria"/>
          <w:lang w:eastAsia="zh-CN"/>
        </w:rPr>
        <w:t>Katsiampa</w:t>
      </w:r>
      <w:proofErr w:type="spellEnd"/>
      <w:r w:rsidRPr="009B605C">
        <w:rPr>
          <w:rFonts w:ascii="Cambria" w:eastAsiaTheme="minorEastAsia" w:hAnsi="Cambria"/>
          <w:lang w:eastAsia="zh-CN"/>
        </w:rPr>
        <w:t xml:space="preserve">, P. and Lau, C.K.M., 2020. Measuring quantile dependence and testing directional predictability between Bitcoin, altcoins and traditional financial assets.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71</w:t>
      </w:r>
      <w:r w:rsidRPr="009B605C">
        <w:rPr>
          <w:rFonts w:ascii="Cambria" w:eastAsiaTheme="minorEastAsia" w:hAnsi="Cambria"/>
          <w:lang w:eastAsia="zh-CN"/>
        </w:rPr>
        <w:t>, p.101571.</w:t>
      </w:r>
    </w:p>
    <w:p w14:paraId="56700531"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Cui, J., </w:t>
      </w:r>
      <w:proofErr w:type="spellStart"/>
      <w:r w:rsidRPr="009B605C">
        <w:rPr>
          <w:rFonts w:ascii="Cambria" w:eastAsiaTheme="minorEastAsia" w:hAnsi="Cambria"/>
          <w:lang w:eastAsia="zh-CN"/>
        </w:rPr>
        <w:t>Maghyereh</w:t>
      </w:r>
      <w:proofErr w:type="spellEnd"/>
      <w:r w:rsidRPr="009B605C">
        <w:rPr>
          <w:rFonts w:ascii="Cambria" w:eastAsiaTheme="minorEastAsia" w:hAnsi="Cambria"/>
          <w:lang w:eastAsia="zh-CN"/>
        </w:rPr>
        <w:t xml:space="preserve">, A. and Liao, D., 2024. Risk connectedness between international oil and stock markets during the COVID-19 pandemic and the Russia-Ukraine conflict: Fresh evidence from the higher-order moments. </w:t>
      </w:r>
      <w:r w:rsidRPr="009B605C">
        <w:rPr>
          <w:rFonts w:ascii="Cambria" w:eastAsiaTheme="minorEastAsia" w:hAnsi="Cambria"/>
          <w:i/>
          <w:iCs/>
          <w:lang w:eastAsia="zh-CN"/>
        </w:rPr>
        <w:t>International Review of Economics &amp; Finance</w:t>
      </w:r>
      <w:r w:rsidRPr="009B605C">
        <w:rPr>
          <w:rFonts w:ascii="Cambria" w:eastAsiaTheme="minorEastAsia" w:hAnsi="Cambria"/>
          <w:lang w:eastAsia="zh-CN"/>
        </w:rPr>
        <w:t xml:space="preserve">, </w:t>
      </w:r>
      <w:r w:rsidRPr="009B605C">
        <w:rPr>
          <w:rFonts w:ascii="Cambria" w:eastAsiaTheme="minorEastAsia" w:hAnsi="Cambria"/>
          <w:i/>
          <w:iCs/>
          <w:lang w:eastAsia="zh-CN"/>
        </w:rPr>
        <w:t>95</w:t>
      </w:r>
      <w:r w:rsidRPr="009B605C">
        <w:rPr>
          <w:rFonts w:ascii="Cambria" w:eastAsiaTheme="minorEastAsia" w:hAnsi="Cambria"/>
          <w:lang w:eastAsia="zh-CN"/>
        </w:rPr>
        <w:t>, p.103470.</w:t>
      </w:r>
    </w:p>
    <w:p w14:paraId="0AC98C53" w14:textId="7B42F995" w:rsidR="00683284" w:rsidRPr="009B605C" w:rsidRDefault="008B1BBA" w:rsidP="008B1BBA">
      <w:pPr>
        <w:spacing w:line="276" w:lineRule="auto"/>
        <w:jc w:val="both"/>
        <w:rPr>
          <w:rFonts w:ascii="Cambria" w:hAnsi="Cambria"/>
        </w:rPr>
      </w:pPr>
      <w:r w:rsidRPr="009B605C">
        <w:rPr>
          <w:rFonts w:ascii="Cambria" w:hAnsi="Cambria"/>
        </w:rPr>
        <w:t xml:space="preserve">Cumming, D.J., Johan, S. and Pant, A., 2019. Regulation of the crypto-economy: Managing risks, challenges, and regulatory uncertainty. </w:t>
      </w:r>
      <w:r w:rsidRPr="009B605C">
        <w:rPr>
          <w:rFonts w:ascii="Cambria" w:hAnsi="Cambria"/>
          <w:i/>
          <w:iCs/>
        </w:rPr>
        <w:t>Journal of Risk and Financial Management</w:t>
      </w:r>
      <w:r w:rsidRPr="009B605C">
        <w:rPr>
          <w:rFonts w:ascii="Cambria" w:hAnsi="Cambria"/>
        </w:rPr>
        <w:t xml:space="preserve">, </w:t>
      </w:r>
      <w:r w:rsidRPr="009B605C">
        <w:rPr>
          <w:rFonts w:ascii="Cambria" w:hAnsi="Cambria"/>
          <w:i/>
          <w:iCs/>
        </w:rPr>
        <w:t>12</w:t>
      </w:r>
      <w:r w:rsidRPr="009B605C">
        <w:rPr>
          <w:rFonts w:ascii="Cambria" w:hAnsi="Cambria"/>
        </w:rPr>
        <w:t>(3), p.126.</w:t>
      </w:r>
    </w:p>
    <w:p w14:paraId="488FE289" w14:textId="4DB9D970" w:rsidR="00683284" w:rsidRPr="009B605C" w:rsidRDefault="00683284" w:rsidP="00A04325">
      <w:pPr>
        <w:pStyle w:val="NormalWeb"/>
        <w:spacing w:line="276" w:lineRule="auto"/>
        <w:jc w:val="both"/>
        <w:rPr>
          <w:rFonts w:ascii="Cambria" w:hAnsi="Cambria"/>
        </w:rPr>
      </w:pPr>
      <w:r w:rsidRPr="009B605C">
        <w:rPr>
          <w:rFonts w:ascii="Cambria" w:hAnsi="Cambria"/>
        </w:rPr>
        <w:lastRenderedPageBreak/>
        <w:t xml:space="preserve">Dahir, A.M., Mahat, F., Amin Noordin, B.A. and Hisyam Ab Razak, N., 2020. Dynamic connectedness between Bitcoin and equity market information across BRICS countries: Evidence from TVP-VAR connectedness approach. </w:t>
      </w:r>
      <w:r w:rsidRPr="009B605C">
        <w:rPr>
          <w:rFonts w:ascii="Cambria" w:hAnsi="Cambria"/>
          <w:i/>
          <w:iCs/>
        </w:rPr>
        <w:t>International Journal of Managerial Finance</w:t>
      </w:r>
      <w:r w:rsidRPr="009B605C">
        <w:rPr>
          <w:rFonts w:ascii="Cambria" w:hAnsi="Cambria"/>
        </w:rPr>
        <w:t xml:space="preserve">, </w:t>
      </w:r>
      <w:r w:rsidRPr="009B605C">
        <w:rPr>
          <w:rFonts w:ascii="Cambria" w:hAnsi="Cambria"/>
          <w:i/>
          <w:iCs/>
        </w:rPr>
        <w:t>16</w:t>
      </w:r>
      <w:r w:rsidRPr="009B605C">
        <w:rPr>
          <w:rFonts w:ascii="Cambria" w:hAnsi="Cambria"/>
        </w:rPr>
        <w:t>(3), pp.357-371.</w:t>
      </w:r>
    </w:p>
    <w:p w14:paraId="340F0B50" w14:textId="76127EA8" w:rsidR="008B1BBA" w:rsidRPr="009B605C" w:rsidRDefault="00683284" w:rsidP="00A04325">
      <w:pPr>
        <w:pStyle w:val="NormalWeb"/>
        <w:spacing w:line="276" w:lineRule="auto"/>
        <w:jc w:val="both"/>
        <w:rPr>
          <w:rFonts w:ascii="Cambria" w:hAnsi="Cambria"/>
        </w:rPr>
      </w:pPr>
      <w:r w:rsidRPr="009B605C">
        <w:rPr>
          <w:rFonts w:ascii="Cambria" w:hAnsi="Cambria"/>
        </w:rPr>
        <w:t xml:space="preserve">Dash, A.K., Mishra, A., Tomar, R. and Hota, L., 2024. Investigating the dynamic relationship of the Indian stock market with global crude oil and Bitcoin price movement. </w:t>
      </w:r>
      <w:r w:rsidRPr="009B605C">
        <w:rPr>
          <w:rFonts w:ascii="Cambria" w:hAnsi="Cambria"/>
          <w:i/>
          <w:iCs/>
        </w:rPr>
        <w:t>International Journal of Monetary Economics and Finance</w:t>
      </w:r>
      <w:r w:rsidRPr="009B605C">
        <w:rPr>
          <w:rFonts w:ascii="Cambria" w:hAnsi="Cambria"/>
        </w:rPr>
        <w:t xml:space="preserve">, </w:t>
      </w:r>
      <w:r w:rsidRPr="009B605C">
        <w:rPr>
          <w:rFonts w:ascii="Cambria" w:hAnsi="Cambria"/>
          <w:i/>
          <w:iCs/>
        </w:rPr>
        <w:t>17</w:t>
      </w:r>
      <w:r w:rsidRPr="009B605C">
        <w:rPr>
          <w:rFonts w:ascii="Cambria" w:hAnsi="Cambria"/>
        </w:rPr>
        <w:t>(6), pp.469-488.</w:t>
      </w:r>
    </w:p>
    <w:p w14:paraId="22840317"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Dickey, D.A. and Fuller, W.A., 1979. Distribution of the estimators for autoregressive time series with a unit root. </w:t>
      </w:r>
      <w:r w:rsidRPr="009B605C">
        <w:rPr>
          <w:rFonts w:ascii="Cambria" w:eastAsiaTheme="minorEastAsia" w:hAnsi="Cambria"/>
          <w:i/>
          <w:iCs/>
        </w:rPr>
        <w:t>Journal of the American statistical association</w:t>
      </w:r>
      <w:r w:rsidRPr="009B605C">
        <w:rPr>
          <w:rFonts w:ascii="Cambria" w:eastAsiaTheme="minorEastAsia" w:hAnsi="Cambria"/>
        </w:rPr>
        <w:t xml:space="preserve">, </w:t>
      </w:r>
      <w:r w:rsidRPr="009B605C">
        <w:rPr>
          <w:rFonts w:ascii="Cambria" w:eastAsiaTheme="minorEastAsia" w:hAnsi="Cambria"/>
          <w:i/>
          <w:iCs/>
        </w:rPr>
        <w:t>74</w:t>
      </w:r>
      <w:r w:rsidRPr="009B605C">
        <w:rPr>
          <w:rFonts w:ascii="Cambria" w:eastAsiaTheme="minorEastAsia" w:hAnsi="Cambria"/>
        </w:rPr>
        <w:t>(366a), pp.427-431.</w:t>
      </w:r>
    </w:p>
    <w:p w14:paraId="3D775E79"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Diebold, F.X. and Yilmaz, K., 2012. Better to give than to receive: Predictive directional measurement of volatility spillovers. </w:t>
      </w:r>
      <w:r w:rsidRPr="009B605C">
        <w:rPr>
          <w:rFonts w:ascii="Cambria" w:hAnsi="Cambria"/>
          <w:i/>
          <w:iCs/>
        </w:rPr>
        <w:t>International Journal of Forecasting</w:t>
      </w:r>
      <w:r w:rsidRPr="009B605C">
        <w:rPr>
          <w:rFonts w:ascii="Cambria" w:hAnsi="Cambria"/>
        </w:rPr>
        <w:t xml:space="preserve">, </w:t>
      </w:r>
      <w:r w:rsidRPr="009B605C">
        <w:rPr>
          <w:rFonts w:ascii="Cambria" w:hAnsi="Cambria"/>
          <w:i/>
          <w:iCs/>
        </w:rPr>
        <w:t>28</w:t>
      </w:r>
      <w:r w:rsidRPr="009B605C">
        <w:rPr>
          <w:rFonts w:ascii="Cambria" w:hAnsi="Cambria"/>
        </w:rPr>
        <w:t>(1), pp.57-66.</w:t>
      </w:r>
    </w:p>
    <w:p w14:paraId="27702EFC"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Diebold, F.X. and Yılmaz, K., 2014. On the network topology of variance decompositions: Measuring the connectedness of financial firms. </w:t>
      </w:r>
      <w:r w:rsidRPr="009B605C">
        <w:rPr>
          <w:rFonts w:ascii="Cambria" w:hAnsi="Cambria"/>
          <w:i/>
          <w:iCs/>
        </w:rPr>
        <w:t>Journal of Econometrics</w:t>
      </w:r>
      <w:r w:rsidRPr="009B605C">
        <w:rPr>
          <w:rFonts w:ascii="Cambria" w:hAnsi="Cambria"/>
        </w:rPr>
        <w:t xml:space="preserve">, </w:t>
      </w:r>
      <w:r w:rsidRPr="009B605C">
        <w:rPr>
          <w:rFonts w:ascii="Cambria" w:hAnsi="Cambria"/>
          <w:i/>
          <w:iCs/>
        </w:rPr>
        <w:t>182</w:t>
      </w:r>
      <w:r w:rsidRPr="009B605C">
        <w:rPr>
          <w:rFonts w:ascii="Cambria" w:hAnsi="Cambria"/>
        </w:rPr>
        <w:t>(1), pp.119-134.</w:t>
      </w:r>
    </w:p>
    <w:p w14:paraId="15C74A06"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Duan, K., Zhao, Y., Urquhart, A. and Huang, Y., 2023. Do clean and dirty cryptocurrencies connect with financial assets differently? The role of economic policy uncertainty. </w:t>
      </w:r>
      <w:r w:rsidRPr="009B605C">
        <w:rPr>
          <w:rFonts w:ascii="Cambria" w:eastAsiaTheme="minorEastAsia" w:hAnsi="Cambria"/>
          <w:i/>
          <w:iCs/>
          <w:lang w:eastAsia="zh-CN"/>
        </w:rPr>
        <w:t>Energy Economics</w:t>
      </w:r>
      <w:r w:rsidRPr="009B605C">
        <w:rPr>
          <w:rFonts w:ascii="Cambria" w:eastAsiaTheme="minorEastAsia" w:hAnsi="Cambria"/>
          <w:lang w:eastAsia="zh-CN"/>
        </w:rPr>
        <w:t xml:space="preserve">, </w:t>
      </w:r>
      <w:r w:rsidRPr="009B605C">
        <w:rPr>
          <w:rFonts w:ascii="Cambria" w:eastAsiaTheme="minorEastAsia" w:hAnsi="Cambria"/>
          <w:i/>
          <w:iCs/>
          <w:lang w:eastAsia="zh-CN"/>
        </w:rPr>
        <w:t>127</w:t>
      </w:r>
      <w:r w:rsidRPr="009B605C">
        <w:rPr>
          <w:rFonts w:ascii="Cambria" w:eastAsiaTheme="minorEastAsia" w:hAnsi="Cambria"/>
          <w:lang w:eastAsia="zh-CN"/>
        </w:rPr>
        <w:t>, p.107079.</w:t>
      </w:r>
    </w:p>
    <w:p w14:paraId="196F7ECE" w14:textId="77777777"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t>Ederington</w:t>
      </w:r>
      <w:proofErr w:type="spellEnd"/>
      <w:r w:rsidRPr="009B605C">
        <w:rPr>
          <w:rFonts w:ascii="Cambria" w:hAnsi="Cambria"/>
        </w:rPr>
        <w:t xml:space="preserve">, L.H., 1979. The hedging performance of the new futures markets. </w:t>
      </w:r>
      <w:r w:rsidRPr="009B605C">
        <w:rPr>
          <w:rFonts w:ascii="Cambria" w:hAnsi="Cambria"/>
          <w:i/>
          <w:iCs/>
        </w:rPr>
        <w:t>The Journal of Finance</w:t>
      </w:r>
      <w:r w:rsidRPr="009B605C">
        <w:rPr>
          <w:rFonts w:ascii="Cambria" w:hAnsi="Cambria"/>
        </w:rPr>
        <w:t xml:space="preserve">, </w:t>
      </w:r>
      <w:r w:rsidRPr="009B605C">
        <w:rPr>
          <w:rFonts w:ascii="Cambria" w:hAnsi="Cambria"/>
          <w:i/>
          <w:iCs/>
        </w:rPr>
        <w:t>34</w:t>
      </w:r>
      <w:r w:rsidRPr="009B605C">
        <w:rPr>
          <w:rFonts w:ascii="Cambria" w:hAnsi="Cambria"/>
        </w:rPr>
        <w:t>(1), pp.157-170.</w:t>
      </w:r>
    </w:p>
    <w:p w14:paraId="65606845"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Enders, W. and Lee, J., 2012. A unit root test using a Fourier series to approximate smooth breaks. </w:t>
      </w:r>
      <w:r w:rsidRPr="009B605C">
        <w:rPr>
          <w:rFonts w:ascii="Cambria" w:eastAsiaTheme="minorEastAsia" w:hAnsi="Cambria"/>
          <w:i/>
          <w:iCs/>
        </w:rPr>
        <w:t>Oxford bulletin of Economics and Statistics</w:t>
      </w:r>
      <w:r w:rsidRPr="009B605C">
        <w:rPr>
          <w:rFonts w:ascii="Cambria" w:eastAsiaTheme="minorEastAsia" w:hAnsi="Cambria"/>
        </w:rPr>
        <w:t xml:space="preserve">, </w:t>
      </w:r>
      <w:r w:rsidRPr="009B605C">
        <w:rPr>
          <w:rFonts w:ascii="Cambria" w:eastAsiaTheme="minorEastAsia" w:hAnsi="Cambria"/>
          <w:i/>
          <w:iCs/>
        </w:rPr>
        <w:t>74</w:t>
      </w:r>
      <w:r w:rsidRPr="009B605C">
        <w:rPr>
          <w:rFonts w:ascii="Cambria" w:eastAsiaTheme="minorEastAsia" w:hAnsi="Cambria"/>
        </w:rPr>
        <w:t>(4), pp.574-599.</w:t>
      </w:r>
    </w:p>
    <w:p w14:paraId="3E8D0B30"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Enilov, M. and Mishra, T., 2023. Gold and the herd of Cryptos: Saving oil in blurry times. </w:t>
      </w:r>
      <w:r w:rsidRPr="009B605C">
        <w:rPr>
          <w:rFonts w:ascii="Cambria" w:hAnsi="Cambria"/>
          <w:i/>
          <w:iCs/>
        </w:rPr>
        <w:t>Energy Economics</w:t>
      </w:r>
      <w:r w:rsidRPr="009B605C">
        <w:rPr>
          <w:rFonts w:ascii="Cambria" w:hAnsi="Cambria"/>
        </w:rPr>
        <w:t xml:space="preserve">, </w:t>
      </w:r>
      <w:r w:rsidRPr="009B605C">
        <w:rPr>
          <w:rFonts w:ascii="Cambria" w:hAnsi="Cambria"/>
          <w:i/>
          <w:iCs/>
        </w:rPr>
        <w:t>122</w:t>
      </w:r>
      <w:r w:rsidRPr="009B605C">
        <w:rPr>
          <w:rFonts w:ascii="Cambria" w:hAnsi="Cambria"/>
        </w:rPr>
        <w:t>, p.106690.</w:t>
      </w:r>
    </w:p>
    <w:p w14:paraId="43F30E66"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Enilov, M., Mensi, W. and Stankov, P., 2023. Does safe haven exist? Tail risks of commodity markets during COVID-19 pandemic. </w:t>
      </w:r>
      <w:r w:rsidRPr="009B605C">
        <w:rPr>
          <w:rFonts w:ascii="Cambria" w:eastAsiaTheme="minorEastAsia" w:hAnsi="Cambria"/>
          <w:i/>
          <w:iCs/>
          <w:lang w:eastAsia="zh-CN"/>
        </w:rPr>
        <w:t>Journal of Commodity Markets</w:t>
      </w:r>
      <w:r w:rsidRPr="009B605C">
        <w:rPr>
          <w:rFonts w:ascii="Cambria" w:eastAsiaTheme="minorEastAsia" w:hAnsi="Cambria"/>
          <w:lang w:eastAsia="zh-CN"/>
        </w:rPr>
        <w:t xml:space="preserve">, </w:t>
      </w:r>
      <w:r w:rsidRPr="009B605C">
        <w:rPr>
          <w:rFonts w:ascii="Cambria" w:eastAsiaTheme="minorEastAsia" w:hAnsi="Cambria"/>
          <w:i/>
          <w:iCs/>
          <w:lang w:eastAsia="zh-CN"/>
        </w:rPr>
        <w:t>29</w:t>
      </w:r>
      <w:r w:rsidRPr="009B605C">
        <w:rPr>
          <w:rFonts w:ascii="Cambria" w:eastAsiaTheme="minorEastAsia" w:hAnsi="Cambria"/>
          <w:lang w:eastAsia="zh-CN"/>
        </w:rPr>
        <w:t>, p.100307.</w:t>
      </w:r>
    </w:p>
    <w:p w14:paraId="5E7C305A"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Eun, C.S., Huang, W. and Lai, S., 2008. International diversification with large-and small-cap stocks. </w:t>
      </w:r>
      <w:r w:rsidRPr="009B605C">
        <w:rPr>
          <w:rFonts w:ascii="Cambria" w:eastAsiaTheme="minorEastAsia" w:hAnsi="Cambria"/>
          <w:i/>
          <w:iCs/>
          <w:lang w:eastAsia="zh-CN"/>
        </w:rPr>
        <w:t>Journal of Financial and Quantitative Analysis</w:t>
      </w:r>
      <w:r w:rsidRPr="009B605C">
        <w:rPr>
          <w:rFonts w:ascii="Cambria" w:eastAsiaTheme="minorEastAsia" w:hAnsi="Cambria"/>
          <w:lang w:eastAsia="zh-CN"/>
        </w:rPr>
        <w:t xml:space="preserve">, </w:t>
      </w:r>
      <w:r w:rsidRPr="009B605C">
        <w:rPr>
          <w:rFonts w:ascii="Cambria" w:eastAsiaTheme="minorEastAsia" w:hAnsi="Cambria"/>
          <w:i/>
          <w:iCs/>
          <w:lang w:eastAsia="zh-CN"/>
        </w:rPr>
        <w:t>43</w:t>
      </w:r>
      <w:r w:rsidRPr="009B605C">
        <w:rPr>
          <w:rFonts w:ascii="Cambria" w:eastAsiaTheme="minorEastAsia" w:hAnsi="Cambria"/>
          <w:lang w:eastAsia="zh-CN"/>
        </w:rPr>
        <w:t>(2), pp.489-524.</w:t>
      </w:r>
    </w:p>
    <w:p w14:paraId="288394AF" w14:textId="5D22593F" w:rsidR="008B1BBA" w:rsidRPr="009B605C" w:rsidRDefault="008B1BBA" w:rsidP="00A04325">
      <w:pPr>
        <w:spacing w:line="360" w:lineRule="auto"/>
        <w:jc w:val="both"/>
        <w:rPr>
          <w:rFonts w:ascii="Cambria" w:hAnsi="Cambria"/>
        </w:rPr>
      </w:pPr>
      <w:r w:rsidRPr="009B605C">
        <w:rPr>
          <w:rFonts w:ascii="Cambria" w:hAnsi="Cambria"/>
        </w:rPr>
        <w:t xml:space="preserve">Fang, F., </w:t>
      </w:r>
      <w:proofErr w:type="spellStart"/>
      <w:r w:rsidRPr="009B605C">
        <w:rPr>
          <w:rFonts w:ascii="Cambria" w:hAnsi="Cambria"/>
        </w:rPr>
        <w:t>Ventre</w:t>
      </w:r>
      <w:proofErr w:type="spellEnd"/>
      <w:r w:rsidRPr="009B605C">
        <w:rPr>
          <w:rFonts w:ascii="Cambria" w:hAnsi="Cambria"/>
        </w:rPr>
        <w:t xml:space="preserve">, C., </w:t>
      </w:r>
      <w:proofErr w:type="spellStart"/>
      <w:r w:rsidRPr="009B605C">
        <w:rPr>
          <w:rFonts w:ascii="Cambria" w:hAnsi="Cambria"/>
        </w:rPr>
        <w:t>Basios</w:t>
      </w:r>
      <w:proofErr w:type="spellEnd"/>
      <w:r w:rsidRPr="009B605C">
        <w:rPr>
          <w:rFonts w:ascii="Cambria" w:hAnsi="Cambria"/>
        </w:rPr>
        <w:t xml:space="preserve">, M., Kanthan, L., Martinez-Rego, D., Wu, F. and Li, L., 2022. Cryptocurrency trading: a comprehensive survey. </w:t>
      </w:r>
      <w:r w:rsidRPr="009B605C">
        <w:rPr>
          <w:rFonts w:ascii="Cambria" w:hAnsi="Cambria"/>
          <w:i/>
          <w:iCs/>
        </w:rPr>
        <w:t>Financial Innovation</w:t>
      </w:r>
      <w:r w:rsidRPr="009B605C">
        <w:rPr>
          <w:rFonts w:ascii="Cambria" w:hAnsi="Cambria"/>
        </w:rPr>
        <w:t xml:space="preserve">, </w:t>
      </w:r>
      <w:r w:rsidRPr="009B605C">
        <w:rPr>
          <w:rFonts w:ascii="Cambria" w:hAnsi="Cambria"/>
          <w:i/>
          <w:iCs/>
        </w:rPr>
        <w:t>8</w:t>
      </w:r>
      <w:r w:rsidRPr="009B605C">
        <w:rPr>
          <w:rFonts w:ascii="Cambria" w:hAnsi="Cambria"/>
        </w:rPr>
        <w:t>(1), p.13.</w:t>
      </w:r>
    </w:p>
    <w:p w14:paraId="5D57C99B"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Farid, S., Naeem, M.A., Paltrinieri, A. and Nepal, R., 2022. Impact of COVID-19 on the quantile connectedness between energy, metals and agriculture commodities. </w:t>
      </w:r>
      <w:r w:rsidRPr="009B605C">
        <w:rPr>
          <w:rFonts w:ascii="Cambria" w:hAnsi="Cambria"/>
          <w:i/>
          <w:iCs/>
        </w:rPr>
        <w:t>Energy Economics</w:t>
      </w:r>
      <w:r w:rsidRPr="009B605C">
        <w:rPr>
          <w:rFonts w:ascii="Cambria" w:hAnsi="Cambria"/>
        </w:rPr>
        <w:t xml:space="preserve">, </w:t>
      </w:r>
      <w:r w:rsidRPr="009B605C">
        <w:rPr>
          <w:rFonts w:ascii="Cambria" w:hAnsi="Cambria"/>
          <w:i/>
          <w:iCs/>
        </w:rPr>
        <w:t>109</w:t>
      </w:r>
      <w:r w:rsidRPr="009B605C">
        <w:rPr>
          <w:rFonts w:ascii="Cambria" w:hAnsi="Cambria"/>
        </w:rPr>
        <w:t>, p.105962.</w:t>
      </w:r>
    </w:p>
    <w:p w14:paraId="59CB70F9" w14:textId="5D9FEB19" w:rsidR="008B1BBA" w:rsidRPr="009B605C" w:rsidRDefault="008B1BBA" w:rsidP="008B1BBA">
      <w:pPr>
        <w:spacing w:line="276" w:lineRule="auto"/>
        <w:jc w:val="both"/>
        <w:rPr>
          <w:rFonts w:ascii="Cambria" w:hAnsi="Cambria"/>
        </w:rPr>
      </w:pPr>
      <w:r w:rsidRPr="009B605C">
        <w:rPr>
          <w:rFonts w:ascii="Cambria" w:hAnsi="Cambria"/>
        </w:rPr>
        <w:lastRenderedPageBreak/>
        <w:t xml:space="preserve">Gemayel, R. and </w:t>
      </w:r>
      <w:proofErr w:type="spellStart"/>
      <w:r w:rsidRPr="009B605C">
        <w:rPr>
          <w:rFonts w:ascii="Cambria" w:hAnsi="Cambria"/>
        </w:rPr>
        <w:t>Preda</w:t>
      </w:r>
      <w:proofErr w:type="spellEnd"/>
      <w:r w:rsidRPr="009B605C">
        <w:rPr>
          <w:rFonts w:ascii="Cambria" w:hAnsi="Cambria"/>
        </w:rPr>
        <w:t xml:space="preserve">, A., 2021. Performance and learning in an ambiguous environment: A study of cryptocurrency traders.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77</w:t>
      </w:r>
      <w:r w:rsidRPr="009B605C">
        <w:rPr>
          <w:rFonts w:ascii="Cambria" w:hAnsi="Cambria"/>
        </w:rPr>
        <w:t>, p.101847.</w:t>
      </w:r>
    </w:p>
    <w:p w14:paraId="63F9C47C" w14:textId="77777777" w:rsidR="008B1BBA" w:rsidRPr="009B605C" w:rsidRDefault="008B1BBA" w:rsidP="00A04325">
      <w:pPr>
        <w:spacing w:line="276" w:lineRule="auto"/>
        <w:jc w:val="both"/>
        <w:rPr>
          <w:rFonts w:ascii="Cambria" w:hAnsi="Cambria"/>
        </w:rPr>
      </w:pPr>
    </w:p>
    <w:p w14:paraId="0BDE2224" w14:textId="77777777" w:rsidR="003E6CF1" w:rsidRPr="009B605C" w:rsidRDefault="003E6CF1" w:rsidP="0087752F">
      <w:pPr>
        <w:spacing w:afterLines="80" w:after="192" w:line="276" w:lineRule="auto"/>
        <w:jc w:val="both"/>
        <w:rPr>
          <w:rFonts w:ascii="Cambria" w:eastAsiaTheme="minorEastAsia" w:hAnsi="Cambria"/>
          <w:lang w:eastAsia="zh-CN"/>
        </w:rPr>
      </w:pPr>
      <w:proofErr w:type="spellStart"/>
      <w:r w:rsidRPr="009B605C">
        <w:rPr>
          <w:rFonts w:ascii="Cambria" w:eastAsiaTheme="minorEastAsia" w:hAnsi="Cambria"/>
          <w:lang w:eastAsia="zh-CN"/>
        </w:rPr>
        <w:t>Gökgöz</w:t>
      </w:r>
      <w:proofErr w:type="spellEnd"/>
      <w:r w:rsidRPr="009B605C">
        <w:rPr>
          <w:rFonts w:ascii="Cambria" w:eastAsiaTheme="minorEastAsia" w:hAnsi="Cambria"/>
          <w:lang w:eastAsia="zh-CN"/>
        </w:rPr>
        <w:t xml:space="preserve">, H., Ben Salem, S., Bejaoui, A. and </w:t>
      </w:r>
      <w:proofErr w:type="spellStart"/>
      <w:r w:rsidRPr="009B605C">
        <w:rPr>
          <w:rFonts w:ascii="Cambria" w:eastAsiaTheme="minorEastAsia" w:hAnsi="Cambria"/>
          <w:lang w:eastAsia="zh-CN"/>
        </w:rPr>
        <w:t>Jeribi</w:t>
      </w:r>
      <w:proofErr w:type="spellEnd"/>
      <w:r w:rsidRPr="009B605C">
        <w:rPr>
          <w:rFonts w:ascii="Cambria" w:eastAsiaTheme="minorEastAsia" w:hAnsi="Cambria"/>
          <w:lang w:eastAsia="zh-CN"/>
        </w:rPr>
        <w:t xml:space="preserve">, A., 2024. Connectedness Structure and Volatility Dynamics Between BRICS Markets and International Volatility Indices: An Investigation. </w:t>
      </w:r>
      <w:r w:rsidRPr="009B605C">
        <w:rPr>
          <w:rFonts w:ascii="Cambria" w:eastAsiaTheme="minorEastAsia" w:hAnsi="Cambria"/>
          <w:i/>
          <w:iCs/>
          <w:lang w:eastAsia="zh-CN"/>
        </w:rPr>
        <w:t>International Journal of Finance &amp; Economics</w:t>
      </w:r>
      <w:r w:rsidRPr="009B605C">
        <w:rPr>
          <w:rFonts w:ascii="Cambria" w:eastAsiaTheme="minorEastAsia" w:hAnsi="Cambria"/>
          <w:lang w:eastAsia="zh-CN"/>
        </w:rPr>
        <w:t>.</w:t>
      </w:r>
    </w:p>
    <w:p w14:paraId="63D088F5"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Gunay, S., </w:t>
      </w:r>
      <w:proofErr w:type="spellStart"/>
      <w:r w:rsidRPr="009B605C">
        <w:rPr>
          <w:rFonts w:ascii="Cambria" w:eastAsiaTheme="minorEastAsia" w:hAnsi="Cambria"/>
          <w:lang w:eastAsia="zh-CN"/>
        </w:rPr>
        <w:t>Kirimhan</w:t>
      </w:r>
      <w:proofErr w:type="spellEnd"/>
      <w:r w:rsidRPr="009B605C">
        <w:rPr>
          <w:rFonts w:ascii="Cambria" w:eastAsiaTheme="minorEastAsia" w:hAnsi="Cambria"/>
          <w:lang w:eastAsia="zh-CN"/>
        </w:rPr>
        <w:t xml:space="preserve">, D. and </w:t>
      </w:r>
      <w:proofErr w:type="spellStart"/>
      <w:r w:rsidRPr="009B605C">
        <w:rPr>
          <w:rFonts w:ascii="Cambria" w:eastAsiaTheme="minorEastAsia" w:hAnsi="Cambria"/>
          <w:lang w:eastAsia="zh-CN"/>
        </w:rPr>
        <w:t>Cevik</w:t>
      </w:r>
      <w:proofErr w:type="spellEnd"/>
      <w:r w:rsidRPr="009B605C">
        <w:rPr>
          <w:rFonts w:ascii="Cambria" w:eastAsiaTheme="minorEastAsia" w:hAnsi="Cambria"/>
          <w:lang w:eastAsia="zh-CN"/>
        </w:rPr>
        <w:t xml:space="preserve">, E.I., 2024. Commodity market downturn: Systemic risk and spillovers during left tail events. </w:t>
      </w:r>
      <w:r w:rsidRPr="009B605C">
        <w:rPr>
          <w:rFonts w:ascii="Cambria" w:eastAsiaTheme="minorEastAsia" w:hAnsi="Cambria"/>
          <w:i/>
          <w:iCs/>
          <w:lang w:eastAsia="zh-CN"/>
        </w:rPr>
        <w:t>Journal of Commodity Markets</w:t>
      </w:r>
      <w:r w:rsidRPr="009B605C">
        <w:rPr>
          <w:rFonts w:ascii="Cambria" w:eastAsiaTheme="minorEastAsia" w:hAnsi="Cambria"/>
          <w:lang w:eastAsia="zh-CN"/>
        </w:rPr>
        <w:t xml:space="preserve">, </w:t>
      </w:r>
      <w:r w:rsidRPr="009B605C">
        <w:rPr>
          <w:rFonts w:ascii="Cambria" w:eastAsiaTheme="minorEastAsia" w:hAnsi="Cambria"/>
          <w:i/>
          <w:iCs/>
          <w:lang w:eastAsia="zh-CN"/>
        </w:rPr>
        <w:t>36</w:t>
      </w:r>
      <w:r w:rsidRPr="009B605C">
        <w:rPr>
          <w:rFonts w:ascii="Cambria" w:eastAsiaTheme="minorEastAsia" w:hAnsi="Cambria"/>
          <w:lang w:eastAsia="zh-CN"/>
        </w:rPr>
        <w:t>, p.100445.</w:t>
      </w:r>
    </w:p>
    <w:p w14:paraId="5222FC97"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Harris, R.D., </w:t>
      </w:r>
      <w:proofErr w:type="spellStart"/>
      <w:r w:rsidRPr="009B605C">
        <w:rPr>
          <w:rFonts w:ascii="Cambria" w:hAnsi="Cambria"/>
        </w:rPr>
        <w:t>Mazibas</w:t>
      </w:r>
      <w:proofErr w:type="spellEnd"/>
      <w:r w:rsidRPr="009B605C">
        <w:rPr>
          <w:rFonts w:ascii="Cambria" w:hAnsi="Cambria"/>
        </w:rPr>
        <w:t xml:space="preserve">, M. and </w:t>
      </w:r>
      <w:proofErr w:type="spellStart"/>
      <w:r w:rsidRPr="009B605C">
        <w:rPr>
          <w:rFonts w:ascii="Cambria" w:hAnsi="Cambria"/>
        </w:rPr>
        <w:t>Rambaccussing</w:t>
      </w:r>
      <w:proofErr w:type="spellEnd"/>
      <w:r w:rsidRPr="009B605C">
        <w:rPr>
          <w:rFonts w:ascii="Cambria" w:hAnsi="Cambria"/>
        </w:rPr>
        <w:t xml:space="preserve">, D., 2024. Bitcoin replication using machine learning.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93</w:t>
      </w:r>
      <w:r w:rsidRPr="009B605C">
        <w:rPr>
          <w:rFonts w:ascii="Cambria" w:hAnsi="Cambria"/>
        </w:rPr>
        <w:t>, p.103207.</w:t>
      </w:r>
    </w:p>
    <w:p w14:paraId="234101AD"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He, Z., O'Connor, F. and </w:t>
      </w:r>
      <w:proofErr w:type="spellStart"/>
      <w:r w:rsidRPr="009B605C">
        <w:rPr>
          <w:rFonts w:ascii="Cambria" w:hAnsi="Cambria"/>
        </w:rPr>
        <w:t>Thijssen</w:t>
      </w:r>
      <w:proofErr w:type="spellEnd"/>
      <w:r w:rsidRPr="009B605C">
        <w:rPr>
          <w:rFonts w:ascii="Cambria" w:hAnsi="Cambria"/>
        </w:rPr>
        <w:t xml:space="preserve">, J., 2018. Is gold a Sometime Safe Haven or an Always Hedge for equity investors? A Markov-Switching CAPM approach for US and UK stock indices.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60</w:t>
      </w:r>
      <w:r w:rsidRPr="009B605C">
        <w:rPr>
          <w:rFonts w:ascii="Cambria" w:hAnsi="Cambria"/>
        </w:rPr>
        <w:t>, pp.30-37.</w:t>
      </w:r>
    </w:p>
    <w:p w14:paraId="0FEA1501"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Hood, M. and Malik, F., 2013. Is gold the best hedge and a safe haven under changing stock market volatility?. </w:t>
      </w:r>
      <w:r w:rsidRPr="009B605C">
        <w:rPr>
          <w:rFonts w:ascii="Cambria" w:hAnsi="Cambria"/>
          <w:i/>
          <w:iCs/>
        </w:rPr>
        <w:t>Review of Financial Economics</w:t>
      </w:r>
      <w:r w:rsidRPr="009B605C">
        <w:rPr>
          <w:rFonts w:ascii="Cambria" w:hAnsi="Cambria"/>
        </w:rPr>
        <w:t xml:space="preserve">, </w:t>
      </w:r>
      <w:r w:rsidRPr="009B605C">
        <w:rPr>
          <w:rFonts w:ascii="Cambria" w:hAnsi="Cambria"/>
          <w:i/>
          <w:iCs/>
        </w:rPr>
        <w:t>22</w:t>
      </w:r>
      <w:r w:rsidRPr="009B605C">
        <w:rPr>
          <w:rFonts w:ascii="Cambria" w:hAnsi="Cambria"/>
        </w:rPr>
        <w:t>(2), pp.47-52.</w:t>
      </w:r>
    </w:p>
    <w:p w14:paraId="223481F6"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Huang, X., Han, W., Newton, D., </w:t>
      </w:r>
      <w:proofErr w:type="spellStart"/>
      <w:r w:rsidRPr="009B605C">
        <w:rPr>
          <w:rFonts w:ascii="Cambria" w:hAnsi="Cambria"/>
        </w:rPr>
        <w:t>Platanakis</w:t>
      </w:r>
      <w:proofErr w:type="spellEnd"/>
      <w:r w:rsidRPr="009B605C">
        <w:rPr>
          <w:rFonts w:ascii="Cambria" w:hAnsi="Cambria"/>
        </w:rPr>
        <w:t xml:space="preserve">, E., </w:t>
      </w:r>
      <w:proofErr w:type="spellStart"/>
      <w:r w:rsidRPr="009B605C">
        <w:rPr>
          <w:rFonts w:ascii="Cambria" w:hAnsi="Cambria"/>
        </w:rPr>
        <w:t>Stafylas</w:t>
      </w:r>
      <w:proofErr w:type="spellEnd"/>
      <w:r w:rsidRPr="009B605C">
        <w:rPr>
          <w:rFonts w:ascii="Cambria" w:hAnsi="Cambria"/>
        </w:rPr>
        <w:t xml:space="preserve">, D. and Sutcliffe, C., 2023. The diversification benefits of cryptocurrency asset categories and estimation risk: pre and post Covid-19. </w:t>
      </w:r>
      <w:r w:rsidRPr="009B605C">
        <w:rPr>
          <w:rFonts w:ascii="Cambria" w:hAnsi="Cambria"/>
          <w:i/>
          <w:iCs/>
        </w:rPr>
        <w:t>The European Journal of Finance</w:t>
      </w:r>
      <w:r w:rsidRPr="009B605C">
        <w:rPr>
          <w:rFonts w:ascii="Cambria" w:hAnsi="Cambria"/>
        </w:rPr>
        <w:t xml:space="preserve">, </w:t>
      </w:r>
      <w:r w:rsidRPr="009B605C">
        <w:rPr>
          <w:rFonts w:ascii="Cambria" w:hAnsi="Cambria"/>
          <w:i/>
          <w:iCs/>
        </w:rPr>
        <w:t>29</w:t>
      </w:r>
      <w:r w:rsidRPr="009B605C">
        <w:rPr>
          <w:rFonts w:ascii="Cambria" w:hAnsi="Cambria"/>
        </w:rPr>
        <w:t>(7), pp.800-825.</w:t>
      </w:r>
    </w:p>
    <w:p w14:paraId="536A6F7E"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Huang, Y., Duan, K. and Urquhart, A., 2023. Time-varying dependence between Bitcoin and green financial assets: A comparison between pre-and post-COVID-19 periods. </w:t>
      </w:r>
      <w:r w:rsidRPr="009B605C">
        <w:rPr>
          <w:rFonts w:ascii="Cambria" w:eastAsiaTheme="minorEastAsia" w:hAnsi="Cambria"/>
          <w:i/>
          <w:iCs/>
          <w:lang w:eastAsia="zh-CN"/>
        </w:rPr>
        <w:t>Journal of International Financial Markets, Institutions and Money</w:t>
      </w:r>
      <w:r w:rsidRPr="009B605C">
        <w:rPr>
          <w:rFonts w:ascii="Cambria" w:eastAsiaTheme="minorEastAsia" w:hAnsi="Cambria"/>
          <w:lang w:eastAsia="zh-CN"/>
        </w:rPr>
        <w:t xml:space="preserve">, </w:t>
      </w:r>
      <w:r w:rsidRPr="009B605C">
        <w:rPr>
          <w:rFonts w:ascii="Cambria" w:eastAsiaTheme="minorEastAsia" w:hAnsi="Cambria"/>
          <w:i/>
          <w:iCs/>
          <w:lang w:eastAsia="zh-CN"/>
        </w:rPr>
        <w:t>82</w:t>
      </w:r>
      <w:r w:rsidRPr="009B605C">
        <w:rPr>
          <w:rFonts w:ascii="Cambria" w:eastAsiaTheme="minorEastAsia" w:hAnsi="Cambria"/>
          <w:lang w:eastAsia="zh-CN"/>
        </w:rPr>
        <w:t>, p.101687.</w:t>
      </w:r>
    </w:p>
    <w:p w14:paraId="3544064C"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Hui, C.H., Wong, A. and Lo, C.F., 2023. Stablecoin Price Dynamics Under a Peg-Stabilising Mechanism. </w:t>
      </w:r>
      <w:r w:rsidRPr="009B605C">
        <w:rPr>
          <w:rFonts w:ascii="Cambria" w:eastAsiaTheme="minorEastAsia" w:hAnsi="Cambria"/>
          <w:i/>
          <w:iCs/>
          <w:lang w:eastAsia="zh-CN"/>
        </w:rPr>
        <w:t>Journal of International Money and Finance</w:t>
      </w:r>
      <w:r w:rsidRPr="009B605C">
        <w:rPr>
          <w:rFonts w:ascii="Cambria" w:eastAsiaTheme="minorEastAsia" w:hAnsi="Cambria"/>
          <w:lang w:eastAsia="zh-CN"/>
        </w:rPr>
        <w:t>.</w:t>
      </w:r>
    </w:p>
    <w:p w14:paraId="0DB25D11"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Ji, Q., Zhang, D. and Zhao, Y., 2020. Searching for safe-haven assets during the COVID-19 pandemic.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71</w:t>
      </w:r>
      <w:r w:rsidRPr="009B605C">
        <w:rPr>
          <w:rFonts w:ascii="Cambria" w:hAnsi="Cambria"/>
        </w:rPr>
        <w:t>, p.101526.</w:t>
      </w:r>
    </w:p>
    <w:p w14:paraId="0EA90548"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Just, M. and </w:t>
      </w:r>
      <w:proofErr w:type="spellStart"/>
      <w:r w:rsidRPr="009B605C">
        <w:rPr>
          <w:rFonts w:ascii="Cambria" w:hAnsi="Cambria"/>
        </w:rPr>
        <w:t>Echaust</w:t>
      </w:r>
      <w:proofErr w:type="spellEnd"/>
      <w:r w:rsidRPr="009B605C">
        <w:rPr>
          <w:rFonts w:ascii="Cambria" w:hAnsi="Cambria"/>
        </w:rPr>
        <w:t xml:space="preserve">, K., 2022. Dynamic spillover transmission in agricultural commodity markets: What has changed after the COVID-19 threat?. </w:t>
      </w:r>
      <w:r w:rsidRPr="009B605C">
        <w:rPr>
          <w:rFonts w:ascii="Cambria" w:hAnsi="Cambria"/>
          <w:i/>
          <w:iCs/>
        </w:rPr>
        <w:t>Economics Letters</w:t>
      </w:r>
      <w:r w:rsidRPr="009B605C">
        <w:rPr>
          <w:rFonts w:ascii="Cambria" w:hAnsi="Cambria"/>
        </w:rPr>
        <w:t xml:space="preserve">, </w:t>
      </w:r>
      <w:r w:rsidRPr="009B605C">
        <w:rPr>
          <w:rFonts w:ascii="Cambria" w:hAnsi="Cambria"/>
          <w:i/>
          <w:iCs/>
        </w:rPr>
        <w:t>217</w:t>
      </w:r>
      <w:r w:rsidRPr="009B605C">
        <w:rPr>
          <w:rFonts w:ascii="Cambria" w:hAnsi="Cambria"/>
        </w:rPr>
        <w:t>, p.110671.</w:t>
      </w:r>
    </w:p>
    <w:p w14:paraId="3EE292F2" w14:textId="761BB4E0" w:rsidR="00683284" w:rsidRPr="009B605C" w:rsidRDefault="00683284" w:rsidP="00683284">
      <w:pPr>
        <w:spacing w:afterLines="80" w:after="192" w:line="276" w:lineRule="auto"/>
        <w:jc w:val="both"/>
        <w:rPr>
          <w:rFonts w:ascii="Cambria" w:hAnsi="Cambria"/>
        </w:rPr>
      </w:pPr>
      <w:r w:rsidRPr="009B605C">
        <w:rPr>
          <w:rFonts w:ascii="Cambria" w:hAnsi="Cambria"/>
        </w:rPr>
        <w:t xml:space="preserve">Kang, S.H., McIver, R. and Yoon, S.M., 2016. </w:t>
      </w:r>
      <w:proofErr w:type="spellStart"/>
      <w:r w:rsidRPr="009B605C">
        <w:rPr>
          <w:rFonts w:ascii="Cambria" w:hAnsi="Cambria"/>
        </w:rPr>
        <w:t>Modeling</w:t>
      </w:r>
      <w:proofErr w:type="spellEnd"/>
      <w:r w:rsidRPr="009B605C">
        <w:rPr>
          <w:rFonts w:ascii="Cambria" w:hAnsi="Cambria"/>
        </w:rPr>
        <w:t xml:space="preserve"> time-varying correlations in volatility between BRICS and commodity markets. </w:t>
      </w:r>
      <w:r w:rsidRPr="009B605C">
        <w:rPr>
          <w:rFonts w:ascii="Cambria" w:hAnsi="Cambria"/>
          <w:i/>
          <w:iCs/>
        </w:rPr>
        <w:t>Emerging Markets Finance and Trade</w:t>
      </w:r>
      <w:r w:rsidRPr="009B605C">
        <w:rPr>
          <w:rFonts w:ascii="Cambria" w:hAnsi="Cambria"/>
        </w:rPr>
        <w:t xml:space="preserve">, </w:t>
      </w:r>
      <w:r w:rsidRPr="009B605C">
        <w:rPr>
          <w:rFonts w:ascii="Cambria" w:hAnsi="Cambria"/>
          <w:i/>
          <w:iCs/>
        </w:rPr>
        <w:t>52</w:t>
      </w:r>
      <w:r w:rsidRPr="009B605C">
        <w:rPr>
          <w:rFonts w:ascii="Cambria" w:hAnsi="Cambria"/>
        </w:rPr>
        <w:t>(7), pp.1698-1723.</w:t>
      </w:r>
    </w:p>
    <w:p w14:paraId="053C662A" w14:textId="77777777" w:rsidR="003E6CF1" w:rsidRPr="009B605C" w:rsidRDefault="003E6CF1" w:rsidP="0087752F">
      <w:pPr>
        <w:spacing w:afterLines="80" w:after="192" w:line="276" w:lineRule="auto"/>
        <w:jc w:val="both"/>
        <w:rPr>
          <w:rFonts w:ascii="Cambria" w:eastAsiaTheme="minorEastAsia" w:hAnsi="Cambria"/>
        </w:rPr>
      </w:pPr>
      <w:proofErr w:type="spellStart"/>
      <w:r w:rsidRPr="009B605C">
        <w:rPr>
          <w:rFonts w:ascii="Cambria" w:eastAsiaTheme="minorEastAsia" w:hAnsi="Cambria"/>
        </w:rPr>
        <w:t>Karamti</w:t>
      </w:r>
      <w:proofErr w:type="spellEnd"/>
      <w:r w:rsidRPr="009B605C">
        <w:rPr>
          <w:rFonts w:ascii="Cambria" w:eastAsiaTheme="minorEastAsia" w:hAnsi="Cambria"/>
        </w:rPr>
        <w:t xml:space="preserve">, C. and </w:t>
      </w:r>
      <w:proofErr w:type="spellStart"/>
      <w:r w:rsidRPr="009B605C">
        <w:rPr>
          <w:rFonts w:ascii="Cambria" w:eastAsiaTheme="minorEastAsia" w:hAnsi="Cambria"/>
        </w:rPr>
        <w:t>Jeribi</w:t>
      </w:r>
      <w:proofErr w:type="spellEnd"/>
      <w:r w:rsidRPr="009B605C">
        <w:rPr>
          <w:rFonts w:ascii="Cambria" w:eastAsiaTheme="minorEastAsia" w:hAnsi="Cambria"/>
        </w:rPr>
        <w:t xml:space="preserve">, A., 2023. Stock markets from COVID-19 to the Russia–Ukraine crisis: structural breaks in interactive effects panels. </w:t>
      </w:r>
      <w:r w:rsidRPr="009B605C">
        <w:rPr>
          <w:rFonts w:ascii="Cambria" w:eastAsiaTheme="minorEastAsia" w:hAnsi="Cambria"/>
          <w:i/>
          <w:iCs/>
        </w:rPr>
        <w:t>The Journal of Economic Asymmetries</w:t>
      </w:r>
      <w:r w:rsidRPr="009B605C">
        <w:rPr>
          <w:rFonts w:ascii="Cambria" w:eastAsiaTheme="minorEastAsia" w:hAnsi="Cambria"/>
        </w:rPr>
        <w:t xml:space="preserve">, </w:t>
      </w:r>
      <w:r w:rsidRPr="009B605C">
        <w:rPr>
          <w:rFonts w:ascii="Cambria" w:eastAsiaTheme="minorEastAsia" w:hAnsi="Cambria"/>
          <w:i/>
          <w:iCs/>
        </w:rPr>
        <w:t>28</w:t>
      </w:r>
      <w:r w:rsidRPr="009B605C">
        <w:rPr>
          <w:rFonts w:ascii="Cambria" w:eastAsiaTheme="minorEastAsia" w:hAnsi="Cambria"/>
        </w:rPr>
        <w:t>, p.e00340.</w:t>
      </w:r>
    </w:p>
    <w:p w14:paraId="792805E9" w14:textId="77777777"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lastRenderedPageBreak/>
        <w:t>Katsiampa</w:t>
      </w:r>
      <w:proofErr w:type="spellEnd"/>
      <w:r w:rsidRPr="009B605C">
        <w:rPr>
          <w:rFonts w:ascii="Cambria" w:hAnsi="Cambria"/>
        </w:rPr>
        <w:t xml:space="preserve">, P., </w:t>
      </w:r>
      <w:proofErr w:type="spellStart"/>
      <w:r w:rsidRPr="009B605C">
        <w:rPr>
          <w:rFonts w:ascii="Cambria" w:hAnsi="Cambria"/>
        </w:rPr>
        <w:t>Yarovaya</w:t>
      </w:r>
      <w:proofErr w:type="spellEnd"/>
      <w:r w:rsidRPr="009B605C">
        <w:rPr>
          <w:rFonts w:ascii="Cambria" w:hAnsi="Cambria"/>
        </w:rPr>
        <w:t xml:space="preserve">, L. and Zięba, D., 2022. High-frequency connectedness between Bitcoin and other top-traded crypto assets during the COVID-19 crisis. </w:t>
      </w:r>
      <w:r w:rsidRPr="009B605C">
        <w:rPr>
          <w:rFonts w:ascii="Cambria" w:hAnsi="Cambria"/>
          <w:i/>
          <w:iCs/>
        </w:rPr>
        <w:t>Journal of International Financial Markets, Institutions and Money</w:t>
      </w:r>
      <w:r w:rsidRPr="009B605C">
        <w:rPr>
          <w:rFonts w:ascii="Cambria" w:hAnsi="Cambria"/>
        </w:rPr>
        <w:t xml:space="preserve">, </w:t>
      </w:r>
      <w:r w:rsidRPr="009B605C">
        <w:rPr>
          <w:rFonts w:ascii="Cambria" w:hAnsi="Cambria"/>
          <w:i/>
          <w:iCs/>
        </w:rPr>
        <w:t>79</w:t>
      </w:r>
      <w:r w:rsidRPr="009B605C">
        <w:rPr>
          <w:rFonts w:ascii="Cambria" w:hAnsi="Cambria"/>
        </w:rPr>
        <w:t>, p.101578.</w:t>
      </w:r>
    </w:p>
    <w:p w14:paraId="3B312B8F" w14:textId="6EEF7003" w:rsidR="000745C2" w:rsidRPr="009B605C" w:rsidRDefault="000745C2" w:rsidP="0087752F">
      <w:pPr>
        <w:spacing w:afterLines="80" w:after="192" w:line="276" w:lineRule="auto"/>
        <w:jc w:val="both"/>
        <w:rPr>
          <w:rFonts w:ascii="Cambria" w:hAnsi="Cambria"/>
        </w:rPr>
      </w:pPr>
      <w:bookmarkStart w:id="13" w:name="_Hlk196049192"/>
      <w:r w:rsidRPr="009B605C">
        <w:rPr>
          <w:rFonts w:ascii="Cambria" w:hAnsi="Cambria"/>
        </w:rPr>
        <w:t xml:space="preserve">Kayani, U., Ullah, M., Aysan, A.F., Nazir, S. and Frempong, J., 2024. Quantile connectedness among digital assets, traditional assets, and renewable energy prices during extreme economic crisis. </w:t>
      </w:r>
      <w:r w:rsidRPr="009B605C">
        <w:rPr>
          <w:rFonts w:ascii="Cambria" w:hAnsi="Cambria"/>
          <w:i/>
          <w:iCs/>
        </w:rPr>
        <w:t>Technological Forecasting and Social Change</w:t>
      </w:r>
      <w:r w:rsidRPr="009B605C">
        <w:rPr>
          <w:rFonts w:ascii="Cambria" w:hAnsi="Cambria"/>
        </w:rPr>
        <w:t xml:space="preserve">, </w:t>
      </w:r>
      <w:r w:rsidRPr="009B605C">
        <w:rPr>
          <w:rFonts w:ascii="Cambria" w:hAnsi="Cambria"/>
          <w:i/>
          <w:iCs/>
        </w:rPr>
        <w:t>208</w:t>
      </w:r>
      <w:r w:rsidRPr="009B605C">
        <w:rPr>
          <w:rFonts w:ascii="Cambria" w:hAnsi="Cambria"/>
        </w:rPr>
        <w:t>, p.123635.</w:t>
      </w:r>
    </w:p>
    <w:bookmarkEnd w:id="13"/>
    <w:p w14:paraId="3622F1DF" w14:textId="58639A27" w:rsidR="00263030" w:rsidRPr="009B605C" w:rsidRDefault="00263030" w:rsidP="00263030">
      <w:pPr>
        <w:spacing w:afterLines="80" w:after="192" w:line="276" w:lineRule="auto"/>
        <w:jc w:val="both"/>
        <w:rPr>
          <w:rFonts w:ascii="Cambria" w:hAnsi="Cambria"/>
        </w:rPr>
      </w:pPr>
      <w:r w:rsidRPr="009B605C">
        <w:rPr>
          <w:rFonts w:ascii="Cambria" w:hAnsi="Cambria"/>
        </w:rPr>
        <w:t xml:space="preserve">Khalfaoui, R., Hammoudeh, S. and Rehman, M.Z., 2023a. Spillovers and connectedness among BRICS stock markets, cryptocurrencies, and uncertainty: Evidence from the quantile vector autoregression network. </w:t>
      </w:r>
      <w:r w:rsidRPr="009B605C">
        <w:rPr>
          <w:rFonts w:ascii="Cambria" w:hAnsi="Cambria"/>
          <w:i/>
          <w:iCs/>
        </w:rPr>
        <w:t>Emerging Markets Review</w:t>
      </w:r>
      <w:r w:rsidRPr="009B605C">
        <w:rPr>
          <w:rFonts w:ascii="Cambria" w:hAnsi="Cambria"/>
        </w:rPr>
        <w:t xml:space="preserve">, </w:t>
      </w:r>
      <w:r w:rsidRPr="009B605C">
        <w:rPr>
          <w:rFonts w:ascii="Cambria" w:hAnsi="Cambria"/>
          <w:i/>
          <w:iCs/>
        </w:rPr>
        <w:t>54</w:t>
      </w:r>
      <w:r w:rsidRPr="009B605C">
        <w:rPr>
          <w:rFonts w:ascii="Cambria" w:hAnsi="Cambria"/>
        </w:rPr>
        <w:t>, p.101002.</w:t>
      </w:r>
    </w:p>
    <w:p w14:paraId="4564D77D" w14:textId="138260EA" w:rsidR="00F44DF2" w:rsidRPr="009B605C" w:rsidRDefault="00F44DF2" w:rsidP="00263030">
      <w:pPr>
        <w:spacing w:afterLines="80" w:after="192" w:line="276" w:lineRule="auto"/>
        <w:jc w:val="both"/>
        <w:rPr>
          <w:rFonts w:ascii="Cambria" w:hAnsi="Cambria"/>
        </w:rPr>
      </w:pPr>
      <w:r w:rsidRPr="009B605C">
        <w:rPr>
          <w:rFonts w:ascii="Cambria" w:hAnsi="Cambria"/>
        </w:rPr>
        <w:t xml:space="preserve">Khalfaoui, R., </w:t>
      </w:r>
      <w:proofErr w:type="spellStart"/>
      <w:r w:rsidRPr="009B605C">
        <w:rPr>
          <w:rFonts w:ascii="Cambria" w:hAnsi="Cambria"/>
        </w:rPr>
        <w:t>Mefteh</w:t>
      </w:r>
      <w:proofErr w:type="spellEnd"/>
      <w:r w:rsidRPr="009B605C">
        <w:rPr>
          <w:rFonts w:ascii="Cambria" w:hAnsi="Cambria"/>
        </w:rPr>
        <w:t xml:space="preserve">-Wali, S., Dogan, B. and Ghosh, S., 2023b. Extreme spillover effect of COVID-19 pandemic-related news and cryptocurrencies on green bond markets: A quantile connectedness analysis.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86</w:t>
      </w:r>
      <w:r w:rsidRPr="009B605C">
        <w:rPr>
          <w:rFonts w:ascii="Cambria" w:hAnsi="Cambria"/>
        </w:rPr>
        <w:t>, p.102496.</w:t>
      </w:r>
    </w:p>
    <w:p w14:paraId="0F77C5BE"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Khan, N., Mejri, S. and Hammoudeh, S., 2024. How do global commodities react to increasing geopolitical risks? New insights into the Russia-Ukraine and Palestine-Israel conflicts. </w:t>
      </w:r>
      <w:r w:rsidRPr="009B605C">
        <w:rPr>
          <w:rFonts w:ascii="Cambria" w:eastAsiaTheme="minorEastAsia" w:hAnsi="Cambria"/>
          <w:i/>
          <w:iCs/>
          <w:lang w:eastAsia="zh-CN"/>
        </w:rPr>
        <w:t>Energy Economics</w:t>
      </w:r>
      <w:r w:rsidRPr="009B605C">
        <w:rPr>
          <w:rFonts w:ascii="Cambria" w:eastAsiaTheme="minorEastAsia" w:hAnsi="Cambria"/>
          <w:lang w:eastAsia="zh-CN"/>
        </w:rPr>
        <w:t xml:space="preserve">, </w:t>
      </w:r>
      <w:r w:rsidRPr="009B605C">
        <w:rPr>
          <w:rFonts w:ascii="Cambria" w:eastAsiaTheme="minorEastAsia" w:hAnsi="Cambria"/>
          <w:i/>
          <w:iCs/>
          <w:lang w:eastAsia="zh-CN"/>
        </w:rPr>
        <w:t>138</w:t>
      </w:r>
      <w:r w:rsidRPr="009B605C">
        <w:rPr>
          <w:rFonts w:ascii="Cambria" w:eastAsiaTheme="minorEastAsia" w:hAnsi="Cambria"/>
          <w:lang w:eastAsia="zh-CN"/>
        </w:rPr>
        <w:t>, p.107812.</w:t>
      </w:r>
    </w:p>
    <w:p w14:paraId="00E9B483" w14:textId="3376ADCA"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t>Koenker</w:t>
      </w:r>
      <w:proofErr w:type="spellEnd"/>
      <w:r w:rsidRPr="009B605C">
        <w:rPr>
          <w:rFonts w:ascii="Cambria" w:hAnsi="Cambria"/>
        </w:rPr>
        <w:t xml:space="preserve">, R. and Xiao, Z., 2006. Quantile autoregression. </w:t>
      </w:r>
      <w:r w:rsidRPr="009B605C">
        <w:rPr>
          <w:rFonts w:ascii="Cambria" w:hAnsi="Cambria"/>
          <w:i/>
          <w:iCs/>
        </w:rPr>
        <w:t>Journal of the American Statistical Association</w:t>
      </w:r>
      <w:r w:rsidRPr="009B605C">
        <w:rPr>
          <w:rFonts w:ascii="Cambria" w:hAnsi="Cambria"/>
        </w:rPr>
        <w:t xml:space="preserve">, </w:t>
      </w:r>
      <w:r w:rsidRPr="009B605C">
        <w:rPr>
          <w:rFonts w:ascii="Cambria" w:hAnsi="Cambria"/>
          <w:i/>
          <w:iCs/>
        </w:rPr>
        <w:t>101</w:t>
      </w:r>
      <w:r w:rsidRPr="009B605C">
        <w:rPr>
          <w:rFonts w:ascii="Cambria" w:hAnsi="Cambria"/>
        </w:rPr>
        <w:t>(475), pp.980-990.</w:t>
      </w:r>
    </w:p>
    <w:p w14:paraId="20BEB8B1"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Koop, G., </w:t>
      </w:r>
      <w:proofErr w:type="spellStart"/>
      <w:r w:rsidRPr="009B605C">
        <w:rPr>
          <w:rFonts w:ascii="Cambria" w:hAnsi="Cambria"/>
        </w:rPr>
        <w:t>Pesaran</w:t>
      </w:r>
      <w:proofErr w:type="spellEnd"/>
      <w:r w:rsidRPr="009B605C">
        <w:rPr>
          <w:rFonts w:ascii="Cambria" w:hAnsi="Cambria"/>
        </w:rPr>
        <w:t xml:space="preserve">, M.H. and Potter, S.M., 1996. Impulse response analysis in nonlinear multivariate models. </w:t>
      </w:r>
      <w:r w:rsidRPr="009B605C">
        <w:rPr>
          <w:rFonts w:ascii="Cambria" w:hAnsi="Cambria"/>
          <w:i/>
          <w:iCs/>
        </w:rPr>
        <w:t>Journal of Econometrics</w:t>
      </w:r>
      <w:r w:rsidRPr="009B605C">
        <w:rPr>
          <w:rFonts w:ascii="Cambria" w:hAnsi="Cambria"/>
        </w:rPr>
        <w:t xml:space="preserve">, </w:t>
      </w:r>
      <w:r w:rsidRPr="009B605C">
        <w:rPr>
          <w:rFonts w:ascii="Cambria" w:hAnsi="Cambria"/>
          <w:i/>
          <w:iCs/>
        </w:rPr>
        <w:t>74</w:t>
      </w:r>
      <w:r w:rsidRPr="009B605C">
        <w:rPr>
          <w:rFonts w:ascii="Cambria" w:hAnsi="Cambria"/>
        </w:rPr>
        <w:t>(1), pp.119-147.</w:t>
      </w:r>
    </w:p>
    <w:p w14:paraId="4FC0337F"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Kroner, K.F. and Ng, V.K., 1998. </w:t>
      </w:r>
      <w:proofErr w:type="spellStart"/>
      <w:r w:rsidRPr="009B605C">
        <w:rPr>
          <w:rFonts w:ascii="Cambria" w:hAnsi="Cambria"/>
        </w:rPr>
        <w:t>Modeling</w:t>
      </w:r>
      <w:proofErr w:type="spellEnd"/>
      <w:r w:rsidRPr="009B605C">
        <w:rPr>
          <w:rFonts w:ascii="Cambria" w:hAnsi="Cambria"/>
        </w:rPr>
        <w:t xml:space="preserve"> asymmetric </w:t>
      </w:r>
      <w:proofErr w:type="spellStart"/>
      <w:r w:rsidRPr="009B605C">
        <w:rPr>
          <w:rFonts w:ascii="Cambria" w:hAnsi="Cambria"/>
        </w:rPr>
        <w:t>comovements</w:t>
      </w:r>
      <w:proofErr w:type="spellEnd"/>
      <w:r w:rsidRPr="009B605C">
        <w:rPr>
          <w:rFonts w:ascii="Cambria" w:hAnsi="Cambria"/>
        </w:rPr>
        <w:t xml:space="preserve"> of asset returns. </w:t>
      </w:r>
      <w:r w:rsidRPr="009B605C">
        <w:rPr>
          <w:rFonts w:ascii="Cambria" w:hAnsi="Cambria"/>
          <w:i/>
          <w:iCs/>
        </w:rPr>
        <w:t>The Review of Financial Studies</w:t>
      </w:r>
      <w:r w:rsidRPr="009B605C">
        <w:rPr>
          <w:rFonts w:ascii="Cambria" w:hAnsi="Cambria"/>
        </w:rPr>
        <w:t xml:space="preserve">, </w:t>
      </w:r>
      <w:r w:rsidRPr="009B605C">
        <w:rPr>
          <w:rFonts w:ascii="Cambria" w:hAnsi="Cambria"/>
          <w:i/>
          <w:iCs/>
        </w:rPr>
        <w:t>11</w:t>
      </w:r>
      <w:r w:rsidRPr="009B605C">
        <w:rPr>
          <w:rFonts w:ascii="Cambria" w:hAnsi="Cambria"/>
        </w:rPr>
        <w:t>(4), pp.817-844.</w:t>
      </w:r>
    </w:p>
    <w:p w14:paraId="1B846246"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Kroner, K.F. and Sultan, J., 1993. Time-varying distributions and dynamic hedging with foreign currency futures. </w:t>
      </w:r>
      <w:r w:rsidRPr="009B605C">
        <w:rPr>
          <w:rFonts w:ascii="Cambria" w:hAnsi="Cambria"/>
          <w:i/>
          <w:iCs/>
        </w:rPr>
        <w:t>Journal of Financial and Quantitative Analysis</w:t>
      </w:r>
      <w:r w:rsidRPr="009B605C">
        <w:rPr>
          <w:rFonts w:ascii="Cambria" w:hAnsi="Cambria"/>
        </w:rPr>
        <w:t xml:space="preserve">, </w:t>
      </w:r>
      <w:r w:rsidRPr="009B605C">
        <w:rPr>
          <w:rFonts w:ascii="Cambria" w:hAnsi="Cambria"/>
          <w:i/>
          <w:iCs/>
        </w:rPr>
        <w:t>28</w:t>
      </w:r>
      <w:r w:rsidRPr="009B605C">
        <w:rPr>
          <w:rFonts w:ascii="Cambria" w:hAnsi="Cambria"/>
        </w:rPr>
        <w:t>(4), pp.535-551.</w:t>
      </w:r>
    </w:p>
    <w:p w14:paraId="40BACC08" w14:textId="77777777" w:rsidR="003E6CF1"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Lawrence, B., </w:t>
      </w:r>
      <w:proofErr w:type="spellStart"/>
      <w:r w:rsidRPr="009B605C">
        <w:rPr>
          <w:rFonts w:ascii="Cambria" w:eastAsiaTheme="minorEastAsia" w:hAnsi="Cambria"/>
          <w:lang w:eastAsia="zh-CN"/>
        </w:rPr>
        <w:t>Obalade</w:t>
      </w:r>
      <w:proofErr w:type="spellEnd"/>
      <w:r w:rsidRPr="009B605C">
        <w:rPr>
          <w:rFonts w:ascii="Cambria" w:eastAsiaTheme="minorEastAsia" w:hAnsi="Cambria"/>
          <w:lang w:eastAsia="zh-CN"/>
        </w:rPr>
        <w:t xml:space="preserve">, A.A., Tita, A.F. and French, J.J., 2024. Stock market connectedness during an energy crisis: Evidence from South Africa. </w:t>
      </w:r>
      <w:r w:rsidRPr="009B605C">
        <w:rPr>
          <w:rFonts w:ascii="Cambria" w:eastAsiaTheme="minorEastAsia" w:hAnsi="Cambria"/>
          <w:i/>
          <w:iCs/>
          <w:lang w:eastAsia="zh-CN"/>
        </w:rPr>
        <w:t>Emerging Markets Review</w:t>
      </w:r>
      <w:r w:rsidRPr="009B605C">
        <w:rPr>
          <w:rFonts w:ascii="Cambria" w:eastAsiaTheme="minorEastAsia" w:hAnsi="Cambria"/>
          <w:lang w:eastAsia="zh-CN"/>
        </w:rPr>
        <w:t xml:space="preserve">, </w:t>
      </w:r>
      <w:r w:rsidRPr="009B605C">
        <w:rPr>
          <w:rFonts w:ascii="Cambria" w:eastAsiaTheme="minorEastAsia" w:hAnsi="Cambria"/>
          <w:i/>
          <w:iCs/>
          <w:lang w:eastAsia="zh-CN"/>
        </w:rPr>
        <w:t>63</w:t>
      </w:r>
      <w:r w:rsidRPr="009B605C">
        <w:rPr>
          <w:rFonts w:ascii="Cambria" w:eastAsiaTheme="minorEastAsia" w:hAnsi="Cambria"/>
          <w:lang w:eastAsia="zh-CN"/>
        </w:rPr>
        <w:t>, p.101194.</w:t>
      </w:r>
    </w:p>
    <w:p w14:paraId="0EA4A24E" w14:textId="1A00556D" w:rsidR="00712326" w:rsidRPr="009B605C" w:rsidRDefault="00712326" w:rsidP="0087752F">
      <w:pPr>
        <w:spacing w:afterLines="80" w:after="192" w:line="276" w:lineRule="auto"/>
        <w:jc w:val="both"/>
        <w:rPr>
          <w:rFonts w:ascii="Cambria" w:eastAsiaTheme="minorEastAsia" w:hAnsi="Cambria"/>
          <w:lang w:eastAsia="zh-CN"/>
        </w:rPr>
      </w:pPr>
      <w:r w:rsidRPr="00712326">
        <w:rPr>
          <w:rFonts w:ascii="Cambria" w:eastAsiaTheme="minorEastAsia" w:hAnsi="Cambria"/>
          <w:lang w:eastAsia="zh-CN"/>
        </w:rPr>
        <w:t xml:space="preserve">Li, L., Gan, Y., Bi, S. and Fu, H., 2025. Substantive or strategic? Unveiling the green innovation effects of pilot policy promoting the integration of technology and finance. </w:t>
      </w:r>
      <w:r w:rsidRPr="00712326">
        <w:rPr>
          <w:rFonts w:ascii="Cambria" w:eastAsiaTheme="minorEastAsia" w:hAnsi="Cambria"/>
          <w:i/>
          <w:iCs/>
          <w:lang w:eastAsia="zh-CN"/>
        </w:rPr>
        <w:t>International Review of Financial Analysis</w:t>
      </w:r>
      <w:r w:rsidRPr="00712326">
        <w:rPr>
          <w:rFonts w:ascii="Cambria" w:eastAsiaTheme="minorEastAsia" w:hAnsi="Cambria"/>
          <w:lang w:eastAsia="zh-CN"/>
        </w:rPr>
        <w:t xml:space="preserve">, </w:t>
      </w:r>
      <w:r w:rsidRPr="00712326">
        <w:rPr>
          <w:rFonts w:ascii="Cambria" w:eastAsiaTheme="minorEastAsia" w:hAnsi="Cambria"/>
          <w:i/>
          <w:iCs/>
          <w:lang w:eastAsia="zh-CN"/>
        </w:rPr>
        <w:t>97</w:t>
      </w:r>
      <w:r w:rsidRPr="00712326">
        <w:rPr>
          <w:rFonts w:ascii="Cambria" w:eastAsiaTheme="minorEastAsia" w:hAnsi="Cambria"/>
          <w:lang w:eastAsia="zh-CN"/>
        </w:rPr>
        <w:t>, p.103781.</w:t>
      </w:r>
    </w:p>
    <w:p w14:paraId="59321603"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Li, L. and Miu, P., 2023. Are cryptocurrencies a safe haven for stock investors? A regime-switching approach. </w:t>
      </w:r>
      <w:r w:rsidRPr="009B605C">
        <w:rPr>
          <w:rFonts w:ascii="Cambria" w:hAnsi="Cambria"/>
          <w:i/>
          <w:iCs/>
        </w:rPr>
        <w:t>Journal of Empirical Finance</w:t>
      </w:r>
      <w:r w:rsidRPr="009B605C">
        <w:rPr>
          <w:rFonts w:ascii="Cambria" w:hAnsi="Cambria"/>
        </w:rPr>
        <w:t xml:space="preserve">, </w:t>
      </w:r>
      <w:r w:rsidRPr="009B605C">
        <w:rPr>
          <w:rFonts w:ascii="Cambria" w:hAnsi="Cambria"/>
          <w:i/>
          <w:iCs/>
        </w:rPr>
        <w:t>70</w:t>
      </w:r>
      <w:r w:rsidRPr="009B605C">
        <w:rPr>
          <w:rFonts w:ascii="Cambria" w:hAnsi="Cambria"/>
        </w:rPr>
        <w:t>, pp.367-385.</w:t>
      </w:r>
    </w:p>
    <w:p w14:paraId="71835963"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Lin, Y. and Wang, Y., 2024. The impact of the Russia–Ukraine war on volatility spillovers.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93</w:t>
      </w:r>
      <w:r w:rsidRPr="009B605C">
        <w:rPr>
          <w:rFonts w:ascii="Cambria" w:hAnsi="Cambria"/>
        </w:rPr>
        <w:t>, p.103194.</w:t>
      </w:r>
    </w:p>
    <w:p w14:paraId="14E3ECB8"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lastRenderedPageBreak/>
        <w:t xml:space="preserve">Liu, P. and Yuan, Y., 2024. Is Bitcoin a hedge or safe-haven asset during the period of turmoil? Evidence from the currency, bond and stock markets.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96</w:t>
      </w:r>
      <w:r w:rsidRPr="009B605C">
        <w:rPr>
          <w:rFonts w:ascii="Cambria" w:eastAsiaTheme="minorEastAsia" w:hAnsi="Cambria"/>
          <w:lang w:eastAsia="zh-CN"/>
        </w:rPr>
        <w:t>, p.103663.</w:t>
      </w:r>
    </w:p>
    <w:p w14:paraId="40623A0A" w14:textId="2FCBAC03" w:rsidR="008B1BBA" w:rsidRPr="009B605C" w:rsidRDefault="008B1BBA" w:rsidP="00A04325">
      <w:pPr>
        <w:spacing w:line="360" w:lineRule="auto"/>
        <w:jc w:val="both"/>
        <w:rPr>
          <w:rFonts w:ascii="Cambria" w:hAnsi="Cambria"/>
        </w:rPr>
      </w:pPr>
      <w:r w:rsidRPr="009B605C">
        <w:rPr>
          <w:rFonts w:ascii="Cambria" w:hAnsi="Cambria"/>
        </w:rPr>
        <w:t xml:space="preserve">Liu, Y., </w:t>
      </w:r>
      <w:proofErr w:type="spellStart"/>
      <w:r w:rsidRPr="009B605C">
        <w:rPr>
          <w:rFonts w:ascii="Cambria" w:hAnsi="Cambria"/>
        </w:rPr>
        <w:t>Tsyvinski</w:t>
      </w:r>
      <w:proofErr w:type="spellEnd"/>
      <w:r w:rsidRPr="009B605C">
        <w:rPr>
          <w:rFonts w:ascii="Cambria" w:hAnsi="Cambria"/>
        </w:rPr>
        <w:t xml:space="preserve">, A. and Wu, X., 2022. Common risk factors in cryptocurrency. </w:t>
      </w:r>
      <w:r w:rsidRPr="009B605C">
        <w:rPr>
          <w:rFonts w:ascii="Cambria" w:hAnsi="Cambria"/>
          <w:i/>
          <w:iCs/>
        </w:rPr>
        <w:t>The Journal of Finance</w:t>
      </w:r>
      <w:r w:rsidRPr="009B605C">
        <w:rPr>
          <w:rFonts w:ascii="Cambria" w:hAnsi="Cambria"/>
        </w:rPr>
        <w:t xml:space="preserve">, </w:t>
      </w:r>
      <w:r w:rsidRPr="009B605C">
        <w:rPr>
          <w:rFonts w:ascii="Cambria" w:hAnsi="Cambria"/>
          <w:i/>
          <w:iCs/>
        </w:rPr>
        <w:t>77</w:t>
      </w:r>
      <w:r w:rsidRPr="009B605C">
        <w:rPr>
          <w:rFonts w:ascii="Cambria" w:hAnsi="Cambria"/>
        </w:rPr>
        <w:t>(2), pp.1133-1177.</w:t>
      </w:r>
    </w:p>
    <w:p w14:paraId="06FCF942"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Long, S., Pei, H., Tian, H. and Lang, K., 2021. Can both Bitcoin and gold serve as safe-haven assets?—A comparative analysis based on the NARDL model.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78</w:t>
      </w:r>
      <w:r w:rsidRPr="009B605C">
        <w:rPr>
          <w:rFonts w:ascii="Cambria" w:eastAsiaTheme="minorEastAsia" w:hAnsi="Cambria"/>
          <w:lang w:eastAsia="zh-CN"/>
        </w:rPr>
        <w:t>, p.101914.</w:t>
      </w:r>
    </w:p>
    <w:p w14:paraId="63A5FA37" w14:textId="604985A2" w:rsidR="00FA01C1" w:rsidRPr="009B605C" w:rsidRDefault="00FA01C1" w:rsidP="00FA01C1">
      <w:pPr>
        <w:spacing w:afterLines="80" w:after="192" w:line="276" w:lineRule="auto"/>
        <w:jc w:val="both"/>
        <w:rPr>
          <w:rFonts w:ascii="Cambria" w:eastAsiaTheme="minorEastAsia" w:hAnsi="Cambria"/>
          <w:lang w:eastAsia="zh-CN"/>
        </w:rPr>
      </w:pPr>
      <w:bookmarkStart w:id="14" w:name="_Hlk195820826"/>
      <w:bookmarkStart w:id="15" w:name="_Hlk195820921"/>
      <w:r w:rsidRPr="009B605C">
        <w:rPr>
          <w:rFonts w:ascii="Cambria" w:eastAsiaTheme="minorEastAsia" w:hAnsi="Cambria"/>
          <w:lang w:eastAsia="zh-CN"/>
        </w:rPr>
        <w:t>Mensi</w:t>
      </w:r>
      <w:bookmarkEnd w:id="14"/>
      <w:r w:rsidRPr="009B605C">
        <w:rPr>
          <w:rFonts w:ascii="Cambria" w:eastAsiaTheme="minorEastAsia" w:hAnsi="Cambria"/>
          <w:lang w:eastAsia="zh-CN"/>
        </w:rPr>
        <w:t xml:space="preserve">, W., </w:t>
      </w:r>
      <w:proofErr w:type="spellStart"/>
      <w:r w:rsidRPr="009B605C">
        <w:rPr>
          <w:rFonts w:ascii="Cambria" w:eastAsiaTheme="minorEastAsia" w:hAnsi="Cambria"/>
          <w:lang w:eastAsia="zh-CN"/>
        </w:rPr>
        <w:t>Hkiri</w:t>
      </w:r>
      <w:proofErr w:type="spellEnd"/>
      <w:r w:rsidRPr="009B605C">
        <w:rPr>
          <w:rFonts w:ascii="Cambria" w:eastAsiaTheme="minorEastAsia" w:hAnsi="Cambria"/>
          <w:lang w:eastAsia="zh-CN"/>
        </w:rPr>
        <w:t>, B., Al-</w:t>
      </w:r>
      <w:proofErr w:type="spellStart"/>
      <w:r w:rsidRPr="009B605C">
        <w:rPr>
          <w:rFonts w:ascii="Cambria" w:eastAsiaTheme="minorEastAsia" w:hAnsi="Cambria"/>
          <w:lang w:eastAsia="zh-CN"/>
        </w:rPr>
        <w:t>Yahyaee</w:t>
      </w:r>
      <w:proofErr w:type="spellEnd"/>
      <w:r w:rsidRPr="009B605C">
        <w:rPr>
          <w:rFonts w:ascii="Cambria" w:eastAsiaTheme="minorEastAsia" w:hAnsi="Cambria"/>
          <w:lang w:eastAsia="zh-CN"/>
        </w:rPr>
        <w:t xml:space="preserve">, K.H. and Kang, S.H., 2018. </w:t>
      </w:r>
      <w:proofErr w:type="spellStart"/>
      <w:r w:rsidRPr="009B605C">
        <w:rPr>
          <w:rFonts w:ascii="Cambria" w:eastAsiaTheme="minorEastAsia" w:hAnsi="Cambria"/>
          <w:lang w:eastAsia="zh-CN"/>
        </w:rPr>
        <w:t>Analyzing</w:t>
      </w:r>
      <w:proofErr w:type="spellEnd"/>
      <w:r w:rsidRPr="009B605C">
        <w:rPr>
          <w:rFonts w:ascii="Cambria" w:eastAsiaTheme="minorEastAsia" w:hAnsi="Cambria"/>
          <w:lang w:eastAsia="zh-CN"/>
        </w:rPr>
        <w:t xml:space="preserve"> time–frequency co-movements across gold and oil prices with BRICS stock markets: A </w:t>
      </w:r>
      <w:proofErr w:type="spellStart"/>
      <w:r w:rsidRPr="009B605C">
        <w:rPr>
          <w:rFonts w:ascii="Cambria" w:eastAsiaTheme="minorEastAsia" w:hAnsi="Cambria"/>
          <w:lang w:eastAsia="zh-CN"/>
        </w:rPr>
        <w:t>VaR</w:t>
      </w:r>
      <w:proofErr w:type="spellEnd"/>
      <w:r w:rsidRPr="009B605C">
        <w:rPr>
          <w:rFonts w:ascii="Cambria" w:eastAsiaTheme="minorEastAsia" w:hAnsi="Cambria"/>
          <w:lang w:eastAsia="zh-CN"/>
        </w:rPr>
        <w:t xml:space="preserve"> based on wavelet approach. </w:t>
      </w:r>
      <w:r w:rsidRPr="009B605C">
        <w:rPr>
          <w:rFonts w:ascii="Cambria" w:eastAsiaTheme="minorEastAsia" w:hAnsi="Cambria"/>
          <w:i/>
          <w:iCs/>
          <w:lang w:eastAsia="zh-CN"/>
        </w:rPr>
        <w:t>International Review of Economics &amp; Finance</w:t>
      </w:r>
      <w:r w:rsidRPr="009B605C">
        <w:rPr>
          <w:rFonts w:ascii="Cambria" w:eastAsiaTheme="minorEastAsia" w:hAnsi="Cambria"/>
          <w:lang w:eastAsia="zh-CN"/>
        </w:rPr>
        <w:t xml:space="preserve">, </w:t>
      </w:r>
      <w:r w:rsidRPr="009B605C">
        <w:rPr>
          <w:rFonts w:ascii="Cambria" w:eastAsiaTheme="minorEastAsia" w:hAnsi="Cambria"/>
          <w:i/>
          <w:iCs/>
          <w:lang w:eastAsia="zh-CN"/>
        </w:rPr>
        <w:t>54</w:t>
      </w:r>
      <w:r w:rsidRPr="009B605C">
        <w:rPr>
          <w:rFonts w:ascii="Cambria" w:eastAsiaTheme="minorEastAsia" w:hAnsi="Cambria"/>
          <w:lang w:eastAsia="zh-CN"/>
        </w:rPr>
        <w:t>, pp.74-102.</w:t>
      </w:r>
      <w:bookmarkEnd w:id="15"/>
    </w:p>
    <w:p w14:paraId="31F3051C"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Mensi, W., Yousaf, I., Vo, X.V. and Kang, S.H., 2022. Asymmetric spillover and network connectedness between gold, BRENT oil and EU subsector markets. </w:t>
      </w:r>
      <w:r w:rsidRPr="009B605C">
        <w:rPr>
          <w:rFonts w:ascii="Cambria" w:eastAsiaTheme="minorEastAsia" w:hAnsi="Cambria"/>
          <w:i/>
          <w:iCs/>
        </w:rPr>
        <w:t>Journal of International Financial Markets, Institutions and Money</w:t>
      </w:r>
      <w:r w:rsidRPr="009B605C">
        <w:rPr>
          <w:rFonts w:ascii="Cambria" w:eastAsiaTheme="minorEastAsia" w:hAnsi="Cambria"/>
        </w:rPr>
        <w:t xml:space="preserve">, </w:t>
      </w:r>
      <w:r w:rsidRPr="009B605C">
        <w:rPr>
          <w:rFonts w:ascii="Cambria" w:eastAsiaTheme="minorEastAsia" w:hAnsi="Cambria"/>
          <w:i/>
          <w:iCs/>
        </w:rPr>
        <w:t>76</w:t>
      </w:r>
      <w:r w:rsidRPr="009B605C">
        <w:rPr>
          <w:rFonts w:ascii="Cambria" w:eastAsiaTheme="minorEastAsia" w:hAnsi="Cambria"/>
        </w:rPr>
        <w:t>, p.101487.</w:t>
      </w:r>
    </w:p>
    <w:p w14:paraId="5317DC7C"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Ming, L., Yang, P. and Liu, Q., 2023. Is gold a hedge or a safe haven against stock markets? Evidence from conditional </w:t>
      </w:r>
      <w:proofErr w:type="spellStart"/>
      <w:r w:rsidRPr="009B605C">
        <w:rPr>
          <w:rFonts w:ascii="Cambria" w:hAnsi="Cambria"/>
        </w:rPr>
        <w:t>comoments</w:t>
      </w:r>
      <w:proofErr w:type="spellEnd"/>
      <w:r w:rsidRPr="009B605C">
        <w:rPr>
          <w:rFonts w:ascii="Cambria" w:hAnsi="Cambria"/>
        </w:rPr>
        <w:t xml:space="preserve">. </w:t>
      </w:r>
      <w:r w:rsidRPr="009B605C">
        <w:rPr>
          <w:rFonts w:ascii="Cambria" w:hAnsi="Cambria"/>
          <w:i/>
          <w:iCs/>
        </w:rPr>
        <w:t>Journal of Empirical Finance</w:t>
      </w:r>
      <w:r w:rsidRPr="009B605C">
        <w:rPr>
          <w:rFonts w:ascii="Cambria" w:hAnsi="Cambria"/>
        </w:rPr>
        <w:t xml:space="preserve">, </w:t>
      </w:r>
      <w:r w:rsidRPr="009B605C">
        <w:rPr>
          <w:rFonts w:ascii="Cambria" w:hAnsi="Cambria"/>
          <w:i/>
          <w:iCs/>
        </w:rPr>
        <w:t>74</w:t>
      </w:r>
      <w:r w:rsidRPr="009B605C">
        <w:rPr>
          <w:rFonts w:ascii="Cambria" w:hAnsi="Cambria"/>
        </w:rPr>
        <w:t>, p.101439.</w:t>
      </w:r>
    </w:p>
    <w:p w14:paraId="55726EAA"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Momtaz, P.P., 2021. The pricing and performance of cryptocurrency. </w:t>
      </w:r>
      <w:r w:rsidRPr="009B605C">
        <w:rPr>
          <w:rFonts w:ascii="Cambria" w:hAnsi="Cambria"/>
          <w:i/>
          <w:iCs/>
        </w:rPr>
        <w:t>The European Journal of Finance</w:t>
      </w:r>
      <w:r w:rsidRPr="009B605C">
        <w:rPr>
          <w:rFonts w:ascii="Cambria" w:hAnsi="Cambria"/>
        </w:rPr>
        <w:t xml:space="preserve">, </w:t>
      </w:r>
      <w:r w:rsidRPr="009B605C">
        <w:rPr>
          <w:rFonts w:ascii="Cambria" w:hAnsi="Cambria"/>
          <w:i/>
          <w:iCs/>
        </w:rPr>
        <w:t>27</w:t>
      </w:r>
      <w:r w:rsidRPr="009B605C">
        <w:rPr>
          <w:rFonts w:ascii="Cambria" w:hAnsi="Cambria"/>
        </w:rPr>
        <w:t>(4-5), pp.367-380.</w:t>
      </w:r>
    </w:p>
    <w:p w14:paraId="220C65FF"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Naeem, M.A., Hamouda, F. and Karim, S., 2024. Tail risk spillover effects in commodity markets: A comparative study of crisis periods. </w:t>
      </w:r>
      <w:r w:rsidRPr="009B605C">
        <w:rPr>
          <w:rFonts w:ascii="Cambria" w:eastAsiaTheme="minorEastAsia" w:hAnsi="Cambria"/>
          <w:i/>
          <w:iCs/>
        </w:rPr>
        <w:t>Journal of Commodity Markets</w:t>
      </w:r>
      <w:r w:rsidRPr="009B605C">
        <w:rPr>
          <w:rFonts w:ascii="Cambria" w:eastAsiaTheme="minorEastAsia" w:hAnsi="Cambria"/>
        </w:rPr>
        <w:t xml:space="preserve">, </w:t>
      </w:r>
      <w:r w:rsidRPr="009B605C">
        <w:rPr>
          <w:rFonts w:ascii="Cambria" w:eastAsiaTheme="minorEastAsia" w:hAnsi="Cambria"/>
          <w:i/>
          <w:iCs/>
        </w:rPr>
        <w:t>33</w:t>
      </w:r>
      <w:r w:rsidRPr="009B605C">
        <w:rPr>
          <w:rFonts w:ascii="Cambria" w:eastAsiaTheme="minorEastAsia" w:hAnsi="Cambria"/>
        </w:rPr>
        <w:t>, p.100370.</w:t>
      </w:r>
    </w:p>
    <w:p w14:paraId="50B1B33D"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Naeem, M.A., Pham, L., Senthilkumar, A. and Karim, S., 2022. Oil shocks and BRIC markets: Evidence from extreme quantile approach. </w:t>
      </w:r>
      <w:r w:rsidRPr="009B605C">
        <w:rPr>
          <w:rFonts w:ascii="Cambria" w:eastAsiaTheme="minorEastAsia" w:hAnsi="Cambria"/>
          <w:i/>
          <w:iCs/>
        </w:rPr>
        <w:t>Energy Economics</w:t>
      </w:r>
      <w:r w:rsidRPr="009B605C">
        <w:rPr>
          <w:rFonts w:ascii="Cambria" w:eastAsiaTheme="minorEastAsia" w:hAnsi="Cambria"/>
        </w:rPr>
        <w:t xml:space="preserve">, </w:t>
      </w:r>
      <w:r w:rsidRPr="009B605C">
        <w:rPr>
          <w:rFonts w:ascii="Cambria" w:eastAsiaTheme="minorEastAsia" w:hAnsi="Cambria"/>
          <w:i/>
          <w:iCs/>
        </w:rPr>
        <w:t>108</w:t>
      </w:r>
      <w:r w:rsidRPr="009B605C">
        <w:rPr>
          <w:rFonts w:ascii="Cambria" w:eastAsiaTheme="minorEastAsia" w:hAnsi="Cambria"/>
        </w:rPr>
        <w:t>, p.105932.</w:t>
      </w:r>
    </w:p>
    <w:p w14:paraId="4C360F90"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Newey, W.K. and West, K.D., 1987. Hypothesis testing with efficient method of moments estimation. </w:t>
      </w:r>
      <w:r w:rsidRPr="009B605C">
        <w:rPr>
          <w:rFonts w:ascii="Cambria" w:hAnsi="Cambria"/>
          <w:i/>
          <w:iCs/>
        </w:rPr>
        <w:t>International Economic Review</w:t>
      </w:r>
      <w:r w:rsidRPr="009B605C">
        <w:rPr>
          <w:rFonts w:ascii="Cambria" w:hAnsi="Cambria"/>
        </w:rPr>
        <w:t>, pp.777-787.</w:t>
      </w:r>
    </w:p>
    <w:p w14:paraId="50FFF070"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Newey, W.K. and West, K.D., 1994. Automatic lag selection in covariance matrix estimation. </w:t>
      </w:r>
      <w:r w:rsidRPr="009B605C">
        <w:rPr>
          <w:rFonts w:ascii="Cambria" w:hAnsi="Cambria"/>
          <w:i/>
          <w:iCs/>
        </w:rPr>
        <w:t>The Review of Economic Studies</w:t>
      </w:r>
      <w:r w:rsidRPr="009B605C">
        <w:rPr>
          <w:rFonts w:ascii="Cambria" w:hAnsi="Cambria"/>
        </w:rPr>
        <w:t xml:space="preserve">, </w:t>
      </w:r>
      <w:r w:rsidRPr="009B605C">
        <w:rPr>
          <w:rFonts w:ascii="Cambria" w:hAnsi="Cambria"/>
          <w:i/>
          <w:iCs/>
        </w:rPr>
        <w:t>61</w:t>
      </w:r>
      <w:r w:rsidRPr="009B605C">
        <w:rPr>
          <w:rFonts w:ascii="Cambria" w:hAnsi="Cambria"/>
        </w:rPr>
        <w:t>(4), pp.631-653.</w:t>
      </w:r>
    </w:p>
    <w:p w14:paraId="4D93A573" w14:textId="60959BAF" w:rsidR="00263030" w:rsidRPr="009B605C" w:rsidRDefault="00263030" w:rsidP="00263030">
      <w:pPr>
        <w:spacing w:afterLines="80" w:after="192" w:line="276" w:lineRule="auto"/>
        <w:jc w:val="both"/>
        <w:rPr>
          <w:rFonts w:ascii="Cambria" w:hAnsi="Cambria"/>
        </w:rPr>
      </w:pPr>
      <w:r w:rsidRPr="009B605C">
        <w:rPr>
          <w:rFonts w:ascii="Cambria" w:hAnsi="Cambria"/>
        </w:rPr>
        <w:t xml:space="preserve">Patra, S. and Panda, P., 2021. Spillovers and financial integration in emerging markets: Analysis of BRICS economies within a VAR‐BEKK framework. </w:t>
      </w:r>
      <w:r w:rsidRPr="009B605C">
        <w:rPr>
          <w:rFonts w:ascii="Cambria" w:hAnsi="Cambria"/>
          <w:i/>
          <w:iCs/>
        </w:rPr>
        <w:t>International Journal of Finance &amp; Economics</w:t>
      </w:r>
      <w:r w:rsidRPr="009B605C">
        <w:rPr>
          <w:rFonts w:ascii="Cambria" w:hAnsi="Cambria"/>
        </w:rPr>
        <w:t xml:space="preserve">, </w:t>
      </w:r>
      <w:r w:rsidRPr="009B605C">
        <w:rPr>
          <w:rFonts w:ascii="Cambria" w:hAnsi="Cambria"/>
          <w:i/>
          <w:iCs/>
        </w:rPr>
        <w:t>26</w:t>
      </w:r>
      <w:r w:rsidRPr="009B605C">
        <w:rPr>
          <w:rFonts w:ascii="Cambria" w:hAnsi="Cambria"/>
        </w:rPr>
        <w:t>(1), pp.493-514.</w:t>
      </w:r>
    </w:p>
    <w:p w14:paraId="05B7CC76" w14:textId="77777777" w:rsidR="003E6CF1" w:rsidRPr="009B605C" w:rsidRDefault="003E6CF1" w:rsidP="0087752F">
      <w:pPr>
        <w:spacing w:afterLines="80" w:after="192" w:line="276" w:lineRule="auto"/>
        <w:jc w:val="both"/>
        <w:rPr>
          <w:rFonts w:ascii="Cambria" w:hAnsi="Cambria"/>
        </w:rPr>
      </w:pPr>
      <w:proofErr w:type="spellStart"/>
      <w:r w:rsidRPr="009B605C">
        <w:rPr>
          <w:rFonts w:ascii="Cambria" w:hAnsi="Cambria"/>
        </w:rPr>
        <w:t>Pesaran</w:t>
      </w:r>
      <w:proofErr w:type="spellEnd"/>
      <w:r w:rsidRPr="009B605C">
        <w:rPr>
          <w:rFonts w:ascii="Cambria" w:hAnsi="Cambria"/>
        </w:rPr>
        <w:t xml:space="preserve">, H.H. and Shin, Y., 1998. Generalized impulse response analysis in linear multivariate models. </w:t>
      </w:r>
      <w:r w:rsidRPr="009B605C">
        <w:rPr>
          <w:rFonts w:ascii="Cambria" w:hAnsi="Cambria"/>
          <w:i/>
          <w:iCs/>
        </w:rPr>
        <w:t>Economics Letters</w:t>
      </w:r>
      <w:r w:rsidRPr="009B605C">
        <w:rPr>
          <w:rFonts w:ascii="Cambria" w:hAnsi="Cambria"/>
        </w:rPr>
        <w:t xml:space="preserve">, </w:t>
      </w:r>
      <w:r w:rsidRPr="009B605C">
        <w:rPr>
          <w:rFonts w:ascii="Cambria" w:hAnsi="Cambria"/>
          <w:i/>
          <w:iCs/>
        </w:rPr>
        <w:t>58</w:t>
      </w:r>
      <w:r w:rsidRPr="009B605C">
        <w:rPr>
          <w:rFonts w:ascii="Cambria" w:hAnsi="Cambria"/>
        </w:rPr>
        <w:t>(1), pp.17-29.</w:t>
      </w:r>
    </w:p>
    <w:p w14:paraId="6B85E6BF" w14:textId="35CD7503" w:rsidR="00303FED" w:rsidRPr="009B605C" w:rsidRDefault="00303FED" w:rsidP="00303FED">
      <w:pPr>
        <w:spacing w:afterLines="80" w:after="192" w:line="276" w:lineRule="auto"/>
        <w:jc w:val="both"/>
        <w:rPr>
          <w:rFonts w:ascii="Cambria" w:hAnsi="Cambria"/>
        </w:rPr>
      </w:pPr>
      <w:r w:rsidRPr="009B605C">
        <w:rPr>
          <w:rFonts w:ascii="Cambria" w:hAnsi="Cambria"/>
        </w:rPr>
        <w:t xml:space="preserve">Pham, S.D., Nguyen, T.T. and Do, H.X., 2024. Impact of climate policy uncertainty on return spillover among green assets and portfolio implications. </w:t>
      </w:r>
      <w:r w:rsidRPr="009B605C">
        <w:rPr>
          <w:rFonts w:ascii="Cambria" w:hAnsi="Cambria"/>
          <w:i/>
          <w:iCs/>
        </w:rPr>
        <w:t>Energy Economics</w:t>
      </w:r>
      <w:r w:rsidRPr="009B605C">
        <w:rPr>
          <w:rFonts w:ascii="Cambria" w:hAnsi="Cambria"/>
        </w:rPr>
        <w:t xml:space="preserve">, </w:t>
      </w:r>
      <w:r w:rsidRPr="009B605C">
        <w:rPr>
          <w:rFonts w:ascii="Cambria" w:hAnsi="Cambria"/>
          <w:i/>
          <w:iCs/>
        </w:rPr>
        <w:t>134</w:t>
      </w:r>
      <w:r w:rsidRPr="009B605C">
        <w:rPr>
          <w:rFonts w:ascii="Cambria" w:hAnsi="Cambria"/>
        </w:rPr>
        <w:t>, p.107631.</w:t>
      </w:r>
    </w:p>
    <w:p w14:paraId="772B8130"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lastRenderedPageBreak/>
        <w:t xml:space="preserve">Qin, M., Su, C.W., </w:t>
      </w:r>
      <w:proofErr w:type="spellStart"/>
      <w:r w:rsidRPr="009B605C">
        <w:rPr>
          <w:rFonts w:ascii="Cambria" w:eastAsiaTheme="minorEastAsia" w:hAnsi="Cambria"/>
        </w:rPr>
        <w:t>Pirtea</w:t>
      </w:r>
      <w:proofErr w:type="spellEnd"/>
      <w:r w:rsidRPr="009B605C">
        <w:rPr>
          <w:rFonts w:ascii="Cambria" w:eastAsiaTheme="minorEastAsia" w:hAnsi="Cambria"/>
        </w:rPr>
        <w:t xml:space="preserve">, M.G. and </w:t>
      </w:r>
      <w:proofErr w:type="spellStart"/>
      <w:r w:rsidRPr="009B605C">
        <w:rPr>
          <w:rFonts w:ascii="Cambria" w:eastAsiaTheme="minorEastAsia" w:hAnsi="Cambria"/>
        </w:rPr>
        <w:t>Peculea</w:t>
      </w:r>
      <w:proofErr w:type="spellEnd"/>
      <w:r w:rsidRPr="009B605C">
        <w:rPr>
          <w:rFonts w:ascii="Cambria" w:eastAsiaTheme="minorEastAsia" w:hAnsi="Cambria"/>
        </w:rPr>
        <w:t xml:space="preserve">, A.D., 2023. The essential role of Russian geopolitics: A fresh perception into the gold market. </w:t>
      </w:r>
      <w:r w:rsidRPr="009B605C">
        <w:rPr>
          <w:rFonts w:ascii="Cambria" w:eastAsiaTheme="minorEastAsia" w:hAnsi="Cambria"/>
          <w:i/>
          <w:iCs/>
        </w:rPr>
        <w:t>Resources Policy</w:t>
      </w:r>
      <w:r w:rsidRPr="009B605C">
        <w:rPr>
          <w:rFonts w:ascii="Cambria" w:eastAsiaTheme="minorEastAsia" w:hAnsi="Cambria"/>
        </w:rPr>
        <w:t xml:space="preserve">, </w:t>
      </w:r>
      <w:r w:rsidRPr="009B605C">
        <w:rPr>
          <w:rFonts w:ascii="Cambria" w:eastAsiaTheme="minorEastAsia" w:hAnsi="Cambria"/>
          <w:i/>
          <w:iCs/>
        </w:rPr>
        <w:t>81</w:t>
      </w:r>
      <w:r w:rsidRPr="009B605C">
        <w:rPr>
          <w:rFonts w:ascii="Cambria" w:eastAsiaTheme="minorEastAsia" w:hAnsi="Cambria"/>
        </w:rPr>
        <w:t>, p.103310.</w:t>
      </w:r>
    </w:p>
    <w:p w14:paraId="601DB3E7" w14:textId="3034E2A3" w:rsidR="000420A6" w:rsidRPr="009B605C" w:rsidRDefault="000420A6" w:rsidP="000420A6">
      <w:pPr>
        <w:spacing w:afterLines="80" w:after="192" w:line="276" w:lineRule="auto"/>
        <w:jc w:val="both"/>
        <w:rPr>
          <w:rFonts w:ascii="Cambria" w:hAnsi="Cambria"/>
        </w:rPr>
      </w:pPr>
      <w:r w:rsidRPr="009B605C">
        <w:rPr>
          <w:rFonts w:ascii="Cambria" w:hAnsi="Cambria"/>
        </w:rPr>
        <w:t xml:space="preserve">Raza, N., Shahzad, S.J.H., Tiwari, A.K. and Shahbaz, M., 2016. Asymmetric impact of gold, oil prices and their volatilities on stock prices of emerging markets. </w:t>
      </w:r>
      <w:r w:rsidRPr="009B605C">
        <w:rPr>
          <w:rFonts w:ascii="Cambria" w:hAnsi="Cambria"/>
          <w:i/>
          <w:iCs/>
        </w:rPr>
        <w:t>Resources Policy</w:t>
      </w:r>
      <w:r w:rsidRPr="009B605C">
        <w:rPr>
          <w:rFonts w:ascii="Cambria" w:hAnsi="Cambria"/>
        </w:rPr>
        <w:t xml:space="preserve">, </w:t>
      </w:r>
      <w:r w:rsidRPr="009B605C">
        <w:rPr>
          <w:rFonts w:ascii="Cambria" w:hAnsi="Cambria"/>
          <w:i/>
          <w:iCs/>
        </w:rPr>
        <w:t>49</w:t>
      </w:r>
      <w:r w:rsidRPr="009B605C">
        <w:rPr>
          <w:rFonts w:ascii="Cambria" w:hAnsi="Cambria"/>
        </w:rPr>
        <w:t>, pp.290-301.</w:t>
      </w:r>
    </w:p>
    <w:p w14:paraId="5B0802BA"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Ren, B. and Lucey, B., 2022. A clean, green haven?—Examining the relationship between clean energy, clean and dirty cryptocurrencies. </w:t>
      </w:r>
      <w:r w:rsidRPr="009B605C">
        <w:rPr>
          <w:rFonts w:ascii="Cambria" w:eastAsiaTheme="minorEastAsia" w:hAnsi="Cambria"/>
          <w:i/>
          <w:iCs/>
          <w:lang w:eastAsia="zh-CN"/>
        </w:rPr>
        <w:t>Energy Economics</w:t>
      </w:r>
      <w:r w:rsidRPr="009B605C">
        <w:rPr>
          <w:rFonts w:ascii="Cambria" w:eastAsiaTheme="minorEastAsia" w:hAnsi="Cambria"/>
          <w:lang w:eastAsia="zh-CN"/>
        </w:rPr>
        <w:t xml:space="preserve">, </w:t>
      </w:r>
      <w:r w:rsidRPr="009B605C">
        <w:rPr>
          <w:rFonts w:ascii="Cambria" w:eastAsiaTheme="minorEastAsia" w:hAnsi="Cambria"/>
          <w:i/>
          <w:iCs/>
          <w:lang w:eastAsia="zh-CN"/>
        </w:rPr>
        <w:t>109</w:t>
      </w:r>
      <w:r w:rsidRPr="009B605C">
        <w:rPr>
          <w:rFonts w:ascii="Cambria" w:eastAsiaTheme="minorEastAsia" w:hAnsi="Cambria"/>
          <w:lang w:eastAsia="zh-CN"/>
        </w:rPr>
        <w:t>, p.105951.</w:t>
      </w:r>
    </w:p>
    <w:p w14:paraId="5D5D6FD0"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Ren, X., Wang, R., Duan, K. and Chen, J., 2022. Dynamics of the sheltering role of Bitcoin against crude oil market crash with varying severity of the COVID-19: A comparison with gold. </w:t>
      </w:r>
      <w:r w:rsidRPr="009B605C">
        <w:rPr>
          <w:rFonts w:ascii="Cambria" w:eastAsiaTheme="minorEastAsia" w:hAnsi="Cambria"/>
          <w:i/>
          <w:iCs/>
          <w:lang w:eastAsia="zh-CN"/>
        </w:rPr>
        <w:t>Research in International Business and Finance</w:t>
      </w:r>
      <w:r w:rsidRPr="009B605C">
        <w:rPr>
          <w:rFonts w:ascii="Cambria" w:eastAsiaTheme="minorEastAsia" w:hAnsi="Cambria"/>
          <w:lang w:eastAsia="zh-CN"/>
        </w:rPr>
        <w:t>, 62, p.101672.</w:t>
      </w:r>
    </w:p>
    <w:p w14:paraId="64975B06"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Rizvi, S.K.A., Naqvi, B., Mirza, N. and Umar, M., 2022. Safe haven properties of green, Islamic, and crypto assets and investor's proclivity towards treasury and gold. </w:t>
      </w:r>
      <w:r w:rsidRPr="009B605C">
        <w:rPr>
          <w:rFonts w:ascii="Cambria" w:eastAsiaTheme="minorEastAsia" w:hAnsi="Cambria"/>
          <w:i/>
          <w:iCs/>
        </w:rPr>
        <w:t>Energy Economics</w:t>
      </w:r>
      <w:r w:rsidRPr="009B605C">
        <w:rPr>
          <w:rFonts w:ascii="Cambria" w:eastAsiaTheme="minorEastAsia" w:hAnsi="Cambria"/>
        </w:rPr>
        <w:t xml:space="preserve">, </w:t>
      </w:r>
      <w:r w:rsidRPr="009B605C">
        <w:rPr>
          <w:rFonts w:ascii="Cambria" w:eastAsiaTheme="minorEastAsia" w:hAnsi="Cambria"/>
          <w:i/>
          <w:iCs/>
        </w:rPr>
        <w:t>115</w:t>
      </w:r>
      <w:r w:rsidRPr="009B605C">
        <w:rPr>
          <w:rFonts w:ascii="Cambria" w:eastAsiaTheme="minorEastAsia" w:hAnsi="Cambria"/>
        </w:rPr>
        <w:t>, p.106396.</w:t>
      </w:r>
    </w:p>
    <w:p w14:paraId="503C2BDA" w14:textId="77777777" w:rsidR="00EE3E3D" w:rsidRPr="009B605C" w:rsidRDefault="00EE3E3D" w:rsidP="0087752F">
      <w:pPr>
        <w:spacing w:afterLines="80" w:after="192" w:line="276" w:lineRule="auto"/>
        <w:jc w:val="both"/>
        <w:rPr>
          <w:rFonts w:ascii="Cambria" w:hAnsi="Cambria"/>
        </w:rPr>
      </w:pPr>
      <w:r w:rsidRPr="009B605C">
        <w:rPr>
          <w:rFonts w:ascii="Cambria" w:hAnsi="Cambria"/>
        </w:rPr>
        <w:t xml:space="preserve">Rossi, B., 2005. Optimal tests for nested model selection with underlying parameter instability. </w:t>
      </w:r>
      <w:r w:rsidRPr="009B605C">
        <w:rPr>
          <w:rFonts w:ascii="Cambria" w:hAnsi="Cambria"/>
          <w:i/>
          <w:iCs/>
        </w:rPr>
        <w:t>Econometric Theory</w:t>
      </w:r>
      <w:r w:rsidRPr="009B605C">
        <w:rPr>
          <w:rFonts w:ascii="Cambria" w:hAnsi="Cambria"/>
        </w:rPr>
        <w:t xml:space="preserve">, </w:t>
      </w:r>
      <w:r w:rsidRPr="009B605C">
        <w:rPr>
          <w:rFonts w:ascii="Cambria" w:hAnsi="Cambria"/>
          <w:i/>
          <w:iCs/>
        </w:rPr>
        <w:t>21</w:t>
      </w:r>
      <w:r w:rsidRPr="009B605C">
        <w:rPr>
          <w:rFonts w:ascii="Cambria" w:hAnsi="Cambria"/>
        </w:rPr>
        <w:t>(5), pp.962-990.</w:t>
      </w:r>
    </w:p>
    <w:p w14:paraId="1D8BD491"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Rossi, B. and Wang, Y., 2019. Vector autoregressive-based Granger causality test in the presence of instabilities. </w:t>
      </w:r>
      <w:r w:rsidRPr="009B605C">
        <w:rPr>
          <w:rFonts w:ascii="Cambria" w:hAnsi="Cambria"/>
          <w:i/>
          <w:iCs/>
        </w:rPr>
        <w:t>The Stata Journal</w:t>
      </w:r>
      <w:r w:rsidRPr="009B605C">
        <w:rPr>
          <w:rFonts w:ascii="Cambria" w:hAnsi="Cambria"/>
        </w:rPr>
        <w:t xml:space="preserve">, </w:t>
      </w:r>
      <w:r w:rsidRPr="009B605C">
        <w:rPr>
          <w:rFonts w:ascii="Cambria" w:hAnsi="Cambria"/>
          <w:i/>
          <w:iCs/>
        </w:rPr>
        <w:t>19</w:t>
      </w:r>
      <w:r w:rsidRPr="009B605C">
        <w:rPr>
          <w:rFonts w:ascii="Cambria" w:hAnsi="Cambria"/>
        </w:rPr>
        <w:t>(4), pp.883-899.</w:t>
      </w:r>
    </w:p>
    <w:p w14:paraId="2E8664B6" w14:textId="77777777" w:rsidR="003E6CF1" w:rsidRPr="009B605C" w:rsidRDefault="003E6CF1" w:rsidP="0087752F">
      <w:pPr>
        <w:spacing w:afterLines="80" w:after="192" w:line="276" w:lineRule="auto"/>
        <w:jc w:val="both"/>
        <w:rPr>
          <w:rFonts w:ascii="Cambria" w:eastAsiaTheme="minorEastAsia" w:hAnsi="Cambria"/>
          <w:lang w:eastAsia="zh-CN"/>
        </w:rPr>
      </w:pPr>
      <w:proofErr w:type="spellStart"/>
      <w:r w:rsidRPr="009B605C">
        <w:rPr>
          <w:rFonts w:ascii="Cambria" w:eastAsiaTheme="minorEastAsia" w:hAnsi="Cambria"/>
          <w:lang w:eastAsia="zh-CN"/>
        </w:rPr>
        <w:t>Rubbaniy</w:t>
      </w:r>
      <w:proofErr w:type="spellEnd"/>
      <w:r w:rsidRPr="009B605C">
        <w:rPr>
          <w:rFonts w:ascii="Cambria" w:eastAsiaTheme="minorEastAsia" w:hAnsi="Cambria"/>
          <w:lang w:eastAsia="zh-CN"/>
        </w:rPr>
        <w:t xml:space="preserve">, G., Khalid, A.A., </w:t>
      </w:r>
      <w:proofErr w:type="spellStart"/>
      <w:r w:rsidRPr="009B605C">
        <w:rPr>
          <w:rFonts w:ascii="Cambria" w:eastAsiaTheme="minorEastAsia" w:hAnsi="Cambria"/>
          <w:lang w:eastAsia="zh-CN"/>
        </w:rPr>
        <w:t>Syriopoulos</w:t>
      </w:r>
      <w:proofErr w:type="spellEnd"/>
      <w:r w:rsidRPr="009B605C">
        <w:rPr>
          <w:rFonts w:ascii="Cambria" w:eastAsiaTheme="minorEastAsia" w:hAnsi="Cambria"/>
          <w:lang w:eastAsia="zh-CN"/>
        </w:rPr>
        <w:t xml:space="preserve">, K. and Polyzos, E., 2024. Dynamic returns connectedness: Portfolio hedging implications during the COVID‐19 pandemic and the Russia–Ukraine war. </w:t>
      </w:r>
      <w:r w:rsidRPr="009B605C">
        <w:rPr>
          <w:rFonts w:ascii="Cambria" w:eastAsiaTheme="minorEastAsia" w:hAnsi="Cambria"/>
          <w:i/>
          <w:iCs/>
          <w:lang w:eastAsia="zh-CN"/>
        </w:rPr>
        <w:t>Journal of Futures Markets</w:t>
      </w:r>
      <w:r w:rsidRPr="009B605C">
        <w:rPr>
          <w:rFonts w:ascii="Cambria" w:eastAsiaTheme="minorEastAsia" w:hAnsi="Cambria"/>
          <w:lang w:eastAsia="zh-CN"/>
        </w:rPr>
        <w:t xml:space="preserve">, </w:t>
      </w:r>
      <w:r w:rsidRPr="009B605C">
        <w:rPr>
          <w:rFonts w:ascii="Cambria" w:eastAsiaTheme="minorEastAsia" w:hAnsi="Cambria"/>
          <w:i/>
          <w:iCs/>
          <w:lang w:eastAsia="zh-CN"/>
        </w:rPr>
        <w:t>44</w:t>
      </w:r>
      <w:r w:rsidRPr="009B605C">
        <w:rPr>
          <w:rFonts w:ascii="Cambria" w:eastAsiaTheme="minorEastAsia" w:hAnsi="Cambria"/>
          <w:lang w:eastAsia="zh-CN"/>
        </w:rPr>
        <w:t>(10), pp.1613-1639.</w:t>
      </w:r>
    </w:p>
    <w:p w14:paraId="74D25DB3"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Salisu, A.A., Raheem, I.D. and Vo, X.V., 2021. Assessing the safe haven property of the gold market during COVID-19 pandemic. </w:t>
      </w:r>
      <w:r w:rsidRPr="009B605C">
        <w:rPr>
          <w:rFonts w:ascii="Cambria" w:eastAsiaTheme="minorEastAsia" w:hAnsi="Cambria"/>
          <w:i/>
          <w:iCs/>
        </w:rPr>
        <w:t>International Review of Financial Analysis</w:t>
      </w:r>
      <w:r w:rsidRPr="009B605C">
        <w:rPr>
          <w:rFonts w:ascii="Cambria" w:eastAsiaTheme="minorEastAsia" w:hAnsi="Cambria"/>
        </w:rPr>
        <w:t xml:space="preserve">, </w:t>
      </w:r>
      <w:r w:rsidRPr="009B605C">
        <w:rPr>
          <w:rFonts w:ascii="Cambria" w:eastAsiaTheme="minorEastAsia" w:hAnsi="Cambria"/>
          <w:i/>
          <w:iCs/>
        </w:rPr>
        <w:t>74</w:t>
      </w:r>
      <w:r w:rsidRPr="009B605C">
        <w:rPr>
          <w:rFonts w:ascii="Cambria" w:eastAsiaTheme="minorEastAsia" w:hAnsi="Cambria"/>
        </w:rPr>
        <w:t>, p.101666.</w:t>
      </w:r>
    </w:p>
    <w:p w14:paraId="45619616"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Shahzad, S.J.H., Bouri, E., Rehman, M.U. and </w:t>
      </w:r>
      <w:proofErr w:type="spellStart"/>
      <w:r w:rsidRPr="009B605C">
        <w:rPr>
          <w:rFonts w:ascii="Cambria" w:eastAsiaTheme="minorEastAsia" w:hAnsi="Cambria"/>
        </w:rPr>
        <w:t>Roubaud</w:t>
      </w:r>
      <w:proofErr w:type="spellEnd"/>
      <w:r w:rsidRPr="009B605C">
        <w:rPr>
          <w:rFonts w:ascii="Cambria" w:eastAsiaTheme="minorEastAsia" w:hAnsi="Cambria"/>
        </w:rPr>
        <w:t xml:space="preserve">, D., 2022. The hedge asset for BRICS stock markets: Bitcoin, gold or VIX. </w:t>
      </w:r>
      <w:r w:rsidRPr="009B605C">
        <w:rPr>
          <w:rFonts w:ascii="Cambria" w:eastAsiaTheme="minorEastAsia" w:hAnsi="Cambria"/>
          <w:i/>
          <w:iCs/>
        </w:rPr>
        <w:t>The World Economy</w:t>
      </w:r>
      <w:r w:rsidRPr="009B605C">
        <w:rPr>
          <w:rFonts w:ascii="Cambria" w:eastAsiaTheme="minorEastAsia" w:hAnsi="Cambria"/>
        </w:rPr>
        <w:t xml:space="preserve">, </w:t>
      </w:r>
      <w:r w:rsidRPr="009B605C">
        <w:rPr>
          <w:rFonts w:ascii="Cambria" w:eastAsiaTheme="minorEastAsia" w:hAnsi="Cambria"/>
          <w:i/>
          <w:iCs/>
        </w:rPr>
        <w:t>45</w:t>
      </w:r>
      <w:r w:rsidRPr="009B605C">
        <w:rPr>
          <w:rFonts w:ascii="Cambria" w:eastAsiaTheme="minorEastAsia" w:hAnsi="Cambria"/>
        </w:rPr>
        <w:t>(1), pp.292-316.</w:t>
      </w:r>
    </w:p>
    <w:p w14:paraId="4BC79FC9"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Sharma, A.K., 2023. Asymmetric impact of economic policy uncertainty on cryptocurrency market: Evidence from NARDL approach. </w:t>
      </w:r>
      <w:r w:rsidRPr="009B605C">
        <w:rPr>
          <w:rFonts w:ascii="Cambria" w:hAnsi="Cambria"/>
          <w:i/>
          <w:iCs/>
        </w:rPr>
        <w:t>The Journal of Economic Asymmetries</w:t>
      </w:r>
      <w:r w:rsidRPr="009B605C">
        <w:rPr>
          <w:rFonts w:ascii="Cambria" w:hAnsi="Cambria"/>
        </w:rPr>
        <w:t xml:space="preserve">, </w:t>
      </w:r>
      <w:r w:rsidRPr="009B605C">
        <w:rPr>
          <w:rFonts w:ascii="Cambria" w:hAnsi="Cambria"/>
          <w:i/>
          <w:iCs/>
        </w:rPr>
        <w:t>27</w:t>
      </w:r>
      <w:r w:rsidRPr="009B605C">
        <w:rPr>
          <w:rFonts w:ascii="Cambria" w:hAnsi="Cambria"/>
        </w:rPr>
        <w:t>, p.e00298.</w:t>
      </w:r>
    </w:p>
    <w:p w14:paraId="4449BB09"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Urquhart, A. and Zhang, H., 2019. Is Bitcoin a hedge or safe haven for currencies? An intraday analysis.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63</w:t>
      </w:r>
      <w:r w:rsidRPr="009B605C">
        <w:rPr>
          <w:rFonts w:ascii="Cambria" w:eastAsiaTheme="minorEastAsia" w:hAnsi="Cambria"/>
          <w:lang w:eastAsia="zh-CN"/>
        </w:rPr>
        <w:t>, pp.49-57.</w:t>
      </w:r>
    </w:p>
    <w:p w14:paraId="5B991A04"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Ustaoglu, E., 2023. Diversification, hedge, and safe-haven properties of gold and bitcoin with portfolio implications during the Russia–Ukraine war. </w:t>
      </w:r>
      <w:r w:rsidRPr="009B605C">
        <w:rPr>
          <w:rFonts w:ascii="Cambria" w:eastAsiaTheme="minorEastAsia" w:hAnsi="Cambria"/>
          <w:i/>
          <w:iCs/>
          <w:lang w:eastAsia="zh-CN"/>
        </w:rPr>
        <w:t>Resources Policy</w:t>
      </w:r>
      <w:r w:rsidRPr="009B605C">
        <w:rPr>
          <w:rFonts w:ascii="Cambria" w:eastAsiaTheme="minorEastAsia" w:hAnsi="Cambria"/>
          <w:lang w:eastAsia="zh-CN"/>
        </w:rPr>
        <w:t xml:space="preserve">, </w:t>
      </w:r>
      <w:r w:rsidRPr="009B605C">
        <w:rPr>
          <w:rFonts w:ascii="Cambria" w:eastAsiaTheme="minorEastAsia" w:hAnsi="Cambria"/>
          <w:i/>
          <w:iCs/>
          <w:lang w:eastAsia="zh-CN"/>
        </w:rPr>
        <w:t>84</w:t>
      </w:r>
      <w:r w:rsidRPr="009B605C">
        <w:rPr>
          <w:rFonts w:ascii="Cambria" w:eastAsiaTheme="minorEastAsia" w:hAnsi="Cambria"/>
          <w:lang w:eastAsia="zh-CN"/>
        </w:rPr>
        <w:t>, p.103791.</w:t>
      </w:r>
    </w:p>
    <w:p w14:paraId="1B87EBD0"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Vidal-Tomás, D., 2022. Which cryptocurrency data sources should scholars use?. </w:t>
      </w:r>
      <w:r w:rsidRPr="009B605C">
        <w:rPr>
          <w:rFonts w:ascii="Cambria" w:hAnsi="Cambria"/>
          <w:i/>
          <w:iCs/>
        </w:rPr>
        <w:t>International Review of Financial Analysis</w:t>
      </w:r>
      <w:r w:rsidRPr="009B605C">
        <w:rPr>
          <w:rFonts w:ascii="Cambria" w:hAnsi="Cambria"/>
        </w:rPr>
        <w:t xml:space="preserve">, </w:t>
      </w:r>
      <w:r w:rsidRPr="009B605C">
        <w:rPr>
          <w:rFonts w:ascii="Cambria" w:hAnsi="Cambria"/>
          <w:i/>
          <w:iCs/>
        </w:rPr>
        <w:t>81</w:t>
      </w:r>
      <w:r w:rsidRPr="009B605C">
        <w:rPr>
          <w:rFonts w:ascii="Cambria" w:hAnsi="Cambria"/>
        </w:rPr>
        <w:t>, p.102061.</w:t>
      </w:r>
    </w:p>
    <w:p w14:paraId="486E54AB"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lastRenderedPageBreak/>
        <w:t xml:space="preserve">Wang, J., Enilov, M. and </w:t>
      </w:r>
      <w:proofErr w:type="spellStart"/>
      <w:r w:rsidRPr="009B605C">
        <w:rPr>
          <w:rFonts w:ascii="Cambria" w:hAnsi="Cambria"/>
        </w:rPr>
        <w:t>Kizys</w:t>
      </w:r>
      <w:proofErr w:type="spellEnd"/>
      <w:r w:rsidRPr="009B605C">
        <w:rPr>
          <w:rFonts w:ascii="Cambria" w:hAnsi="Cambria"/>
        </w:rPr>
        <w:t xml:space="preserve">, R., 2024. Does M&amp;A activity spin the cycle of energy prices?. </w:t>
      </w:r>
      <w:r w:rsidRPr="009B605C">
        <w:rPr>
          <w:rFonts w:ascii="Cambria" w:hAnsi="Cambria"/>
          <w:i/>
          <w:iCs/>
        </w:rPr>
        <w:t>Energy Economics</w:t>
      </w:r>
      <w:r w:rsidRPr="009B605C">
        <w:rPr>
          <w:rFonts w:ascii="Cambria" w:hAnsi="Cambria"/>
        </w:rPr>
        <w:t xml:space="preserve">, </w:t>
      </w:r>
      <w:r w:rsidRPr="009B605C">
        <w:rPr>
          <w:rFonts w:ascii="Cambria" w:hAnsi="Cambria"/>
          <w:i/>
          <w:iCs/>
        </w:rPr>
        <w:t>137</w:t>
      </w:r>
      <w:r w:rsidRPr="009B605C">
        <w:rPr>
          <w:rFonts w:ascii="Cambria" w:hAnsi="Cambria"/>
        </w:rPr>
        <w:t>, p.107781.</w:t>
      </w:r>
    </w:p>
    <w:p w14:paraId="4BB2F03F"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Wang, K.M. and Lee, Y.M., 2022. Is gold a safe haven for exchange rate risks? An empirical study of major currency countries. </w:t>
      </w:r>
      <w:r w:rsidRPr="009B605C">
        <w:rPr>
          <w:rFonts w:ascii="Cambria" w:eastAsiaTheme="minorEastAsia" w:hAnsi="Cambria"/>
          <w:i/>
          <w:iCs/>
          <w:lang w:eastAsia="zh-CN"/>
        </w:rPr>
        <w:t>Journal of Multinational Financial Management</w:t>
      </w:r>
      <w:r w:rsidRPr="009B605C">
        <w:rPr>
          <w:rFonts w:ascii="Cambria" w:eastAsiaTheme="minorEastAsia" w:hAnsi="Cambria"/>
          <w:lang w:eastAsia="zh-CN"/>
        </w:rPr>
        <w:t xml:space="preserve">, </w:t>
      </w:r>
      <w:r w:rsidRPr="009B605C">
        <w:rPr>
          <w:rFonts w:ascii="Cambria" w:eastAsiaTheme="minorEastAsia" w:hAnsi="Cambria"/>
          <w:i/>
          <w:iCs/>
          <w:lang w:eastAsia="zh-CN"/>
        </w:rPr>
        <w:t>63</w:t>
      </w:r>
      <w:r w:rsidRPr="009B605C">
        <w:rPr>
          <w:rFonts w:ascii="Cambria" w:eastAsiaTheme="minorEastAsia" w:hAnsi="Cambria"/>
          <w:lang w:eastAsia="zh-CN"/>
        </w:rPr>
        <w:t>, p.100705.</w:t>
      </w:r>
    </w:p>
    <w:p w14:paraId="2AB78FB5"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Wang, Z.X., Liu, B.Y. and Fan, Y., 2023. Network connectedness between China's crude oil futures and sector stock indices. </w:t>
      </w:r>
      <w:r w:rsidRPr="009B605C">
        <w:rPr>
          <w:rFonts w:ascii="Cambria" w:hAnsi="Cambria"/>
          <w:i/>
          <w:iCs/>
        </w:rPr>
        <w:t>Energy Economics</w:t>
      </w:r>
      <w:r w:rsidRPr="009B605C">
        <w:rPr>
          <w:rFonts w:ascii="Cambria" w:hAnsi="Cambria"/>
        </w:rPr>
        <w:t xml:space="preserve">, </w:t>
      </w:r>
      <w:r w:rsidRPr="009B605C">
        <w:rPr>
          <w:rFonts w:ascii="Cambria" w:hAnsi="Cambria"/>
          <w:i/>
          <w:iCs/>
        </w:rPr>
        <w:t>125</w:t>
      </w:r>
      <w:r w:rsidRPr="009B605C">
        <w:rPr>
          <w:rFonts w:ascii="Cambria" w:hAnsi="Cambria"/>
        </w:rPr>
        <w:t>, p.106848.</w:t>
      </w:r>
    </w:p>
    <w:p w14:paraId="5F10DF08"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Wen, F., Tong, X. and Ren, X., 2022. Gold or Bitcoin, which is the safe haven during the COVID-19 pandemic?.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81</w:t>
      </w:r>
      <w:r w:rsidRPr="009B605C">
        <w:rPr>
          <w:rFonts w:ascii="Cambria" w:eastAsiaTheme="minorEastAsia" w:hAnsi="Cambria"/>
          <w:lang w:eastAsia="zh-CN"/>
        </w:rPr>
        <w:t>, p.102121.</w:t>
      </w:r>
    </w:p>
    <w:p w14:paraId="7659B961" w14:textId="3143F27C" w:rsidR="00460658" w:rsidRPr="009B605C" w:rsidRDefault="00460658" w:rsidP="00A04325">
      <w:pPr>
        <w:pStyle w:val="NormalWeb"/>
        <w:spacing w:line="276" w:lineRule="auto"/>
        <w:jc w:val="both"/>
        <w:rPr>
          <w:rFonts w:ascii="Cambria" w:hAnsi="Cambria"/>
        </w:rPr>
      </w:pPr>
      <w:r w:rsidRPr="009B605C">
        <w:rPr>
          <w:rFonts w:ascii="Cambria" w:hAnsi="Cambria"/>
        </w:rPr>
        <w:t xml:space="preserve">Xie, W. and Cao, G., 2024. Volatility and returns connectedness between cryptocurrency and China’s financial markets: A TVP-VAR extended joint connectedness approach. </w:t>
      </w:r>
      <w:r w:rsidRPr="009B605C">
        <w:rPr>
          <w:rFonts w:ascii="Cambria" w:hAnsi="Cambria"/>
          <w:i/>
          <w:iCs/>
        </w:rPr>
        <w:t>The North American Journal of Economics and Finance</w:t>
      </w:r>
      <w:r w:rsidRPr="009B605C">
        <w:rPr>
          <w:rFonts w:ascii="Cambria" w:hAnsi="Cambria"/>
        </w:rPr>
        <w:t xml:space="preserve">, </w:t>
      </w:r>
      <w:r w:rsidRPr="009B605C">
        <w:rPr>
          <w:rFonts w:ascii="Cambria" w:hAnsi="Cambria"/>
          <w:i/>
          <w:iCs/>
        </w:rPr>
        <w:t>74</w:t>
      </w:r>
      <w:r w:rsidRPr="009B605C">
        <w:rPr>
          <w:rFonts w:ascii="Cambria" w:hAnsi="Cambria"/>
        </w:rPr>
        <w:t>, p.102231.</w:t>
      </w:r>
    </w:p>
    <w:p w14:paraId="25490C4D"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Xu, L. and </w:t>
      </w:r>
      <w:proofErr w:type="spellStart"/>
      <w:r w:rsidRPr="009B605C">
        <w:rPr>
          <w:rFonts w:ascii="Cambria" w:eastAsiaTheme="minorEastAsia" w:hAnsi="Cambria"/>
        </w:rPr>
        <w:t>Kinkyo</w:t>
      </w:r>
      <w:proofErr w:type="spellEnd"/>
      <w:r w:rsidRPr="009B605C">
        <w:rPr>
          <w:rFonts w:ascii="Cambria" w:eastAsiaTheme="minorEastAsia" w:hAnsi="Cambria"/>
        </w:rPr>
        <w:t xml:space="preserve">, T., 2023. Hedging effectiveness of bitcoin and gold: Evidence from G7 stock markets. </w:t>
      </w:r>
      <w:r w:rsidRPr="009B605C">
        <w:rPr>
          <w:rFonts w:ascii="Cambria" w:eastAsiaTheme="minorEastAsia" w:hAnsi="Cambria"/>
          <w:i/>
          <w:iCs/>
        </w:rPr>
        <w:t>Journal of International Financial Markets, Institutions and Money</w:t>
      </w:r>
      <w:r w:rsidRPr="009B605C">
        <w:rPr>
          <w:rFonts w:ascii="Cambria" w:eastAsiaTheme="minorEastAsia" w:hAnsi="Cambria"/>
        </w:rPr>
        <w:t xml:space="preserve">, </w:t>
      </w:r>
      <w:r w:rsidRPr="009B605C">
        <w:rPr>
          <w:rFonts w:ascii="Cambria" w:eastAsiaTheme="minorEastAsia" w:hAnsi="Cambria"/>
          <w:i/>
          <w:iCs/>
        </w:rPr>
        <w:t>85</w:t>
      </w:r>
      <w:r w:rsidRPr="009B605C">
        <w:rPr>
          <w:rFonts w:ascii="Cambria" w:eastAsiaTheme="minorEastAsia" w:hAnsi="Cambria"/>
        </w:rPr>
        <w:t>, p.101764.</w:t>
      </w:r>
    </w:p>
    <w:p w14:paraId="1843C993" w14:textId="78154238" w:rsidR="007528F8" w:rsidRPr="009B605C" w:rsidRDefault="007528F8" w:rsidP="007528F8">
      <w:pPr>
        <w:spacing w:afterLines="80" w:after="192" w:line="276" w:lineRule="auto"/>
        <w:jc w:val="both"/>
        <w:rPr>
          <w:rFonts w:ascii="Cambria" w:eastAsiaTheme="minorEastAsia" w:hAnsi="Cambria"/>
        </w:rPr>
      </w:pPr>
      <w:r w:rsidRPr="009B605C">
        <w:rPr>
          <w:rFonts w:ascii="Cambria" w:eastAsiaTheme="minorEastAsia" w:hAnsi="Cambria"/>
        </w:rPr>
        <w:t xml:space="preserve">Yousaf, I., Youssef, M. and Goodell, J.W., 2022. Quantile connectedness between sentiment and financial markets: evidence from the S&amp;P 500 twitter sentiment index. </w:t>
      </w:r>
      <w:r w:rsidRPr="009B605C">
        <w:rPr>
          <w:rFonts w:ascii="Cambria" w:eastAsiaTheme="minorEastAsia" w:hAnsi="Cambria"/>
          <w:i/>
          <w:iCs/>
        </w:rPr>
        <w:t>International Review of Financial Analysis</w:t>
      </w:r>
      <w:r w:rsidRPr="009B605C">
        <w:rPr>
          <w:rFonts w:ascii="Cambria" w:eastAsiaTheme="minorEastAsia" w:hAnsi="Cambria"/>
        </w:rPr>
        <w:t xml:space="preserve">, </w:t>
      </w:r>
      <w:r w:rsidRPr="009B605C">
        <w:rPr>
          <w:rFonts w:ascii="Cambria" w:eastAsiaTheme="minorEastAsia" w:hAnsi="Cambria"/>
          <w:i/>
          <w:iCs/>
        </w:rPr>
        <w:t>83</w:t>
      </w:r>
      <w:r w:rsidRPr="009B605C">
        <w:rPr>
          <w:rFonts w:ascii="Cambria" w:eastAsiaTheme="minorEastAsia" w:hAnsi="Cambria"/>
        </w:rPr>
        <w:t>, p.102322.</w:t>
      </w:r>
    </w:p>
    <w:p w14:paraId="7E69AA01"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Yu, W., Gan, Y., Zhou, B. and Dai, J., 2024. Revisiting the economic policy uncertainty and resource rents nexus: Moderating impact of financial sector development in BRICS.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94</w:t>
      </w:r>
      <w:r w:rsidRPr="009B605C">
        <w:rPr>
          <w:rFonts w:ascii="Cambria" w:eastAsiaTheme="minorEastAsia" w:hAnsi="Cambria"/>
          <w:lang w:eastAsia="zh-CN"/>
        </w:rPr>
        <w:t>, p.103324.</w:t>
      </w:r>
    </w:p>
    <w:p w14:paraId="36ABE5DE"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Zhang, Y. and Sun, Y., 2023. Did US and Chinese investors respond differently to the exogenous shocks from COVID-19 and the war in Ukraine?. </w:t>
      </w:r>
      <w:r w:rsidRPr="009B605C">
        <w:rPr>
          <w:rFonts w:ascii="Cambria" w:eastAsiaTheme="minorEastAsia" w:hAnsi="Cambria"/>
          <w:i/>
          <w:iCs/>
          <w:lang w:eastAsia="zh-CN"/>
        </w:rPr>
        <w:t>International Review of Financial Analysis</w:t>
      </w:r>
      <w:r w:rsidRPr="009B605C">
        <w:rPr>
          <w:rFonts w:ascii="Cambria" w:eastAsiaTheme="minorEastAsia" w:hAnsi="Cambria"/>
          <w:lang w:eastAsia="zh-CN"/>
        </w:rPr>
        <w:t xml:space="preserve">, </w:t>
      </w:r>
      <w:r w:rsidRPr="009B605C">
        <w:rPr>
          <w:rFonts w:ascii="Cambria" w:eastAsiaTheme="minorEastAsia" w:hAnsi="Cambria"/>
          <w:i/>
          <w:iCs/>
          <w:lang w:eastAsia="zh-CN"/>
        </w:rPr>
        <w:t>88</w:t>
      </w:r>
      <w:r w:rsidRPr="009B605C">
        <w:rPr>
          <w:rFonts w:ascii="Cambria" w:eastAsiaTheme="minorEastAsia" w:hAnsi="Cambria"/>
          <w:lang w:eastAsia="zh-CN"/>
        </w:rPr>
        <w:t>, p.102710.</w:t>
      </w:r>
    </w:p>
    <w:p w14:paraId="2DBCAF90" w14:textId="13141618" w:rsidR="00E618A8" w:rsidRPr="009B605C" w:rsidRDefault="00E618A8"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Zhao, J. and Zhang, T., 2023. Exploring the time-varying dependence between Bitcoin and the global stock market: Evidence from a TVP-VAR approach. </w:t>
      </w:r>
      <w:r w:rsidRPr="009B605C">
        <w:rPr>
          <w:rFonts w:ascii="Cambria" w:eastAsiaTheme="minorEastAsia" w:hAnsi="Cambria"/>
          <w:i/>
          <w:iCs/>
          <w:lang w:eastAsia="zh-CN"/>
        </w:rPr>
        <w:t>Finance Research Letters</w:t>
      </w:r>
      <w:r w:rsidRPr="009B605C">
        <w:rPr>
          <w:rFonts w:ascii="Cambria" w:eastAsiaTheme="minorEastAsia" w:hAnsi="Cambria"/>
          <w:lang w:eastAsia="zh-CN"/>
        </w:rPr>
        <w:t xml:space="preserve">, </w:t>
      </w:r>
      <w:r w:rsidRPr="009B605C">
        <w:rPr>
          <w:rFonts w:ascii="Cambria" w:eastAsiaTheme="minorEastAsia" w:hAnsi="Cambria"/>
          <w:i/>
          <w:iCs/>
          <w:lang w:eastAsia="zh-CN"/>
        </w:rPr>
        <w:t>58</w:t>
      </w:r>
      <w:r w:rsidRPr="009B605C">
        <w:rPr>
          <w:rFonts w:ascii="Cambria" w:eastAsiaTheme="minorEastAsia" w:hAnsi="Cambria"/>
          <w:lang w:eastAsia="zh-CN"/>
        </w:rPr>
        <w:t>, p.104342.</w:t>
      </w:r>
    </w:p>
    <w:p w14:paraId="7B9E5913" w14:textId="77777777" w:rsidR="003E6CF1" w:rsidRPr="009B605C" w:rsidRDefault="003E6CF1" w:rsidP="0087752F">
      <w:pPr>
        <w:spacing w:afterLines="80" w:after="192" w:line="276" w:lineRule="auto"/>
        <w:jc w:val="both"/>
        <w:rPr>
          <w:rFonts w:ascii="Cambria" w:eastAsiaTheme="minorEastAsia" w:hAnsi="Cambria"/>
        </w:rPr>
      </w:pPr>
      <w:r w:rsidRPr="009B605C">
        <w:rPr>
          <w:rFonts w:ascii="Cambria" w:eastAsiaTheme="minorEastAsia" w:hAnsi="Cambria"/>
        </w:rPr>
        <w:t xml:space="preserve">Zheng, J., Wen, B., Jiang, Y., Wang, X. and Shen, Y., 2023. Risk spillovers across geopolitical risk and global financial markets. </w:t>
      </w:r>
      <w:r w:rsidRPr="009B605C">
        <w:rPr>
          <w:rFonts w:ascii="Cambria" w:eastAsiaTheme="minorEastAsia" w:hAnsi="Cambria"/>
          <w:i/>
          <w:iCs/>
        </w:rPr>
        <w:t>Energy Economics</w:t>
      </w:r>
      <w:r w:rsidRPr="009B605C">
        <w:rPr>
          <w:rFonts w:ascii="Cambria" w:eastAsiaTheme="minorEastAsia" w:hAnsi="Cambria"/>
        </w:rPr>
        <w:t xml:space="preserve">, </w:t>
      </w:r>
      <w:r w:rsidRPr="009B605C">
        <w:rPr>
          <w:rFonts w:ascii="Cambria" w:eastAsiaTheme="minorEastAsia" w:hAnsi="Cambria"/>
          <w:i/>
          <w:iCs/>
        </w:rPr>
        <w:t>127</w:t>
      </w:r>
      <w:r w:rsidRPr="009B605C">
        <w:rPr>
          <w:rFonts w:ascii="Cambria" w:eastAsiaTheme="minorEastAsia" w:hAnsi="Cambria"/>
        </w:rPr>
        <w:t>, p.107051.</w:t>
      </w:r>
    </w:p>
    <w:p w14:paraId="04CC2F88" w14:textId="77777777" w:rsidR="003E6CF1" w:rsidRPr="009B605C" w:rsidRDefault="003E6CF1" w:rsidP="0087752F">
      <w:pPr>
        <w:spacing w:afterLines="80" w:after="192" w:line="276" w:lineRule="auto"/>
        <w:jc w:val="both"/>
        <w:rPr>
          <w:rFonts w:ascii="Cambria" w:eastAsiaTheme="minorEastAsia" w:hAnsi="Cambria"/>
          <w:lang w:eastAsia="zh-CN"/>
        </w:rPr>
      </w:pPr>
      <w:r w:rsidRPr="009B605C">
        <w:rPr>
          <w:rFonts w:ascii="Cambria" w:eastAsiaTheme="minorEastAsia" w:hAnsi="Cambria"/>
          <w:lang w:eastAsia="zh-CN"/>
        </w:rPr>
        <w:t xml:space="preserve">Zhou, H. and Lu, X., 2023. Investor attention on the Russia-Ukraine conflict and stock market volatility: Evidence from China. </w:t>
      </w:r>
      <w:r w:rsidRPr="009B605C">
        <w:rPr>
          <w:rFonts w:ascii="Cambria" w:eastAsiaTheme="minorEastAsia" w:hAnsi="Cambria"/>
          <w:i/>
          <w:iCs/>
          <w:lang w:eastAsia="zh-CN"/>
        </w:rPr>
        <w:t>Finance Research Letters</w:t>
      </w:r>
      <w:r w:rsidRPr="009B605C">
        <w:rPr>
          <w:rFonts w:ascii="Cambria" w:eastAsiaTheme="minorEastAsia" w:hAnsi="Cambria"/>
          <w:lang w:eastAsia="zh-CN"/>
        </w:rPr>
        <w:t xml:space="preserve">, </w:t>
      </w:r>
      <w:r w:rsidRPr="009B605C">
        <w:rPr>
          <w:rFonts w:ascii="Cambria" w:eastAsiaTheme="minorEastAsia" w:hAnsi="Cambria"/>
          <w:i/>
          <w:iCs/>
          <w:lang w:eastAsia="zh-CN"/>
        </w:rPr>
        <w:t>52</w:t>
      </w:r>
      <w:r w:rsidRPr="009B605C">
        <w:rPr>
          <w:rFonts w:ascii="Cambria" w:eastAsiaTheme="minorEastAsia" w:hAnsi="Cambria"/>
          <w:lang w:eastAsia="zh-CN"/>
        </w:rPr>
        <w:t>, p.103526.</w:t>
      </w:r>
    </w:p>
    <w:p w14:paraId="2848312D" w14:textId="77777777" w:rsidR="003E6CF1" w:rsidRPr="009B605C" w:rsidRDefault="003E6CF1" w:rsidP="0087752F">
      <w:pPr>
        <w:spacing w:afterLines="80" w:after="192" w:line="276" w:lineRule="auto"/>
        <w:jc w:val="both"/>
        <w:rPr>
          <w:rFonts w:ascii="Cambria" w:hAnsi="Cambria"/>
        </w:rPr>
      </w:pPr>
      <w:r w:rsidRPr="009B605C">
        <w:rPr>
          <w:rFonts w:ascii="Cambria" w:hAnsi="Cambria"/>
        </w:rPr>
        <w:t xml:space="preserve">Zhou, X., Enilov, M. and </w:t>
      </w:r>
      <w:proofErr w:type="spellStart"/>
      <w:r w:rsidRPr="009B605C">
        <w:rPr>
          <w:rFonts w:ascii="Cambria" w:hAnsi="Cambria"/>
        </w:rPr>
        <w:t>Parhi</w:t>
      </w:r>
      <w:proofErr w:type="spellEnd"/>
      <w:r w:rsidRPr="009B605C">
        <w:rPr>
          <w:rFonts w:ascii="Cambria" w:hAnsi="Cambria"/>
        </w:rPr>
        <w:t xml:space="preserve">, M., 2024. Does oil spin the commodity wheel? Quantile connectedness with a common factor error structure across energy and agricultural markets. </w:t>
      </w:r>
      <w:r w:rsidRPr="009B605C">
        <w:rPr>
          <w:rFonts w:ascii="Cambria" w:hAnsi="Cambria"/>
          <w:i/>
          <w:iCs/>
        </w:rPr>
        <w:t>Energy Economics</w:t>
      </w:r>
      <w:r w:rsidRPr="009B605C">
        <w:rPr>
          <w:rFonts w:ascii="Cambria" w:hAnsi="Cambria"/>
        </w:rPr>
        <w:t xml:space="preserve">, </w:t>
      </w:r>
      <w:r w:rsidRPr="009B605C">
        <w:rPr>
          <w:rFonts w:ascii="Cambria" w:hAnsi="Cambria"/>
          <w:i/>
          <w:iCs/>
        </w:rPr>
        <w:t>132</w:t>
      </w:r>
      <w:r w:rsidRPr="009B605C">
        <w:rPr>
          <w:rFonts w:ascii="Cambria" w:hAnsi="Cambria"/>
        </w:rPr>
        <w:t>, p.107468.</w:t>
      </w:r>
    </w:p>
    <w:p w14:paraId="713547A0" w14:textId="77777777" w:rsidR="00767668" w:rsidRPr="009B605C" w:rsidRDefault="00767668" w:rsidP="0087752F">
      <w:pPr>
        <w:rPr>
          <w:rFonts w:ascii="Cambria" w:hAnsi="Cambria"/>
        </w:rPr>
      </w:pPr>
    </w:p>
    <w:p w14:paraId="232F3882" w14:textId="77777777" w:rsidR="00767668" w:rsidRPr="009B605C" w:rsidRDefault="00767668" w:rsidP="0087752F">
      <w:pPr>
        <w:rPr>
          <w:rFonts w:ascii="Cambria" w:hAnsi="Cambria"/>
        </w:rPr>
      </w:pPr>
    </w:p>
    <w:p w14:paraId="7E200C37" w14:textId="77777777" w:rsidR="00767668" w:rsidRPr="009B605C" w:rsidRDefault="00767668" w:rsidP="0087752F">
      <w:pPr>
        <w:rPr>
          <w:rFonts w:ascii="Cambria" w:hAnsi="Cambria"/>
        </w:rPr>
        <w:sectPr w:rsidR="00767668" w:rsidRPr="009B605C" w:rsidSect="003A4E59">
          <w:footerReference w:type="default" r:id="rId9"/>
          <w:footerReference w:type="first" r:id="rId10"/>
          <w:pgSz w:w="11906" w:h="16838"/>
          <w:pgMar w:top="1440" w:right="1440" w:bottom="1440" w:left="1440" w:header="708" w:footer="708" w:gutter="0"/>
          <w:pgNumType w:start="0"/>
          <w:cols w:space="708"/>
          <w:titlePg/>
          <w:docGrid w:linePitch="360"/>
        </w:sectPr>
      </w:pPr>
    </w:p>
    <w:p w14:paraId="02790929" w14:textId="2E2A75A0" w:rsidR="00767668" w:rsidRPr="009B605C" w:rsidRDefault="00767668" w:rsidP="0087752F">
      <w:pPr>
        <w:rPr>
          <w:rFonts w:ascii="Cambria" w:hAnsi="Cambria"/>
        </w:rPr>
      </w:pPr>
      <w:r w:rsidRPr="009B605C">
        <w:rPr>
          <w:rFonts w:ascii="Cambria" w:hAnsi="Cambria"/>
          <w:b/>
          <w:bCs/>
        </w:rPr>
        <w:lastRenderedPageBreak/>
        <w:t>Table 1.</w:t>
      </w:r>
      <w:r w:rsidRPr="009B605C">
        <w:rPr>
          <w:rFonts w:ascii="Cambria" w:hAnsi="Cambria"/>
        </w:rPr>
        <w:t xml:space="preserve"> </w:t>
      </w:r>
      <w:r w:rsidR="00183466" w:rsidRPr="009B605C">
        <w:rPr>
          <w:rFonts w:ascii="Cambria" w:hAnsi="Cambria"/>
        </w:rPr>
        <w:t>Descriptive</w:t>
      </w:r>
      <w:r w:rsidRPr="009B605C">
        <w:rPr>
          <w:rFonts w:ascii="Cambria" w:hAnsi="Cambria"/>
        </w:rPr>
        <w:t xml:space="preserve"> statistics</w:t>
      </w:r>
    </w:p>
    <w:tbl>
      <w:tblPr>
        <w:tblStyle w:val="TableGridLight"/>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1742"/>
        <w:gridCol w:w="1742"/>
        <w:gridCol w:w="1742"/>
        <w:gridCol w:w="1742"/>
        <w:gridCol w:w="1887"/>
        <w:gridCol w:w="1742"/>
        <w:gridCol w:w="1736"/>
      </w:tblGrid>
      <w:tr w:rsidR="00767668" w:rsidRPr="009B605C" w14:paraId="2345EA5F" w14:textId="77777777" w:rsidTr="00767668">
        <w:trPr>
          <w:trHeight w:val="340"/>
        </w:trPr>
        <w:tc>
          <w:tcPr>
            <w:tcW w:w="582" w:type="pct"/>
            <w:tcBorders>
              <w:top w:val="double" w:sz="4" w:space="0" w:color="auto"/>
              <w:bottom w:val="single" w:sz="4" w:space="0" w:color="auto"/>
            </w:tcBorders>
            <w:noWrap/>
            <w:hideMark/>
          </w:tcPr>
          <w:p w14:paraId="45C43BDB" w14:textId="77777777" w:rsidR="00767668" w:rsidRPr="009B605C" w:rsidRDefault="00767668" w:rsidP="0087752F">
            <w:pPr>
              <w:rPr>
                <w:rFonts w:ascii="Cambria" w:hAnsi="Cambria"/>
                <w:sz w:val="20"/>
                <w:szCs w:val="20"/>
              </w:rPr>
            </w:pPr>
          </w:p>
        </w:tc>
        <w:tc>
          <w:tcPr>
            <w:tcW w:w="624" w:type="pct"/>
            <w:tcBorders>
              <w:top w:val="double" w:sz="4" w:space="0" w:color="auto"/>
              <w:bottom w:val="single" w:sz="4" w:space="0" w:color="auto"/>
            </w:tcBorders>
            <w:noWrap/>
            <w:hideMark/>
          </w:tcPr>
          <w:p w14:paraId="14390B91"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Brazil</w:t>
            </w:r>
          </w:p>
        </w:tc>
        <w:tc>
          <w:tcPr>
            <w:tcW w:w="624" w:type="pct"/>
            <w:tcBorders>
              <w:top w:val="double" w:sz="4" w:space="0" w:color="auto"/>
              <w:bottom w:val="single" w:sz="4" w:space="0" w:color="auto"/>
            </w:tcBorders>
            <w:noWrap/>
            <w:hideMark/>
          </w:tcPr>
          <w:p w14:paraId="6B7D6655"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Russia</w:t>
            </w:r>
          </w:p>
        </w:tc>
        <w:tc>
          <w:tcPr>
            <w:tcW w:w="624" w:type="pct"/>
            <w:tcBorders>
              <w:top w:val="double" w:sz="4" w:space="0" w:color="auto"/>
              <w:bottom w:val="single" w:sz="4" w:space="0" w:color="auto"/>
            </w:tcBorders>
            <w:noWrap/>
            <w:hideMark/>
          </w:tcPr>
          <w:p w14:paraId="44CBAE9C"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India</w:t>
            </w:r>
          </w:p>
        </w:tc>
        <w:tc>
          <w:tcPr>
            <w:tcW w:w="624" w:type="pct"/>
            <w:tcBorders>
              <w:top w:val="double" w:sz="4" w:space="0" w:color="auto"/>
              <w:bottom w:val="single" w:sz="4" w:space="0" w:color="auto"/>
            </w:tcBorders>
            <w:noWrap/>
            <w:hideMark/>
          </w:tcPr>
          <w:p w14:paraId="54F66785"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China</w:t>
            </w:r>
          </w:p>
        </w:tc>
        <w:tc>
          <w:tcPr>
            <w:tcW w:w="676" w:type="pct"/>
            <w:tcBorders>
              <w:top w:val="double" w:sz="4" w:space="0" w:color="auto"/>
              <w:bottom w:val="single" w:sz="4" w:space="0" w:color="auto"/>
            </w:tcBorders>
            <w:noWrap/>
            <w:hideMark/>
          </w:tcPr>
          <w:p w14:paraId="0BEE32C9"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South Africa</w:t>
            </w:r>
          </w:p>
        </w:tc>
        <w:tc>
          <w:tcPr>
            <w:tcW w:w="624" w:type="pct"/>
            <w:tcBorders>
              <w:top w:val="double" w:sz="4" w:space="0" w:color="auto"/>
              <w:bottom w:val="single" w:sz="4" w:space="0" w:color="auto"/>
            </w:tcBorders>
            <w:noWrap/>
            <w:hideMark/>
          </w:tcPr>
          <w:p w14:paraId="4C1EF7D9"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Gold</w:t>
            </w:r>
          </w:p>
        </w:tc>
        <w:tc>
          <w:tcPr>
            <w:tcW w:w="622" w:type="pct"/>
            <w:tcBorders>
              <w:top w:val="double" w:sz="4" w:space="0" w:color="auto"/>
              <w:bottom w:val="single" w:sz="4" w:space="0" w:color="auto"/>
            </w:tcBorders>
            <w:noWrap/>
            <w:hideMark/>
          </w:tcPr>
          <w:p w14:paraId="5B172DD3" w14:textId="77777777" w:rsidR="00767668" w:rsidRPr="009B605C" w:rsidRDefault="00767668" w:rsidP="0087752F">
            <w:pPr>
              <w:jc w:val="right"/>
              <w:rPr>
                <w:rFonts w:ascii="Cambria" w:hAnsi="Cambria"/>
                <w:b/>
                <w:bCs/>
                <w:color w:val="000000"/>
                <w:sz w:val="22"/>
                <w:szCs w:val="22"/>
              </w:rPr>
            </w:pPr>
            <w:r w:rsidRPr="009B605C">
              <w:rPr>
                <w:rFonts w:ascii="Cambria" w:hAnsi="Cambria"/>
                <w:b/>
                <w:bCs/>
                <w:color w:val="000000"/>
                <w:sz w:val="22"/>
                <w:szCs w:val="22"/>
              </w:rPr>
              <w:t>Crypto</w:t>
            </w:r>
          </w:p>
        </w:tc>
      </w:tr>
      <w:tr w:rsidR="00767668" w:rsidRPr="009B605C" w14:paraId="353CF0B4" w14:textId="77777777" w:rsidTr="00767668">
        <w:trPr>
          <w:trHeight w:val="340"/>
        </w:trPr>
        <w:tc>
          <w:tcPr>
            <w:tcW w:w="2454" w:type="pct"/>
            <w:gridSpan w:val="4"/>
            <w:tcBorders>
              <w:top w:val="single" w:sz="4" w:space="0" w:color="auto"/>
            </w:tcBorders>
            <w:noWrap/>
            <w:hideMark/>
          </w:tcPr>
          <w:p w14:paraId="4C3CF582" w14:textId="377F9361" w:rsidR="00767668" w:rsidRPr="009B605C" w:rsidRDefault="00767668" w:rsidP="0087752F">
            <w:pPr>
              <w:rPr>
                <w:rFonts w:ascii="Cambria" w:hAnsi="Cambria"/>
                <w:b/>
                <w:bCs/>
                <w:color w:val="000000"/>
                <w:sz w:val="22"/>
                <w:szCs w:val="22"/>
              </w:rPr>
            </w:pPr>
            <w:r w:rsidRPr="009B605C">
              <w:rPr>
                <w:rFonts w:ascii="Cambria" w:hAnsi="Cambria"/>
                <w:b/>
                <w:bCs/>
                <w:color w:val="000000"/>
                <w:sz w:val="22"/>
                <w:szCs w:val="22"/>
              </w:rPr>
              <w:t xml:space="preserve">Panel A: </w:t>
            </w:r>
            <w:r w:rsidRPr="009B605C">
              <w:rPr>
                <w:rFonts w:ascii="Cambria" w:hAnsi="Cambria"/>
                <w:color w:val="000000"/>
                <w:sz w:val="22"/>
                <w:szCs w:val="22"/>
              </w:rPr>
              <w:t>Pre-</w:t>
            </w:r>
            <w:r w:rsidR="00183466" w:rsidRPr="009B605C">
              <w:rPr>
                <w:rFonts w:ascii="Cambria" w:hAnsi="Cambria"/>
                <w:color w:val="000000"/>
                <w:sz w:val="22"/>
                <w:szCs w:val="22"/>
              </w:rPr>
              <w:t>c</w:t>
            </w:r>
            <w:r w:rsidRPr="009B605C">
              <w:rPr>
                <w:rFonts w:ascii="Cambria" w:hAnsi="Cambria"/>
                <w:color w:val="000000"/>
                <w:sz w:val="22"/>
                <w:szCs w:val="22"/>
              </w:rPr>
              <w:t>onflict announcement</w:t>
            </w:r>
          </w:p>
        </w:tc>
        <w:tc>
          <w:tcPr>
            <w:tcW w:w="624" w:type="pct"/>
            <w:tcBorders>
              <w:top w:val="single" w:sz="4" w:space="0" w:color="auto"/>
            </w:tcBorders>
            <w:noWrap/>
            <w:hideMark/>
          </w:tcPr>
          <w:p w14:paraId="59A36281" w14:textId="77777777" w:rsidR="00767668" w:rsidRPr="009B605C" w:rsidRDefault="00767668" w:rsidP="0087752F">
            <w:pPr>
              <w:rPr>
                <w:rFonts w:ascii="Cambria" w:hAnsi="Cambria"/>
                <w:b/>
                <w:bCs/>
                <w:color w:val="000000"/>
                <w:sz w:val="22"/>
                <w:szCs w:val="22"/>
              </w:rPr>
            </w:pPr>
          </w:p>
        </w:tc>
        <w:tc>
          <w:tcPr>
            <w:tcW w:w="676" w:type="pct"/>
            <w:tcBorders>
              <w:top w:val="single" w:sz="4" w:space="0" w:color="auto"/>
            </w:tcBorders>
            <w:noWrap/>
            <w:hideMark/>
          </w:tcPr>
          <w:p w14:paraId="6C06C661" w14:textId="77777777" w:rsidR="00767668" w:rsidRPr="009B605C" w:rsidRDefault="00767668" w:rsidP="0087752F">
            <w:pPr>
              <w:rPr>
                <w:rFonts w:ascii="Cambria" w:hAnsi="Cambria"/>
                <w:sz w:val="20"/>
                <w:szCs w:val="20"/>
              </w:rPr>
            </w:pPr>
          </w:p>
        </w:tc>
        <w:tc>
          <w:tcPr>
            <w:tcW w:w="624" w:type="pct"/>
            <w:tcBorders>
              <w:top w:val="single" w:sz="4" w:space="0" w:color="auto"/>
            </w:tcBorders>
            <w:noWrap/>
            <w:hideMark/>
          </w:tcPr>
          <w:p w14:paraId="5AF55712" w14:textId="77777777" w:rsidR="00767668" w:rsidRPr="009B605C" w:rsidRDefault="00767668" w:rsidP="0087752F">
            <w:pPr>
              <w:rPr>
                <w:rFonts w:ascii="Cambria" w:hAnsi="Cambria"/>
                <w:sz w:val="20"/>
                <w:szCs w:val="20"/>
              </w:rPr>
            </w:pPr>
          </w:p>
        </w:tc>
        <w:tc>
          <w:tcPr>
            <w:tcW w:w="622" w:type="pct"/>
            <w:tcBorders>
              <w:top w:val="single" w:sz="4" w:space="0" w:color="auto"/>
            </w:tcBorders>
            <w:noWrap/>
            <w:hideMark/>
          </w:tcPr>
          <w:p w14:paraId="111A33AB" w14:textId="77777777" w:rsidR="00767668" w:rsidRPr="009B605C" w:rsidRDefault="00767668" w:rsidP="0087752F">
            <w:pPr>
              <w:rPr>
                <w:rFonts w:ascii="Cambria" w:hAnsi="Cambria"/>
                <w:sz w:val="20"/>
                <w:szCs w:val="20"/>
              </w:rPr>
            </w:pPr>
          </w:p>
        </w:tc>
      </w:tr>
      <w:tr w:rsidR="00767668" w:rsidRPr="009B605C" w14:paraId="093B89A2" w14:textId="77777777" w:rsidTr="00767668">
        <w:trPr>
          <w:trHeight w:val="340"/>
        </w:trPr>
        <w:tc>
          <w:tcPr>
            <w:tcW w:w="582" w:type="pct"/>
            <w:noWrap/>
            <w:hideMark/>
          </w:tcPr>
          <w:p w14:paraId="7DEAEB19"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Mean</w:t>
            </w:r>
          </w:p>
        </w:tc>
        <w:tc>
          <w:tcPr>
            <w:tcW w:w="624" w:type="pct"/>
            <w:noWrap/>
            <w:hideMark/>
          </w:tcPr>
          <w:p w14:paraId="384A29C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0.031</w:t>
            </w:r>
          </w:p>
        </w:tc>
        <w:tc>
          <w:tcPr>
            <w:tcW w:w="624" w:type="pct"/>
            <w:noWrap/>
            <w:hideMark/>
          </w:tcPr>
          <w:p w14:paraId="10307468"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0.020</w:t>
            </w:r>
          </w:p>
        </w:tc>
        <w:tc>
          <w:tcPr>
            <w:tcW w:w="624" w:type="pct"/>
            <w:noWrap/>
            <w:hideMark/>
          </w:tcPr>
          <w:p w14:paraId="2DEE827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0.046</w:t>
            </w:r>
          </w:p>
        </w:tc>
        <w:tc>
          <w:tcPr>
            <w:tcW w:w="624" w:type="pct"/>
            <w:noWrap/>
            <w:hideMark/>
          </w:tcPr>
          <w:p w14:paraId="320FCA0D"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0.021</w:t>
            </w:r>
          </w:p>
        </w:tc>
        <w:tc>
          <w:tcPr>
            <w:tcW w:w="676" w:type="pct"/>
            <w:noWrap/>
            <w:hideMark/>
          </w:tcPr>
          <w:p w14:paraId="22C71EC1"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0.030</w:t>
            </w:r>
          </w:p>
        </w:tc>
        <w:tc>
          <w:tcPr>
            <w:tcW w:w="624" w:type="pct"/>
            <w:noWrap/>
            <w:hideMark/>
          </w:tcPr>
          <w:p w14:paraId="4BF3974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0.011</w:t>
            </w:r>
          </w:p>
        </w:tc>
        <w:tc>
          <w:tcPr>
            <w:tcW w:w="622" w:type="pct"/>
            <w:noWrap/>
            <w:hideMark/>
          </w:tcPr>
          <w:p w14:paraId="5AFF2501"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0.172</w:t>
            </w:r>
          </w:p>
        </w:tc>
      </w:tr>
      <w:tr w:rsidR="00767668" w:rsidRPr="009B605C" w14:paraId="7D7DDE1F" w14:textId="77777777" w:rsidTr="00767668">
        <w:trPr>
          <w:trHeight w:val="340"/>
        </w:trPr>
        <w:tc>
          <w:tcPr>
            <w:tcW w:w="582" w:type="pct"/>
            <w:noWrap/>
            <w:hideMark/>
          </w:tcPr>
          <w:p w14:paraId="4C1BBF67"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Std. Dev.</w:t>
            </w:r>
          </w:p>
        </w:tc>
        <w:tc>
          <w:tcPr>
            <w:tcW w:w="624" w:type="pct"/>
            <w:noWrap/>
            <w:hideMark/>
          </w:tcPr>
          <w:p w14:paraId="5F8AAB0E"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1.590</w:t>
            </w:r>
          </w:p>
        </w:tc>
        <w:tc>
          <w:tcPr>
            <w:tcW w:w="624" w:type="pct"/>
            <w:noWrap/>
            <w:hideMark/>
          </w:tcPr>
          <w:p w14:paraId="65D133B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1.219</w:t>
            </w:r>
          </w:p>
        </w:tc>
        <w:tc>
          <w:tcPr>
            <w:tcW w:w="624" w:type="pct"/>
            <w:noWrap/>
            <w:hideMark/>
          </w:tcPr>
          <w:p w14:paraId="25B9E872"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1.070</w:t>
            </w:r>
          </w:p>
        </w:tc>
        <w:tc>
          <w:tcPr>
            <w:tcW w:w="624" w:type="pct"/>
            <w:noWrap/>
            <w:hideMark/>
          </w:tcPr>
          <w:p w14:paraId="681725A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1.306</w:t>
            </w:r>
          </w:p>
        </w:tc>
        <w:tc>
          <w:tcPr>
            <w:tcW w:w="676" w:type="pct"/>
            <w:noWrap/>
            <w:hideMark/>
          </w:tcPr>
          <w:p w14:paraId="5B0C08AD"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1.138</w:t>
            </w:r>
          </w:p>
        </w:tc>
        <w:tc>
          <w:tcPr>
            <w:tcW w:w="624" w:type="pct"/>
            <w:noWrap/>
            <w:hideMark/>
          </w:tcPr>
          <w:p w14:paraId="77B5B79A"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0.899</w:t>
            </w:r>
          </w:p>
        </w:tc>
        <w:tc>
          <w:tcPr>
            <w:tcW w:w="622" w:type="pct"/>
            <w:noWrap/>
            <w:hideMark/>
          </w:tcPr>
          <w:p w14:paraId="1151783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4.753</w:t>
            </w:r>
          </w:p>
        </w:tc>
      </w:tr>
      <w:tr w:rsidR="00767668" w:rsidRPr="009B605C" w14:paraId="4149E5E9" w14:textId="77777777" w:rsidTr="00767668">
        <w:trPr>
          <w:trHeight w:val="340"/>
        </w:trPr>
        <w:tc>
          <w:tcPr>
            <w:tcW w:w="582" w:type="pct"/>
            <w:noWrap/>
            <w:hideMark/>
          </w:tcPr>
          <w:p w14:paraId="60BF4D09"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Skewness</w:t>
            </w:r>
          </w:p>
        </w:tc>
        <w:tc>
          <w:tcPr>
            <w:tcW w:w="624" w:type="pct"/>
            <w:noWrap/>
            <w:hideMark/>
          </w:tcPr>
          <w:p w14:paraId="25FB433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-0.984</w:t>
            </w:r>
          </w:p>
        </w:tc>
        <w:tc>
          <w:tcPr>
            <w:tcW w:w="624" w:type="pct"/>
            <w:noWrap/>
            <w:hideMark/>
          </w:tcPr>
          <w:p w14:paraId="334D580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-1.060</w:t>
            </w:r>
          </w:p>
        </w:tc>
        <w:tc>
          <w:tcPr>
            <w:tcW w:w="624" w:type="pct"/>
            <w:noWrap/>
            <w:hideMark/>
          </w:tcPr>
          <w:p w14:paraId="3936412F"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-1.333</w:t>
            </w:r>
          </w:p>
        </w:tc>
        <w:tc>
          <w:tcPr>
            <w:tcW w:w="624" w:type="pct"/>
            <w:noWrap/>
            <w:hideMark/>
          </w:tcPr>
          <w:p w14:paraId="716F769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-1.144</w:t>
            </w:r>
          </w:p>
        </w:tc>
        <w:tc>
          <w:tcPr>
            <w:tcW w:w="676" w:type="pct"/>
            <w:noWrap/>
            <w:hideMark/>
          </w:tcPr>
          <w:p w14:paraId="5C25B33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-0.638</w:t>
            </w:r>
          </w:p>
        </w:tc>
        <w:tc>
          <w:tcPr>
            <w:tcW w:w="624" w:type="pct"/>
            <w:noWrap/>
            <w:hideMark/>
          </w:tcPr>
          <w:p w14:paraId="2D58DA3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-0.210</w:t>
            </w:r>
          </w:p>
        </w:tc>
        <w:tc>
          <w:tcPr>
            <w:tcW w:w="622" w:type="pct"/>
            <w:noWrap/>
            <w:hideMark/>
          </w:tcPr>
          <w:p w14:paraId="44B7266C"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-0.220</w:t>
            </w:r>
          </w:p>
        </w:tc>
      </w:tr>
      <w:tr w:rsidR="00767668" w:rsidRPr="009B605C" w14:paraId="61C14589" w14:textId="77777777" w:rsidTr="00767668">
        <w:trPr>
          <w:trHeight w:val="340"/>
        </w:trPr>
        <w:tc>
          <w:tcPr>
            <w:tcW w:w="582" w:type="pct"/>
            <w:noWrap/>
            <w:hideMark/>
          </w:tcPr>
          <w:p w14:paraId="4B05EBF8"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Kurtosis</w:t>
            </w:r>
          </w:p>
        </w:tc>
        <w:tc>
          <w:tcPr>
            <w:tcW w:w="624" w:type="pct"/>
            <w:noWrap/>
            <w:hideMark/>
          </w:tcPr>
          <w:p w14:paraId="3D3A582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17.128</w:t>
            </w:r>
          </w:p>
        </w:tc>
        <w:tc>
          <w:tcPr>
            <w:tcW w:w="624" w:type="pct"/>
            <w:noWrap/>
            <w:hideMark/>
          </w:tcPr>
          <w:p w14:paraId="02544F2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13.917</w:t>
            </w:r>
          </w:p>
        </w:tc>
        <w:tc>
          <w:tcPr>
            <w:tcW w:w="624" w:type="pct"/>
            <w:noWrap/>
            <w:hideMark/>
          </w:tcPr>
          <w:p w14:paraId="776C1D4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23.161</w:t>
            </w:r>
          </w:p>
        </w:tc>
        <w:tc>
          <w:tcPr>
            <w:tcW w:w="624" w:type="pct"/>
            <w:noWrap/>
            <w:hideMark/>
          </w:tcPr>
          <w:p w14:paraId="09ABC51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11.257</w:t>
            </w:r>
          </w:p>
        </w:tc>
        <w:tc>
          <w:tcPr>
            <w:tcW w:w="676" w:type="pct"/>
            <w:noWrap/>
            <w:hideMark/>
          </w:tcPr>
          <w:p w14:paraId="1DB42EC4"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10.794</w:t>
            </w:r>
          </w:p>
        </w:tc>
        <w:tc>
          <w:tcPr>
            <w:tcW w:w="624" w:type="pct"/>
            <w:noWrap/>
            <w:hideMark/>
          </w:tcPr>
          <w:p w14:paraId="2472C5E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7.340</w:t>
            </w:r>
          </w:p>
        </w:tc>
        <w:tc>
          <w:tcPr>
            <w:tcW w:w="622" w:type="pct"/>
            <w:noWrap/>
            <w:hideMark/>
          </w:tcPr>
          <w:p w14:paraId="621F31A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12.444</w:t>
            </w:r>
          </w:p>
        </w:tc>
      </w:tr>
      <w:tr w:rsidR="00767668" w:rsidRPr="009B605C" w14:paraId="0D61DDC3" w14:textId="77777777" w:rsidTr="00767668">
        <w:trPr>
          <w:trHeight w:val="340"/>
        </w:trPr>
        <w:tc>
          <w:tcPr>
            <w:tcW w:w="582" w:type="pct"/>
            <w:noWrap/>
            <w:hideMark/>
          </w:tcPr>
          <w:p w14:paraId="4E957F7F"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ADF</w:t>
            </w:r>
          </w:p>
        </w:tc>
        <w:tc>
          <w:tcPr>
            <w:tcW w:w="624" w:type="pct"/>
            <w:noWrap/>
            <w:hideMark/>
          </w:tcPr>
          <w:p w14:paraId="5849061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-54.042***</w:t>
            </w:r>
          </w:p>
        </w:tc>
        <w:tc>
          <w:tcPr>
            <w:tcW w:w="624" w:type="pct"/>
            <w:noWrap/>
            <w:hideMark/>
          </w:tcPr>
          <w:p w14:paraId="047BDA8E"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-47.143***</w:t>
            </w:r>
          </w:p>
        </w:tc>
        <w:tc>
          <w:tcPr>
            <w:tcW w:w="624" w:type="pct"/>
            <w:noWrap/>
            <w:hideMark/>
          </w:tcPr>
          <w:p w14:paraId="1E7C3B8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-17.808***</w:t>
            </w:r>
          </w:p>
        </w:tc>
        <w:tc>
          <w:tcPr>
            <w:tcW w:w="624" w:type="pct"/>
            <w:noWrap/>
            <w:hideMark/>
          </w:tcPr>
          <w:p w14:paraId="1F04578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-45.917***</w:t>
            </w:r>
          </w:p>
        </w:tc>
        <w:tc>
          <w:tcPr>
            <w:tcW w:w="676" w:type="pct"/>
            <w:noWrap/>
            <w:hideMark/>
          </w:tcPr>
          <w:p w14:paraId="049E935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-49.543***</w:t>
            </w:r>
          </w:p>
        </w:tc>
        <w:tc>
          <w:tcPr>
            <w:tcW w:w="624" w:type="pct"/>
            <w:noWrap/>
            <w:hideMark/>
          </w:tcPr>
          <w:p w14:paraId="5287140C"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-48.637***</w:t>
            </w:r>
          </w:p>
        </w:tc>
        <w:tc>
          <w:tcPr>
            <w:tcW w:w="622" w:type="pct"/>
            <w:noWrap/>
            <w:hideMark/>
          </w:tcPr>
          <w:p w14:paraId="2318E6F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-48.059***</w:t>
            </w:r>
          </w:p>
        </w:tc>
      </w:tr>
      <w:tr w:rsidR="00767668" w:rsidRPr="009B605C" w14:paraId="50E68FA5" w14:textId="77777777" w:rsidTr="00767668">
        <w:trPr>
          <w:trHeight w:val="340"/>
        </w:trPr>
        <w:tc>
          <w:tcPr>
            <w:tcW w:w="582" w:type="pct"/>
            <w:noWrap/>
            <w:hideMark/>
          </w:tcPr>
          <w:p w14:paraId="7E854C9D"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Fourier ADF</w:t>
            </w:r>
          </w:p>
        </w:tc>
        <w:tc>
          <w:tcPr>
            <w:tcW w:w="624" w:type="pct"/>
            <w:noWrap/>
            <w:hideMark/>
          </w:tcPr>
          <w:p w14:paraId="5AD92DE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-54.081***</w:t>
            </w:r>
          </w:p>
        </w:tc>
        <w:tc>
          <w:tcPr>
            <w:tcW w:w="624" w:type="pct"/>
            <w:noWrap/>
            <w:hideMark/>
          </w:tcPr>
          <w:p w14:paraId="58C1DA8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-47.154***</w:t>
            </w:r>
          </w:p>
        </w:tc>
        <w:tc>
          <w:tcPr>
            <w:tcW w:w="624" w:type="pct"/>
            <w:noWrap/>
            <w:hideMark/>
          </w:tcPr>
          <w:p w14:paraId="1FE9DD1E"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-17.969***</w:t>
            </w:r>
          </w:p>
        </w:tc>
        <w:tc>
          <w:tcPr>
            <w:tcW w:w="624" w:type="pct"/>
            <w:noWrap/>
            <w:hideMark/>
          </w:tcPr>
          <w:p w14:paraId="69D47A7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-46.007***</w:t>
            </w:r>
          </w:p>
        </w:tc>
        <w:tc>
          <w:tcPr>
            <w:tcW w:w="676" w:type="pct"/>
            <w:noWrap/>
            <w:hideMark/>
          </w:tcPr>
          <w:p w14:paraId="176B651A"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-49.549***</w:t>
            </w:r>
          </w:p>
        </w:tc>
        <w:tc>
          <w:tcPr>
            <w:tcW w:w="624" w:type="pct"/>
            <w:noWrap/>
            <w:hideMark/>
          </w:tcPr>
          <w:p w14:paraId="0E12549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-48.658***</w:t>
            </w:r>
          </w:p>
        </w:tc>
        <w:tc>
          <w:tcPr>
            <w:tcW w:w="622" w:type="pct"/>
            <w:noWrap/>
            <w:hideMark/>
          </w:tcPr>
          <w:p w14:paraId="7042E20A" w14:textId="5994FE66"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-26.44</w:t>
            </w:r>
            <w:r w:rsidR="00D521F8" w:rsidRPr="009B605C">
              <w:rPr>
                <w:rFonts w:ascii="Cambria" w:hAnsi="Cambria"/>
                <w:color w:val="000000"/>
                <w:sz w:val="22"/>
                <w:szCs w:val="22"/>
              </w:rPr>
              <w:t>0</w:t>
            </w:r>
            <w:r w:rsidRPr="009B605C">
              <w:rPr>
                <w:rFonts w:ascii="Cambria" w:hAnsi="Cambria"/>
                <w:color w:val="000000"/>
                <w:sz w:val="22"/>
                <w:szCs w:val="22"/>
              </w:rPr>
              <w:t>***</w:t>
            </w:r>
          </w:p>
        </w:tc>
      </w:tr>
      <w:tr w:rsidR="00767668" w:rsidRPr="009B605C" w14:paraId="10BF0A4B" w14:textId="77777777" w:rsidTr="00767668">
        <w:trPr>
          <w:trHeight w:val="340"/>
        </w:trPr>
        <w:tc>
          <w:tcPr>
            <w:tcW w:w="582" w:type="pct"/>
            <w:noWrap/>
            <w:hideMark/>
          </w:tcPr>
          <w:p w14:paraId="38218A14" w14:textId="09C2DDA8" w:rsidR="00767668" w:rsidRPr="009B605C" w:rsidRDefault="00767668" w:rsidP="0087752F">
            <w:pPr>
              <w:rPr>
                <w:rFonts w:ascii="Cambria" w:hAnsi="Cambria"/>
                <w:color w:val="000000"/>
                <w:sz w:val="22"/>
                <w:szCs w:val="22"/>
              </w:rPr>
            </w:pPr>
            <w:r w:rsidRPr="009B605C">
              <w:rPr>
                <w:rFonts w:ascii="Cambria" w:hAnsi="Cambria"/>
                <w:color w:val="000000"/>
                <w:sz w:val="22"/>
                <w:szCs w:val="22"/>
              </w:rPr>
              <w:t>№ obs</w:t>
            </w:r>
            <w:r w:rsidR="006C75B6" w:rsidRPr="009B605C">
              <w:rPr>
                <w:rFonts w:ascii="Cambria" w:hAnsi="Cambria"/>
                <w:color w:val="000000"/>
                <w:sz w:val="22"/>
                <w:szCs w:val="22"/>
              </w:rPr>
              <w:t>.</w:t>
            </w:r>
          </w:p>
        </w:tc>
        <w:tc>
          <w:tcPr>
            <w:tcW w:w="624" w:type="pct"/>
            <w:noWrap/>
            <w:hideMark/>
          </w:tcPr>
          <w:p w14:paraId="79BAF2A2"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24" w:type="pct"/>
            <w:noWrap/>
            <w:hideMark/>
          </w:tcPr>
          <w:p w14:paraId="13FB3B1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24" w:type="pct"/>
            <w:noWrap/>
            <w:hideMark/>
          </w:tcPr>
          <w:p w14:paraId="2816E681"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24" w:type="pct"/>
            <w:noWrap/>
            <w:hideMark/>
          </w:tcPr>
          <w:p w14:paraId="1195B41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76" w:type="pct"/>
            <w:noWrap/>
            <w:hideMark/>
          </w:tcPr>
          <w:p w14:paraId="372A85F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24" w:type="pct"/>
            <w:noWrap/>
            <w:hideMark/>
          </w:tcPr>
          <w:p w14:paraId="756108C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c>
          <w:tcPr>
            <w:tcW w:w="622" w:type="pct"/>
            <w:noWrap/>
            <w:hideMark/>
          </w:tcPr>
          <w:p w14:paraId="269A83CD"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2303</w:t>
            </w:r>
          </w:p>
        </w:tc>
      </w:tr>
      <w:tr w:rsidR="00767668" w:rsidRPr="009B605C" w14:paraId="4B1330FC" w14:textId="77777777" w:rsidTr="00767668">
        <w:trPr>
          <w:trHeight w:val="340"/>
        </w:trPr>
        <w:tc>
          <w:tcPr>
            <w:tcW w:w="2454" w:type="pct"/>
            <w:gridSpan w:val="4"/>
            <w:noWrap/>
            <w:hideMark/>
          </w:tcPr>
          <w:p w14:paraId="0BFAA947" w14:textId="753C5943" w:rsidR="00767668" w:rsidRPr="009B605C" w:rsidRDefault="00767668" w:rsidP="0087752F">
            <w:pPr>
              <w:rPr>
                <w:rFonts w:ascii="Cambria" w:hAnsi="Cambria"/>
                <w:b/>
                <w:bCs/>
                <w:color w:val="000000"/>
                <w:sz w:val="22"/>
                <w:szCs w:val="22"/>
              </w:rPr>
            </w:pPr>
            <w:r w:rsidRPr="009B605C">
              <w:rPr>
                <w:rFonts w:ascii="Cambria" w:hAnsi="Cambria"/>
                <w:b/>
                <w:bCs/>
                <w:color w:val="000000"/>
                <w:sz w:val="22"/>
                <w:szCs w:val="22"/>
              </w:rPr>
              <w:t xml:space="preserve">Panel B: </w:t>
            </w:r>
            <w:r w:rsidRPr="009B605C">
              <w:rPr>
                <w:rFonts w:ascii="Cambria" w:hAnsi="Cambria"/>
                <w:color w:val="000000"/>
                <w:sz w:val="22"/>
                <w:szCs w:val="22"/>
              </w:rPr>
              <w:t>Post-</w:t>
            </w:r>
            <w:r w:rsidR="00183466" w:rsidRPr="009B605C">
              <w:rPr>
                <w:rFonts w:ascii="Cambria" w:hAnsi="Cambria"/>
                <w:color w:val="000000"/>
                <w:sz w:val="22"/>
                <w:szCs w:val="22"/>
              </w:rPr>
              <w:t>c</w:t>
            </w:r>
            <w:r w:rsidRPr="009B605C">
              <w:rPr>
                <w:rFonts w:ascii="Cambria" w:hAnsi="Cambria"/>
                <w:color w:val="000000"/>
                <w:sz w:val="22"/>
                <w:szCs w:val="22"/>
              </w:rPr>
              <w:t>onflict announcement</w:t>
            </w:r>
          </w:p>
        </w:tc>
        <w:tc>
          <w:tcPr>
            <w:tcW w:w="624" w:type="pct"/>
            <w:noWrap/>
            <w:hideMark/>
          </w:tcPr>
          <w:p w14:paraId="2A3CCDF4" w14:textId="77777777" w:rsidR="00767668" w:rsidRPr="009B605C" w:rsidRDefault="00767668" w:rsidP="0087752F">
            <w:pPr>
              <w:rPr>
                <w:rFonts w:ascii="Cambria" w:hAnsi="Cambria"/>
                <w:b/>
                <w:bCs/>
                <w:color w:val="000000"/>
                <w:sz w:val="22"/>
                <w:szCs w:val="22"/>
              </w:rPr>
            </w:pPr>
          </w:p>
        </w:tc>
        <w:tc>
          <w:tcPr>
            <w:tcW w:w="676" w:type="pct"/>
            <w:noWrap/>
            <w:hideMark/>
          </w:tcPr>
          <w:p w14:paraId="79B5D637" w14:textId="77777777" w:rsidR="00767668" w:rsidRPr="009B605C" w:rsidRDefault="00767668" w:rsidP="0087752F">
            <w:pPr>
              <w:rPr>
                <w:rFonts w:ascii="Cambria" w:hAnsi="Cambria"/>
                <w:sz w:val="20"/>
                <w:szCs w:val="20"/>
              </w:rPr>
            </w:pPr>
          </w:p>
        </w:tc>
        <w:tc>
          <w:tcPr>
            <w:tcW w:w="624" w:type="pct"/>
            <w:noWrap/>
            <w:hideMark/>
          </w:tcPr>
          <w:p w14:paraId="4FE7EE3F" w14:textId="77777777" w:rsidR="00767668" w:rsidRPr="009B605C" w:rsidRDefault="00767668" w:rsidP="0087752F">
            <w:pPr>
              <w:rPr>
                <w:rFonts w:ascii="Cambria" w:hAnsi="Cambria"/>
                <w:sz w:val="20"/>
                <w:szCs w:val="20"/>
              </w:rPr>
            </w:pPr>
          </w:p>
        </w:tc>
        <w:tc>
          <w:tcPr>
            <w:tcW w:w="622" w:type="pct"/>
            <w:noWrap/>
            <w:hideMark/>
          </w:tcPr>
          <w:p w14:paraId="0FABC0E1" w14:textId="77777777" w:rsidR="00767668" w:rsidRPr="009B605C" w:rsidRDefault="00767668" w:rsidP="0087752F">
            <w:pPr>
              <w:rPr>
                <w:rFonts w:ascii="Cambria" w:hAnsi="Cambria"/>
                <w:sz w:val="20"/>
                <w:szCs w:val="20"/>
              </w:rPr>
            </w:pPr>
          </w:p>
        </w:tc>
      </w:tr>
      <w:tr w:rsidR="00767668" w:rsidRPr="009B605C" w14:paraId="53E3B16A" w14:textId="77777777" w:rsidTr="00767668">
        <w:trPr>
          <w:trHeight w:val="340"/>
        </w:trPr>
        <w:tc>
          <w:tcPr>
            <w:tcW w:w="582" w:type="pct"/>
            <w:noWrap/>
            <w:hideMark/>
          </w:tcPr>
          <w:p w14:paraId="3A4B04B2"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Mean</w:t>
            </w:r>
          </w:p>
        </w:tc>
        <w:tc>
          <w:tcPr>
            <w:tcW w:w="624" w:type="pct"/>
            <w:noWrap/>
            <w:hideMark/>
          </w:tcPr>
          <w:p w14:paraId="6AFFEFA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0.025</w:t>
            </w:r>
          </w:p>
        </w:tc>
        <w:tc>
          <w:tcPr>
            <w:tcW w:w="624" w:type="pct"/>
            <w:noWrap/>
            <w:hideMark/>
          </w:tcPr>
          <w:p w14:paraId="77992B4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0.010</w:t>
            </w:r>
          </w:p>
        </w:tc>
        <w:tc>
          <w:tcPr>
            <w:tcW w:w="624" w:type="pct"/>
            <w:noWrap/>
            <w:hideMark/>
          </w:tcPr>
          <w:p w14:paraId="4A1E7F1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0.063</w:t>
            </w:r>
          </w:p>
        </w:tc>
        <w:tc>
          <w:tcPr>
            <w:tcW w:w="624" w:type="pct"/>
            <w:noWrap/>
            <w:hideMark/>
          </w:tcPr>
          <w:p w14:paraId="0EFE5AA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-0.018</w:t>
            </w:r>
          </w:p>
        </w:tc>
        <w:tc>
          <w:tcPr>
            <w:tcW w:w="676" w:type="pct"/>
            <w:noWrap/>
            <w:hideMark/>
          </w:tcPr>
          <w:p w14:paraId="4EE9064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0.022</w:t>
            </w:r>
          </w:p>
        </w:tc>
        <w:tc>
          <w:tcPr>
            <w:tcW w:w="624" w:type="pct"/>
            <w:noWrap/>
            <w:hideMark/>
          </w:tcPr>
          <w:p w14:paraId="5CA26F1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0.049</w:t>
            </w:r>
          </w:p>
        </w:tc>
        <w:tc>
          <w:tcPr>
            <w:tcW w:w="622" w:type="pct"/>
            <w:noWrap/>
            <w:hideMark/>
          </w:tcPr>
          <w:p w14:paraId="5E8CA004"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0.102</w:t>
            </w:r>
          </w:p>
        </w:tc>
      </w:tr>
      <w:tr w:rsidR="00767668" w:rsidRPr="009B605C" w14:paraId="00984975" w14:textId="77777777" w:rsidTr="00767668">
        <w:trPr>
          <w:trHeight w:val="340"/>
        </w:trPr>
        <w:tc>
          <w:tcPr>
            <w:tcW w:w="582" w:type="pct"/>
            <w:noWrap/>
            <w:hideMark/>
          </w:tcPr>
          <w:p w14:paraId="611A01ED"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Std. Dev.</w:t>
            </w:r>
          </w:p>
        </w:tc>
        <w:tc>
          <w:tcPr>
            <w:tcW w:w="624" w:type="pct"/>
            <w:noWrap/>
            <w:hideMark/>
          </w:tcPr>
          <w:p w14:paraId="3DC8D9CF"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1.084</w:t>
            </w:r>
          </w:p>
        </w:tc>
        <w:tc>
          <w:tcPr>
            <w:tcW w:w="624" w:type="pct"/>
            <w:noWrap/>
            <w:hideMark/>
          </w:tcPr>
          <w:p w14:paraId="5D58A59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2.087</w:t>
            </w:r>
          </w:p>
        </w:tc>
        <w:tc>
          <w:tcPr>
            <w:tcW w:w="624" w:type="pct"/>
            <w:noWrap/>
            <w:hideMark/>
          </w:tcPr>
          <w:p w14:paraId="2CD4EE44"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0.848</w:t>
            </w:r>
          </w:p>
        </w:tc>
        <w:tc>
          <w:tcPr>
            <w:tcW w:w="624" w:type="pct"/>
            <w:noWrap/>
            <w:hideMark/>
          </w:tcPr>
          <w:p w14:paraId="7FC575D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0.929</w:t>
            </w:r>
          </w:p>
        </w:tc>
        <w:tc>
          <w:tcPr>
            <w:tcW w:w="676" w:type="pct"/>
            <w:noWrap/>
            <w:hideMark/>
          </w:tcPr>
          <w:p w14:paraId="554618A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1.144</w:t>
            </w:r>
          </w:p>
        </w:tc>
        <w:tc>
          <w:tcPr>
            <w:tcW w:w="624" w:type="pct"/>
            <w:noWrap/>
            <w:hideMark/>
          </w:tcPr>
          <w:p w14:paraId="7D2CF2B8"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0.868</w:t>
            </w:r>
          </w:p>
        </w:tc>
        <w:tc>
          <w:tcPr>
            <w:tcW w:w="622" w:type="pct"/>
            <w:noWrap/>
            <w:hideMark/>
          </w:tcPr>
          <w:p w14:paraId="40686931"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16.202</w:t>
            </w:r>
          </w:p>
        </w:tc>
      </w:tr>
      <w:tr w:rsidR="00767668" w:rsidRPr="009B605C" w14:paraId="0271C707" w14:textId="77777777" w:rsidTr="00767668">
        <w:trPr>
          <w:trHeight w:val="340"/>
        </w:trPr>
        <w:tc>
          <w:tcPr>
            <w:tcW w:w="582" w:type="pct"/>
            <w:noWrap/>
            <w:hideMark/>
          </w:tcPr>
          <w:p w14:paraId="6D46BA02"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Skewness</w:t>
            </w:r>
          </w:p>
        </w:tc>
        <w:tc>
          <w:tcPr>
            <w:tcW w:w="624" w:type="pct"/>
            <w:noWrap/>
            <w:hideMark/>
          </w:tcPr>
          <w:p w14:paraId="4D5ADAE2"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0.068</w:t>
            </w:r>
          </w:p>
        </w:tc>
        <w:tc>
          <w:tcPr>
            <w:tcW w:w="624" w:type="pct"/>
            <w:noWrap/>
            <w:hideMark/>
          </w:tcPr>
          <w:p w14:paraId="318BF4B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-7.634</w:t>
            </w:r>
          </w:p>
        </w:tc>
        <w:tc>
          <w:tcPr>
            <w:tcW w:w="624" w:type="pct"/>
            <w:noWrap/>
            <w:hideMark/>
          </w:tcPr>
          <w:p w14:paraId="6138819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-0.799</w:t>
            </w:r>
          </w:p>
        </w:tc>
        <w:tc>
          <w:tcPr>
            <w:tcW w:w="624" w:type="pct"/>
            <w:noWrap/>
            <w:hideMark/>
          </w:tcPr>
          <w:p w14:paraId="4FD0B85A"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-0.164</w:t>
            </w:r>
          </w:p>
        </w:tc>
        <w:tc>
          <w:tcPr>
            <w:tcW w:w="676" w:type="pct"/>
            <w:noWrap/>
            <w:hideMark/>
          </w:tcPr>
          <w:p w14:paraId="153D3282"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0.279</w:t>
            </w:r>
          </w:p>
        </w:tc>
        <w:tc>
          <w:tcPr>
            <w:tcW w:w="624" w:type="pct"/>
            <w:noWrap/>
            <w:hideMark/>
          </w:tcPr>
          <w:p w14:paraId="67C7689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-0.010</w:t>
            </w:r>
          </w:p>
        </w:tc>
        <w:tc>
          <w:tcPr>
            <w:tcW w:w="622" w:type="pct"/>
            <w:noWrap/>
            <w:hideMark/>
          </w:tcPr>
          <w:p w14:paraId="680427A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0.167</w:t>
            </w:r>
          </w:p>
        </w:tc>
      </w:tr>
      <w:tr w:rsidR="00767668" w:rsidRPr="009B605C" w14:paraId="18685BD4" w14:textId="77777777" w:rsidTr="00767668">
        <w:trPr>
          <w:trHeight w:val="340"/>
        </w:trPr>
        <w:tc>
          <w:tcPr>
            <w:tcW w:w="582" w:type="pct"/>
            <w:noWrap/>
            <w:hideMark/>
          </w:tcPr>
          <w:p w14:paraId="61ED021A"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Kurtosis</w:t>
            </w:r>
          </w:p>
        </w:tc>
        <w:tc>
          <w:tcPr>
            <w:tcW w:w="624" w:type="pct"/>
            <w:noWrap/>
            <w:hideMark/>
          </w:tcPr>
          <w:p w14:paraId="5C767FE1"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4.137</w:t>
            </w:r>
          </w:p>
        </w:tc>
        <w:tc>
          <w:tcPr>
            <w:tcW w:w="624" w:type="pct"/>
            <w:noWrap/>
            <w:hideMark/>
          </w:tcPr>
          <w:p w14:paraId="4914C2D0"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146.890</w:t>
            </w:r>
          </w:p>
        </w:tc>
        <w:tc>
          <w:tcPr>
            <w:tcW w:w="624" w:type="pct"/>
            <w:noWrap/>
            <w:hideMark/>
          </w:tcPr>
          <w:p w14:paraId="3C828ADE"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9.520</w:t>
            </w:r>
          </w:p>
        </w:tc>
        <w:tc>
          <w:tcPr>
            <w:tcW w:w="624" w:type="pct"/>
            <w:noWrap/>
            <w:hideMark/>
          </w:tcPr>
          <w:p w14:paraId="7716304D"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6.913</w:t>
            </w:r>
          </w:p>
        </w:tc>
        <w:tc>
          <w:tcPr>
            <w:tcW w:w="676" w:type="pct"/>
            <w:noWrap/>
            <w:hideMark/>
          </w:tcPr>
          <w:p w14:paraId="2947E905"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4.501</w:t>
            </w:r>
          </w:p>
        </w:tc>
        <w:tc>
          <w:tcPr>
            <w:tcW w:w="624" w:type="pct"/>
            <w:noWrap/>
            <w:hideMark/>
          </w:tcPr>
          <w:p w14:paraId="46C31FC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4.353</w:t>
            </w:r>
          </w:p>
        </w:tc>
        <w:tc>
          <w:tcPr>
            <w:tcW w:w="622" w:type="pct"/>
            <w:noWrap/>
            <w:hideMark/>
          </w:tcPr>
          <w:p w14:paraId="46A739FC"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282.397</w:t>
            </w:r>
          </w:p>
        </w:tc>
      </w:tr>
      <w:tr w:rsidR="00767668" w:rsidRPr="009B605C" w14:paraId="17FF69D0" w14:textId="77777777" w:rsidTr="00767668">
        <w:trPr>
          <w:trHeight w:val="340"/>
        </w:trPr>
        <w:tc>
          <w:tcPr>
            <w:tcW w:w="582" w:type="pct"/>
            <w:noWrap/>
            <w:hideMark/>
          </w:tcPr>
          <w:p w14:paraId="7697A157"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ADF</w:t>
            </w:r>
          </w:p>
        </w:tc>
        <w:tc>
          <w:tcPr>
            <w:tcW w:w="624" w:type="pct"/>
            <w:noWrap/>
            <w:hideMark/>
          </w:tcPr>
          <w:p w14:paraId="321571D4"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-24.399***</w:t>
            </w:r>
          </w:p>
        </w:tc>
        <w:tc>
          <w:tcPr>
            <w:tcW w:w="624" w:type="pct"/>
            <w:noWrap/>
            <w:hideMark/>
          </w:tcPr>
          <w:p w14:paraId="7BBCA927" w14:textId="3295530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-18.98</w:t>
            </w:r>
            <w:r w:rsidR="00D521F8" w:rsidRPr="009B605C">
              <w:rPr>
                <w:rFonts w:ascii="Cambria" w:hAnsi="Cambria"/>
                <w:color w:val="000000"/>
                <w:sz w:val="22"/>
                <w:szCs w:val="22"/>
              </w:rPr>
              <w:t>0</w:t>
            </w:r>
            <w:r w:rsidRPr="009B605C">
              <w:rPr>
                <w:rFonts w:ascii="Cambria" w:hAnsi="Cambria"/>
                <w:color w:val="000000"/>
                <w:sz w:val="22"/>
                <w:szCs w:val="22"/>
              </w:rPr>
              <w:t>***</w:t>
            </w:r>
          </w:p>
        </w:tc>
        <w:tc>
          <w:tcPr>
            <w:tcW w:w="624" w:type="pct"/>
            <w:noWrap/>
            <w:hideMark/>
          </w:tcPr>
          <w:p w14:paraId="0FB246E4"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-28.11***</w:t>
            </w:r>
          </w:p>
        </w:tc>
        <w:tc>
          <w:tcPr>
            <w:tcW w:w="624" w:type="pct"/>
            <w:noWrap/>
            <w:hideMark/>
          </w:tcPr>
          <w:p w14:paraId="455646E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-24.693***</w:t>
            </w:r>
          </w:p>
        </w:tc>
        <w:tc>
          <w:tcPr>
            <w:tcW w:w="676" w:type="pct"/>
            <w:noWrap/>
            <w:hideMark/>
          </w:tcPr>
          <w:p w14:paraId="19EB2752"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-24.559***</w:t>
            </w:r>
          </w:p>
        </w:tc>
        <w:tc>
          <w:tcPr>
            <w:tcW w:w="624" w:type="pct"/>
            <w:noWrap/>
            <w:hideMark/>
          </w:tcPr>
          <w:p w14:paraId="6D5043FC"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-27.587***</w:t>
            </w:r>
          </w:p>
        </w:tc>
        <w:tc>
          <w:tcPr>
            <w:tcW w:w="622" w:type="pct"/>
            <w:noWrap/>
            <w:hideMark/>
          </w:tcPr>
          <w:p w14:paraId="3B4D1A8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-18.237***</w:t>
            </w:r>
          </w:p>
        </w:tc>
      </w:tr>
      <w:tr w:rsidR="00767668" w:rsidRPr="009B605C" w14:paraId="12A618FA" w14:textId="77777777" w:rsidTr="00767668">
        <w:trPr>
          <w:trHeight w:val="340"/>
        </w:trPr>
        <w:tc>
          <w:tcPr>
            <w:tcW w:w="582" w:type="pct"/>
            <w:noWrap/>
            <w:hideMark/>
          </w:tcPr>
          <w:p w14:paraId="3C8B0FF4" w14:textId="77777777" w:rsidR="00767668" w:rsidRPr="009B605C" w:rsidRDefault="00767668" w:rsidP="0087752F">
            <w:pPr>
              <w:rPr>
                <w:rFonts w:ascii="Cambria" w:hAnsi="Cambria"/>
                <w:color w:val="000000"/>
                <w:sz w:val="22"/>
                <w:szCs w:val="22"/>
              </w:rPr>
            </w:pPr>
            <w:r w:rsidRPr="009B605C">
              <w:rPr>
                <w:rFonts w:ascii="Cambria" w:hAnsi="Cambria"/>
                <w:color w:val="000000"/>
                <w:sz w:val="22"/>
                <w:szCs w:val="22"/>
              </w:rPr>
              <w:t>Fourier ADF</w:t>
            </w:r>
          </w:p>
        </w:tc>
        <w:tc>
          <w:tcPr>
            <w:tcW w:w="624" w:type="pct"/>
            <w:noWrap/>
            <w:hideMark/>
          </w:tcPr>
          <w:p w14:paraId="3DEFD0BE"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-24.603***</w:t>
            </w:r>
          </w:p>
        </w:tc>
        <w:tc>
          <w:tcPr>
            <w:tcW w:w="624" w:type="pct"/>
            <w:noWrap/>
            <w:hideMark/>
          </w:tcPr>
          <w:p w14:paraId="3427DF58"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-15.668***</w:t>
            </w:r>
          </w:p>
        </w:tc>
        <w:tc>
          <w:tcPr>
            <w:tcW w:w="624" w:type="pct"/>
            <w:noWrap/>
            <w:hideMark/>
          </w:tcPr>
          <w:p w14:paraId="78AFF008"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-28.303***</w:t>
            </w:r>
          </w:p>
        </w:tc>
        <w:tc>
          <w:tcPr>
            <w:tcW w:w="624" w:type="pct"/>
            <w:noWrap/>
            <w:hideMark/>
          </w:tcPr>
          <w:p w14:paraId="1098648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-24.721***</w:t>
            </w:r>
          </w:p>
        </w:tc>
        <w:tc>
          <w:tcPr>
            <w:tcW w:w="676" w:type="pct"/>
            <w:noWrap/>
            <w:hideMark/>
          </w:tcPr>
          <w:p w14:paraId="4155988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-24.621***</w:t>
            </w:r>
          </w:p>
        </w:tc>
        <w:tc>
          <w:tcPr>
            <w:tcW w:w="624" w:type="pct"/>
            <w:noWrap/>
            <w:hideMark/>
          </w:tcPr>
          <w:p w14:paraId="0BC9A587"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-27.746***</w:t>
            </w:r>
          </w:p>
        </w:tc>
        <w:tc>
          <w:tcPr>
            <w:tcW w:w="622" w:type="pct"/>
            <w:noWrap/>
            <w:hideMark/>
          </w:tcPr>
          <w:p w14:paraId="51DFD2C8"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-18.296***</w:t>
            </w:r>
          </w:p>
        </w:tc>
      </w:tr>
      <w:tr w:rsidR="00767668" w:rsidRPr="009B605C" w14:paraId="110CF047" w14:textId="77777777" w:rsidTr="00767668">
        <w:trPr>
          <w:trHeight w:val="340"/>
        </w:trPr>
        <w:tc>
          <w:tcPr>
            <w:tcW w:w="582" w:type="pct"/>
            <w:tcBorders>
              <w:bottom w:val="double" w:sz="4" w:space="0" w:color="auto"/>
            </w:tcBorders>
            <w:noWrap/>
            <w:hideMark/>
          </w:tcPr>
          <w:p w14:paraId="0918EBE4" w14:textId="13BE2803" w:rsidR="00767668" w:rsidRPr="009B605C" w:rsidRDefault="00767668" w:rsidP="0087752F">
            <w:pPr>
              <w:rPr>
                <w:rFonts w:ascii="Cambria" w:hAnsi="Cambria"/>
                <w:color w:val="000000"/>
                <w:sz w:val="22"/>
                <w:szCs w:val="22"/>
              </w:rPr>
            </w:pPr>
            <w:r w:rsidRPr="009B605C">
              <w:rPr>
                <w:rFonts w:ascii="Cambria" w:hAnsi="Cambria"/>
                <w:color w:val="000000"/>
                <w:sz w:val="22"/>
                <w:szCs w:val="22"/>
              </w:rPr>
              <w:t>№ obs</w:t>
            </w:r>
            <w:r w:rsidR="006C75B6" w:rsidRPr="009B605C">
              <w:rPr>
                <w:rFonts w:ascii="Cambria" w:hAnsi="Cambria"/>
                <w:color w:val="000000"/>
                <w:sz w:val="22"/>
                <w:szCs w:val="22"/>
              </w:rPr>
              <w:t>.</w:t>
            </w:r>
          </w:p>
        </w:tc>
        <w:tc>
          <w:tcPr>
            <w:tcW w:w="624" w:type="pct"/>
            <w:tcBorders>
              <w:bottom w:val="double" w:sz="4" w:space="0" w:color="auto"/>
            </w:tcBorders>
            <w:noWrap/>
            <w:hideMark/>
          </w:tcPr>
          <w:p w14:paraId="1C1E3EB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24" w:type="pct"/>
            <w:tcBorders>
              <w:bottom w:val="double" w:sz="4" w:space="0" w:color="auto"/>
            </w:tcBorders>
            <w:noWrap/>
            <w:hideMark/>
          </w:tcPr>
          <w:p w14:paraId="4F59488D"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24" w:type="pct"/>
            <w:tcBorders>
              <w:bottom w:val="double" w:sz="4" w:space="0" w:color="auto"/>
            </w:tcBorders>
            <w:noWrap/>
            <w:hideMark/>
          </w:tcPr>
          <w:p w14:paraId="2F41210A"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24" w:type="pct"/>
            <w:tcBorders>
              <w:bottom w:val="double" w:sz="4" w:space="0" w:color="auto"/>
            </w:tcBorders>
            <w:noWrap/>
            <w:hideMark/>
          </w:tcPr>
          <w:p w14:paraId="709D51F9"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76" w:type="pct"/>
            <w:tcBorders>
              <w:bottom w:val="double" w:sz="4" w:space="0" w:color="auto"/>
            </w:tcBorders>
            <w:noWrap/>
            <w:hideMark/>
          </w:tcPr>
          <w:p w14:paraId="5E5EB963"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24" w:type="pct"/>
            <w:tcBorders>
              <w:bottom w:val="double" w:sz="4" w:space="0" w:color="auto"/>
            </w:tcBorders>
            <w:noWrap/>
            <w:hideMark/>
          </w:tcPr>
          <w:p w14:paraId="72FAF596"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c>
          <w:tcPr>
            <w:tcW w:w="622" w:type="pct"/>
            <w:tcBorders>
              <w:bottom w:val="double" w:sz="4" w:space="0" w:color="auto"/>
            </w:tcBorders>
            <w:noWrap/>
            <w:hideMark/>
          </w:tcPr>
          <w:p w14:paraId="20AC678B" w14:textId="77777777" w:rsidR="00767668" w:rsidRPr="009B605C" w:rsidRDefault="00767668" w:rsidP="0087752F">
            <w:pPr>
              <w:jc w:val="right"/>
              <w:rPr>
                <w:rFonts w:ascii="Cambria" w:hAnsi="Cambria"/>
                <w:color w:val="000000"/>
                <w:sz w:val="22"/>
                <w:szCs w:val="22"/>
              </w:rPr>
            </w:pPr>
            <w:r w:rsidRPr="009B605C">
              <w:rPr>
                <w:rFonts w:ascii="Cambria" w:hAnsi="Cambria"/>
                <w:color w:val="000000"/>
                <w:sz w:val="22"/>
                <w:szCs w:val="22"/>
              </w:rPr>
              <w:t>677</w:t>
            </w:r>
          </w:p>
        </w:tc>
      </w:tr>
    </w:tbl>
    <w:p w14:paraId="287B8FE9" w14:textId="03F11D55" w:rsidR="00B93A89" w:rsidRPr="009B605C" w:rsidRDefault="00B93A89" w:rsidP="0087752F">
      <w:pPr>
        <w:ind w:left="-142" w:right="66"/>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The table has two panels, A and B, corresponding to pre- and post-conflict announcement periods, respectively. It </w:t>
      </w:r>
      <w:r w:rsidR="00FB54F1" w:rsidRPr="009B605C">
        <w:rPr>
          <w:rFonts w:ascii="Cambria" w:hAnsi="Cambria"/>
          <w:sz w:val="20"/>
          <w:szCs w:val="20"/>
        </w:rPr>
        <w:t>provides</w:t>
      </w:r>
      <w:r w:rsidRPr="009B605C">
        <w:rPr>
          <w:rFonts w:ascii="Cambria" w:hAnsi="Cambria"/>
          <w:sz w:val="20"/>
          <w:szCs w:val="20"/>
        </w:rPr>
        <w:t xml:space="preserve"> the mean returns (Mean), standard deviation of the returns (</w:t>
      </w:r>
      <w:r w:rsidRPr="009B605C">
        <w:rPr>
          <w:rFonts w:ascii="Cambria" w:hAnsi="Cambria"/>
          <w:color w:val="000000"/>
          <w:sz w:val="20"/>
          <w:szCs w:val="20"/>
        </w:rPr>
        <w:t>Std. Dev.</w:t>
      </w:r>
      <w:r w:rsidRPr="009B605C">
        <w:rPr>
          <w:rFonts w:ascii="Cambria" w:hAnsi="Cambria"/>
          <w:color w:val="000000"/>
          <w:sz w:val="20"/>
        </w:rPr>
        <w:t>)</w:t>
      </w:r>
      <w:r w:rsidRPr="009B605C">
        <w:rPr>
          <w:rFonts w:ascii="Cambria" w:hAnsi="Cambria"/>
          <w:sz w:val="20"/>
          <w:szCs w:val="20"/>
        </w:rPr>
        <w:t>, skewness (</w:t>
      </w:r>
      <w:r w:rsidRPr="009B605C">
        <w:rPr>
          <w:rFonts w:ascii="Cambria" w:hAnsi="Cambria"/>
          <w:color w:val="000000"/>
          <w:sz w:val="20"/>
        </w:rPr>
        <w:t>Skewness)</w:t>
      </w:r>
      <w:r w:rsidRPr="009B605C">
        <w:rPr>
          <w:rFonts w:ascii="Cambria" w:hAnsi="Cambria"/>
          <w:sz w:val="20"/>
          <w:szCs w:val="20"/>
        </w:rPr>
        <w:t>, kurtosis (</w:t>
      </w:r>
      <w:r w:rsidRPr="009B605C">
        <w:rPr>
          <w:rFonts w:ascii="Cambria" w:hAnsi="Cambria"/>
          <w:color w:val="000000"/>
          <w:sz w:val="20"/>
        </w:rPr>
        <w:t>Kurtosis)</w:t>
      </w:r>
      <w:r w:rsidRPr="009B605C">
        <w:rPr>
          <w:rFonts w:ascii="Cambria" w:hAnsi="Cambria"/>
          <w:sz w:val="20"/>
          <w:szCs w:val="20"/>
        </w:rPr>
        <w:t xml:space="preserve"> and the number of observations (</w:t>
      </w:r>
      <w:r w:rsidRPr="009B605C">
        <w:rPr>
          <w:rFonts w:ascii="Cambria" w:hAnsi="Cambria"/>
          <w:color w:val="000000"/>
          <w:sz w:val="20"/>
          <w:szCs w:val="20"/>
        </w:rPr>
        <w:t>№ obs</w:t>
      </w:r>
      <w:r w:rsidR="006C75B6" w:rsidRPr="009B605C">
        <w:rPr>
          <w:rFonts w:ascii="Cambria" w:hAnsi="Cambria"/>
          <w:color w:val="000000"/>
          <w:sz w:val="20"/>
          <w:szCs w:val="20"/>
        </w:rPr>
        <w:t>.</w:t>
      </w:r>
      <w:r w:rsidRPr="009B605C">
        <w:rPr>
          <w:rFonts w:ascii="Cambria" w:hAnsi="Cambria"/>
          <w:color w:val="000000"/>
          <w:sz w:val="20"/>
          <w:szCs w:val="20"/>
        </w:rPr>
        <w:t xml:space="preserve">). </w:t>
      </w:r>
      <w:r w:rsidR="00FB54F1" w:rsidRPr="009B605C">
        <w:rPr>
          <w:rFonts w:ascii="Cambria" w:hAnsi="Cambria"/>
          <w:color w:val="000000"/>
          <w:sz w:val="20"/>
          <w:szCs w:val="20"/>
        </w:rPr>
        <w:t>T</w:t>
      </w:r>
      <w:r w:rsidRPr="009B605C">
        <w:rPr>
          <w:rFonts w:ascii="Cambria" w:hAnsi="Cambria"/>
          <w:color w:val="000000"/>
          <w:sz w:val="20"/>
          <w:szCs w:val="20"/>
        </w:rPr>
        <w:t>he test statistics from ADF and Fourier ADF tests</w:t>
      </w:r>
      <w:r w:rsidR="00FB54F1" w:rsidRPr="009B605C">
        <w:rPr>
          <w:rFonts w:ascii="Cambria" w:hAnsi="Cambria"/>
          <w:color w:val="000000"/>
          <w:sz w:val="20"/>
          <w:szCs w:val="20"/>
        </w:rPr>
        <w:t xml:space="preserve"> are given</w:t>
      </w:r>
      <w:r w:rsidRPr="009B605C">
        <w:rPr>
          <w:rFonts w:ascii="Cambria" w:hAnsi="Cambria"/>
          <w:color w:val="000000"/>
          <w:sz w:val="20"/>
          <w:szCs w:val="20"/>
        </w:rPr>
        <w:t xml:space="preserve">. </w:t>
      </w:r>
      <w:r w:rsidRPr="009B605C">
        <w:rPr>
          <w:rFonts w:ascii="Cambria" w:hAnsi="Cambria"/>
          <w:sz w:val="20"/>
          <w:szCs w:val="20"/>
        </w:rPr>
        <w:t xml:space="preserve">The ADF tests </w:t>
      </w:r>
      <w:r w:rsidR="00FB54F1" w:rsidRPr="009B605C">
        <w:rPr>
          <w:rFonts w:ascii="Cambria" w:hAnsi="Cambria"/>
          <w:sz w:val="20"/>
          <w:szCs w:val="20"/>
        </w:rPr>
        <w:t>the</w:t>
      </w:r>
      <w:r w:rsidRPr="009B605C">
        <w:rPr>
          <w:rFonts w:ascii="Cambria" w:hAnsi="Cambria"/>
          <w:sz w:val="20"/>
          <w:szCs w:val="20"/>
        </w:rPr>
        <w:t xml:space="preserve"> null hypothesis of a unit root, while Fourier ADF test</w:t>
      </w:r>
      <w:r w:rsidR="00FB54F1" w:rsidRPr="009B605C">
        <w:rPr>
          <w:rFonts w:ascii="Cambria" w:hAnsi="Cambria"/>
          <w:sz w:val="20"/>
          <w:szCs w:val="20"/>
        </w:rPr>
        <w:t>s the</w:t>
      </w:r>
      <w:r w:rsidRPr="009B605C">
        <w:rPr>
          <w:rFonts w:ascii="Cambria" w:hAnsi="Cambria"/>
          <w:sz w:val="20"/>
          <w:szCs w:val="20"/>
        </w:rPr>
        <w:t xml:space="preserve"> null hypothesis of a unit root series with the unknown number of level breaks, </w:t>
      </w:r>
      <w:r w:rsidR="00FB54F1" w:rsidRPr="009B605C">
        <w:rPr>
          <w:rFonts w:ascii="Cambria" w:hAnsi="Cambria"/>
          <w:sz w:val="20"/>
          <w:szCs w:val="20"/>
        </w:rPr>
        <w:t>against their corresponding alternatives.</w:t>
      </w:r>
      <w:r w:rsidRPr="009B605C">
        <w:rPr>
          <w:rFonts w:ascii="Cambria" w:hAnsi="Cambria"/>
          <w:sz w:val="20"/>
          <w:szCs w:val="20"/>
        </w:rPr>
        <w:t xml:space="preserve"> The lag length is selected by using the BIC</w:t>
      </w:r>
      <w:r w:rsidR="00AD2A41" w:rsidRPr="009B605C">
        <w:rPr>
          <w:rFonts w:ascii="Cambria" w:hAnsi="Cambria"/>
          <w:sz w:val="20"/>
          <w:szCs w:val="20"/>
        </w:rPr>
        <w:t xml:space="preserve">. </w:t>
      </w:r>
      <w:r w:rsidRPr="009B605C">
        <w:rPr>
          <w:rFonts w:ascii="Cambria" w:hAnsi="Cambria"/>
          <w:sz w:val="20"/>
          <w:szCs w:val="20"/>
        </w:rPr>
        <w:t>*** denote</w:t>
      </w:r>
      <w:r w:rsidR="00AD2A41" w:rsidRPr="009B605C">
        <w:rPr>
          <w:rFonts w:ascii="Cambria" w:hAnsi="Cambria"/>
          <w:sz w:val="20"/>
          <w:szCs w:val="20"/>
        </w:rPr>
        <w:t>s</w:t>
      </w:r>
      <w:r w:rsidRPr="009B605C">
        <w:rPr>
          <w:rFonts w:ascii="Cambria" w:hAnsi="Cambria"/>
          <w:sz w:val="20"/>
          <w:szCs w:val="20"/>
        </w:rPr>
        <w:t xml:space="preserve"> statistical significance at the 1% level.</w:t>
      </w:r>
    </w:p>
    <w:p w14:paraId="0A95EDB4" w14:textId="77777777" w:rsidR="00040A1B" w:rsidRPr="009B605C" w:rsidRDefault="00040A1B" w:rsidP="0087752F">
      <w:pPr>
        <w:rPr>
          <w:rFonts w:ascii="Cambria" w:hAnsi="Cambria"/>
        </w:rPr>
      </w:pPr>
    </w:p>
    <w:p w14:paraId="2F316E6D" w14:textId="77777777" w:rsidR="00040A1B" w:rsidRPr="009B605C" w:rsidRDefault="00040A1B" w:rsidP="0087752F">
      <w:pPr>
        <w:rPr>
          <w:rFonts w:ascii="Cambria" w:hAnsi="Cambria"/>
        </w:rPr>
      </w:pPr>
    </w:p>
    <w:p w14:paraId="6617AE0C" w14:textId="77777777" w:rsidR="00040A1B" w:rsidRPr="009B605C" w:rsidRDefault="00040A1B" w:rsidP="0087752F">
      <w:pPr>
        <w:rPr>
          <w:rFonts w:ascii="Cambria" w:hAnsi="Cambria"/>
        </w:rPr>
      </w:pPr>
    </w:p>
    <w:p w14:paraId="12283187" w14:textId="77777777" w:rsidR="00040A1B" w:rsidRPr="009B605C" w:rsidRDefault="00040A1B" w:rsidP="0087752F">
      <w:pPr>
        <w:rPr>
          <w:rFonts w:ascii="Cambria" w:hAnsi="Cambria"/>
        </w:rPr>
      </w:pPr>
    </w:p>
    <w:p w14:paraId="7AAED713" w14:textId="77777777" w:rsidR="001A76A8" w:rsidRPr="009B605C" w:rsidRDefault="001A76A8" w:rsidP="0087752F">
      <w:pPr>
        <w:rPr>
          <w:rFonts w:ascii="Cambria" w:hAnsi="Cambria"/>
        </w:rPr>
        <w:sectPr w:rsidR="001A76A8" w:rsidRPr="009B605C" w:rsidSect="00767668">
          <w:pgSz w:w="16838" w:h="11906" w:orient="landscape"/>
          <w:pgMar w:top="1440" w:right="1440" w:bottom="1440" w:left="1440" w:header="708" w:footer="708" w:gutter="0"/>
          <w:cols w:space="708"/>
          <w:docGrid w:linePitch="360"/>
        </w:sectPr>
      </w:pPr>
    </w:p>
    <w:p w14:paraId="13AC0FF2" w14:textId="661268B8" w:rsidR="00F00E06" w:rsidRPr="009B605C" w:rsidRDefault="00F00E06" w:rsidP="0087752F">
      <w:pPr>
        <w:ind w:left="-142"/>
        <w:rPr>
          <w:rFonts w:ascii="Cambria" w:hAnsi="Cambria"/>
        </w:rPr>
      </w:pPr>
      <w:r w:rsidRPr="009B605C">
        <w:rPr>
          <w:rFonts w:ascii="Cambria" w:hAnsi="Cambria"/>
          <w:b/>
          <w:bCs/>
        </w:rPr>
        <w:lastRenderedPageBreak/>
        <w:t>Table 2.</w:t>
      </w:r>
      <w:r w:rsidRPr="009B605C">
        <w:rPr>
          <w:rFonts w:ascii="Cambria" w:hAnsi="Cambria"/>
        </w:rPr>
        <w:t xml:space="preserve"> </w:t>
      </w:r>
      <w:r w:rsidRPr="009B605C">
        <w:rPr>
          <w:rFonts w:ascii="Cambria" w:hAnsi="Cambria"/>
          <w:color w:val="000000"/>
        </w:rPr>
        <w:t>Correlation matrix</w:t>
      </w:r>
    </w:p>
    <w:tbl>
      <w:tblPr>
        <w:tblW w:w="5000" w:type="pct"/>
        <w:tblInd w:w="-142" w:type="dxa"/>
        <w:tblLook w:val="04A0" w:firstRow="1" w:lastRow="0" w:firstColumn="1" w:lastColumn="0" w:noHBand="0" w:noVBand="1"/>
      </w:tblPr>
      <w:tblGrid>
        <w:gridCol w:w="1713"/>
        <w:gridCol w:w="953"/>
        <w:gridCol w:w="1015"/>
        <w:gridCol w:w="948"/>
        <w:gridCol w:w="953"/>
        <w:gridCol w:w="1515"/>
        <w:gridCol w:w="857"/>
        <w:gridCol w:w="1072"/>
      </w:tblGrid>
      <w:tr w:rsidR="00F00E06" w:rsidRPr="009B605C" w14:paraId="4C20D172" w14:textId="77777777" w:rsidTr="007E22A8">
        <w:trPr>
          <w:trHeight w:val="397"/>
        </w:trPr>
        <w:tc>
          <w:tcPr>
            <w:tcW w:w="949" w:type="pct"/>
            <w:tcBorders>
              <w:top w:val="double" w:sz="4" w:space="0" w:color="auto"/>
              <w:left w:val="nil"/>
              <w:bottom w:val="single" w:sz="4" w:space="0" w:color="auto"/>
              <w:right w:val="nil"/>
            </w:tcBorders>
            <w:shd w:val="clear" w:color="auto" w:fill="auto"/>
            <w:noWrap/>
            <w:vAlign w:val="center"/>
            <w:hideMark/>
          </w:tcPr>
          <w:p w14:paraId="40ECA681" w14:textId="2C09B328" w:rsidR="00F00E06" w:rsidRPr="009B605C" w:rsidRDefault="00F26A0A" w:rsidP="0087752F">
            <w:pPr>
              <w:rPr>
                <w:rFonts w:ascii="Cambria" w:hAnsi="Cambria"/>
                <w:sz w:val="20"/>
                <w:szCs w:val="20"/>
              </w:rPr>
            </w:pPr>
            <w:r w:rsidRPr="009B605C">
              <w:rPr>
                <w:rFonts w:ascii="Cambria" w:hAnsi="Cambria"/>
                <w:sz w:val="20"/>
                <w:szCs w:val="20"/>
              </w:rPr>
              <w:t>pre\post</w:t>
            </w:r>
          </w:p>
        </w:tc>
        <w:tc>
          <w:tcPr>
            <w:tcW w:w="528" w:type="pct"/>
            <w:tcBorders>
              <w:top w:val="double" w:sz="4" w:space="0" w:color="auto"/>
              <w:left w:val="nil"/>
              <w:bottom w:val="single" w:sz="4" w:space="0" w:color="auto"/>
              <w:right w:val="nil"/>
            </w:tcBorders>
            <w:shd w:val="clear" w:color="auto" w:fill="auto"/>
            <w:noWrap/>
            <w:vAlign w:val="center"/>
            <w:hideMark/>
          </w:tcPr>
          <w:p w14:paraId="51BC6F84"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Brazil</w:t>
            </w:r>
          </w:p>
        </w:tc>
        <w:tc>
          <w:tcPr>
            <w:tcW w:w="562" w:type="pct"/>
            <w:tcBorders>
              <w:top w:val="double" w:sz="4" w:space="0" w:color="auto"/>
              <w:left w:val="nil"/>
              <w:bottom w:val="single" w:sz="4" w:space="0" w:color="auto"/>
              <w:right w:val="nil"/>
            </w:tcBorders>
            <w:shd w:val="clear" w:color="auto" w:fill="auto"/>
            <w:noWrap/>
            <w:vAlign w:val="center"/>
            <w:hideMark/>
          </w:tcPr>
          <w:p w14:paraId="450EEDD3"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Russia</w:t>
            </w:r>
          </w:p>
        </w:tc>
        <w:tc>
          <w:tcPr>
            <w:tcW w:w="525" w:type="pct"/>
            <w:tcBorders>
              <w:top w:val="double" w:sz="4" w:space="0" w:color="auto"/>
              <w:left w:val="nil"/>
              <w:bottom w:val="single" w:sz="4" w:space="0" w:color="auto"/>
              <w:right w:val="nil"/>
            </w:tcBorders>
            <w:shd w:val="clear" w:color="auto" w:fill="auto"/>
            <w:noWrap/>
            <w:vAlign w:val="center"/>
            <w:hideMark/>
          </w:tcPr>
          <w:p w14:paraId="68C68D71"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India</w:t>
            </w:r>
          </w:p>
        </w:tc>
        <w:tc>
          <w:tcPr>
            <w:tcW w:w="528" w:type="pct"/>
            <w:tcBorders>
              <w:top w:val="double" w:sz="4" w:space="0" w:color="auto"/>
              <w:left w:val="nil"/>
              <w:bottom w:val="single" w:sz="4" w:space="0" w:color="auto"/>
              <w:right w:val="nil"/>
            </w:tcBorders>
            <w:shd w:val="clear" w:color="auto" w:fill="auto"/>
            <w:noWrap/>
            <w:vAlign w:val="center"/>
            <w:hideMark/>
          </w:tcPr>
          <w:p w14:paraId="242D276E"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China</w:t>
            </w:r>
          </w:p>
        </w:tc>
        <w:tc>
          <w:tcPr>
            <w:tcW w:w="839" w:type="pct"/>
            <w:tcBorders>
              <w:top w:val="double" w:sz="4" w:space="0" w:color="auto"/>
              <w:left w:val="nil"/>
              <w:bottom w:val="single" w:sz="4" w:space="0" w:color="auto"/>
              <w:right w:val="nil"/>
            </w:tcBorders>
            <w:shd w:val="clear" w:color="auto" w:fill="auto"/>
            <w:noWrap/>
            <w:vAlign w:val="center"/>
            <w:hideMark/>
          </w:tcPr>
          <w:p w14:paraId="734E78B4"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South Africa</w:t>
            </w:r>
          </w:p>
        </w:tc>
        <w:tc>
          <w:tcPr>
            <w:tcW w:w="475" w:type="pct"/>
            <w:tcBorders>
              <w:top w:val="double" w:sz="4" w:space="0" w:color="auto"/>
              <w:left w:val="nil"/>
              <w:bottom w:val="single" w:sz="4" w:space="0" w:color="auto"/>
              <w:right w:val="nil"/>
            </w:tcBorders>
            <w:shd w:val="clear" w:color="auto" w:fill="auto"/>
            <w:noWrap/>
            <w:vAlign w:val="center"/>
            <w:hideMark/>
          </w:tcPr>
          <w:p w14:paraId="2479981D"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Gold</w:t>
            </w:r>
          </w:p>
        </w:tc>
        <w:tc>
          <w:tcPr>
            <w:tcW w:w="594" w:type="pct"/>
            <w:tcBorders>
              <w:top w:val="double" w:sz="4" w:space="0" w:color="auto"/>
              <w:left w:val="nil"/>
              <w:bottom w:val="single" w:sz="4" w:space="0" w:color="auto"/>
              <w:right w:val="nil"/>
            </w:tcBorders>
            <w:shd w:val="clear" w:color="auto" w:fill="auto"/>
            <w:noWrap/>
            <w:vAlign w:val="center"/>
            <w:hideMark/>
          </w:tcPr>
          <w:p w14:paraId="67CD5AC9" w14:textId="7777777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Crypto</w:t>
            </w:r>
          </w:p>
        </w:tc>
      </w:tr>
      <w:tr w:rsidR="00F00E06" w:rsidRPr="009B605C" w14:paraId="5B24BAEF" w14:textId="77777777" w:rsidTr="007E22A8">
        <w:trPr>
          <w:trHeight w:val="397"/>
        </w:trPr>
        <w:tc>
          <w:tcPr>
            <w:tcW w:w="949" w:type="pct"/>
            <w:tcBorders>
              <w:top w:val="single" w:sz="4" w:space="0" w:color="auto"/>
              <w:left w:val="nil"/>
              <w:bottom w:val="nil"/>
              <w:right w:val="single" w:sz="4" w:space="0" w:color="auto"/>
            </w:tcBorders>
            <w:shd w:val="clear" w:color="auto" w:fill="auto"/>
            <w:noWrap/>
            <w:vAlign w:val="center"/>
            <w:hideMark/>
          </w:tcPr>
          <w:p w14:paraId="220FE8FE"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Brazil</w:t>
            </w:r>
          </w:p>
        </w:tc>
        <w:tc>
          <w:tcPr>
            <w:tcW w:w="528" w:type="pct"/>
            <w:tcBorders>
              <w:top w:val="single" w:sz="4" w:space="0" w:color="auto"/>
              <w:left w:val="single" w:sz="4" w:space="0" w:color="auto"/>
              <w:bottom w:val="nil"/>
              <w:right w:val="nil"/>
            </w:tcBorders>
            <w:shd w:val="clear" w:color="auto" w:fill="auto"/>
            <w:noWrap/>
            <w:vAlign w:val="center"/>
            <w:hideMark/>
          </w:tcPr>
          <w:p w14:paraId="576A254C" w14:textId="447615DA"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562" w:type="pct"/>
            <w:tcBorders>
              <w:top w:val="single" w:sz="4" w:space="0" w:color="auto"/>
              <w:left w:val="nil"/>
              <w:bottom w:val="nil"/>
              <w:right w:val="nil"/>
            </w:tcBorders>
            <w:shd w:val="clear" w:color="auto" w:fill="auto"/>
            <w:noWrap/>
            <w:vAlign w:val="center"/>
            <w:hideMark/>
          </w:tcPr>
          <w:p w14:paraId="1E25CA53" w14:textId="2ED91E9E"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0.020</w:t>
            </w:r>
          </w:p>
        </w:tc>
        <w:tc>
          <w:tcPr>
            <w:tcW w:w="525" w:type="pct"/>
            <w:tcBorders>
              <w:top w:val="single" w:sz="4" w:space="0" w:color="auto"/>
              <w:left w:val="nil"/>
              <w:bottom w:val="nil"/>
              <w:right w:val="nil"/>
            </w:tcBorders>
            <w:shd w:val="clear" w:color="auto" w:fill="auto"/>
            <w:noWrap/>
            <w:vAlign w:val="center"/>
            <w:hideMark/>
          </w:tcPr>
          <w:p w14:paraId="2ACF9357" w14:textId="583A57E2"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0.155</w:t>
            </w:r>
          </w:p>
        </w:tc>
        <w:tc>
          <w:tcPr>
            <w:tcW w:w="528" w:type="pct"/>
            <w:tcBorders>
              <w:top w:val="single" w:sz="4" w:space="0" w:color="auto"/>
              <w:left w:val="nil"/>
              <w:bottom w:val="nil"/>
              <w:right w:val="nil"/>
            </w:tcBorders>
            <w:shd w:val="clear" w:color="auto" w:fill="auto"/>
            <w:noWrap/>
            <w:vAlign w:val="center"/>
            <w:hideMark/>
          </w:tcPr>
          <w:p w14:paraId="78544B7E" w14:textId="2E481799"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0.073</w:t>
            </w:r>
          </w:p>
        </w:tc>
        <w:tc>
          <w:tcPr>
            <w:tcW w:w="839" w:type="pct"/>
            <w:tcBorders>
              <w:top w:val="single" w:sz="4" w:space="0" w:color="auto"/>
              <w:left w:val="nil"/>
              <w:bottom w:val="nil"/>
              <w:right w:val="nil"/>
            </w:tcBorders>
            <w:shd w:val="clear" w:color="auto" w:fill="auto"/>
            <w:noWrap/>
            <w:vAlign w:val="center"/>
            <w:hideMark/>
          </w:tcPr>
          <w:p w14:paraId="54E10746" w14:textId="7F919706"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0.290</w:t>
            </w:r>
          </w:p>
        </w:tc>
        <w:tc>
          <w:tcPr>
            <w:tcW w:w="475" w:type="pct"/>
            <w:tcBorders>
              <w:top w:val="single" w:sz="4" w:space="0" w:color="auto"/>
              <w:left w:val="nil"/>
              <w:bottom w:val="nil"/>
              <w:right w:val="nil"/>
            </w:tcBorders>
            <w:shd w:val="clear" w:color="auto" w:fill="auto"/>
            <w:noWrap/>
            <w:vAlign w:val="center"/>
            <w:hideMark/>
          </w:tcPr>
          <w:p w14:paraId="57E0F4DA" w14:textId="4CBDADDE"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0.074</w:t>
            </w:r>
          </w:p>
        </w:tc>
        <w:tc>
          <w:tcPr>
            <w:tcW w:w="594" w:type="pct"/>
            <w:tcBorders>
              <w:top w:val="single" w:sz="4" w:space="0" w:color="auto"/>
              <w:left w:val="nil"/>
              <w:bottom w:val="nil"/>
              <w:right w:val="nil"/>
            </w:tcBorders>
            <w:shd w:val="clear" w:color="auto" w:fill="auto"/>
            <w:noWrap/>
            <w:vAlign w:val="center"/>
            <w:hideMark/>
          </w:tcPr>
          <w:p w14:paraId="6C1E22AA" w14:textId="30536413"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0.160</w:t>
            </w:r>
          </w:p>
        </w:tc>
      </w:tr>
      <w:tr w:rsidR="00F00E06" w:rsidRPr="009B605C" w14:paraId="369E02CE" w14:textId="77777777" w:rsidTr="007E22A8">
        <w:trPr>
          <w:trHeight w:val="397"/>
        </w:trPr>
        <w:tc>
          <w:tcPr>
            <w:tcW w:w="949" w:type="pct"/>
            <w:tcBorders>
              <w:top w:val="nil"/>
              <w:left w:val="nil"/>
              <w:bottom w:val="nil"/>
              <w:right w:val="single" w:sz="4" w:space="0" w:color="auto"/>
            </w:tcBorders>
            <w:shd w:val="clear" w:color="auto" w:fill="auto"/>
            <w:noWrap/>
            <w:vAlign w:val="center"/>
            <w:hideMark/>
          </w:tcPr>
          <w:p w14:paraId="2B24414F"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Russia</w:t>
            </w:r>
          </w:p>
        </w:tc>
        <w:tc>
          <w:tcPr>
            <w:tcW w:w="528" w:type="pct"/>
            <w:tcBorders>
              <w:top w:val="nil"/>
              <w:left w:val="single" w:sz="4" w:space="0" w:color="auto"/>
              <w:bottom w:val="nil"/>
              <w:right w:val="nil"/>
            </w:tcBorders>
            <w:shd w:val="clear" w:color="auto" w:fill="auto"/>
            <w:noWrap/>
            <w:vAlign w:val="center"/>
            <w:hideMark/>
          </w:tcPr>
          <w:p w14:paraId="28EA4F6A" w14:textId="609F6F53"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0.273</w:t>
            </w:r>
          </w:p>
        </w:tc>
        <w:tc>
          <w:tcPr>
            <w:tcW w:w="562" w:type="pct"/>
            <w:tcBorders>
              <w:top w:val="nil"/>
              <w:left w:val="nil"/>
              <w:bottom w:val="nil"/>
              <w:right w:val="nil"/>
            </w:tcBorders>
            <w:shd w:val="clear" w:color="auto" w:fill="auto"/>
            <w:noWrap/>
            <w:vAlign w:val="center"/>
            <w:hideMark/>
          </w:tcPr>
          <w:p w14:paraId="3FF55592" w14:textId="78D35C9C"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525" w:type="pct"/>
            <w:tcBorders>
              <w:top w:val="nil"/>
              <w:left w:val="nil"/>
              <w:bottom w:val="nil"/>
              <w:right w:val="nil"/>
            </w:tcBorders>
            <w:shd w:val="clear" w:color="auto" w:fill="auto"/>
            <w:noWrap/>
            <w:vAlign w:val="center"/>
            <w:hideMark/>
          </w:tcPr>
          <w:p w14:paraId="41E0A77E" w14:textId="1CC8FE4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0.024</w:t>
            </w:r>
          </w:p>
        </w:tc>
        <w:tc>
          <w:tcPr>
            <w:tcW w:w="528" w:type="pct"/>
            <w:tcBorders>
              <w:top w:val="nil"/>
              <w:left w:val="nil"/>
              <w:bottom w:val="nil"/>
              <w:right w:val="nil"/>
            </w:tcBorders>
            <w:shd w:val="clear" w:color="auto" w:fill="auto"/>
            <w:noWrap/>
            <w:vAlign w:val="center"/>
            <w:hideMark/>
          </w:tcPr>
          <w:p w14:paraId="6286645D" w14:textId="6C800751"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0.081</w:t>
            </w:r>
          </w:p>
        </w:tc>
        <w:tc>
          <w:tcPr>
            <w:tcW w:w="839" w:type="pct"/>
            <w:tcBorders>
              <w:top w:val="nil"/>
              <w:left w:val="nil"/>
              <w:bottom w:val="nil"/>
              <w:right w:val="nil"/>
            </w:tcBorders>
            <w:shd w:val="clear" w:color="auto" w:fill="auto"/>
            <w:noWrap/>
            <w:vAlign w:val="center"/>
            <w:hideMark/>
          </w:tcPr>
          <w:p w14:paraId="58C52A96" w14:textId="1BBEF888"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0.094</w:t>
            </w:r>
          </w:p>
        </w:tc>
        <w:tc>
          <w:tcPr>
            <w:tcW w:w="475" w:type="pct"/>
            <w:tcBorders>
              <w:top w:val="nil"/>
              <w:left w:val="nil"/>
              <w:bottom w:val="nil"/>
              <w:right w:val="nil"/>
            </w:tcBorders>
            <w:shd w:val="clear" w:color="auto" w:fill="auto"/>
            <w:noWrap/>
            <w:vAlign w:val="center"/>
            <w:hideMark/>
          </w:tcPr>
          <w:p w14:paraId="1EFF9E6D" w14:textId="31415D1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0.085</w:t>
            </w:r>
          </w:p>
        </w:tc>
        <w:tc>
          <w:tcPr>
            <w:tcW w:w="594" w:type="pct"/>
            <w:tcBorders>
              <w:top w:val="nil"/>
              <w:left w:val="nil"/>
              <w:bottom w:val="nil"/>
              <w:right w:val="nil"/>
            </w:tcBorders>
            <w:shd w:val="clear" w:color="auto" w:fill="auto"/>
            <w:noWrap/>
            <w:vAlign w:val="center"/>
            <w:hideMark/>
          </w:tcPr>
          <w:p w14:paraId="4F6D7E95" w14:textId="27B6C537"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0.042</w:t>
            </w:r>
          </w:p>
        </w:tc>
      </w:tr>
      <w:tr w:rsidR="00F00E06" w:rsidRPr="009B605C" w14:paraId="1C8E60B7" w14:textId="77777777" w:rsidTr="007E22A8">
        <w:trPr>
          <w:trHeight w:val="397"/>
        </w:trPr>
        <w:tc>
          <w:tcPr>
            <w:tcW w:w="949" w:type="pct"/>
            <w:tcBorders>
              <w:top w:val="nil"/>
              <w:left w:val="nil"/>
              <w:bottom w:val="nil"/>
              <w:right w:val="single" w:sz="4" w:space="0" w:color="auto"/>
            </w:tcBorders>
            <w:shd w:val="clear" w:color="auto" w:fill="auto"/>
            <w:noWrap/>
            <w:vAlign w:val="center"/>
            <w:hideMark/>
          </w:tcPr>
          <w:p w14:paraId="66DE6928"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India</w:t>
            </w:r>
          </w:p>
        </w:tc>
        <w:tc>
          <w:tcPr>
            <w:tcW w:w="528" w:type="pct"/>
            <w:tcBorders>
              <w:top w:val="nil"/>
              <w:left w:val="single" w:sz="4" w:space="0" w:color="auto"/>
              <w:bottom w:val="nil"/>
              <w:right w:val="nil"/>
            </w:tcBorders>
            <w:shd w:val="clear" w:color="auto" w:fill="auto"/>
            <w:noWrap/>
            <w:vAlign w:val="center"/>
            <w:hideMark/>
          </w:tcPr>
          <w:p w14:paraId="7D7518F1" w14:textId="2948D375"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0.164</w:t>
            </w:r>
          </w:p>
        </w:tc>
        <w:tc>
          <w:tcPr>
            <w:tcW w:w="562" w:type="pct"/>
            <w:tcBorders>
              <w:top w:val="nil"/>
              <w:left w:val="nil"/>
              <w:bottom w:val="nil"/>
              <w:right w:val="nil"/>
            </w:tcBorders>
            <w:shd w:val="clear" w:color="auto" w:fill="auto"/>
            <w:noWrap/>
            <w:vAlign w:val="center"/>
            <w:hideMark/>
          </w:tcPr>
          <w:p w14:paraId="104AC798" w14:textId="118D7330"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0.273</w:t>
            </w:r>
          </w:p>
        </w:tc>
        <w:tc>
          <w:tcPr>
            <w:tcW w:w="525" w:type="pct"/>
            <w:tcBorders>
              <w:top w:val="nil"/>
              <w:left w:val="nil"/>
              <w:bottom w:val="nil"/>
              <w:right w:val="nil"/>
            </w:tcBorders>
            <w:shd w:val="clear" w:color="auto" w:fill="auto"/>
            <w:noWrap/>
            <w:vAlign w:val="center"/>
            <w:hideMark/>
          </w:tcPr>
          <w:p w14:paraId="1FD7D761" w14:textId="5ADD3AB0"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528" w:type="pct"/>
            <w:tcBorders>
              <w:top w:val="nil"/>
              <w:left w:val="nil"/>
              <w:bottom w:val="nil"/>
              <w:right w:val="nil"/>
            </w:tcBorders>
            <w:shd w:val="clear" w:color="auto" w:fill="auto"/>
            <w:noWrap/>
            <w:vAlign w:val="center"/>
            <w:hideMark/>
          </w:tcPr>
          <w:p w14:paraId="366E70D1" w14:textId="5C55C16B"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0.133</w:t>
            </w:r>
          </w:p>
        </w:tc>
        <w:tc>
          <w:tcPr>
            <w:tcW w:w="839" w:type="pct"/>
            <w:tcBorders>
              <w:top w:val="nil"/>
              <w:left w:val="nil"/>
              <w:bottom w:val="nil"/>
              <w:right w:val="nil"/>
            </w:tcBorders>
            <w:shd w:val="clear" w:color="auto" w:fill="auto"/>
            <w:noWrap/>
            <w:vAlign w:val="center"/>
            <w:hideMark/>
          </w:tcPr>
          <w:p w14:paraId="45EACDD4" w14:textId="0DF7E44A"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0.330</w:t>
            </w:r>
          </w:p>
        </w:tc>
        <w:tc>
          <w:tcPr>
            <w:tcW w:w="475" w:type="pct"/>
            <w:tcBorders>
              <w:top w:val="nil"/>
              <w:left w:val="nil"/>
              <w:bottom w:val="nil"/>
              <w:right w:val="nil"/>
            </w:tcBorders>
            <w:shd w:val="clear" w:color="auto" w:fill="auto"/>
            <w:noWrap/>
            <w:vAlign w:val="center"/>
            <w:hideMark/>
          </w:tcPr>
          <w:p w14:paraId="5BE717EE" w14:textId="1365ED70"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0.084</w:t>
            </w:r>
          </w:p>
        </w:tc>
        <w:tc>
          <w:tcPr>
            <w:tcW w:w="594" w:type="pct"/>
            <w:tcBorders>
              <w:top w:val="nil"/>
              <w:left w:val="nil"/>
              <w:bottom w:val="nil"/>
              <w:right w:val="nil"/>
            </w:tcBorders>
            <w:shd w:val="clear" w:color="auto" w:fill="auto"/>
            <w:noWrap/>
            <w:vAlign w:val="center"/>
            <w:hideMark/>
          </w:tcPr>
          <w:p w14:paraId="4B8DDE1A" w14:textId="270291F6"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0.036</w:t>
            </w:r>
          </w:p>
        </w:tc>
      </w:tr>
      <w:tr w:rsidR="00F00E06" w:rsidRPr="009B605C" w14:paraId="324C6852" w14:textId="77777777" w:rsidTr="007E22A8">
        <w:trPr>
          <w:trHeight w:val="397"/>
        </w:trPr>
        <w:tc>
          <w:tcPr>
            <w:tcW w:w="949" w:type="pct"/>
            <w:tcBorders>
              <w:top w:val="nil"/>
              <w:left w:val="nil"/>
              <w:bottom w:val="nil"/>
              <w:right w:val="single" w:sz="4" w:space="0" w:color="auto"/>
            </w:tcBorders>
            <w:shd w:val="clear" w:color="auto" w:fill="auto"/>
            <w:noWrap/>
            <w:vAlign w:val="center"/>
            <w:hideMark/>
          </w:tcPr>
          <w:p w14:paraId="1D211B15"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China</w:t>
            </w:r>
          </w:p>
        </w:tc>
        <w:tc>
          <w:tcPr>
            <w:tcW w:w="528" w:type="pct"/>
            <w:tcBorders>
              <w:top w:val="nil"/>
              <w:left w:val="single" w:sz="4" w:space="0" w:color="auto"/>
              <w:bottom w:val="nil"/>
              <w:right w:val="nil"/>
            </w:tcBorders>
            <w:shd w:val="clear" w:color="auto" w:fill="auto"/>
            <w:noWrap/>
            <w:vAlign w:val="center"/>
            <w:hideMark/>
          </w:tcPr>
          <w:p w14:paraId="1A18BCDD" w14:textId="0F4B7A5D"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0.084</w:t>
            </w:r>
          </w:p>
        </w:tc>
        <w:tc>
          <w:tcPr>
            <w:tcW w:w="562" w:type="pct"/>
            <w:tcBorders>
              <w:top w:val="nil"/>
              <w:left w:val="nil"/>
              <w:bottom w:val="nil"/>
              <w:right w:val="nil"/>
            </w:tcBorders>
            <w:shd w:val="clear" w:color="auto" w:fill="auto"/>
            <w:noWrap/>
            <w:vAlign w:val="center"/>
            <w:hideMark/>
          </w:tcPr>
          <w:p w14:paraId="421221A8" w14:textId="2BB7C114"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0.136</w:t>
            </w:r>
          </w:p>
        </w:tc>
        <w:tc>
          <w:tcPr>
            <w:tcW w:w="525" w:type="pct"/>
            <w:tcBorders>
              <w:top w:val="nil"/>
              <w:left w:val="nil"/>
              <w:bottom w:val="nil"/>
              <w:right w:val="nil"/>
            </w:tcBorders>
            <w:shd w:val="clear" w:color="auto" w:fill="auto"/>
            <w:noWrap/>
            <w:vAlign w:val="center"/>
            <w:hideMark/>
          </w:tcPr>
          <w:p w14:paraId="4CA20CC9" w14:textId="449009B5"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0.182</w:t>
            </w:r>
          </w:p>
        </w:tc>
        <w:tc>
          <w:tcPr>
            <w:tcW w:w="528" w:type="pct"/>
            <w:tcBorders>
              <w:top w:val="nil"/>
              <w:left w:val="nil"/>
              <w:bottom w:val="nil"/>
              <w:right w:val="nil"/>
            </w:tcBorders>
            <w:shd w:val="clear" w:color="auto" w:fill="auto"/>
            <w:noWrap/>
            <w:vAlign w:val="center"/>
            <w:hideMark/>
          </w:tcPr>
          <w:p w14:paraId="7FD1644A" w14:textId="0E0298E3"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839" w:type="pct"/>
            <w:tcBorders>
              <w:top w:val="nil"/>
              <w:left w:val="nil"/>
              <w:bottom w:val="nil"/>
              <w:right w:val="nil"/>
            </w:tcBorders>
            <w:shd w:val="clear" w:color="auto" w:fill="auto"/>
            <w:noWrap/>
            <w:vAlign w:val="center"/>
            <w:hideMark/>
          </w:tcPr>
          <w:p w14:paraId="1F0172F4" w14:textId="34A2E04B"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0.311</w:t>
            </w:r>
          </w:p>
        </w:tc>
        <w:tc>
          <w:tcPr>
            <w:tcW w:w="475" w:type="pct"/>
            <w:tcBorders>
              <w:top w:val="nil"/>
              <w:left w:val="nil"/>
              <w:bottom w:val="nil"/>
              <w:right w:val="nil"/>
            </w:tcBorders>
            <w:shd w:val="clear" w:color="auto" w:fill="auto"/>
            <w:noWrap/>
            <w:vAlign w:val="center"/>
            <w:hideMark/>
          </w:tcPr>
          <w:p w14:paraId="15A3CF16" w14:textId="38686515"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0.115</w:t>
            </w:r>
          </w:p>
        </w:tc>
        <w:tc>
          <w:tcPr>
            <w:tcW w:w="594" w:type="pct"/>
            <w:tcBorders>
              <w:top w:val="nil"/>
              <w:left w:val="nil"/>
              <w:bottom w:val="nil"/>
              <w:right w:val="nil"/>
            </w:tcBorders>
            <w:shd w:val="clear" w:color="auto" w:fill="auto"/>
            <w:noWrap/>
            <w:vAlign w:val="center"/>
            <w:hideMark/>
          </w:tcPr>
          <w:p w14:paraId="484C4DAB" w14:textId="034BAB91"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0.048</w:t>
            </w:r>
          </w:p>
        </w:tc>
      </w:tr>
      <w:tr w:rsidR="00F00E06" w:rsidRPr="009B605C" w14:paraId="36EE6AF4" w14:textId="77777777" w:rsidTr="007E22A8">
        <w:trPr>
          <w:trHeight w:val="397"/>
        </w:trPr>
        <w:tc>
          <w:tcPr>
            <w:tcW w:w="949" w:type="pct"/>
            <w:tcBorders>
              <w:top w:val="nil"/>
              <w:left w:val="nil"/>
              <w:bottom w:val="nil"/>
              <w:right w:val="single" w:sz="4" w:space="0" w:color="auto"/>
            </w:tcBorders>
            <w:shd w:val="clear" w:color="auto" w:fill="auto"/>
            <w:noWrap/>
            <w:vAlign w:val="center"/>
            <w:hideMark/>
          </w:tcPr>
          <w:p w14:paraId="384AEB67"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South Africa</w:t>
            </w:r>
          </w:p>
        </w:tc>
        <w:tc>
          <w:tcPr>
            <w:tcW w:w="528" w:type="pct"/>
            <w:tcBorders>
              <w:top w:val="nil"/>
              <w:left w:val="single" w:sz="4" w:space="0" w:color="auto"/>
              <w:bottom w:val="nil"/>
              <w:right w:val="nil"/>
            </w:tcBorders>
            <w:shd w:val="clear" w:color="auto" w:fill="auto"/>
            <w:noWrap/>
            <w:vAlign w:val="center"/>
            <w:hideMark/>
          </w:tcPr>
          <w:p w14:paraId="2D35B18D" w14:textId="1E20455C"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0.253</w:t>
            </w:r>
          </w:p>
        </w:tc>
        <w:tc>
          <w:tcPr>
            <w:tcW w:w="562" w:type="pct"/>
            <w:tcBorders>
              <w:top w:val="nil"/>
              <w:left w:val="nil"/>
              <w:bottom w:val="nil"/>
              <w:right w:val="nil"/>
            </w:tcBorders>
            <w:shd w:val="clear" w:color="auto" w:fill="auto"/>
            <w:noWrap/>
            <w:vAlign w:val="center"/>
            <w:hideMark/>
          </w:tcPr>
          <w:p w14:paraId="7FE92D9C" w14:textId="5809FFEA"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0.406</w:t>
            </w:r>
          </w:p>
        </w:tc>
        <w:tc>
          <w:tcPr>
            <w:tcW w:w="525" w:type="pct"/>
            <w:tcBorders>
              <w:top w:val="nil"/>
              <w:left w:val="nil"/>
              <w:bottom w:val="nil"/>
              <w:right w:val="nil"/>
            </w:tcBorders>
            <w:shd w:val="clear" w:color="auto" w:fill="auto"/>
            <w:noWrap/>
            <w:vAlign w:val="center"/>
            <w:hideMark/>
          </w:tcPr>
          <w:p w14:paraId="2F87AD23" w14:textId="5BEBDE4D"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0.351</w:t>
            </w:r>
          </w:p>
        </w:tc>
        <w:tc>
          <w:tcPr>
            <w:tcW w:w="528" w:type="pct"/>
            <w:tcBorders>
              <w:top w:val="nil"/>
              <w:left w:val="nil"/>
              <w:bottom w:val="nil"/>
              <w:right w:val="nil"/>
            </w:tcBorders>
            <w:shd w:val="clear" w:color="auto" w:fill="auto"/>
            <w:noWrap/>
            <w:vAlign w:val="center"/>
            <w:hideMark/>
          </w:tcPr>
          <w:p w14:paraId="0309EE1C" w14:textId="06D933CF"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0.250</w:t>
            </w:r>
          </w:p>
        </w:tc>
        <w:tc>
          <w:tcPr>
            <w:tcW w:w="839" w:type="pct"/>
            <w:tcBorders>
              <w:top w:val="nil"/>
              <w:left w:val="nil"/>
              <w:bottom w:val="nil"/>
              <w:right w:val="nil"/>
            </w:tcBorders>
            <w:shd w:val="clear" w:color="auto" w:fill="auto"/>
            <w:noWrap/>
            <w:vAlign w:val="center"/>
            <w:hideMark/>
          </w:tcPr>
          <w:p w14:paraId="2F006C35" w14:textId="474CD3B6"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475" w:type="pct"/>
            <w:tcBorders>
              <w:top w:val="nil"/>
              <w:left w:val="nil"/>
              <w:bottom w:val="nil"/>
              <w:right w:val="nil"/>
            </w:tcBorders>
            <w:shd w:val="clear" w:color="auto" w:fill="auto"/>
            <w:noWrap/>
            <w:vAlign w:val="center"/>
            <w:hideMark/>
          </w:tcPr>
          <w:p w14:paraId="3E440466" w14:textId="3014B93A"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0.221</w:t>
            </w:r>
          </w:p>
        </w:tc>
        <w:tc>
          <w:tcPr>
            <w:tcW w:w="594" w:type="pct"/>
            <w:tcBorders>
              <w:top w:val="nil"/>
              <w:left w:val="nil"/>
              <w:bottom w:val="nil"/>
              <w:right w:val="nil"/>
            </w:tcBorders>
            <w:shd w:val="clear" w:color="auto" w:fill="auto"/>
            <w:noWrap/>
            <w:vAlign w:val="center"/>
            <w:hideMark/>
          </w:tcPr>
          <w:p w14:paraId="5269910C" w14:textId="36313826"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0.119</w:t>
            </w:r>
          </w:p>
        </w:tc>
      </w:tr>
      <w:tr w:rsidR="00F00E06" w:rsidRPr="009B605C" w14:paraId="33ACCF77" w14:textId="77777777" w:rsidTr="007E22A8">
        <w:trPr>
          <w:trHeight w:val="397"/>
        </w:trPr>
        <w:tc>
          <w:tcPr>
            <w:tcW w:w="949" w:type="pct"/>
            <w:tcBorders>
              <w:top w:val="nil"/>
              <w:left w:val="nil"/>
              <w:bottom w:val="nil"/>
              <w:right w:val="single" w:sz="4" w:space="0" w:color="auto"/>
            </w:tcBorders>
            <w:shd w:val="clear" w:color="auto" w:fill="auto"/>
            <w:noWrap/>
            <w:vAlign w:val="center"/>
            <w:hideMark/>
          </w:tcPr>
          <w:p w14:paraId="7389D433"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Gold</w:t>
            </w:r>
          </w:p>
        </w:tc>
        <w:tc>
          <w:tcPr>
            <w:tcW w:w="528" w:type="pct"/>
            <w:tcBorders>
              <w:top w:val="nil"/>
              <w:left w:val="single" w:sz="4" w:space="0" w:color="auto"/>
              <w:bottom w:val="nil"/>
              <w:right w:val="nil"/>
            </w:tcBorders>
            <w:shd w:val="clear" w:color="auto" w:fill="auto"/>
            <w:noWrap/>
            <w:vAlign w:val="center"/>
            <w:hideMark/>
          </w:tcPr>
          <w:p w14:paraId="099EA643" w14:textId="5A47DC38"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0.008</w:t>
            </w:r>
          </w:p>
        </w:tc>
        <w:tc>
          <w:tcPr>
            <w:tcW w:w="562" w:type="pct"/>
            <w:tcBorders>
              <w:top w:val="nil"/>
              <w:left w:val="nil"/>
              <w:bottom w:val="nil"/>
              <w:right w:val="nil"/>
            </w:tcBorders>
            <w:shd w:val="clear" w:color="auto" w:fill="auto"/>
            <w:noWrap/>
            <w:vAlign w:val="center"/>
            <w:hideMark/>
          </w:tcPr>
          <w:p w14:paraId="265D0406" w14:textId="2E528DAD"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-0.003</w:t>
            </w:r>
          </w:p>
        </w:tc>
        <w:tc>
          <w:tcPr>
            <w:tcW w:w="525" w:type="pct"/>
            <w:tcBorders>
              <w:top w:val="nil"/>
              <w:left w:val="nil"/>
              <w:bottom w:val="nil"/>
              <w:right w:val="nil"/>
            </w:tcBorders>
            <w:shd w:val="clear" w:color="auto" w:fill="auto"/>
            <w:noWrap/>
            <w:vAlign w:val="center"/>
            <w:hideMark/>
          </w:tcPr>
          <w:p w14:paraId="5970300C" w14:textId="3C712149"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-0.019</w:t>
            </w:r>
          </w:p>
        </w:tc>
        <w:tc>
          <w:tcPr>
            <w:tcW w:w="528" w:type="pct"/>
            <w:tcBorders>
              <w:top w:val="nil"/>
              <w:left w:val="nil"/>
              <w:bottom w:val="nil"/>
              <w:right w:val="nil"/>
            </w:tcBorders>
            <w:shd w:val="clear" w:color="auto" w:fill="auto"/>
            <w:noWrap/>
            <w:vAlign w:val="center"/>
            <w:hideMark/>
          </w:tcPr>
          <w:p w14:paraId="3FF01C58" w14:textId="1122062B"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0.029</w:t>
            </w:r>
          </w:p>
        </w:tc>
        <w:tc>
          <w:tcPr>
            <w:tcW w:w="839" w:type="pct"/>
            <w:tcBorders>
              <w:top w:val="nil"/>
              <w:left w:val="nil"/>
              <w:bottom w:val="nil"/>
              <w:right w:val="nil"/>
            </w:tcBorders>
            <w:shd w:val="clear" w:color="auto" w:fill="auto"/>
            <w:noWrap/>
            <w:vAlign w:val="center"/>
            <w:hideMark/>
          </w:tcPr>
          <w:p w14:paraId="797C2997" w14:textId="58454E1C"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0.033</w:t>
            </w:r>
          </w:p>
        </w:tc>
        <w:tc>
          <w:tcPr>
            <w:tcW w:w="475" w:type="pct"/>
            <w:tcBorders>
              <w:top w:val="nil"/>
              <w:left w:val="nil"/>
              <w:bottom w:val="nil"/>
              <w:right w:val="nil"/>
            </w:tcBorders>
            <w:shd w:val="clear" w:color="auto" w:fill="auto"/>
            <w:noWrap/>
            <w:vAlign w:val="center"/>
            <w:hideMark/>
          </w:tcPr>
          <w:p w14:paraId="2B548CF4" w14:textId="7F099505"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c>
          <w:tcPr>
            <w:tcW w:w="594" w:type="pct"/>
            <w:tcBorders>
              <w:top w:val="nil"/>
              <w:left w:val="nil"/>
              <w:bottom w:val="nil"/>
              <w:right w:val="nil"/>
            </w:tcBorders>
            <w:shd w:val="clear" w:color="auto" w:fill="auto"/>
            <w:noWrap/>
            <w:vAlign w:val="center"/>
            <w:hideMark/>
          </w:tcPr>
          <w:p w14:paraId="65B0334C" w14:textId="0D2A26C5" w:rsidR="00F00E06" w:rsidRPr="009B605C" w:rsidRDefault="00F00E06" w:rsidP="0087752F">
            <w:pPr>
              <w:jc w:val="right"/>
              <w:rPr>
                <w:rFonts w:ascii="Cambria" w:hAnsi="Cambria"/>
                <w:b/>
                <w:bCs/>
                <w:color w:val="000000"/>
                <w:sz w:val="22"/>
                <w:szCs w:val="22"/>
              </w:rPr>
            </w:pPr>
            <w:r w:rsidRPr="009B605C">
              <w:rPr>
                <w:rFonts w:ascii="Cambria" w:hAnsi="Cambria"/>
                <w:b/>
                <w:bCs/>
                <w:color w:val="000000"/>
                <w:sz w:val="22"/>
                <w:szCs w:val="22"/>
              </w:rPr>
              <w:t>0.097</w:t>
            </w:r>
          </w:p>
        </w:tc>
      </w:tr>
      <w:tr w:rsidR="00F00E06" w:rsidRPr="009B605C" w14:paraId="7788D295" w14:textId="77777777" w:rsidTr="007E22A8">
        <w:trPr>
          <w:trHeight w:val="397"/>
        </w:trPr>
        <w:tc>
          <w:tcPr>
            <w:tcW w:w="949" w:type="pct"/>
            <w:tcBorders>
              <w:top w:val="nil"/>
              <w:left w:val="nil"/>
              <w:bottom w:val="double" w:sz="4" w:space="0" w:color="auto"/>
              <w:right w:val="single" w:sz="4" w:space="0" w:color="auto"/>
            </w:tcBorders>
            <w:shd w:val="clear" w:color="auto" w:fill="auto"/>
            <w:noWrap/>
            <w:vAlign w:val="center"/>
            <w:hideMark/>
          </w:tcPr>
          <w:p w14:paraId="079FCE71" w14:textId="77777777" w:rsidR="00F00E06" w:rsidRPr="009B605C" w:rsidRDefault="00F00E06" w:rsidP="0087752F">
            <w:pPr>
              <w:rPr>
                <w:rFonts w:ascii="Cambria" w:hAnsi="Cambria"/>
                <w:b/>
                <w:bCs/>
                <w:color w:val="000000"/>
                <w:sz w:val="22"/>
                <w:szCs w:val="22"/>
              </w:rPr>
            </w:pPr>
            <w:r w:rsidRPr="009B605C">
              <w:rPr>
                <w:rFonts w:ascii="Cambria" w:hAnsi="Cambria"/>
                <w:b/>
                <w:bCs/>
                <w:color w:val="000000"/>
                <w:sz w:val="22"/>
                <w:szCs w:val="22"/>
              </w:rPr>
              <w:t>Crypto</w:t>
            </w:r>
          </w:p>
        </w:tc>
        <w:tc>
          <w:tcPr>
            <w:tcW w:w="528" w:type="pct"/>
            <w:tcBorders>
              <w:top w:val="nil"/>
              <w:left w:val="single" w:sz="4" w:space="0" w:color="auto"/>
              <w:bottom w:val="double" w:sz="4" w:space="0" w:color="auto"/>
              <w:right w:val="nil"/>
            </w:tcBorders>
            <w:shd w:val="clear" w:color="auto" w:fill="auto"/>
            <w:noWrap/>
            <w:vAlign w:val="center"/>
            <w:hideMark/>
          </w:tcPr>
          <w:p w14:paraId="18BF8019" w14:textId="0A3AD71B"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0.052</w:t>
            </w:r>
          </w:p>
        </w:tc>
        <w:tc>
          <w:tcPr>
            <w:tcW w:w="562" w:type="pct"/>
            <w:tcBorders>
              <w:top w:val="nil"/>
              <w:left w:val="nil"/>
              <w:bottom w:val="double" w:sz="4" w:space="0" w:color="auto"/>
              <w:right w:val="nil"/>
            </w:tcBorders>
            <w:shd w:val="clear" w:color="auto" w:fill="auto"/>
            <w:noWrap/>
            <w:vAlign w:val="center"/>
            <w:hideMark/>
          </w:tcPr>
          <w:p w14:paraId="05A1F7A8" w14:textId="4E3B76C7"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0.055</w:t>
            </w:r>
          </w:p>
        </w:tc>
        <w:tc>
          <w:tcPr>
            <w:tcW w:w="525" w:type="pct"/>
            <w:tcBorders>
              <w:top w:val="nil"/>
              <w:left w:val="nil"/>
              <w:bottom w:val="double" w:sz="4" w:space="0" w:color="auto"/>
              <w:right w:val="nil"/>
            </w:tcBorders>
            <w:shd w:val="clear" w:color="auto" w:fill="auto"/>
            <w:noWrap/>
            <w:vAlign w:val="center"/>
            <w:hideMark/>
          </w:tcPr>
          <w:p w14:paraId="31A6A0D4" w14:textId="2CB142F9"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-0.030</w:t>
            </w:r>
          </w:p>
        </w:tc>
        <w:tc>
          <w:tcPr>
            <w:tcW w:w="528" w:type="pct"/>
            <w:tcBorders>
              <w:top w:val="nil"/>
              <w:left w:val="nil"/>
              <w:bottom w:val="double" w:sz="4" w:space="0" w:color="auto"/>
              <w:right w:val="nil"/>
            </w:tcBorders>
            <w:shd w:val="clear" w:color="auto" w:fill="auto"/>
            <w:noWrap/>
            <w:vAlign w:val="center"/>
            <w:hideMark/>
          </w:tcPr>
          <w:p w14:paraId="6074B2B7" w14:textId="1E666C76"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0.011</w:t>
            </w:r>
          </w:p>
        </w:tc>
        <w:tc>
          <w:tcPr>
            <w:tcW w:w="839" w:type="pct"/>
            <w:tcBorders>
              <w:top w:val="nil"/>
              <w:left w:val="nil"/>
              <w:bottom w:val="double" w:sz="4" w:space="0" w:color="auto"/>
              <w:right w:val="nil"/>
            </w:tcBorders>
            <w:shd w:val="clear" w:color="auto" w:fill="auto"/>
            <w:noWrap/>
            <w:vAlign w:val="center"/>
            <w:hideMark/>
          </w:tcPr>
          <w:p w14:paraId="77F8FE2E" w14:textId="090719F0"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0.039</w:t>
            </w:r>
          </w:p>
        </w:tc>
        <w:tc>
          <w:tcPr>
            <w:tcW w:w="475" w:type="pct"/>
            <w:tcBorders>
              <w:top w:val="nil"/>
              <w:left w:val="nil"/>
              <w:bottom w:val="double" w:sz="4" w:space="0" w:color="auto"/>
              <w:right w:val="nil"/>
            </w:tcBorders>
            <w:shd w:val="clear" w:color="auto" w:fill="auto"/>
            <w:noWrap/>
            <w:vAlign w:val="center"/>
            <w:hideMark/>
          </w:tcPr>
          <w:p w14:paraId="263C138A" w14:textId="2DCD48D0"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0.047</w:t>
            </w:r>
          </w:p>
        </w:tc>
        <w:tc>
          <w:tcPr>
            <w:tcW w:w="594" w:type="pct"/>
            <w:tcBorders>
              <w:top w:val="nil"/>
              <w:left w:val="nil"/>
              <w:bottom w:val="double" w:sz="4" w:space="0" w:color="auto"/>
              <w:right w:val="nil"/>
            </w:tcBorders>
            <w:shd w:val="clear" w:color="auto" w:fill="auto"/>
            <w:noWrap/>
            <w:vAlign w:val="center"/>
            <w:hideMark/>
          </w:tcPr>
          <w:p w14:paraId="69C64D1A" w14:textId="104BE0B6" w:rsidR="00F00E06" w:rsidRPr="009B605C" w:rsidRDefault="00F00E06" w:rsidP="0087752F">
            <w:pPr>
              <w:jc w:val="right"/>
              <w:rPr>
                <w:rFonts w:ascii="Cambria" w:hAnsi="Cambria"/>
                <w:color w:val="000000"/>
                <w:sz w:val="22"/>
                <w:szCs w:val="22"/>
              </w:rPr>
            </w:pPr>
            <w:r w:rsidRPr="009B605C">
              <w:rPr>
                <w:rFonts w:ascii="Cambria" w:hAnsi="Cambria"/>
                <w:color w:val="000000"/>
                <w:sz w:val="22"/>
                <w:szCs w:val="22"/>
              </w:rPr>
              <w:t>1</w:t>
            </w:r>
          </w:p>
        </w:tc>
      </w:tr>
    </w:tbl>
    <w:p w14:paraId="431FFEFA" w14:textId="2EA66FA8" w:rsidR="00F26A0A" w:rsidRPr="009B605C" w:rsidRDefault="007E22A8" w:rsidP="0087752F">
      <w:pPr>
        <w:ind w:left="-142" w:right="66"/>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the table</w:t>
      </w:r>
      <w:r w:rsidR="00F26A0A" w:rsidRPr="009B605C">
        <w:rPr>
          <w:rFonts w:ascii="Cambria" w:hAnsi="Cambria"/>
          <w:sz w:val="20"/>
          <w:szCs w:val="20"/>
        </w:rPr>
        <w:t xml:space="preserve"> provides the correlation coefficients between the variables in our sample for the pre- and post-conflict announcement periods. The results from the post-conflict announcement </w:t>
      </w:r>
      <w:r w:rsidR="0020746D" w:rsidRPr="009B605C">
        <w:rPr>
          <w:rFonts w:ascii="Cambria" w:hAnsi="Cambria"/>
          <w:sz w:val="20"/>
          <w:szCs w:val="20"/>
        </w:rPr>
        <w:t xml:space="preserve">period </w:t>
      </w:r>
      <w:r w:rsidR="00F26A0A" w:rsidRPr="009B605C">
        <w:rPr>
          <w:rFonts w:ascii="Cambria" w:hAnsi="Cambria"/>
          <w:sz w:val="20"/>
          <w:szCs w:val="20"/>
        </w:rPr>
        <w:t>are in bold.</w:t>
      </w:r>
    </w:p>
    <w:p w14:paraId="4611C42C" w14:textId="77777777" w:rsidR="00F26A0A" w:rsidRPr="009B605C" w:rsidRDefault="00F26A0A" w:rsidP="0087752F">
      <w:pPr>
        <w:ind w:left="-142" w:right="66"/>
        <w:jc w:val="both"/>
        <w:rPr>
          <w:rFonts w:ascii="Cambria" w:hAnsi="Cambria"/>
          <w:sz w:val="20"/>
          <w:szCs w:val="20"/>
        </w:rPr>
      </w:pPr>
    </w:p>
    <w:p w14:paraId="0C3B4D87" w14:textId="77777777" w:rsidR="00040A1B" w:rsidRPr="009B605C" w:rsidRDefault="00040A1B" w:rsidP="0087752F">
      <w:pPr>
        <w:rPr>
          <w:rFonts w:ascii="Cambria" w:hAnsi="Cambria"/>
        </w:rPr>
      </w:pPr>
    </w:p>
    <w:p w14:paraId="303DDAB2" w14:textId="77777777" w:rsidR="00040A1B" w:rsidRPr="009B605C" w:rsidRDefault="00040A1B" w:rsidP="0087752F">
      <w:pPr>
        <w:rPr>
          <w:rFonts w:ascii="Cambria" w:hAnsi="Cambria"/>
        </w:rPr>
      </w:pPr>
    </w:p>
    <w:p w14:paraId="03BD22C0" w14:textId="77777777" w:rsidR="00040A1B" w:rsidRPr="009B605C" w:rsidRDefault="00040A1B" w:rsidP="0087752F">
      <w:pPr>
        <w:rPr>
          <w:rFonts w:ascii="Cambria" w:hAnsi="Cambria"/>
        </w:rPr>
      </w:pPr>
    </w:p>
    <w:p w14:paraId="1117E559" w14:textId="77777777" w:rsidR="00040A1B" w:rsidRPr="009B605C" w:rsidRDefault="00040A1B" w:rsidP="0087752F">
      <w:pPr>
        <w:rPr>
          <w:rFonts w:ascii="Cambria" w:hAnsi="Cambria"/>
        </w:rPr>
      </w:pPr>
    </w:p>
    <w:p w14:paraId="3DB952A1" w14:textId="77777777" w:rsidR="00040A1B" w:rsidRPr="009B605C" w:rsidRDefault="00040A1B" w:rsidP="0087752F">
      <w:pPr>
        <w:rPr>
          <w:rFonts w:ascii="Cambria" w:hAnsi="Cambria"/>
        </w:rPr>
      </w:pPr>
    </w:p>
    <w:p w14:paraId="67E0FC84" w14:textId="77777777" w:rsidR="00040A1B" w:rsidRPr="009B605C" w:rsidRDefault="00040A1B" w:rsidP="0087752F">
      <w:pPr>
        <w:rPr>
          <w:rFonts w:ascii="Cambria" w:hAnsi="Cambria"/>
        </w:rPr>
      </w:pPr>
    </w:p>
    <w:p w14:paraId="00775E8E" w14:textId="77777777" w:rsidR="00040A1B" w:rsidRPr="009B605C" w:rsidRDefault="00040A1B" w:rsidP="0087752F">
      <w:pPr>
        <w:rPr>
          <w:rFonts w:ascii="Cambria" w:hAnsi="Cambria"/>
        </w:rPr>
      </w:pPr>
    </w:p>
    <w:p w14:paraId="1F61102A" w14:textId="77777777" w:rsidR="00040A1B" w:rsidRPr="009B605C" w:rsidRDefault="00040A1B" w:rsidP="0087752F">
      <w:pPr>
        <w:rPr>
          <w:rFonts w:ascii="Cambria" w:hAnsi="Cambria"/>
        </w:rPr>
      </w:pPr>
    </w:p>
    <w:p w14:paraId="0061019C" w14:textId="77777777" w:rsidR="00040A1B" w:rsidRPr="009B605C" w:rsidRDefault="00040A1B" w:rsidP="0087752F">
      <w:pPr>
        <w:rPr>
          <w:rFonts w:ascii="Cambria" w:hAnsi="Cambria"/>
        </w:rPr>
      </w:pPr>
    </w:p>
    <w:p w14:paraId="7985A210" w14:textId="77777777" w:rsidR="00040A1B" w:rsidRPr="009B605C" w:rsidRDefault="00040A1B" w:rsidP="0087752F">
      <w:pPr>
        <w:rPr>
          <w:rFonts w:ascii="Cambria" w:hAnsi="Cambria"/>
        </w:rPr>
      </w:pPr>
    </w:p>
    <w:p w14:paraId="29276D03" w14:textId="77777777" w:rsidR="00040A1B" w:rsidRPr="009B605C" w:rsidRDefault="00040A1B" w:rsidP="0087752F">
      <w:pPr>
        <w:rPr>
          <w:rFonts w:ascii="Cambria" w:hAnsi="Cambria"/>
        </w:rPr>
      </w:pPr>
    </w:p>
    <w:p w14:paraId="24DAA2BB" w14:textId="77777777" w:rsidR="00040A1B" w:rsidRPr="009B605C" w:rsidRDefault="00040A1B" w:rsidP="0087752F">
      <w:pPr>
        <w:rPr>
          <w:rFonts w:ascii="Cambria" w:hAnsi="Cambria"/>
        </w:rPr>
      </w:pPr>
    </w:p>
    <w:p w14:paraId="40F65763" w14:textId="77777777" w:rsidR="00040A1B" w:rsidRPr="009B605C" w:rsidRDefault="00040A1B" w:rsidP="0087752F">
      <w:pPr>
        <w:rPr>
          <w:rFonts w:ascii="Cambria" w:hAnsi="Cambria"/>
        </w:rPr>
      </w:pPr>
    </w:p>
    <w:p w14:paraId="58A5D4D6" w14:textId="77777777" w:rsidR="00040A1B" w:rsidRPr="009B605C" w:rsidRDefault="00040A1B" w:rsidP="0087752F">
      <w:pPr>
        <w:rPr>
          <w:rFonts w:ascii="Cambria" w:hAnsi="Cambria"/>
        </w:rPr>
      </w:pPr>
    </w:p>
    <w:p w14:paraId="589AFDF9" w14:textId="77777777" w:rsidR="00040A1B" w:rsidRPr="009B605C" w:rsidRDefault="00040A1B" w:rsidP="0087752F">
      <w:pPr>
        <w:rPr>
          <w:rFonts w:ascii="Cambria" w:hAnsi="Cambria"/>
        </w:rPr>
      </w:pPr>
    </w:p>
    <w:p w14:paraId="31B08924" w14:textId="77777777" w:rsidR="00040A1B" w:rsidRPr="009B605C" w:rsidRDefault="00040A1B" w:rsidP="0087752F">
      <w:pPr>
        <w:rPr>
          <w:rFonts w:ascii="Cambria" w:hAnsi="Cambria"/>
        </w:rPr>
      </w:pPr>
    </w:p>
    <w:p w14:paraId="1C8E902C" w14:textId="77777777" w:rsidR="001A76A8" w:rsidRPr="009B605C" w:rsidRDefault="001A76A8" w:rsidP="0087752F">
      <w:pPr>
        <w:rPr>
          <w:rFonts w:ascii="Cambria" w:hAnsi="Cambria"/>
        </w:rPr>
      </w:pPr>
    </w:p>
    <w:p w14:paraId="6F643748" w14:textId="77777777" w:rsidR="001A76A8" w:rsidRPr="009B605C" w:rsidRDefault="001A76A8" w:rsidP="0087752F">
      <w:pPr>
        <w:rPr>
          <w:rFonts w:ascii="Cambria" w:hAnsi="Cambria"/>
        </w:rPr>
      </w:pPr>
    </w:p>
    <w:p w14:paraId="71C3BD1B" w14:textId="77777777" w:rsidR="001A76A8" w:rsidRPr="009B605C" w:rsidRDefault="001A76A8" w:rsidP="0087752F">
      <w:pPr>
        <w:rPr>
          <w:rFonts w:ascii="Cambria" w:hAnsi="Cambria"/>
        </w:rPr>
      </w:pPr>
    </w:p>
    <w:p w14:paraId="4E8A197E" w14:textId="77777777" w:rsidR="001A76A8" w:rsidRPr="009B605C" w:rsidRDefault="001A76A8" w:rsidP="0087752F">
      <w:pPr>
        <w:rPr>
          <w:rFonts w:ascii="Cambria" w:hAnsi="Cambria"/>
        </w:rPr>
      </w:pPr>
    </w:p>
    <w:p w14:paraId="742FC799" w14:textId="77777777" w:rsidR="001A76A8" w:rsidRPr="009B605C" w:rsidRDefault="001A76A8" w:rsidP="0087752F">
      <w:pPr>
        <w:rPr>
          <w:rFonts w:ascii="Cambria" w:hAnsi="Cambria"/>
        </w:rPr>
      </w:pPr>
    </w:p>
    <w:p w14:paraId="41E32AA6" w14:textId="77777777" w:rsidR="001A76A8" w:rsidRPr="009B605C" w:rsidRDefault="001A76A8" w:rsidP="0087752F">
      <w:pPr>
        <w:rPr>
          <w:rFonts w:ascii="Cambria" w:hAnsi="Cambria"/>
        </w:rPr>
      </w:pPr>
    </w:p>
    <w:p w14:paraId="5A8FB44A" w14:textId="77777777" w:rsidR="001A76A8" w:rsidRPr="009B605C" w:rsidRDefault="001A76A8" w:rsidP="0087752F">
      <w:pPr>
        <w:rPr>
          <w:rFonts w:ascii="Cambria" w:hAnsi="Cambria"/>
        </w:rPr>
      </w:pPr>
    </w:p>
    <w:p w14:paraId="032F80F9" w14:textId="77777777" w:rsidR="001A76A8" w:rsidRPr="009B605C" w:rsidRDefault="001A76A8" w:rsidP="0087752F">
      <w:pPr>
        <w:rPr>
          <w:rFonts w:ascii="Cambria" w:hAnsi="Cambria"/>
        </w:rPr>
      </w:pPr>
    </w:p>
    <w:p w14:paraId="79C1A332" w14:textId="77777777" w:rsidR="001A76A8" w:rsidRPr="009B605C" w:rsidRDefault="001A76A8" w:rsidP="0087752F">
      <w:pPr>
        <w:rPr>
          <w:rFonts w:ascii="Cambria" w:hAnsi="Cambria"/>
        </w:rPr>
      </w:pPr>
    </w:p>
    <w:p w14:paraId="2595806F" w14:textId="77777777" w:rsidR="001A76A8" w:rsidRPr="009B605C" w:rsidRDefault="001A76A8" w:rsidP="0087752F">
      <w:pPr>
        <w:rPr>
          <w:rFonts w:ascii="Cambria" w:hAnsi="Cambria"/>
        </w:rPr>
      </w:pPr>
    </w:p>
    <w:p w14:paraId="35779B6D" w14:textId="77777777" w:rsidR="001A76A8" w:rsidRPr="009B605C" w:rsidRDefault="001A76A8" w:rsidP="0087752F">
      <w:pPr>
        <w:rPr>
          <w:rFonts w:ascii="Cambria" w:hAnsi="Cambria"/>
        </w:rPr>
      </w:pPr>
    </w:p>
    <w:p w14:paraId="334F0B4C" w14:textId="77777777" w:rsidR="001A76A8" w:rsidRPr="009B605C" w:rsidRDefault="001A76A8" w:rsidP="0087752F">
      <w:pPr>
        <w:rPr>
          <w:rFonts w:ascii="Cambria" w:hAnsi="Cambria"/>
        </w:rPr>
      </w:pPr>
    </w:p>
    <w:p w14:paraId="63293078" w14:textId="77777777" w:rsidR="001A76A8" w:rsidRPr="009B605C" w:rsidRDefault="001A76A8" w:rsidP="0087752F">
      <w:pPr>
        <w:rPr>
          <w:rFonts w:ascii="Cambria" w:hAnsi="Cambria"/>
        </w:rPr>
      </w:pPr>
    </w:p>
    <w:p w14:paraId="1D567DC2" w14:textId="77777777" w:rsidR="001A76A8" w:rsidRPr="009B605C" w:rsidRDefault="001A76A8" w:rsidP="0087752F">
      <w:pPr>
        <w:rPr>
          <w:rFonts w:ascii="Cambria" w:hAnsi="Cambria"/>
        </w:rPr>
      </w:pPr>
    </w:p>
    <w:p w14:paraId="52A4DA1F" w14:textId="77777777" w:rsidR="001A76A8" w:rsidRPr="009B605C" w:rsidRDefault="001A76A8" w:rsidP="0087752F">
      <w:pPr>
        <w:rPr>
          <w:rFonts w:ascii="Cambria" w:hAnsi="Cambria"/>
        </w:rPr>
      </w:pPr>
    </w:p>
    <w:p w14:paraId="4A7B6387" w14:textId="77777777" w:rsidR="001A76A8" w:rsidRPr="009B605C" w:rsidRDefault="001A76A8" w:rsidP="0087752F">
      <w:pPr>
        <w:rPr>
          <w:rFonts w:ascii="Cambria" w:hAnsi="Cambria"/>
        </w:rPr>
      </w:pPr>
    </w:p>
    <w:p w14:paraId="4EA9F434" w14:textId="77777777" w:rsidR="001A76A8" w:rsidRPr="009B605C" w:rsidRDefault="001A76A8" w:rsidP="0087752F">
      <w:pPr>
        <w:rPr>
          <w:rFonts w:ascii="Cambria" w:hAnsi="Cambria"/>
        </w:rPr>
      </w:pPr>
    </w:p>
    <w:p w14:paraId="4D74DE7F" w14:textId="77777777" w:rsidR="001A76A8" w:rsidRPr="009B605C" w:rsidRDefault="001A76A8" w:rsidP="0087752F">
      <w:pPr>
        <w:rPr>
          <w:rFonts w:ascii="Cambria" w:hAnsi="Cambria"/>
        </w:rPr>
      </w:pPr>
    </w:p>
    <w:p w14:paraId="6FB3C476" w14:textId="666A9DD1" w:rsidR="001A76A8" w:rsidRPr="009B605C" w:rsidRDefault="001A76A8" w:rsidP="0087752F">
      <w:pPr>
        <w:rPr>
          <w:rFonts w:ascii="Cambria" w:hAnsi="Cambria"/>
        </w:rPr>
      </w:pPr>
      <w:r w:rsidRPr="009B605C">
        <w:rPr>
          <w:rFonts w:ascii="Cambria" w:hAnsi="Cambria"/>
          <w:b/>
          <w:bCs/>
        </w:rPr>
        <w:lastRenderedPageBreak/>
        <w:t>Table 3.</w:t>
      </w:r>
      <w:r w:rsidRPr="009B605C">
        <w:rPr>
          <w:rFonts w:ascii="Cambria" w:hAnsi="Cambria"/>
        </w:rPr>
        <w:t xml:space="preserve"> </w:t>
      </w:r>
      <w:r w:rsidRPr="009B605C">
        <w:rPr>
          <w:rFonts w:ascii="Cambria" w:hAnsi="Cambria"/>
          <w:color w:val="000000"/>
        </w:rPr>
        <w:t>Full sample estimates and relevant statistics</w:t>
      </w:r>
    </w:p>
    <w:tbl>
      <w:tblPr>
        <w:tblW w:w="8242" w:type="dxa"/>
        <w:tblLook w:val="04A0" w:firstRow="1" w:lastRow="0" w:firstColumn="1" w:lastColumn="0" w:noHBand="0" w:noVBand="1"/>
      </w:tblPr>
      <w:tblGrid>
        <w:gridCol w:w="2180"/>
        <w:gridCol w:w="1644"/>
        <w:gridCol w:w="1462"/>
        <w:gridCol w:w="1494"/>
        <w:gridCol w:w="1462"/>
      </w:tblGrid>
      <w:tr w:rsidR="001A76A8" w:rsidRPr="009B605C" w14:paraId="0DBABDBD" w14:textId="77777777" w:rsidTr="00691892">
        <w:trPr>
          <w:trHeight w:val="320"/>
        </w:trPr>
        <w:tc>
          <w:tcPr>
            <w:tcW w:w="0" w:type="auto"/>
            <w:tcBorders>
              <w:top w:val="double" w:sz="4" w:space="0" w:color="auto"/>
              <w:left w:val="nil"/>
              <w:bottom w:val="nil"/>
              <w:right w:val="nil"/>
            </w:tcBorders>
            <w:shd w:val="clear" w:color="auto" w:fill="auto"/>
            <w:noWrap/>
            <w:vAlign w:val="bottom"/>
            <w:hideMark/>
          </w:tcPr>
          <w:p w14:paraId="0789B930" w14:textId="77777777" w:rsidR="001A76A8" w:rsidRPr="009B605C" w:rsidRDefault="001A76A8" w:rsidP="0087752F">
            <w:pPr>
              <w:rPr>
                <w:rFonts w:ascii="Cambria" w:hAnsi="Cambria"/>
                <w:b/>
                <w:bCs/>
                <w:color w:val="000000"/>
                <w:sz w:val="22"/>
                <w:szCs w:val="22"/>
              </w:rPr>
            </w:pPr>
          </w:p>
        </w:tc>
        <w:tc>
          <w:tcPr>
            <w:tcW w:w="0" w:type="auto"/>
            <w:gridSpan w:val="2"/>
            <w:tcBorders>
              <w:top w:val="double" w:sz="4" w:space="0" w:color="auto"/>
              <w:left w:val="nil"/>
              <w:bottom w:val="single" w:sz="4" w:space="0" w:color="auto"/>
              <w:right w:val="nil"/>
            </w:tcBorders>
            <w:shd w:val="clear" w:color="auto" w:fill="auto"/>
            <w:noWrap/>
            <w:vAlign w:val="bottom"/>
            <w:hideMark/>
          </w:tcPr>
          <w:p w14:paraId="49921199" w14:textId="77777777" w:rsidR="001A76A8" w:rsidRPr="009B605C" w:rsidRDefault="001A76A8" w:rsidP="0087752F">
            <w:pPr>
              <w:jc w:val="center"/>
              <w:rPr>
                <w:rFonts w:ascii="Cambria" w:hAnsi="Cambria"/>
                <w:b/>
                <w:bCs/>
                <w:color w:val="000000"/>
                <w:sz w:val="22"/>
                <w:szCs w:val="22"/>
              </w:rPr>
            </w:pPr>
            <w:r w:rsidRPr="009B605C">
              <w:rPr>
                <w:rFonts w:ascii="Cambria" w:hAnsi="Cambria"/>
                <w:b/>
                <w:bCs/>
                <w:color w:val="000000"/>
                <w:sz w:val="22"/>
                <w:szCs w:val="22"/>
              </w:rPr>
              <w:t>Gold</w:t>
            </w:r>
          </w:p>
        </w:tc>
        <w:tc>
          <w:tcPr>
            <w:tcW w:w="0" w:type="auto"/>
            <w:gridSpan w:val="2"/>
            <w:tcBorders>
              <w:top w:val="double" w:sz="4" w:space="0" w:color="auto"/>
              <w:left w:val="nil"/>
              <w:bottom w:val="single" w:sz="4" w:space="0" w:color="auto"/>
              <w:right w:val="nil"/>
            </w:tcBorders>
            <w:shd w:val="clear" w:color="auto" w:fill="auto"/>
            <w:noWrap/>
            <w:vAlign w:val="bottom"/>
            <w:hideMark/>
          </w:tcPr>
          <w:p w14:paraId="03B9E60A" w14:textId="77777777" w:rsidR="001A76A8" w:rsidRPr="009B605C" w:rsidRDefault="001A76A8" w:rsidP="0087752F">
            <w:pPr>
              <w:jc w:val="center"/>
              <w:rPr>
                <w:rFonts w:ascii="Cambria" w:hAnsi="Cambria"/>
                <w:b/>
                <w:bCs/>
                <w:color w:val="000000"/>
                <w:sz w:val="22"/>
                <w:szCs w:val="22"/>
              </w:rPr>
            </w:pPr>
            <w:r w:rsidRPr="009B605C">
              <w:rPr>
                <w:rFonts w:ascii="Cambria" w:hAnsi="Cambria"/>
                <w:b/>
                <w:bCs/>
                <w:color w:val="000000"/>
                <w:sz w:val="22"/>
                <w:szCs w:val="22"/>
              </w:rPr>
              <w:t>Crypto</w:t>
            </w:r>
          </w:p>
        </w:tc>
      </w:tr>
      <w:tr w:rsidR="001A76A8" w:rsidRPr="009B605C" w14:paraId="40DCDD08" w14:textId="77777777" w:rsidTr="00691892">
        <w:trPr>
          <w:trHeight w:val="320"/>
        </w:trPr>
        <w:tc>
          <w:tcPr>
            <w:tcW w:w="0" w:type="auto"/>
            <w:tcBorders>
              <w:top w:val="nil"/>
              <w:left w:val="nil"/>
              <w:bottom w:val="single" w:sz="4" w:space="0" w:color="auto"/>
              <w:right w:val="nil"/>
            </w:tcBorders>
            <w:shd w:val="clear" w:color="auto" w:fill="auto"/>
            <w:noWrap/>
            <w:vAlign w:val="bottom"/>
            <w:hideMark/>
          </w:tcPr>
          <w:p w14:paraId="500DC6AA" w14:textId="77777777" w:rsidR="001A76A8" w:rsidRPr="009B605C" w:rsidRDefault="001A76A8" w:rsidP="0087752F">
            <w:pPr>
              <w:jc w:val="center"/>
              <w:rPr>
                <w:rFonts w:ascii="Cambria" w:hAnsi="Cambria"/>
                <w:b/>
                <w:bCs/>
                <w:color w:val="000000"/>
                <w:sz w:val="22"/>
                <w:szCs w:val="22"/>
              </w:rPr>
            </w:pPr>
          </w:p>
        </w:tc>
        <w:tc>
          <w:tcPr>
            <w:tcW w:w="0" w:type="auto"/>
            <w:tcBorders>
              <w:top w:val="single" w:sz="4" w:space="0" w:color="auto"/>
              <w:left w:val="nil"/>
              <w:bottom w:val="single" w:sz="4" w:space="0" w:color="auto"/>
              <w:right w:val="nil"/>
            </w:tcBorders>
            <w:shd w:val="clear" w:color="auto" w:fill="auto"/>
            <w:noWrap/>
            <w:vAlign w:val="bottom"/>
            <w:hideMark/>
          </w:tcPr>
          <w:p w14:paraId="3B8B3AC7" w14:textId="7467E8B5" w:rsidR="001A76A8" w:rsidRPr="009B605C" w:rsidRDefault="00000000" w:rsidP="0087752F">
            <w:pPr>
              <w:rPr>
                <w:rFonts w:ascii="Cambria" w:hAnsi="Cambria"/>
                <w:color w:val="000000"/>
                <w:sz w:val="22"/>
                <w:szCs w:val="22"/>
              </w:rPr>
            </w:pPr>
            <m:oMathPara>
              <m:oMath>
                <m:sSub>
                  <m:sSubPr>
                    <m:ctrlPr>
                      <w:rPr>
                        <w:rFonts w:ascii="Cambria Math" w:hAnsi="Cambria Math"/>
                        <w:i/>
                        <w:color w:val="000000"/>
                        <w:sz w:val="22"/>
                        <w:szCs w:val="22"/>
                      </w:rPr>
                    </m:ctrlPr>
                  </m:sSubPr>
                  <m:e>
                    <m:r>
                      <w:rPr>
                        <w:rFonts w:ascii="Cambria Math" w:hAnsi="Cambria Math"/>
                        <w:color w:val="000000"/>
                        <w:sz w:val="22"/>
                        <w:szCs w:val="22"/>
                      </w:rPr>
                      <m:t>β</m:t>
                    </m:r>
                  </m:e>
                  <m:sub>
                    <m:r>
                      <w:rPr>
                        <w:rFonts w:ascii="Cambria Math" w:hAnsi="Cambria Math"/>
                        <w:color w:val="000000"/>
                        <w:sz w:val="22"/>
                        <w:szCs w:val="22"/>
                      </w:rPr>
                      <m:t>2</m:t>
                    </m:r>
                  </m:sub>
                </m:sSub>
              </m:oMath>
            </m:oMathPara>
          </w:p>
        </w:tc>
        <w:tc>
          <w:tcPr>
            <w:tcW w:w="0" w:type="auto"/>
            <w:tcBorders>
              <w:top w:val="single" w:sz="4" w:space="0" w:color="auto"/>
              <w:left w:val="nil"/>
              <w:bottom w:val="single" w:sz="4" w:space="0" w:color="auto"/>
              <w:right w:val="nil"/>
            </w:tcBorders>
            <w:shd w:val="clear" w:color="auto" w:fill="auto"/>
            <w:noWrap/>
            <w:vAlign w:val="bottom"/>
            <w:hideMark/>
          </w:tcPr>
          <w:p w14:paraId="675AC805" w14:textId="168168AD"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w:t>
            </w:r>
            <w:proofErr w:type="spellStart"/>
            <w:r w:rsidR="00D36B07" w:rsidRPr="009B605C">
              <w:rPr>
                <w:rFonts w:ascii="Cambria" w:hAnsi="Cambria"/>
                <w:color w:val="000000"/>
                <w:sz w:val="22"/>
                <w:szCs w:val="22"/>
              </w:rPr>
              <w:t>s.e</w:t>
            </w:r>
            <w:r w:rsidRPr="009B605C">
              <w:rPr>
                <w:rFonts w:ascii="Cambria" w:hAnsi="Cambria"/>
                <w:color w:val="000000"/>
                <w:sz w:val="22"/>
                <w:szCs w:val="22"/>
              </w:rPr>
              <w:t>.</w:t>
            </w:r>
            <w:proofErr w:type="spellEnd"/>
            <w:r w:rsidRPr="009B605C">
              <w:rPr>
                <w:rFonts w:ascii="Cambria" w:hAnsi="Cambria"/>
                <w:color w:val="000000"/>
                <w:sz w:val="22"/>
                <w:szCs w:val="22"/>
              </w:rPr>
              <w:t>)</w:t>
            </w:r>
          </w:p>
        </w:tc>
        <w:tc>
          <w:tcPr>
            <w:tcW w:w="0" w:type="auto"/>
            <w:tcBorders>
              <w:top w:val="single" w:sz="4" w:space="0" w:color="auto"/>
              <w:left w:val="nil"/>
              <w:bottom w:val="single" w:sz="4" w:space="0" w:color="auto"/>
              <w:right w:val="nil"/>
            </w:tcBorders>
            <w:shd w:val="clear" w:color="auto" w:fill="auto"/>
            <w:noWrap/>
            <w:vAlign w:val="bottom"/>
            <w:hideMark/>
          </w:tcPr>
          <w:p w14:paraId="20B85EF4" w14:textId="1DD4FADD" w:rsidR="001A76A8" w:rsidRPr="009B605C" w:rsidRDefault="00000000" w:rsidP="0087752F">
            <w:pPr>
              <w:jc w:val="right"/>
              <w:rPr>
                <w:rFonts w:ascii="Cambria" w:hAnsi="Cambria"/>
                <w:color w:val="000000"/>
                <w:sz w:val="22"/>
                <w:szCs w:val="22"/>
              </w:rPr>
            </w:pPr>
            <m:oMathPara>
              <m:oMath>
                <m:sSub>
                  <m:sSubPr>
                    <m:ctrlPr>
                      <w:rPr>
                        <w:rFonts w:ascii="Cambria Math" w:hAnsi="Cambria Math"/>
                        <w:i/>
                        <w:color w:val="000000"/>
                        <w:sz w:val="22"/>
                        <w:szCs w:val="22"/>
                      </w:rPr>
                    </m:ctrlPr>
                  </m:sSubPr>
                  <m:e>
                    <m:r>
                      <w:rPr>
                        <w:rFonts w:ascii="Cambria Math" w:hAnsi="Cambria Math"/>
                        <w:color w:val="000000"/>
                        <w:sz w:val="22"/>
                        <w:szCs w:val="22"/>
                      </w:rPr>
                      <m:t>β</m:t>
                    </m:r>
                  </m:e>
                  <m:sub>
                    <m:r>
                      <w:rPr>
                        <w:rFonts w:ascii="Cambria Math" w:hAnsi="Cambria Math"/>
                        <w:color w:val="000000"/>
                        <w:sz w:val="22"/>
                        <w:szCs w:val="22"/>
                      </w:rPr>
                      <m:t>2</m:t>
                    </m:r>
                  </m:sub>
                </m:sSub>
              </m:oMath>
            </m:oMathPara>
          </w:p>
        </w:tc>
        <w:tc>
          <w:tcPr>
            <w:tcW w:w="0" w:type="auto"/>
            <w:tcBorders>
              <w:top w:val="single" w:sz="4" w:space="0" w:color="auto"/>
              <w:left w:val="nil"/>
              <w:bottom w:val="nil"/>
              <w:right w:val="nil"/>
            </w:tcBorders>
            <w:shd w:val="clear" w:color="auto" w:fill="auto"/>
            <w:noWrap/>
            <w:vAlign w:val="bottom"/>
            <w:hideMark/>
          </w:tcPr>
          <w:p w14:paraId="5C1F8923" w14:textId="3FF015F3"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w:t>
            </w:r>
            <w:proofErr w:type="spellStart"/>
            <w:r w:rsidR="00D36B07" w:rsidRPr="009B605C">
              <w:rPr>
                <w:rFonts w:ascii="Cambria" w:hAnsi="Cambria"/>
                <w:color w:val="000000"/>
                <w:sz w:val="22"/>
                <w:szCs w:val="22"/>
              </w:rPr>
              <w:t>s.e</w:t>
            </w:r>
            <w:r w:rsidRPr="009B605C">
              <w:rPr>
                <w:rFonts w:ascii="Cambria" w:hAnsi="Cambria"/>
                <w:color w:val="000000"/>
                <w:sz w:val="22"/>
                <w:szCs w:val="22"/>
              </w:rPr>
              <w:t>.</w:t>
            </w:r>
            <w:proofErr w:type="spellEnd"/>
            <w:r w:rsidRPr="009B605C">
              <w:rPr>
                <w:rFonts w:ascii="Cambria" w:hAnsi="Cambria"/>
                <w:color w:val="000000"/>
                <w:sz w:val="22"/>
                <w:szCs w:val="22"/>
              </w:rPr>
              <w:t>)</w:t>
            </w:r>
          </w:p>
        </w:tc>
      </w:tr>
      <w:tr w:rsidR="00691892" w:rsidRPr="009B605C" w14:paraId="54884E1A" w14:textId="77777777" w:rsidTr="00691892">
        <w:trPr>
          <w:trHeight w:val="320"/>
        </w:trPr>
        <w:tc>
          <w:tcPr>
            <w:tcW w:w="0" w:type="auto"/>
            <w:gridSpan w:val="4"/>
            <w:tcBorders>
              <w:top w:val="single" w:sz="4" w:space="0" w:color="auto"/>
              <w:left w:val="nil"/>
              <w:bottom w:val="nil"/>
              <w:right w:val="nil"/>
            </w:tcBorders>
            <w:shd w:val="clear" w:color="auto" w:fill="auto"/>
            <w:noWrap/>
            <w:vAlign w:val="bottom"/>
            <w:hideMark/>
          </w:tcPr>
          <w:p w14:paraId="74184329" w14:textId="5A0A8807" w:rsidR="001A76A8" w:rsidRPr="009B605C" w:rsidRDefault="001A76A8" w:rsidP="0087752F">
            <w:pPr>
              <w:rPr>
                <w:rFonts w:ascii="Cambria" w:hAnsi="Cambria"/>
                <w:b/>
                <w:bCs/>
                <w:color w:val="000000"/>
                <w:sz w:val="22"/>
                <w:szCs w:val="22"/>
              </w:rPr>
            </w:pPr>
            <w:r w:rsidRPr="009B605C">
              <w:rPr>
                <w:rFonts w:ascii="Cambria" w:hAnsi="Cambria"/>
                <w:b/>
                <w:bCs/>
                <w:color w:val="000000"/>
                <w:sz w:val="22"/>
                <w:szCs w:val="22"/>
              </w:rPr>
              <w:t xml:space="preserve">Panel A: </w:t>
            </w:r>
            <w:r w:rsidRPr="009B605C">
              <w:rPr>
                <w:rFonts w:ascii="Cambria" w:hAnsi="Cambria"/>
                <w:color w:val="000000"/>
                <w:sz w:val="22"/>
                <w:szCs w:val="22"/>
              </w:rPr>
              <w:t>Pre-conflict announcement</w:t>
            </w:r>
          </w:p>
        </w:tc>
        <w:tc>
          <w:tcPr>
            <w:tcW w:w="0" w:type="auto"/>
            <w:tcBorders>
              <w:top w:val="single" w:sz="4" w:space="0" w:color="auto"/>
              <w:left w:val="nil"/>
              <w:bottom w:val="nil"/>
              <w:right w:val="nil"/>
            </w:tcBorders>
            <w:shd w:val="clear" w:color="auto" w:fill="auto"/>
            <w:noWrap/>
            <w:vAlign w:val="bottom"/>
            <w:hideMark/>
          </w:tcPr>
          <w:p w14:paraId="61D57221" w14:textId="77777777" w:rsidR="001A76A8" w:rsidRPr="009B605C" w:rsidRDefault="001A76A8" w:rsidP="0087752F">
            <w:pPr>
              <w:rPr>
                <w:rFonts w:ascii="Cambria" w:hAnsi="Cambria"/>
                <w:b/>
                <w:bCs/>
                <w:color w:val="000000"/>
                <w:sz w:val="22"/>
                <w:szCs w:val="22"/>
              </w:rPr>
            </w:pPr>
          </w:p>
        </w:tc>
      </w:tr>
      <w:tr w:rsidR="001A76A8" w:rsidRPr="009B605C" w14:paraId="4643BBFE" w14:textId="77777777" w:rsidTr="00691892">
        <w:trPr>
          <w:trHeight w:val="320"/>
        </w:trPr>
        <w:tc>
          <w:tcPr>
            <w:tcW w:w="0" w:type="auto"/>
            <w:tcBorders>
              <w:top w:val="nil"/>
              <w:left w:val="nil"/>
              <w:bottom w:val="nil"/>
              <w:right w:val="nil"/>
            </w:tcBorders>
            <w:shd w:val="clear" w:color="auto" w:fill="auto"/>
            <w:noWrap/>
            <w:vAlign w:val="bottom"/>
            <w:hideMark/>
          </w:tcPr>
          <w:p w14:paraId="0C292DCA"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Brazil</w:t>
            </w:r>
          </w:p>
        </w:tc>
        <w:tc>
          <w:tcPr>
            <w:tcW w:w="0" w:type="auto"/>
            <w:tcBorders>
              <w:top w:val="nil"/>
              <w:left w:val="nil"/>
              <w:bottom w:val="nil"/>
              <w:right w:val="nil"/>
            </w:tcBorders>
            <w:shd w:val="clear" w:color="auto" w:fill="auto"/>
            <w:noWrap/>
            <w:vAlign w:val="bottom"/>
            <w:hideMark/>
          </w:tcPr>
          <w:p w14:paraId="22CE58E7"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0.091</w:t>
            </w:r>
          </w:p>
        </w:tc>
        <w:tc>
          <w:tcPr>
            <w:tcW w:w="0" w:type="auto"/>
            <w:tcBorders>
              <w:top w:val="nil"/>
              <w:left w:val="nil"/>
              <w:bottom w:val="nil"/>
              <w:right w:val="nil"/>
            </w:tcBorders>
            <w:shd w:val="clear" w:color="auto" w:fill="auto"/>
            <w:noWrap/>
            <w:vAlign w:val="bottom"/>
            <w:hideMark/>
          </w:tcPr>
          <w:p w14:paraId="61356A6F" w14:textId="1348CCF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(0.068)</w:t>
            </w:r>
          </w:p>
        </w:tc>
        <w:tc>
          <w:tcPr>
            <w:tcW w:w="0" w:type="auto"/>
            <w:tcBorders>
              <w:top w:val="nil"/>
              <w:left w:val="nil"/>
              <w:bottom w:val="nil"/>
              <w:right w:val="nil"/>
            </w:tcBorders>
            <w:shd w:val="clear" w:color="auto" w:fill="auto"/>
            <w:noWrap/>
            <w:vAlign w:val="bottom"/>
            <w:hideMark/>
          </w:tcPr>
          <w:p w14:paraId="59412054"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0.036</w:t>
            </w:r>
          </w:p>
        </w:tc>
        <w:tc>
          <w:tcPr>
            <w:tcW w:w="0" w:type="auto"/>
            <w:tcBorders>
              <w:top w:val="nil"/>
              <w:left w:val="nil"/>
              <w:bottom w:val="nil"/>
              <w:right w:val="nil"/>
            </w:tcBorders>
            <w:shd w:val="clear" w:color="auto" w:fill="auto"/>
            <w:noWrap/>
            <w:vAlign w:val="bottom"/>
            <w:hideMark/>
          </w:tcPr>
          <w:p w14:paraId="328227F5" w14:textId="0D50387C"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(0.018)</w:t>
            </w:r>
          </w:p>
        </w:tc>
      </w:tr>
      <w:tr w:rsidR="001A76A8" w:rsidRPr="009B605C" w14:paraId="3E7160A6" w14:textId="77777777" w:rsidTr="00691892">
        <w:trPr>
          <w:trHeight w:val="320"/>
        </w:trPr>
        <w:tc>
          <w:tcPr>
            <w:tcW w:w="0" w:type="auto"/>
            <w:tcBorders>
              <w:top w:val="nil"/>
              <w:left w:val="nil"/>
              <w:bottom w:val="nil"/>
              <w:right w:val="nil"/>
            </w:tcBorders>
            <w:shd w:val="clear" w:color="auto" w:fill="auto"/>
            <w:noWrap/>
            <w:vAlign w:val="bottom"/>
            <w:hideMark/>
          </w:tcPr>
          <w:p w14:paraId="2F8FDEE2"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Russia</w:t>
            </w:r>
          </w:p>
        </w:tc>
        <w:tc>
          <w:tcPr>
            <w:tcW w:w="0" w:type="auto"/>
            <w:tcBorders>
              <w:top w:val="nil"/>
              <w:left w:val="nil"/>
              <w:bottom w:val="nil"/>
              <w:right w:val="nil"/>
            </w:tcBorders>
            <w:shd w:val="clear" w:color="auto" w:fill="auto"/>
            <w:noWrap/>
            <w:vAlign w:val="bottom"/>
            <w:hideMark/>
          </w:tcPr>
          <w:p w14:paraId="3D665540"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0.026</w:t>
            </w:r>
          </w:p>
        </w:tc>
        <w:tc>
          <w:tcPr>
            <w:tcW w:w="0" w:type="auto"/>
            <w:tcBorders>
              <w:top w:val="nil"/>
              <w:left w:val="nil"/>
              <w:bottom w:val="nil"/>
              <w:right w:val="nil"/>
            </w:tcBorders>
            <w:shd w:val="clear" w:color="auto" w:fill="auto"/>
            <w:noWrap/>
            <w:vAlign w:val="bottom"/>
            <w:hideMark/>
          </w:tcPr>
          <w:p w14:paraId="19E1473A" w14:textId="3B71CCC5"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(0.050)</w:t>
            </w:r>
          </w:p>
        </w:tc>
        <w:tc>
          <w:tcPr>
            <w:tcW w:w="0" w:type="auto"/>
            <w:tcBorders>
              <w:top w:val="nil"/>
              <w:left w:val="nil"/>
              <w:bottom w:val="nil"/>
              <w:right w:val="nil"/>
            </w:tcBorders>
            <w:shd w:val="clear" w:color="auto" w:fill="auto"/>
            <w:noWrap/>
            <w:vAlign w:val="bottom"/>
            <w:hideMark/>
          </w:tcPr>
          <w:p w14:paraId="727640C7"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0.020</w:t>
            </w:r>
          </w:p>
        </w:tc>
        <w:tc>
          <w:tcPr>
            <w:tcW w:w="0" w:type="auto"/>
            <w:tcBorders>
              <w:top w:val="nil"/>
              <w:left w:val="nil"/>
              <w:bottom w:val="nil"/>
              <w:right w:val="nil"/>
            </w:tcBorders>
            <w:shd w:val="clear" w:color="auto" w:fill="auto"/>
            <w:noWrap/>
            <w:vAlign w:val="bottom"/>
            <w:hideMark/>
          </w:tcPr>
          <w:p w14:paraId="3DA001C9" w14:textId="4E63639F"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(0.010)</w:t>
            </w:r>
          </w:p>
        </w:tc>
      </w:tr>
      <w:tr w:rsidR="001A76A8" w:rsidRPr="009B605C" w14:paraId="019F40FA" w14:textId="77777777" w:rsidTr="00691892">
        <w:trPr>
          <w:trHeight w:val="320"/>
        </w:trPr>
        <w:tc>
          <w:tcPr>
            <w:tcW w:w="0" w:type="auto"/>
            <w:tcBorders>
              <w:top w:val="nil"/>
              <w:left w:val="nil"/>
              <w:bottom w:val="nil"/>
              <w:right w:val="nil"/>
            </w:tcBorders>
            <w:shd w:val="clear" w:color="auto" w:fill="auto"/>
            <w:noWrap/>
            <w:vAlign w:val="bottom"/>
            <w:hideMark/>
          </w:tcPr>
          <w:p w14:paraId="1E9597F9"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India</w:t>
            </w:r>
          </w:p>
        </w:tc>
        <w:tc>
          <w:tcPr>
            <w:tcW w:w="0" w:type="auto"/>
            <w:tcBorders>
              <w:top w:val="nil"/>
              <w:left w:val="nil"/>
              <w:bottom w:val="nil"/>
              <w:right w:val="nil"/>
            </w:tcBorders>
            <w:shd w:val="clear" w:color="auto" w:fill="auto"/>
            <w:noWrap/>
            <w:vAlign w:val="bottom"/>
            <w:hideMark/>
          </w:tcPr>
          <w:p w14:paraId="6BF3F2DD"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-0.005</w:t>
            </w:r>
          </w:p>
        </w:tc>
        <w:tc>
          <w:tcPr>
            <w:tcW w:w="0" w:type="auto"/>
            <w:tcBorders>
              <w:top w:val="nil"/>
              <w:left w:val="nil"/>
              <w:bottom w:val="nil"/>
              <w:right w:val="nil"/>
            </w:tcBorders>
            <w:shd w:val="clear" w:color="auto" w:fill="auto"/>
            <w:noWrap/>
            <w:vAlign w:val="bottom"/>
            <w:hideMark/>
          </w:tcPr>
          <w:p w14:paraId="08B8E619" w14:textId="1A2A4B6F"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(0.044)</w:t>
            </w:r>
          </w:p>
        </w:tc>
        <w:tc>
          <w:tcPr>
            <w:tcW w:w="0" w:type="auto"/>
            <w:tcBorders>
              <w:top w:val="nil"/>
              <w:left w:val="nil"/>
              <w:bottom w:val="nil"/>
              <w:right w:val="nil"/>
            </w:tcBorders>
            <w:shd w:val="clear" w:color="auto" w:fill="auto"/>
            <w:noWrap/>
            <w:vAlign w:val="bottom"/>
            <w:hideMark/>
          </w:tcPr>
          <w:p w14:paraId="38601071"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0.006</w:t>
            </w:r>
          </w:p>
        </w:tc>
        <w:tc>
          <w:tcPr>
            <w:tcW w:w="0" w:type="auto"/>
            <w:tcBorders>
              <w:top w:val="nil"/>
              <w:left w:val="nil"/>
              <w:bottom w:val="nil"/>
              <w:right w:val="nil"/>
            </w:tcBorders>
            <w:shd w:val="clear" w:color="auto" w:fill="auto"/>
            <w:noWrap/>
            <w:vAlign w:val="bottom"/>
            <w:hideMark/>
          </w:tcPr>
          <w:p w14:paraId="5863A434" w14:textId="79F74DA1"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(0.010)</w:t>
            </w:r>
          </w:p>
        </w:tc>
      </w:tr>
      <w:tr w:rsidR="001A76A8" w:rsidRPr="009B605C" w14:paraId="0B250286" w14:textId="77777777" w:rsidTr="00691892">
        <w:trPr>
          <w:trHeight w:val="320"/>
        </w:trPr>
        <w:tc>
          <w:tcPr>
            <w:tcW w:w="0" w:type="auto"/>
            <w:tcBorders>
              <w:top w:val="nil"/>
              <w:left w:val="nil"/>
              <w:bottom w:val="nil"/>
              <w:right w:val="nil"/>
            </w:tcBorders>
            <w:shd w:val="clear" w:color="auto" w:fill="auto"/>
            <w:noWrap/>
            <w:vAlign w:val="bottom"/>
            <w:hideMark/>
          </w:tcPr>
          <w:p w14:paraId="558C6161"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China</w:t>
            </w:r>
          </w:p>
        </w:tc>
        <w:tc>
          <w:tcPr>
            <w:tcW w:w="0" w:type="auto"/>
            <w:tcBorders>
              <w:top w:val="nil"/>
              <w:left w:val="nil"/>
              <w:bottom w:val="nil"/>
              <w:right w:val="nil"/>
            </w:tcBorders>
            <w:shd w:val="clear" w:color="auto" w:fill="auto"/>
            <w:noWrap/>
            <w:vAlign w:val="bottom"/>
            <w:hideMark/>
          </w:tcPr>
          <w:p w14:paraId="0580A6AD"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0.031</w:t>
            </w:r>
          </w:p>
        </w:tc>
        <w:tc>
          <w:tcPr>
            <w:tcW w:w="0" w:type="auto"/>
            <w:tcBorders>
              <w:top w:val="nil"/>
              <w:left w:val="nil"/>
              <w:bottom w:val="nil"/>
              <w:right w:val="nil"/>
            </w:tcBorders>
            <w:shd w:val="clear" w:color="auto" w:fill="auto"/>
            <w:noWrap/>
            <w:vAlign w:val="bottom"/>
            <w:hideMark/>
          </w:tcPr>
          <w:p w14:paraId="3386F106" w14:textId="78E30359"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(0.036)</w:t>
            </w:r>
          </w:p>
        </w:tc>
        <w:tc>
          <w:tcPr>
            <w:tcW w:w="0" w:type="auto"/>
            <w:tcBorders>
              <w:top w:val="nil"/>
              <w:left w:val="nil"/>
              <w:bottom w:val="nil"/>
              <w:right w:val="nil"/>
            </w:tcBorders>
            <w:shd w:val="clear" w:color="auto" w:fill="auto"/>
            <w:noWrap/>
            <w:vAlign w:val="bottom"/>
            <w:hideMark/>
          </w:tcPr>
          <w:p w14:paraId="5AD9332B"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0.009</w:t>
            </w:r>
          </w:p>
        </w:tc>
        <w:tc>
          <w:tcPr>
            <w:tcW w:w="0" w:type="auto"/>
            <w:tcBorders>
              <w:top w:val="nil"/>
              <w:left w:val="nil"/>
              <w:bottom w:val="nil"/>
              <w:right w:val="nil"/>
            </w:tcBorders>
            <w:shd w:val="clear" w:color="auto" w:fill="auto"/>
            <w:noWrap/>
            <w:vAlign w:val="bottom"/>
            <w:hideMark/>
          </w:tcPr>
          <w:p w14:paraId="598CD71B" w14:textId="1ECE271A"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(0.006)</w:t>
            </w:r>
          </w:p>
        </w:tc>
      </w:tr>
      <w:tr w:rsidR="001A76A8" w:rsidRPr="009B605C" w14:paraId="763BBC51" w14:textId="77777777" w:rsidTr="00691892">
        <w:trPr>
          <w:trHeight w:val="320"/>
        </w:trPr>
        <w:tc>
          <w:tcPr>
            <w:tcW w:w="0" w:type="auto"/>
            <w:tcBorders>
              <w:top w:val="nil"/>
              <w:left w:val="nil"/>
              <w:bottom w:val="nil"/>
              <w:right w:val="nil"/>
            </w:tcBorders>
            <w:shd w:val="clear" w:color="auto" w:fill="auto"/>
            <w:noWrap/>
            <w:vAlign w:val="bottom"/>
            <w:hideMark/>
          </w:tcPr>
          <w:p w14:paraId="25DE8EBF"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South Africa</w:t>
            </w:r>
          </w:p>
        </w:tc>
        <w:tc>
          <w:tcPr>
            <w:tcW w:w="0" w:type="auto"/>
            <w:tcBorders>
              <w:top w:val="nil"/>
              <w:left w:val="nil"/>
              <w:bottom w:val="nil"/>
              <w:right w:val="nil"/>
            </w:tcBorders>
            <w:shd w:val="clear" w:color="auto" w:fill="auto"/>
            <w:noWrap/>
            <w:vAlign w:val="bottom"/>
            <w:hideMark/>
          </w:tcPr>
          <w:p w14:paraId="6616F479" w14:textId="4D2DD1AD"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0.114</w:t>
            </w:r>
            <w:r w:rsidR="00547084" w:rsidRPr="009B605C">
              <w:rPr>
                <w:rFonts w:ascii="Cambria" w:hAnsi="Cambria"/>
                <w:color w:val="000000"/>
                <w:sz w:val="22"/>
                <w:szCs w:val="22"/>
              </w:rPr>
              <w:t>*</w:t>
            </w:r>
          </w:p>
        </w:tc>
        <w:tc>
          <w:tcPr>
            <w:tcW w:w="0" w:type="auto"/>
            <w:tcBorders>
              <w:top w:val="nil"/>
              <w:left w:val="nil"/>
              <w:bottom w:val="nil"/>
              <w:right w:val="nil"/>
            </w:tcBorders>
            <w:shd w:val="clear" w:color="auto" w:fill="auto"/>
            <w:noWrap/>
            <w:vAlign w:val="bottom"/>
            <w:hideMark/>
          </w:tcPr>
          <w:p w14:paraId="19ADC3EA" w14:textId="3B65B2E9"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(0.062)</w:t>
            </w:r>
          </w:p>
        </w:tc>
        <w:tc>
          <w:tcPr>
            <w:tcW w:w="0" w:type="auto"/>
            <w:tcBorders>
              <w:top w:val="nil"/>
              <w:left w:val="nil"/>
              <w:bottom w:val="nil"/>
              <w:right w:val="nil"/>
            </w:tcBorders>
            <w:shd w:val="clear" w:color="auto" w:fill="auto"/>
            <w:noWrap/>
            <w:vAlign w:val="bottom"/>
            <w:hideMark/>
          </w:tcPr>
          <w:p w14:paraId="3A41A872" w14:textId="71D1AD64"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0.019</w:t>
            </w:r>
            <w:r w:rsidR="00547084" w:rsidRPr="009B605C">
              <w:rPr>
                <w:rFonts w:ascii="Cambria" w:hAnsi="Cambria"/>
                <w:color w:val="000000"/>
                <w:sz w:val="22"/>
                <w:szCs w:val="22"/>
              </w:rPr>
              <w:t>*</w:t>
            </w:r>
          </w:p>
        </w:tc>
        <w:tc>
          <w:tcPr>
            <w:tcW w:w="0" w:type="auto"/>
            <w:tcBorders>
              <w:top w:val="nil"/>
              <w:left w:val="nil"/>
              <w:bottom w:val="nil"/>
              <w:right w:val="nil"/>
            </w:tcBorders>
            <w:shd w:val="clear" w:color="auto" w:fill="auto"/>
            <w:noWrap/>
            <w:vAlign w:val="bottom"/>
            <w:hideMark/>
          </w:tcPr>
          <w:p w14:paraId="03E7FF59" w14:textId="12DC0738"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(0.010)</w:t>
            </w:r>
          </w:p>
        </w:tc>
      </w:tr>
      <w:tr w:rsidR="00691892" w:rsidRPr="009B605C" w14:paraId="11AE0D91" w14:textId="77777777" w:rsidTr="00691892">
        <w:trPr>
          <w:trHeight w:val="320"/>
        </w:trPr>
        <w:tc>
          <w:tcPr>
            <w:tcW w:w="0" w:type="auto"/>
            <w:gridSpan w:val="4"/>
            <w:tcBorders>
              <w:top w:val="nil"/>
              <w:left w:val="nil"/>
              <w:bottom w:val="nil"/>
              <w:right w:val="nil"/>
            </w:tcBorders>
            <w:shd w:val="clear" w:color="auto" w:fill="auto"/>
            <w:noWrap/>
            <w:vAlign w:val="bottom"/>
            <w:hideMark/>
          </w:tcPr>
          <w:p w14:paraId="6CB45819" w14:textId="6F4C5F08" w:rsidR="001A76A8" w:rsidRPr="009B605C" w:rsidRDefault="001A76A8" w:rsidP="0087752F">
            <w:pPr>
              <w:rPr>
                <w:rFonts w:ascii="Cambria" w:hAnsi="Cambria"/>
                <w:b/>
                <w:bCs/>
                <w:color w:val="000000"/>
                <w:sz w:val="22"/>
                <w:szCs w:val="22"/>
              </w:rPr>
            </w:pPr>
            <w:r w:rsidRPr="009B605C">
              <w:rPr>
                <w:rFonts w:ascii="Cambria" w:hAnsi="Cambria"/>
                <w:b/>
                <w:bCs/>
                <w:color w:val="000000"/>
                <w:sz w:val="22"/>
                <w:szCs w:val="22"/>
              </w:rPr>
              <w:t xml:space="preserve">Panel B: </w:t>
            </w:r>
            <w:r w:rsidRPr="009B605C">
              <w:rPr>
                <w:rFonts w:ascii="Cambria" w:hAnsi="Cambria"/>
                <w:color w:val="000000"/>
                <w:sz w:val="22"/>
                <w:szCs w:val="22"/>
              </w:rPr>
              <w:t>Post-conflict announcement</w:t>
            </w:r>
          </w:p>
        </w:tc>
        <w:tc>
          <w:tcPr>
            <w:tcW w:w="0" w:type="auto"/>
            <w:tcBorders>
              <w:top w:val="nil"/>
              <w:left w:val="nil"/>
              <w:bottom w:val="nil"/>
              <w:right w:val="nil"/>
            </w:tcBorders>
            <w:shd w:val="clear" w:color="auto" w:fill="auto"/>
            <w:noWrap/>
            <w:vAlign w:val="bottom"/>
            <w:hideMark/>
          </w:tcPr>
          <w:p w14:paraId="5DA4ADD8" w14:textId="77777777" w:rsidR="001A76A8" w:rsidRPr="009B605C" w:rsidRDefault="001A76A8" w:rsidP="0087752F">
            <w:pPr>
              <w:rPr>
                <w:rFonts w:ascii="Cambria" w:hAnsi="Cambria"/>
                <w:b/>
                <w:bCs/>
                <w:color w:val="000000"/>
                <w:sz w:val="22"/>
                <w:szCs w:val="22"/>
              </w:rPr>
            </w:pPr>
          </w:p>
        </w:tc>
      </w:tr>
      <w:tr w:rsidR="001A76A8" w:rsidRPr="009B605C" w14:paraId="3BE3411C" w14:textId="77777777" w:rsidTr="00691892">
        <w:trPr>
          <w:trHeight w:val="320"/>
        </w:trPr>
        <w:tc>
          <w:tcPr>
            <w:tcW w:w="0" w:type="auto"/>
            <w:tcBorders>
              <w:top w:val="nil"/>
              <w:left w:val="nil"/>
              <w:bottom w:val="nil"/>
              <w:right w:val="nil"/>
            </w:tcBorders>
            <w:shd w:val="clear" w:color="auto" w:fill="auto"/>
            <w:noWrap/>
            <w:vAlign w:val="bottom"/>
            <w:hideMark/>
          </w:tcPr>
          <w:p w14:paraId="5D4B1BD6"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Brazil</w:t>
            </w:r>
          </w:p>
        </w:tc>
        <w:tc>
          <w:tcPr>
            <w:tcW w:w="0" w:type="auto"/>
            <w:tcBorders>
              <w:top w:val="nil"/>
              <w:left w:val="nil"/>
              <w:bottom w:val="nil"/>
              <w:right w:val="nil"/>
            </w:tcBorders>
            <w:shd w:val="clear" w:color="auto" w:fill="auto"/>
            <w:noWrap/>
            <w:vAlign w:val="bottom"/>
            <w:hideMark/>
          </w:tcPr>
          <w:p w14:paraId="2577C85F"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0.088</w:t>
            </w:r>
          </w:p>
        </w:tc>
        <w:tc>
          <w:tcPr>
            <w:tcW w:w="0" w:type="auto"/>
            <w:tcBorders>
              <w:top w:val="nil"/>
              <w:left w:val="nil"/>
              <w:bottom w:val="nil"/>
              <w:right w:val="nil"/>
            </w:tcBorders>
            <w:shd w:val="clear" w:color="auto" w:fill="auto"/>
            <w:noWrap/>
            <w:vAlign w:val="bottom"/>
            <w:hideMark/>
          </w:tcPr>
          <w:p w14:paraId="7F4EA000" w14:textId="337B5D3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(0.058)</w:t>
            </w:r>
          </w:p>
        </w:tc>
        <w:tc>
          <w:tcPr>
            <w:tcW w:w="0" w:type="auto"/>
            <w:tcBorders>
              <w:top w:val="nil"/>
              <w:left w:val="nil"/>
              <w:bottom w:val="nil"/>
              <w:right w:val="nil"/>
            </w:tcBorders>
            <w:shd w:val="clear" w:color="auto" w:fill="auto"/>
            <w:noWrap/>
            <w:vAlign w:val="bottom"/>
            <w:hideMark/>
          </w:tcPr>
          <w:p w14:paraId="065D28BF"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0.002</w:t>
            </w:r>
          </w:p>
        </w:tc>
        <w:tc>
          <w:tcPr>
            <w:tcW w:w="0" w:type="auto"/>
            <w:tcBorders>
              <w:top w:val="nil"/>
              <w:left w:val="nil"/>
              <w:bottom w:val="nil"/>
              <w:right w:val="nil"/>
            </w:tcBorders>
            <w:shd w:val="clear" w:color="auto" w:fill="auto"/>
            <w:noWrap/>
            <w:vAlign w:val="bottom"/>
            <w:hideMark/>
          </w:tcPr>
          <w:p w14:paraId="3EF0EDE5" w14:textId="3D12EF78"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(0.003)</w:t>
            </w:r>
          </w:p>
        </w:tc>
      </w:tr>
      <w:tr w:rsidR="001A76A8" w:rsidRPr="009B605C" w14:paraId="2449F278" w14:textId="77777777" w:rsidTr="00691892">
        <w:trPr>
          <w:trHeight w:val="320"/>
        </w:trPr>
        <w:tc>
          <w:tcPr>
            <w:tcW w:w="0" w:type="auto"/>
            <w:tcBorders>
              <w:top w:val="nil"/>
              <w:left w:val="nil"/>
              <w:bottom w:val="nil"/>
              <w:right w:val="nil"/>
            </w:tcBorders>
            <w:shd w:val="clear" w:color="auto" w:fill="auto"/>
            <w:noWrap/>
            <w:vAlign w:val="bottom"/>
            <w:hideMark/>
          </w:tcPr>
          <w:p w14:paraId="18459DA0"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Russia</w:t>
            </w:r>
          </w:p>
        </w:tc>
        <w:tc>
          <w:tcPr>
            <w:tcW w:w="0" w:type="auto"/>
            <w:tcBorders>
              <w:top w:val="nil"/>
              <w:left w:val="nil"/>
              <w:bottom w:val="nil"/>
              <w:right w:val="nil"/>
            </w:tcBorders>
            <w:shd w:val="clear" w:color="auto" w:fill="auto"/>
            <w:noWrap/>
            <w:vAlign w:val="bottom"/>
            <w:hideMark/>
          </w:tcPr>
          <w:p w14:paraId="41BCBD6B"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0.012</w:t>
            </w:r>
          </w:p>
        </w:tc>
        <w:tc>
          <w:tcPr>
            <w:tcW w:w="0" w:type="auto"/>
            <w:tcBorders>
              <w:top w:val="nil"/>
              <w:left w:val="nil"/>
              <w:bottom w:val="nil"/>
              <w:right w:val="nil"/>
            </w:tcBorders>
            <w:shd w:val="clear" w:color="auto" w:fill="auto"/>
            <w:noWrap/>
            <w:vAlign w:val="bottom"/>
            <w:hideMark/>
          </w:tcPr>
          <w:p w14:paraId="00BB97DA" w14:textId="688FF179"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(0.133)</w:t>
            </w:r>
          </w:p>
        </w:tc>
        <w:tc>
          <w:tcPr>
            <w:tcW w:w="0" w:type="auto"/>
            <w:tcBorders>
              <w:top w:val="nil"/>
              <w:left w:val="nil"/>
              <w:bottom w:val="nil"/>
              <w:right w:val="nil"/>
            </w:tcBorders>
            <w:shd w:val="clear" w:color="auto" w:fill="auto"/>
            <w:noWrap/>
            <w:vAlign w:val="bottom"/>
            <w:hideMark/>
          </w:tcPr>
          <w:p w14:paraId="37BD41D7"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-0.002</w:t>
            </w:r>
          </w:p>
        </w:tc>
        <w:tc>
          <w:tcPr>
            <w:tcW w:w="0" w:type="auto"/>
            <w:tcBorders>
              <w:top w:val="nil"/>
              <w:left w:val="nil"/>
              <w:bottom w:val="nil"/>
              <w:right w:val="nil"/>
            </w:tcBorders>
            <w:shd w:val="clear" w:color="auto" w:fill="auto"/>
            <w:noWrap/>
            <w:vAlign w:val="bottom"/>
            <w:hideMark/>
          </w:tcPr>
          <w:p w14:paraId="72939F0F" w14:textId="6E3BC7E6"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(0.002)</w:t>
            </w:r>
          </w:p>
        </w:tc>
      </w:tr>
      <w:tr w:rsidR="001A76A8" w:rsidRPr="009B605C" w14:paraId="3CDC1C19" w14:textId="77777777" w:rsidTr="00691892">
        <w:trPr>
          <w:trHeight w:val="320"/>
        </w:trPr>
        <w:tc>
          <w:tcPr>
            <w:tcW w:w="0" w:type="auto"/>
            <w:tcBorders>
              <w:top w:val="nil"/>
              <w:left w:val="nil"/>
              <w:bottom w:val="nil"/>
              <w:right w:val="nil"/>
            </w:tcBorders>
            <w:shd w:val="clear" w:color="auto" w:fill="auto"/>
            <w:noWrap/>
            <w:vAlign w:val="bottom"/>
            <w:hideMark/>
          </w:tcPr>
          <w:p w14:paraId="43E7AE59"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India</w:t>
            </w:r>
          </w:p>
        </w:tc>
        <w:tc>
          <w:tcPr>
            <w:tcW w:w="0" w:type="auto"/>
            <w:tcBorders>
              <w:top w:val="nil"/>
              <w:left w:val="nil"/>
              <w:bottom w:val="nil"/>
              <w:right w:val="nil"/>
            </w:tcBorders>
            <w:shd w:val="clear" w:color="auto" w:fill="auto"/>
            <w:noWrap/>
            <w:vAlign w:val="bottom"/>
            <w:hideMark/>
          </w:tcPr>
          <w:p w14:paraId="2A18747C"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0.058</w:t>
            </w:r>
          </w:p>
        </w:tc>
        <w:tc>
          <w:tcPr>
            <w:tcW w:w="0" w:type="auto"/>
            <w:tcBorders>
              <w:top w:val="nil"/>
              <w:left w:val="nil"/>
              <w:bottom w:val="nil"/>
              <w:right w:val="nil"/>
            </w:tcBorders>
            <w:shd w:val="clear" w:color="auto" w:fill="auto"/>
            <w:noWrap/>
            <w:vAlign w:val="bottom"/>
            <w:hideMark/>
          </w:tcPr>
          <w:p w14:paraId="07397EF5" w14:textId="58F38825"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(0.045)</w:t>
            </w:r>
          </w:p>
        </w:tc>
        <w:tc>
          <w:tcPr>
            <w:tcW w:w="0" w:type="auto"/>
            <w:tcBorders>
              <w:top w:val="nil"/>
              <w:left w:val="nil"/>
              <w:bottom w:val="nil"/>
              <w:right w:val="nil"/>
            </w:tcBorders>
            <w:shd w:val="clear" w:color="auto" w:fill="auto"/>
            <w:noWrap/>
            <w:vAlign w:val="bottom"/>
            <w:hideMark/>
          </w:tcPr>
          <w:p w14:paraId="43C8428A"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0.001</w:t>
            </w:r>
          </w:p>
        </w:tc>
        <w:tc>
          <w:tcPr>
            <w:tcW w:w="0" w:type="auto"/>
            <w:tcBorders>
              <w:top w:val="nil"/>
              <w:left w:val="nil"/>
              <w:bottom w:val="nil"/>
              <w:right w:val="nil"/>
            </w:tcBorders>
            <w:shd w:val="clear" w:color="auto" w:fill="auto"/>
            <w:noWrap/>
            <w:vAlign w:val="bottom"/>
            <w:hideMark/>
          </w:tcPr>
          <w:p w14:paraId="74AD712F" w14:textId="3F2C141F"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(0.001)</w:t>
            </w:r>
          </w:p>
        </w:tc>
      </w:tr>
      <w:tr w:rsidR="001A76A8" w:rsidRPr="009B605C" w14:paraId="37DCE4DF" w14:textId="77777777" w:rsidTr="00691892">
        <w:trPr>
          <w:trHeight w:val="320"/>
        </w:trPr>
        <w:tc>
          <w:tcPr>
            <w:tcW w:w="0" w:type="auto"/>
            <w:tcBorders>
              <w:top w:val="nil"/>
              <w:left w:val="nil"/>
              <w:bottom w:val="nil"/>
              <w:right w:val="nil"/>
            </w:tcBorders>
            <w:shd w:val="clear" w:color="auto" w:fill="auto"/>
            <w:noWrap/>
            <w:vAlign w:val="bottom"/>
            <w:hideMark/>
          </w:tcPr>
          <w:p w14:paraId="632EC704"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China</w:t>
            </w:r>
          </w:p>
        </w:tc>
        <w:tc>
          <w:tcPr>
            <w:tcW w:w="0" w:type="auto"/>
            <w:tcBorders>
              <w:top w:val="nil"/>
              <w:left w:val="nil"/>
              <w:bottom w:val="nil"/>
              <w:right w:val="nil"/>
            </w:tcBorders>
            <w:shd w:val="clear" w:color="auto" w:fill="auto"/>
            <w:noWrap/>
            <w:vAlign w:val="bottom"/>
            <w:hideMark/>
          </w:tcPr>
          <w:p w14:paraId="1495DFCA" w14:textId="28B2ACC0"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0.125</w:t>
            </w:r>
            <w:r w:rsidR="00547084" w:rsidRPr="009B605C">
              <w:rPr>
                <w:rFonts w:ascii="Cambria" w:hAnsi="Cambria"/>
                <w:color w:val="000000"/>
                <w:sz w:val="22"/>
                <w:szCs w:val="22"/>
              </w:rPr>
              <w:t>***</w:t>
            </w:r>
          </w:p>
        </w:tc>
        <w:tc>
          <w:tcPr>
            <w:tcW w:w="0" w:type="auto"/>
            <w:tcBorders>
              <w:top w:val="nil"/>
              <w:left w:val="nil"/>
              <w:bottom w:val="nil"/>
              <w:right w:val="nil"/>
            </w:tcBorders>
            <w:shd w:val="clear" w:color="auto" w:fill="auto"/>
            <w:noWrap/>
            <w:vAlign w:val="bottom"/>
            <w:hideMark/>
          </w:tcPr>
          <w:p w14:paraId="54B6FB1C" w14:textId="20213AA1"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(0.047)</w:t>
            </w:r>
          </w:p>
        </w:tc>
        <w:tc>
          <w:tcPr>
            <w:tcW w:w="0" w:type="auto"/>
            <w:tcBorders>
              <w:top w:val="nil"/>
              <w:left w:val="nil"/>
              <w:bottom w:val="nil"/>
              <w:right w:val="nil"/>
            </w:tcBorders>
            <w:shd w:val="clear" w:color="auto" w:fill="auto"/>
            <w:noWrap/>
            <w:vAlign w:val="bottom"/>
            <w:hideMark/>
          </w:tcPr>
          <w:p w14:paraId="0ACC39E4" w14:textId="77777777"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0.000</w:t>
            </w:r>
          </w:p>
        </w:tc>
        <w:tc>
          <w:tcPr>
            <w:tcW w:w="0" w:type="auto"/>
            <w:tcBorders>
              <w:top w:val="nil"/>
              <w:left w:val="nil"/>
              <w:bottom w:val="nil"/>
              <w:right w:val="nil"/>
            </w:tcBorders>
            <w:shd w:val="clear" w:color="auto" w:fill="auto"/>
            <w:noWrap/>
            <w:vAlign w:val="bottom"/>
            <w:hideMark/>
          </w:tcPr>
          <w:p w14:paraId="57D595B3" w14:textId="2F793E80"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(0.001)</w:t>
            </w:r>
          </w:p>
        </w:tc>
      </w:tr>
      <w:tr w:rsidR="001A76A8" w:rsidRPr="009B605C" w14:paraId="7DE5B215" w14:textId="77777777" w:rsidTr="00691892">
        <w:trPr>
          <w:trHeight w:val="320"/>
        </w:trPr>
        <w:tc>
          <w:tcPr>
            <w:tcW w:w="0" w:type="auto"/>
            <w:tcBorders>
              <w:top w:val="nil"/>
              <w:left w:val="nil"/>
              <w:bottom w:val="double" w:sz="4" w:space="0" w:color="auto"/>
              <w:right w:val="nil"/>
            </w:tcBorders>
            <w:shd w:val="clear" w:color="auto" w:fill="auto"/>
            <w:noWrap/>
            <w:vAlign w:val="bottom"/>
            <w:hideMark/>
          </w:tcPr>
          <w:p w14:paraId="3045079E" w14:textId="77777777" w:rsidR="001A76A8" w:rsidRPr="009B605C" w:rsidRDefault="001A76A8" w:rsidP="0087752F">
            <w:pPr>
              <w:rPr>
                <w:rFonts w:ascii="Cambria" w:hAnsi="Cambria"/>
                <w:color w:val="000000"/>
                <w:sz w:val="22"/>
                <w:szCs w:val="22"/>
              </w:rPr>
            </w:pPr>
            <w:r w:rsidRPr="009B605C">
              <w:rPr>
                <w:rFonts w:ascii="Cambria" w:hAnsi="Cambria"/>
                <w:color w:val="000000"/>
                <w:sz w:val="22"/>
                <w:szCs w:val="22"/>
              </w:rPr>
              <w:t>South Africa</w:t>
            </w:r>
          </w:p>
        </w:tc>
        <w:tc>
          <w:tcPr>
            <w:tcW w:w="0" w:type="auto"/>
            <w:tcBorders>
              <w:top w:val="nil"/>
              <w:left w:val="nil"/>
              <w:bottom w:val="double" w:sz="4" w:space="0" w:color="auto"/>
              <w:right w:val="nil"/>
            </w:tcBorders>
            <w:shd w:val="clear" w:color="auto" w:fill="auto"/>
            <w:noWrap/>
            <w:vAlign w:val="bottom"/>
            <w:hideMark/>
          </w:tcPr>
          <w:p w14:paraId="6342129C" w14:textId="702F3632"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0.305</w:t>
            </w:r>
            <w:r w:rsidR="00547084" w:rsidRPr="009B605C">
              <w:rPr>
                <w:rFonts w:ascii="Cambria" w:hAnsi="Cambria"/>
                <w:color w:val="000000"/>
                <w:sz w:val="22"/>
                <w:szCs w:val="22"/>
              </w:rPr>
              <w:t>***</w:t>
            </w:r>
          </w:p>
        </w:tc>
        <w:tc>
          <w:tcPr>
            <w:tcW w:w="0" w:type="auto"/>
            <w:tcBorders>
              <w:top w:val="nil"/>
              <w:left w:val="nil"/>
              <w:bottom w:val="double" w:sz="4" w:space="0" w:color="auto"/>
              <w:right w:val="nil"/>
            </w:tcBorders>
            <w:shd w:val="clear" w:color="auto" w:fill="auto"/>
            <w:noWrap/>
            <w:vAlign w:val="bottom"/>
            <w:hideMark/>
          </w:tcPr>
          <w:p w14:paraId="78D0DF2F" w14:textId="7FBC2EB5"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(0.076)</w:t>
            </w:r>
          </w:p>
        </w:tc>
        <w:tc>
          <w:tcPr>
            <w:tcW w:w="0" w:type="auto"/>
            <w:tcBorders>
              <w:top w:val="nil"/>
              <w:left w:val="nil"/>
              <w:bottom w:val="double" w:sz="4" w:space="0" w:color="auto"/>
              <w:right w:val="nil"/>
            </w:tcBorders>
            <w:shd w:val="clear" w:color="auto" w:fill="auto"/>
            <w:noWrap/>
            <w:vAlign w:val="bottom"/>
            <w:hideMark/>
          </w:tcPr>
          <w:p w14:paraId="000EF93A" w14:textId="32675F8E"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0.005</w:t>
            </w:r>
            <w:r w:rsidR="00547084" w:rsidRPr="009B605C">
              <w:rPr>
                <w:rFonts w:ascii="Cambria" w:hAnsi="Cambria"/>
                <w:color w:val="000000"/>
                <w:sz w:val="22"/>
                <w:szCs w:val="22"/>
              </w:rPr>
              <w:t>**</w:t>
            </w:r>
          </w:p>
        </w:tc>
        <w:tc>
          <w:tcPr>
            <w:tcW w:w="0" w:type="auto"/>
            <w:tcBorders>
              <w:top w:val="nil"/>
              <w:left w:val="nil"/>
              <w:bottom w:val="double" w:sz="4" w:space="0" w:color="auto"/>
              <w:right w:val="nil"/>
            </w:tcBorders>
            <w:shd w:val="clear" w:color="auto" w:fill="auto"/>
            <w:noWrap/>
            <w:vAlign w:val="bottom"/>
            <w:hideMark/>
          </w:tcPr>
          <w:p w14:paraId="597BCFF4" w14:textId="1A049B14" w:rsidR="001A76A8" w:rsidRPr="009B605C" w:rsidRDefault="001A76A8" w:rsidP="0087752F">
            <w:pPr>
              <w:jc w:val="right"/>
              <w:rPr>
                <w:rFonts w:ascii="Cambria" w:hAnsi="Cambria"/>
                <w:color w:val="000000"/>
                <w:sz w:val="22"/>
                <w:szCs w:val="22"/>
              </w:rPr>
            </w:pPr>
            <w:r w:rsidRPr="009B605C">
              <w:rPr>
                <w:rFonts w:ascii="Cambria" w:hAnsi="Cambria"/>
                <w:color w:val="000000"/>
                <w:sz w:val="22"/>
                <w:szCs w:val="22"/>
              </w:rPr>
              <w:t>(0.003)</w:t>
            </w:r>
          </w:p>
        </w:tc>
      </w:tr>
    </w:tbl>
    <w:p w14:paraId="21C4C6F7" w14:textId="1F465056" w:rsidR="00D36B07" w:rsidRPr="009B605C" w:rsidRDefault="00547084" w:rsidP="008E212E">
      <w:pPr>
        <w:ind w:right="804"/>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w:t>
      </w:r>
      <w:r w:rsidR="00D36B07" w:rsidRPr="009B605C">
        <w:rPr>
          <w:rFonts w:ascii="Cambria" w:hAnsi="Cambria"/>
          <w:sz w:val="20"/>
          <w:szCs w:val="20"/>
        </w:rPr>
        <w:t xml:space="preserve">This table presents the </w:t>
      </w:r>
      <m:oMath>
        <m:sSub>
          <m:sSubPr>
            <m:ctrlPr>
              <w:rPr>
                <w:rFonts w:ascii="Cambria Math" w:hAnsi="Cambria Math"/>
                <w:i/>
                <w:sz w:val="20"/>
                <w:szCs w:val="20"/>
                <w:vertAlign w:val="subscript"/>
              </w:rPr>
            </m:ctrlPr>
          </m:sSubPr>
          <m:e>
            <m:r>
              <w:rPr>
                <w:rFonts w:ascii="Cambria Math" w:hAnsi="Cambria Math"/>
                <w:sz w:val="20"/>
                <w:szCs w:val="20"/>
              </w:rPr>
              <m:t>β</m:t>
            </m:r>
            <m:ctrlPr>
              <w:rPr>
                <w:rFonts w:ascii="Cambria Math" w:hAnsi="Cambria Math"/>
                <w:i/>
                <w:iCs/>
                <w:sz w:val="20"/>
                <w:szCs w:val="20"/>
              </w:rPr>
            </m:ctrlPr>
          </m:e>
          <m:sub>
            <m:r>
              <w:rPr>
                <w:rFonts w:ascii="Cambria Math" w:hAnsi="Cambria Math"/>
                <w:sz w:val="20"/>
                <w:szCs w:val="20"/>
              </w:rPr>
              <m:t>2</m:t>
            </m:r>
          </m:sub>
        </m:sSub>
      </m:oMath>
      <w:r w:rsidR="00D36B07" w:rsidRPr="009B605C">
        <w:rPr>
          <w:rFonts w:ascii="Cambria" w:hAnsi="Cambria"/>
          <w:sz w:val="20"/>
          <w:szCs w:val="20"/>
        </w:rPr>
        <w:t xml:space="preserve"> coefficients from Equation (16) and their relative statistics, to determine the safe haven properties of gold and cryptocurrencies for BRICS stocks. The table contains two panels, A and B, referring to pre- and post-conflict announcement periods, respectively. The standard error (s.e.) and significance of the coefficients are provided. *, **, *** denote statistical significance at the 10%, 5% and 1% level, respectively.</w:t>
      </w:r>
    </w:p>
    <w:p w14:paraId="22628546" w14:textId="1511C7D3" w:rsidR="00D36B07" w:rsidRPr="009B605C" w:rsidRDefault="00D36B07" w:rsidP="0087752F">
      <w:pPr>
        <w:ind w:right="804"/>
        <w:rPr>
          <w:rFonts w:ascii="Cambria" w:hAnsi="Cambria"/>
          <w:sz w:val="20"/>
          <w:szCs w:val="20"/>
        </w:rPr>
      </w:pPr>
    </w:p>
    <w:p w14:paraId="5A8C6FD9" w14:textId="77777777" w:rsidR="00D36B07" w:rsidRPr="009B605C" w:rsidRDefault="00D36B07" w:rsidP="0087752F">
      <w:pPr>
        <w:ind w:right="804"/>
        <w:rPr>
          <w:rFonts w:ascii="Cambria" w:hAnsi="Cambria"/>
          <w:sz w:val="20"/>
          <w:szCs w:val="20"/>
        </w:rPr>
      </w:pPr>
    </w:p>
    <w:p w14:paraId="502789FF" w14:textId="77777777" w:rsidR="00D36B07" w:rsidRPr="009B605C" w:rsidRDefault="00D36B07" w:rsidP="0087752F">
      <w:pPr>
        <w:ind w:right="804"/>
        <w:rPr>
          <w:rFonts w:ascii="Cambria" w:hAnsi="Cambria"/>
          <w:sz w:val="20"/>
          <w:szCs w:val="20"/>
        </w:rPr>
      </w:pPr>
    </w:p>
    <w:p w14:paraId="04116E1C" w14:textId="77777777" w:rsidR="00B42A22" w:rsidRPr="009B605C" w:rsidRDefault="00B42A22" w:rsidP="0087752F">
      <w:pPr>
        <w:rPr>
          <w:rFonts w:ascii="Cambria" w:hAnsi="Cambria"/>
        </w:rPr>
      </w:pPr>
    </w:p>
    <w:p w14:paraId="145FFEA7" w14:textId="77777777" w:rsidR="00B42A22" w:rsidRPr="009B605C" w:rsidRDefault="00B42A22" w:rsidP="0087752F">
      <w:pPr>
        <w:rPr>
          <w:rFonts w:ascii="Cambria" w:hAnsi="Cambria"/>
        </w:rPr>
      </w:pPr>
    </w:p>
    <w:p w14:paraId="7197D97D" w14:textId="77777777" w:rsidR="00B42A22" w:rsidRPr="009B605C" w:rsidRDefault="00B42A22" w:rsidP="0087752F">
      <w:pPr>
        <w:rPr>
          <w:rFonts w:ascii="Cambria" w:hAnsi="Cambria"/>
        </w:rPr>
      </w:pPr>
    </w:p>
    <w:p w14:paraId="5DBEEA13" w14:textId="77777777" w:rsidR="00B42A22" w:rsidRPr="009B605C" w:rsidRDefault="00B42A22" w:rsidP="0087752F">
      <w:pPr>
        <w:rPr>
          <w:rFonts w:ascii="Cambria" w:hAnsi="Cambria"/>
        </w:rPr>
      </w:pPr>
    </w:p>
    <w:p w14:paraId="6957FE87" w14:textId="77777777" w:rsidR="00B42A22" w:rsidRPr="009B605C" w:rsidRDefault="00B42A22" w:rsidP="0087752F">
      <w:pPr>
        <w:rPr>
          <w:rFonts w:ascii="Cambria" w:hAnsi="Cambria"/>
        </w:rPr>
      </w:pPr>
    </w:p>
    <w:p w14:paraId="11006B0C" w14:textId="77777777" w:rsidR="00B42A22" w:rsidRPr="009B605C" w:rsidRDefault="00B42A22" w:rsidP="0087752F">
      <w:pPr>
        <w:rPr>
          <w:rFonts w:ascii="Cambria" w:hAnsi="Cambria"/>
        </w:rPr>
      </w:pPr>
    </w:p>
    <w:p w14:paraId="13D1C717" w14:textId="77777777" w:rsidR="00B42A22" w:rsidRPr="009B605C" w:rsidRDefault="00B42A22" w:rsidP="0087752F">
      <w:pPr>
        <w:rPr>
          <w:rFonts w:ascii="Cambria" w:hAnsi="Cambria"/>
        </w:rPr>
      </w:pPr>
    </w:p>
    <w:p w14:paraId="3E78E96E" w14:textId="77777777" w:rsidR="00B42A22" w:rsidRPr="009B605C" w:rsidRDefault="00B42A22" w:rsidP="0087752F">
      <w:pPr>
        <w:rPr>
          <w:rFonts w:ascii="Cambria" w:hAnsi="Cambria"/>
        </w:rPr>
      </w:pPr>
    </w:p>
    <w:p w14:paraId="774E5D2D" w14:textId="77777777" w:rsidR="00B42A22" w:rsidRPr="009B605C" w:rsidRDefault="00B42A22" w:rsidP="0087752F">
      <w:pPr>
        <w:rPr>
          <w:rFonts w:ascii="Cambria" w:hAnsi="Cambria"/>
        </w:rPr>
      </w:pPr>
    </w:p>
    <w:p w14:paraId="48D1C80E" w14:textId="77777777" w:rsidR="00B42A22" w:rsidRPr="009B605C" w:rsidRDefault="00B42A22" w:rsidP="0087752F">
      <w:pPr>
        <w:rPr>
          <w:rFonts w:ascii="Cambria" w:hAnsi="Cambria"/>
        </w:rPr>
      </w:pPr>
    </w:p>
    <w:p w14:paraId="7010036D" w14:textId="77777777" w:rsidR="00B42A22" w:rsidRPr="009B605C" w:rsidRDefault="00B42A22" w:rsidP="0087752F">
      <w:pPr>
        <w:rPr>
          <w:rFonts w:ascii="Cambria" w:hAnsi="Cambria"/>
        </w:rPr>
      </w:pPr>
    </w:p>
    <w:p w14:paraId="5A18735B" w14:textId="77777777" w:rsidR="00B42A22" w:rsidRPr="009B605C" w:rsidRDefault="00B42A22" w:rsidP="0087752F">
      <w:pPr>
        <w:rPr>
          <w:rFonts w:ascii="Cambria" w:hAnsi="Cambria"/>
        </w:rPr>
      </w:pPr>
    </w:p>
    <w:p w14:paraId="7A77B2E7" w14:textId="77777777" w:rsidR="00B42A22" w:rsidRPr="009B605C" w:rsidRDefault="00B42A22" w:rsidP="0087752F">
      <w:pPr>
        <w:rPr>
          <w:rFonts w:ascii="Cambria" w:hAnsi="Cambria"/>
        </w:rPr>
      </w:pPr>
    </w:p>
    <w:p w14:paraId="60C963EC" w14:textId="77777777" w:rsidR="00B42A22" w:rsidRPr="009B605C" w:rsidRDefault="00B42A22" w:rsidP="0087752F">
      <w:pPr>
        <w:rPr>
          <w:rFonts w:ascii="Cambria" w:hAnsi="Cambria"/>
        </w:rPr>
      </w:pPr>
    </w:p>
    <w:p w14:paraId="2E795E64" w14:textId="77777777" w:rsidR="00B42A22" w:rsidRPr="009B605C" w:rsidRDefault="00B42A22" w:rsidP="0087752F">
      <w:pPr>
        <w:rPr>
          <w:rFonts w:ascii="Cambria" w:hAnsi="Cambria"/>
        </w:rPr>
      </w:pPr>
    </w:p>
    <w:p w14:paraId="506566A1" w14:textId="77777777" w:rsidR="00B42A22" w:rsidRPr="009B605C" w:rsidRDefault="00B42A22" w:rsidP="0087752F">
      <w:pPr>
        <w:rPr>
          <w:rFonts w:ascii="Cambria" w:hAnsi="Cambria"/>
        </w:rPr>
      </w:pPr>
    </w:p>
    <w:p w14:paraId="095BC97E" w14:textId="77777777" w:rsidR="00B42A22" w:rsidRPr="009B605C" w:rsidRDefault="00B42A22" w:rsidP="0087752F">
      <w:pPr>
        <w:rPr>
          <w:rFonts w:ascii="Cambria" w:hAnsi="Cambria"/>
        </w:rPr>
      </w:pPr>
    </w:p>
    <w:p w14:paraId="3AB5C8D1" w14:textId="77777777" w:rsidR="00B42A22" w:rsidRPr="009B605C" w:rsidRDefault="00B42A22" w:rsidP="0087752F">
      <w:pPr>
        <w:rPr>
          <w:rFonts w:ascii="Cambria" w:hAnsi="Cambria"/>
        </w:rPr>
      </w:pPr>
    </w:p>
    <w:p w14:paraId="0DAF1B3E" w14:textId="77777777" w:rsidR="00B42A22" w:rsidRPr="009B605C" w:rsidRDefault="00B42A22" w:rsidP="0087752F">
      <w:pPr>
        <w:rPr>
          <w:rFonts w:ascii="Cambria" w:hAnsi="Cambria"/>
        </w:rPr>
      </w:pPr>
    </w:p>
    <w:p w14:paraId="5EE75928" w14:textId="77777777" w:rsidR="00B42A22" w:rsidRPr="009B605C" w:rsidRDefault="00B42A22" w:rsidP="0087752F">
      <w:pPr>
        <w:rPr>
          <w:rFonts w:ascii="Cambria" w:hAnsi="Cambria"/>
        </w:rPr>
      </w:pPr>
    </w:p>
    <w:p w14:paraId="747A25E3" w14:textId="77777777" w:rsidR="00B42A22" w:rsidRPr="009B605C" w:rsidRDefault="00B42A22" w:rsidP="0087752F">
      <w:pPr>
        <w:rPr>
          <w:rFonts w:ascii="Cambria" w:hAnsi="Cambria"/>
        </w:rPr>
      </w:pPr>
    </w:p>
    <w:p w14:paraId="34C05DD7" w14:textId="77777777" w:rsidR="008E212E" w:rsidRPr="009B605C" w:rsidRDefault="008E212E" w:rsidP="0087752F">
      <w:pPr>
        <w:rPr>
          <w:rFonts w:ascii="Cambria" w:hAnsi="Cambria"/>
        </w:rPr>
      </w:pPr>
    </w:p>
    <w:p w14:paraId="318C788F" w14:textId="77777777" w:rsidR="00B42A22" w:rsidRPr="009B605C" w:rsidRDefault="00B42A22" w:rsidP="0087752F">
      <w:pPr>
        <w:rPr>
          <w:rFonts w:ascii="Cambria" w:hAnsi="Cambria"/>
        </w:rPr>
      </w:pPr>
    </w:p>
    <w:p w14:paraId="3072C0E9" w14:textId="77777777" w:rsidR="00B42A22" w:rsidRPr="009B605C" w:rsidRDefault="00B42A22" w:rsidP="0087752F">
      <w:pPr>
        <w:rPr>
          <w:rFonts w:ascii="Cambria" w:hAnsi="Cambria"/>
        </w:rPr>
      </w:pPr>
    </w:p>
    <w:p w14:paraId="1298AFAC" w14:textId="77777777" w:rsidR="00B42A22" w:rsidRPr="009B605C" w:rsidRDefault="00B42A22" w:rsidP="0087752F">
      <w:pPr>
        <w:rPr>
          <w:rFonts w:ascii="Cambria" w:hAnsi="Cambria"/>
        </w:rPr>
      </w:pPr>
    </w:p>
    <w:p w14:paraId="1D88494F" w14:textId="4D975AC7" w:rsidR="00B42A22" w:rsidRPr="009B605C" w:rsidRDefault="00B42A22" w:rsidP="0087752F">
      <w:pPr>
        <w:rPr>
          <w:rFonts w:ascii="Cambria" w:hAnsi="Cambria"/>
        </w:rPr>
      </w:pPr>
      <w:r w:rsidRPr="009B605C">
        <w:rPr>
          <w:rFonts w:ascii="Cambria" w:hAnsi="Cambria"/>
          <w:b/>
          <w:bCs/>
        </w:rPr>
        <w:lastRenderedPageBreak/>
        <w:t>Table 4.</w:t>
      </w:r>
      <w:r w:rsidRPr="009B605C">
        <w:rPr>
          <w:rFonts w:ascii="Cambria" w:hAnsi="Cambria"/>
        </w:rPr>
        <w:t xml:space="preserve"> </w:t>
      </w:r>
      <w:r w:rsidRPr="009B605C">
        <w:rPr>
          <w:rFonts w:ascii="Cambria" w:hAnsi="Cambria"/>
          <w:color w:val="000000"/>
        </w:rPr>
        <w:t>Time-varying sample estimates and relevant statistics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992"/>
        <w:gridCol w:w="1602"/>
        <w:gridCol w:w="1382"/>
        <w:gridCol w:w="1269"/>
        <w:gridCol w:w="1559"/>
      </w:tblGrid>
      <w:tr w:rsidR="00B42A22" w:rsidRPr="009B605C" w14:paraId="4F8AE34F" w14:textId="77777777" w:rsidTr="00BE1F23">
        <w:trPr>
          <w:trHeight w:val="340"/>
        </w:trPr>
        <w:tc>
          <w:tcPr>
            <w:tcW w:w="2410" w:type="dxa"/>
            <w:tcBorders>
              <w:top w:val="double" w:sz="4" w:space="0" w:color="auto"/>
              <w:bottom w:val="single" w:sz="4" w:space="0" w:color="auto"/>
            </w:tcBorders>
            <w:noWrap/>
            <w:hideMark/>
          </w:tcPr>
          <w:p w14:paraId="157B7A45" w14:textId="77777777" w:rsidR="001A76A8" w:rsidRPr="009B605C" w:rsidRDefault="001A76A8" w:rsidP="0087752F">
            <w:pPr>
              <w:rPr>
                <w:rFonts w:ascii="Cambria" w:hAnsi="Cambria"/>
                <w:sz w:val="20"/>
                <w:szCs w:val="20"/>
              </w:rPr>
            </w:pPr>
          </w:p>
        </w:tc>
        <w:tc>
          <w:tcPr>
            <w:tcW w:w="992" w:type="dxa"/>
            <w:tcBorders>
              <w:top w:val="double" w:sz="4" w:space="0" w:color="auto"/>
              <w:bottom w:val="single" w:sz="4" w:space="0" w:color="auto"/>
            </w:tcBorders>
            <w:noWrap/>
            <w:vAlign w:val="center"/>
            <w:hideMark/>
          </w:tcPr>
          <w:p w14:paraId="3D0E6A68" w14:textId="77777777" w:rsidR="001A76A8" w:rsidRPr="009B605C" w:rsidRDefault="001A76A8" w:rsidP="0087752F">
            <w:pPr>
              <w:jc w:val="right"/>
              <w:rPr>
                <w:rFonts w:ascii="Cambria" w:hAnsi="Cambria"/>
                <w:b/>
                <w:bCs/>
                <w:color w:val="000000"/>
                <w:sz w:val="20"/>
                <w:szCs w:val="20"/>
              </w:rPr>
            </w:pPr>
            <w:r w:rsidRPr="009B605C">
              <w:rPr>
                <w:rFonts w:ascii="Cambria" w:hAnsi="Cambria"/>
                <w:b/>
                <w:bCs/>
                <w:color w:val="000000"/>
                <w:sz w:val="20"/>
                <w:szCs w:val="20"/>
              </w:rPr>
              <w:t>Brazil</w:t>
            </w:r>
          </w:p>
        </w:tc>
        <w:tc>
          <w:tcPr>
            <w:tcW w:w="1602" w:type="dxa"/>
            <w:tcBorders>
              <w:top w:val="double" w:sz="4" w:space="0" w:color="auto"/>
              <w:bottom w:val="single" w:sz="4" w:space="0" w:color="auto"/>
            </w:tcBorders>
            <w:noWrap/>
            <w:vAlign w:val="center"/>
            <w:hideMark/>
          </w:tcPr>
          <w:p w14:paraId="6D14DA3D" w14:textId="77777777" w:rsidR="001A76A8" w:rsidRPr="009B605C" w:rsidRDefault="001A76A8" w:rsidP="0087752F">
            <w:pPr>
              <w:jc w:val="right"/>
              <w:rPr>
                <w:rFonts w:ascii="Cambria" w:hAnsi="Cambria"/>
                <w:b/>
                <w:bCs/>
                <w:color w:val="000000"/>
                <w:sz w:val="20"/>
                <w:szCs w:val="20"/>
              </w:rPr>
            </w:pPr>
            <w:r w:rsidRPr="009B605C">
              <w:rPr>
                <w:rFonts w:ascii="Cambria" w:hAnsi="Cambria"/>
                <w:b/>
                <w:bCs/>
                <w:color w:val="000000"/>
                <w:sz w:val="20"/>
                <w:szCs w:val="20"/>
              </w:rPr>
              <w:t>Russia</w:t>
            </w:r>
          </w:p>
        </w:tc>
        <w:tc>
          <w:tcPr>
            <w:tcW w:w="1382" w:type="dxa"/>
            <w:tcBorders>
              <w:top w:val="double" w:sz="4" w:space="0" w:color="auto"/>
              <w:bottom w:val="single" w:sz="4" w:space="0" w:color="auto"/>
            </w:tcBorders>
            <w:noWrap/>
            <w:vAlign w:val="center"/>
            <w:hideMark/>
          </w:tcPr>
          <w:p w14:paraId="54055AC8" w14:textId="77777777" w:rsidR="001A76A8" w:rsidRPr="009B605C" w:rsidRDefault="001A76A8" w:rsidP="0087752F">
            <w:pPr>
              <w:jc w:val="right"/>
              <w:rPr>
                <w:rFonts w:ascii="Cambria" w:hAnsi="Cambria"/>
                <w:b/>
                <w:bCs/>
                <w:color w:val="000000"/>
                <w:sz w:val="20"/>
                <w:szCs w:val="20"/>
              </w:rPr>
            </w:pPr>
            <w:r w:rsidRPr="009B605C">
              <w:rPr>
                <w:rFonts w:ascii="Cambria" w:hAnsi="Cambria"/>
                <w:b/>
                <w:bCs/>
                <w:color w:val="000000"/>
                <w:sz w:val="20"/>
                <w:szCs w:val="20"/>
              </w:rPr>
              <w:t>India</w:t>
            </w:r>
          </w:p>
        </w:tc>
        <w:tc>
          <w:tcPr>
            <w:tcW w:w="1269" w:type="dxa"/>
            <w:tcBorders>
              <w:top w:val="double" w:sz="4" w:space="0" w:color="auto"/>
              <w:bottom w:val="single" w:sz="4" w:space="0" w:color="auto"/>
            </w:tcBorders>
            <w:noWrap/>
            <w:vAlign w:val="center"/>
            <w:hideMark/>
          </w:tcPr>
          <w:p w14:paraId="6C7897F9" w14:textId="77777777" w:rsidR="001A76A8" w:rsidRPr="009B605C" w:rsidRDefault="001A76A8" w:rsidP="0087752F">
            <w:pPr>
              <w:jc w:val="right"/>
              <w:rPr>
                <w:rFonts w:ascii="Cambria" w:hAnsi="Cambria"/>
                <w:b/>
                <w:bCs/>
                <w:color w:val="000000"/>
                <w:sz w:val="20"/>
                <w:szCs w:val="20"/>
              </w:rPr>
            </w:pPr>
            <w:r w:rsidRPr="009B605C">
              <w:rPr>
                <w:rFonts w:ascii="Cambria" w:hAnsi="Cambria"/>
                <w:b/>
                <w:bCs/>
                <w:color w:val="000000"/>
                <w:sz w:val="20"/>
                <w:szCs w:val="20"/>
              </w:rPr>
              <w:t>China</w:t>
            </w:r>
          </w:p>
        </w:tc>
        <w:tc>
          <w:tcPr>
            <w:tcW w:w="1559" w:type="dxa"/>
            <w:tcBorders>
              <w:top w:val="double" w:sz="4" w:space="0" w:color="auto"/>
              <w:bottom w:val="single" w:sz="4" w:space="0" w:color="auto"/>
            </w:tcBorders>
            <w:noWrap/>
            <w:vAlign w:val="center"/>
            <w:hideMark/>
          </w:tcPr>
          <w:p w14:paraId="696B2C2F" w14:textId="77777777" w:rsidR="001A76A8" w:rsidRPr="009B605C" w:rsidRDefault="001A76A8" w:rsidP="0087752F">
            <w:pPr>
              <w:jc w:val="right"/>
              <w:rPr>
                <w:rFonts w:ascii="Cambria" w:hAnsi="Cambria"/>
                <w:b/>
                <w:bCs/>
                <w:color w:val="000000"/>
                <w:sz w:val="20"/>
                <w:szCs w:val="20"/>
              </w:rPr>
            </w:pPr>
            <w:r w:rsidRPr="009B605C">
              <w:rPr>
                <w:rFonts w:ascii="Cambria" w:hAnsi="Cambria"/>
                <w:b/>
                <w:bCs/>
                <w:color w:val="000000"/>
                <w:sz w:val="20"/>
                <w:szCs w:val="20"/>
              </w:rPr>
              <w:t>South Africa</w:t>
            </w:r>
          </w:p>
        </w:tc>
      </w:tr>
      <w:tr w:rsidR="00B42A22" w:rsidRPr="009B605C" w14:paraId="236FF324" w14:textId="77777777" w:rsidTr="00BE1F23">
        <w:trPr>
          <w:trHeight w:val="340"/>
        </w:trPr>
        <w:tc>
          <w:tcPr>
            <w:tcW w:w="5004" w:type="dxa"/>
            <w:gridSpan w:val="3"/>
            <w:tcBorders>
              <w:top w:val="single" w:sz="4" w:space="0" w:color="auto"/>
            </w:tcBorders>
            <w:noWrap/>
          </w:tcPr>
          <w:p w14:paraId="43212ECE" w14:textId="1E2065BA" w:rsidR="00B42A22" w:rsidRPr="009B605C" w:rsidRDefault="00B42A22" w:rsidP="0087752F">
            <w:pPr>
              <w:rPr>
                <w:rFonts w:ascii="Cambria" w:hAnsi="Cambria"/>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Pre-conflict announcement</w:t>
            </w:r>
          </w:p>
        </w:tc>
        <w:tc>
          <w:tcPr>
            <w:tcW w:w="1382" w:type="dxa"/>
            <w:tcBorders>
              <w:top w:val="single" w:sz="4" w:space="0" w:color="auto"/>
            </w:tcBorders>
            <w:noWrap/>
          </w:tcPr>
          <w:p w14:paraId="6B0D70EC" w14:textId="77777777" w:rsidR="00B42A22" w:rsidRPr="009B605C" w:rsidRDefault="00B42A22" w:rsidP="0087752F">
            <w:pPr>
              <w:rPr>
                <w:rFonts w:ascii="Cambria" w:hAnsi="Cambria"/>
                <w:sz w:val="20"/>
                <w:szCs w:val="20"/>
              </w:rPr>
            </w:pPr>
          </w:p>
        </w:tc>
        <w:tc>
          <w:tcPr>
            <w:tcW w:w="1269" w:type="dxa"/>
            <w:tcBorders>
              <w:top w:val="single" w:sz="4" w:space="0" w:color="auto"/>
            </w:tcBorders>
            <w:noWrap/>
          </w:tcPr>
          <w:p w14:paraId="7DB1F0A3" w14:textId="77777777" w:rsidR="00B42A22" w:rsidRPr="009B605C" w:rsidRDefault="00B42A22" w:rsidP="0087752F">
            <w:pPr>
              <w:rPr>
                <w:rFonts w:ascii="Cambria" w:hAnsi="Cambria"/>
                <w:sz w:val="20"/>
                <w:szCs w:val="20"/>
              </w:rPr>
            </w:pPr>
          </w:p>
        </w:tc>
        <w:tc>
          <w:tcPr>
            <w:tcW w:w="1559" w:type="dxa"/>
            <w:tcBorders>
              <w:top w:val="single" w:sz="4" w:space="0" w:color="auto"/>
            </w:tcBorders>
            <w:noWrap/>
          </w:tcPr>
          <w:p w14:paraId="2E69946D" w14:textId="77777777" w:rsidR="00B42A22" w:rsidRPr="009B605C" w:rsidRDefault="00B42A22" w:rsidP="0087752F">
            <w:pPr>
              <w:rPr>
                <w:rFonts w:ascii="Cambria" w:hAnsi="Cambria"/>
                <w:sz w:val="20"/>
                <w:szCs w:val="20"/>
              </w:rPr>
            </w:pPr>
          </w:p>
        </w:tc>
      </w:tr>
      <w:tr w:rsidR="00B42A22" w:rsidRPr="009B605C" w14:paraId="0CB27425" w14:textId="77777777" w:rsidTr="00BE1F23">
        <w:trPr>
          <w:trHeight w:val="340"/>
        </w:trPr>
        <w:tc>
          <w:tcPr>
            <w:tcW w:w="2410" w:type="dxa"/>
            <w:noWrap/>
            <w:hideMark/>
          </w:tcPr>
          <w:p w14:paraId="1E3F3E8B" w14:textId="77777777" w:rsidR="001A76A8" w:rsidRPr="009B605C" w:rsidRDefault="001A76A8" w:rsidP="0087752F">
            <w:pPr>
              <w:rPr>
                <w:rFonts w:ascii="Cambria" w:hAnsi="Cambria"/>
                <w:b/>
                <w:bCs/>
                <w:color w:val="000000"/>
                <w:sz w:val="20"/>
                <w:szCs w:val="20"/>
              </w:rPr>
            </w:pPr>
            <w:r w:rsidRPr="009B605C">
              <w:rPr>
                <w:rFonts w:ascii="Cambria" w:hAnsi="Cambria"/>
                <w:b/>
                <w:bCs/>
                <w:color w:val="000000"/>
                <w:sz w:val="20"/>
                <w:szCs w:val="20"/>
              </w:rPr>
              <w:t>Gold</w:t>
            </w:r>
          </w:p>
        </w:tc>
        <w:tc>
          <w:tcPr>
            <w:tcW w:w="992" w:type="dxa"/>
            <w:noWrap/>
            <w:hideMark/>
          </w:tcPr>
          <w:p w14:paraId="7B4F2319" w14:textId="77777777" w:rsidR="001A76A8" w:rsidRPr="009B605C" w:rsidRDefault="001A76A8" w:rsidP="0087752F">
            <w:pPr>
              <w:rPr>
                <w:rFonts w:ascii="Cambria" w:hAnsi="Cambria"/>
                <w:b/>
                <w:bCs/>
                <w:color w:val="000000"/>
                <w:sz w:val="20"/>
                <w:szCs w:val="20"/>
              </w:rPr>
            </w:pPr>
          </w:p>
        </w:tc>
        <w:tc>
          <w:tcPr>
            <w:tcW w:w="1602" w:type="dxa"/>
            <w:noWrap/>
            <w:hideMark/>
          </w:tcPr>
          <w:p w14:paraId="260276A9" w14:textId="77777777" w:rsidR="001A76A8" w:rsidRPr="009B605C" w:rsidRDefault="001A76A8" w:rsidP="0087752F">
            <w:pPr>
              <w:rPr>
                <w:rFonts w:ascii="Cambria" w:hAnsi="Cambria"/>
                <w:sz w:val="20"/>
                <w:szCs w:val="20"/>
              </w:rPr>
            </w:pPr>
          </w:p>
        </w:tc>
        <w:tc>
          <w:tcPr>
            <w:tcW w:w="1382" w:type="dxa"/>
            <w:noWrap/>
            <w:hideMark/>
          </w:tcPr>
          <w:p w14:paraId="478EFF8B" w14:textId="77777777" w:rsidR="001A76A8" w:rsidRPr="009B605C" w:rsidRDefault="001A76A8" w:rsidP="0087752F">
            <w:pPr>
              <w:rPr>
                <w:rFonts w:ascii="Cambria" w:hAnsi="Cambria"/>
                <w:sz w:val="20"/>
                <w:szCs w:val="20"/>
              </w:rPr>
            </w:pPr>
          </w:p>
        </w:tc>
        <w:tc>
          <w:tcPr>
            <w:tcW w:w="1269" w:type="dxa"/>
            <w:noWrap/>
            <w:hideMark/>
          </w:tcPr>
          <w:p w14:paraId="53EE62A5" w14:textId="77777777" w:rsidR="001A76A8" w:rsidRPr="009B605C" w:rsidRDefault="001A76A8" w:rsidP="0087752F">
            <w:pPr>
              <w:rPr>
                <w:rFonts w:ascii="Cambria" w:hAnsi="Cambria"/>
                <w:sz w:val="20"/>
                <w:szCs w:val="20"/>
              </w:rPr>
            </w:pPr>
          </w:p>
        </w:tc>
        <w:tc>
          <w:tcPr>
            <w:tcW w:w="1559" w:type="dxa"/>
            <w:noWrap/>
            <w:hideMark/>
          </w:tcPr>
          <w:p w14:paraId="7B4B2409" w14:textId="77777777" w:rsidR="001A76A8" w:rsidRPr="009B605C" w:rsidRDefault="001A76A8" w:rsidP="0087752F">
            <w:pPr>
              <w:rPr>
                <w:rFonts w:ascii="Cambria" w:hAnsi="Cambria"/>
                <w:sz w:val="20"/>
                <w:szCs w:val="20"/>
              </w:rPr>
            </w:pPr>
          </w:p>
        </w:tc>
      </w:tr>
      <w:tr w:rsidR="00B42A22" w:rsidRPr="009B605C" w14:paraId="2A4E9DA4" w14:textId="77777777" w:rsidTr="005331C1">
        <w:trPr>
          <w:trHeight w:val="340"/>
        </w:trPr>
        <w:tc>
          <w:tcPr>
            <w:tcW w:w="2410" w:type="dxa"/>
            <w:noWrap/>
            <w:hideMark/>
          </w:tcPr>
          <w:p w14:paraId="351E611F"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5%</w:t>
            </w:r>
          </w:p>
        </w:tc>
        <w:tc>
          <w:tcPr>
            <w:tcW w:w="992" w:type="dxa"/>
            <w:noWrap/>
            <w:hideMark/>
          </w:tcPr>
          <w:p w14:paraId="6980A625"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0.072</w:t>
            </w:r>
          </w:p>
        </w:tc>
        <w:tc>
          <w:tcPr>
            <w:tcW w:w="1602" w:type="dxa"/>
            <w:noWrap/>
            <w:hideMark/>
          </w:tcPr>
          <w:p w14:paraId="0772C903"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0.132</w:t>
            </w:r>
          </w:p>
        </w:tc>
        <w:tc>
          <w:tcPr>
            <w:tcW w:w="1382" w:type="dxa"/>
            <w:noWrap/>
            <w:hideMark/>
          </w:tcPr>
          <w:p w14:paraId="59963D53"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0.141</w:t>
            </w:r>
          </w:p>
        </w:tc>
        <w:tc>
          <w:tcPr>
            <w:tcW w:w="1269" w:type="dxa"/>
            <w:noWrap/>
            <w:hideMark/>
          </w:tcPr>
          <w:p w14:paraId="73BB6CB2"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0.076</w:t>
            </w:r>
          </w:p>
        </w:tc>
        <w:tc>
          <w:tcPr>
            <w:tcW w:w="1559" w:type="dxa"/>
            <w:noWrap/>
            <w:hideMark/>
          </w:tcPr>
          <w:p w14:paraId="7845D6CE"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0.105</w:t>
            </w:r>
          </w:p>
        </w:tc>
      </w:tr>
      <w:tr w:rsidR="00B42A22" w:rsidRPr="009B605C" w14:paraId="076B4CC5" w14:textId="77777777" w:rsidTr="005331C1">
        <w:trPr>
          <w:trHeight w:val="340"/>
        </w:trPr>
        <w:tc>
          <w:tcPr>
            <w:tcW w:w="2410" w:type="dxa"/>
            <w:noWrap/>
            <w:hideMark/>
          </w:tcPr>
          <w:p w14:paraId="25025959"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10%</w:t>
            </w:r>
          </w:p>
        </w:tc>
        <w:tc>
          <w:tcPr>
            <w:tcW w:w="992" w:type="dxa"/>
            <w:noWrap/>
            <w:hideMark/>
          </w:tcPr>
          <w:p w14:paraId="662A6AB8"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0.098</w:t>
            </w:r>
          </w:p>
        </w:tc>
        <w:tc>
          <w:tcPr>
            <w:tcW w:w="1602" w:type="dxa"/>
            <w:noWrap/>
            <w:hideMark/>
          </w:tcPr>
          <w:p w14:paraId="044D085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0.162</w:t>
            </w:r>
          </w:p>
        </w:tc>
        <w:tc>
          <w:tcPr>
            <w:tcW w:w="1382" w:type="dxa"/>
            <w:noWrap/>
            <w:hideMark/>
          </w:tcPr>
          <w:p w14:paraId="1A449505"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0.186</w:t>
            </w:r>
          </w:p>
        </w:tc>
        <w:tc>
          <w:tcPr>
            <w:tcW w:w="1269" w:type="dxa"/>
            <w:noWrap/>
            <w:hideMark/>
          </w:tcPr>
          <w:p w14:paraId="54159DE2"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0.102</w:t>
            </w:r>
          </w:p>
        </w:tc>
        <w:tc>
          <w:tcPr>
            <w:tcW w:w="1559" w:type="dxa"/>
            <w:noWrap/>
            <w:hideMark/>
          </w:tcPr>
          <w:p w14:paraId="5C56C25D"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0.142</w:t>
            </w:r>
          </w:p>
        </w:tc>
      </w:tr>
      <w:tr w:rsidR="00B42A22" w:rsidRPr="009B605C" w14:paraId="4BAC228E" w14:textId="77777777" w:rsidTr="00BE1F23">
        <w:trPr>
          <w:trHeight w:val="340"/>
        </w:trPr>
        <w:tc>
          <w:tcPr>
            <w:tcW w:w="2410" w:type="dxa"/>
            <w:noWrap/>
            <w:hideMark/>
          </w:tcPr>
          <w:p w14:paraId="3A6CD305" w14:textId="77777777" w:rsidR="001A76A8" w:rsidRPr="009B605C" w:rsidRDefault="001A76A8" w:rsidP="0087752F">
            <w:pPr>
              <w:rPr>
                <w:rFonts w:ascii="Cambria" w:hAnsi="Cambria"/>
                <w:b/>
                <w:bCs/>
                <w:color w:val="000000"/>
                <w:sz w:val="20"/>
                <w:szCs w:val="20"/>
              </w:rPr>
            </w:pPr>
            <w:r w:rsidRPr="009B605C">
              <w:rPr>
                <w:rFonts w:ascii="Cambria" w:hAnsi="Cambria"/>
                <w:b/>
                <w:bCs/>
                <w:color w:val="000000"/>
                <w:sz w:val="20"/>
                <w:szCs w:val="20"/>
              </w:rPr>
              <w:t>Crypto</w:t>
            </w:r>
          </w:p>
        </w:tc>
        <w:tc>
          <w:tcPr>
            <w:tcW w:w="992" w:type="dxa"/>
            <w:noWrap/>
            <w:hideMark/>
          </w:tcPr>
          <w:p w14:paraId="7BE83C28" w14:textId="77777777" w:rsidR="001A76A8" w:rsidRPr="009B605C" w:rsidRDefault="001A76A8" w:rsidP="0087752F">
            <w:pPr>
              <w:rPr>
                <w:rFonts w:ascii="Cambria" w:hAnsi="Cambria"/>
                <w:b/>
                <w:bCs/>
                <w:color w:val="000000"/>
                <w:sz w:val="20"/>
                <w:szCs w:val="20"/>
              </w:rPr>
            </w:pPr>
          </w:p>
        </w:tc>
        <w:tc>
          <w:tcPr>
            <w:tcW w:w="1602" w:type="dxa"/>
            <w:noWrap/>
            <w:hideMark/>
          </w:tcPr>
          <w:p w14:paraId="1758C677" w14:textId="77777777" w:rsidR="001A76A8" w:rsidRPr="009B605C" w:rsidRDefault="001A76A8" w:rsidP="0087752F">
            <w:pPr>
              <w:rPr>
                <w:rFonts w:ascii="Cambria" w:hAnsi="Cambria"/>
                <w:sz w:val="20"/>
                <w:szCs w:val="20"/>
              </w:rPr>
            </w:pPr>
          </w:p>
        </w:tc>
        <w:tc>
          <w:tcPr>
            <w:tcW w:w="1382" w:type="dxa"/>
            <w:noWrap/>
            <w:hideMark/>
          </w:tcPr>
          <w:p w14:paraId="43C2877E" w14:textId="77777777" w:rsidR="001A76A8" w:rsidRPr="009B605C" w:rsidRDefault="001A76A8" w:rsidP="0087752F">
            <w:pPr>
              <w:rPr>
                <w:rFonts w:ascii="Cambria" w:hAnsi="Cambria"/>
                <w:sz w:val="20"/>
                <w:szCs w:val="20"/>
              </w:rPr>
            </w:pPr>
          </w:p>
        </w:tc>
        <w:tc>
          <w:tcPr>
            <w:tcW w:w="1269" w:type="dxa"/>
            <w:noWrap/>
            <w:hideMark/>
          </w:tcPr>
          <w:p w14:paraId="18D4B276" w14:textId="77777777" w:rsidR="001A76A8" w:rsidRPr="009B605C" w:rsidRDefault="001A76A8" w:rsidP="0087752F">
            <w:pPr>
              <w:rPr>
                <w:rFonts w:ascii="Cambria" w:hAnsi="Cambria"/>
                <w:sz w:val="20"/>
                <w:szCs w:val="20"/>
              </w:rPr>
            </w:pPr>
          </w:p>
        </w:tc>
        <w:tc>
          <w:tcPr>
            <w:tcW w:w="1559" w:type="dxa"/>
            <w:noWrap/>
            <w:hideMark/>
          </w:tcPr>
          <w:p w14:paraId="32CF097F" w14:textId="77777777" w:rsidR="001A76A8" w:rsidRPr="009B605C" w:rsidRDefault="001A76A8" w:rsidP="0087752F">
            <w:pPr>
              <w:rPr>
                <w:rFonts w:ascii="Cambria" w:hAnsi="Cambria"/>
                <w:sz w:val="20"/>
                <w:szCs w:val="20"/>
              </w:rPr>
            </w:pPr>
          </w:p>
        </w:tc>
      </w:tr>
      <w:tr w:rsidR="00B42A22" w:rsidRPr="009B605C" w14:paraId="697C8B52" w14:textId="77777777" w:rsidTr="005331C1">
        <w:trPr>
          <w:trHeight w:val="340"/>
        </w:trPr>
        <w:tc>
          <w:tcPr>
            <w:tcW w:w="2410" w:type="dxa"/>
            <w:noWrap/>
            <w:hideMark/>
          </w:tcPr>
          <w:p w14:paraId="25B67E20"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5%</w:t>
            </w:r>
          </w:p>
        </w:tc>
        <w:tc>
          <w:tcPr>
            <w:tcW w:w="992" w:type="dxa"/>
            <w:noWrap/>
            <w:hideMark/>
          </w:tcPr>
          <w:p w14:paraId="6511519D"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0.033</w:t>
            </w:r>
          </w:p>
        </w:tc>
        <w:tc>
          <w:tcPr>
            <w:tcW w:w="1602" w:type="dxa"/>
            <w:noWrap/>
            <w:hideMark/>
          </w:tcPr>
          <w:p w14:paraId="6474D285"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0.028</w:t>
            </w:r>
          </w:p>
        </w:tc>
        <w:tc>
          <w:tcPr>
            <w:tcW w:w="1382" w:type="dxa"/>
            <w:noWrap/>
            <w:hideMark/>
          </w:tcPr>
          <w:p w14:paraId="70BD1407"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0.095</w:t>
            </w:r>
          </w:p>
        </w:tc>
        <w:tc>
          <w:tcPr>
            <w:tcW w:w="1269" w:type="dxa"/>
            <w:noWrap/>
            <w:hideMark/>
          </w:tcPr>
          <w:p w14:paraId="20B636F9"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0.074</w:t>
            </w:r>
          </w:p>
        </w:tc>
        <w:tc>
          <w:tcPr>
            <w:tcW w:w="1559" w:type="dxa"/>
            <w:noWrap/>
            <w:hideMark/>
          </w:tcPr>
          <w:p w14:paraId="0967ADA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0.042</w:t>
            </w:r>
          </w:p>
        </w:tc>
      </w:tr>
      <w:tr w:rsidR="00B42A22" w:rsidRPr="009B605C" w14:paraId="5E8C4C31" w14:textId="77777777" w:rsidTr="005331C1">
        <w:trPr>
          <w:trHeight w:val="340"/>
        </w:trPr>
        <w:tc>
          <w:tcPr>
            <w:tcW w:w="2410" w:type="dxa"/>
            <w:noWrap/>
            <w:hideMark/>
          </w:tcPr>
          <w:p w14:paraId="69F9AB78"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10%</w:t>
            </w:r>
          </w:p>
        </w:tc>
        <w:tc>
          <w:tcPr>
            <w:tcW w:w="992" w:type="dxa"/>
            <w:noWrap/>
            <w:hideMark/>
          </w:tcPr>
          <w:p w14:paraId="2A33FCE7"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0.055</w:t>
            </w:r>
          </w:p>
        </w:tc>
        <w:tc>
          <w:tcPr>
            <w:tcW w:w="1602" w:type="dxa"/>
            <w:noWrap/>
            <w:hideMark/>
          </w:tcPr>
          <w:p w14:paraId="2779E962"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0.039</w:t>
            </w:r>
          </w:p>
        </w:tc>
        <w:tc>
          <w:tcPr>
            <w:tcW w:w="1382" w:type="dxa"/>
            <w:noWrap/>
            <w:hideMark/>
          </w:tcPr>
          <w:p w14:paraId="0AFB28AD"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0.133</w:t>
            </w:r>
          </w:p>
        </w:tc>
        <w:tc>
          <w:tcPr>
            <w:tcW w:w="1269" w:type="dxa"/>
            <w:noWrap/>
            <w:hideMark/>
          </w:tcPr>
          <w:p w14:paraId="605420AE"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0.107</w:t>
            </w:r>
          </w:p>
        </w:tc>
        <w:tc>
          <w:tcPr>
            <w:tcW w:w="1559" w:type="dxa"/>
            <w:noWrap/>
            <w:hideMark/>
          </w:tcPr>
          <w:p w14:paraId="16769705"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0.057</w:t>
            </w:r>
          </w:p>
        </w:tc>
      </w:tr>
      <w:tr w:rsidR="00B42A22" w:rsidRPr="009B605C" w14:paraId="5916C217" w14:textId="77777777" w:rsidTr="00BE1F23">
        <w:trPr>
          <w:trHeight w:val="340"/>
        </w:trPr>
        <w:tc>
          <w:tcPr>
            <w:tcW w:w="5004" w:type="dxa"/>
            <w:gridSpan w:val="3"/>
            <w:noWrap/>
          </w:tcPr>
          <w:p w14:paraId="7556587B" w14:textId="32AD71CA" w:rsidR="00B42A22" w:rsidRPr="009B605C" w:rsidRDefault="00B42A22" w:rsidP="0087752F">
            <w:pPr>
              <w:rPr>
                <w:rFonts w:ascii="Cambria" w:hAnsi="Cambria"/>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Post-conflict announcement</w:t>
            </w:r>
          </w:p>
        </w:tc>
        <w:tc>
          <w:tcPr>
            <w:tcW w:w="1382" w:type="dxa"/>
            <w:noWrap/>
          </w:tcPr>
          <w:p w14:paraId="0C8D5E1F" w14:textId="77777777" w:rsidR="00B42A22" w:rsidRPr="009B605C" w:rsidRDefault="00B42A22" w:rsidP="0087752F">
            <w:pPr>
              <w:rPr>
                <w:rFonts w:ascii="Cambria" w:hAnsi="Cambria"/>
                <w:sz w:val="20"/>
                <w:szCs w:val="20"/>
              </w:rPr>
            </w:pPr>
          </w:p>
        </w:tc>
        <w:tc>
          <w:tcPr>
            <w:tcW w:w="1269" w:type="dxa"/>
            <w:noWrap/>
          </w:tcPr>
          <w:p w14:paraId="2660936B" w14:textId="77777777" w:rsidR="00B42A22" w:rsidRPr="009B605C" w:rsidRDefault="00B42A22" w:rsidP="0087752F">
            <w:pPr>
              <w:rPr>
                <w:rFonts w:ascii="Cambria" w:hAnsi="Cambria"/>
                <w:sz w:val="20"/>
                <w:szCs w:val="20"/>
              </w:rPr>
            </w:pPr>
          </w:p>
        </w:tc>
        <w:tc>
          <w:tcPr>
            <w:tcW w:w="1559" w:type="dxa"/>
            <w:noWrap/>
          </w:tcPr>
          <w:p w14:paraId="620446A3" w14:textId="77777777" w:rsidR="00B42A22" w:rsidRPr="009B605C" w:rsidRDefault="00B42A22" w:rsidP="0087752F">
            <w:pPr>
              <w:rPr>
                <w:rFonts w:ascii="Cambria" w:hAnsi="Cambria"/>
                <w:sz w:val="20"/>
                <w:szCs w:val="20"/>
              </w:rPr>
            </w:pPr>
          </w:p>
        </w:tc>
      </w:tr>
      <w:tr w:rsidR="00B42A22" w:rsidRPr="009B605C" w14:paraId="48AB4A11" w14:textId="77777777" w:rsidTr="00BE1F23">
        <w:trPr>
          <w:trHeight w:val="340"/>
        </w:trPr>
        <w:tc>
          <w:tcPr>
            <w:tcW w:w="2410" w:type="dxa"/>
            <w:noWrap/>
            <w:hideMark/>
          </w:tcPr>
          <w:p w14:paraId="4753E88A" w14:textId="77777777" w:rsidR="001A76A8" w:rsidRPr="009B605C" w:rsidRDefault="001A76A8" w:rsidP="0087752F">
            <w:pPr>
              <w:rPr>
                <w:rFonts w:ascii="Cambria" w:hAnsi="Cambria"/>
                <w:b/>
                <w:bCs/>
                <w:color w:val="000000"/>
                <w:sz w:val="20"/>
                <w:szCs w:val="20"/>
              </w:rPr>
            </w:pPr>
            <w:r w:rsidRPr="009B605C">
              <w:rPr>
                <w:rFonts w:ascii="Cambria" w:hAnsi="Cambria"/>
                <w:b/>
                <w:bCs/>
                <w:color w:val="000000"/>
                <w:sz w:val="20"/>
                <w:szCs w:val="20"/>
              </w:rPr>
              <w:t>Gold</w:t>
            </w:r>
          </w:p>
        </w:tc>
        <w:tc>
          <w:tcPr>
            <w:tcW w:w="992" w:type="dxa"/>
            <w:noWrap/>
            <w:hideMark/>
          </w:tcPr>
          <w:p w14:paraId="790CCFD2" w14:textId="77777777" w:rsidR="001A76A8" w:rsidRPr="009B605C" w:rsidRDefault="001A76A8" w:rsidP="0087752F">
            <w:pPr>
              <w:rPr>
                <w:rFonts w:ascii="Cambria" w:hAnsi="Cambria"/>
                <w:b/>
                <w:bCs/>
                <w:color w:val="000000"/>
                <w:sz w:val="20"/>
                <w:szCs w:val="20"/>
              </w:rPr>
            </w:pPr>
          </w:p>
        </w:tc>
        <w:tc>
          <w:tcPr>
            <w:tcW w:w="1602" w:type="dxa"/>
            <w:noWrap/>
            <w:hideMark/>
          </w:tcPr>
          <w:p w14:paraId="7B8D9562" w14:textId="77777777" w:rsidR="001A76A8" w:rsidRPr="009B605C" w:rsidRDefault="001A76A8" w:rsidP="0087752F">
            <w:pPr>
              <w:rPr>
                <w:rFonts w:ascii="Cambria" w:hAnsi="Cambria"/>
                <w:sz w:val="20"/>
                <w:szCs w:val="20"/>
              </w:rPr>
            </w:pPr>
          </w:p>
        </w:tc>
        <w:tc>
          <w:tcPr>
            <w:tcW w:w="1382" w:type="dxa"/>
            <w:noWrap/>
            <w:hideMark/>
          </w:tcPr>
          <w:p w14:paraId="01A8D89A" w14:textId="77777777" w:rsidR="001A76A8" w:rsidRPr="009B605C" w:rsidRDefault="001A76A8" w:rsidP="0087752F">
            <w:pPr>
              <w:rPr>
                <w:rFonts w:ascii="Cambria" w:hAnsi="Cambria"/>
                <w:sz w:val="20"/>
                <w:szCs w:val="20"/>
              </w:rPr>
            </w:pPr>
          </w:p>
        </w:tc>
        <w:tc>
          <w:tcPr>
            <w:tcW w:w="1269" w:type="dxa"/>
            <w:noWrap/>
            <w:hideMark/>
          </w:tcPr>
          <w:p w14:paraId="458A3322" w14:textId="77777777" w:rsidR="001A76A8" w:rsidRPr="009B605C" w:rsidRDefault="001A76A8" w:rsidP="0087752F">
            <w:pPr>
              <w:rPr>
                <w:rFonts w:ascii="Cambria" w:hAnsi="Cambria"/>
                <w:sz w:val="20"/>
                <w:szCs w:val="20"/>
              </w:rPr>
            </w:pPr>
          </w:p>
        </w:tc>
        <w:tc>
          <w:tcPr>
            <w:tcW w:w="1559" w:type="dxa"/>
            <w:noWrap/>
            <w:hideMark/>
          </w:tcPr>
          <w:p w14:paraId="61D8791D" w14:textId="77777777" w:rsidR="001A76A8" w:rsidRPr="009B605C" w:rsidRDefault="001A76A8" w:rsidP="0087752F">
            <w:pPr>
              <w:rPr>
                <w:rFonts w:ascii="Cambria" w:hAnsi="Cambria"/>
                <w:sz w:val="20"/>
                <w:szCs w:val="20"/>
              </w:rPr>
            </w:pPr>
          </w:p>
        </w:tc>
      </w:tr>
      <w:tr w:rsidR="00B42A22" w:rsidRPr="009B605C" w14:paraId="75C717E1" w14:textId="77777777" w:rsidTr="005331C1">
        <w:trPr>
          <w:trHeight w:val="340"/>
        </w:trPr>
        <w:tc>
          <w:tcPr>
            <w:tcW w:w="2410" w:type="dxa"/>
            <w:noWrap/>
            <w:hideMark/>
          </w:tcPr>
          <w:p w14:paraId="6E4543AB"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5%</w:t>
            </w:r>
          </w:p>
        </w:tc>
        <w:tc>
          <w:tcPr>
            <w:tcW w:w="992" w:type="dxa"/>
            <w:noWrap/>
            <w:hideMark/>
          </w:tcPr>
          <w:p w14:paraId="7241DAA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0.036</w:t>
            </w:r>
          </w:p>
        </w:tc>
        <w:tc>
          <w:tcPr>
            <w:tcW w:w="1602" w:type="dxa"/>
            <w:noWrap/>
            <w:hideMark/>
          </w:tcPr>
          <w:p w14:paraId="636D0E5B"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0.003</w:t>
            </w:r>
          </w:p>
        </w:tc>
        <w:tc>
          <w:tcPr>
            <w:tcW w:w="1382" w:type="dxa"/>
            <w:noWrap/>
            <w:hideMark/>
          </w:tcPr>
          <w:p w14:paraId="69CC97FE"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0.038</w:t>
            </w:r>
          </w:p>
        </w:tc>
        <w:tc>
          <w:tcPr>
            <w:tcW w:w="1269" w:type="dxa"/>
            <w:noWrap/>
            <w:hideMark/>
          </w:tcPr>
          <w:p w14:paraId="68EFCA6E"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0.017</w:t>
            </w:r>
          </w:p>
        </w:tc>
        <w:tc>
          <w:tcPr>
            <w:tcW w:w="1559" w:type="dxa"/>
            <w:noWrap/>
            <w:hideMark/>
          </w:tcPr>
          <w:p w14:paraId="5235D206"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0.003</w:t>
            </w:r>
          </w:p>
        </w:tc>
      </w:tr>
      <w:tr w:rsidR="00B42A22" w:rsidRPr="009B605C" w14:paraId="4FA91429" w14:textId="77777777" w:rsidTr="005331C1">
        <w:trPr>
          <w:trHeight w:val="340"/>
        </w:trPr>
        <w:tc>
          <w:tcPr>
            <w:tcW w:w="2410" w:type="dxa"/>
            <w:noWrap/>
            <w:hideMark/>
          </w:tcPr>
          <w:p w14:paraId="71EBFB8F"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10%</w:t>
            </w:r>
          </w:p>
        </w:tc>
        <w:tc>
          <w:tcPr>
            <w:tcW w:w="992" w:type="dxa"/>
            <w:noWrap/>
            <w:hideMark/>
          </w:tcPr>
          <w:p w14:paraId="051EA1A7"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0.053</w:t>
            </w:r>
          </w:p>
        </w:tc>
        <w:tc>
          <w:tcPr>
            <w:tcW w:w="1602" w:type="dxa"/>
            <w:noWrap/>
            <w:hideMark/>
          </w:tcPr>
          <w:p w14:paraId="032C2B29"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0.024</w:t>
            </w:r>
          </w:p>
        </w:tc>
        <w:tc>
          <w:tcPr>
            <w:tcW w:w="1382" w:type="dxa"/>
            <w:noWrap/>
            <w:hideMark/>
          </w:tcPr>
          <w:p w14:paraId="50806CCE"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0.083</w:t>
            </w:r>
          </w:p>
        </w:tc>
        <w:tc>
          <w:tcPr>
            <w:tcW w:w="1269" w:type="dxa"/>
            <w:noWrap/>
            <w:hideMark/>
          </w:tcPr>
          <w:p w14:paraId="69DAFB6B"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0.019</w:t>
            </w:r>
          </w:p>
        </w:tc>
        <w:tc>
          <w:tcPr>
            <w:tcW w:w="1559" w:type="dxa"/>
            <w:noWrap/>
            <w:hideMark/>
          </w:tcPr>
          <w:p w14:paraId="10EC2DE3"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0.003</w:t>
            </w:r>
          </w:p>
        </w:tc>
      </w:tr>
      <w:tr w:rsidR="00B42A22" w:rsidRPr="009B605C" w14:paraId="3C2DDBBD" w14:textId="77777777" w:rsidTr="00BE1F23">
        <w:trPr>
          <w:trHeight w:val="340"/>
        </w:trPr>
        <w:tc>
          <w:tcPr>
            <w:tcW w:w="2410" w:type="dxa"/>
            <w:noWrap/>
            <w:hideMark/>
          </w:tcPr>
          <w:p w14:paraId="247759AA" w14:textId="77777777" w:rsidR="001A76A8" w:rsidRPr="009B605C" w:rsidRDefault="001A76A8" w:rsidP="0087752F">
            <w:pPr>
              <w:rPr>
                <w:rFonts w:ascii="Cambria" w:hAnsi="Cambria"/>
                <w:b/>
                <w:bCs/>
                <w:color w:val="000000"/>
                <w:sz w:val="20"/>
                <w:szCs w:val="20"/>
              </w:rPr>
            </w:pPr>
            <w:r w:rsidRPr="009B605C">
              <w:rPr>
                <w:rFonts w:ascii="Cambria" w:hAnsi="Cambria"/>
                <w:b/>
                <w:bCs/>
                <w:color w:val="000000"/>
                <w:sz w:val="20"/>
                <w:szCs w:val="20"/>
              </w:rPr>
              <w:t>Crypto</w:t>
            </w:r>
          </w:p>
        </w:tc>
        <w:tc>
          <w:tcPr>
            <w:tcW w:w="992" w:type="dxa"/>
            <w:noWrap/>
            <w:hideMark/>
          </w:tcPr>
          <w:p w14:paraId="11B79066" w14:textId="77777777" w:rsidR="001A76A8" w:rsidRPr="009B605C" w:rsidRDefault="001A76A8" w:rsidP="0087752F">
            <w:pPr>
              <w:rPr>
                <w:rFonts w:ascii="Cambria" w:hAnsi="Cambria"/>
                <w:b/>
                <w:bCs/>
                <w:color w:val="000000"/>
                <w:sz w:val="20"/>
                <w:szCs w:val="20"/>
              </w:rPr>
            </w:pPr>
          </w:p>
        </w:tc>
        <w:tc>
          <w:tcPr>
            <w:tcW w:w="1602" w:type="dxa"/>
            <w:noWrap/>
            <w:hideMark/>
          </w:tcPr>
          <w:p w14:paraId="4A2B5107" w14:textId="77777777" w:rsidR="001A76A8" w:rsidRPr="009B605C" w:rsidRDefault="001A76A8" w:rsidP="0087752F">
            <w:pPr>
              <w:rPr>
                <w:rFonts w:ascii="Cambria" w:hAnsi="Cambria"/>
                <w:sz w:val="20"/>
                <w:szCs w:val="20"/>
              </w:rPr>
            </w:pPr>
          </w:p>
        </w:tc>
        <w:tc>
          <w:tcPr>
            <w:tcW w:w="1382" w:type="dxa"/>
            <w:noWrap/>
            <w:hideMark/>
          </w:tcPr>
          <w:p w14:paraId="7AD04751" w14:textId="77777777" w:rsidR="001A76A8" w:rsidRPr="009B605C" w:rsidRDefault="001A76A8" w:rsidP="0087752F">
            <w:pPr>
              <w:rPr>
                <w:rFonts w:ascii="Cambria" w:hAnsi="Cambria"/>
                <w:sz w:val="20"/>
                <w:szCs w:val="20"/>
              </w:rPr>
            </w:pPr>
          </w:p>
        </w:tc>
        <w:tc>
          <w:tcPr>
            <w:tcW w:w="1269" w:type="dxa"/>
            <w:noWrap/>
            <w:hideMark/>
          </w:tcPr>
          <w:p w14:paraId="234CDD19" w14:textId="77777777" w:rsidR="001A76A8" w:rsidRPr="009B605C" w:rsidRDefault="001A76A8" w:rsidP="0087752F">
            <w:pPr>
              <w:rPr>
                <w:rFonts w:ascii="Cambria" w:hAnsi="Cambria"/>
                <w:sz w:val="20"/>
                <w:szCs w:val="20"/>
              </w:rPr>
            </w:pPr>
          </w:p>
        </w:tc>
        <w:tc>
          <w:tcPr>
            <w:tcW w:w="1559" w:type="dxa"/>
            <w:noWrap/>
            <w:hideMark/>
          </w:tcPr>
          <w:p w14:paraId="56CAC67F" w14:textId="77777777" w:rsidR="001A76A8" w:rsidRPr="009B605C" w:rsidRDefault="001A76A8" w:rsidP="0087752F">
            <w:pPr>
              <w:rPr>
                <w:rFonts w:ascii="Cambria" w:hAnsi="Cambria"/>
                <w:sz w:val="20"/>
                <w:szCs w:val="20"/>
              </w:rPr>
            </w:pPr>
          </w:p>
        </w:tc>
      </w:tr>
      <w:tr w:rsidR="00B42A22" w:rsidRPr="009B605C" w14:paraId="7C7D6FFD" w14:textId="77777777" w:rsidTr="005331C1">
        <w:trPr>
          <w:trHeight w:val="340"/>
        </w:trPr>
        <w:tc>
          <w:tcPr>
            <w:tcW w:w="2410" w:type="dxa"/>
            <w:noWrap/>
            <w:hideMark/>
          </w:tcPr>
          <w:p w14:paraId="4653C730"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5%</w:t>
            </w:r>
          </w:p>
        </w:tc>
        <w:tc>
          <w:tcPr>
            <w:tcW w:w="992" w:type="dxa"/>
            <w:noWrap/>
            <w:hideMark/>
          </w:tcPr>
          <w:p w14:paraId="170D5B0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0.013</w:t>
            </w:r>
          </w:p>
        </w:tc>
        <w:tc>
          <w:tcPr>
            <w:tcW w:w="1602" w:type="dxa"/>
            <w:noWrap/>
            <w:hideMark/>
          </w:tcPr>
          <w:p w14:paraId="7668CB5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0.045</w:t>
            </w:r>
          </w:p>
        </w:tc>
        <w:tc>
          <w:tcPr>
            <w:tcW w:w="1382" w:type="dxa"/>
            <w:noWrap/>
            <w:hideMark/>
          </w:tcPr>
          <w:p w14:paraId="2D4CC4BC"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0.045</w:t>
            </w:r>
          </w:p>
        </w:tc>
        <w:tc>
          <w:tcPr>
            <w:tcW w:w="1269" w:type="dxa"/>
            <w:noWrap/>
            <w:hideMark/>
          </w:tcPr>
          <w:p w14:paraId="75241FC2"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0.063</w:t>
            </w:r>
          </w:p>
        </w:tc>
        <w:tc>
          <w:tcPr>
            <w:tcW w:w="1559" w:type="dxa"/>
            <w:noWrap/>
            <w:hideMark/>
          </w:tcPr>
          <w:p w14:paraId="05E34FEA"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0.005</w:t>
            </w:r>
          </w:p>
        </w:tc>
      </w:tr>
      <w:tr w:rsidR="00B42A22" w:rsidRPr="009B605C" w14:paraId="27680F73" w14:textId="77777777" w:rsidTr="005331C1">
        <w:trPr>
          <w:trHeight w:val="340"/>
        </w:trPr>
        <w:tc>
          <w:tcPr>
            <w:tcW w:w="2410" w:type="dxa"/>
            <w:tcBorders>
              <w:bottom w:val="double" w:sz="4" w:space="0" w:color="auto"/>
            </w:tcBorders>
            <w:noWrap/>
            <w:hideMark/>
          </w:tcPr>
          <w:p w14:paraId="733E2EA6" w14:textId="77777777" w:rsidR="001A76A8" w:rsidRPr="009B605C" w:rsidRDefault="001A76A8" w:rsidP="0087752F">
            <w:pPr>
              <w:jc w:val="center"/>
              <w:rPr>
                <w:rFonts w:ascii="Cambria" w:hAnsi="Cambria"/>
                <w:color w:val="000000"/>
                <w:sz w:val="20"/>
                <w:szCs w:val="20"/>
              </w:rPr>
            </w:pPr>
            <w:r w:rsidRPr="009B605C">
              <w:rPr>
                <w:rFonts w:ascii="Cambria" w:hAnsi="Cambria"/>
                <w:color w:val="000000"/>
                <w:sz w:val="20"/>
                <w:szCs w:val="20"/>
              </w:rPr>
              <w:t>10%</w:t>
            </w:r>
          </w:p>
        </w:tc>
        <w:tc>
          <w:tcPr>
            <w:tcW w:w="992" w:type="dxa"/>
            <w:tcBorders>
              <w:bottom w:val="double" w:sz="4" w:space="0" w:color="auto"/>
            </w:tcBorders>
            <w:noWrap/>
            <w:hideMark/>
          </w:tcPr>
          <w:p w14:paraId="33908C51"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0.030</w:t>
            </w:r>
          </w:p>
        </w:tc>
        <w:tc>
          <w:tcPr>
            <w:tcW w:w="1602" w:type="dxa"/>
            <w:tcBorders>
              <w:bottom w:val="double" w:sz="4" w:space="0" w:color="auto"/>
            </w:tcBorders>
            <w:noWrap/>
            <w:hideMark/>
          </w:tcPr>
          <w:p w14:paraId="4B63DC90"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0.064</w:t>
            </w:r>
          </w:p>
        </w:tc>
        <w:tc>
          <w:tcPr>
            <w:tcW w:w="1382" w:type="dxa"/>
            <w:tcBorders>
              <w:bottom w:val="double" w:sz="4" w:space="0" w:color="auto"/>
            </w:tcBorders>
            <w:noWrap/>
            <w:hideMark/>
          </w:tcPr>
          <w:p w14:paraId="511151AF"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0.086</w:t>
            </w:r>
          </w:p>
        </w:tc>
        <w:tc>
          <w:tcPr>
            <w:tcW w:w="1269" w:type="dxa"/>
            <w:tcBorders>
              <w:bottom w:val="double" w:sz="4" w:space="0" w:color="auto"/>
            </w:tcBorders>
            <w:noWrap/>
            <w:hideMark/>
          </w:tcPr>
          <w:p w14:paraId="20778A75"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0.088</w:t>
            </w:r>
          </w:p>
        </w:tc>
        <w:tc>
          <w:tcPr>
            <w:tcW w:w="1559" w:type="dxa"/>
            <w:tcBorders>
              <w:bottom w:val="double" w:sz="4" w:space="0" w:color="auto"/>
            </w:tcBorders>
            <w:noWrap/>
            <w:hideMark/>
          </w:tcPr>
          <w:p w14:paraId="250762DA" w14:textId="77777777" w:rsidR="001A76A8" w:rsidRPr="009B605C" w:rsidRDefault="001A76A8" w:rsidP="0087752F">
            <w:pPr>
              <w:jc w:val="right"/>
              <w:rPr>
                <w:rFonts w:ascii="Cambria" w:hAnsi="Cambria"/>
                <w:color w:val="000000"/>
                <w:sz w:val="20"/>
                <w:szCs w:val="20"/>
              </w:rPr>
            </w:pPr>
            <w:r w:rsidRPr="009B605C">
              <w:rPr>
                <w:rFonts w:ascii="Cambria" w:hAnsi="Cambria"/>
                <w:color w:val="000000"/>
                <w:sz w:val="20"/>
                <w:szCs w:val="20"/>
              </w:rPr>
              <w:t>0.011</w:t>
            </w:r>
          </w:p>
        </w:tc>
      </w:tr>
    </w:tbl>
    <w:p w14:paraId="6DAAE3EA" w14:textId="1D2D7329" w:rsidR="00D36B07" w:rsidRPr="009B605C" w:rsidRDefault="00D36B07" w:rsidP="0087752F">
      <w:pPr>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w:t>
      </w:r>
      <w:r w:rsidR="00C3080A" w:rsidRPr="009B605C">
        <w:rPr>
          <w:rFonts w:ascii="Cambria" w:hAnsi="Cambria"/>
          <w:sz w:val="20"/>
          <w:szCs w:val="20"/>
        </w:rPr>
        <w:t xml:space="preserve">The table provides the percentage frequency of significant negative coefficients </w:t>
      </w:r>
      <m:oMath>
        <m:sSub>
          <m:sSubPr>
            <m:ctrlPr>
              <w:rPr>
                <w:rFonts w:ascii="Cambria Math" w:hAnsi="Cambria Math"/>
                <w:i/>
                <w:sz w:val="20"/>
                <w:szCs w:val="20"/>
                <w:vertAlign w:val="subscript"/>
              </w:rPr>
            </m:ctrlPr>
          </m:sSubPr>
          <m:e>
            <m:r>
              <w:rPr>
                <w:rFonts w:ascii="Cambria Math" w:hAnsi="Cambria Math"/>
                <w:sz w:val="20"/>
                <w:szCs w:val="20"/>
              </w:rPr>
              <m:t>β</m:t>
            </m:r>
            <m:ctrlPr>
              <w:rPr>
                <w:rFonts w:ascii="Cambria Math" w:hAnsi="Cambria Math"/>
                <w:i/>
                <w:iCs/>
                <w:sz w:val="20"/>
                <w:szCs w:val="20"/>
              </w:rPr>
            </m:ctrlPr>
          </m:e>
          <m:sub>
            <m:r>
              <w:rPr>
                <w:rFonts w:ascii="Cambria Math" w:hAnsi="Cambria Math"/>
                <w:sz w:val="20"/>
                <w:szCs w:val="20"/>
              </w:rPr>
              <m:t>2</m:t>
            </m:r>
          </m:sub>
        </m:sSub>
      </m:oMath>
      <w:r w:rsidR="00C3080A" w:rsidRPr="009B605C">
        <w:rPr>
          <w:rFonts w:ascii="Cambria" w:hAnsi="Cambria"/>
          <w:sz w:val="20"/>
          <w:szCs w:val="20"/>
        </w:rPr>
        <w:t xml:space="preserve"> from Equation (17), based on 5% and 10% level of significance.</w:t>
      </w:r>
    </w:p>
    <w:p w14:paraId="3BD7DF33" w14:textId="77777777" w:rsidR="00D36B07" w:rsidRPr="009B605C" w:rsidRDefault="00D36B07" w:rsidP="0087752F">
      <w:pPr>
        <w:rPr>
          <w:rFonts w:ascii="Cambria" w:hAnsi="Cambria"/>
        </w:rPr>
      </w:pPr>
    </w:p>
    <w:p w14:paraId="68E7565B" w14:textId="77777777" w:rsidR="00040A1B" w:rsidRPr="009B605C" w:rsidRDefault="00040A1B" w:rsidP="0087752F">
      <w:pPr>
        <w:rPr>
          <w:rFonts w:ascii="Cambria" w:hAnsi="Cambria"/>
        </w:rPr>
      </w:pPr>
    </w:p>
    <w:p w14:paraId="77973685" w14:textId="77777777" w:rsidR="001A76A8" w:rsidRPr="009B605C" w:rsidRDefault="001A76A8" w:rsidP="0087752F">
      <w:pPr>
        <w:rPr>
          <w:rFonts w:ascii="Cambria" w:hAnsi="Cambria"/>
        </w:rPr>
      </w:pPr>
    </w:p>
    <w:p w14:paraId="2BF15CD7" w14:textId="77777777" w:rsidR="001A76A8" w:rsidRPr="009B605C" w:rsidRDefault="001A76A8" w:rsidP="0087752F">
      <w:pPr>
        <w:rPr>
          <w:rFonts w:ascii="Cambria" w:hAnsi="Cambria"/>
        </w:rPr>
      </w:pPr>
    </w:p>
    <w:p w14:paraId="7F754ABD" w14:textId="77777777" w:rsidR="001A76A8" w:rsidRPr="009B605C" w:rsidRDefault="001A76A8" w:rsidP="0087752F">
      <w:pPr>
        <w:rPr>
          <w:rFonts w:ascii="Cambria" w:hAnsi="Cambria"/>
        </w:rPr>
      </w:pPr>
    </w:p>
    <w:p w14:paraId="7C944E57" w14:textId="77777777" w:rsidR="001A76A8" w:rsidRPr="009B605C" w:rsidRDefault="001A76A8" w:rsidP="0087752F">
      <w:pPr>
        <w:rPr>
          <w:rFonts w:ascii="Cambria" w:hAnsi="Cambria"/>
        </w:rPr>
      </w:pPr>
    </w:p>
    <w:p w14:paraId="4DCB1EE1" w14:textId="77777777" w:rsidR="001A76A8" w:rsidRPr="009B605C" w:rsidRDefault="001A76A8" w:rsidP="0087752F">
      <w:pPr>
        <w:rPr>
          <w:rFonts w:ascii="Cambria" w:hAnsi="Cambria"/>
        </w:rPr>
      </w:pPr>
    </w:p>
    <w:p w14:paraId="50035CA3" w14:textId="77777777" w:rsidR="001A76A8" w:rsidRPr="009B605C" w:rsidRDefault="001A76A8" w:rsidP="0087752F">
      <w:pPr>
        <w:rPr>
          <w:rFonts w:ascii="Cambria" w:hAnsi="Cambria"/>
        </w:rPr>
      </w:pPr>
    </w:p>
    <w:p w14:paraId="70A1DE0B" w14:textId="77777777" w:rsidR="001A76A8" w:rsidRPr="009B605C" w:rsidRDefault="001A76A8" w:rsidP="0087752F">
      <w:pPr>
        <w:rPr>
          <w:rFonts w:ascii="Cambria" w:hAnsi="Cambria"/>
        </w:rPr>
      </w:pPr>
    </w:p>
    <w:p w14:paraId="2964E7C3" w14:textId="77777777" w:rsidR="001A76A8" w:rsidRPr="009B605C" w:rsidRDefault="001A76A8" w:rsidP="0087752F">
      <w:pPr>
        <w:rPr>
          <w:rFonts w:ascii="Cambria" w:hAnsi="Cambria"/>
        </w:rPr>
      </w:pPr>
    </w:p>
    <w:p w14:paraId="0E3F00A3" w14:textId="77777777" w:rsidR="001A76A8" w:rsidRPr="009B605C" w:rsidRDefault="001A76A8" w:rsidP="0087752F">
      <w:pPr>
        <w:rPr>
          <w:rFonts w:ascii="Cambria" w:hAnsi="Cambria"/>
        </w:rPr>
      </w:pPr>
    </w:p>
    <w:p w14:paraId="3019B299" w14:textId="77777777" w:rsidR="001A76A8" w:rsidRPr="009B605C" w:rsidRDefault="001A76A8" w:rsidP="0087752F">
      <w:pPr>
        <w:rPr>
          <w:rFonts w:ascii="Cambria" w:hAnsi="Cambria"/>
        </w:rPr>
      </w:pPr>
    </w:p>
    <w:p w14:paraId="50E9B1A8" w14:textId="77777777" w:rsidR="001A76A8" w:rsidRPr="009B605C" w:rsidRDefault="001A76A8" w:rsidP="0087752F">
      <w:pPr>
        <w:rPr>
          <w:rFonts w:ascii="Cambria" w:hAnsi="Cambria"/>
        </w:rPr>
      </w:pPr>
    </w:p>
    <w:p w14:paraId="3BA3BCD4" w14:textId="77777777" w:rsidR="001A76A8" w:rsidRPr="009B605C" w:rsidRDefault="001A76A8" w:rsidP="0087752F">
      <w:pPr>
        <w:rPr>
          <w:rFonts w:ascii="Cambria" w:hAnsi="Cambria"/>
        </w:rPr>
      </w:pPr>
    </w:p>
    <w:p w14:paraId="14E3B1B5" w14:textId="77777777" w:rsidR="001A76A8" w:rsidRPr="009B605C" w:rsidRDefault="001A76A8" w:rsidP="0087752F">
      <w:pPr>
        <w:rPr>
          <w:rFonts w:ascii="Cambria" w:hAnsi="Cambria"/>
        </w:rPr>
      </w:pPr>
    </w:p>
    <w:p w14:paraId="6FFC387E" w14:textId="77777777" w:rsidR="001A76A8" w:rsidRPr="009B605C" w:rsidRDefault="001A76A8" w:rsidP="0087752F">
      <w:pPr>
        <w:rPr>
          <w:rFonts w:ascii="Cambria" w:hAnsi="Cambria"/>
        </w:rPr>
      </w:pPr>
    </w:p>
    <w:p w14:paraId="1A3F8C92" w14:textId="77777777" w:rsidR="001A76A8" w:rsidRPr="009B605C" w:rsidRDefault="001A76A8" w:rsidP="0087752F">
      <w:pPr>
        <w:rPr>
          <w:rFonts w:ascii="Cambria" w:hAnsi="Cambria"/>
        </w:rPr>
      </w:pPr>
    </w:p>
    <w:p w14:paraId="1689BFDB" w14:textId="77777777" w:rsidR="001A76A8" w:rsidRPr="009B605C" w:rsidRDefault="001A76A8" w:rsidP="0087752F">
      <w:pPr>
        <w:rPr>
          <w:rFonts w:ascii="Cambria" w:hAnsi="Cambria"/>
        </w:rPr>
      </w:pPr>
    </w:p>
    <w:p w14:paraId="232BBFAD" w14:textId="77777777" w:rsidR="001A76A8" w:rsidRPr="009B605C" w:rsidRDefault="001A76A8" w:rsidP="0087752F">
      <w:pPr>
        <w:rPr>
          <w:rFonts w:ascii="Cambria" w:hAnsi="Cambria"/>
        </w:rPr>
      </w:pPr>
    </w:p>
    <w:p w14:paraId="1E2379FE" w14:textId="77777777" w:rsidR="001A76A8" w:rsidRPr="009B605C" w:rsidRDefault="001A76A8" w:rsidP="0087752F">
      <w:pPr>
        <w:rPr>
          <w:rFonts w:ascii="Cambria" w:hAnsi="Cambria"/>
        </w:rPr>
      </w:pPr>
    </w:p>
    <w:p w14:paraId="5B9FAFE6" w14:textId="77777777" w:rsidR="0082061B" w:rsidRPr="009B605C" w:rsidRDefault="0082061B" w:rsidP="0087752F">
      <w:pPr>
        <w:rPr>
          <w:rFonts w:ascii="Cambria" w:hAnsi="Cambria"/>
        </w:rPr>
      </w:pPr>
    </w:p>
    <w:p w14:paraId="6B581526" w14:textId="77777777" w:rsidR="0082061B" w:rsidRPr="009B605C" w:rsidRDefault="0082061B" w:rsidP="0087752F">
      <w:pPr>
        <w:rPr>
          <w:rFonts w:ascii="Cambria" w:hAnsi="Cambria"/>
        </w:rPr>
      </w:pPr>
    </w:p>
    <w:p w14:paraId="2EC2A9F2" w14:textId="77777777" w:rsidR="0082061B" w:rsidRPr="009B605C" w:rsidRDefault="0082061B" w:rsidP="0087752F">
      <w:pPr>
        <w:rPr>
          <w:rFonts w:ascii="Cambria" w:hAnsi="Cambria"/>
        </w:rPr>
      </w:pPr>
    </w:p>
    <w:p w14:paraId="47D47B59" w14:textId="77777777" w:rsidR="0082061B" w:rsidRPr="009B605C" w:rsidRDefault="0082061B" w:rsidP="0087752F">
      <w:pPr>
        <w:rPr>
          <w:rFonts w:ascii="Cambria" w:hAnsi="Cambria"/>
        </w:rPr>
      </w:pPr>
    </w:p>
    <w:p w14:paraId="6368497A" w14:textId="77777777" w:rsidR="0082061B" w:rsidRPr="009B605C" w:rsidRDefault="0082061B" w:rsidP="0087752F">
      <w:pPr>
        <w:rPr>
          <w:rFonts w:ascii="Cambria" w:hAnsi="Cambria"/>
        </w:rPr>
      </w:pPr>
    </w:p>
    <w:p w14:paraId="7B360533" w14:textId="77777777" w:rsidR="008E212E" w:rsidRPr="009B605C" w:rsidRDefault="008E212E" w:rsidP="0087752F">
      <w:pPr>
        <w:rPr>
          <w:rFonts w:ascii="Cambria" w:hAnsi="Cambria"/>
        </w:rPr>
      </w:pPr>
    </w:p>
    <w:p w14:paraId="59BCD3E4" w14:textId="77777777" w:rsidR="008E212E" w:rsidRPr="009B605C" w:rsidRDefault="008E212E" w:rsidP="0087752F">
      <w:pPr>
        <w:rPr>
          <w:rFonts w:ascii="Cambria" w:hAnsi="Cambria"/>
        </w:rPr>
      </w:pPr>
    </w:p>
    <w:p w14:paraId="439E8578" w14:textId="77777777" w:rsidR="008E212E" w:rsidRPr="009B605C" w:rsidRDefault="008E212E" w:rsidP="0087752F">
      <w:pPr>
        <w:rPr>
          <w:rFonts w:ascii="Cambria" w:hAnsi="Cambria"/>
        </w:rPr>
      </w:pPr>
    </w:p>
    <w:p w14:paraId="139723CE" w14:textId="77FB599C" w:rsidR="0082061B" w:rsidRPr="009B605C" w:rsidRDefault="0082061B" w:rsidP="0087752F">
      <w:pPr>
        <w:rPr>
          <w:rFonts w:ascii="Cambria" w:hAnsi="Cambria"/>
        </w:rPr>
      </w:pPr>
      <w:r w:rsidRPr="009B605C">
        <w:rPr>
          <w:rFonts w:ascii="Cambria" w:hAnsi="Cambria"/>
          <w:b/>
          <w:bCs/>
        </w:rPr>
        <w:lastRenderedPageBreak/>
        <w:t>Table 5.</w:t>
      </w:r>
      <w:r w:rsidRPr="009B605C">
        <w:rPr>
          <w:rFonts w:ascii="Cambria" w:hAnsi="Cambria"/>
        </w:rPr>
        <w:t xml:space="preserve"> </w:t>
      </w:r>
      <w:r w:rsidRPr="009B605C">
        <w:rPr>
          <w:rFonts w:ascii="Cambria" w:hAnsi="Cambria"/>
          <w:color w:val="000000"/>
        </w:rPr>
        <w:t>Results from standard time-invariant Granger causality test</w:t>
      </w:r>
      <w:r w:rsidR="00226362" w:rsidRPr="009B605C">
        <w:rPr>
          <w:rFonts w:ascii="Cambria" w:hAnsi="Cambria"/>
          <w:color w:val="000000"/>
        </w:rPr>
        <w:t>s</w:t>
      </w:r>
    </w:p>
    <w:tbl>
      <w:tblPr>
        <w:tblW w:w="0" w:type="auto"/>
        <w:tblLook w:val="04A0" w:firstRow="1" w:lastRow="0" w:firstColumn="1" w:lastColumn="0" w:noHBand="0" w:noVBand="1"/>
      </w:tblPr>
      <w:tblGrid>
        <w:gridCol w:w="1264"/>
        <w:gridCol w:w="1702"/>
        <w:gridCol w:w="1702"/>
        <w:gridCol w:w="1890"/>
        <w:gridCol w:w="1890"/>
      </w:tblGrid>
      <w:tr w:rsidR="0082061B" w:rsidRPr="009B605C" w14:paraId="1F117DC1" w14:textId="77777777" w:rsidTr="00FF362A">
        <w:trPr>
          <w:trHeight w:val="340"/>
        </w:trPr>
        <w:tc>
          <w:tcPr>
            <w:tcW w:w="0" w:type="auto"/>
            <w:tcBorders>
              <w:top w:val="double" w:sz="4" w:space="0" w:color="auto"/>
              <w:left w:val="nil"/>
              <w:bottom w:val="nil"/>
              <w:right w:val="nil"/>
            </w:tcBorders>
            <w:shd w:val="clear" w:color="auto" w:fill="auto"/>
            <w:noWrap/>
            <w:vAlign w:val="bottom"/>
            <w:hideMark/>
          </w:tcPr>
          <w:p w14:paraId="6F2A4E02" w14:textId="77777777" w:rsidR="0082061B" w:rsidRPr="009B605C" w:rsidRDefault="0082061B" w:rsidP="0087752F">
            <w:pPr>
              <w:rPr>
                <w:rFonts w:ascii="Cambria" w:hAnsi="Cambria"/>
                <w:b/>
                <w:bCs/>
                <w:color w:val="000000"/>
                <w:sz w:val="20"/>
                <w:szCs w:val="20"/>
              </w:rPr>
            </w:pPr>
          </w:p>
        </w:tc>
        <w:tc>
          <w:tcPr>
            <w:tcW w:w="0" w:type="auto"/>
            <w:gridSpan w:val="2"/>
            <w:tcBorders>
              <w:top w:val="double" w:sz="4" w:space="0" w:color="auto"/>
              <w:left w:val="nil"/>
              <w:bottom w:val="single" w:sz="4" w:space="0" w:color="auto"/>
              <w:right w:val="nil"/>
            </w:tcBorders>
            <w:shd w:val="clear" w:color="auto" w:fill="auto"/>
            <w:noWrap/>
            <w:vAlign w:val="bottom"/>
            <w:hideMark/>
          </w:tcPr>
          <w:p w14:paraId="44FF9538" w14:textId="77777777" w:rsidR="0082061B" w:rsidRPr="009B605C" w:rsidRDefault="0082061B" w:rsidP="0087752F">
            <w:pPr>
              <w:jc w:val="center"/>
              <w:rPr>
                <w:rFonts w:ascii="Cambria" w:hAnsi="Cambria"/>
                <w:b/>
                <w:bCs/>
                <w:color w:val="000000"/>
                <w:sz w:val="20"/>
                <w:szCs w:val="20"/>
              </w:rPr>
            </w:pPr>
            <w:r w:rsidRPr="009B605C">
              <w:rPr>
                <w:rFonts w:ascii="Cambria" w:hAnsi="Cambria"/>
                <w:b/>
                <w:bCs/>
                <w:color w:val="000000"/>
                <w:sz w:val="20"/>
                <w:szCs w:val="20"/>
              </w:rPr>
              <w:t>Gold</w:t>
            </w:r>
          </w:p>
        </w:tc>
        <w:tc>
          <w:tcPr>
            <w:tcW w:w="0" w:type="auto"/>
            <w:gridSpan w:val="2"/>
            <w:tcBorders>
              <w:top w:val="double" w:sz="4" w:space="0" w:color="auto"/>
              <w:left w:val="nil"/>
              <w:bottom w:val="single" w:sz="4" w:space="0" w:color="auto"/>
              <w:right w:val="nil"/>
            </w:tcBorders>
            <w:shd w:val="clear" w:color="auto" w:fill="auto"/>
            <w:noWrap/>
            <w:vAlign w:val="bottom"/>
            <w:hideMark/>
          </w:tcPr>
          <w:p w14:paraId="1C0C4DCD" w14:textId="77777777" w:rsidR="0082061B" w:rsidRPr="009B605C" w:rsidRDefault="0082061B" w:rsidP="0087752F">
            <w:pPr>
              <w:jc w:val="center"/>
              <w:rPr>
                <w:rFonts w:ascii="Cambria" w:hAnsi="Cambria"/>
                <w:b/>
                <w:bCs/>
                <w:color w:val="000000"/>
                <w:sz w:val="20"/>
                <w:szCs w:val="20"/>
              </w:rPr>
            </w:pPr>
            <w:r w:rsidRPr="009B605C">
              <w:rPr>
                <w:rFonts w:ascii="Cambria" w:hAnsi="Cambria"/>
                <w:b/>
                <w:bCs/>
                <w:color w:val="000000"/>
                <w:sz w:val="20"/>
                <w:szCs w:val="20"/>
              </w:rPr>
              <w:t>Crypto</w:t>
            </w:r>
          </w:p>
        </w:tc>
      </w:tr>
      <w:tr w:rsidR="000A1E23" w:rsidRPr="009B605C" w14:paraId="109EC72E" w14:textId="77777777" w:rsidTr="00FF362A">
        <w:trPr>
          <w:trHeight w:val="340"/>
        </w:trPr>
        <w:tc>
          <w:tcPr>
            <w:tcW w:w="0" w:type="auto"/>
            <w:tcBorders>
              <w:top w:val="nil"/>
              <w:left w:val="nil"/>
              <w:bottom w:val="single" w:sz="4" w:space="0" w:color="auto"/>
              <w:right w:val="nil"/>
            </w:tcBorders>
            <w:shd w:val="clear" w:color="auto" w:fill="auto"/>
            <w:noWrap/>
            <w:vAlign w:val="bottom"/>
            <w:hideMark/>
          </w:tcPr>
          <w:p w14:paraId="7D120524" w14:textId="77777777" w:rsidR="000A1E23" w:rsidRPr="009B605C" w:rsidRDefault="000A1E23" w:rsidP="0087752F">
            <w:pPr>
              <w:jc w:val="center"/>
              <w:rPr>
                <w:rFonts w:ascii="Cambria" w:hAnsi="Cambria"/>
                <w:b/>
                <w:bCs/>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375C207A" w14:textId="7A84FB75" w:rsidR="000A1E23" w:rsidRPr="009B605C" w:rsidRDefault="000A1E23" w:rsidP="0087752F">
            <w:pPr>
              <w:rPr>
                <w:rFonts w:ascii="Cambria" w:hAnsi="Cambria"/>
                <w:color w:val="000000"/>
                <w:sz w:val="20"/>
                <w:szCs w:val="20"/>
              </w:rPr>
            </w:pPr>
            <w:r w:rsidRPr="009B605C">
              <w:rPr>
                <w:rFonts w:ascii="Cambria" w:hAnsi="Cambria"/>
                <w:bCs/>
                <w:color w:val="000000"/>
                <w:sz w:val="20"/>
                <w:szCs w:val="20"/>
              </w:rPr>
              <w:t>H</w:t>
            </w:r>
            <w:r w:rsidRPr="009B605C">
              <w:rPr>
                <w:rFonts w:ascii="Cambria" w:hAnsi="Cambria"/>
                <w:bCs/>
                <w:color w:val="000000"/>
                <w:sz w:val="20"/>
                <w:szCs w:val="20"/>
                <w:vertAlign w:val="subscript"/>
              </w:rPr>
              <w:t>0</w:t>
            </w:r>
            <w:r w:rsidRPr="009B605C">
              <w:rPr>
                <w:rFonts w:ascii="Cambria" w:hAnsi="Cambria"/>
                <w:bCs/>
                <w:color w:val="000000"/>
                <w:sz w:val="20"/>
                <w:szCs w:val="20"/>
              </w:rPr>
              <w:t xml:space="preserve">: BRICS </w:t>
            </w:r>
            <w:r w:rsidRPr="009B605C">
              <w:rPr>
                <w:rFonts w:ascii="Cambria" w:hAnsi="Cambria" w:cs="Cambria Math"/>
                <w:bCs/>
                <w:color w:val="000000"/>
                <w:sz w:val="20"/>
                <w:szCs w:val="20"/>
              </w:rPr>
              <w:t>⇏</w:t>
            </w:r>
            <w:r w:rsidRPr="009B605C">
              <w:rPr>
                <w:rFonts w:ascii="Cambria" w:hAnsi="Cambria"/>
                <w:bCs/>
                <w:color w:val="000000"/>
                <w:sz w:val="20"/>
                <w:szCs w:val="20"/>
              </w:rPr>
              <w:t xml:space="preserve"> Gold</w:t>
            </w:r>
          </w:p>
        </w:tc>
        <w:tc>
          <w:tcPr>
            <w:tcW w:w="0" w:type="auto"/>
            <w:tcBorders>
              <w:top w:val="single" w:sz="4" w:space="0" w:color="auto"/>
              <w:left w:val="nil"/>
              <w:bottom w:val="single" w:sz="4" w:space="0" w:color="auto"/>
              <w:right w:val="nil"/>
            </w:tcBorders>
            <w:shd w:val="clear" w:color="auto" w:fill="auto"/>
            <w:noWrap/>
            <w:vAlign w:val="center"/>
            <w:hideMark/>
          </w:tcPr>
          <w:p w14:paraId="6456BF76" w14:textId="13752D24" w:rsidR="000A1E23" w:rsidRPr="009B605C" w:rsidRDefault="000A1E23" w:rsidP="0087752F">
            <w:pPr>
              <w:rPr>
                <w:rFonts w:ascii="Cambria" w:hAnsi="Cambria"/>
                <w:color w:val="000000"/>
                <w:sz w:val="20"/>
                <w:szCs w:val="20"/>
              </w:rPr>
            </w:pPr>
            <w:r w:rsidRPr="009B605C">
              <w:rPr>
                <w:rFonts w:ascii="Cambria" w:hAnsi="Cambria"/>
                <w:bCs/>
                <w:color w:val="000000"/>
                <w:sz w:val="20"/>
                <w:szCs w:val="20"/>
              </w:rPr>
              <w:t>H</w:t>
            </w:r>
            <w:r w:rsidRPr="009B605C">
              <w:rPr>
                <w:rFonts w:ascii="Cambria" w:hAnsi="Cambria"/>
                <w:bCs/>
                <w:color w:val="000000"/>
                <w:sz w:val="20"/>
                <w:szCs w:val="20"/>
                <w:vertAlign w:val="subscript"/>
              </w:rPr>
              <w:t>0</w:t>
            </w:r>
            <w:r w:rsidRPr="009B605C">
              <w:rPr>
                <w:rFonts w:ascii="Cambria" w:hAnsi="Cambria"/>
                <w:bCs/>
                <w:color w:val="000000"/>
                <w:sz w:val="20"/>
                <w:szCs w:val="20"/>
              </w:rPr>
              <w:t xml:space="preserve">: Gold </w:t>
            </w:r>
            <w:r w:rsidRPr="009B605C">
              <w:rPr>
                <w:rFonts w:ascii="Cambria" w:hAnsi="Cambria" w:cs="Cambria Math"/>
                <w:bCs/>
                <w:color w:val="000000"/>
                <w:sz w:val="20"/>
                <w:szCs w:val="20"/>
              </w:rPr>
              <w:t>⇏</w:t>
            </w:r>
            <w:r w:rsidRPr="009B605C">
              <w:rPr>
                <w:rFonts w:ascii="Cambria" w:hAnsi="Cambria"/>
                <w:bCs/>
                <w:color w:val="000000"/>
                <w:sz w:val="20"/>
                <w:szCs w:val="20"/>
              </w:rPr>
              <w:t xml:space="preserve"> BRICS</w:t>
            </w:r>
          </w:p>
        </w:tc>
        <w:tc>
          <w:tcPr>
            <w:tcW w:w="0" w:type="auto"/>
            <w:tcBorders>
              <w:top w:val="single" w:sz="4" w:space="0" w:color="auto"/>
              <w:left w:val="nil"/>
              <w:bottom w:val="single" w:sz="4" w:space="0" w:color="auto"/>
              <w:right w:val="nil"/>
            </w:tcBorders>
            <w:shd w:val="clear" w:color="auto" w:fill="auto"/>
            <w:noWrap/>
            <w:vAlign w:val="center"/>
            <w:hideMark/>
          </w:tcPr>
          <w:p w14:paraId="6EFBF538" w14:textId="101659FE" w:rsidR="000A1E23" w:rsidRPr="009B605C" w:rsidRDefault="000A1E23" w:rsidP="0087752F">
            <w:pPr>
              <w:rPr>
                <w:rFonts w:ascii="Cambria" w:hAnsi="Cambria"/>
                <w:bCs/>
                <w:color w:val="000000"/>
                <w:sz w:val="20"/>
                <w:szCs w:val="20"/>
              </w:rPr>
            </w:pPr>
            <w:r w:rsidRPr="009B605C">
              <w:rPr>
                <w:rFonts w:ascii="Cambria" w:hAnsi="Cambria"/>
                <w:bCs/>
                <w:color w:val="000000"/>
                <w:sz w:val="20"/>
                <w:szCs w:val="20"/>
              </w:rPr>
              <w:t>H</w:t>
            </w:r>
            <w:r w:rsidRPr="009B605C">
              <w:rPr>
                <w:rFonts w:ascii="Cambria" w:hAnsi="Cambria"/>
                <w:bCs/>
                <w:color w:val="000000"/>
                <w:sz w:val="20"/>
                <w:szCs w:val="20"/>
                <w:vertAlign w:val="subscript"/>
              </w:rPr>
              <w:t>0</w:t>
            </w:r>
            <w:r w:rsidRPr="009B605C">
              <w:rPr>
                <w:rFonts w:ascii="Cambria" w:hAnsi="Cambria"/>
                <w:bCs/>
                <w:color w:val="000000"/>
                <w:sz w:val="20"/>
                <w:szCs w:val="20"/>
              </w:rPr>
              <w:t xml:space="preserve">: BRICS </w:t>
            </w:r>
            <w:r w:rsidRPr="009B605C">
              <w:rPr>
                <w:rFonts w:ascii="Cambria" w:hAnsi="Cambria" w:cs="Cambria Math"/>
                <w:bCs/>
                <w:color w:val="000000"/>
                <w:sz w:val="20"/>
                <w:szCs w:val="20"/>
              </w:rPr>
              <w:t>⇏</w:t>
            </w:r>
            <w:r w:rsidRPr="009B605C">
              <w:rPr>
                <w:rFonts w:ascii="Cambria" w:hAnsi="Cambria"/>
                <w:bCs/>
                <w:color w:val="000000"/>
                <w:sz w:val="20"/>
                <w:szCs w:val="20"/>
              </w:rPr>
              <w:t xml:space="preserve"> Crypto</w:t>
            </w:r>
          </w:p>
        </w:tc>
        <w:tc>
          <w:tcPr>
            <w:tcW w:w="0" w:type="auto"/>
            <w:tcBorders>
              <w:top w:val="single" w:sz="4" w:space="0" w:color="auto"/>
              <w:left w:val="nil"/>
              <w:bottom w:val="nil"/>
              <w:right w:val="nil"/>
            </w:tcBorders>
            <w:shd w:val="clear" w:color="auto" w:fill="auto"/>
            <w:noWrap/>
            <w:vAlign w:val="center"/>
            <w:hideMark/>
          </w:tcPr>
          <w:p w14:paraId="52FB6000" w14:textId="0ED5C668" w:rsidR="000A1E23" w:rsidRPr="009B605C" w:rsidRDefault="000A1E23" w:rsidP="0087752F">
            <w:pPr>
              <w:rPr>
                <w:rFonts w:ascii="Cambria" w:hAnsi="Cambria"/>
                <w:bCs/>
                <w:color w:val="000000"/>
                <w:sz w:val="20"/>
                <w:szCs w:val="20"/>
              </w:rPr>
            </w:pPr>
            <w:r w:rsidRPr="009B605C">
              <w:rPr>
                <w:rFonts w:ascii="Cambria" w:hAnsi="Cambria"/>
                <w:bCs/>
                <w:color w:val="000000"/>
                <w:sz w:val="20"/>
                <w:szCs w:val="20"/>
              </w:rPr>
              <w:t>H</w:t>
            </w:r>
            <w:r w:rsidRPr="009B605C">
              <w:rPr>
                <w:rFonts w:ascii="Cambria" w:hAnsi="Cambria"/>
                <w:bCs/>
                <w:color w:val="000000"/>
                <w:sz w:val="20"/>
                <w:szCs w:val="20"/>
                <w:vertAlign w:val="subscript"/>
              </w:rPr>
              <w:t>0</w:t>
            </w:r>
            <w:r w:rsidRPr="009B605C">
              <w:rPr>
                <w:rFonts w:ascii="Cambria" w:hAnsi="Cambria"/>
                <w:bCs/>
                <w:color w:val="000000"/>
                <w:sz w:val="20"/>
                <w:szCs w:val="20"/>
              </w:rPr>
              <w:t xml:space="preserve">: Crypto </w:t>
            </w:r>
            <w:r w:rsidRPr="009B605C">
              <w:rPr>
                <w:rFonts w:ascii="Cambria" w:hAnsi="Cambria" w:cs="Cambria Math"/>
                <w:bCs/>
                <w:color w:val="000000"/>
                <w:sz w:val="20"/>
                <w:szCs w:val="20"/>
              </w:rPr>
              <w:t>⇏</w:t>
            </w:r>
            <w:r w:rsidRPr="009B605C">
              <w:rPr>
                <w:rFonts w:ascii="Cambria" w:hAnsi="Cambria"/>
                <w:bCs/>
                <w:color w:val="000000"/>
                <w:sz w:val="20"/>
                <w:szCs w:val="20"/>
              </w:rPr>
              <w:t xml:space="preserve"> BRICS</w:t>
            </w:r>
          </w:p>
        </w:tc>
      </w:tr>
      <w:tr w:rsidR="0082061B" w:rsidRPr="009B605C" w14:paraId="78E547E7" w14:textId="77777777" w:rsidTr="00FF362A">
        <w:trPr>
          <w:trHeight w:val="340"/>
        </w:trPr>
        <w:tc>
          <w:tcPr>
            <w:tcW w:w="0" w:type="auto"/>
            <w:gridSpan w:val="3"/>
            <w:tcBorders>
              <w:top w:val="single" w:sz="4" w:space="0" w:color="auto"/>
              <w:left w:val="nil"/>
              <w:bottom w:val="nil"/>
              <w:right w:val="nil"/>
            </w:tcBorders>
            <w:shd w:val="clear" w:color="auto" w:fill="auto"/>
            <w:noWrap/>
            <w:vAlign w:val="bottom"/>
            <w:hideMark/>
          </w:tcPr>
          <w:p w14:paraId="364BE7C2" w14:textId="1E27BBEB" w:rsidR="0082061B" w:rsidRPr="009B605C" w:rsidRDefault="0082061B" w:rsidP="0087752F">
            <w:pPr>
              <w:rPr>
                <w:rFonts w:ascii="Cambria" w:hAnsi="Cambria"/>
                <w:b/>
                <w:bCs/>
                <w:color w:val="000000"/>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w:t>
            </w:r>
            <w:r w:rsidR="000A1E23" w:rsidRPr="009B605C">
              <w:rPr>
                <w:rFonts w:ascii="Cambria" w:hAnsi="Cambria"/>
                <w:color w:val="000000"/>
                <w:sz w:val="20"/>
                <w:szCs w:val="20"/>
              </w:rPr>
              <w:t>c</w:t>
            </w:r>
            <w:r w:rsidRPr="009B605C">
              <w:rPr>
                <w:rFonts w:ascii="Cambria" w:hAnsi="Cambria"/>
                <w:color w:val="000000"/>
                <w:sz w:val="20"/>
                <w:szCs w:val="20"/>
              </w:rPr>
              <w:t>onflict announcement</w:t>
            </w:r>
          </w:p>
        </w:tc>
        <w:tc>
          <w:tcPr>
            <w:tcW w:w="0" w:type="auto"/>
            <w:tcBorders>
              <w:top w:val="single" w:sz="4" w:space="0" w:color="auto"/>
              <w:left w:val="nil"/>
              <w:bottom w:val="nil"/>
              <w:right w:val="nil"/>
            </w:tcBorders>
            <w:shd w:val="clear" w:color="auto" w:fill="auto"/>
            <w:noWrap/>
            <w:vAlign w:val="bottom"/>
            <w:hideMark/>
          </w:tcPr>
          <w:p w14:paraId="1906D239" w14:textId="77777777" w:rsidR="0082061B" w:rsidRPr="009B605C" w:rsidRDefault="0082061B" w:rsidP="0087752F">
            <w:pPr>
              <w:rPr>
                <w:rFonts w:ascii="Cambria" w:hAnsi="Cambria"/>
                <w:b/>
                <w:bCs/>
                <w:color w:val="000000"/>
                <w:sz w:val="20"/>
                <w:szCs w:val="20"/>
              </w:rPr>
            </w:pPr>
          </w:p>
        </w:tc>
        <w:tc>
          <w:tcPr>
            <w:tcW w:w="0" w:type="auto"/>
            <w:tcBorders>
              <w:top w:val="single" w:sz="4" w:space="0" w:color="auto"/>
              <w:left w:val="nil"/>
              <w:bottom w:val="nil"/>
              <w:right w:val="nil"/>
            </w:tcBorders>
            <w:shd w:val="clear" w:color="auto" w:fill="auto"/>
            <w:noWrap/>
            <w:vAlign w:val="bottom"/>
            <w:hideMark/>
          </w:tcPr>
          <w:p w14:paraId="35BB98E5" w14:textId="77777777" w:rsidR="0082061B" w:rsidRPr="009B605C" w:rsidRDefault="0082061B" w:rsidP="0087752F">
            <w:pPr>
              <w:rPr>
                <w:rFonts w:ascii="Cambria" w:hAnsi="Cambria"/>
                <w:sz w:val="20"/>
                <w:szCs w:val="20"/>
              </w:rPr>
            </w:pPr>
          </w:p>
        </w:tc>
      </w:tr>
      <w:tr w:rsidR="005331C1" w:rsidRPr="009B605C" w14:paraId="22807C1E" w14:textId="77777777" w:rsidTr="00FF362A">
        <w:trPr>
          <w:trHeight w:val="340"/>
        </w:trPr>
        <w:tc>
          <w:tcPr>
            <w:tcW w:w="0" w:type="auto"/>
            <w:tcBorders>
              <w:top w:val="nil"/>
              <w:left w:val="nil"/>
              <w:bottom w:val="nil"/>
              <w:right w:val="nil"/>
            </w:tcBorders>
            <w:shd w:val="clear" w:color="auto" w:fill="auto"/>
            <w:noWrap/>
            <w:vAlign w:val="bottom"/>
            <w:hideMark/>
          </w:tcPr>
          <w:p w14:paraId="0F046A66"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Brazil</w:t>
            </w:r>
          </w:p>
        </w:tc>
        <w:tc>
          <w:tcPr>
            <w:tcW w:w="0" w:type="auto"/>
            <w:tcBorders>
              <w:top w:val="nil"/>
              <w:left w:val="nil"/>
              <w:bottom w:val="nil"/>
              <w:right w:val="nil"/>
            </w:tcBorders>
            <w:shd w:val="clear" w:color="auto" w:fill="auto"/>
            <w:noWrap/>
            <w:vAlign w:val="center"/>
            <w:hideMark/>
          </w:tcPr>
          <w:p w14:paraId="377279BC" w14:textId="39258AA6"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6.67</w:t>
            </w:r>
            <w:r w:rsidR="00FF362A" w:rsidRPr="009B605C">
              <w:rPr>
                <w:rFonts w:ascii="Cambria" w:hAnsi="Cambria"/>
                <w:color w:val="000000"/>
                <w:sz w:val="20"/>
                <w:szCs w:val="20"/>
              </w:rPr>
              <w:t>0</w:t>
            </w:r>
            <w:r w:rsidRPr="009B605C">
              <w:rPr>
                <w:rFonts w:ascii="Cambria" w:hAnsi="Cambria"/>
                <w:color w:val="000000"/>
                <w:sz w:val="20"/>
                <w:szCs w:val="20"/>
              </w:rPr>
              <w:t>***</w:t>
            </w:r>
          </w:p>
        </w:tc>
        <w:tc>
          <w:tcPr>
            <w:tcW w:w="0" w:type="auto"/>
            <w:tcBorders>
              <w:top w:val="nil"/>
              <w:left w:val="nil"/>
              <w:bottom w:val="nil"/>
              <w:right w:val="nil"/>
            </w:tcBorders>
            <w:shd w:val="clear" w:color="auto" w:fill="auto"/>
            <w:noWrap/>
            <w:vAlign w:val="center"/>
            <w:hideMark/>
          </w:tcPr>
          <w:p w14:paraId="3DB5015B"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0.738</w:t>
            </w:r>
          </w:p>
        </w:tc>
        <w:tc>
          <w:tcPr>
            <w:tcW w:w="0" w:type="auto"/>
            <w:tcBorders>
              <w:top w:val="nil"/>
              <w:left w:val="nil"/>
              <w:bottom w:val="nil"/>
              <w:right w:val="nil"/>
            </w:tcBorders>
            <w:shd w:val="clear" w:color="auto" w:fill="auto"/>
            <w:noWrap/>
            <w:vAlign w:val="center"/>
            <w:hideMark/>
          </w:tcPr>
          <w:p w14:paraId="6401D4A7"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4.897**</w:t>
            </w:r>
          </w:p>
        </w:tc>
        <w:tc>
          <w:tcPr>
            <w:tcW w:w="0" w:type="auto"/>
            <w:tcBorders>
              <w:top w:val="nil"/>
              <w:left w:val="nil"/>
              <w:bottom w:val="nil"/>
              <w:right w:val="nil"/>
            </w:tcBorders>
            <w:shd w:val="clear" w:color="auto" w:fill="auto"/>
            <w:noWrap/>
            <w:vAlign w:val="center"/>
            <w:hideMark/>
          </w:tcPr>
          <w:p w14:paraId="3547E748"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3.585*</w:t>
            </w:r>
          </w:p>
        </w:tc>
      </w:tr>
      <w:tr w:rsidR="005331C1" w:rsidRPr="009B605C" w14:paraId="549E0839" w14:textId="77777777" w:rsidTr="00FF362A">
        <w:trPr>
          <w:trHeight w:val="340"/>
        </w:trPr>
        <w:tc>
          <w:tcPr>
            <w:tcW w:w="0" w:type="auto"/>
            <w:tcBorders>
              <w:top w:val="nil"/>
              <w:left w:val="nil"/>
              <w:bottom w:val="nil"/>
              <w:right w:val="nil"/>
            </w:tcBorders>
            <w:shd w:val="clear" w:color="auto" w:fill="auto"/>
            <w:noWrap/>
            <w:vAlign w:val="bottom"/>
            <w:hideMark/>
          </w:tcPr>
          <w:p w14:paraId="36263EE6"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Russia</w:t>
            </w:r>
          </w:p>
        </w:tc>
        <w:tc>
          <w:tcPr>
            <w:tcW w:w="0" w:type="auto"/>
            <w:tcBorders>
              <w:top w:val="nil"/>
              <w:left w:val="nil"/>
              <w:bottom w:val="nil"/>
              <w:right w:val="nil"/>
            </w:tcBorders>
            <w:shd w:val="clear" w:color="auto" w:fill="auto"/>
            <w:noWrap/>
            <w:vAlign w:val="center"/>
            <w:hideMark/>
          </w:tcPr>
          <w:p w14:paraId="7447D9A4"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0.732</w:t>
            </w:r>
          </w:p>
        </w:tc>
        <w:tc>
          <w:tcPr>
            <w:tcW w:w="0" w:type="auto"/>
            <w:tcBorders>
              <w:top w:val="nil"/>
              <w:left w:val="nil"/>
              <w:bottom w:val="nil"/>
              <w:right w:val="nil"/>
            </w:tcBorders>
            <w:shd w:val="clear" w:color="auto" w:fill="auto"/>
            <w:noWrap/>
            <w:vAlign w:val="center"/>
            <w:hideMark/>
          </w:tcPr>
          <w:p w14:paraId="03754B7D"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0.233</w:t>
            </w:r>
          </w:p>
        </w:tc>
        <w:tc>
          <w:tcPr>
            <w:tcW w:w="0" w:type="auto"/>
            <w:tcBorders>
              <w:top w:val="nil"/>
              <w:left w:val="nil"/>
              <w:bottom w:val="nil"/>
              <w:right w:val="nil"/>
            </w:tcBorders>
            <w:shd w:val="clear" w:color="auto" w:fill="auto"/>
            <w:noWrap/>
            <w:vAlign w:val="center"/>
            <w:hideMark/>
          </w:tcPr>
          <w:p w14:paraId="45DDA4E5"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0.024</w:t>
            </w:r>
          </w:p>
        </w:tc>
        <w:tc>
          <w:tcPr>
            <w:tcW w:w="0" w:type="auto"/>
            <w:tcBorders>
              <w:top w:val="nil"/>
              <w:left w:val="nil"/>
              <w:bottom w:val="nil"/>
              <w:right w:val="nil"/>
            </w:tcBorders>
            <w:shd w:val="clear" w:color="auto" w:fill="auto"/>
            <w:noWrap/>
            <w:vAlign w:val="center"/>
            <w:hideMark/>
          </w:tcPr>
          <w:p w14:paraId="630BBEA7" w14:textId="5741F0AA"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1.95</w:t>
            </w:r>
            <w:r w:rsidR="00965B2D" w:rsidRPr="009B605C">
              <w:rPr>
                <w:rFonts w:ascii="Cambria" w:hAnsi="Cambria"/>
                <w:color w:val="000000"/>
                <w:sz w:val="20"/>
                <w:szCs w:val="20"/>
              </w:rPr>
              <w:t>0</w:t>
            </w:r>
          </w:p>
        </w:tc>
      </w:tr>
      <w:tr w:rsidR="005331C1" w:rsidRPr="009B605C" w14:paraId="6E8BF072" w14:textId="77777777" w:rsidTr="00FF362A">
        <w:trPr>
          <w:trHeight w:val="340"/>
        </w:trPr>
        <w:tc>
          <w:tcPr>
            <w:tcW w:w="0" w:type="auto"/>
            <w:tcBorders>
              <w:top w:val="nil"/>
              <w:left w:val="nil"/>
              <w:bottom w:val="nil"/>
              <w:right w:val="nil"/>
            </w:tcBorders>
            <w:shd w:val="clear" w:color="auto" w:fill="auto"/>
            <w:noWrap/>
            <w:vAlign w:val="bottom"/>
            <w:hideMark/>
          </w:tcPr>
          <w:p w14:paraId="4DAE60B4"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India</w:t>
            </w:r>
          </w:p>
        </w:tc>
        <w:tc>
          <w:tcPr>
            <w:tcW w:w="0" w:type="auto"/>
            <w:tcBorders>
              <w:top w:val="nil"/>
              <w:left w:val="nil"/>
              <w:bottom w:val="nil"/>
              <w:right w:val="nil"/>
            </w:tcBorders>
            <w:shd w:val="clear" w:color="auto" w:fill="auto"/>
            <w:noWrap/>
            <w:vAlign w:val="center"/>
            <w:hideMark/>
          </w:tcPr>
          <w:p w14:paraId="35C0A5BE"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1.286</w:t>
            </w:r>
          </w:p>
        </w:tc>
        <w:tc>
          <w:tcPr>
            <w:tcW w:w="0" w:type="auto"/>
            <w:tcBorders>
              <w:top w:val="nil"/>
              <w:left w:val="nil"/>
              <w:bottom w:val="nil"/>
              <w:right w:val="nil"/>
            </w:tcBorders>
            <w:shd w:val="clear" w:color="auto" w:fill="auto"/>
            <w:noWrap/>
            <w:vAlign w:val="center"/>
            <w:hideMark/>
          </w:tcPr>
          <w:p w14:paraId="3AA34762"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1.876</w:t>
            </w:r>
          </w:p>
        </w:tc>
        <w:tc>
          <w:tcPr>
            <w:tcW w:w="0" w:type="auto"/>
            <w:tcBorders>
              <w:top w:val="nil"/>
              <w:left w:val="nil"/>
              <w:bottom w:val="nil"/>
              <w:right w:val="nil"/>
            </w:tcBorders>
            <w:shd w:val="clear" w:color="auto" w:fill="auto"/>
            <w:noWrap/>
            <w:vAlign w:val="center"/>
            <w:hideMark/>
          </w:tcPr>
          <w:p w14:paraId="24F660E1"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6.219**</w:t>
            </w:r>
          </w:p>
        </w:tc>
        <w:tc>
          <w:tcPr>
            <w:tcW w:w="0" w:type="auto"/>
            <w:tcBorders>
              <w:top w:val="nil"/>
              <w:left w:val="nil"/>
              <w:bottom w:val="nil"/>
              <w:right w:val="nil"/>
            </w:tcBorders>
            <w:shd w:val="clear" w:color="auto" w:fill="auto"/>
            <w:noWrap/>
            <w:vAlign w:val="center"/>
            <w:hideMark/>
          </w:tcPr>
          <w:p w14:paraId="1AEF6F42"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2.865*</w:t>
            </w:r>
          </w:p>
        </w:tc>
      </w:tr>
      <w:tr w:rsidR="005331C1" w:rsidRPr="009B605C" w14:paraId="67FCE8AB" w14:textId="77777777" w:rsidTr="00FF362A">
        <w:trPr>
          <w:trHeight w:val="340"/>
        </w:trPr>
        <w:tc>
          <w:tcPr>
            <w:tcW w:w="0" w:type="auto"/>
            <w:tcBorders>
              <w:top w:val="nil"/>
              <w:left w:val="nil"/>
              <w:bottom w:val="nil"/>
              <w:right w:val="nil"/>
            </w:tcBorders>
            <w:shd w:val="clear" w:color="auto" w:fill="auto"/>
            <w:noWrap/>
            <w:vAlign w:val="bottom"/>
            <w:hideMark/>
          </w:tcPr>
          <w:p w14:paraId="09942B78"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China</w:t>
            </w:r>
          </w:p>
        </w:tc>
        <w:tc>
          <w:tcPr>
            <w:tcW w:w="0" w:type="auto"/>
            <w:tcBorders>
              <w:top w:val="nil"/>
              <w:left w:val="nil"/>
              <w:bottom w:val="nil"/>
              <w:right w:val="nil"/>
            </w:tcBorders>
            <w:shd w:val="clear" w:color="auto" w:fill="auto"/>
            <w:noWrap/>
            <w:vAlign w:val="center"/>
            <w:hideMark/>
          </w:tcPr>
          <w:p w14:paraId="14545D5C"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3.285*</w:t>
            </w:r>
          </w:p>
        </w:tc>
        <w:tc>
          <w:tcPr>
            <w:tcW w:w="0" w:type="auto"/>
            <w:tcBorders>
              <w:top w:val="nil"/>
              <w:left w:val="nil"/>
              <w:bottom w:val="nil"/>
              <w:right w:val="nil"/>
            </w:tcBorders>
            <w:shd w:val="clear" w:color="auto" w:fill="auto"/>
            <w:noWrap/>
            <w:vAlign w:val="center"/>
            <w:hideMark/>
          </w:tcPr>
          <w:p w14:paraId="038E3FD5"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0.001</w:t>
            </w:r>
          </w:p>
        </w:tc>
        <w:tc>
          <w:tcPr>
            <w:tcW w:w="0" w:type="auto"/>
            <w:tcBorders>
              <w:top w:val="nil"/>
              <w:left w:val="nil"/>
              <w:bottom w:val="nil"/>
              <w:right w:val="nil"/>
            </w:tcBorders>
            <w:shd w:val="clear" w:color="auto" w:fill="auto"/>
            <w:noWrap/>
            <w:vAlign w:val="center"/>
            <w:hideMark/>
          </w:tcPr>
          <w:p w14:paraId="033384B5"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0.002</w:t>
            </w:r>
          </w:p>
        </w:tc>
        <w:tc>
          <w:tcPr>
            <w:tcW w:w="0" w:type="auto"/>
            <w:tcBorders>
              <w:top w:val="nil"/>
              <w:left w:val="nil"/>
              <w:bottom w:val="nil"/>
              <w:right w:val="nil"/>
            </w:tcBorders>
            <w:shd w:val="clear" w:color="auto" w:fill="auto"/>
            <w:noWrap/>
            <w:vAlign w:val="center"/>
            <w:hideMark/>
          </w:tcPr>
          <w:p w14:paraId="6A76BB50"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0.268</w:t>
            </w:r>
          </w:p>
        </w:tc>
      </w:tr>
      <w:tr w:rsidR="005331C1" w:rsidRPr="009B605C" w14:paraId="018FA6BF" w14:textId="77777777" w:rsidTr="00FF362A">
        <w:trPr>
          <w:trHeight w:val="340"/>
        </w:trPr>
        <w:tc>
          <w:tcPr>
            <w:tcW w:w="0" w:type="auto"/>
            <w:tcBorders>
              <w:top w:val="nil"/>
              <w:left w:val="nil"/>
              <w:bottom w:val="nil"/>
              <w:right w:val="nil"/>
            </w:tcBorders>
            <w:shd w:val="clear" w:color="auto" w:fill="auto"/>
            <w:noWrap/>
            <w:vAlign w:val="bottom"/>
            <w:hideMark/>
          </w:tcPr>
          <w:p w14:paraId="6C76DB95"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South Africa</w:t>
            </w:r>
          </w:p>
        </w:tc>
        <w:tc>
          <w:tcPr>
            <w:tcW w:w="0" w:type="auto"/>
            <w:tcBorders>
              <w:top w:val="nil"/>
              <w:left w:val="nil"/>
              <w:bottom w:val="nil"/>
              <w:right w:val="nil"/>
            </w:tcBorders>
            <w:shd w:val="clear" w:color="auto" w:fill="auto"/>
            <w:noWrap/>
            <w:vAlign w:val="center"/>
            <w:hideMark/>
          </w:tcPr>
          <w:p w14:paraId="26D2DFD0"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0.163</w:t>
            </w:r>
          </w:p>
        </w:tc>
        <w:tc>
          <w:tcPr>
            <w:tcW w:w="0" w:type="auto"/>
            <w:tcBorders>
              <w:top w:val="nil"/>
              <w:left w:val="nil"/>
              <w:bottom w:val="nil"/>
              <w:right w:val="nil"/>
            </w:tcBorders>
            <w:shd w:val="clear" w:color="auto" w:fill="auto"/>
            <w:noWrap/>
            <w:vAlign w:val="center"/>
            <w:hideMark/>
          </w:tcPr>
          <w:p w14:paraId="02E0EBA2"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3.358*</w:t>
            </w:r>
          </w:p>
        </w:tc>
        <w:tc>
          <w:tcPr>
            <w:tcW w:w="0" w:type="auto"/>
            <w:tcBorders>
              <w:top w:val="nil"/>
              <w:left w:val="nil"/>
              <w:bottom w:val="nil"/>
              <w:right w:val="nil"/>
            </w:tcBorders>
            <w:shd w:val="clear" w:color="auto" w:fill="auto"/>
            <w:noWrap/>
            <w:vAlign w:val="center"/>
            <w:hideMark/>
          </w:tcPr>
          <w:p w14:paraId="09BC5AC1"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7.455***</w:t>
            </w:r>
          </w:p>
        </w:tc>
        <w:tc>
          <w:tcPr>
            <w:tcW w:w="0" w:type="auto"/>
            <w:tcBorders>
              <w:top w:val="nil"/>
              <w:left w:val="nil"/>
              <w:bottom w:val="nil"/>
              <w:right w:val="nil"/>
            </w:tcBorders>
            <w:shd w:val="clear" w:color="auto" w:fill="auto"/>
            <w:noWrap/>
            <w:vAlign w:val="center"/>
            <w:hideMark/>
          </w:tcPr>
          <w:p w14:paraId="19F25ABC"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2.694</w:t>
            </w:r>
          </w:p>
        </w:tc>
      </w:tr>
      <w:tr w:rsidR="0082061B" w:rsidRPr="009B605C" w14:paraId="072E15CB" w14:textId="77777777" w:rsidTr="000A1E23">
        <w:trPr>
          <w:trHeight w:val="340"/>
        </w:trPr>
        <w:tc>
          <w:tcPr>
            <w:tcW w:w="0" w:type="auto"/>
            <w:gridSpan w:val="3"/>
            <w:tcBorders>
              <w:top w:val="nil"/>
              <w:left w:val="nil"/>
              <w:bottom w:val="nil"/>
              <w:right w:val="nil"/>
            </w:tcBorders>
            <w:shd w:val="clear" w:color="auto" w:fill="auto"/>
            <w:noWrap/>
            <w:vAlign w:val="bottom"/>
            <w:hideMark/>
          </w:tcPr>
          <w:p w14:paraId="7EFCAA6A" w14:textId="20360422" w:rsidR="0082061B" w:rsidRPr="009B605C" w:rsidRDefault="0082061B" w:rsidP="0087752F">
            <w:pPr>
              <w:rPr>
                <w:rFonts w:ascii="Cambria" w:hAnsi="Cambria"/>
                <w:b/>
                <w:bCs/>
                <w:color w:val="000000"/>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w:t>
            </w:r>
            <w:r w:rsidR="000A1E23" w:rsidRPr="009B605C">
              <w:rPr>
                <w:rFonts w:ascii="Cambria" w:hAnsi="Cambria"/>
                <w:color w:val="000000"/>
                <w:sz w:val="20"/>
                <w:szCs w:val="20"/>
              </w:rPr>
              <w:t>c</w:t>
            </w:r>
            <w:r w:rsidRPr="009B605C">
              <w:rPr>
                <w:rFonts w:ascii="Cambria" w:hAnsi="Cambria"/>
                <w:color w:val="000000"/>
                <w:sz w:val="20"/>
                <w:szCs w:val="20"/>
              </w:rPr>
              <w:t>onflict announcement</w:t>
            </w:r>
          </w:p>
        </w:tc>
        <w:tc>
          <w:tcPr>
            <w:tcW w:w="0" w:type="auto"/>
            <w:tcBorders>
              <w:top w:val="nil"/>
              <w:left w:val="nil"/>
              <w:bottom w:val="nil"/>
              <w:right w:val="nil"/>
            </w:tcBorders>
            <w:shd w:val="clear" w:color="auto" w:fill="auto"/>
            <w:noWrap/>
            <w:vAlign w:val="bottom"/>
            <w:hideMark/>
          </w:tcPr>
          <w:p w14:paraId="3E228F78" w14:textId="77777777" w:rsidR="0082061B" w:rsidRPr="009B605C" w:rsidRDefault="0082061B" w:rsidP="0087752F">
            <w:pPr>
              <w:rPr>
                <w:rFonts w:ascii="Cambria" w:hAnsi="Cambria"/>
                <w:b/>
                <w:bCs/>
                <w:color w:val="000000"/>
                <w:sz w:val="20"/>
                <w:szCs w:val="20"/>
              </w:rPr>
            </w:pPr>
          </w:p>
        </w:tc>
        <w:tc>
          <w:tcPr>
            <w:tcW w:w="0" w:type="auto"/>
            <w:tcBorders>
              <w:top w:val="nil"/>
              <w:left w:val="nil"/>
              <w:bottom w:val="nil"/>
              <w:right w:val="nil"/>
            </w:tcBorders>
            <w:shd w:val="clear" w:color="auto" w:fill="auto"/>
            <w:noWrap/>
            <w:vAlign w:val="bottom"/>
            <w:hideMark/>
          </w:tcPr>
          <w:p w14:paraId="4EE6CC07" w14:textId="77777777" w:rsidR="0082061B" w:rsidRPr="009B605C" w:rsidRDefault="0082061B" w:rsidP="0087752F">
            <w:pPr>
              <w:rPr>
                <w:rFonts w:ascii="Cambria" w:hAnsi="Cambria"/>
                <w:sz w:val="20"/>
                <w:szCs w:val="20"/>
              </w:rPr>
            </w:pPr>
          </w:p>
        </w:tc>
      </w:tr>
      <w:tr w:rsidR="005331C1" w:rsidRPr="009B605C" w14:paraId="1C294BD3" w14:textId="77777777" w:rsidTr="000A1E23">
        <w:trPr>
          <w:trHeight w:val="340"/>
        </w:trPr>
        <w:tc>
          <w:tcPr>
            <w:tcW w:w="0" w:type="auto"/>
            <w:tcBorders>
              <w:top w:val="nil"/>
              <w:left w:val="nil"/>
              <w:bottom w:val="nil"/>
              <w:right w:val="nil"/>
            </w:tcBorders>
            <w:shd w:val="clear" w:color="auto" w:fill="auto"/>
            <w:noWrap/>
            <w:vAlign w:val="bottom"/>
            <w:hideMark/>
          </w:tcPr>
          <w:p w14:paraId="0E06B9C8"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Brazil</w:t>
            </w:r>
          </w:p>
        </w:tc>
        <w:tc>
          <w:tcPr>
            <w:tcW w:w="0" w:type="auto"/>
            <w:tcBorders>
              <w:top w:val="nil"/>
              <w:left w:val="nil"/>
              <w:bottom w:val="nil"/>
              <w:right w:val="nil"/>
            </w:tcBorders>
            <w:shd w:val="clear" w:color="auto" w:fill="auto"/>
            <w:noWrap/>
            <w:vAlign w:val="bottom"/>
            <w:hideMark/>
          </w:tcPr>
          <w:p w14:paraId="3311E781"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0.773</w:t>
            </w:r>
          </w:p>
        </w:tc>
        <w:tc>
          <w:tcPr>
            <w:tcW w:w="0" w:type="auto"/>
            <w:tcBorders>
              <w:top w:val="nil"/>
              <w:left w:val="nil"/>
              <w:bottom w:val="nil"/>
              <w:right w:val="nil"/>
            </w:tcBorders>
            <w:shd w:val="clear" w:color="auto" w:fill="auto"/>
            <w:noWrap/>
            <w:vAlign w:val="bottom"/>
            <w:hideMark/>
          </w:tcPr>
          <w:p w14:paraId="50EAFC08"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0.141</w:t>
            </w:r>
          </w:p>
        </w:tc>
        <w:tc>
          <w:tcPr>
            <w:tcW w:w="0" w:type="auto"/>
            <w:tcBorders>
              <w:top w:val="nil"/>
              <w:left w:val="nil"/>
              <w:bottom w:val="nil"/>
              <w:right w:val="nil"/>
            </w:tcBorders>
            <w:shd w:val="clear" w:color="auto" w:fill="auto"/>
            <w:noWrap/>
            <w:vAlign w:val="bottom"/>
            <w:hideMark/>
          </w:tcPr>
          <w:p w14:paraId="61D39346"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0.385</w:t>
            </w:r>
          </w:p>
        </w:tc>
        <w:tc>
          <w:tcPr>
            <w:tcW w:w="0" w:type="auto"/>
            <w:tcBorders>
              <w:top w:val="nil"/>
              <w:left w:val="nil"/>
              <w:bottom w:val="nil"/>
              <w:right w:val="nil"/>
            </w:tcBorders>
            <w:shd w:val="clear" w:color="auto" w:fill="auto"/>
            <w:noWrap/>
            <w:vAlign w:val="bottom"/>
            <w:hideMark/>
          </w:tcPr>
          <w:p w14:paraId="0CC5D281"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0.104</w:t>
            </w:r>
          </w:p>
        </w:tc>
      </w:tr>
      <w:tr w:rsidR="005331C1" w:rsidRPr="009B605C" w14:paraId="4C86D573" w14:textId="77777777" w:rsidTr="000A1E23">
        <w:trPr>
          <w:trHeight w:val="340"/>
        </w:trPr>
        <w:tc>
          <w:tcPr>
            <w:tcW w:w="0" w:type="auto"/>
            <w:tcBorders>
              <w:top w:val="nil"/>
              <w:left w:val="nil"/>
              <w:bottom w:val="nil"/>
              <w:right w:val="nil"/>
            </w:tcBorders>
            <w:shd w:val="clear" w:color="auto" w:fill="auto"/>
            <w:noWrap/>
            <w:vAlign w:val="bottom"/>
            <w:hideMark/>
          </w:tcPr>
          <w:p w14:paraId="774E9087"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Russia</w:t>
            </w:r>
          </w:p>
        </w:tc>
        <w:tc>
          <w:tcPr>
            <w:tcW w:w="0" w:type="auto"/>
            <w:tcBorders>
              <w:top w:val="nil"/>
              <w:left w:val="nil"/>
              <w:bottom w:val="nil"/>
              <w:right w:val="nil"/>
            </w:tcBorders>
            <w:shd w:val="clear" w:color="auto" w:fill="auto"/>
            <w:noWrap/>
            <w:vAlign w:val="bottom"/>
            <w:hideMark/>
          </w:tcPr>
          <w:p w14:paraId="1C0B71B2"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2.089</w:t>
            </w:r>
          </w:p>
        </w:tc>
        <w:tc>
          <w:tcPr>
            <w:tcW w:w="0" w:type="auto"/>
            <w:tcBorders>
              <w:top w:val="nil"/>
              <w:left w:val="nil"/>
              <w:bottom w:val="nil"/>
              <w:right w:val="nil"/>
            </w:tcBorders>
            <w:shd w:val="clear" w:color="auto" w:fill="auto"/>
            <w:noWrap/>
            <w:vAlign w:val="bottom"/>
            <w:hideMark/>
          </w:tcPr>
          <w:p w14:paraId="7E158DCE"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0.314</w:t>
            </w:r>
          </w:p>
        </w:tc>
        <w:tc>
          <w:tcPr>
            <w:tcW w:w="0" w:type="auto"/>
            <w:tcBorders>
              <w:top w:val="nil"/>
              <w:left w:val="nil"/>
              <w:bottom w:val="nil"/>
              <w:right w:val="nil"/>
            </w:tcBorders>
            <w:shd w:val="clear" w:color="auto" w:fill="auto"/>
            <w:noWrap/>
            <w:vAlign w:val="bottom"/>
            <w:hideMark/>
          </w:tcPr>
          <w:p w14:paraId="1BEE175E"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0.647</w:t>
            </w:r>
          </w:p>
        </w:tc>
        <w:tc>
          <w:tcPr>
            <w:tcW w:w="0" w:type="auto"/>
            <w:tcBorders>
              <w:top w:val="nil"/>
              <w:left w:val="nil"/>
              <w:bottom w:val="nil"/>
              <w:right w:val="nil"/>
            </w:tcBorders>
            <w:shd w:val="clear" w:color="auto" w:fill="auto"/>
            <w:noWrap/>
            <w:vAlign w:val="bottom"/>
            <w:hideMark/>
          </w:tcPr>
          <w:p w14:paraId="18032A9F"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1.455</w:t>
            </w:r>
          </w:p>
        </w:tc>
      </w:tr>
      <w:tr w:rsidR="005331C1" w:rsidRPr="009B605C" w14:paraId="1DAEE225" w14:textId="77777777" w:rsidTr="000A1E23">
        <w:trPr>
          <w:trHeight w:val="340"/>
        </w:trPr>
        <w:tc>
          <w:tcPr>
            <w:tcW w:w="0" w:type="auto"/>
            <w:tcBorders>
              <w:top w:val="nil"/>
              <w:left w:val="nil"/>
              <w:bottom w:val="nil"/>
              <w:right w:val="nil"/>
            </w:tcBorders>
            <w:shd w:val="clear" w:color="auto" w:fill="auto"/>
            <w:noWrap/>
            <w:vAlign w:val="bottom"/>
            <w:hideMark/>
          </w:tcPr>
          <w:p w14:paraId="6BB785C0"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India</w:t>
            </w:r>
          </w:p>
        </w:tc>
        <w:tc>
          <w:tcPr>
            <w:tcW w:w="0" w:type="auto"/>
            <w:tcBorders>
              <w:top w:val="nil"/>
              <w:left w:val="nil"/>
              <w:bottom w:val="nil"/>
              <w:right w:val="nil"/>
            </w:tcBorders>
            <w:shd w:val="clear" w:color="auto" w:fill="auto"/>
            <w:noWrap/>
            <w:vAlign w:val="bottom"/>
            <w:hideMark/>
          </w:tcPr>
          <w:p w14:paraId="7A9302F1" w14:textId="126063F8"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w:t>
            </w:r>
            <w:r w:rsidR="00965B2D" w:rsidRPr="009B605C">
              <w:rPr>
                <w:rFonts w:ascii="Cambria" w:hAnsi="Cambria"/>
                <w:color w:val="000000"/>
                <w:sz w:val="20"/>
                <w:szCs w:val="20"/>
              </w:rPr>
              <w:t>.000</w:t>
            </w:r>
          </w:p>
        </w:tc>
        <w:tc>
          <w:tcPr>
            <w:tcW w:w="0" w:type="auto"/>
            <w:tcBorders>
              <w:top w:val="nil"/>
              <w:left w:val="nil"/>
              <w:bottom w:val="nil"/>
              <w:right w:val="nil"/>
            </w:tcBorders>
            <w:shd w:val="clear" w:color="auto" w:fill="auto"/>
            <w:noWrap/>
            <w:vAlign w:val="bottom"/>
            <w:hideMark/>
          </w:tcPr>
          <w:p w14:paraId="74E4E2D7"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0.423</w:t>
            </w:r>
          </w:p>
        </w:tc>
        <w:tc>
          <w:tcPr>
            <w:tcW w:w="0" w:type="auto"/>
            <w:tcBorders>
              <w:top w:val="nil"/>
              <w:left w:val="nil"/>
              <w:bottom w:val="nil"/>
              <w:right w:val="nil"/>
            </w:tcBorders>
            <w:shd w:val="clear" w:color="auto" w:fill="auto"/>
            <w:noWrap/>
            <w:vAlign w:val="bottom"/>
            <w:hideMark/>
          </w:tcPr>
          <w:p w14:paraId="0BDF45B9"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0.173</w:t>
            </w:r>
          </w:p>
        </w:tc>
        <w:tc>
          <w:tcPr>
            <w:tcW w:w="0" w:type="auto"/>
            <w:tcBorders>
              <w:top w:val="nil"/>
              <w:left w:val="nil"/>
              <w:bottom w:val="nil"/>
              <w:right w:val="nil"/>
            </w:tcBorders>
            <w:shd w:val="clear" w:color="auto" w:fill="auto"/>
            <w:noWrap/>
            <w:vAlign w:val="bottom"/>
            <w:hideMark/>
          </w:tcPr>
          <w:p w14:paraId="0F82882D"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0.116</w:t>
            </w:r>
          </w:p>
        </w:tc>
      </w:tr>
      <w:tr w:rsidR="005331C1" w:rsidRPr="009B605C" w14:paraId="4F800EFF" w14:textId="77777777" w:rsidTr="000A1E23">
        <w:trPr>
          <w:trHeight w:val="340"/>
        </w:trPr>
        <w:tc>
          <w:tcPr>
            <w:tcW w:w="0" w:type="auto"/>
            <w:tcBorders>
              <w:top w:val="nil"/>
              <w:left w:val="nil"/>
              <w:bottom w:val="nil"/>
              <w:right w:val="nil"/>
            </w:tcBorders>
            <w:shd w:val="clear" w:color="auto" w:fill="auto"/>
            <w:noWrap/>
            <w:vAlign w:val="bottom"/>
            <w:hideMark/>
          </w:tcPr>
          <w:p w14:paraId="592656F8"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China</w:t>
            </w:r>
          </w:p>
        </w:tc>
        <w:tc>
          <w:tcPr>
            <w:tcW w:w="0" w:type="auto"/>
            <w:tcBorders>
              <w:top w:val="nil"/>
              <w:left w:val="nil"/>
              <w:bottom w:val="nil"/>
              <w:right w:val="nil"/>
            </w:tcBorders>
            <w:shd w:val="clear" w:color="auto" w:fill="auto"/>
            <w:noWrap/>
            <w:vAlign w:val="bottom"/>
            <w:hideMark/>
          </w:tcPr>
          <w:p w14:paraId="2EE34468"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0.638</w:t>
            </w:r>
          </w:p>
        </w:tc>
        <w:tc>
          <w:tcPr>
            <w:tcW w:w="0" w:type="auto"/>
            <w:tcBorders>
              <w:top w:val="nil"/>
              <w:left w:val="nil"/>
              <w:bottom w:val="nil"/>
              <w:right w:val="nil"/>
            </w:tcBorders>
            <w:shd w:val="clear" w:color="auto" w:fill="auto"/>
            <w:noWrap/>
            <w:vAlign w:val="bottom"/>
            <w:hideMark/>
          </w:tcPr>
          <w:p w14:paraId="5FC41B3A"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0.303</w:t>
            </w:r>
          </w:p>
        </w:tc>
        <w:tc>
          <w:tcPr>
            <w:tcW w:w="0" w:type="auto"/>
            <w:tcBorders>
              <w:top w:val="nil"/>
              <w:left w:val="nil"/>
              <w:bottom w:val="nil"/>
              <w:right w:val="nil"/>
            </w:tcBorders>
            <w:shd w:val="clear" w:color="auto" w:fill="auto"/>
            <w:noWrap/>
            <w:vAlign w:val="bottom"/>
            <w:hideMark/>
          </w:tcPr>
          <w:p w14:paraId="01556AEC"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0.034</w:t>
            </w:r>
          </w:p>
        </w:tc>
        <w:tc>
          <w:tcPr>
            <w:tcW w:w="0" w:type="auto"/>
            <w:tcBorders>
              <w:top w:val="nil"/>
              <w:left w:val="nil"/>
              <w:bottom w:val="nil"/>
              <w:right w:val="nil"/>
            </w:tcBorders>
            <w:shd w:val="clear" w:color="auto" w:fill="auto"/>
            <w:noWrap/>
            <w:vAlign w:val="bottom"/>
            <w:hideMark/>
          </w:tcPr>
          <w:p w14:paraId="44F393F6" w14:textId="126A1668"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0.23</w:t>
            </w:r>
            <w:r w:rsidR="00965B2D" w:rsidRPr="009B605C">
              <w:rPr>
                <w:rFonts w:ascii="Cambria" w:hAnsi="Cambria"/>
                <w:color w:val="000000"/>
                <w:sz w:val="20"/>
                <w:szCs w:val="20"/>
              </w:rPr>
              <w:t>0</w:t>
            </w:r>
          </w:p>
        </w:tc>
      </w:tr>
      <w:tr w:rsidR="005331C1" w:rsidRPr="009B605C" w14:paraId="12A662D9" w14:textId="77777777" w:rsidTr="00FF362A">
        <w:trPr>
          <w:trHeight w:val="340"/>
        </w:trPr>
        <w:tc>
          <w:tcPr>
            <w:tcW w:w="0" w:type="auto"/>
            <w:tcBorders>
              <w:top w:val="nil"/>
              <w:left w:val="nil"/>
              <w:bottom w:val="double" w:sz="4" w:space="0" w:color="auto"/>
              <w:right w:val="nil"/>
            </w:tcBorders>
            <w:shd w:val="clear" w:color="auto" w:fill="auto"/>
            <w:noWrap/>
            <w:vAlign w:val="bottom"/>
            <w:hideMark/>
          </w:tcPr>
          <w:p w14:paraId="7ECC2EA4" w14:textId="77777777" w:rsidR="0082061B" w:rsidRPr="009B605C" w:rsidRDefault="0082061B" w:rsidP="0087752F">
            <w:pPr>
              <w:rPr>
                <w:rFonts w:ascii="Cambria" w:hAnsi="Cambria"/>
                <w:color w:val="000000"/>
                <w:sz w:val="20"/>
                <w:szCs w:val="20"/>
              </w:rPr>
            </w:pPr>
            <w:r w:rsidRPr="009B605C">
              <w:rPr>
                <w:rFonts w:ascii="Cambria" w:hAnsi="Cambria"/>
                <w:color w:val="000000"/>
                <w:sz w:val="20"/>
                <w:szCs w:val="20"/>
              </w:rPr>
              <w:t>South Africa</w:t>
            </w:r>
          </w:p>
        </w:tc>
        <w:tc>
          <w:tcPr>
            <w:tcW w:w="0" w:type="auto"/>
            <w:tcBorders>
              <w:top w:val="nil"/>
              <w:left w:val="nil"/>
              <w:bottom w:val="double" w:sz="4" w:space="0" w:color="auto"/>
              <w:right w:val="nil"/>
            </w:tcBorders>
            <w:shd w:val="clear" w:color="auto" w:fill="auto"/>
            <w:noWrap/>
            <w:vAlign w:val="bottom"/>
            <w:hideMark/>
          </w:tcPr>
          <w:p w14:paraId="7A2639E4"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7.369***</w:t>
            </w:r>
          </w:p>
        </w:tc>
        <w:tc>
          <w:tcPr>
            <w:tcW w:w="0" w:type="auto"/>
            <w:tcBorders>
              <w:top w:val="nil"/>
              <w:left w:val="nil"/>
              <w:bottom w:val="double" w:sz="4" w:space="0" w:color="auto"/>
              <w:right w:val="nil"/>
            </w:tcBorders>
            <w:shd w:val="clear" w:color="auto" w:fill="auto"/>
            <w:noWrap/>
            <w:vAlign w:val="bottom"/>
            <w:hideMark/>
          </w:tcPr>
          <w:p w14:paraId="2787EAD2"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0.445</w:t>
            </w:r>
          </w:p>
        </w:tc>
        <w:tc>
          <w:tcPr>
            <w:tcW w:w="0" w:type="auto"/>
            <w:tcBorders>
              <w:top w:val="nil"/>
              <w:left w:val="nil"/>
              <w:bottom w:val="double" w:sz="4" w:space="0" w:color="auto"/>
              <w:right w:val="nil"/>
            </w:tcBorders>
            <w:shd w:val="clear" w:color="auto" w:fill="auto"/>
            <w:noWrap/>
            <w:vAlign w:val="bottom"/>
            <w:hideMark/>
          </w:tcPr>
          <w:p w14:paraId="24485208"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1.573</w:t>
            </w:r>
          </w:p>
        </w:tc>
        <w:tc>
          <w:tcPr>
            <w:tcW w:w="0" w:type="auto"/>
            <w:tcBorders>
              <w:top w:val="nil"/>
              <w:left w:val="nil"/>
              <w:bottom w:val="double" w:sz="4" w:space="0" w:color="auto"/>
              <w:right w:val="nil"/>
            </w:tcBorders>
            <w:shd w:val="clear" w:color="auto" w:fill="auto"/>
            <w:noWrap/>
            <w:vAlign w:val="bottom"/>
            <w:hideMark/>
          </w:tcPr>
          <w:p w14:paraId="057FCB49" w14:textId="77777777" w:rsidR="0082061B" w:rsidRPr="009B605C" w:rsidRDefault="0082061B" w:rsidP="0087752F">
            <w:pPr>
              <w:jc w:val="right"/>
              <w:rPr>
                <w:rFonts w:ascii="Cambria" w:hAnsi="Cambria"/>
                <w:color w:val="000000"/>
                <w:sz w:val="20"/>
                <w:szCs w:val="20"/>
              </w:rPr>
            </w:pPr>
            <w:r w:rsidRPr="009B605C">
              <w:rPr>
                <w:rFonts w:ascii="Cambria" w:hAnsi="Cambria"/>
                <w:color w:val="000000"/>
                <w:sz w:val="20"/>
                <w:szCs w:val="20"/>
              </w:rPr>
              <w:t>0.947</w:t>
            </w:r>
          </w:p>
        </w:tc>
      </w:tr>
    </w:tbl>
    <w:p w14:paraId="4BCD60B9" w14:textId="2C139E2E" w:rsidR="000A1E23" w:rsidRPr="009B605C" w:rsidRDefault="000A1E23" w:rsidP="0087752F">
      <w:pPr>
        <w:ind w:right="-426"/>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The table </w:t>
      </w:r>
      <w:r w:rsidR="00FF362A" w:rsidRPr="009B605C">
        <w:rPr>
          <w:rFonts w:ascii="Cambria" w:hAnsi="Cambria"/>
          <w:sz w:val="20"/>
          <w:szCs w:val="20"/>
        </w:rPr>
        <w:t>provides</w:t>
      </w:r>
      <w:r w:rsidRPr="009B605C">
        <w:rPr>
          <w:rFonts w:ascii="Cambria" w:hAnsi="Cambria"/>
          <w:sz w:val="20"/>
          <w:szCs w:val="20"/>
        </w:rPr>
        <w:t xml:space="preserve"> the chi-square statistic, </w:t>
      </w:r>
      <m:oMath>
        <m:sSup>
          <m:sSupPr>
            <m:ctrlPr>
              <w:rPr>
                <w:rFonts w:ascii="Cambria Math" w:hAnsi="Cambria Math"/>
                <w:i/>
                <w:sz w:val="20"/>
                <w:szCs w:val="20"/>
              </w:rPr>
            </m:ctrlPr>
          </m:sSupPr>
          <m:e>
            <m:r>
              <w:rPr>
                <w:rFonts w:ascii="Cambria Math" w:hAnsi="Cambria Math"/>
                <w:sz w:val="20"/>
                <w:szCs w:val="20"/>
              </w:rPr>
              <m:t>χ</m:t>
            </m:r>
          </m:e>
          <m:sup>
            <m:r>
              <w:rPr>
                <w:rFonts w:ascii="Cambria Math" w:hAnsi="Cambria Math"/>
                <w:sz w:val="20"/>
                <w:szCs w:val="20"/>
              </w:rPr>
              <m:t>2</m:t>
            </m:r>
          </m:sup>
        </m:sSup>
      </m:oMath>
      <w:r w:rsidRPr="009B605C">
        <w:rPr>
          <w:rFonts w:ascii="Cambria" w:hAnsi="Cambria"/>
          <w:sz w:val="20"/>
          <w:szCs w:val="20"/>
        </w:rPr>
        <w:t xml:space="preserve">, of </w:t>
      </w:r>
      <w:r w:rsidR="00FF362A" w:rsidRPr="009B605C">
        <w:rPr>
          <w:rFonts w:ascii="Cambria" w:hAnsi="Cambria"/>
          <w:sz w:val="20"/>
          <w:szCs w:val="20"/>
        </w:rPr>
        <w:t>time-invariant</w:t>
      </w:r>
      <w:r w:rsidRPr="009B605C">
        <w:rPr>
          <w:rFonts w:ascii="Cambria" w:hAnsi="Cambria"/>
          <w:sz w:val="20"/>
          <w:szCs w:val="20"/>
        </w:rPr>
        <w:t xml:space="preserve"> Granger causality test</w:t>
      </w:r>
      <w:r w:rsidR="00FF362A" w:rsidRPr="009B605C">
        <w:rPr>
          <w:rFonts w:ascii="Cambria" w:hAnsi="Cambria"/>
          <w:sz w:val="20"/>
          <w:szCs w:val="20"/>
        </w:rPr>
        <w:t xml:space="preserve">s. The lag length is selected via BIC.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:BRICS⇏Gold</m:t>
        </m:r>
      </m:oMath>
      <w:r w:rsidRPr="009B605C">
        <w:rPr>
          <w:rFonts w:ascii="Cambria" w:hAnsi="Cambria"/>
          <w:sz w:val="20"/>
          <w:szCs w:val="20"/>
        </w:rPr>
        <w:t xml:space="preserve"> (</w:t>
      </w:r>
      <w:r w:rsidRPr="009B605C">
        <w:rPr>
          <w:rFonts w:ascii="Cambria" w:hAnsi="Cambria" w:cs="Cambria Math"/>
          <w:sz w:val="20"/>
          <w:szCs w:val="20"/>
        </w:rPr>
        <w:t>⇏</w:t>
      </w:r>
      <w:r w:rsidRPr="009B605C">
        <w:rPr>
          <w:rFonts w:ascii="Cambria" w:hAnsi="Cambria"/>
          <w:sz w:val="20"/>
          <w:szCs w:val="20"/>
        </w:rPr>
        <w:t xml:space="preserve"> means “does not Granger-cause”). *, **,*** denote statistical significance at the 10%, 5% and 1% level, respectively.</w:t>
      </w:r>
    </w:p>
    <w:p w14:paraId="5A49890B" w14:textId="77777777" w:rsidR="0082061B" w:rsidRPr="009B605C" w:rsidRDefault="0082061B" w:rsidP="0087752F">
      <w:pPr>
        <w:rPr>
          <w:rFonts w:ascii="Cambria" w:hAnsi="Cambria"/>
        </w:rPr>
      </w:pPr>
    </w:p>
    <w:p w14:paraId="7FE6C0F7" w14:textId="77777777" w:rsidR="0082061B" w:rsidRPr="009B605C" w:rsidRDefault="0082061B" w:rsidP="0087752F">
      <w:pPr>
        <w:rPr>
          <w:rFonts w:ascii="Cambria" w:hAnsi="Cambria"/>
        </w:rPr>
      </w:pPr>
    </w:p>
    <w:p w14:paraId="7354B2A9" w14:textId="77777777" w:rsidR="0082061B" w:rsidRPr="009B605C" w:rsidRDefault="0082061B" w:rsidP="0087752F">
      <w:pPr>
        <w:rPr>
          <w:rFonts w:ascii="Cambria" w:hAnsi="Cambria"/>
        </w:rPr>
      </w:pPr>
    </w:p>
    <w:p w14:paraId="0C00C042" w14:textId="77777777" w:rsidR="0082061B" w:rsidRPr="009B605C" w:rsidRDefault="0082061B" w:rsidP="0087752F">
      <w:pPr>
        <w:rPr>
          <w:rFonts w:ascii="Cambria" w:hAnsi="Cambria"/>
        </w:rPr>
      </w:pPr>
    </w:p>
    <w:p w14:paraId="0A6F4826" w14:textId="77777777" w:rsidR="0082061B" w:rsidRPr="009B605C" w:rsidRDefault="0082061B" w:rsidP="0087752F">
      <w:pPr>
        <w:rPr>
          <w:rFonts w:ascii="Cambria" w:hAnsi="Cambria"/>
        </w:rPr>
      </w:pPr>
    </w:p>
    <w:p w14:paraId="3C8B3D7E" w14:textId="77777777" w:rsidR="0082061B" w:rsidRPr="009B605C" w:rsidRDefault="0082061B" w:rsidP="0087752F">
      <w:pPr>
        <w:rPr>
          <w:rFonts w:ascii="Cambria" w:hAnsi="Cambria"/>
        </w:rPr>
      </w:pPr>
    </w:p>
    <w:p w14:paraId="04DA406D" w14:textId="77777777" w:rsidR="0082061B" w:rsidRPr="009B605C" w:rsidRDefault="0082061B" w:rsidP="0087752F">
      <w:pPr>
        <w:rPr>
          <w:rFonts w:ascii="Cambria" w:hAnsi="Cambria"/>
        </w:rPr>
      </w:pPr>
    </w:p>
    <w:p w14:paraId="734F1DED" w14:textId="77777777" w:rsidR="0082061B" w:rsidRPr="009B605C" w:rsidRDefault="0082061B" w:rsidP="0087752F">
      <w:pPr>
        <w:rPr>
          <w:rFonts w:ascii="Cambria" w:hAnsi="Cambria"/>
        </w:rPr>
      </w:pPr>
    </w:p>
    <w:p w14:paraId="4355BA9D" w14:textId="77777777" w:rsidR="0082061B" w:rsidRPr="009B605C" w:rsidRDefault="0082061B" w:rsidP="0087752F">
      <w:pPr>
        <w:rPr>
          <w:rFonts w:ascii="Cambria" w:hAnsi="Cambria"/>
        </w:rPr>
      </w:pPr>
    </w:p>
    <w:p w14:paraId="4D5760C3" w14:textId="77777777" w:rsidR="0082061B" w:rsidRPr="009B605C" w:rsidRDefault="0082061B" w:rsidP="0087752F">
      <w:pPr>
        <w:rPr>
          <w:rFonts w:ascii="Cambria" w:hAnsi="Cambria"/>
        </w:rPr>
      </w:pPr>
    </w:p>
    <w:p w14:paraId="1256BD3E" w14:textId="77777777" w:rsidR="0082061B" w:rsidRPr="009B605C" w:rsidRDefault="0082061B" w:rsidP="0087752F">
      <w:pPr>
        <w:rPr>
          <w:rFonts w:ascii="Cambria" w:hAnsi="Cambria"/>
        </w:rPr>
      </w:pPr>
    </w:p>
    <w:p w14:paraId="27E0227E" w14:textId="77777777" w:rsidR="0082061B" w:rsidRPr="009B605C" w:rsidRDefault="0082061B" w:rsidP="0087752F">
      <w:pPr>
        <w:rPr>
          <w:rFonts w:ascii="Cambria" w:hAnsi="Cambria"/>
        </w:rPr>
      </w:pPr>
    </w:p>
    <w:p w14:paraId="507C657A" w14:textId="77777777" w:rsidR="0082061B" w:rsidRPr="009B605C" w:rsidRDefault="0082061B" w:rsidP="0087752F">
      <w:pPr>
        <w:rPr>
          <w:rFonts w:ascii="Cambria" w:hAnsi="Cambria"/>
        </w:rPr>
      </w:pPr>
    </w:p>
    <w:p w14:paraId="764ECD36" w14:textId="77777777" w:rsidR="0082061B" w:rsidRPr="009B605C" w:rsidRDefault="0082061B" w:rsidP="0087752F">
      <w:pPr>
        <w:rPr>
          <w:rFonts w:ascii="Cambria" w:hAnsi="Cambria"/>
        </w:rPr>
      </w:pPr>
    </w:p>
    <w:p w14:paraId="17637ADE" w14:textId="77777777" w:rsidR="0082061B" w:rsidRPr="009B605C" w:rsidRDefault="0082061B" w:rsidP="0087752F">
      <w:pPr>
        <w:rPr>
          <w:rFonts w:ascii="Cambria" w:hAnsi="Cambria"/>
        </w:rPr>
      </w:pPr>
    </w:p>
    <w:p w14:paraId="2602EE49" w14:textId="77777777" w:rsidR="0082061B" w:rsidRPr="009B605C" w:rsidRDefault="0082061B" w:rsidP="0087752F">
      <w:pPr>
        <w:rPr>
          <w:rFonts w:ascii="Cambria" w:hAnsi="Cambria"/>
        </w:rPr>
      </w:pPr>
    </w:p>
    <w:p w14:paraId="0A936B14" w14:textId="77777777" w:rsidR="0082061B" w:rsidRPr="009B605C" w:rsidRDefault="0082061B" w:rsidP="0087752F">
      <w:pPr>
        <w:rPr>
          <w:rFonts w:ascii="Cambria" w:hAnsi="Cambria"/>
        </w:rPr>
      </w:pPr>
    </w:p>
    <w:p w14:paraId="3C1E222C" w14:textId="77777777" w:rsidR="0082061B" w:rsidRPr="009B605C" w:rsidRDefault="0082061B" w:rsidP="0087752F">
      <w:pPr>
        <w:rPr>
          <w:rFonts w:ascii="Cambria" w:hAnsi="Cambria"/>
        </w:rPr>
      </w:pPr>
    </w:p>
    <w:p w14:paraId="22FC23E4" w14:textId="77777777" w:rsidR="0082061B" w:rsidRPr="009B605C" w:rsidRDefault="0082061B" w:rsidP="0087752F">
      <w:pPr>
        <w:rPr>
          <w:rFonts w:ascii="Cambria" w:hAnsi="Cambria"/>
        </w:rPr>
      </w:pPr>
    </w:p>
    <w:p w14:paraId="2B491E5B" w14:textId="77777777" w:rsidR="0082061B" w:rsidRPr="009B605C" w:rsidRDefault="0082061B" w:rsidP="0087752F">
      <w:pPr>
        <w:rPr>
          <w:rFonts w:ascii="Cambria" w:hAnsi="Cambria"/>
        </w:rPr>
      </w:pPr>
    </w:p>
    <w:p w14:paraId="36B75D6D" w14:textId="77777777" w:rsidR="0082061B" w:rsidRPr="009B605C" w:rsidRDefault="0082061B" w:rsidP="0087752F">
      <w:pPr>
        <w:rPr>
          <w:rFonts w:ascii="Cambria" w:hAnsi="Cambria"/>
        </w:rPr>
      </w:pPr>
    </w:p>
    <w:p w14:paraId="7E75DED8" w14:textId="77777777" w:rsidR="0082061B" w:rsidRPr="009B605C" w:rsidRDefault="0082061B" w:rsidP="0087752F">
      <w:pPr>
        <w:rPr>
          <w:rFonts w:ascii="Cambria" w:hAnsi="Cambria"/>
        </w:rPr>
      </w:pPr>
    </w:p>
    <w:p w14:paraId="27B0D01D" w14:textId="77777777" w:rsidR="0082061B" w:rsidRPr="009B605C" w:rsidRDefault="0082061B" w:rsidP="0087752F">
      <w:pPr>
        <w:rPr>
          <w:rFonts w:ascii="Cambria" w:hAnsi="Cambria"/>
        </w:rPr>
      </w:pPr>
    </w:p>
    <w:p w14:paraId="5DABB6C4" w14:textId="77777777" w:rsidR="0082061B" w:rsidRPr="009B605C" w:rsidRDefault="0082061B" w:rsidP="0087752F">
      <w:pPr>
        <w:rPr>
          <w:rFonts w:ascii="Cambria" w:hAnsi="Cambria"/>
        </w:rPr>
      </w:pPr>
    </w:p>
    <w:p w14:paraId="5B52986A" w14:textId="77777777" w:rsidR="0082061B" w:rsidRPr="009B605C" w:rsidRDefault="0082061B" w:rsidP="0087752F">
      <w:pPr>
        <w:rPr>
          <w:rFonts w:ascii="Cambria" w:hAnsi="Cambria"/>
        </w:rPr>
      </w:pPr>
    </w:p>
    <w:p w14:paraId="1ACE81B5" w14:textId="77777777" w:rsidR="0082061B" w:rsidRPr="009B605C" w:rsidRDefault="0082061B" w:rsidP="0087752F">
      <w:pPr>
        <w:rPr>
          <w:rFonts w:ascii="Cambria" w:hAnsi="Cambria"/>
        </w:rPr>
      </w:pPr>
    </w:p>
    <w:p w14:paraId="251C9821" w14:textId="77777777" w:rsidR="0082061B" w:rsidRPr="009B605C" w:rsidRDefault="0082061B" w:rsidP="0087752F">
      <w:pPr>
        <w:rPr>
          <w:rFonts w:ascii="Cambria" w:hAnsi="Cambria"/>
        </w:rPr>
      </w:pPr>
    </w:p>
    <w:p w14:paraId="098B2F38" w14:textId="77777777" w:rsidR="00FF362A" w:rsidRPr="009B605C" w:rsidRDefault="00FF362A" w:rsidP="0087752F">
      <w:pPr>
        <w:rPr>
          <w:rFonts w:ascii="Cambria" w:hAnsi="Cambria"/>
        </w:rPr>
      </w:pPr>
    </w:p>
    <w:p w14:paraId="7F7DA8B9" w14:textId="6A94A626" w:rsidR="007A1F2A" w:rsidRPr="009B605C" w:rsidRDefault="007A1F2A" w:rsidP="0087752F">
      <w:pPr>
        <w:ind w:left="-426"/>
        <w:rPr>
          <w:rFonts w:ascii="Cambria" w:hAnsi="Cambria"/>
        </w:rPr>
      </w:pPr>
      <w:r w:rsidRPr="009B605C">
        <w:rPr>
          <w:rFonts w:ascii="Cambria" w:hAnsi="Cambria"/>
          <w:b/>
          <w:bCs/>
        </w:rPr>
        <w:lastRenderedPageBreak/>
        <w:t>Table 6.</w:t>
      </w:r>
      <w:r w:rsidRPr="009B605C">
        <w:rPr>
          <w:rFonts w:ascii="Cambria" w:hAnsi="Cambria"/>
        </w:rPr>
        <w:t xml:space="preserve"> </w:t>
      </w:r>
      <w:r w:rsidRPr="009B605C">
        <w:rPr>
          <w:rFonts w:ascii="Cambria" w:hAnsi="Cambria"/>
          <w:color w:val="000000"/>
        </w:rPr>
        <w:t xml:space="preserve">Results from </w:t>
      </w:r>
      <w:r w:rsidR="004A7BA7" w:rsidRPr="009B605C">
        <w:rPr>
          <w:rFonts w:ascii="Cambria" w:hAnsi="Cambria"/>
          <w:color w:val="000000"/>
        </w:rPr>
        <w:t>time-varying</w:t>
      </w:r>
      <w:r w:rsidRPr="009B605C">
        <w:rPr>
          <w:rFonts w:ascii="Cambria" w:hAnsi="Cambria"/>
          <w:color w:val="000000"/>
        </w:rPr>
        <w:t xml:space="preserve"> </w:t>
      </w:r>
      <w:r w:rsidR="006C1359" w:rsidRPr="009B605C">
        <w:rPr>
          <w:rFonts w:ascii="Cambria" w:hAnsi="Cambria"/>
          <w:color w:val="000000"/>
        </w:rPr>
        <w:t xml:space="preserve">parameter </w:t>
      </w:r>
      <w:r w:rsidRPr="009B605C">
        <w:rPr>
          <w:rFonts w:ascii="Cambria" w:hAnsi="Cambria"/>
          <w:color w:val="000000"/>
        </w:rPr>
        <w:t>Granger causality test</w:t>
      </w:r>
      <w:r w:rsidR="00226362" w:rsidRPr="009B605C">
        <w:rPr>
          <w:rFonts w:ascii="Cambria" w:hAnsi="Cambria"/>
          <w:color w:val="000000"/>
        </w:rPr>
        <w:t>s</w:t>
      </w:r>
    </w:p>
    <w:tbl>
      <w:tblPr>
        <w:tblStyle w:val="TableGrid"/>
        <w:tblW w:w="1007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446"/>
        <w:gridCol w:w="1134"/>
        <w:gridCol w:w="1468"/>
        <w:gridCol w:w="1338"/>
        <w:gridCol w:w="1039"/>
        <w:gridCol w:w="1381"/>
      </w:tblGrid>
      <w:tr w:rsidR="00BC45DA" w:rsidRPr="009B605C" w14:paraId="73F5717A" w14:textId="77777777" w:rsidTr="00524F8A">
        <w:trPr>
          <w:trHeight w:val="397"/>
        </w:trPr>
        <w:tc>
          <w:tcPr>
            <w:tcW w:w="2269" w:type="dxa"/>
            <w:tcBorders>
              <w:top w:val="double" w:sz="4" w:space="0" w:color="auto"/>
            </w:tcBorders>
            <w:noWrap/>
            <w:hideMark/>
          </w:tcPr>
          <w:p w14:paraId="572F9B19" w14:textId="77777777" w:rsidR="00BC45DA" w:rsidRPr="009B605C" w:rsidRDefault="00BC45DA" w:rsidP="0087752F">
            <w:pPr>
              <w:rPr>
                <w:rFonts w:ascii="Cambria" w:hAnsi="Cambria"/>
                <w:sz w:val="20"/>
                <w:szCs w:val="20"/>
              </w:rPr>
            </w:pPr>
          </w:p>
        </w:tc>
        <w:tc>
          <w:tcPr>
            <w:tcW w:w="4048" w:type="dxa"/>
            <w:gridSpan w:val="3"/>
            <w:tcBorders>
              <w:top w:val="double" w:sz="4" w:space="0" w:color="auto"/>
              <w:bottom w:val="single" w:sz="4" w:space="0" w:color="auto"/>
            </w:tcBorders>
            <w:noWrap/>
            <w:vAlign w:val="center"/>
            <w:hideMark/>
          </w:tcPr>
          <w:p w14:paraId="585DE23A" w14:textId="5F4809DD" w:rsidR="00BC45DA" w:rsidRPr="009B605C" w:rsidRDefault="00BC45DA" w:rsidP="0087752F">
            <w:pPr>
              <w:jc w:val="center"/>
              <w:rPr>
                <w:rFonts w:ascii="Cambria" w:hAnsi="Cambria"/>
                <w:b/>
                <w:bCs/>
                <w:sz w:val="20"/>
                <w:szCs w:val="20"/>
              </w:rPr>
            </w:pPr>
            <w:r w:rsidRPr="009B605C">
              <w:rPr>
                <w:rFonts w:ascii="Cambria" w:hAnsi="Cambria"/>
                <w:b/>
                <w:bCs/>
                <w:color w:val="000000"/>
                <w:sz w:val="20"/>
                <w:szCs w:val="20"/>
              </w:rPr>
              <w:t>Gold</w:t>
            </w:r>
          </w:p>
        </w:tc>
        <w:tc>
          <w:tcPr>
            <w:tcW w:w="3758" w:type="dxa"/>
            <w:gridSpan w:val="3"/>
            <w:tcBorders>
              <w:top w:val="double" w:sz="4" w:space="0" w:color="auto"/>
            </w:tcBorders>
            <w:noWrap/>
            <w:vAlign w:val="center"/>
            <w:hideMark/>
          </w:tcPr>
          <w:p w14:paraId="24BCA43D" w14:textId="6C687255" w:rsidR="00BC45DA" w:rsidRPr="009B605C" w:rsidRDefault="00BC45DA" w:rsidP="0087752F">
            <w:pPr>
              <w:jc w:val="center"/>
              <w:rPr>
                <w:rFonts w:ascii="Cambria" w:hAnsi="Cambria"/>
                <w:b/>
                <w:bCs/>
                <w:sz w:val="20"/>
                <w:szCs w:val="20"/>
              </w:rPr>
            </w:pPr>
            <w:r w:rsidRPr="009B605C">
              <w:rPr>
                <w:rFonts w:ascii="Cambria" w:hAnsi="Cambria"/>
                <w:b/>
                <w:bCs/>
                <w:color w:val="000000"/>
                <w:sz w:val="20"/>
                <w:szCs w:val="20"/>
              </w:rPr>
              <w:t>Crypto</w:t>
            </w:r>
          </w:p>
        </w:tc>
      </w:tr>
      <w:tr w:rsidR="00BC45DA" w:rsidRPr="009B605C" w14:paraId="032E022C" w14:textId="77777777" w:rsidTr="00524F8A">
        <w:trPr>
          <w:trHeight w:val="397"/>
        </w:trPr>
        <w:tc>
          <w:tcPr>
            <w:tcW w:w="2269" w:type="dxa"/>
            <w:tcBorders>
              <w:bottom w:val="single" w:sz="4" w:space="0" w:color="auto"/>
            </w:tcBorders>
            <w:noWrap/>
            <w:hideMark/>
          </w:tcPr>
          <w:p w14:paraId="2A0F53CD" w14:textId="77777777" w:rsidR="00BC45DA" w:rsidRPr="009B605C" w:rsidRDefault="00BC45DA" w:rsidP="0087752F">
            <w:pPr>
              <w:rPr>
                <w:rFonts w:ascii="Cambria" w:hAnsi="Cambria"/>
                <w:sz w:val="20"/>
                <w:szCs w:val="20"/>
              </w:rPr>
            </w:pPr>
          </w:p>
        </w:tc>
        <w:tc>
          <w:tcPr>
            <w:tcW w:w="1446" w:type="dxa"/>
            <w:tcBorders>
              <w:top w:val="single" w:sz="4" w:space="0" w:color="auto"/>
              <w:bottom w:val="single" w:sz="4" w:space="0" w:color="auto"/>
            </w:tcBorders>
            <w:noWrap/>
            <w:vAlign w:val="center"/>
            <w:hideMark/>
          </w:tcPr>
          <w:p w14:paraId="290EAA54" w14:textId="77777777"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MeanW</w:t>
            </w:r>
          </w:p>
        </w:tc>
        <w:tc>
          <w:tcPr>
            <w:tcW w:w="1134" w:type="dxa"/>
            <w:tcBorders>
              <w:top w:val="single" w:sz="4" w:space="0" w:color="auto"/>
              <w:bottom w:val="single" w:sz="4" w:space="0" w:color="auto"/>
            </w:tcBorders>
            <w:noWrap/>
            <w:vAlign w:val="center"/>
            <w:hideMark/>
          </w:tcPr>
          <w:p w14:paraId="32A91D9A" w14:textId="77777777"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Nyblom</w:t>
            </w:r>
          </w:p>
        </w:tc>
        <w:tc>
          <w:tcPr>
            <w:tcW w:w="1468" w:type="dxa"/>
            <w:tcBorders>
              <w:top w:val="single" w:sz="4" w:space="0" w:color="auto"/>
              <w:bottom w:val="single" w:sz="4" w:space="0" w:color="auto"/>
            </w:tcBorders>
            <w:noWrap/>
            <w:vAlign w:val="center"/>
            <w:hideMark/>
          </w:tcPr>
          <w:p w14:paraId="1CE1628E" w14:textId="77777777" w:rsidR="00BC45DA" w:rsidRPr="009B605C" w:rsidRDefault="00BC45DA" w:rsidP="0087752F">
            <w:pPr>
              <w:rPr>
                <w:rFonts w:ascii="Cambria" w:hAnsi="Cambria"/>
                <w:b/>
                <w:bCs/>
                <w:color w:val="000000"/>
                <w:sz w:val="20"/>
                <w:szCs w:val="20"/>
              </w:rPr>
            </w:pPr>
            <w:proofErr w:type="spellStart"/>
            <w:r w:rsidRPr="009B605C">
              <w:rPr>
                <w:rFonts w:ascii="Cambria" w:hAnsi="Cambria"/>
                <w:b/>
                <w:bCs/>
                <w:color w:val="000000"/>
                <w:sz w:val="20"/>
                <w:szCs w:val="20"/>
              </w:rPr>
              <w:t>SupLR</w:t>
            </w:r>
            <w:proofErr w:type="spellEnd"/>
          </w:p>
        </w:tc>
        <w:tc>
          <w:tcPr>
            <w:tcW w:w="1338" w:type="dxa"/>
            <w:tcBorders>
              <w:top w:val="single" w:sz="4" w:space="0" w:color="auto"/>
              <w:bottom w:val="single" w:sz="4" w:space="0" w:color="auto"/>
            </w:tcBorders>
            <w:noWrap/>
            <w:vAlign w:val="center"/>
            <w:hideMark/>
          </w:tcPr>
          <w:p w14:paraId="0D8EB19D" w14:textId="77777777"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MeanW</w:t>
            </w:r>
          </w:p>
        </w:tc>
        <w:tc>
          <w:tcPr>
            <w:tcW w:w="1039" w:type="dxa"/>
            <w:tcBorders>
              <w:top w:val="single" w:sz="4" w:space="0" w:color="auto"/>
              <w:bottom w:val="single" w:sz="4" w:space="0" w:color="auto"/>
            </w:tcBorders>
            <w:noWrap/>
            <w:vAlign w:val="center"/>
            <w:hideMark/>
          </w:tcPr>
          <w:p w14:paraId="36408736" w14:textId="77777777"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Nyblom</w:t>
            </w:r>
          </w:p>
        </w:tc>
        <w:tc>
          <w:tcPr>
            <w:tcW w:w="1381" w:type="dxa"/>
            <w:tcBorders>
              <w:top w:val="single" w:sz="4" w:space="0" w:color="auto"/>
              <w:bottom w:val="single" w:sz="4" w:space="0" w:color="auto"/>
            </w:tcBorders>
            <w:noWrap/>
            <w:vAlign w:val="center"/>
            <w:hideMark/>
          </w:tcPr>
          <w:p w14:paraId="648FFEC7" w14:textId="77777777" w:rsidR="00BC45DA" w:rsidRPr="009B605C" w:rsidRDefault="00BC45DA" w:rsidP="0087752F">
            <w:pPr>
              <w:rPr>
                <w:rFonts w:ascii="Cambria" w:hAnsi="Cambria"/>
                <w:b/>
                <w:bCs/>
                <w:color w:val="000000"/>
                <w:sz w:val="20"/>
                <w:szCs w:val="20"/>
              </w:rPr>
            </w:pPr>
            <w:proofErr w:type="spellStart"/>
            <w:r w:rsidRPr="009B605C">
              <w:rPr>
                <w:rFonts w:ascii="Cambria" w:hAnsi="Cambria"/>
                <w:b/>
                <w:bCs/>
                <w:color w:val="000000"/>
                <w:sz w:val="20"/>
                <w:szCs w:val="20"/>
              </w:rPr>
              <w:t>SupLR</w:t>
            </w:r>
            <w:proofErr w:type="spellEnd"/>
          </w:p>
        </w:tc>
      </w:tr>
      <w:tr w:rsidR="00BC45DA" w:rsidRPr="009B605C" w14:paraId="2E5910D2" w14:textId="77777777" w:rsidTr="00524F8A">
        <w:trPr>
          <w:trHeight w:val="397"/>
        </w:trPr>
        <w:tc>
          <w:tcPr>
            <w:tcW w:w="3715" w:type="dxa"/>
            <w:gridSpan w:val="2"/>
            <w:tcBorders>
              <w:top w:val="single" w:sz="4" w:space="0" w:color="auto"/>
            </w:tcBorders>
            <w:noWrap/>
            <w:vAlign w:val="center"/>
            <w:hideMark/>
          </w:tcPr>
          <w:p w14:paraId="40E5482C" w14:textId="3E324197"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Pre-conflict announcement</w:t>
            </w:r>
          </w:p>
        </w:tc>
        <w:tc>
          <w:tcPr>
            <w:tcW w:w="1134" w:type="dxa"/>
            <w:tcBorders>
              <w:top w:val="single" w:sz="4" w:space="0" w:color="auto"/>
            </w:tcBorders>
            <w:noWrap/>
            <w:hideMark/>
          </w:tcPr>
          <w:p w14:paraId="370EA8A9" w14:textId="77777777" w:rsidR="00BC45DA" w:rsidRPr="009B605C" w:rsidRDefault="00BC45DA" w:rsidP="0087752F">
            <w:pPr>
              <w:rPr>
                <w:rFonts w:ascii="Cambria" w:hAnsi="Cambria"/>
                <w:sz w:val="20"/>
                <w:szCs w:val="20"/>
              </w:rPr>
            </w:pPr>
          </w:p>
        </w:tc>
        <w:tc>
          <w:tcPr>
            <w:tcW w:w="1468" w:type="dxa"/>
            <w:tcBorders>
              <w:top w:val="single" w:sz="4" w:space="0" w:color="auto"/>
            </w:tcBorders>
            <w:noWrap/>
            <w:hideMark/>
          </w:tcPr>
          <w:p w14:paraId="48692BB8" w14:textId="77777777" w:rsidR="00BC45DA" w:rsidRPr="009B605C" w:rsidRDefault="00BC45DA" w:rsidP="0087752F">
            <w:pPr>
              <w:rPr>
                <w:rFonts w:ascii="Cambria" w:hAnsi="Cambria"/>
                <w:sz w:val="20"/>
                <w:szCs w:val="20"/>
              </w:rPr>
            </w:pPr>
          </w:p>
        </w:tc>
        <w:tc>
          <w:tcPr>
            <w:tcW w:w="1338" w:type="dxa"/>
            <w:tcBorders>
              <w:top w:val="single" w:sz="4" w:space="0" w:color="auto"/>
            </w:tcBorders>
            <w:noWrap/>
            <w:hideMark/>
          </w:tcPr>
          <w:p w14:paraId="05BF00E6" w14:textId="77777777" w:rsidR="00BC45DA" w:rsidRPr="009B605C" w:rsidRDefault="00BC45DA" w:rsidP="0087752F">
            <w:pPr>
              <w:rPr>
                <w:rFonts w:ascii="Cambria" w:hAnsi="Cambria"/>
                <w:sz w:val="20"/>
                <w:szCs w:val="20"/>
              </w:rPr>
            </w:pPr>
          </w:p>
        </w:tc>
        <w:tc>
          <w:tcPr>
            <w:tcW w:w="1039" w:type="dxa"/>
            <w:tcBorders>
              <w:top w:val="single" w:sz="4" w:space="0" w:color="auto"/>
            </w:tcBorders>
            <w:noWrap/>
            <w:hideMark/>
          </w:tcPr>
          <w:p w14:paraId="0B921CDF" w14:textId="77777777" w:rsidR="00BC45DA" w:rsidRPr="009B605C" w:rsidRDefault="00BC45DA" w:rsidP="0087752F">
            <w:pPr>
              <w:rPr>
                <w:rFonts w:ascii="Cambria" w:hAnsi="Cambria"/>
                <w:sz w:val="20"/>
                <w:szCs w:val="20"/>
              </w:rPr>
            </w:pPr>
          </w:p>
        </w:tc>
        <w:tc>
          <w:tcPr>
            <w:tcW w:w="1381" w:type="dxa"/>
            <w:tcBorders>
              <w:top w:val="single" w:sz="4" w:space="0" w:color="auto"/>
            </w:tcBorders>
            <w:noWrap/>
            <w:hideMark/>
          </w:tcPr>
          <w:p w14:paraId="7F6A5C04" w14:textId="77777777" w:rsidR="00BC45DA" w:rsidRPr="009B605C" w:rsidRDefault="00BC45DA" w:rsidP="0087752F">
            <w:pPr>
              <w:rPr>
                <w:rFonts w:ascii="Cambria" w:hAnsi="Cambria"/>
                <w:sz w:val="20"/>
                <w:szCs w:val="20"/>
              </w:rPr>
            </w:pPr>
          </w:p>
        </w:tc>
      </w:tr>
      <w:tr w:rsidR="00524F8A" w:rsidRPr="009B605C" w14:paraId="1C8D3D00" w14:textId="77777777" w:rsidTr="00524F8A">
        <w:trPr>
          <w:trHeight w:val="397"/>
        </w:trPr>
        <w:tc>
          <w:tcPr>
            <w:tcW w:w="2269" w:type="dxa"/>
            <w:noWrap/>
            <w:vAlign w:val="center"/>
            <w:hideMark/>
          </w:tcPr>
          <w:p w14:paraId="29E71C6F"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Brazil</w:t>
            </w:r>
          </w:p>
        </w:tc>
        <w:tc>
          <w:tcPr>
            <w:tcW w:w="1446" w:type="dxa"/>
            <w:noWrap/>
            <w:vAlign w:val="center"/>
            <w:hideMark/>
          </w:tcPr>
          <w:p w14:paraId="223AA77E" w14:textId="0D3A32B1" w:rsidR="00524F8A" w:rsidRPr="009B605C" w:rsidRDefault="00524F8A" w:rsidP="0087752F">
            <w:pPr>
              <w:rPr>
                <w:rFonts w:ascii="Cambria" w:hAnsi="Cambria"/>
                <w:color w:val="000000"/>
                <w:sz w:val="20"/>
                <w:szCs w:val="20"/>
              </w:rPr>
            </w:pPr>
            <w:r w:rsidRPr="009B605C">
              <w:rPr>
                <w:rFonts w:ascii="Cambria" w:hAnsi="Cambria"/>
                <w:color w:val="000000"/>
                <w:sz w:val="20"/>
                <w:szCs w:val="20"/>
              </w:rPr>
              <w:t>46.341***</w:t>
            </w:r>
          </w:p>
        </w:tc>
        <w:tc>
          <w:tcPr>
            <w:tcW w:w="1134" w:type="dxa"/>
            <w:noWrap/>
            <w:vAlign w:val="center"/>
            <w:hideMark/>
          </w:tcPr>
          <w:p w14:paraId="3F384618" w14:textId="70707280" w:rsidR="00524F8A" w:rsidRPr="009B605C" w:rsidRDefault="00524F8A" w:rsidP="0087752F">
            <w:pPr>
              <w:rPr>
                <w:rFonts w:ascii="Cambria" w:hAnsi="Cambria"/>
                <w:color w:val="000000"/>
                <w:sz w:val="20"/>
                <w:szCs w:val="20"/>
              </w:rPr>
            </w:pPr>
            <w:r w:rsidRPr="009B605C">
              <w:rPr>
                <w:rFonts w:ascii="Cambria" w:hAnsi="Cambria"/>
                <w:color w:val="000000"/>
                <w:sz w:val="20"/>
                <w:szCs w:val="20"/>
              </w:rPr>
              <w:t>0.594</w:t>
            </w:r>
          </w:p>
        </w:tc>
        <w:tc>
          <w:tcPr>
            <w:tcW w:w="1468" w:type="dxa"/>
            <w:noWrap/>
            <w:vAlign w:val="center"/>
            <w:hideMark/>
          </w:tcPr>
          <w:p w14:paraId="6CE5DED5" w14:textId="1479A1A9" w:rsidR="00524F8A" w:rsidRPr="009B605C" w:rsidRDefault="00524F8A" w:rsidP="0087752F">
            <w:pPr>
              <w:rPr>
                <w:rFonts w:ascii="Cambria" w:hAnsi="Cambria"/>
                <w:color w:val="000000"/>
                <w:sz w:val="20"/>
                <w:szCs w:val="20"/>
              </w:rPr>
            </w:pPr>
            <w:r w:rsidRPr="009B605C">
              <w:rPr>
                <w:rFonts w:ascii="Cambria" w:hAnsi="Cambria"/>
                <w:color w:val="000000"/>
                <w:sz w:val="20"/>
                <w:szCs w:val="20"/>
              </w:rPr>
              <w:t>140.792***</w:t>
            </w:r>
          </w:p>
        </w:tc>
        <w:tc>
          <w:tcPr>
            <w:tcW w:w="1338" w:type="dxa"/>
            <w:noWrap/>
            <w:vAlign w:val="center"/>
            <w:hideMark/>
          </w:tcPr>
          <w:p w14:paraId="49A28298" w14:textId="544378D1" w:rsidR="00524F8A" w:rsidRPr="009B605C" w:rsidRDefault="00524F8A" w:rsidP="0087752F">
            <w:pPr>
              <w:rPr>
                <w:rFonts w:ascii="Cambria" w:hAnsi="Cambria"/>
                <w:color w:val="000000"/>
                <w:sz w:val="20"/>
                <w:szCs w:val="20"/>
              </w:rPr>
            </w:pPr>
            <w:r w:rsidRPr="009B605C">
              <w:rPr>
                <w:rFonts w:ascii="Cambria" w:hAnsi="Cambria"/>
                <w:color w:val="000000"/>
                <w:sz w:val="20"/>
                <w:szCs w:val="20"/>
              </w:rPr>
              <w:t>151.258***</w:t>
            </w:r>
          </w:p>
        </w:tc>
        <w:tc>
          <w:tcPr>
            <w:tcW w:w="1039" w:type="dxa"/>
            <w:noWrap/>
            <w:vAlign w:val="center"/>
            <w:hideMark/>
          </w:tcPr>
          <w:p w14:paraId="7A78ECBD" w14:textId="0A8D77D8" w:rsidR="00524F8A" w:rsidRPr="009B605C" w:rsidRDefault="00524F8A" w:rsidP="0087752F">
            <w:pPr>
              <w:rPr>
                <w:rFonts w:ascii="Cambria" w:hAnsi="Cambria"/>
                <w:color w:val="000000"/>
                <w:sz w:val="20"/>
                <w:szCs w:val="20"/>
              </w:rPr>
            </w:pPr>
            <w:r w:rsidRPr="009B605C">
              <w:rPr>
                <w:rFonts w:ascii="Cambria" w:hAnsi="Cambria"/>
                <w:color w:val="000000"/>
                <w:sz w:val="20"/>
                <w:szCs w:val="20"/>
              </w:rPr>
              <w:t>1.269</w:t>
            </w:r>
          </w:p>
        </w:tc>
        <w:tc>
          <w:tcPr>
            <w:tcW w:w="1381" w:type="dxa"/>
            <w:noWrap/>
            <w:vAlign w:val="center"/>
            <w:hideMark/>
          </w:tcPr>
          <w:p w14:paraId="0C1F019B" w14:textId="2C1B0793" w:rsidR="00524F8A" w:rsidRPr="009B605C" w:rsidRDefault="00524F8A" w:rsidP="0087752F">
            <w:pPr>
              <w:rPr>
                <w:rFonts w:ascii="Cambria" w:hAnsi="Cambria"/>
                <w:color w:val="000000"/>
                <w:sz w:val="20"/>
                <w:szCs w:val="20"/>
              </w:rPr>
            </w:pPr>
            <w:r w:rsidRPr="009B605C">
              <w:rPr>
                <w:rFonts w:ascii="Cambria" w:hAnsi="Cambria"/>
                <w:color w:val="000000"/>
                <w:sz w:val="20"/>
                <w:szCs w:val="20"/>
              </w:rPr>
              <w:t>299.997***</w:t>
            </w:r>
          </w:p>
        </w:tc>
      </w:tr>
      <w:tr w:rsidR="00524F8A" w:rsidRPr="009B605C" w14:paraId="36827CF1" w14:textId="77777777" w:rsidTr="00524F8A">
        <w:trPr>
          <w:trHeight w:val="397"/>
        </w:trPr>
        <w:tc>
          <w:tcPr>
            <w:tcW w:w="2269" w:type="dxa"/>
            <w:noWrap/>
            <w:vAlign w:val="center"/>
            <w:hideMark/>
          </w:tcPr>
          <w:p w14:paraId="7169EA7C"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Russia</w:t>
            </w:r>
          </w:p>
        </w:tc>
        <w:tc>
          <w:tcPr>
            <w:tcW w:w="1446" w:type="dxa"/>
            <w:noWrap/>
            <w:vAlign w:val="center"/>
            <w:hideMark/>
          </w:tcPr>
          <w:p w14:paraId="07558DD0" w14:textId="1E3E5128" w:rsidR="00524F8A" w:rsidRPr="009B605C" w:rsidRDefault="00524F8A" w:rsidP="0087752F">
            <w:pPr>
              <w:rPr>
                <w:rFonts w:ascii="Cambria" w:hAnsi="Cambria"/>
                <w:color w:val="000000"/>
                <w:sz w:val="20"/>
                <w:szCs w:val="20"/>
              </w:rPr>
            </w:pPr>
            <w:r w:rsidRPr="009B605C">
              <w:rPr>
                <w:rFonts w:ascii="Cambria" w:hAnsi="Cambria"/>
                <w:color w:val="000000"/>
                <w:sz w:val="20"/>
                <w:szCs w:val="20"/>
              </w:rPr>
              <w:t>19.979***</w:t>
            </w:r>
          </w:p>
        </w:tc>
        <w:tc>
          <w:tcPr>
            <w:tcW w:w="1134" w:type="dxa"/>
            <w:noWrap/>
            <w:vAlign w:val="center"/>
            <w:hideMark/>
          </w:tcPr>
          <w:p w14:paraId="782E144A" w14:textId="68C1AD18" w:rsidR="00524F8A" w:rsidRPr="009B605C" w:rsidRDefault="00524F8A" w:rsidP="0087752F">
            <w:pPr>
              <w:rPr>
                <w:rFonts w:ascii="Cambria" w:hAnsi="Cambria"/>
                <w:color w:val="000000"/>
                <w:sz w:val="20"/>
                <w:szCs w:val="20"/>
              </w:rPr>
            </w:pPr>
            <w:r w:rsidRPr="009B605C">
              <w:rPr>
                <w:rFonts w:ascii="Cambria" w:hAnsi="Cambria"/>
                <w:color w:val="000000"/>
                <w:sz w:val="20"/>
                <w:szCs w:val="20"/>
              </w:rPr>
              <w:t>0.841</w:t>
            </w:r>
          </w:p>
        </w:tc>
        <w:tc>
          <w:tcPr>
            <w:tcW w:w="1468" w:type="dxa"/>
            <w:noWrap/>
            <w:vAlign w:val="center"/>
            <w:hideMark/>
          </w:tcPr>
          <w:p w14:paraId="1ACD4FC6" w14:textId="748ADBB9" w:rsidR="00524F8A" w:rsidRPr="009B605C" w:rsidRDefault="00524F8A" w:rsidP="0087752F">
            <w:pPr>
              <w:rPr>
                <w:rFonts w:ascii="Cambria" w:hAnsi="Cambria"/>
                <w:color w:val="000000"/>
                <w:sz w:val="20"/>
                <w:szCs w:val="20"/>
              </w:rPr>
            </w:pPr>
            <w:r w:rsidRPr="009B605C">
              <w:rPr>
                <w:rFonts w:ascii="Cambria" w:hAnsi="Cambria"/>
                <w:color w:val="000000"/>
                <w:sz w:val="20"/>
                <w:szCs w:val="20"/>
              </w:rPr>
              <w:t>99.7</w:t>
            </w:r>
            <w:r w:rsidR="00943CF1" w:rsidRPr="009B605C">
              <w:rPr>
                <w:rFonts w:ascii="Cambria" w:hAnsi="Cambria"/>
                <w:color w:val="000000"/>
                <w:sz w:val="20"/>
                <w:szCs w:val="20"/>
              </w:rPr>
              <w:t>00</w:t>
            </w:r>
            <w:r w:rsidRPr="009B605C">
              <w:rPr>
                <w:rFonts w:ascii="Cambria" w:hAnsi="Cambria"/>
                <w:color w:val="000000"/>
                <w:sz w:val="20"/>
                <w:szCs w:val="20"/>
              </w:rPr>
              <w:t>***</w:t>
            </w:r>
          </w:p>
        </w:tc>
        <w:tc>
          <w:tcPr>
            <w:tcW w:w="1338" w:type="dxa"/>
            <w:noWrap/>
            <w:vAlign w:val="center"/>
            <w:hideMark/>
          </w:tcPr>
          <w:p w14:paraId="517A2031" w14:textId="6E3B89DB" w:rsidR="00524F8A" w:rsidRPr="009B605C" w:rsidRDefault="00524F8A" w:rsidP="0087752F">
            <w:pPr>
              <w:rPr>
                <w:rFonts w:ascii="Cambria" w:hAnsi="Cambria"/>
                <w:color w:val="000000"/>
                <w:sz w:val="20"/>
                <w:szCs w:val="20"/>
              </w:rPr>
            </w:pPr>
            <w:r w:rsidRPr="009B605C">
              <w:rPr>
                <w:rFonts w:ascii="Cambria" w:hAnsi="Cambria"/>
                <w:color w:val="000000"/>
                <w:sz w:val="20"/>
                <w:szCs w:val="20"/>
              </w:rPr>
              <w:t>24.112***</w:t>
            </w:r>
          </w:p>
        </w:tc>
        <w:tc>
          <w:tcPr>
            <w:tcW w:w="1039" w:type="dxa"/>
            <w:noWrap/>
            <w:vAlign w:val="center"/>
            <w:hideMark/>
          </w:tcPr>
          <w:p w14:paraId="5531D9A8" w14:textId="7B577B05" w:rsidR="00524F8A" w:rsidRPr="009B605C" w:rsidRDefault="00524F8A" w:rsidP="0087752F">
            <w:pPr>
              <w:rPr>
                <w:rFonts w:ascii="Cambria" w:hAnsi="Cambria"/>
                <w:color w:val="000000"/>
                <w:sz w:val="20"/>
                <w:szCs w:val="20"/>
              </w:rPr>
            </w:pPr>
            <w:r w:rsidRPr="009B605C">
              <w:rPr>
                <w:rFonts w:ascii="Cambria" w:hAnsi="Cambria"/>
                <w:color w:val="000000"/>
                <w:sz w:val="20"/>
                <w:szCs w:val="20"/>
              </w:rPr>
              <w:t>0.323</w:t>
            </w:r>
          </w:p>
        </w:tc>
        <w:tc>
          <w:tcPr>
            <w:tcW w:w="1381" w:type="dxa"/>
            <w:noWrap/>
            <w:vAlign w:val="center"/>
            <w:hideMark/>
          </w:tcPr>
          <w:p w14:paraId="7477E469" w14:textId="2C6CA02B" w:rsidR="00524F8A" w:rsidRPr="009B605C" w:rsidRDefault="00524F8A" w:rsidP="0087752F">
            <w:pPr>
              <w:rPr>
                <w:rFonts w:ascii="Cambria" w:hAnsi="Cambria"/>
                <w:color w:val="000000"/>
                <w:sz w:val="20"/>
                <w:szCs w:val="20"/>
              </w:rPr>
            </w:pPr>
            <w:r w:rsidRPr="009B605C">
              <w:rPr>
                <w:rFonts w:ascii="Cambria" w:hAnsi="Cambria"/>
                <w:color w:val="000000"/>
                <w:sz w:val="20"/>
                <w:szCs w:val="20"/>
              </w:rPr>
              <w:t>110.149***</w:t>
            </w:r>
          </w:p>
        </w:tc>
      </w:tr>
      <w:tr w:rsidR="00524F8A" w:rsidRPr="009B605C" w14:paraId="2FE726D6" w14:textId="77777777" w:rsidTr="00524F8A">
        <w:trPr>
          <w:trHeight w:val="397"/>
        </w:trPr>
        <w:tc>
          <w:tcPr>
            <w:tcW w:w="2269" w:type="dxa"/>
            <w:noWrap/>
            <w:vAlign w:val="center"/>
            <w:hideMark/>
          </w:tcPr>
          <w:p w14:paraId="46FFF980"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India</w:t>
            </w:r>
          </w:p>
        </w:tc>
        <w:tc>
          <w:tcPr>
            <w:tcW w:w="1446" w:type="dxa"/>
            <w:noWrap/>
            <w:vAlign w:val="center"/>
            <w:hideMark/>
          </w:tcPr>
          <w:p w14:paraId="65137612" w14:textId="395D2A2B" w:rsidR="00524F8A" w:rsidRPr="009B605C" w:rsidRDefault="00524F8A" w:rsidP="0087752F">
            <w:pPr>
              <w:rPr>
                <w:rFonts w:ascii="Cambria" w:hAnsi="Cambria"/>
                <w:color w:val="000000"/>
                <w:sz w:val="20"/>
                <w:szCs w:val="20"/>
              </w:rPr>
            </w:pPr>
            <w:r w:rsidRPr="009B605C">
              <w:rPr>
                <w:rFonts w:ascii="Cambria" w:hAnsi="Cambria"/>
                <w:color w:val="000000"/>
                <w:sz w:val="20"/>
                <w:szCs w:val="20"/>
              </w:rPr>
              <w:t>45.042***</w:t>
            </w:r>
          </w:p>
        </w:tc>
        <w:tc>
          <w:tcPr>
            <w:tcW w:w="1134" w:type="dxa"/>
            <w:noWrap/>
            <w:vAlign w:val="center"/>
            <w:hideMark/>
          </w:tcPr>
          <w:p w14:paraId="36A570D3" w14:textId="0E1C3515" w:rsidR="00524F8A" w:rsidRPr="009B605C" w:rsidRDefault="00524F8A" w:rsidP="0087752F">
            <w:pPr>
              <w:rPr>
                <w:rFonts w:ascii="Cambria" w:hAnsi="Cambria"/>
                <w:color w:val="000000"/>
                <w:sz w:val="20"/>
                <w:szCs w:val="20"/>
              </w:rPr>
            </w:pPr>
            <w:r w:rsidRPr="009B605C">
              <w:rPr>
                <w:rFonts w:ascii="Cambria" w:hAnsi="Cambria"/>
                <w:color w:val="000000"/>
                <w:sz w:val="20"/>
                <w:szCs w:val="20"/>
              </w:rPr>
              <w:t>2.94</w:t>
            </w:r>
            <w:r w:rsidR="00943CF1" w:rsidRPr="009B605C">
              <w:rPr>
                <w:rFonts w:ascii="Cambria" w:hAnsi="Cambria"/>
                <w:color w:val="000000"/>
                <w:sz w:val="20"/>
                <w:szCs w:val="20"/>
              </w:rPr>
              <w:t>0</w:t>
            </w:r>
            <w:r w:rsidRPr="009B605C">
              <w:rPr>
                <w:rFonts w:ascii="Cambria" w:hAnsi="Cambria"/>
                <w:color w:val="000000"/>
                <w:sz w:val="20"/>
                <w:szCs w:val="20"/>
              </w:rPr>
              <w:t>**</w:t>
            </w:r>
          </w:p>
        </w:tc>
        <w:tc>
          <w:tcPr>
            <w:tcW w:w="1468" w:type="dxa"/>
            <w:noWrap/>
            <w:vAlign w:val="center"/>
            <w:hideMark/>
          </w:tcPr>
          <w:p w14:paraId="03E611CB" w14:textId="3DC50F4B" w:rsidR="00524F8A" w:rsidRPr="009B605C" w:rsidRDefault="00524F8A" w:rsidP="0087752F">
            <w:pPr>
              <w:rPr>
                <w:rFonts w:ascii="Cambria" w:hAnsi="Cambria"/>
                <w:color w:val="000000"/>
                <w:sz w:val="20"/>
                <w:szCs w:val="20"/>
              </w:rPr>
            </w:pPr>
            <w:r w:rsidRPr="009B605C">
              <w:rPr>
                <w:rFonts w:ascii="Cambria" w:hAnsi="Cambria"/>
                <w:color w:val="000000"/>
                <w:sz w:val="20"/>
                <w:szCs w:val="20"/>
              </w:rPr>
              <w:t>148.722***</w:t>
            </w:r>
          </w:p>
        </w:tc>
        <w:tc>
          <w:tcPr>
            <w:tcW w:w="1338" w:type="dxa"/>
            <w:noWrap/>
            <w:vAlign w:val="center"/>
            <w:hideMark/>
          </w:tcPr>
          <w:p w14:paraId="2C4542A2" w14:textId="3EE65F7C" w:rsidR="00524F8A" w:rsidRPr="009B605C" w:rsidRDefault="00524F8A" w:rsidP="0087752F">
            <w:pPr>
              <w:rPr>
                <w:rFonts w:ascii="Cambria" w:hAnsi="Cambria"/>
                <w:color w:val="000000"/>
                <w:sz w:val="20"/>
                <w:szCs w:val="20"/>
              </w:rPr>
            </w:pPr>
            <w:r w:rsidRPr="009B605C">
              <w:rPr>
                <w:rFonts w:ascii="Cambria" w:hAnsi="Cambria"/>
                <w:color w:val="000000"/>
                <w:sz w:val="20"/>
                <w:szCs w:val="20"/>
              </w:rPr>
              <w:t>235.656***</w:t>
            </w:r>
          </w:p>
        </w:tc>
        <w:tc>
          <w:tcPr>
            <w:tcW w:w="1039" w:type="dxa"/>
            <w:noWrap/>
            <w:vAlign w:val="center"/>
            <w:hideMark/>
          </w:tcPr>
          <w:p w14:paraId="781A08EE" w14:textId="753122D2" w:rsidR="00524F8A" w:rsidRPr="009B605C" w:rsidRDefault="00524F8A" w:rsidP="0087752F">
            <w:pPr>
              <w:rPr>
                <w:rFonts w:ascii="Cambria" w:hAnsi="Cambria"/>
                <w:color w:val="000000"/>
                <w:sz w:val="20"/>
                <w:szCs w:val="20"/>
              </w:rPr>
            </w:pPr>
            <w:r w:rsidRPr="009B605C">
              <w:rPr>
                <w:rFonts w:ascii="Cambria" w:hAnsi="Cambria"/>
                <w:color w:val="000000"/>
                <w:sz w:val="20"/>
                <w:szCs w:val="20"/>
              </w:rPr>
              <w:t>0.679</w:t>
            </w:r>
          </w:p>
        </w:tc>
        <w:tc>
          <w:tcPr>
            <w:tcW w:w="1381" w:type="dxa"/>
            <w:noWrap/>
            <w:vAlign w:val="center"/>
            <w:hideMark/>
          </w:tcPr>
          <w:p w14:paraId="19D588A0" w14:textId="37C88B5B" w:rsidR="00524F8A" w:rsidRPr="009B605C" w:rsidRDefault="00524F8A" w:rsidP="0087752F">
            <w:pPr>
              <w:rPr>
                <w:rFonts w:ascii="Cambria" w:hAnsi="Cambria"/>
                <w:color w:val="000000"/>
                <w:sz w:val="20"/>
                <w:szCs w:val="20"/>
              </w:rPr>
            </w:pPr>
            <w:r w:rsidRPr="009B605C">
              <w:rPr>
                <w:rFonts w:ascii="Cambria" w:hAnsi="Cambria"/>
                <w:color w:val="000000"/>
                <w:sz w:val="20"/>
                <w:szCs w:val="20"/>
              </w:rPr>
              <w:t>606.147***</w:t>
            </w:r>
          </w:p>
        </w:tc>
      </w:tr>
      <w:tr w:rsidR="00524F8A" w:rsidRPr="009B605C" w14:paraId="1499BFC8" w14:textId="77777777" w:rsidTr="00524F8A">
        <w:trPr>
          <w:trHeight w:val="397"/>
        </w:trPr>
        <w:tc>
          <w:tcPr>
            <w:tcW w:w="2269" w:type="dxa"/>
            <w:noWrap/>
            <w:vAlign w:val="center"/>
            <w:hideMark/>
          </w:tcPr>
          <w:p w14:paraId="51C9A8DF"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China</w:t>
            </w:r>
          </w:p>
        </w:tc>
        <w:tc>
          <w:tcPr>
            <w:tcW w:w="1446" w:type="dxa"/>
            <w:noWrap/>
            <w:vAlign w:val="center"/>
            <w:hideMark/>
          </w:tcPr>
          <w:p w14:paraId="406057A4" w14:textId="314E7374" w:rsidR="00524F8A" w:rsidRPr="009B605C" w:rsidRDefault="00524F8A" w:rsidP="0087752F">
            <w:pPr>
              <w:rPr>
                <w:rFonts w:ascii="Cambria" w:hAnsi="Cambria"/>
                <w:color w:val="000000"/>
                <w:sz w:val="20"/>
                <w:szCs w:val="20"/>
              </w:rPr>
            </w:pPr>
            <w:r w:rsidRPr="009B605C">
              <w:rPr>
                <w:rFonts w:ascii="Cambria" w:hAnsi="Cambria"/>
                <w:color w:val="000000"/>
                <w:sz w:val="20"/>
                <w:szCs w:val="20"/>
              </w:rPr>
              <w:t>17.427***</w:t>
            </w:r>
          </w:p>
        </w:tc>
        <w:tc>
          <w:tcPr>
            <w:tcW w:w="1134" w:type="dxa"/>
            <w:noWrap/>
            <w:vAlign w:val="center"/>
            <w:hideMark/>
          </w:tcPr>
          <w:p w14:paraId="4B0F063E" w14:textId="5D1F2F01" w:rsidR="00524F8A" w:rsidRPr="009B605C" w:rsidRDefault="00524F8A" w:rsidP="0087752F">
            <w:pPr>
              <w:rPr>
                <w:rFonts w:ascii="Cambria" w:hAnsi="Cambria"/>
                <w:color w:val="000000"/>
                <w:sz w:val="20"/>
                <w:szCs w:val="20"/>
              </w:rPr>
            </w:pPr>
            <w:r w:rsidRPr="009B605C">
              <w:rPr>
                <w:rFonts w:ascii="Cambria" w:hAnsi="Cambria"/>
                <w:color w:val="000000"/>
                <w:sz w:val="20"/>
                <w:szCs w:val="20"/>
              </w:rPr>
              <w:t>0.597</w:t>
            </w:r>
          </w:p>
        </w:tc>
        <w:tc>
          <w:tcPr>
            <w:tcW w:w="1468" w:type="dxa"/>
            <w:noWrap/>
            <w:vAlign w:val="center"/>
            <w:hideMark/>
          </w:tcPr>
          <w:p w14:paraId="1A6F664C" w14:textId="14E1F6B0" w:rsidR="00524F8A" w:rsidRPr="009B605C" w:rsidRDefault="00524F8A" w:rsidP="0087752F">
            <w:pPr>
              <w:rPr>
                <w:rFonts w:ascii="Cambria" w:hAnsi="Cambria"/>
                <w:color w:val="000000"/>
                <w:sz w:val="20"/>
                <w:szCs w:val="20"/>
              </w:rPr>
            </w:pPr>
            <w:r w:rsidRPr="009B605C">
              <w:rPr>
                <w:rFonts w:ascii="Cambria" w:hAnsi="Cambria"/>
                <w:color w:val="000000"/>
                <w:sz w:val="20"/>
                <w:szCs w:val="20"/>
              </w:rPr>
              <w:t>50.081***</w:t>
            </w:r>
          </w:p>
        </w:tc>
        <w:tc>
          <w:tcPr>
            <w:tcW w:w="1338" w:type="dxa"/>
            <w:noWrap/>
            <w:vAlign w:val="center"/>
            <w:hideMark/>
          </w:tcPr>
          <w:p w14:paraId="3EB4290F" w14:textId="3BE21465" w:rsidR="00524F8A" w:rsidRPr="009B605C" w:rsidRDefault="00524F8A" w:rsidP="0087752F">
            <w:pPr>
              <w:rPr>
                <w:rFonts w:ascii="Cambria" w:hAnsi="Cambria"/>
                <w:color w:val="000000"/>
                <w:sz w:val="20"/>
                <w:szCs w:val="20"/>
              </w:rPr>
            </w:pPr>
            <w:r w:rsidRPr="009B605C">
              <w:rPr>
                <w:rFonts w:ascii="Cambria" w:hAnsi="Cambria"/>
                <w:color w:val="000000"/>
                <w:sz w:val="20"/>
                <w:szCs w:val="20"/>
              </w:rPr>
              <w:t>24.34</w:t>
            </w:r>
            <w:r w:rsidR="00943CF1" w:rsidRPr="009B605C">
              <w:rPr>
                <w:rFonts w:ascii="Cambria" w:hAnsi="Cambria"/>
                <w:color w:val="000000"/>
                <w:sz w:val="20"/>
                <w:szCs w:val="20"/>
              </w:rPr>
              <w:t>0</w:t>
            </w:r>
            <w:r w:rsidRPr="009B605C">
              <w:rPr>
                <w:rFonts w:ascii="Cambria" w:hAnsi="Cambria"/>
                <w:color w:val="000000"/>
                <w:sz w:val="20"/>
                <w:szCs w:val="20"/>
              </w:rPr>
              <w:t>***</w:t>
            </w:r>
          </w:p>
        </w:tc>
        <w:tc>
          <w:tcPr>
            <w:tcW w:w="1039" w:type="dxa"/>
            <w:noWrap/>
            <w:vAlign w:val="center"/>
            <w:hideMark/>
          </w:tcPr>
          <w:p w14:paraId="2097E7D0" w14:textId="3691E425" w:rsidR="00524F8A" w:rsidRPr="009B605C" w:rsidRDefault="00524F8A" w:rsidP="0087752F">
            <w:pPr>
              <w:rPr>
                <w:rFonts w:ascii="Cambria" w:hAnsi="Cambria"/>
                <w:color w:val="000000"/>
                <w:sz w:val="20"/>
                <w:szCs w:val="20"/>
              </w:rPr>
            </w:pPr>
            <w:r w:rsidRPr="009B605C">
              <w:rPr>
                <w:rFonts w:ascii="Cambria" w:hAnsi="Cambria"/>
                <w:color w:val="000000"/>
                <w:sz w:val="20"/>
                <w:szCs w:val="20"/>
              </w:rPr>
              <w:t>0.476</w:t>
            </w:r>
          </w:p>
        </w:tc>
        <w:tc>
          <w:tcPr>
            <w:tcW w:w="1381" w:type="dxa"/>
            <w:noWrap/>
            <w:vAlign w:val="center"/>
            <w:hideMark/>
          </w:tcPr>
          <w:p w14:paraId="7EA4D559" w14:textId="554B34D6" w:rsidR="00524F8A" w:rsidRPr="009B605C" w:rsidRDefault="00524F8A" w:rsidP="0087752F">
            <w:pPr>
              <w:rPr>
                <w:rFonts w:ascii="Cambria" w:hAnsi="Cambria"/>
                <w:color w:val="000000"/>
                <w:sz w:val="20"/>
                <w:szCs w:val="20"/>
              </w:rPr>
            </w:pPr>
            <w:r w:rsidRPr="009B605C">
              <w:rPr>
                <w:rFonts w:ascii="Cambria" w:hAnsi="Cambria"/>
                <w:color w:val="000000"/>
                <w:sz w:val="20"/>
                <w:szCs w:val="20"/>
              </w:rPr>
              <w:t>1098.556***</w:t>
            </w:r>
          </w:p>
        </w:tc>
      </w:tr>
      <w:tr w:rsidR="00524F8A" w:rsidRPr="009B605C" w14:paraId="44D1EB82" w14:textId="77777777" w:rsidTr="00524F8A">
        <w:trPr>
          <w:trHeight w:val="397"/>
        </w:trPr>
        <w:tc>
          <w:tcPr>
            <w:tcW w:w="2269" w:type="dxa"/>
            <w:noWrap/>
            <w:vAlign w:val="center"/>
            <w:hideMark/>
          </w:tcPr>
          <w:p w14:paraId="695F064A"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South Africa</w:t>
            </w:r>
          </w:p>
        </w:tc>
        <w:tc>
          <w:tcPr>
            <w:tcW w:w="1446" w:type="dxa"/>
            <w:noWrap/>
            <w:vAlign w:val="center"/>
            <w:hideMark/>
          </w:tcPr>
          <w:p w14:paraId="7D812C48" w14:textId="6B2D1741" w:rsidR="00524F8A" w:rsidRPr="009B605C" w:rsidRDefault="00524F8A" w:rsidP="0087752F">
            <w:pPr>
              <w:rPr>
                <w:rFonts w:ascii="Cambria" w:hAnsi="Cambria"/>
                <w:color w:val="000000"/>
                <w:sz w:val="20"/>
                <w:szCs w:val="20"/>
              </w:rPr>
            </w:pPr>
            <w:r w:rsidRPr="009B605C">
              <w:rPr>
                <w:rFonts w:ascii="Cambria" w:hAnsi="Cambria"/>
                <w:color w:val="000000"/>
                <w:sz w:val="20"/>
                <w:szCs w:val="20"/>
              </w:rPr>
              <w:t>30.89</w:t>
            </w:r>
            <w:r w:rsidR="00943CF1" w:rsidRPr="009B605C">
              <w:rPr>
                <w:rFonts w:ascii="Cambria" w:hAnsi="Cambria"/>
                <w:color w:val="000000"/>
                <w:sz w:val="20"/>
                <w:szCs w:val="20"/>
              </w:rPr>
              <w:t>0</w:t>
            </w:r>
            <w:r w:rsidRPr="009B605C">
              <w:rPr>
                <w:rFonts w:ascii="Cambria" w:hAnsi="Cambria"/>
                <w:color w:val="000000"/>
                <w:sz w:val="20"/>
                <w:szCs w:val="20"/>
              </w:rPr>
              <w:t>***</w:t>
            </w:r>
          </w:p>
        </w:tc>
        <w:tc>
          <w:tcPr>
            <w:tcW w:w="1134" w:type="dxa"/>
            <w:noWrap/>
            <w:vAlign w:val="center"/>
            <w:hideMark/>
          </w:tcPr>
          <w:p w14:paraId="5F8CB978" w14:textId="47BB9CAE" w:rsidR="00524F8A" w:rsidRPr="009B605C" w:rsidRDefault="00524F8A" w:rsidP="0087752F">
            <w:pPr>
              <w:rPr>
                <w:rFonts w:ascii="Cambria" w:hAnsi="Cambria"/>
                <w:color w:val="000000"/>
                <w:sz w:val="20"/>
                <w:szCs w:val="20"/>
              </w:rPr>
            </w:pPr>
            <w:r w:rsidRPr="009B605C">
              <w:rPr>
                <w:rFonts w:ascii="Cambria" w:hAnsi="Cambria"/>
                <w:color w:val="000000"/>
                <w:sz w:val="20"/>
                <w:szCs w:val="20"/>
              </w:rPr>
              <w:t>0.849</w:t>
            </w:r>
          </w:p>
        </w:tc>
        <w:tc>
          <w:tcPr>
            <w:tcW w:w="1468" w:type="dxa"/>
            <w:noWrap/>
            <w:vAlign w:val="center"/>
            <w:hideMark/>
          </w:tcPr>
          <w:p w14:paraId="34B41F6A" w14:textId="789810DB" w:rsidR="00524F8A" w:rsidRPr="009B605C" w:rsidRDefault="00524F8A" w:rsidP="0087752F">
            <w:pPr>
              <w:rPr>
                <w:rFonts w:ascii="Cambria" w:hAnsi="Cambria"/>
                <w:color w:val="000000"/>
                <w:sz w:val="20"/>
                <w:szCs w:val="20"/>
              </w:rPr>
            </w:pPr>
            <w:r w:rsidRPr="009B605C">
              <w:rPr>
                <w:rFonts w:ascii="Cambria" w:hAnsi="Cambria"/>
                <w:color w:val="000000"/>
                <w:sz w:val="20"/>
                <w:szCs w:val="20"/>
              </w:rPr>
              <w:t>348.879***</w:t>
            </w:r>
          </w:p>
        </w:tc>
        <w:tc>
          <w:tcPr>
            <w:tcW w:w="1338" w:type="dxa"/>
            <w:noWrap/>
            <w:vAlign w:val="center"/>
            <w:hideMark/>
          </w:tcPr>
          <w:p w14:paraId="7D25F1C8" w14:textId="709AE3B8" w:rsidR="00524F8A" w:rsidRPr="009B605C" w:rsidRDefault="00524F8A" w:rsidP="0087752F">
            <w:pPr>
              <w:rPr>
                <w:rFonts w:ascii="Cambria" w:hAnsi="Cambria"/>
                <w:color w:val="000000"/>
                <w:sz w:val="20"/>
                <w:szCs w:val="20"/>
              </w:rPr>
            </w:pPr>
            <w:r w:rsidRPr="009B605C">
              <w:rPr>
                <w:rFonts w:ascii="Cambria" w:hAnsi="Cambria"/>
                <w:color w:val="000000"/>
                <w:sz w:val="20"/>
                <w:szCs w:val="20"/>
              </w:rPr>
              <w:t>49.149***</w:t>
            </w:r>
          </w:p>
        </w:tc>
        <w:tc>
          <w:tcPr>
            <w:tcW w:w="1039" w:type="dxa"/>
            <w:noWrap/>
            <w:vAlign w:val="center"/>
            <w:hideMark/>
          </w:tcPr>
          <w:p w14:paraId="33B9826A" w14:textId="1BD1C290" w:rsidR="00524F8A" w:rsidRPr="009B605C" w:rsidRDefault="00524F8A" w:rsidP="0087752F">
            <w:pPr>
              <w:rPr>
                <w:rFonts w:ascii="Cambria" w:hAnsi="Cambria"/>
                <w:color w:val="000000"/>
                <w:sz w:val="20"/>
                <w:szCs w:val="20"/>
              </w:rPr>
            </w:pPr>
            <w:r w:rsidRPr="009B605C">
              <w:rPr>
                <w:rFonts w:ascii="Cambria" w:hAnsi="Cambria"/>
                <w:color w:val="000000"/>
                <w:sz w:val="20"/>
                <w:szCs w:val="20"/>
              </w:rPr>
              <w:t>0.952</w:t>
            </w:r>
          </w:p>
        </w:tc>
        <w:tc>
          <w:tcPr>
            <w:tcW w:w="1381" w:type="dxa"/>
            <w:noWrap/>
            <w:vAlign w:val="center"/>
            <w:hideMark/>
          </w:tcPr>
          <w:p w14:paraId="6ECCE09D" w14:textId="02EE3334" w:rsidR="00524F8A" w:rsidRPr="009B605C" w:rsidRDefault="00524F8A" w:rsidP="0087752F">
            <w:pPr>
              <w:rPr>
                <w:rFonts w:ascii="Cambria" w:hAnsi="Cambria"/>
                <w:color w:val="000000"/>
                <w:sz w:val="20"/>
                <w:szCs w:val="20"/>
              </w:rPr>
            </w:pPr>
            <w:r w:rsidRPr="009B605C">
              <w:rPr>
                <w:rFonts w:ascii="Cambria" w:hAnsi="Cambria"/>
                <w:color w:val="000000"/>
                <w:sz w:val="20"/>
                <w:szCs w:val="20"/>
              </w:rPr>
              <w:t>67.112***</w:t>
            </w:r>
          </w:p>
        </w:tc>
      </w:tr>
      <w:tr w:rsidR="00BC45DA" w:rsidRPr="009B605C" w14:paraId="735349A7" w14:textId="77777777" w:rsidTr="00524F8A">
        <w:trPr>
          <w:trHeight w:val="397"/>
        </w:trPr>
        <w:tc>
          <w:tcPr>
            <w:tcW w:w="3715" w:type="dxa"/>
            <w:gridSpan w:val="2"/>
            <w:noWrap/>
            <w:vAlign w:val="center"/>
            <w:hideMark/>
          </w:tcPr>
          <w:p w14:paraId="1B8BB88A" w14:textId="5DFDB4FB" w:rsidR="00BC45DA" w:rsidRPr="009B605C" w:rsidRDefault="00BC45DA" w:rsidP="0087752F">
            <w:pPr>
              <w:rPr>
                <w:rFonts w:ascii="Cambria" w:hAnsi="Cambria"/>
                <w:b/>
                <w:bCs/>
                <w:color w:val="000000"/>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Post-conflict announcement</w:t>
            </w:r>
          </w:p>
        </w:tc>
        <w:tc>
          <w:tcPr>
            <w:tcW w:w="1134" w:type="dxa"/>
            <w:noWrap/>
            <w:hideMark/>
          </w:tcPr>
          <w:p w14:paraId="5A334359" w14:textId="77777777" w:rsidR="00BC45DA" w:rsidRPr="009B605C" w:rsidRDefault="00BC45DA" w:rsidP="0087752F">
            <w:pPr>
              <w:rPr>
                <w:rFonts w:ascii="Cambria" w:hAnsi="Cambria"/>
                <w:sz w:val="20"/>
                <w:szCs w:val="20"/>
              </w:rPr>
            </w:pPr>
          </w:p>
        </w:tc>
        <w:tc>
          <w:tcPr>
            <w:tcW w:w="1468" w:type="dxa"/>
            <w:noWrap/>
            <w:hideMark/>
          </w:tcPr>
          <w:p w14:paraId="7BAB9687" w14:textId="77777777" w:rsidR="00BC45DA" w:rsidRPr="009B605C" w:rsidRDefault="00BC45DA" w:rsidP="0087752F">
            <w:pPr>
              <w:rPr>
                <w:rFonts w:ascii="Cambria" w:hAnsi="Cambria"/>
                <w:sz w:val="20"/>
                <w:szCs w:val="20"/>
              </w:rPr>
            </w:pPr>
          </w:p>
        </w:tc>
        <w:tc>
          <w:tcPr>
            <w:tcW w:w="1338" w:type="dxa"/>
            <w:noWrap/>
            <w:hideMark/>
          </w:tcPr>
          <w:p w14:paraId="00BABA26" w14:textId="77777777" w:rsidR="00BC45DA" w:rsidRPr="009B605C" w:rsidRDefault="00BC45DA" w:rsidP="0087752F">
            <w:pPr>
              <w:rPr>
                <w:rFonts w:ascii="Cambria" w:hAnsi="Cambria"/>
                <w:sz w:val="20"/>
                <w:szCs w:val="20"/>
              </w:rPr>
            </w:pPr>
          </w:p>
        </w:tc>
        <w:tc>
          <w:tcPr>
            <w:tcW w:w="1039" w:type="dxa"/>
            <w:noWrap/>
            <w:hideMark/>
          </w:tcPr>
          <w:p w14:paraId="1683F616" w14:textId="77777777" w:rsidR="00BC45DA" w:rsidRPr="009B605C" w:rsidRDefault="00BC45DA" w:rsidP="0087752F">
            <w:pPr>
              <w:rPr>
                <w:rFonts w:ascii="Cambria" w:hAnsi="Cambria"/>
                <w:sz w:val="20"/>
                <w:szCs w:val="20"/>
              </w:rPr>
            </w:pPr>
          </w:p>
        </w:tc>
        <w:tc>
          <w:tcPr>
            <w:tcW w:w="1381" w:type="dxa"/>
            <w:noWrap/>
            <w:hideMark/>
          </w:tcPr>
          <w:p w14:paraId="5F8458E6" w14:textId="77777777" w:rsidR="00BC45DA" w:rsidRPr="009B605C" w:rsidRDefault="00BC45DA" w:rsidP="0087752F">
            <w:pPr>
              <w:rPr>
                <w:rFonts w:ascii="Cambria" w:hAnsi="Cambria"/>
                <w:sz w:val="20"/>
                <w:szCs w:val="20"/>
              </w:rPr>
            </w:pPr>
          </w:p>
        </w:tc>
      </w:tr>
      <w:tr w:rsidR="00524F8A" w:rsidRPr="009B605C" w14:paraId="35431FB3" w14:textId="77777777" w:rsidTr="00524F8A">
        <w:trPr>
          <w:trHeight w:val="397"/>
        </w:trPr>
        <w:tc>
          <w:tcPr>
            <w:tcW w:w="2269" w:type="dxa"/>
            <w:noWrap/>
            <w:vAlign w:val="center"/>
            <w:hideMark/>
          </w:tcPr>
          <w:p w14:paraId="5D3D88F2"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Brazil</w:t>
            </w:r>
          </w:p>
        </w:tc>
        <w:tc>
          <w:tcPr>
            <w:tcW w:w="1446" w:type="dxa"/>
            <w:noWrap/>
            <w:vAlign w:val="center"/>
            <w:hideMark/>
          </w:tcPr>
          <w:p w14:paraId="1CBBA0BB" w14:textId="6B35433A" w:rsidR="00524F8A" w:rsidRPr="009B605C" w:rsidRDefault="00524F8A" w:rsidP="0087752F">
            <w:pPr>
              <w:rPr>
                <w:rFonts w:ascii="Cambria" w:hAnsi="Cambria"/>
                <w:color w:val="000000"/>
                <w:sz w:val="20"/>
                <w:szCs w:val="20"/>
              </w:rPr>
            </w:pPr>
            <w:r w:rsidRPr="009B605C">
              <w:rPr>
                <w:rFonts w:ascii="Cambria" w:hAnsi="Cambria"/>
                <w:color w:val="000000"/>
                <w:sz w:val="20"/>
                <w:szCs w:val="20"/>
              </w:rPr>
              <w:t>49.13</w:t>
            </w:r>
            <w:r w:rsidR="00943CF1" w:rsidRPr="009B605C">
              <w:rPr>
                <w:rFonts w:ascii="Cambria" w:hAnsi="Cambria"/>
                <w:color w:val="000000"/>
                <w:sz w:val="20"/>
                <w:szCs w:val="20"/>
              </w:rPr>
              <w:t>0</w:t>
            </w:r>
            <w:r w:rsidRPr="009B605C">
              <w:rPr>
                <w:rFonts w:ascii="Cambria" w:hAnsi="Cambria"/>
                <w:color w:val="000000"/>
                <w:sz w:val="20"/>
                <w:szCs w:val="20"/>
              </w:rPr>
              <w:t>***</w:t>
            </w:r>
          </w:p>
        </w:tc>
        <w:tc>
          <w:tcPr>
            <w:tcW w:w="1134" w:type="dxa"/>
            <w:noWrap/>
            <w:vAlign w:val="center"/>
            <w:hideMark/>
          </w:tcPr>
          <w:p w14:paraId="6511E03A" w14:textId="4628CB0F" w:rsidR="00524F8A" w:rsidRPr="009B605C" w:rsidRDefault="00524F8A" w:rsidP="0087752F">
            <w:pPr>
              <w:rPr>
                <w:rFonts w:ascii="Cambria" w:hAnsi="Cambria"/>
                <w:color w:val="000000"/>
                <w:sz w:val="20"/>
                <w:szCs w:val="20"/>
              </w:rPr>
            </w:pPr>
            <w:r w:rsidRPr="009B605C">
              <w:rPr>
                <w:rFonts w:ascii="Cambria" w:hAnsi="Cambria"/>
                <w:color w:val="000000"/>
                <w:sz w:val="20"/>
                <w:szCs w:val="20"/>
              </w:rPr>
              <w:t>0.424</w:t>
            </w:r>
          </w:p>
        </w:tc>
        <w:tc>
          <w:tcPr>
            <w:tcW w:w="1468" w:type="dxa"/>
            <w:noWrap/>
            <w:vAlign w:val="center"/>
            <w:hideMark/>
          </w:tcPr>
          <w:p w14:paraId="79D3F70B" w14:textId="544A9669" w:rsidR="00524F8A" w:rsidRPr="009B605C" w:rsidRDefault="00524F8A" w:rsidP="0087752F">
            <w:pPr>
              <w:rPr>
                <w:rFonts w:ascii="Cambria" w:hAnsi="Cambria"/>
                <w:color w:val="000000"/>
                <w:sz w:val="20"/>
                <w:szCs w:val="20"/>
              </w:rPr>
            </w:pPr>
            <w:r w:rsidRPr="009B605C">
              <w:rPr>
                <w:rFonts w:ascii="Cambria" w:hAnsi="Cambria"/>
                <w:color w:val="000000"/>
                <w:sz w:val="20"/>
                <w:szCs w:val="20"/>
              </w:rPr>
              <w:t>180.189***</w:t>
            </w:r>
          </w:p>
        </w:tc>
        <w:tc>
          <w:tcPr>
            <w:tcW w:w="1338" w:type="dxa"/>
            <w:noWrap/>
            <w:vAlign w:val="center"/>
            <w:hideMark/>
          </w:tcPr>
          <w:p w14:paraId="53B9695D" w14:textId="2496ABD6" w:rsidR="00524F8A" w:rsidRPr="009B605C" w:rsidRDefault="00524F8A" w:rsidP="0087752F">
            <w:pPr>
              <w:rPr>
                <w:rFonts w:ascii="Cambria" w:hAnsi="Cambria"/>
                <w:color w:val="000000"/>
                <w:sz w:val="20"/>
                <w:szCs w:val="20"/>
              </w:rPr>
            </w:pPr>
            <w:r w:rsidRPr="009B605C">
              <w:rPr>
                <w:rFonts w:ascii="Cambria" w:hAnsi="Cambria"/>
                <w:color w:val="000000"/>
                <w:sz w:val="20"/>
                <w:szCs w:val="20"/>
              </w:rPr>
              <w:t>27.808***</w:t>
            </w:r>
          </w:p>
        </w:tc>
        <w:tc>
          <w:tcPr>
            <w:tcW w:w="1039" w:type="dxa"/>
            <w:noWrap/>
            <w:vAlign w:val="center"/>
            <w:hideMark/>
          </w:tcPr>
          <w:p w14:paraId="0B0C051B" w14:textId="2E8EC293" w:rsidR="00524F8A" w:rsidRPr="009B605C" w:rsidRDefault="00524F8A" w:rsidP="0087752F">
            <w:pPr>
              <w:rPr>
                <w:rFonts w:ascii="Cambria" w:hAnsi="Cambria"/>
                <w:color w:val="000000"/>
                <w:sz w:val="20"/>
                <w:szCs w:val="20"/>
              </w:rPr>
            </w:pPr>
            <w:r w:rsidRPr="009B605C">
              <w:rPr>
                <w:rFonts w:ascii="Cambria" w:hAnsi="Cambria"/>
                <w:color w:val="000000"/>
                <w:sz w:val="20"/>
                <w:szCs w:val="20"/>
              </w:rPr>
              <w:t>2.065</w:t>
            </w:r>
          </w:p>
        </w:tc>
        <w:tc>
          <w:tcPr>
            <w:tcW w:w="1381" w:type="dxa"/>
            <w:noWrap/>
            <w:vAlign w:val="center"/>
            <w:hideMark/>
          </w:tcPr>
          <w:p w14:paraId="672C9AFF" w14:textId="5102FE89" w:rsidR="00524F8A" w:rsidRPr="009B605C" w:rsidRDefault="00524F8A" w:rsidP="0087752F">
            <w:pPr>
              <w:rPr>
                <w:rFonts w:ascii="Cambria" w:hAnsi="Cambria"/>
                <w:color w:val="000000"/>
                <w:sz w:val="20"/>
                <w:szCs w:val="20"/>
              </w:rPr>
            </w:pPr>
            <w:r w:rsidRPr="009B605C">
              <w:rPr>
                <w:rFonts w:ascii="Cambria" w:hAnsi="Cambria"/>
                <w:color w:val="000000"/>
                <w:sz w:val="20"/>
                <w:szCs w:val="20"/>
              </w:rPr>
              <w:t>74.209***</w:t>
            </w:r>
          </w:p>
        </w:tc>
      </w:tr>
      <w:tr w:rsidR="00524F8A" w:rsidRPr="009B605C" w14:paraId="3E0D97A5" w14:textId="77777777" w:rsidTr="00524F8A">
        <w:trPr>
          <w:trHeight w:val="397"/>
        </w:trPr>
        <w:tc>
          <w:tcPr>
            <w:tcW w:w="2269" w:type="dxa"/>
            <w:noWrap/>
            <w:vAlign w:val="center"/>
            <w:hideMark/>
          </w:tcPr>
          <w:p w14:paraId="6B23E18E"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Russia</w:t>
            </w:r>
          </w:p>
        </w:tc>
        <w:tc>
          <w:tcPr>
            <w:tcW w:w="1446" w:type="dxa"/>
            <w:noWrap/>
            <w:vAlign w:val="center"/>
            <w:hideMark/>
          </w:tcPr>
          <w:p w14:paraId="5A90E205" w14:textId="5CD252C7" w:rsidR="00524F8A" w:rsidRPr="009B605C" w:rsidRDefault="00524F8A" w:rsidP="0087752F">
            <w:pPr>
              <w:rPr>
                <w:rFonts w:ascii="Cambria" w:hAnsi="Cambria"/>
                <w:color w:val="000000"/>
                <w:sz w:val="20"/>
                <w:szCs w:val="20"/>
              </w:rPr>
            </w:pPr>
            <w:r w:rsidRPr="009B605C">
              <w:rPr>
                <w:rFonts w:ascii="Cambria" w:hAnsi="Cambria"/>
                <w:color w:val="000000"/>
                <w:sz w:val="20"/>
                <w:szCs w:val="20"/>
              </w:rPr>
              <w:t>43.205***</w:t>
            </w:r>
          </w:p>
        </w:tc>
        <w:tc>
          <w:tcPr>
            <w:tcW w:w="1134" w:type="dxa"/>
            <w:noWrap/>
            <w:vAlign w:val="center"/>
            <w:hideMark/>
          </w:tcPr>
          <w:p w14:paraId="033BC724" w14:textId="259E5E53" w:rsidR="00524F8A" w:rsidRPr="009B605C" w:rsidRDefault="00524F8A" w:rsidP="0087752F">
            <w:pPr>
              <w:rPr>
                <w:rFonts w:ascii="Cambria" w:hAnsi="Cambria"/>
                <w:color w:val="000000"/>
                <w:sz w:val="20"/>
                <w:szCs w:val="20"/>
              </w:rPr>
            </w:pPr>
            <w:r w:rsidRPr="009B605C">
              <w:rPr>
                <w:rFonts w:ascii="Cambria" w:hAnsi="Cambria"/>
                <w:color w:val="000000"/>
                <w:sz w:val="20"/>
                <w:szCs w:val="20"/>
              </w:rPr>
              <w:t>1.748</w:t>
            </w:r>
          </w:p>
        </w:tc>
        <w:tc>
          <w:tcPr>
            <w:tcW w:w="1468" w:type="dxa"/>
            <w:noWrap/>
            <w:vAlign w:val="center"/>
            <w:hideMark/>
          </w:tcPr>
          <w:p w14:paraId="27536415" w14:textId="4A919979" w:rsidR="00524F8A" w:rsidRPr="009B605C" w:rsidRDefault="00524F8A" w:rsidP="0087752F">
            <w:pPr>
              <w:rPr>
                <w:rFonts w:ascii="Cambria" w:hAnsi="Cambria"/>
                <w:color w:val="000000"/>
                <w:sz w:val="20"/>
                <w:szCs w:val="20"/>
              </w:rPr>
            </w:pPr>
            <w:r w:rsidRPr="009B605C">
              <w:rPr>
                <w:rFonts w:ascii="Cambria" w:hAnsi="Cambria"/>
                <w:color w:val="000000"/>
                <w:sz w:val="20"/>
                <w:szCs w:val="20"/>
              </w:rPr>
              <w:t>281.382***</w:t>
            </w:r>
          </w:p>
        </w:tc>
        <w:tc>
          <w:tcPr>
            <w:tcW w:w="1338" w:type="dxa"/>
            <w:noWrap/>
            <w:vAlign w:val="center"/>
            <w:hideMark/>
          </w:tcPr>
          <w:p w14:paraId="45332F5B" w14:textId="41301350" w:rsidR="00524F8A" w:rsidRPr="009B605C" w:rsidRDefault="00524F8A" w:rsidP="0087752F">
            <w:pPr>
              <w:rPr>
                <w:rFonts w:ascii="Cambria" w:hAnsi="Cambria"/>
                <w:color w:val="000000"/>
                <w:sz w:val="20"/>
                <w:szCs w:val="20"/>
              </w:rPr>
            </w:pPr>
            <w:r w:rsidRPr="009B605C">
              <w:rPr>
                <w:rFonts w:ascii="Cambria" w:hAnsi="Cambria"/>
                <w:color w:val="000000"/>
                <w:sz w:val="20"/>
                <w:szCs w:val="20"/>
              </w:rPr>
              <w:t>86.806***</w:t>
            </w:r>
          </w:p>
        </w:tc>
        <w:tc>
          <w:tcPr>
            <w:tcW w:w="1039" w:type="dxa"/>
            <w:noWrap/>
            <w:vAlign w:val="center"/>
            <w:hideMark/>
          </w:tcPr>
          <w:p w14:paraId="57AC899A" w14:textId="7D32136A" w:rsidR="00524F8A" w:rsidRPr="009B605C" w:rsidRDefault="00524F8A" w:rsidP="0087752F">
            <w:pPr>
              <w:rPr>
                <w:rFonts w:ascii="Cambria" w:hAnsi="Cambria"/>
                <w:color w:val="000000"/>
                <w:sz w:val="20"/>
                <w:szCs w:val="20"/>
              </w:rPr>
            </w:pPr>
            <w:r w:rsidRPr="009B605C">
              <w:rPr>
                <w:rFonts w:ascii="Cambria" w:hAnsi="Cambria"/>
                <w:color w:val="000000"/>
                <w:sz w:val="20"/>
                <w:szCs w:val="20"/>
              </w:rPr>
              <w:t>2.127*</w:t>
            </w:r>
          </w:p>
        </w:tc>
        <w:tc>
          <w:tcPr>
            <w:tcW w:w="1381" w:type="dxa"/>
            <w:noWrap/>
            <w:vAlign w:val="center"/>
            <w:hideMark/>
          </w:tcPr>
          <w:p w14:paraId="1127C718" w14:textId="2DC9B10A" w:rsidR="00524F8A" w:rsidRPr="009B605C" w:rsidRDefault="00524F8A" w:rsidP="0087752F">
            <w:pPr>
              <w:rPr>
                <w:rFonts w:ascii="Cambria" w:hAnsi="Cambria"/>
                <w:color w:val="000000"/>
                <w:sz w:val="20"/>
                <w:szCs w:val="20"/>
              </w:rPr>
            </w:pPr>
            <w:r w:rsidRPr="009B605C">
              <w:rPr>
                <w:rFonts w:ascii="Cambria" w:hAnsi="Cambria"/>
                <w:color w:val="000000"/>
                <w:sz w:val="20"/>
                <w:szCs w:val="20"/>
              </w:rPr>
              <w:t>240.327***</w:t>
            </w:r>
          </w:p>
        </w:tc>
      </w:tr>
      <w:tr w:rsidR="00524F8A" w:rsidRPr="009B605C" w14:paraId="29FCFC44" w14:textId="77777777" w:rsidTr="00524F8A">
        <w:trPr>
          <w:trHeight w:val="397"/>
        </w:trPr>
        <w:tc>
          <w:tcPr>
            <w:tcW w:w="2269" w:type="dxa"/>
            <w:noWrap/>
            <w:vAlign w:val="center"/>
            <w:hideMark/>
          </w:tcPr>
          <w:p w14:paraId="2A7F6A10"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India</w:t>
            </w:r>
          </w:p>
        </w:tc>
        <w:tc>
          <w:tcPr>
            <w:tcW w:w="1446" w:type="dxa"/>
            <w:noWrap/>
            <w:vAlign w:val="center"/>
            <w:hideMark/>
          </w:tcPr>
          <w:p w14:paraId="7514A879" w14:textId="3E81E4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31.958***</w:t>
            </w:r>
          </w:p>
        </w:tc>
        <w:tc>
          <w:tcPr>
            <w:tcW w:w="1134" w:type="dxa"/>
            <w:noWrap/>
            <w:vAlign w:val="center"/>
            <w:hideMark/>
          </w:tcPr>
          <w:p w14:paraId="349020CB" w14:textId="179C056E" w:rsidR="00524F8A" w:rsidRPr="009B605C" w:rsidRDefault="00524F8A" w:rsidP="0087752F">
            <w:pPr>
              <w:rPr>
                <w:rFonts w:ascii="Cambria" w:hAnsi="Cambria"/>
                <w:color w:val="000000"/>
                <w:sz w:val="20"/>
                <w:szCs w:val="20"/>
              </w:rPr>
            </w:pPr>
            <w:r w:rsidRPr="009B605C">
              <w:rPr>
                <w:rFonts w:ascii="Cambria" w:hAnsi="Cambria"/>
                <w:color w:val="000000"/>
                <w:sz w:val="20"/>
                <w:szCs w:val="20"/>
              </w:rPr>
              <w:t>0.679</w:t>
            </w:r>
          </w:p>
        </w:tc>
        <w:tc>
          <w:tcPr>
            <w:tcW w:w="1468" w:type="dxa"/>
            <w:noWrap/>
            <w:vAlign w:val="center"/>
            <w:hideMark/>
          </w:tcPr>
          <w:p w14:paraId="1846E8E2" w14:textId="409D1AEF" w:rsidR="00524F8A" w:rsidRPr="009B605C" w:rsidRDefault="00524F8A" w:rsidP="0087752F">
            <w:pPr>
              <w:rPr>
                <w:rFonts w:ascii="Cambria" w:hAnsi="Cambria"/>
                <w:color w:val="000000"/>
                <w:sz w:val="20"/>
                <w:szCs w:val="20"/>
              </w:rPr>
            </w:pPr>
            <w:r w:rsidRPr="009B605C">
              <w:rPr>
                <w:rFonts w:ascii="Cambria" w:hAnsi="Cambria"/>
                <w:color w:val="000000"/>
                <w:sz w:val="20"/>
                <w:szCs w:val="20"/>
              </w:rPr>
              <w:t>373.029***</w:t>
            </w:r>
          </w:p>
        </w:tc>
        <w:tc>
          <w:tcPr>
            <w:tcW w:w="1338" w:type="dxa"/>
            <w:noWrap/>
            <w:vAlign w:val="center"/>
            <w:hideMark/>
          </w:tcPr>
          <w:p w14:paraId="7360F779" w14:textId="7A29E669" w:rsidR="00524F8A" w:rsidRPr="009B605C" w:rsidRDefault="00524F8A" w:rsidP="0087752F">
            <w:pPr>
              <w:rPr>
                <w:rFonts w:ascii="Cambria" w:hAnsi="Cambria"/>
                <w:color w:val="000000"/>
                <w:sz w:val="20"/>
                <w:szCs w:val="20"/>
              </w:rPr>
            </w:pPr>
            <w:r w:rsidRPr="009B605C">
              <w:rPr>
                <w:rFonts w:ascii="Cambria" w:hAnsi="Cambria"/>
                <w:color w:val="000000"/>
                <w:sz w:val="20"/>
                <w:szCs w:val="20"/>
              </w:rPr>
              <w:t>31.748***</w:t>
            </w:r>
          </w:p>
        </w:tc>
        <w:tc>
          <w:tcPr>
            <w:tcW w:w="1039" w:type="dxa"/>
            <w:noWrap/>
            <w:vAlign w:val="center"/>
            <w:hideMark/>
          </w:tcPr>
          <w:p w14:paraId="6A02C0D6" w14:textId="2BEF6C76" w:rsidR="00524F8A" w:rsidRPr="009B605C" w:rsidRDefault="00524F8A" w:rsidP="0087752F">
            <w:pPr>
              <w:rPr>
                <w:rFonts w:ascii="Cambria" w:hAnsi="Cambria"/>
                <w:color w:val="000000"/>
                <w:sz w:val="20"/>
                <w:szCs w:val="20"/>
              </w:rPr>
            </w:pPr>
            <w:r w:rsidRPr="009B605C">
              <w:rPr>
                <w:rFonts w:ascii="Cambria" w:hAnsi="Cambria"/>
                <w:color w:val="000000"/>
                <w:sz w:val="20"/>
                <w:szCs w:val="20"/>
              </w:rPr>
              <w:t>0.374</w:t>
            </w:r>
          </w:p>
        </w:tc>
        <w:tc>
          <w:tcPr>
            <w:tcW w:w="1381" w:type="dxa"/>
            <w:noWrap/>
            <w:vAlign w:val="center"/>
            <w:hideMark/>
          </w:tcPr>
          <w:p w14:paraId="06ACB088" w14:textId="5352437C" w:rsidR="00524F8A" w:rsidRPr="009B605C" w:rsidRDefault="00524F8A" w:rsidP="0087752F">
            <w:pPr>
              <w:rPr>
                <w:rFonts w:ascii="Cambria" w:hAnsi="Cambria"/>
                <w:color w:val="000000"/>
                <w:sz w:val="20"/>
                <w:szCs w:val="20"/>
              </w:rPr>
            </w:pPr>
            <w:r w:rsidRPr="009B605C">
              <w:rPr>
                <w:rFonts w:ascii="Cambria" w:hAnsi="Cambria"/>
                <w:color w:val="000000"/>
                <w:sz w:val="20"/>
                <w:szCs w:val="20"/>
              </w:rPr>
              <w:t>90.751***</w:t>
            </w:r>
          </w:p>
        </w:tc>
      </w:tr>
      <w:tr w:rsidR="00524F8A" w:rsidRPr="009B605C" w14:paraId="5F66B5B2" w14:textId="77777777" w:rsidTr="00524F8A">
        <w:trPr>
          <w:trHeight w:val="397"/>
        </w:trPr>
        <w:tc>
          <w:tcPr>
            <w:tcW w:w="2269" w:type="dxa"/>
            <w:noWrap/>
            <w:vAlign w:val="center"/>
            <w:hideMark/>
          </w:tcPr>
          <w:p w14:paraId="696692A5"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China</w:t>
            </w:r>
          </w:p>
        </w:tc>
        <w:tc>
          <w:tcPr>
            <w:tcW w:w="1446" w:type="dxa"/>
            <w:noWrap/>
            <w:vAlign w:val="center"/>
            <w:hideMark/>
          </w:tcPr>
          <w:p w14:paraId="1F14AAE5" w14:textId="51F1DF0F" w:rsidR="00524F8A" w:rsidRPr="009B605C" w:rsidRDefault="00524F8A" w:rsidP="0087752F">
            <w:pPr>
              <w:rPr>
                <w:rFonts w:ascii="Cambria" w:hAnsi="Cambria"/>
                <w:color w:val="000000"/>
                <w:sz w:val="20"/>
                <w:szCs w:val="20"/>
              </w:rPr>
            </w:pPr>
            <w:r w:rsidRPr="009B605C">
              <w:rPr>
                <w:rFonts w:ascii="Cambria" w:hAnsi="Cambria"/>
                <w:color w:val="000000"/>
                <w:sz w:val="20"/>
                <w:szCs w:val="20"/>
              </w:rPr>
              <w:t>24.977***</w:t>
            </w:r>
          </w:p>
        </w:tc>
        <w:tc>
          <w:tcPr>
            <w:tcW w:w="1134" w:type="dxa"/>
            <w:noWrap/>
            <w:vAlign w:val="center"/>
            <w:hideMark/>
          </w:tcPr>
          <w:p w14:paraId="76ECDCB1" w14:textId="78B51EF4" w:rsidR="00524F8A" w:rsidRPr="009B605C" w:rsidRDefault="00524F8A" w:rsidP="0087752F">
            <w:pPr>
              <w:rPr>
                <w:rFonts w:ascii="Cambria" w:hAnsi="Cambria"/>
                <w:color w:val="000000"/>
                <w:sz w:val="20"/>
                <w:szCs w:val="20"/>
              </w:rPr>
            </w:pPr>
            <w:r w:rsidRPr="009B605C">
              <w:rPr>
                <w:rFonts w:ascii="Cambria" w:hAnsi="Cambria"/>
                <w:color w:val="000000"/>
                <w:sz w:val="20"/>
                <w:szCs w:val="20"/>
              </w:rPr>
              <w:t>0.526</w:t>
            </w:r>
          </w:p>
        </w:tc>
        <w:tc>
          <w:tcPr>
            <w:tcW w:w="1468" w:type="dxa"/>
            <w:noWrap/>
            <w:vAlign w:val="center"/>
            <w:hideMark/>
          </w:tcPr>
          <w:p w14:paraId="77DB79C5" w14:textId="3730EAE9" w:rsidR="00524F8A" w:rsidRPr="009B605C" w:rsidRDefault="00524F8A" w:rsidP="0087752F">
            <w:pPr>
              <w:rPr>
                <w:rFonts w:ascii="Cambria" w:hAnsi="Cambria"/>
                <w:color w:val="000000"/>
                <w:sz w:val="20"/>
                <w:szCs w:val="20"/>
              </w:rPr>
            </w:pPr>
            <w:r w:rsidRPr="009B605C">
              <w:rPr>
                <w:rFonts w:ascii="Cambria" w:hAnsi="Cambria"/>
                <w:color w:val="000000"/>
                <w:sz w:val="20"/>
                <w:szCs w:val="20"/>
              </w:rPr>
              <w:t>81.574***</w:t>
            </w:r>
          </w:p>
        </w:tc>
        <w:tc>
          <w:tcPr>
            <w:tcW w:w="1338" w:type="dxa"/>
            <w:noWrap/>
            <w:vAlign w:val="center"/>
            <w:hideMark/>
          </w:tcPr>
          <w:p w14:paraId="39DB63FE" w14:textId="46262E2D" w:rsidR="00524F8A" w:rsidRPr="009B605C" w:rsidRDefault="00524F8A" w:rsidP="0087752F">
            <w:pPr>
              <w:rPr>
                <w:rFonts w:ascii="Cambria" w:hAnsi="Cambria"/>
                <w:color w:val="000000"/>
                <w:sz w:val="20"/>
                <w:szCs w:val="20"/>
              </w:rPr>
            </w:pPr>
            <w:r w:rsidRPr="009B605C">
              <w:rPr>
                <w:rFonts w:ascii="Cambria" w:hAnsi="Cambria"/>
                <w:color w:val="000000"/>
                <w:sz w:val="20"/>
                <w:szCs w:val="20"/>
              </w:rPr>
              <w:t>5.228</w:t>
            </w:r>
          </w:p>
        </w:tc>
        <w:tc>
          <w:tcPr>
            <w:tcW w:w="1039" w:type="dxa"/>
            <w:noWrap/>
            <w:vAlign w:val="center"/>
            <w:hideMark/>
          </w:tcPr>
          <w:p w14:paraId="3097D0A1" w14:textId="712AE82A" w:rsidR="00524F8A" w:rsidRPr="009B605C" w:rsidRDefault="00524F8A" w:rsidP="0087752F">
            <w:pPr>
              <w:rPr>
                <w:rFonts w:ascii="Cambria" w:hAnsi="Cambria"/>
                <w:color w:val="000000"/>
                <w:sz w:val="20"/>
                <w:szCs w:val="20"/>
              </w:rPr>
            </w:pPr>
            <w:r w:rsidRPr="009B605C">
              <w:rPr>
                <w:rFonts w:ascii="Cambria" w:hAnsi="Cambria"/>
                <w:color w:val="000000"/>
                <w:sz w:val="20"/>
                <w:szCs w:val="20"/>
              </w:rPr>
              <w:t>1.519</w:t>
            </w:r>
          </w:p>
        </w:tc>
        <w:tc>
          <w:tcPr>
            <w:tcW w:w="1381" w:type="dxa"/>
            <w:noWrap/>
            <w:vAlign w:val="center"/>
            <w:hideMark/>
          </w:tcPr>
          <w:p w14:paraId="4B2B83A9" w14:textId="6DBF4D19" w:rsidR="00524F8A" w:rsidRPr="009B605C" w:rsidRDefault="00524F8A" w:rsidP="0087752F">
            <w:pPr>
              <w:rPr>
                <w:rFonts w:ascii="Cambria" w:hAnsi="Cambria"/>
                <w:color w:val="000000"/>
                <w:sz w:val="20"/>
                <w:szCs w:val="20"/>
              </w:rPr>
            </w:pPr>
            <w:r w:rsidRPr="009B605C">
              <w:rPr>
                <w:rFonts w:ascii="Cambria" w:hAnsi="Cambria"/>
                <w:color w:val="000000"/>
                <w:sz w:val="20"/>
                <w:szCs w:val="20"/>
              </w:rPr>
              <w:t>13.665*</w:t>
            </w:r>
          </w:p>
        </w:tc>
      </w:tr>
      <w:tr w:rsidR="00524F8A" w:rsidRPr="009B605C" w14:paraId="1C96EFAA" w14:textId="77777777" w:rsidTr="00524F8A">
        <w:trPr>
          <w:trHeight w:val="397"/>
        </w:trPr>
        <w:tc>
          <w:tcPr>
            <w:tcW w:w="2269" w:type="dxa"/>
            <w:tcBorders>
              <w:bottom w:val="double" w:sz="4" w:space="0" w:color="auto"/>
            </w:tcBorders>
            <w:noWrap/>
            <w:vAlign w:val="center"/>
            <w:hideMark/>
          </w:tcPr>
          <w:p w14:paraId="02555C90" w14:textId="77777777" w:rsidR="00524F8A" w:rsidRPr="009B605C" w:rsidRDefault="00524F8A" w:rsidP="0087752F">
            <w:pPr>
              <w:rPr>
                <w:rFonts w:ascii="Cambria" w:hAnsi="Cambria"/>
                <w:color w:val="000000"/>
                <w:sz w:val="20"/>
                <w:szCs w:val="20"/>
              </w:rPr>
            </w:pPr>
            <w:r w:rsidRPr="009B605C">
              <w:rPr>
                <w:rFonts w:ascii="Cambria" w:hAnsi="Cambria"/>
                <w:color w:val="000000"/>
                <w:sz w:val="20"/>
                <w:szCs w:val="20"/>
              </w:rPr>
              <w:t>South Africa</w:t>
            </w:r>
          </w:p>
        </w:tc>
        <w:tc>
          <w:tcPr>
            <w:tcW w:w="1446" w:type="dxa"/>
            <w:tcBorders>
              <w:bottom w:val="double" w:sz="4" w:space="0" w:color="auto"/>
            </w:tcBorders>
            <w:noWrap/>
            <w:vAlign w:val="center"/>
            <w:hideMark/>
          </w:tcPr>
          <w:p w14:paraId="1FCCAD32" w14:textId="16B922E4" w:rsidR="00524F8A" w:rsidRPr="009B605C" w:rsidRDefault="00524F8A" w:rsidP="0087752F">
            <w:pPr>
              <w:rPr>
                <w:rFonts w:ascii="Cambria" w:hAnsi="Cambria"/>
                <w:color w:val="000000"/>
                <w:sz w:val="20"/>
                <w:szCs w:val="20"/>
              </w:rPr>
            </w:pPr>
            <w:r w:rsidRPr="009B605C">
              <w:rPr>
                <w:rFonts w:ascii="Cambria" w:hAnsi="Cambria"/>
                <w:color w:val="000000"/>
                <w:sz w:val="20"/>
                <w:szCs w:val="20"/>
              </w:rPr>
              <w:t>158.048***</w:t>
            </w:r>
          </w:p>
        </w:tc>
        <w:tc>
          <w:tcPr>
            <w:tcW w:w="1134" w:type="dxa"/>
            <w:tcBorders>
              <w:bottom w:val="double" w:sz="4" w:space="0" w:color="auto"/>
            </w:tcBorders>
            <w:noWrap/>
            <w:vAlign w:val="center"/>
            <w:hideMark/>
          </w:tcPr>
          <w:p w14:paraId="0A1D2971" w14:textId="557A23A2" w:rsidR="00524F8A" w:rsidRPr="009B605C" w:rsidRDefault="00524F8A" w:rsidP="0087752F">
            <w:pPr>
              <w:rPr>
                <w:rFonts w:ascii="Cambria" w:hAnsi="Cambria"/>
                <w:color w:val="000000"/>
                <w:sz w:val="20"/>
                <w:szCs w:val="20"/>
              </w:rPr>
            </w:pPr>
            <w:r w:rsidRPr="009B605C">
              <w:rPr>
                <w:rFonts w:ascii="Cambria" w:hAnsi="Cambria"/>
                <w:color w:val="000000"/>
                <w:sz w:val="20"/>
                <w:szCs w:val="20"/>
              </w:rPr>
              <w:t>2.099</w:t>
            </w:r>
          </w:p>
        </w:tc>
        <w:tc>
          <w:tcPr>
            <w:tcW w:w="1468" w:type="dxa"/>
            <w:tcBorders>
              <w:bottom w:val="double" w:sz="4" w:space="0" w:color="auto"/>
            </w:tcBorders>
            <w:noWrap/>
            <w:vAlign w:val="center"/>
            <w:hideMark/>
          </w:tcPr>
          <w:p w14:paraId="1BCB891A" w14:textId="62737833" w:rsidR="00524F8A" w:rsidRPr="009B605C" w:rsidRDefault="00524F8A" w:rsidP="0087752F">
            <w:pPr>
              <w:rPr>
                <w:rFonts w:ascii="Cambria" w:hAnsi="Cambria"/>
                <w:color w:val="000000"/>
                <w:sz w:val="20"/>
                <w:szCs w:val="20"/>
              </w:rPr>
            </w:pPr>
            <w:r w:rsidRPr="009B605C">
              <w:rPr>
                <w:rFonts w:ascii="Cambria" w:hAnsi="Cambria"/>
                <w:color w:val="000000"/>
                <w:sz w:val="20"/>
                <w:szCs w:val="20"/>
              </w:rPr>
              <w:t>400.615***</w:t>
            </w:r>
          </w:p>
        </w:tc>
        <w:tc>
          <w:tcPr>
            <w:tcW w:w="1338" w:type="dxa"/>
            <w:tcBorders>
              <w:bottom w:val="double" w:sz="4" w:space="0" w:color="auto"/>
            </w:tcBorders>
            <w:noWrap/>
            <w:vAlign w:val="center"/>
            <w:hideMark/>
          </w:tcPr>
          <w:p w14:paraId="6A5774FF" w14:textId="4451D456" w:rsidR="00524F8A" w:rsidRPr="009B605C" w:rsidRDefault="00524F8A" w:rsidP="0087752F">
            <w:pPr>
              <w:rPr>
                <w:rFonts w:ascii="Cambria" w:hAnsi="Cambria"/>
                <w:color w:val="000000"/>
                <w:sz w:val="20"/>
                <w:szCs w:val="20"/>
              </w:rPr>
            </w:pPr>
            <w:r w:rsidRPr="009B605C">
              <w:rPr>
                <w:rFonts w:ascii="Cambria" w:hAnsi="Cambria"/>
                <w:color w:val="000000"/>
                <w:sz w:val="20"/>
                <w:szCs w:val="20"/>
              </w:rPr>
              <w:t>82.106***</w:t>
            </w:r>
          </w:p>
        </w:tc>
        <w:tc>
          <w:tcPr>
            <w:tcW w:w="1039" w:type="dxa"/>
            <w:tcBorders>
              <w:bottom w:val="double" w:sz="4" w:space="0" w:color="auto"/>
            </w:tcBorders>
            <w:noWrap/>
            <w:vAlign w:val="center"/>
            <w:hideMark/>
          </w:tcPr>
          <w:p w14:paraId="38305093" w14:textId="7EE7B80C" w:rsidR="00524F8A" w:rsidRPr="009B605C" w:rsidRDefault="00524F8A" w:rsidP="0087752F">
            <w:pPr>
              <w:rPr>
                <w:rFonts w:ascii="Cambria" w:hAnsi="Cambria"/>
                <w:color w:val="000000"/>
                <w:sz w:val="20"/>
                <w:szCs w:val="20"/>
              </w:rPr>
            </w:pPr>
            <w:r w:rsidRPr="009B605C">
              <w:rPr>
                <w:rFonts w:ascii="Cambria" w:hAnsi="Cambria"/>
                <w:color w:val="000000"/>
                <w:sz w:val="20"/>
                <w:szCs w:val="20"/>
              </w:rPr>
              <w:t>0.384</w:t>
            </w:r>
          </w:p>
        </w:tc>
        <w:tc>
          <w:tcPr>
            <w:tcW w:w="1381" w:type="dxa"/>
            <w:tcBorders>
              <w:bottom w:val="double" w:sz="4" w:space="0" w:color="auto"/>
            </w:tcBorders>
            <w:noWrap/>
            <w:vAlign w:val="center"/>
            <w:hideMark/>
          </w:tcPr>
          <w:p w14:paraId="308FED7F" w14:textId="212A5322" w:rsidR="00524F8A" w:rsidRPr="009B605C" w:rsidRDefault="00524F8A" w:rsidP="0087752F">
            <w:pPr>
              <w:rPr>
                <w:rFonts w:ascii="Cambria" w:hAnsi="Cambria"/>
                <w:color w:val="000000"/>
                <w:sz w:val="20"/>
                <w:szCs w:val="20"/>
              </w:rPr>
            </w:pPr>
            <w:r w:rsidRPr="009B605C">
              <w:rPr>
                <w:rFonts w:ascii="Cambria" w:hAnsi="Cambria"/>
                <w:color w:val="000000"/>
                <w:sz w:val="20"/>
                <w:szCs w:val="20"/>
              </w:rPr>
              <w:t>279.168***</w:t>
            </w:r>
          </w:p>
        </w:tc>
      </w:tr>
    </w:tbl>
    <w:p w14:paraId="462076E3" w14:textId="50251DB5" w:rsidR="0070551A" w:rsidRPr="009B605C" w:rsidRDefault="0070551A" w:rsidP="0087752F">
      <w:pPr>
        <w:ind w:left="-426" w:right="-472"/>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Entries correspond to the mean Wald (MeanW), Nyblom (Nyblom), and Quandt Likelihood Ratio (</w:t>
      </w:r>
      <w:proofErr w:type="spellStart"/>
      <w:r w:rsidRPr="009B605C">
        <w:rPr>
          <w:rFonts w:ascii="Cambria" w:hAnsi="Cambria"/>
          <w:sz w:val="20"/>
          <w:szCs w:val="20"/>
        </w:rPr>
        <w:t>SupLR</w:t>
      </w:r>
      <w:proofErr w:type="spellEnd"/>
      <w:r w:rsidRPr="009B605C">
        <w:rPr>
          <w:rFonts w:ascii="Cambria" w:hAnsi="Cambria"/>
          <w:sz w:val="20"/>
          <w:szCs w:val="20"/>
        </w:rPr>
        <w:t xml:space="preserve">) test statistics from </w:t>
      </w:r>
      <w:r w:rsidR="00FF362A" w:rsidRPr="009B605C">
        <w:rPr>
          <w:rFonts w:ascii="Cambria" w:hAnsi="Cambria"/>
          <w:sz w:val="20"/>
          <w:szCs w:val="20"/>
        </w:rPr>
        <w:t>TVP-GC</w:t>
      </w:r>
      <w:r w:rsidRPr="009B605C">
        <w:rPr>
          <w:rFonts w:ascii="Cambria" w:hAnsi="Cambria"/>
          <w:sz w:val="20"/>
          <w:szCs w:val="20"/>
        </w:rPr>
        <w:t xml:space="preserve"> test of Rossi and Wang (2019).</w:t>
      </w:r>
      <w:r w:rsidRPr="009B605C">
        <w:rPr>
          <w:rFonts w:ascii="Cambria" w:hAnsi="Cambria"/>
        </w:rPr>
        <w:t xml:space="preserve"> </w:t>
      </w:r>
      <w:r w:rsidRPr="009B605C">
        <w:rPr>
          <w:rFonts w:ascii="Cambria" w:hAnsi="Cambria"/>
          <w:sz w:val="20"/>
          <w:szCs w:val="20"/>
        </w:rPr>
        <w:t xml:space="preserve">The null hypothesis is that </w:t>
      </w:r>
      <w:r w:rsidR="004C5948" w:rsidRPr="009B605C">
        <w:rPr>
          <w:rFonts w:ascii="Cambria" w:hAnsi="Cambria"/>
          <w:sz w:val="20"/>
          <w:szCs w:val="20"/>
        </w:rPr>
        <w:t>stock</w:t>
      </w:r>
      <w:r w:rsidRPr="009B605C">
        <w:rPr>
          <w:rFonts w:ascii="Cambria" w:hAnsi="Cambria"/>
          <w:sz w:val="20"/>
          <w:szCs w:val="20"/>
        </w:rPr>
        <w:t xml:space="preserve"> returns do not Granger cause the </w:t>
      </w:r>
      <w:r w:rsidR="004C5948" w:rsidRPr="009B605C">
        <w:rPr>
          <w:rFonts w:ascii="Cambria" w:hAnsi="Cambria"/>
          <w:sz w:val="20"/>
          <w:szCs w:val="20"/>
        </w:rPr>
        <w:t>potential safe haven asset, i.e., gold or Crypto</w:t>
      </w:r>
      <w:r w:rsidRPr="009B605C">
        <w:rPr>
          <w:rFonts w:ascii="Cambria" w:hAnsi="Cambria"/>
          <w:sz w:val="20"/>
          <w:szCs w:val="20"/>
        </w:rPr>
        <w:t>. We assume heteroskedastic and serially correlated idiosyncratic shocks. ***, **, and * denote 1%, 5%, and 10% statistical significance levels, respectively.</w:t>
      </w:r>
    </w:p>
    <w:p w14:paraId="56EAC3B6" w14:textId="77777777" w:rsidR="0082061B" w:rsidRPr="009B605C" w:rsidRDefault="0082061B" w:rsidP="0087752F">
      <w:pPr>
        <w:rPr>
          <w:rFonts w:ascii="Cambria" w:hAnsi="Cambria"/>
        </w:rPr>
      </w:pPr>
    </w:p>
    <w:p w14:paraId="7C5DD304" w14:textId="77777777" w:rsidR="0082061B" w:rsidRPr="009B605C" w:rsidRDefault="0082061B" w:rsidP="0087752F">
      <w:pPr>
        <w:rPr>
          <w:rFonts w:ascii="Cambria" w:hAnsi="Cambria"/>
        </w:rPr>
      </w:pPr>
    </w:p>
    <w:p w14:paraId="494A1548" w14:textId="77777777" w:rsidR="0082061B" w:rsidRPr="009B605C" w:rsidRDefault="0082061B" w:rsidP="0087752F">
      <w:pPr>
        <w:rPr>
          <w:rFonts w:ascii="Cambria" w:hAnsi="Cambria"/>
        </w:rPr>
      </w:pPr>
    </w:p>
    <w:p w14:paraId="5BDAA57D" w14:textId="77777777" w:rsidR="0082061B" w:rsidRPr="009B605C" w:rsidRDefault="0082061B" w:rsidP="0087752F">
      <w:pPr>
        <w:rPr>
          <w:rFonts w:ascii="Cambria" w:hAnsi="Cambria"/>
        </w:rPr>
      </w:pPr>
    </w:p>
    <w:p w14:paraId="4EB38E2F" w14:textId="77777777" w:rsidR="0082061B" w:rsidRPr="009B605C" w:rsidRDefault="0082061B" w:rsidP="0087752F">
      <w:pPr>
        <w:rPr>
          <w:rFonts w:ascii="Cambria" w:hAnsi="Cambria"/>
        </w:rPr>
      </w:pPr>
    </w:p>
    <w:p w14:paraId="32F26A98" w14:textId="77777777" w:rsidR="0082061B" w:rsidRPr="009B605C" w:rsidRDefault="0082061B" w:rsidP="0087752F">
      <w:pPr>
        <w:rPr>
          <w:rFonts w:ascii="Cambria" w:hAnsi="Cambria"/>
        </w:rPr>
      </w:pPr>
    </w:p>
    <w:p w14:paraId="4D3EE1FC" w14:textId="77777777" w:rsidR="0082061B" w:rsidRPr="009B605C" w:rsidRDefault="0082061B" w:rsidP="0087752F">
      <w:pPr>
        <w:rPr>
          <w:rFonts w:ascii="Cambria" w:hAnsi="Cambria"/>
        </w:rPr>
      </w:pPr>
    </w:p>
    <w:p w14:paraId="1D5F32AF" w14:textId="77777777" w:rsidR="00226362" w:rsidRPr="009B605C" w:rsidRDefault="00226362" w:rsidP="0087752F">
      <w:pPr>
        <w:rPr>
          <w:rFonts w:ascii="Cambria" w:hAnsi="Cambria"/>
        </w:rPr>
        <w:sectPr w:rsidR="00226362" w:rsidRPr="009B605C" w:rsidSect="001A76A8">
          <w:pgSz w:w="11906" w:h="16838"/>
          <w:pgMar w:top="1440" w:right="1440" w:bottom="1440" w:left="1440" w:header="708" w:footer="708" w:gutter="0"/>
          <w:cols w:space="708"/>
          <w:docGrid w:linePitch="360"/>
        </w:sectPr>
      </w:pPr>
    </w:p>
    <w:p w14:paraId="0976C6EB" w14:textId="54C4E132" w:rsidR="00226362" w:rsidRPr="009B605C" w:rsidRDefault="00226362" w:rsidP="0087752F">
      <w:pPr>
        <w:ind w:left="-1134"/>
        <w:rPr>
          <w:rFonts w:ascii="Cambria" w:hAnsi="Cambria"/>
        </w:rPr>
      </w:pPr>
      <w:r w:rsidRPr="009B605C">
        <w:rPr>
          <w:rFonts w:ascii="Cambria" w:hAnsi="Cambria"/>
          <w:b/>
          <w:bCs/>
        </w:rPr>
        <w:lastRenderedPageBreak/>
        <w:t>Table 7.</w:t>
      </w:r>
      <w:r w:rsidRPr="009B605C">
        <w:rPr>
          <w:rFonts w:ascii="Cambria" w:hAnsi="Cambria"/>
        </w:rPr>
        <w:t xml:space="preserve"> </w:t>
      </w:r>
      <w:r w:rsidR="006C1359" w:rsidRPr="009B605C">
        <w:rPr>
          <w:rFonts w:ascii="Cambria" w:hAnsi="Cambria"/>
          <w:color w:val="000000"/>
        </w:rPr>
        <w:t>Quantile directional spillovers</w:t>
      </w:r>
    </w:p>
    <w:tbl>
      <w:tblPr>
        <w:tblStyle w:val="TableGrid"/>
        <w:tblW w:w="1613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872"/>
        <w:gridCol w:w="1001"/>
        <w:gridCol w:w="865"/>
        <w:gridCol w:w="891"/>
        <w:gridCol w:w="815"/>
        <w:gridCol w:w="769"/>
        <w:gridCol w:w="938"/>
        <w:gridCol w:w="1190"/>
        <w:gridCol w:w="818"/>
        <w:gridCol w:w="939"/>
        <w:gridCol w:w="811"/>
        <w:gridCol w:w="834"/>
        <w:gridCol w:w="984"/>
        <w:gridCol w:w="811"/>
        <w:gridCol w:w="989"/>
        <w:gridCol w:w="1190"/>
      </w:tblGrid>
      <w:tr w:rsidR="006C1359" w:rsidRPr="009B605C" w14:paraId="49D1C6FA" w14:textId="77777777" w:rsidTr="00D9004E">
        <w:trPr>
          <w:trHeight w:val="340"/>
        </w:trPr>
        <w:tc>
          <w:tcPr>
            <w:tcW w:w="1419" w:type="dxa"/>
            <w:tcBorders>
              <w:top w:val="double" w:sz="4" w:space="0" w:color="auto"/>
            </w:tcBorders>
            <w:noWrap/>
            <w:hideMark/>
          </w:tcPr>
          <w:p w14:paraId="74DA1C6E" w14:textId="77777777" w:rsidR="00226362" w:rsidRPr="009B605C" w:rsidRDefault="00226362" w:rsidP="0087752F">
            <w:pPr>
              <w:rPr>
                <w:rFonts w:ascii="Cambria" w:hAnsi="Cambria"/>
                <w:sz w:val="20"/>
                <w:szCs w:val="20"/>
              </w:rPr>
            </w:pPr>
          </w:p>
        </w:tc>
        <w:tc>
          <w:tcPr>
            <w:tcW w:w="7341" w:type="dxa"/>
            <w:gridSpan w:val="8"/>
            <w:tcBorders>
              <w:top w:val="double" w:sz="4" w:space="0" w:color="auto"/>
              <w:bottom w:val="single" w:sz="4" w:space="0" w:color="auto"/>
            </w:tcBorders>
            <w:noWrap/>
            <w:hideMark/>
          </w:tcPr>
          <w:p w14:paraId="6E819847" w14:textId="77777777" w:rsidR="00226362" w:rsidRPr="009B605C" w:rsidRDefault="00226362" w:rsidP="0087752F">
            <w:pPr>
              <w:jc w:val="center"/>
              <w:rPr>
                <w:rFonts w:ascii="Cambria" w:hAnsi="Cambria"/>
                <w:b/>
                <w:bCs/>
                <w:color w:val="000000"/>
                <w:sz w:val="20"/>
                <w:szCs w:val="20"/>
              </w:rPr>
            </w:pPr>
            <w:r w:rsidRPr="009B605C">
              <w:rPr>
                <w:rFonts w:ascii="Cambria" w:hAnsi="Cambria"/>
                <w:b/>
                <w:bCs/>
                <w:color w:val="000000"/>
                <w:sz w:val="20"/>
                <w:szCs w:val="20"/>
              </w:rPr>
              <w:t>Pre-conflict announcement</w:t>
            </w:r>
          </w:p>
        </w:tc>
        <w:tc>
          <w:tcPr>
            <w:tcW w:w="7376" w:type="dxa"/>
            <w:gridSpan w:val="8"/>
            <w:tcBorders>
              <w:top w:val="double" w:sz="4" w:space="0" w:color="auto"/>
              <w:bottom w:val="single" w:sz="4" w:space="0" w:color="auto"/>
            </w:tcBorders>
            <w:noWrap/>
            <w:hideMark/>
          </w:tcPr>
          <w:p w14:paraId="7CBBC06B" w14:textId="77777777" w:rsidR="00226362" w:rsidRPr="009B605C" w:rsidRDefault="00226362" w:rsidP="0087752F">
            <w:pPr>
              <w:jc w:val="center"/>
              <w:rPr>
                <w:rFonts w:ascii="Cambria" w:hAnsi="Cambria"/>
                <w:b/>
                <w:bCs/>
                <w:color w:val="000000"/>
                <w:sz w:val="20"/>
                <w:szCs w:val="20"/>
              </w:rPr>
            </w:pPr>
            <w:r w:rsidRPr="009B605C">
              <w:rPr>
                <w:rFonts w:ascii="Cambria" w:hAnsi="Cambria"/>
                <w:b/>
                <w:bCs/>
                <w:color w:val="000000"/>
                <w:sz w:val="20"/>
                <w:szCs w:val="20"/>
              </w:rPr>
              <w:t>Post-conflict announcement</w:t>
            </w:r>
          </w:p>
        </w:tc>
      </w:tr>
      <w:tr w:rsidR="00226362" w:rsidRPr="009B605C" w14:paraId="1AD8447E" w14:textId="77777777" w:rsidTr="00D9004E">
        <w:trPr>
          <w:trHeight w:val="340"/>
        </w:trPr>
        <w:tc>
          <w:tcPr>
            <w:tcW w:w="1419" w:type="dxa"/>
            <w:tcBorders>
              <w:bottom w:val="single" w:sz="4" w:space="0" w:color="auto"/>
            </w:tcBorders>
            <w:noWrap/>
            <w:hideMark/>
          </w:tcPr>
          <w:p w14:paraId="0FCB3346" w14:textId="77777777" w:rsidR="00226362" w:rsidRPr="009B605C" w:rsidRDefault="00226362" w:rsidP="0087752F">
            <w:pPr>
              <w:jc w:val="center"/>
              <w:rPr>
                <w:rFonts w:ascii="Cambria" w:hAnsi="Cambria"/>
                <w:color w:val="000000"/>
                <w:sz w:val="20"/>
                <w:szCs w:val="20"/>
              </w:rPr>
            </w:pPr>
          </w:p>
        </w:tc>
        <w:tc>
          <w:tcPr>
            <w:tcW w:w="872" w:type="dxa"/>
            <w:tcBorders>
              <w:top w:val="single" w:sz="4" w:space="0" w:color="auto"/>
              <w:bottom w:val="single" w:sz="4" w:space="0" w:color="auto"/>
            </w:tcBorders>
            <w:noWrap/>
            <w:hideMark/>
          </w:tcPr>
          <w:p w14:paraId="017ABEBA"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Brazil</w:t>
            </w:r>
          </w:p>
        </w:tc>
        <w:tc>
          <w:tcPr>
            <w:tcW w:w="1001" w:type="dxa"/>
            <w:tcBorders>
              <w:top w:val="single" w:sz="4" w:space="0" w:color="auto"/>
              <w:bottom w:val="single" w:sz="4" w:space="0" w:color="auto"/>
            </w:tcBorders>
            <w:noWrap/>
            <w:hideMark/>
          </w:tcPr>
          <w:p w14:paraId="5CF3A52F"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Russia</w:t>
            </w:r>
          </w:p>
        </w:tc>
        <w:tc>
          <w:tcPr>
            <w:tcW w:w="865" w:type="dxa"/>
            <w:tcBorders>
              <w:top w:val="single" w:sz="4" w:space="0" w:color="auto"/>
              <w:bottom w:val="single" w:sz="4" w:space="0" w:color="auto"/>
            </w:tcBorders>
            <w:noWrap/>
            <w:hideMark/>
          </w:tcPr>
          <w:p w14:paraId="0A14DE16"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India</w:t>
            </w:r>
          </w:p>
        </w:tc>
        <w:tc>
          <w:tcPr>
            <w:tcW w:w="891" w:type="dxa"/>
            <w:tcBorders>
              <w:top w:val="single" w:sz="4" w:space="0" w:color="auto"/>
              <w:bottom w:val="single" w:sz="4" w:space="0" w:color="auto"/>
            </w:tcBorders>
            <w:noWrap/>
            <w:hideMark/>
          </w:tcPr>
          <w:p w14:paraId="5D98A10C"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China</w:t>
            </w:r>
          </w:p>
        </w:tc>
        <w:tc>
          <w:tcPr>
            <w:tcW w:w="815" w:type="dxa"/>
            <w:tcBorders>
              <w:top w:val="single" w:sz="4" w:space="0" w:color="auto"/>
              <w:bottom w:val="single" w:sz="4" w:space="0" w:color="auto"/>
            </w:tcBorders>
            <w:noWrap/>
            <w:hideMark/>
          </w:tcPr>
          <w:p w14:paraId="436725E5"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South Africa</w:t>
            </w:r>
          </w:p>
        </w:tc>
        <w:tc>
          <w:tcPr>
            <w:tcW w:w="769" w:type="dxa"/>
            <w:tcBorders>
              <w:top w:val="single" w:sz="4" w:space="0" w:color="auto"/>
              <w:bottom w:val="single" w:sz="4" w:space="0" w:color="auto"/>
            </w:tcBorders>
            <w:noWrap/>
            <w:hideMark/>
          </w:tcPr>
          <w:p w14:paraId="6725A88B"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Gold</w:t>
            </w:r>
          </w:p>
        </w:tc>
        <w:tc>
          <w:tcPr>
            <w:tcW w:w="938" w:type="dxa"/>
            <w:tcBorders>
              <w:top w:val="single" w:sz="4" w:space="0" w:color="auto"/>
              <w:bottom w:val="single" w:sz="4" w:space="0" w:color="auto"/>
            </w:tcBorders>
            <w:noWrap/>
            <w:hideMark/>
          </w:tcPr>
          <w:p w14:paraId="2ABFBAFB"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Crypto</w:t>
            </w:r>
          </w:p>
        </w:tc>
        <w:tc>
          <w:tcPr>
            <w:tcW w:w="1190" w:type="dxa"/>
            <w:tcBorders>
              <w:top w:val="single" w:sz="4" w:space="0" w:color="auto"/>
              <w:bottom w:val="single" w:sz="4" w:space="0" w:color="auto"/>
            </w:tcBorders>
            <w:noWrap/>
            <w:hideMark/>
          </w:tcPr>
          <w:p w14:paraId="18750AE6"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FROM</w:t>
            </w:r>
          </w:p>
        </w:tc>
        <w:tc>
          <w:tcPr>
            <w:tcW w:w="818" w:type="dxa"/>
            <w:tcBorders>
              <w:top w:val="single" w:sz="4" w:space="0" w:color="auto"/>
              <w:bottom w:val="single" w:sz="4" w:space="0" w:color="auto"/>
            </w:tcBorders>
            <w:noWrap/>
            <w:hideMark/>
          </w:tcPr>
          <w:p w14:paraId="5D2FD99E"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Brazil</w:t>
            </w:r>
          </w:p>
        </w:tc>
        <w:tc>
          <w:tcPr>
            <w:tcW w:w="939" w:type="dxa"/>
            <w:tcBorders>
              <w:top w:val="single" w:sz="4" w:space="0" w:color="auto"/>
              <w:bottom w:val="single" w:sz="4" w:space="0" w:color="auto"/>
            </w:tcBorders>
            <w:noWrap/>
            <w:hideMark/>
          </w:tcPr>
          <w:p w14:paraId="0FBC67DB"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Russia</w:t>
            </w:r>
          </w:p>
        </w:tc>
        <w:tc>
          <w:tcPr>
            <w:tcW w:w="811" w:type="dxa"/>
            <w:tcBorders>
              <w:top w:val="single" w:sz="4" w:space="0" w:color="auto"/>
              <w:bottom w:val="single" w:sz="4" w:space="0" w:color="auto"/>
            </w:tcBorders>
            <w:noWrap/>
            <w:hideMark/>
          </w:tcPr>
          <w:p w14:paraId="49E8EDC9"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India</w:t>
            </w:r>
          </w:p>
        </w:tc>
        <w:tc>
          <w:tcPr>
            <w:tcW w:w="834" w:type="dxa"/>
            <w:tcBorders>
              <w:top w:val="single" w:sz="4" w:space="0" w:color="auto"/>
              <w:bottom w:val="single" w:sz="4" w:space="0" w:color="auto"/>
            </w:tcBorders>
            <w:noWrap/>
            <w:hideMark/>
          </w:tcPr>
          <w:p w14:paraId="07F71ED3"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China</w:t>
            </w:r>
          </w:p>
        </w:tc>
        <w:tc>
          <w:tcPr>
            <w:tcW w:w="984" w:type="dxa"/>
            <w:tcBorders>
              <w:top w:val="single" w:sz="4" w:space="0" w:color="auto"/>
              <w:bottom w:val="single" w:sz="4" w:space="0" w:color="auto"/>
            </w:tcBorders>
            <w:noWrap/>
            <w:hideMark/>
          </w:tcPr>
          <w:p w14:paraId="2E664039"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South Africa</w:t>
            </w:r>
          </w:p>
        </w:tc>
        <w:tc>
          <w:tcPr>
            <w:tcW w:w="811" w:type="dxa"/>
            <w:tcBorders>
              <w:top w:val="single" w:sz="4" w:space="0" w:color="auto"/>
              <w:bottom w:val="single" w:sz="4" w:space="0" w:color="auto"/>
            </w:tcBorders>
            <w:noWrap/>
            <w:hideMark/>
          </w:tcPr>
          <w:p w14:paraId="23BA8DB2"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Gold</w:t>
            </w:r>
          </w:p>
        </w:tc>
        <w:tc>
          <w:tcPr>
            <w:tcW w:w="989" w:type="dxa"/>
            <w:tcBorders>
              <w:top w:val="single" w:sz="4" w:space="0" w:color="auto"/>
              <w:bottom w:val="single" w:sz="4" w:space="0" w:color="auto"/>
            </w:tcBorders>
            <w:noWrap/>
            <w:hideMark/>
          </w:tcPr>
          <w:p w14:paraId="46DAA7FA"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Crypto</w:t>
            </w:r>
          </w:p>
        </w:tc>
        <w:tc>
          <w:tcPr>
            <w:tcW w:w="1190" w:type="dxa"/>
            <w:tcBorders>
              <w:top w:val="single" w:sz="4" w:space="0" w:color="auto"/>
            </w:tcBorders>
            <w:noWrap/>
            <w:hideMark/>
          </w:tcPr>
          <w:p w14:paraId="4D6AF225"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FROM</w:t>
            </w:r>
          </w:p>
        </w:tc>
      </w:tr>
      <w:tr w:rsidR="00226362" w:rsidRPr="009B605C" w14:paraId="163E0CEF" w14:textId="77777777" w:rsidTr="00D9004E">
        <w:trPr>
          <w:trHeight w:val="340"/>
        </w:trPr>
        <w:tc>
          <w:tcPr>
            <w:tcW w:w="5048" w:type="dxa"/>
            <w:gridSpan w:val="5"/>
            <w:tcBorders>
              <w:top w:val="single" w:sz="4" w:space="0" w:color="auto"/>
            </w:tcBorders>
            <w:noWrap/>
            <w:hideMark/>
          </w:tcPr>
          <w:p w14:paraId="75C86173"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Panel A. Spillover at median quantile (</w:t>
            </w:r>
            <w:r w:rsidRPr="009B605C">
              <w:rPr>
                <w:rFonts w:ascii="Cambria" w:hAnsi="Cambria"/>
                <w:b/>
                <w:bCs/>
                <w:i/>
                <w:iCs/>
                <w:color w:val="000000"/>
                <w:sz w:val="20"/>
                <w:szCs w:val="20"/>
              </w:rPr>
              <w:t>τ</w:t>
            </w:r>
            <w:r w:rsidRPr="009B605C">
              <w:rPr>
                <w:rFonts w:ascii="Cambria" w:hAnsi="Cambria"/>
                <w:b/>
                <w:bCs/>
                <w:color w:val="000000"/>
                <w:sz w:val="20"/>
                <w:szCs w:val="20"/>
              </w:rPr>
              <w:t xml:space="preserve"> =0.5)</w:t>
            </w:r>
          </w:p>
        </w:tc>
        <w:tc>
          <w:tcPr>
            <w:tcW w:w="815" w:type="dxa"/>
            <w:tcBorders>
              <w:top w:val="single" w:sz="4" w:space="0" w:color="auto"/>
            </w:tcBorders>
            <w:noWrap/>
            <w:hideMark/>
          </w:tcPr>
          <w:p w14:paraId="234F6427" w14:textId="77777777" w:rsidR="00226362" w:rsidRPr="009B605C" w:rsidRDefault="00226362" w:rsidP="0087752F">
            <w:pPr>
              <w:rPr>
                <w:rFonts w:ascii="Cambria" w:hAnsi="Cambria"/>
                <w:b/>
                <w:bCs/>
                <w:color w:val="000000"/>
                <w:sz w:val="20"/>
                <w:szCs w:val="20"/>
              </w:rPr>
            </w:pPr>
          </w:p>
        </w:tc>
        <w:tc>
          <w:tcPr>
            <w:tcW w:w="769" w:type="dxa"/>
            <w:tcBorders>
              <w:top w:val="single" w:sz="4" w:space="0" w:color="auto"/>
            </w:tcBorders>
            <w:noWrap/>
            <w:hideMark/>
          </w:tcPr>
          <w:p w14:paraId="37C1EAE2" w14:textId="77777777" w:rsidR="00226362" w:rsidRPr="009B605C" w:rsidRDefault="00226362" w:rsidP="0087752F">
            <w:pPr>
              <w:rPr>
                <w:rFonts w:ascii="Cambria" w:hAnsi="Cambria"/>
                <w:sz w:val="20"/>
                <w:szCs w:val="20"/>
              </w:rPr>
            </w:pPr>
          </w:p>
        </w:tc>
        <w:tc>
          <w:tcPr>
            <w:tcW w:w="938" w:type="dxa"/>
            <w:tcBorders>
              <w:top w:val="single" w:sz="4" w:space="0" w:color="auto"/>
            </w:tcBorders>
            <w:noWrap/>
            <w:hideMark/>
          </w:tcPr>
          <w:p w14:paraId="255CBB37" w14:textId="77777777" w:rsidR="00226362" w:rsidRPr="009B605C" w:rsidRDefault="00226362" w:rsidP="0087752F">
            <w:pPr>
              <w:rPr>
                <w:rFonts w:ascii="Cambria" w:hAnsi="Cambria"/>
                <w:sz w:val="20"/>
                <w:szCs w:val="20"/>
              </w:rPr>
            </w:pPr>
          </w:p>
        </w:tc>
        <w:tc>
          <w:tcPr>
            <w:tcW w:w="1190" w:type="dxa"/>
            <w:tcBorders>
              <w:top w:val="single" w:sz="4" w:space="0" w:color="auto"/>
            </w:tcBorders>
            <w:noWrap/>
            <w:hideMark/>
          </w:tcPr>
          <w:p w14:paraId="71870205" w14:textId="77777777" w:rsidR="00226362" w:rsidRPr="009B605C" w:rsidRDefault="00226362" w:rsidP="0087752F">
            <w:pPr>
              <w:rPr>
                <w:rFonts w:ascii="Cambria" w:hAnsi="Cambria"/>
                <w:sz w:val="20"/>
                <w:szCs w:val="20"/>
              </w:rPr>
            </w:pPr>
          </w:p>
        </w:tc>
        <w:tc>
          <w:tcPr>
            <w:tcW w:w="818" w:type="dxa"/>
            <w:tcBorders>
              <w:top w:val="single" w:sz="4" w:space="0" w:color="auto"/>
            </w:tcBorders>
            <w:noWrap/>
            <w:hideMark/>
          </w:tcPr>
          <w:p w14:paraId="6365803C" w14:textId="77777777" w:rsidR="00226362" w:rsidRPr="009B605C" w:rsidRDefault="00226362" w:rsidP="0087752F">
            <w:pPr>
              <w:rPr>
                <w:rFonts w:ascii="Cambria" w:hAnsi="Cambria"/>
                <w:sz w:val="20"/>
                <w:szCs w:val="20"/>
              </w:rPr>
            </w:pPr>
          </w:p>
        </w:tc>
        <w:tc>
          <w:tcPr>
            <w:tcW w:w="939" w:type="dxa"/>
            <w:tcBorders>
              <w:top w:val="single" w:sz="4" w:space="0" w:color="auto"/>
            </w:tcBorders>
            <w:noWrap/>
            <w:hideMark/>
          </w:tcPr>
          <w:p w14:paraId="47F578E7" w14:textId="77777777" w:rsidR="00226362" w:rsidRPr="009B605C" w:rsidRDefault="00226362" w:rsidP="0087752F">
            <w:pPr>
              <w:rPr>
                <w:rFonts w:ascii="Cambria" w:hAnsi="Cambria"/>
                <w:sz w:val="20"/>
                <w:szCs w:val="20"/>
              </w:rPr>
            </w:pPr>
          </w:p>
        </w:tc>
        <w:tc>
          <w:tcPr>
            <w:tcW w:w="811" w:type="dxa"/>
            <w:tcBorders>
              <w:top w:val="single" w:sz="4" w:space="0" w:color="auto"/>
            </w:tcBorders>
            <w:noWrap/>
            <w:hideMark/>
          </w:tcPr>
          <w:p w14:paraId="2F2C2078" w14:textId="77777777" w:rsidR="00226362" w:rsidRPr="009B605C" w:rsidRDefault="00226362" w:rsidP="0087752F">
            <w:pPr>
              <w:rPr>
                <w:rFonts w:ascii="Cambria" w:hAnsi="Cambria"/>
                <w:sz w:val="20"/>
                <w:szCs w:val="20"/>
              </w:rPr>
            </w:pPr>
          </w:p>
        </w:tc>
        <w:tc>
          <w:tcPr>
            <w:tcW w:w="834" w:type="dxa"/>
            <w:tcBorders>
              <w:top w:val="single" w:sz="4" w:space="0" w:color="auto"/>
            </w:tcBorders>
            <w:noWrap/>
            <w:hideMark/>
          </w:tcPr>
          <w:p w14:paraId="4AE65A4F" w14:textId="77777777" w:rsidR="00226362" w:rsidRPr="009B605C" w:rsidRDefault="00226362" w:rsidP="0087752F">
            <w:pPr>
              <w:rPr>
                <w:rFonts w:ascii="Cambria" w:hAnsi="Cambria"/>
                <w:sz w:val="20"/>
                <w:szCs w:val="20"/>
              </w:rPr>
            </w:pPr>
          </w:p>
        </w:tc>
        <w:tc>
          <w:tcPr>
            <w:tcW w:w="984" w:type="dxa"/>
            <w:tcBorders>
              <w:top w:val="single" w:sz="4" w:space="0" w:color="auto"/>
            </w:tcBorders>
            <w:noWrap/>
            <w:hideMark/>
          </w:tcPr>
          <w:p w14:paraId="022363D1" w14:textId="77777777" w:rsidR="00226362" w:rsidRPr="009B605C" w:rsidRDefault="00226362" w:rsidP="0087752F">
            <w:pPr>
              <w:rPr>
                <w:rFonts w:ascii="Cambria" w:hAnsi="Cambria"/>
                <w:sz w:val="20"/>
                <w:szCs w:val="20"/>
              </w:rPr>
            </w:pPr>
          </w:p>
        </w:tc>
        <w:tc>
          <w:tcPr>
            <w:tcW w:w="811" w:type="dxa"/>
            <w:tcBorders>
              <w:top w:val="single" w:sz="4" w:space="0" w:color="auto"/>
            </w:tcBorders>
            <w:noWrap/>
            <w:hideMark/>
          </w:tcPr>
          <w:p w14:paraId="22B8F79C" w14:textId="77777777" w:rsidR="00226362" w:rsidRPr="009B605C" w:rsidRDefault="00226362" w:rsidP="0087752F">
            <w:pPr>
              <w:rPr>
                <w:rFonts w:ascii="Cambria" w:hAnsi="Cambria"/>
                <w:sz w:val="20"/>
                <w:szCs w:val="20"/>
              </w:rPr>
            </w:pPr>
          </w:p>
        </w:tc>
        <w:tc>
          <w:tcPr>
            <w:tcW w:w="989" w:type="dxa"/>
            <w:tcBorders>
              <w:top w:val="single" w:sz="4" w:space="0" w:color="auto"/>
            </w:tcBorders>
            <w:noWrap/>
            <w:hideMark/>
          </w:tcPr>
          <w:p w14:paraId="2CFFD55F" w14:textId="77777777" w:rsidR="00226362" w:rsidRPr="009B605C" w:rsidRDefault="00226362" w:rsidP="0087752F">
            <w:pPr>
              <w:rPr>
                <w:rFonts w:ascii="Cambria" w:hAnsi="Cambria"/>
                <w:sz w:val="20"/>
                <w:szCs w:val="20"/>
              </w:rPr>
            </w:pPr>
          </w:p>
        </w:tc>
        <w:tc>
          <w:tcPr>
            <w:tcW w:w="1190" w:type="dxa"/>
            <w:tcBorders>
              <w:top w:val="single" w:sz="4" w:space="0" w:color="auto"/>
            </w:tcBorders>
            <w:noWrap/>
            <w:hideMark/>
          </w:tcPr>
          <w:p w14:paraId="6DA962BE" w14:textId="77777777" w:rsidR="00226362" w:rsidRPr="009B605C" w:rsidRDefault="00226362" w:rsidP="0087752F">
            <w:pPr>
              <w:rPr>
                <w:rFonts w:ascii="Cambria" w:hAnsi="Cambria"/>
                <w:sz w:val="20"/>
                <w:szCs w:val="20"/>
              </w:rPr>
            </w:pPr>
          </w:p>
        </w:tc>
      </w:tr>
      <w:tr w:rsidR="00226362" w:rsidRPr="009B605C" w14:paraId="4B1768D8" w14:textId="77777777" w:rsidTr="00D9004E">
        <w:trPr>
          <w:trHeight w:val="340"/>
        </w:trPr>
        <w:tc>
          <w:tcPr>
            <w:tcW w:w="1419" w:type="dxa"/>
            <w:noWrap/>
            <w:hideMark/>
          </w:tcPr>
          <w:p w14:paraId="6582F4AE"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Brazil</w:t>
            </w:r>
          </w:p>
        </w:tc>
        <w:tc>
          <w:tcPr>
            <w:tcW w:w="872" w:type="dxa"/>
            <w:noWrap/>
            <w:hideMark/>
          </w:tcPr>
          <w:p w14:paraId="6BF1987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75.94</w:t>
            </w:r>
          </w:p>
        </w:tc>
        <w:tc>
          <w:tcPr>
            <w:tcW w:w="1001" w:type="dxa"/>
            <w:noWrap/>
            <w:hideMark/>
          </w:tcPr>
          <w:p w14:paraId="2E73049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6.26</w:t>
            </w:r>
          </w:p>
        </w:tc>
        <w:tc>
          <w:tcPr>
            <w:tcW w:w="865" w:type="dxa"/>
            <w:noWrap/>
            <w:hideMark/>
          </w:tcPr>
          <w:p w14:paraId="0D83FC5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4.26</w:t>
            </w:r>
          </w:p>
        </w:tc>
        <w:tc>
          <w:tcPr>
            <w:tcW w:w="891" w:type="dxa"/>
            <w:noWrap/>
            <w:hideMark/>
          </w:tcPr>
          <w:p w14:paraId="1B741CC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2.35</w:t>
            </w:r>
          </w:p>
        </w:tc>
        <w:tc>
          <w:tcPr>
            <w:tcW w:w="815" w:type="dxa"/>
            <w:noWrap/>
            <w:hideMark/>
          </w:tcPr>
          <w:p w14:paraId="5081A8BB" w14:textId="774A7F16"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6.3</w:t>
            </w:r>
            <w:r w:rsidR="00D521F8" w:rsidRPr="009B605C">
              <w:rPr>
                <w:rFonts w:ascii="Cambria" w:hAnsi="Cambria"/>
                <w:color w:val="000000"/>
                <w:sz w:val="20"/>
                <w:szCs w:val="20"/>
              </w:rPr>
              <w:t>0</w:t>
            </w:r>
          </w:p>
        </w:tc>
        <w:tc>
          <w:tcPr>
            <w:tcW w:w="769" w:type="dxa"/>
            <w:noWrap/>
            <w:hideMark/>
          </w:tcPr>
          <w:p w14:paraId="1932F9F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2.33</w:t>
            </w:r>
          </w:p>
        </w:tc>
        <w:tc>
          <w:tcPr>
            <w:tcW w:w="938" w:type="dxa"/>
            <w:noWrap/>
            <w:hideMark/>
          </w:tcPr>
          <w:p w14:paraId="53ACE9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2.57</w:t>
            </w:r>
          </w:p>
        </w:tc>
        <w:tc>
          <w:tcPr>
            <w:tcW w:w="1190" w:type="dxa"/>
            <w:noWrap/>
            <w:hideMark/>
          </w:tcPr>
          <w:p w14:paraId="2B7A38C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24.06</w:t>
            </w:r>
          </w:p>
        </w:tc>
        <w:tc>
          <w:tcPr>
            <w:tcW w:w="818" w:type="dxa"/>
            <w:noWrap/>
            <w:hideMark/>
          </w:tcPr>
          <w:p w14:paraId="0AE093B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75.39</w:t>
            </w:r>
          </w:p>
        </w:tc>
        <w:tc>
          <w:tcPr>
            <w:tcW w:w="939" w:type="dxa"/>
            <w:noWrap/>
            <w:hideMark/>
          </w:tcPr>
          <w:p w14:paraId="6490A00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2.69</w:t>
            </w:r>
          </w:p>
        </w:tc>
        <w:tc>
          <w:tcPr>
            <w:tcW w:w="811" w:type="dxa"/>
            <w:noWrap/>
            <w:hideMark/>
          </w:tcPr>
          <w:p w14:paraId="1B57719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2.72</w:t>
            </w:r>
          </w:p>
        </w:tc>
        <w:tc>
          <w:tcPr>
            <w:tcW w:w="834" w:type="dxa"/>
            <w:noWrap/>
            <w:hideMark/>
          </w:tcPr>
          <w:p w14:paraId="04ACF01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2.87</w:t>
            </w:r>
          </w:p>
        </w:tc>
        <w:tc>
          <w:tcPr>
            <w:tcW w:w="984" w:type="dxa"/>
            <w:noWrap/>
            <w:hideMark/>
          </w:tcPr>
          <w:p w14:paraId="79846EF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6.64</w:t>
            </w:r>
          </w:p>
        </w:tc>
        <w:tc>
          <w:tcPr>
            <w:tcW w:w="811" w:type="dxa"/>
            <w:noWrap/>
            <w:hideMark/>
          </w:tcPr>
          <w:p w14:paraId="68A1B8D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4.99</w:t>
            </w:r>
          </w:p>
        </w:tc>
        <w:tc>
          <w:tcPr>
            <w:tcW w:w="989" w:type="dxa"/>
            <w:noWrap/>
            <w:hideMark/>
          </w:tcPr>
          <w:p w14:paraId="1F3C2808" w14:textId="1C08F442"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4.7</w:t>
            </w:r>
            <w:r w:rsidR="00D521F8" w:rsidRPr="009B605C">
              <w:rPr>
                <w:rFonts w:ascii="Cambria" w:hAnsi="Cambria"/>
                <w:color w:val="000000"/>
                <w:sz w:val="20"/>
                <w:szCs w:val="20"/>
              </w:rPr>
              <w:t>0</w:t>
            </w:r>
          </w:p>
        </w:tc>
        <w:tc>
          <w:tcPr>
            <w:tcW w:w="1190" w:type="dxa"/>
            <w:noWrap/>
            <w:hideMark/>
          </w:tcPr>
          <w:p w14:paraId="61D8894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24.61</w:t>
            </w:r>
          </w:p>
        </w:tc>
      </w:tr>
      <w:tr w:rsidR="00226362" w:rsidRPr="009B605C" w14:paraId="093D046C" w14:textId="77777777" w:rsidTr="00D9004E">
        <w:trPr>
          <w:trHeight w:val="340"/>
        </w:trPr>
        <w:tc>
          <w:tcPr>
            <w:tcW w:w="1419" w:type="dxa"/>
            <w:noWrap/>
            <w:hideMark/>
          </w:tcPr>
          <w:p w14:paraId="5C1E1091"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Russia</w:t>
            </w:r>
          </w:p>
        </w:tc>
        <w:tc>
          <w:tcPr>
            <w:tcW w:w="872" w:type="dxa"/>
            <w:noWrap/>
            <w:hideMark/>
          </w:tcPr>
          <w:p w14:paraId="086E6C5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5.95</w:t>
            </w:r>
          </w:p>
        </w:tc>
        <w:tc>
          <w:tcPr>
            <w:tcW w:w="1001" w:type="dxa"/>
            <w:noWrap/>
            <w:hideMark/>
          </w:tcPr>
          <w:p w14:paraId="0F3DE02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71.06</w:t>
            </w:r>
          </w:p>
        </w:tc>
        <w:tc>
          <w:tcPr>
            <w:tcW w:w="865" w:type="dxa"/>
            <w:noWrap/>
            <w:hideMark/>
          </w:tcPr>
          <w:p w14:paraId="53CDF12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4.95</w:t>
            </w:r>
          </w:p>
        </w:tc>
        <w:tc>
          <w:tcPr>
            <w:tcW w:w="891" w:type="dxa"/>
            <w:noWrap/>
            <w:hideMark/>
          </w:tcPr>
          <w:p w14:paraId="1EA8E74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2.59</w:t>
            </w:r>
          </w:p>
        </w:tc>
        <w:tc>
          <w:tcPr>
            <w:tcW w:w="815" w:type="dxa"/>
            <w:noWrap/>
            <w:hideMark/>
          </w:tcPr>
          <w:p w14:paraId="50BCF8D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10.03</w:t>
            </w:r>
          </w:p>
        </w:tc>
        <w:tc>
          <w:tcPr>
            <w:tcW w:w="769" w:type="dxa"/>
            <w:noWrap/>
            <w:hideMark/>
          </w:tcPr>
          <w:p w14:paraId="7CA3217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2.95</w:t>
            </w:r>
          </w:p>
        </w:tc>
        <w:tc>
          <w:tcPr>
            <w:tcW w:w="938" w:type="dxa"/>
            <w:noWrap/>
            <w:hideMark/>
          </w:tcPr>
          <w:p w14:paraId="194829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2.47</w:t>
            </w:r>
          </w:p>
        </w:tc>
        <w:tc>
          <w:tcPr>
            <w:tcW w:w="1190" w:type="dxa"/>
            <w:noWrap/>
            <w:hideMark/>
          </w:tcPr>
          <w:p w14:paraId="0061685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28.94</w:t>
            </w:r>
          </w:p>
        </w:tc>
        <w:tc>
          <w:tcPr>
            <w:tcW w:w="818" w:type="dxa"/>
            <w:noWrap/>
            <w:hideMark/>
          </w:tcPr>
          <w:p w14:paraId="33EB964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3.01</w:t>
            </w:r>
          </w:p>
        </w:tc>
        <w:tc>
          <w:tcPr>
            <w:tcW w:w="939" w:type="dxa"/>
            <w:noWrap/>
            <w:hideMark/>
          </w:tcPr>
          <w:p w14:paraId="6FF1447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82.39</w:t>
            </w:r>
          </w:p>
        </w:tc>
        <w:tc>
          <w:tcPr>
            <w:tcW w:w="811" w:type="dxa"/>
            <w:noWrap/>
            <w:hideMark/>
          </w:tcPr>
          <w:p w14:paraId="15DC583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2.87</w:t>
            </w:r>
          </w:p>
        </w:tc>
        <w:tc>
          <w:tcPr>
            <w:tcW w:w="834" w:type="dxa"/>
            <w:noWrap/>
            <w:hideMark/>
          </w:tcPr>
          <w:p w14:paraId="4130AE1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2.13</w:t>
            </w:r>
          </w:p>
        </w:tc>
        <w:tc>
          <w:tcPr>
            <w:tcW w:w="984" w:type="dxa"/>
            <w:noWrap/>
            <w:hideMark/>
          </w:tcPr>
          <w:p w14:paraId="0394659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3.92</w:t>
            </w:r>
          </w:p>
        </w:tc>
        <w:tc>
          <w:tcPr>
            <w:tcW w:w="811" w:type="dxa"/>
            <w:noWrap/>
            <w:hideMark/>
          </w:tcPr>
          <w:p w14:paraId="6F0AA15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2.18</w:t>
            </w:r>
          </w:p>
        </w:tc>
        <w:tc>
          <w:tcPr>
            <w:tcW w:w="989" w:type="dxa"/>
            <w:noWrap/>
            <w:hideMark/>
          </w:tcPr>
          <w:p w14:paraId="05DC124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3.51</w:t>
            </w:r>
          </w:p>
        </w:tc>
        <w:tc>
          <w:tcPr>
            <w:tcW w:w="1190" w:type="dxa"/>
            <w:noWrap/>
            <w:hideMark/>
          </w:tcPr>
          <w:p w14:paraId="66B6ADF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17.61</w:t>
            </w:r>
          </w:p>
        </w:tc>
      </w:tr>
      <w:tr w:rsidR="00226362" w:rsidRPr="009B605C" w14:paraId="06F292C7" w14:textId="77777777" w:rsidTr="00D9004E">
        <w:trPr>
          <w:trHeight w:val="340"/>
        </w:trPr>
        <w:tc>
          <w:tcPr>
            <w:tcW w:w="1419" w:type="dxa"/>
            <w:noWrap/>
            <w:hideMark/>
          </w:tcPr>
          <w:p w14:paraId="04DF6A58"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India</w:t>
            </w:r>
          </w:p>
        </w:tc>
        <w:tc>
          <w:tcPr>
            <w:tcW w:w="872" w:type="dxa"/>
            <w:noWrap/>
            <w:hideMark/>
          </w:tcPr>
          <w:p w14:paraId="09FF73E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4.06</w:t>
            </w:r>
          </w:p>
        </w:tc>
        <w:tc>
          <w:tcPr>
            <w:tcW w:w="1001" w:type="dxa"/>
            <w:noWrap/>
            <w:hideMark/>
          </w:tcPr>
          <w:p w14:paraId="280E5F21" w14:textId="28BCE0EF"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w:t>
            </w:r>
            <w:r w:rsidR="00D9004E" w:rsidRPr="009B605C">
              <w:rPr>
                <w:rFonts w:ascii="Cambria" w:hAnsi="Cambria"/>
                <w:color w:val="000000"/>
                <w:sz w:val="20"/>
                <w:szCs w:val="20"/>
              </w:rPr>
              <w:t>.00</w:t>
            </w:r>
          </w:p>
        </w:tc>
        <w:tc>
          <w:tcPr>
            <w:tcW w:w="865" w:type="dxa"/>
            <w:noWrap/>
            <w:hideMark/>
          </w:tcPr>
          <w:p w14:paraId="4A64324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73.56</w:t>
            </w:r>
          </w:p>
        </w:tc>
        <w:tc>
          <w:tcPr>
            <w:tcW w:w="891" w:type="dxa"/>
            <w:noWrap/>
            <w:hideMark/>
          </w:tcPr>
          <w:p w14:paraId="00E9BDF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3.98</w:t>
            </w:r>
          </w:p>
        </w:tc>
        <w:tc>
          <w:tcPr>
            <w:tcW w:w="815" w:type="dxa"/>
            <w:noWrap/>
            <w:hideMark/>
          </w:tcPr>
          <w:p w14:paraId="22295CF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8.13</w:t>
            </w:r>
          </w:p>
        </w:tc>
        <w:tc>
          <w:tcPr>
            <w:tcW w:w="769" w:type="dxa"/>
            <w:noWrap/>
            <w:hideMark/>
          </w:tcPr>
          <w:p w14:paraId="27E1087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3.16</w:t>
            </w:r>
          </w:p>
        </w:tc>
        <w:tc>
          <w:tcPr>
            <w:tcW w:w="938" w:type="dxa"/>
            <w:noWrap/>
            <w:hideMark/>
          </w:tcPr>
          <w:p w14:paraId="7F0F79B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2.11</w:t>
            </w:r>
          </w:p>
        </w:tc>
        <w:tc>
          <w:tcPr>
            <w:tcW w:w="1190" w:type="dxa"/>
            <w:noWrap/>
            <w:hideMark/>
          </w:tcPr>
          <w:p w14:paraId="0FBC481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26.44</w:t>
            </w:r>
          </w:p>
        </w:tc>
        <w:tc>
          <w:tcPr>
            <w:tcW w:w="818" w:type="dxa"/>
            <w:noWrap/>
            <w:hideMark/>
          </w:tcPr>
          <w:p w14:paraId="45257E6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2.83</w:t>
            </w:r>
          </w:p>
        </w:tc>
        <w:tc>
          <w:tcPr>
            <w:tcW w:w="939" w:type="dxa"/>
            <w:noWrap/>
            <w:hideMark/>
          </w:tcPr>
          <w:p w14:paraId="4A701C0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2.84</w:t>
            </w:r>
          </w:p>
        </w:tc>
        <w:tc>
          <w:tcPr>
            <w:tcW w:w="811" w:type="dxa"/>
            <w:noWrap/>
            <w:hideMark/>
          </w:tcPr>
          <w:p w14:paraId="49EFF8C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79.88</w:t>
            </w:r>
          </w:p>
        </w:tc>
        <w:tc>
          <w:tcPr>
            <w:tcW w:w="834" w:type="dxa"/>
            <w:noWrap/>
            <w:hideMark/>
          </w:tcPr>
          <w:p w14:paraId="1626F78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2.41</w:t>
            </w:r>
          </w:p>
        </w:tc>
        <w:tc>
          <w:tcPr>
            <w:tcW w:w="984" w:type="dxa"/>
            <w:noWrap/>
            <w:hideMark/>
          </w:tcPr>
          <w:p w14:paraId="6FF1DF3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5.78</w:t>
            </w:r>
          </w:p>
        </w:tc>
        <w:tc>
          <w:tcPr>
            <w:tcW w:w="811" w:type="dxa"/>
            <w:noWrap/>
            <w:hideMark/>
          </w:tcPr>
          <w:p w14:paraId="2D0D022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3.42</w:t>
            </w:r>
          </w:p>
        </w:tc>
        <w:tc>
          <w:tcPr>
            <w:tcW w:w="989" w:type="dxa"/>
            <w:noWrap/>
            <w:hideMark/>
          </w:tcPr>
          <w:p w14:paraId="671906A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2.83</w:t>
            </w:r>
          </w:p>
        </w:tc>
        <w:tc>
          <w:tcPr>
            <w:tcW w:w="1190" w:type="dxa"/>
            <w:noWrap/>
            <w:hideMark/>
          </w:tcPr>
          <w:p w14:paraId="46214F7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20.12</w:t>
            </w:r>
          </w:p>
        </w:tc>
      </w:tr>
      <w:tr w:rsidR="00226362" w:rsidRPr="009B605C" w14:paraId="45408011" w14:textId="77777777" w:rsidTr="00D9004E">
        <w:trPr>
          <w:trHeight w:val="340"/>
        </w:trPr>
        <w:tc>
          <w:tcPr>
            <w:tcW w:w="1419" w:type="dxa"/>
            <w:noWrap/>
            <w:hideMark/>
          </w:tcPr>
          <w:p w14:paraId="22F58A27"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China</w:t>
            </w:r>
          </w:p>
        </w:tc>
        <w:tc>
          <w:tcPr>
            <w:tcW w:w="872" w:type="dxa"/>
            <w:noWrap/>
            <w:hideMark/>
          </w:tcPr>
          <w:p w14:paraId="40C1B3F0" w14:textId="1261BAAC"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2.5</w:t>
            </w:r>
            <w:r w:rsidR="00D521F8" w:rsidRPr="009B605C">
              <w:rPr>
                <w:rFonts w:ascii="Cambria" w:hAnsi="Cambria"/>
                <w:color w:val="000000"/>
                <w:sz w:val="20"/>
                <w:szCs w:val="20"/>
              </w:rPr>
              <w:t>0</w:t>
            </w:r>
          </w:p>
        </w:tc>
        <w:tc>
          <w:tcPr>
            <w:tcW w:w="1001" w:type="dxa"/>
            <w:noWrap/>
            <w:hideMark/>
          </w:tcPr>
          <w:p w14:paraId="6220D9C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2.81</w:t>
            </w:r>
          </w:p>
        </w:tc>
        <w:tc>
          <w:tcPr>
            <w:tcW w:w="865" w:type="dxa"/>
            <w:noWrap/>
            <w:hideMark/>
          </w:tcPr>
          <w:p w14:paraId="214E733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4.34</w:t>
            </w:r>
          </w:p>
        </w:tc>
        <w:tc>
          <w:tcPr>
            <w:tcW w:w="891" w:type="dxa"/>
            <w:noWrap/>
            <w:hideMark/>
          </w:tcPr>
          <w:p w14:paraId="59A7D8D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79.91</w:t>
            </w:r>
          </w:p>
        </w:tc>
        <w:tc>
          <w:tcPr>
            <w:tcW w:w="815" w:type="dxa"/>
            <w:noWrap/>
            <w:hideMark/>
          </w:tcPr>
          <w:p w14:paraId="1737206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5.82</w:t>
            </w:r>
          </w:p>
        </w:tc>
        <w:tc>
          <w:tcPr>
            <w:tcW w:w="769" w:type="dxa"/>
            <w:noWrap/>
            <w:hideMark/>
          </w:tcPr>
          <w:p w14:paraId="38E2D6E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2.44</w:t>
            </w:r>
          </w:p>
        </w:tc>
        <w:tc>
          <w:tcPr>
            <w:tcW w:w="938" w:type="dxa"/>
            <w:noWrap/>
            <w:hideMark/>
          </w:tcPr>
          <w:p w14:paraId="715B1A5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2.17</w:t>
            </w:r>
          </w:p>
        </w:tc>
        <w:tc>
          <w:tcPr>
            <w:tcW w:w="1190" w:type="dxa"/>
            <w:noWrap/>
            <w:hideMark/>
          </w:tcPr>
          <w:p w14:paraId="4F0E147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20.09</w:t>
            </w:r>
          </w:p>
        </w:tc>
        <w:tc>
          <w:tcPr>
            <w:tcW w:w="818" w:type="dxa"/>
            <w:noWrap/>
            <w:hideMark/>
          </w:tcPr>
          <w:p w14:paraId="6A34983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3.01</w:t>
            </w:r>
          </w:p>
        </w:tc>
        <w:tc>
          <w:tcPr>
            <w:tcW w:w="939" w:type="dxa"/>
            <w:noWrap/>
            <w:hideMark/>
          </w:tcPr>
          <w:p w14:paraId="7EC02E2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2.18</w:t>
            </w:r>
          </w:p>
        </w:tc>
        <w:tc>
          <w:tcPr>
            <w:tcW w:w="811" w:type="dxa"/>
            <w:noWrap/>
            <w:hideMark/>
          </w:tcPr>
          <w:p w14:paraId="2DB8570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2.44</w:t>
            </w:r>
          </w:p>
        </w:tc>
        <w:tc>
          <w:tcPr>
            <w:tcW w:w="834" w:type="dxa"/>
            <w:noWrap/>
            <w:hideMark/>
          </w:tcPr>
          <w:p w14:paraId="13EF89E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79.94</w:t>
            </w:r>
          </w:p>
        </w:tc>
        <w:tc>
          <w:tcPr>
            <w:tcW w:w="984" w:type="dxa"/>
            <w:noWrap/>
            <w:hideMark/>
          </w:tcPr>
          <w:p w14:paraId="678B0F8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6.79</w:t>
            </w:r>
          </w:p>
        </w:tc>
        <w:tc>
          <w:tcPr>
            <w:tcW w:w="811" w:type="dxa"/>
            <w:noWrap/>
            <w:hideMark/>
          </w:tcPr>
          <w:p w14:paraId="5CDFA45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3.24</w:t>
            </w:r>
          </w:p>
        </w:tc>
        <w:tc>
          <w:tcPr>
            <w:tcW w:w="989" w:type="dxa"/>
            <w:noWrap/>
            <w:hideMark/>
          </w:tcPr>
          <w:p w14:paraId="0AB109A2" w14:textId="0431E27E"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w:t>
            </w:r>
            <w:r w:rsidR="00D521F8" w:rsidRPr="009B605C">
              <w:rPr>
                <w:rFonts w:ascii="Cambria" w:hAnsi="Cambria"/>
                <w:color w:val="000000"/>
                <w:sz w:val="20"/>
                <w:szCs w:val="20"/>
              </w:rPr>
              <w:t>0</w:t>
            </w:r>
          </w:p>
        </w:tc>
        <w:tc>
          <w:tcPr>
            <w:tcW w:w="1190" w:type="dxa"/>
            <w:noWrap/>
            <w:hideMark/>
          </w:tcPr>
          <w:p w14:paraId="44CB45C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20.06</w:t>
            </w:r>
          </w:p>
        </w:tc>
      </w:tr>
      <w:tr w:rsidR="00226362" w:rsidRPr="009B605C" w14:paraId="34ED7EF0" w14:textId="77777777" w:rsidTr="00D9004E">
        <w:trPr>
          <w:trHeight w:val="340"/>
        </w:trPr>
        <w:tc>
          <w:tcPr>
            <w:tcW w:w="1419" w:type="dxa"/>
            <w:noWrap/>
            <w:hideMark/>
          </w:tcPr>
          <w:p w14:paraId="567DDC6C"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South Africa</w:t>
            </w:r>
          </w:p>
        </w:tc>
        <w:tc>
          <w:tcPr>
            <w:tcW w:w="872" w:type="dxa"/>
            <w:noWrap/>
            <w:hideMark/>
          </w:tcPr>
          <w:p w14:paraId="357E09AE" w14:textId="40B81580"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5.6</w:t>
            </w:r>
            <w:r w:rsidR="00D521F8" w:rsidRPr="009B605C">
              <w:rPr>
                <w:rFonts w:ascii="Cambria" w:hAnsi="Cambria"/>
                <w:color w:val="000000"/>
                <w:sz w:val="20"/>
                <w:szCs w:val="20"/>
              </w:rPr>
              <w:t>0</w:t>
            </w:r>
          </w:p>
        </w:tc>
        <w:tc>
          <w:tcPr>
            <w:tcW w:w="1001" w:type="dxa"/>
            <w:noWrap/>
            <w:hideMark/>
          </w:tcPr>
          <w:p w14:paraId="3F46280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9.53</w:t>
            </w:r>
          </w:p>
        </w:tc>
        <w:tc>
          <w:tcPr>
            <w:tcW w:w="865" w:type="dxa"/>
            <w:noWrap/>
            <w:hideMark/>
          </w:tcPr>
          <w:p w14:paraId="0179BFB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7.54</w:t>
            </w:r>
          </w:p>
        </w:tc>
        <w:tc>
          <w:tcPr>
            <w:tcW w:w="891" w:type="dxa"/>
            <w:noWrap/>
            <w:hideMark/>
          </w:tcPr>
          <w:p w14:paraId="36BD04B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5.04</w:t>
            </w:r>
          </w:p>
        </w:tc>
        <w:tc>
          <w:tcPr>
            <w:tcW w:w="815" w:type="dxa"/>
            <w:noWrap/>
            <w:hideMark/>
          </w:tcPr>
          <w:p w14:paraId="0C6B62B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67.33</w:t>
            </w:r>
          </w:p>
        </w:tc>
        <w:tc>
          <w:tcPr>
            <w:tcW w:w="769" w:type="dxa"/>
            <w:noWrap/>
            <w:hideMark/>
          </w:tcPr>
          <w:p w14:paraId="0EB5B65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2.99</w:t>
            </w:r>
          </w:p>
        </w:tc>
        <w:tc>
          <w:tcPr>
            <w:tcW w:w="938" w:type="dxa"/>
            <w:noWrap/>
            <w:hideMark/>
          </w:tcPr>
          <w:p w14:paraId="6C209DC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1.96</w:t>
            </w:r>
          </w:p>
        </w:tc>
        <w:tc>
          <w:tcPr>
            <w:tcW w:w="1190" w:type="dxa"/>
            <w:noWrap/>
            <w:hideMark/>
          </w:tcPr>
          <w:p w14:paraId="3A52301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32.67</w:t>
            </w:r>
          </w:p>
        </w:tc>
        <w:tc>
          <w:tcPr>
            <w:tcW w:w="818" w:type="dxa"/>
            <w:noWrap/>
            <w:hideMark/>
          </w:tcPr>
          <w:p w14:paraId="7E0BB6C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6.36</w:t>
            </w:r>
          </w:p>
        </w:tc>
        <w:tc>
          <w:tcPr>
            <w:tcW w:w="939" w:type="dxa"/>
            <w:noWrap/>
            <w:hideMark/>
          </w:tcPr>
          <w:p w14:paraId="2270A52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3.35</w:t>
            </w:r>
          </w:p>
        </w:tc>
        <w:tc>
          <w:tcPr>
            <w:tcW w:w="811" w:type="dxa"/>
            <w:noWrap/>
            <w:hideMark/>
          </w:tcPr>
          <w:p w14:paraId="567C722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4.91</w:t>
            </w:r>
          </w:p>
        </w:tc>
        <w:tc>
          <w:tcPr>
            <w:tcW w:w="834" w:type="dxa"/>
            <w:noWrap/>
            <w:hideMark/>
          </w:tcPr>
          <w:p w14:paraId="7F3429B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5.73</w:t>
            </w:r>
          </w:p>
        </w:tc>
        <w:tc>
          <w:tcPr>
            <w:tcW w:w="984" w:type="dxa"/>
            <w:noWrap/>
            <w:hideMark/>
          </w:tcPr>
          <w:p w14:paraId="0F3152B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69.64</w:t>
            </w:r>
          </w:p>
        </w:tc>
        <w:tc>
          <w:tcPr>
            <w:tcW w:w="811" w:type="dxa"/>
            <w:noWrap/>
            <w:hideMark/>
          </w:tcPr>
          <w:p w14:paraId="723FB68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6.77</w:t>
            </w:r>
          </w:p>
        </w:tc>
        <w:tc>
          <w:tcPr>
            <w:tcW w:w="989" w:type="dxa"/>
            <w:noWrap/>
            <w:hideMark/>
          </w:tcPr>
          <w:p w14:paraId="11498C9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3.24</w:t>
            </w:r>
          </w:p>
        </w:tc>
        <w:tc>
          <w:tcPr>
            <w:tcW w:w="1190" w:type="dxa"/>
            <w:noWrap/>
            <w:hideMark/>
          </w:tcPr>
          <w:p w14:paraId="4DA458B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30.36</w:t>
            </w:r>
          </w:p>
        </w:tc>
      </w:tr>
      <w:tr w:rsidR="00226362" w:rsidRPr="009B605C" w14:paraId="06CDABB8" w14:textId="77777777" w:rsidTr="00D9004E">
        <w:trPr>
          <w:trHeight w:val="340"/>
        </w:trPr>
        <w:tc>
          <w:tcPr>
            <w:tcW w:w="1419" w:type="dxa"/>
            <w:noWrap/>
            <w:hideMark/>
          </w:tcPr>
          <w:p w14:paraId="162B9814"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Gold</w:t>
            </w:r>
          </w:p>
        </w:tc>
        <w:tc>
          <w:tcPr>
            <w:tcW w:w="872" w:type="dxa"/>
            <w:noWrap/>
            <w:hideMark/>
          </w:tcPr>
          <w:p w14:paraId="2175F768" w14:textId="34542974"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2.5</w:t>
            </w:r>
            <w:r w:rsidR="00D521F8" w:rsidRPr="009B605C">
              <w:rPr>
                <w:rFonts w:ascii="Cambria" w:hAnsi="Cambria"/>
                <w:color w:val="000000"/>
                <w:sz w:val="20"/>
                <w:szCs w:val="20"/>
              </w:rPr>
              <w:t>0</w:t>
            </w:r>
          </w:p>
        </w:tc>
        <w:tc>
          <w:tcPr>
            <w:tcW w:w="1001" w:type="dxa"/>
            <w:noWrap/>
            <w:hideMark/>
          </w:tcPr>
          <w:p w14:paraId="45A116D7" w14:textId="710DE86B"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w:t>
            </w:r>
            <w:r w:rsidR="00D9004E" w:rsidRPr="009B605C">
              <w:rPr>
                <w:rFonts w:ascii="Cambria" w:hAnsi="Cambria"/>
                <w:color w:val="000000"/>
                <w:sz w:val="20"/>
                <w:szCs w:val="20"/>
              </w:rPr>
              <w:t>0</w:t>
            </w:r>
          </w:p>
        </w:tc>
        <w:tc>
          <w:tcPr>
            <w:tcW w:w="865" w:type="dxa"/>
            <w:noWrap/>
            <w:hideMark/>
          </w:tcPr>
          <w:p w14:paraId="4FF6099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3.56</w:t>
            </w:r>
          </w:p>
        </w:tc>
        <w:tc>
          <w:tcPr>
            <w:tcW w:w="891" w:type="dxa"/>
            <w:noWrap/>
            <w:hideMark/>
          </w:tcPr>
          <w:p w14:paraId="2CDA339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2.48</w:t>
            </w:r>
          </w:p>
        </w:tc>
        <w:tc>
          <w:tcPr>
            <w:tcW w:w="815" w:type="dxa"/>
            <w:noWrap/>
            <w:hideMark/>
          </w:tcPr>
          <w:p w14:paraId="49F993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3.66</w:t>
            </w:r>
          </w:p>
        </w:tc>
        <w:tc>
          <w:tcPr>
            <w:tcW w:w="769" w:type="dxa"/>
            <w:noWrap/>
            <w:hideMark/>
          </w:tcPr>
          <w:p w14:paraId="068FFA1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81.79</w:t>
            </w:r>
          </w:p>
        </w:tc>
        <w:tc>
          <w:tcPr>
            <w:tcW w:w="938" w:type="dxa"/>
            <w:noWrap/>
            <w:hideMark/>
          </w:tcPr>
          <w:p w14:paraId="5C7A2EE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2.72</w:t>
            </w:r>
          </w:p>
        </w:tc>
        <w:tc>
          <w:tcPr>
            <w:tcW w:w="1190" w:type="dxa"/>
            <w:noWrap/>
            <w:hideMark/>
          </w:tcPr>
          <w:p w14:paraId="566638F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18.21</w:t>
            </w:r>
          </w:p>
        </w:tc>
        <w:tc>
          <w:tcPr>
            <w:tcW w:w="818" w:type="dxa"/>
            <w:noWrap/>
            <w:hideMark/>
          </w:tcPr>
          <w:p w14:paraId="2AA569C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5.07</w:t>
            </w:r>
          </w:p>
        </w:tc>
        <w:tc>
          <w:tcPr>
            <w:tcW w:w="939" w:type="dxa"/>
            <w:noWrap/>
            <w:hideMark/>
          </w:tcPr>
          <w:p w14:paraId="26D6BFC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1.99</w:t>
            </w:r>
          </w:p>
        </w:tc>
        <w:tc>
          <w:tcPr>
            <w:tcW w:w="811" w:type="dxa"/>
            <w:noWrap/>
            <w:hideMark/>
          </w:tcPr>
          <w:p w14:paraId="1788AEC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3.15</w:t>
            </w:r>
          </w:p>
        </w:tc>
        <w:tc>
          <w:tcPr>
            <w:tcW w:w="834" w:type="dxa"/>
            <w:noWrap/>
            <w:hideMark/>
          </w:tcPr>
          <w:p w14:paraId="71A6E96D" w14:textId="7B6E7B8F"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w:t>
            </w:r>
            <w:r w:rsidR="00D521F8" w:rsidRPr="009B605C">
              <w:rPr>
                <w:rFonts w:ascii="Cambria" w:hAnsi="Cambria"/>
                <w:color w:val="000000"/>
                <w:sz w:val="20"/>
                <w:szCs w:val="20"/>
              </w:rPr>
              <w:t>.00</w:t>
            </w:r>
          </w:p>
        </w:tc>
        <w:tc>
          <w:tcPr>
            <w:tcW w:w="984" w:type="dxa"/>
            <w:noWrap/>
            <w:hideMark/>
          </w:tcPr>
          <w:p w14:paraId="2B55FD9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7.17</w:t>
            </w:r>
          </w:p>
        </w:tc>
        <w:tc>
          <w:tcPr>
            <w:tcW w:w="811" w:type="dxa"/>
            <w:noWrap/>
            <w:hideMark/>
          </w:tcPr>
          <w:p w14:paraId="1CEDB75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75.93</w:t>
            </w:r>
          </w:p>
        </w:tc>
        <w:tc>
          <w:tcPr>
            <w:tcW w:w="989" w:type="dxa"/>
            <w:noWrap/>
            <w:hideMark/>
          </w:tcPr>
          <w:p w14:paraId="66A01EC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3.68</w:t>
            </w:r>
          </w:p>
        </w:tc>
        <w:tc>
          <w:tcPr>
            <w:tcW w:w="1190" w:type="dxa"/>
            <w:noWrap/>
            <w:hideMark/>
          </w:tcPr>
          <w:p w14:paraId="27C9E11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24.07</w:t>
            </w:r>
          </w:p>
        </w:tc>
      </w:tr>
      <w:tr w:rsidR="00226362" w:rsidRPr="009B605C" w14:paraId="58B93058" w14:textId="77777777" w:rsidTr="00D9004E">
        <w:trPr>
          <w:trHeight w:val="340"/>
        </w:trPr>
        <w:tc>
          <w:tcPr>
            <w:tcW w:w="1419" w:type="dxa"/>
            <w:noWrap/>
            <w:hideMark/>
          </w:tcPr>
          <w:p w14:paraId="1B415C55"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Crypto</w:t>
            </w:r>
          </w:p>
        </w:tc>
        <w:tc>
          <w:tcPr>
            <w:tcW w:w="872" w:type="dxa"/>
            <w:noWrap/>
            <w:hideMark/>
          </w:tcPr>
          <w:p w14:paraId="357FDBFB" w14:textId="5DE8EB98"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w:t>
            </w:r>
            <w:r w:rsidR="00D521F8" w:rsidRPr="009B605C">
              <w:rPr>
                <w:rFonts w:ascii="Cambria" w:hAnsi="Cambria"/>
                <w:color w:val="000000"/>
                <w:sz w:val="20"/>
                <w:szCs w:val="20"/>
              </w:rPr>
              <w:t>0</w:t>
            </w:r>
          </w:p>
        </w:tc>
        <w:tc>
          <w:tcPr>
            <w:tcW w:w="1001" w:type="dxa"/>
            <w:noWrap/>
            <w:hideMark/>
          </w:tcPr>
          <w:p w14:paraId="0527016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2.93</w:t>
            </w:r>
          </w:p>
        </w:tc>
        <w:tc>
          <w:tcPr>
            <w:tcW w:w="865" w:type="dxa"/>
            <w:noWrap/>
            <w:hideMark/>
          </w:tcPr>
          <w:p w14:paraId="446CADDF" w14:textId="41AD6DF8"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w:t>
            </w:r>
            <w:r w:rsidR="00D521F8" w:rsidRPr="009B605C">
              <w:rPr>
                <w:rFonts w:ascii="Cambria" w:hAnsi="Cambria"/>
                <w:color w:val="000000"/>
                <w:sz w:val="20"/>
                <w:szCs w:val="20"/>
              </w:rPr>
              <w:t>0</w:t>
            </w:r>
          </w:p>
        </w:tc>
        <w:tc>
          <w:tcPr>
            <w:tcW w:w="891" w:type="dxa"/>
            <w:noWrap/>
            <w:hideMark/>
          </w:tcPr>
          <w:p w14:paraId="1857105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2.32</w:t>
            </w:r>
          </w:p>
        </w:tc>
        <w:tc>
          <w:tcPr>
            <w:tcW w:w="815" w:type="dxa"/>
            <w:noWrap/>
            <w:hideMark/>
          </w:tcPr>
          <w:p w14:paraId="5F1B9D2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2.41</w:t>
            </w:r>
          </w:p>
        </w:tc>
        <w:tc>
          <w:tcPr>
            <w:tcW w:w="769" w:type="dxa"/>
            <w:noWrap/>
            <w:hideMark/>
          </w:tcPr>
          <w:p w14:paraId="41687AB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2.79</w:t>
            </w:r>
          </w:p>
        </w:tc>
        <w:tc>
          <w:tcPr>
            <w:tcW w:w="938" w:type="dxa"/>
            <w:noWrap/>
            <w:hideMark/>
          </w:tcPr>
          <w:p w14:paraId="6038BC5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84.36</w:t>
            </w:r>
          </w:p>
        </w:tc>
        <w:tc>
          <w:tcPr>
            <w:tcW w:w="1190" w:type="dxa"/>
            <w:noWrap/>
            <w:hideMark/>
          </w:tcPr>
          <w:p w14:paraId="7B9EF54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15.64</w:t>
            </w:r>
          </w:p>
        </w:tc>
        <w:tc>
          <w:tcPr>
            <w:tcW w:w="818" w:type="dxa"/>
            <w:noWrap/>
            <w:hideMark/>
          </w:tcPr>
          <w:p w14:paraId="1C33A4A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5.03</w:t>
            </w:r>
          </w:p>
        </w:tc>
        <w:tc>
          <w:tcPr>
            <w:tcW w:w="939" w:type="dxa"/>
            <w:noWrap/>
            <w:hideMark/>
          </w:tcPr>
          <w:p w14:paraId="0440F6E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3.45</w:t>
            </w:r>
          </w:p>
        </w:tc>
        <w:tc>
          <w:tcPr>
            <w:tcW w:w="811" w:type="dxa"/>
            <w:noWrap/>
            <w:hideMark/>
          </w:tcPr>
          <w:p w14:paraId="4B4C0FD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2.77</w:t>
            </w:r>
          </w:p>
        </w:tc>
        <w:tc>
          <w:tcPr>
            <w:tcW w:w="834" w:type="dxa"/>
            <w:noWrap/>
            <w:hideMark/>
          </w:tcPr>
          <w:p w14:paraId="4009BAB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2.32</w:t>
            </w:r>
          </w:p>
        </w:tc>
        <w:tc>
          <w:tcPr>
            <w:tcW w:w="984" w:type="dxa"/>
            <w:noWrap/>
            <w:hideMark/>
          </w:tcPr>
          <w:p w14:paraId="504C32F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3.56</w:t>
            </w:r>
          </w:p>
        </w:tc>
        <w:tc>
          <w:tcPr>
            <w:tcW w:w="811" w:type="dxa"/>
            <w:noWrap/>
            <w:hideMark/>
          </w:tcPr>
          <w:p w14:paraId="164B90E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3.77</w:t>
            </w:r>
          </w:p>
        </w:tc>
        <w:tc>
          <w:tcPr>
            <w:tcW w:w="989" w:type="dxa"/>
            <w:noWrap/>
            <w:hideMark/>
          </w:tcPr>
          <w:p w14:paraId="6C020A9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79.09</w:t>
            </w:r>
          </w:p>
        </w:tc>
        <w:tc>
          <w:tcPr>
            <w:tcW w:w="1190" w:type="dxa"/>
            <w:noWrap/>
            <w:hideMark/>
          </w:tcPr>
          <w:p w14:paraId="255C15B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20.91</w:t>
            </w:r>
          </w:p>
        </w:tc>
      </w:tr>
      <w:tr w:rsidR="00226362" w:rsidRPr="009B605C" w14:paraId="7EE3DE24" w14:textId="77777777" w:rsidTr="00D9004E">
        <w:trPr>
          <w:trHeight w:val="340"/>
        </w:trPr>
        <w:tc>
          <w:tcPr>
            <w:tcW w:w="1419" w:type="dxa"/>
            <w:noWrap/>
            <w:hideMark/>
          </w:tcPr>
          <w:p w14:paraId="53808246"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TO</w:t>
            </w:r>
          </w:p>
        </w:tc>
        <w:tc>
          <w:tcPr>
            <w:tcW w:w="872" w:type="dxa"/>
            <w:noWrap/>
            <w:hideMark/>
          </w:tcPr>
          <w:p w14:paraId="04129D4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23.41</w:t>
            </w:r>
          </w:p>
        </w:tc>
        <w:tc>
          <w:tcPr>
            <w:tcW w:w="1001" w:type="dxa"/>
            <w:noWrap/>
            <w:hideMark/>
          </w:tcPr>
          <w:p w14:paraId="5927C10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29.83</w:t>
            </w:r>
          </w:p>
        </w:tc>
        <w:tc>
          <w:tcPr>
            <w:tcW w:w="865" w:type="dxa"/>
            <w:noWrap/>
            <w:hideMark/>
          </w:tcPr>
          <w:p w14:paraId="6525BB8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27.04</w:t>
            </w:r>
          </w:p>
        </w:tc>
        <w:tc>
          <w:tcPr>
            <w:tcW w:w="891" w:type="dxa"/>
            <w:noWrap/>
            <w:hideMark/>
          </w:tcPr>
          <w:p w14:paraId="73991A6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18.75</w:t>
            </w:r>
          </w:p>
        </w:tc>
        <w:tc>
          <w:tcPr>
            <w:tcW w:w="815" w:type="dxa"/>
            <w:noWrap/>
            <w:hideMark/>
          </w:tcPr>
          <w:p w14:paraId="5396461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36.35</w:t>
            </w:r>
          </w:p>
        </w:tc>
        <w:tc>
          <w:tcPr>
            <w:tcW w:w="769" w:type="dxa"/>
            <w:noWrap/>
            <w:hideMark/>
          </w:tcPr>
          <w:p w14:paraId="470AEEF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16.65</w:t>
            </w:r>
          </w:p>
        </w:tc>
        <w:tc>
          <w:tcPr>
            <w:tcW w:w="938" w:type="dxa"/>
            <w:noWrap/>
            <w:hideMark/>
          </w:tcPr>
          <w:p w14:paraId="097F409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14.01</w:t>
            </w:r>
          </w:p>
        </w:tc>
        <w:tc>
          <w:tcPr>
            <w:tcW w:w="1190" w:type="dxa"/>
            <w:noWrap/>
            <w:hideMark/>
          </w:tcPr>
          <w:p w14:paraId="71DCE0A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166.04</w:t>
            </w:r>
          </w:p>
        </w:tc>
        <w:tc>
          <w:tcPr>
            <w:tcW w:w="818" w:type="dxa"/>
            <w:noWrap/>
            <w:hideMark/>
          </w:tcPr>
          <w:p w14:paraId="41A348AD" w14:textId="5F291E9E"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25.3</w:t>
            </w:r>
            <w:r w:rsidR="00D521F8" w:rsidRPr="009B605C">
              <w:rPr>
                <w:rFonts w:ascii="Cambria" w:hAnsi="Cambria"/>
                <w:color w:val="000000"/>
                <w:sz w:val="20"/>
                <w:szCs w:val="20"/>
              </w:rPr>
              <w:t>0</w:t>
            </w:r>
          </w:p>
        </w:tc>
        <w:tc>
          <w:tcPr>
            <w:tcW w:w="939" w:type="dxa"/>
            <w:noWrap/>
            <w:hideMark/>
          </w:tcPr>
          <w:p w14:paraId="3027DEC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16.5</w:t>
            </w:r>
          </w:p>
        </w:tc>
        <w:tc>
          <w:tcPr>
            <w:tcW w:w="811" w:type="dxa"/>
            <w:noWrap/>
            <w:hideMark/>
          </w:tcPr>
          <w:p w14:paraId="049B430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18.85</w:t>
            </w:r>
          </w:p>
        </w:tc>
        <w:tc>
          <w:tcPr>
            <w:tcW w:w="834" w:type="dxa"/>
            <w:noWrap/>
            <w:hideMark/>
          </w:tcPr>
          <w:p w14:paraId="5367343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18.48</w:t>
            </w:r>
          </w:p>
        </w:tc>
        <w:tc>
          <w:tcPr>
            <w:tcW w:w="984" w:type="dxa"/>
            <w:noWrap/>
            <w:hideMark/>
          </w:tcPr>
          <w:p w14:paraId="394BFA0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33.86</w:t>
            </w:r>
          </w:p>
        </w:tc>
        <w:tc>
          <w:tcPr>
            <w:tcW w:w="811" w:type="dxa"/>
            <w:noWrap/>
            <w:hideMark/>
          </w:tcPr>
          <w:p w14:paraId="32C4A22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24.37</w:t>
            </w:r>
          </w:p>
        </w:tc>
        <w:tc>
          <w:tcPr>
            <w:tcW w:w="989" w:type="dxa"/>
            <w:noWrap/>
            <w:hideMark/>
          </w:tcPr>
          <w:p w14:paraId="3C8DC5C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20.36</w:t>
            </w:r>
          </w:p>
        </w:tc>
        <w:tc>
          <w:tcPr>
            <w:tcW w:w="1190" w:type="dxa"/>
            <w:noWrap/>
            <w:hideMark/>
          </w:tcPr>
          <w:p w14:paraId="25E936B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157.73</w:t>
            </w:r>
          </w:p>
        </w:tc>
      </w:tr>
      <w:tr w:rsidR="00226362" w:rsidRPr="009B605C" w14:paraId="2310A2BC" w14:textId="77777777" w:rsidTr="00D9004E">
        <w:trPr>
          <w:trHeight w:val="340"/>
        </w:trPr>
        <w:tc>
          <w:tcPr>
            <w:tcW w:w="1419" w:type="dxa"/>
            <w:noWrap/>
            <w:hideMark/>
          </w:tcPr>
          <w:p w14:paraId="06CE13FA"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NET</w:t>
            </w:r>
          </w:p>
        </w:tc>
        <w:tc>
          <w:tcPr>
            <w:tcW w:w="872" w:type="dxa"/>
            <w:noWrap/>
            <w:hideMark/>
          </w:tcPr>
          <w:p w14:paraId="2AE10BE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-0.65</w:t>
            </w:r>
          </w:p>
        </w:tc>
        <w:tc>
          <w:tcPr>
            <w:tcW w:w="1001" w:type="dxa"/>
            <w:noWrap/>
            <w:hideMark/>
          </w:tcPr>
          <w:p w14:paraId="16926B9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0.89</w:t>
            </w:r>
          </w:p>
        </w:tc>
        <w:tc>
          <w:tcPr>
            <w:tcW w:w="865" w:type="dxa"/>
            <w:noWrap/>
            <w:hideMark/>
          </w:tcPr>
          <w:p w14:paraId="0A36756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0.59</w:t>
            </w:r>
          </w:p>
        </w:tc>
        <w:tc>
          <w:tcPr>
            <w:tcW w:w="891" w:type="dxa"/>
            <w:noWrap/>
            <w:hideMark/>
          </w:tcPr>
          <w:p w14:paraId="6643637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-1.34</w:t>
            </w:r>
          </w:p>
        </w:tc>
        <w:tc>
          <w:tcPr>
            <w:tcW w:w="815" w:type="dxa"/>
            <w:noWrap/>
            <w:hideMark/>
          </w:tcPr>
          <w:p w14:paraId="424C6F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3.69</w:t>
            </w:r>
          </w:p>
        </w:tc>
        <w:tc>
          <w:tcPr>
            <w:tcW w:w="769" w:type="dxa"/>
            <w:noWrap/>
            <w:hideMark/>
          </w:tcPr>
          <w:p w14:paraId="0951F71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-1.56</w:t>
            </w:r>
          </w:p>
        </w:tc>
        <w:tc>
          <w:tcPr>
            <w:tcW w:w="938" w:type="dxa"/>
            <w:noWrap/>
            <w:hideMark/>
          </w:tcPr>
          <w:p w14:paraId="28816D8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-1.63</w:t>
            </w:r>
          </w:p>
        </w:tc>
        <w:tc>
          <w:tcPr>
            <w:tcW w:w="1190" w:type="dxa"/>
            <w:noWrap/>
            <w:hideMark/>
          </w:tcPr>
          <w:p w14:paraId="08546A2E"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TCI=23.72</w:t>
            </w:r>
          </w:p>
        </w:tc>
        <w:tc>
          <w:tcPr>
            <w:tcW w:w="818" w:type="dxa"/>
            <w:noWrap/>
            <w:hideMark/>
          </w:tcPr>
          <w:p w14:paraId="297A23C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0.69</w:t>
            </w:r>
          </w:p>
        </w:tc>
        <w:tc>
          <w:tcPr>
            <w:tcW w:w="939" w:type="dxa"/>
            <w:noWrap/>
            <w:hideMark/>
          </w:tcPr>
          <w:p w14:paraId="4DBB648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w:t>
            </w:r>
          </w:p>
        </w:tc>
        <w:tc>
          <w:tcPr>
            <w:tcW w:w="811" w:type="dxa"/>
            <w:noWrap/>
            <w:hideMark/>
          </w:tcPr>
          <w:p w14:paraId="290D7E9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-1.27</w:t>
            </w:r>
          </w:p>
        </w:tc>
        <w:tc>
          <w:tcPr>
            <w:tcW w:w="834" w:type="dxa"/>
            <w:noWrap/>
            <w:hideMark/>
          </w:tcPr>
          <w:p w14:paraId="05BD587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-1.58</w:t>
            </w:r>
          </w:p>
        </w:tc>
        <w:tc>
          <w:tcPr>
            <w:tcW w:w="984" w:type="dxa"/>
            <w:noWrap/>
            <w:hideMark/>
          </w:tcPr>
          <w:p w14:paraId="4BF8AF1E" w14:textId="753CA499"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3.5</w:t>
            </w:r>
            <w:r w:rsidR="006C1359" w:rsidRPr="009B605C">
              <w:rPr>
                <w:rFonts w:ascii="Cambria" w:hAnsi="Cambria"/>
                <w:color w:val="000000"/>
                <w:sz w:val="20"/>
                <w:szCs w:val="20"/>
              </w:rPr>
              <w:t>0</w:t>
            </w:r>
          </w:p>
        </w:tc>
        <w:tc>
          <w:tcPr>
            <w:tcW w:w="811" w:type="dxa"/>
            <w:noWrap/>
            <w:hideMark/>
          </w:tcPr>
          <w:p w14:paraId="1E62E77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0.31</w:t>
            </w:r>
          </w:p>
        </w:tc>
        <w:tc>
          <w:tcPr>
            <w:tcW w:w="989" w:type="dxa"/>
            <w:noWrap/>
            <w:hideMark/>
          </w:tcPr>
          <w:p w14:paraId="5356AAB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-0.54</w:t>
            </w:r>
          </w:p>
        </w:tc>
        <w:tc>
          <w:tcPr>
            <w:tcW w:w="1190" w:type="dxa"/>
            <w:noWrap/>
            <w:hideMark/>
          </w:tcPr>
          <w:p w14:paraId="3EDF9980"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TCI=22.53</w:t>
            </w:r>
          </w:p>
        </w:tc>
      </w:tr>
      <w:tr w:rsidR="00226362" w:rsidRPr="009B605C" w14:paraId="4B2C0942" w14:textId="77777777" w:rsidTr="00D9004E">
        <w:trPr>
          <w:trHeight w:val="340"/>
        </w:trPr>
        <w:tc>
          <w:tcPr>
            <w:tcW w:w="5048" w:type="dxa"/>
            <w:gridSpan w:val="5"/>
            <w:noWrap/>
            <w:hideMark/>
          </w:tcPr>
          <w:p w14:paraId="503FDAF7"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Panel B. Spillover at extreme lower quantile (</w:t>
            </w:r>
            <w:bookmarkStart w:id="16" w:name="_Hlk184557631"/>
            <w:r w:rsidRPr="009B605C">
              <w:rPr>
                <w:rFonts w:ascii="Cambria" w:hAnsi="Cambria"/>
                <w:b/>
                <w:bCs/>
                <w:color w:val="000000"/>
                <w:sz w:val="20"/>
                <w:szCs w:val="20"/>
              </w:rPr>
              <w:t xml:space="preserve">τ </w:t>
            </w:r>
            <w:bookmarkEnd w:id="16"/>
            <w:r w:rsidRPr="009B605C">
              <w:rPr>
                <w:rFonts w:ascii="Cambria" w:hAnsi="Cambria"/>
                <w:b/>
                <w:bCs/>
                <w:color w:val="000000"/>
                <w:sz w:val="20"/>
                <w:szCs w:val="20"/>
              </w:rPr>
              <w:t>=0.05)</w:t>
            </w:r>
          </w:p>
        </w:tc>
        <w:tc>
          <w:tcPr>
            <w:tcW w:w="815" w:type="dxa"/>
            <w:noWrap/>
            <w:hideMark/>
          </w:tcPr>
          <w:p w14:paraId="3CC01950" w14:textId="77777777" w:rsidR="00226362" w:rsidRPr="009B605C" w:rsidRDefault="00226362" w:rsidP="0087752F">
            <w:pPr>
              <w:rPr>
                <w:rFonts w:ascii="Cambria" w:hAnsi="Cambria"/>
                <w:b/>
                <w:bCs/>
                <w:color w:val="000000"/>
                <w:sz w:val="20"/>
                <w:szCs w:val="20"/>
              </w:rPr>
            </w:pPr>
          </w:p>
        </w:tc>
        <w:tc>
          <w:tcPr>
            <w:tcW w:w="769" w:type="dxa"/>
            <w:noWrap/>
            <w:hideMark/>
          </w:tcPr>
          <w:p w14:paraId="3097D4E6" w14:textId="77777777" w:rsidR="00226362" w:rsidRPr="009B605C" w:rsidRDefault="00226362" w:rsidP="0087752F">
            <w:pPr>
              <w:rPr>
                <w:rFonts w:ascii="Cambria" w:hAnsi="Cambria"/>
                <w:sz w:val="20"/>
                <w:szCs w:val="20"/>
              </w:rPr>
            </w:pPr>
          </w:p>
        </w:tc>
        <w:tc>
          <w:tcPr>
            <w:tcW w:w="938" w:type="dxa"/>
            <w:noWrap/>
            <w:hideMark/>
          </w:tcPr>
          <w:p w14:paraId="4BCF564B" w14:textId="77777777" w:rsidR="00226362" w:rsidRPr="009B605C" w:rsidRDefault="00226362" w:rsidP="0087752F">
            <w:pPr>
              <w:rPr>
                <w:rFonts w:ascii="Cambria" w:hAnsi="Cambria"/>
                <w:sz w:val="20"/>
                <w:szCs w:val="20"/>
              </w:rPr>
            </w:pPr>
          </w:p>
        </w:tc>
        <w:tc>
          <w:tcPr>
            <w:tcW w:w="1190" w:type="dxa"/>
            <w:noWrap/>
            <w:hideMark/>
          </w:tcPr>
          <w:p w14:paraId="6C2E53CF" w14:textId="77777777" w:rsidR="00226362" w:rsidRPr="009B605C" w:rsidRDefault="00226362" w:rsidP="0087752F">
            <w:pPr>
              <w:rPr>
                <w:rFonts w:ascii="Cambria" w:hAnsi="Cambria"/>
                <w:sz w:val="20"/>
                <w:szCs w:val="20"/>
              </w:rPr>
            </w:pPr>
          </w:p>
        </w:tc>
        <w:tc>
          <w:tcPr>
            <w:tcW w:w="818" w:type="dxa"/>
            <w:noWrap/>
            <w:hideMark/>
          </w:tcPr>
          <w:p w14:paraId="485220DD" w14:textId="77777777" w:rsidR="00226362" w:rsidRPr="009B605C" w:rsidRDefault="00226362" w:rsidP="0087752F">
            <w:pPr>
              <w:rPr>
                <w:rFonts w:ascii="Cambria" w:hAnsi="Cambria"/>
                <w:sz w:val="20"/>
                <w:szCs w:val="20"/>
              </w:rPr>
            </w:pPr>
          </w:p>
        </w:tc>
        <w:tc>
          <w:tcPr>
            <w:tcW w:w="939" w:type="dxa"/>
            <w:noWrap/>
            <w:hideMark/>
          </w:tcPr>
          <w:p w14:paraId="11C39116" w14:textId="77777777" w:rsidR="00226362" w:rsidRPr="009B605C" w:rsidRDefault="00226362" w:rsidP="0087752F">
            <w:pPr>
              <w:rPr>
                <w:rFonts w:ascii="Cambria" w:hAnsi="Cambria"/>
                <w:sz w:val="20"/>
                <w:szCs w:val="20"/>
              </w:rPr>
            </w:pPr>
          </w:p>
        </w:tc>
        <w:tc>
          <w:tcPr>
            <w:tcW w:w="811" w:type="dxa"/>
            <w:noWrap/>
            <w:hideMark/>
          </w:tcPr>
          <w:p w14:paraId="16A1A175" w14:textId="77777777" w:rsidR="00226362" w:rsidRPr="009B605C" w:rsidRDefault="00226362" w:rsidP="0087752F">
            <w:pPr>
              <w:rPr>
                <w:rFonts w:ascii="Cambria" w:hAnsi="Cambria"/>
                <w:sz w:val="20"/>
                <w:szCs w:val="20"/>
              </w:rPr>
            </w:pPr>
          </w:p>
        </w:tc>
        <w:tc>
          <w:tcPr>
            <w:tcW w:w="834" w:type="dxa"/>
            <w:noWrap/>
            <w:hideMark/>
          </w:tcPr>
          <w:p w14:paraId="51BBBC47" w14:textId="77777777" w:rsidR="00226362" w:rsidRPr="009B605C" w:rsidRDefault="00226362" w:rsidP="0087752F">
            <w:pPr>
              <w:rPr>
                <w:rFonts w:ascii="Cambria" w:hAnsi="Cambria"/>
                <w:sz w:val="20"/>
                <w:szCs w:val="20"/>
              </w:rPr>
            </w:pPr>
          </w:p>
        </w:tc>
        <w:tc>
          <w:tcPr>
            <w:tcW w:w="984" w:type="dxa"/>
            <w:noWrap/>
            <w:hideMark/>
          </w:tcPr>
          <w:p w14:paraId="2A32C12B" w14:textId="77777777" w:rsidR="00226362" w:rsidRPr="009B605C" w:rsidRDefault="00226362" w:rsidP="0087752F">
            <w:pPr>
              <w:rPr>
                <w:rFonts w:ascii="Cambria" w:hAnsi="Cambria"/>
                <w:sz w:val="20"/>
                <w:szCs w:val="20"/>
              </w:rPr>
            </w:pPr>
          </w:p>
        </w:tc>
        <w:tc>
          <w:tcPr>
            <w:tcW w:w="811" w:type="dxa"/>
            <w:noWrap/>
            <w:hideMark/>
          </w:tcPr>
          <w:p w14:paraId="78294C22" w14:textId="77777777" w:rsidR="00226362" w:rsidRPr="009B605C" w:rsidRDefault="00226362" w:rsidP="0087752F">
            <w:pPr>
              <w:rPr>
                <w:rFonts w:ascii="Cambria" w:hAnsi="Cambria"/>
                <w:sz w:val="20"/>
                <w:szCs w:val="20"/>
              </w:rPr>
            </w:pPr>
          </w:p>
        </w:tc>
        <w:tc>
          <w:tcPr>
            <w:tcW w:w="989" w:type="dxa"/>
            <w:noWrap/>
            <w:hideMark/>
          </w:tcPr>
          <w:p w14:paraId="635AB96C" w14:textId="77777777" w:rsidR="00226362" w:rsidRPr="009B605C" w:rsidRDefault="00226362" w:rsidP="0087752F">
            <w:pPr>
              <w:rPr>
                <w:rFonts w:ascii="Cambria" w:hAnsi="Cambria"/>
                <w:sz w:val="20"/>
                <w:szCs w:val="20"/>
              </w:rPr>
            </w:pPr>
          </w:p>
        </w:tc>
        <w:tc>
          <w:tcPr>
            <w:tcW w:w="1190" w:type="dxa"/>
            <w:noWrap/>
            <w:hideMark/>
          </w:tcPr>
          <w:p w14:paraId="2A8854DA" w14:textId="77777777" w:rsidR="00226362" w:rsidRPr="009B605C" w:rsidRDefault="00226362" w:rsidP="0087752F">
            <w:pPr>
              <w:rPr>
                <w:rFonts w:ascii="Cambria" w:hAnsi="Cambria"/>
                <w:sz w:val="20"/>
                <w:szCs w:val="20"/>
              </w:rPr>
            </w:pPr>
          </w:p>
        </w:tc>
      </w:tr>
      <w:tr w:rsidR="00226362" w:rsidRPr="009B605C" w14:paraId="5227B491" w14:textId="77777777" w:rsidTr="00D9004E">
        <w:trPr>
          <w:trHeight w:val="340"/>
        </w:trPr>
        <w:tc>
          <w:tcPr>
            <w:tcW w:w="1419" w:type="dxa"/>
            <w:noWrap/>
            <w:hideMark/>
          </w:tcPr>
          <w:p w14:paraId="736C0F8D"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Brazil</w:t>
            </w:r>
          </w:p>
        </w:tc>
        <w:tc>
          <w:tcPr>
            <w:tcW w:w="872" w:type="dxa"/>
            <w:noWrap/>
            <w:hideMark/>
          </w:tcPr>
          <w:p w14:paraId="139D879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30.94</w:t>
            </w:r>
          </w:p>
        </w:tc>
        <w:tc>
          <w:tcPr>
            <w:tcW w:w="1001" w:type="dxa"/>
            <w:noWrap/>
            <w:hideMark/>
          </w:tcPr>
          <w:p w14:paraId="1D68616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12.88</w:t>
            </w:r>
          </w:p>
        </w:tc>
        <w:tc>
          <w:tcPr>
            <w:tcW w:w="865" w:type="dxa"/>
            <w:noWrap/>
            <w:hideMark/>
          </w:tcPr>
          <w:p w14:paraId="486CD42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11.97</w:t>
            </w:r>
          </w:p>
        </w:tc>
        <w:tc>
          <w:tcPr>
            <w:tcW w:w="891" w:type="dxa"/>
            <w:noWrap/>
            <w:hideMark/>
          </w:tcPr>
          <w:p w14:paraId="1213B70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10.82</w:t>
            </w:r>
          </w:p>
        </w:tc>
        <w:tc>
          <w:tcPr>
            <w:tcW w:w="815" w:type="dxa"/>
            <w:noWrap/>
            <w:hideMark/>
          </w:tcPr>
          <w:p w14:paraId="19627A97" w14:textId="722F1D58"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13.3</w:t>
            </w:r>
            <w:r w:rsidR="00D521F8" w:rsidRPr="009B605C">
              <w:rPr>
                <w:rFonts w:ascii="Cambria" w:hAnsi="Cambria"/>
                <w:color w:val="000000"/>
                <w:sz w:val="20"/>
                <w:szCs w:val="20"/>
              </w:rPr>
              <w:t>0</w:t>
            </w:r>
          </w:p>
        </w:tc>
        <w:tc>
          <w:tcPr>
            <w:tcW w:w="769" w:type="dxa"/>
            <w:noWrap/>
            <w:hideMark/>
          </w:tcPr>
          <w:p w14:paraId="7205B8E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9.93</w:t>
            </w:r>
          </w:p>
        </w:tc>
        <w:tc>
          <w:tcPr>
            <w:tcW w:w="938" w:type="dxa"/>
            <w:noWrap/>
            <w:hideMark/>
          </w:tcPr>
          <w:p w14:paraId="6093BC7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10.15</w:t>
            </w:r>
          </w:p>
        </w:tc>
        <w:tc>
          <w:tcPr>
            <w:tcW w:w="1190" w:type="dxa"/>
            <w:noWrap/>
            <w:hideMark/>
          </w:tcPr>
          <w:p w14:paraId="1EB27BA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69.06</w:t>
            </w:r>
          </w:p>
        </w:tc>
        <w:tc>
          <w:tcPr>
            <w:tcW w:w="818" w:type="dxa"/>
            <w:noWrap/>
            <w:hideMark/>
          </w:tcPr>
          <w:p w14:paraId="403E554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31.24</w:t>
            </w:r>
          </w:p>
        </w:tc>
        <w:tc>
          <w:tcPr>
            <w:tcW w:w="939" w:type="dxa"/>
            <w:noWrap/>
            <w:hideMark/>
          </w:tcPr>
          <w:p w14:paraId="325AC463" w14:textId="20C3B524"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10.1</w:t>
            </w:r>
            <w:r w:rsidR="00D521F8" w:rsidRPr="009B605C">
              <w:rPr>
                <w:rFonts w:ascii="Cambria" w:hAnsi="Cambria"/>
                <w:color w:val="000000"/>
                <w:sz w:val="20"/>
                <w:szCs w:val="20"/>
              </w:rPr>
              <w:t>0</w:t>
            </w:r>
          </w:p>
        </w:tc>
        <w:tc>
          <w:tcPr>
            <w:tcW w:w="811" w:type="dxa"/>
            <w:noWrap/>
            <w:hideMark/>
          </w:tcPr>
          <w:p w14:paraId="5F2CCEE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11.25</w:t>
            </w:r>
          </w:p>
        </w:tc>
        <w:tc>
          <w:tcPr>
            <w:tcW w:w="834" w:type="dxa"/>
            <w:noWrap/>
            <w:hideMark/>
          </w:tcPr>
          <w:p w14:paraId="550A2B9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10.56</w:t>
            </w:r>
          </w:p>
        </w:tc>
        <w:tc>
          <w:tcPr>
            <w:tcW w:w="984" w:type="dxa"/>
            <w:noWrap/>
            <w:hideMark/>
          </w:tcPr>
          <w:p w14:paraId="0237182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13.38</w:t>
            </w:r>
          </w:p>
        </w:tc>
        <w:tc>
          <w:tcPr>
            <w:tcW w:w="811" w:type="dxa"/>
            <w:noWrap/>
            <w:hideMark/>
          </w:tcPr>
          <w:p w14:paraId="16A5360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11.87</w:t>
            </w:r>
          </w:p>
        </w:tc>
        <w:tc>
          <w:tcPr>
            <w:tcW w:w="989" w:type="dxa"/>
            <w:noWrap/>
            <w:hideMark/>
          </w:tcPr>
          <w:p w14:paraId="5B1773E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11.61</w:t>
            </w:r>
          </w:p>
        </w:tc>
        <w:tc>
          <w:tcPr>
            <w:tcW w:w="1190" w:type="dxa"/>
            <w:noWrap/>
            <w:hideMark/>
          </w:tcPr>
          <w:p w14:paraId="2DC74ED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68.76</w:t>
            </w:r>
          </w:p>
        </w:tc>
      </w:tr>
      <w:tr w:rsidR="00226362" w:rsidRPr="009B605C" w14:paraId="2FAB170A" w14:textId="77777777" w:rsidTr="00D9004E">
        <w:trPr>
          <w:trHeight w:val="340"/>
        </w:trPr>
        <w:tc>
          <w:tcPr>
            <w:tcW w:w="1419" w:type="dxa"/>
            <w:noWrap/>
            <w:hideMark/>
          </w:tcPr>
          <w:p w14:paraId="5846F631"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Russia</w:t>
            </w:r>
          </w:p>
        </w:tc>
        <w:tc>
          <w:tcPr>
            <w:tcW w:w="872" w:type="dxa"/>
            <w:noWrap/>
            <w:hideMark/>
          </w:tcPr>
          <w:p w14:paraId="355F95A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12.66</w:t>
            </w:r>
          </w:p>
        </w:tc>
        <w:tc>
          <w:tcPr>
            <w:tcW w:w="1001" w:type="dxa"/>
            <w:noWrap/>
            <w:hideMark/>
          </w:tcPr>
          <w:p w14:paraId="2EFC4DE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30.47</w:t>
            </w:r>
          </w:p>
        </w:tc>
        <w:tc>
          <w:tcPr>
            <w:tcW w:w="865" w:type="dxa"/>
            <w:noWrap/>
            <w:hideMark/>
          </w:tcPr>
          <w:p w14:paraId="20457FE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12.24</w:t>
            </w:r>
          </w:p>
        </w:tc>
        <w:tc>
          <w:tcPr>
            <w:tcW w:w="891" w:type="dxa"/>
            <w:noWrap/>
            <w:hideMark/>
          </w:tcPr>
          <w:p w14:paraId="25483A0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10.66</w:t>
            </w:r>
          </w:p>
        </w:tc>
        <w:tc>
          <w:tcPr>
            <w:tcW w:w="815" w:type="dxa"/>
            <w:noWrap/>
            <w:hideMark/>
          </w:tcPr>
          <w:p w14:paraId="5EE6DD1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14.11</w:t>
            </w:r>
          </w:p>
        </w:tc>
        <w:tc>
          <w:tcPr>
            <w:tcW w:w="769" w:type="dxa"/>
            <w:noWrap/>
            <w:hideMark/>
          </w:tcPr>
          <w:p w14:paraId="59BD485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9.66</w:t>
            </w:r>
          </w:p>
        </w:tc>
        <w:tc>
          <w:tcPr>
            <w:tcW w:w="938" w:type="dxa"/>
            <w:noWrap/>
            <w:hideMark/>
          </w:tcPr>
          <w:p w14:paraId="4D8D5B9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10.21</w:t>
            </w:r>
          </w:p>
        </w:tc>
        <w:tc>
          <w:tcPr>
            <w:tcW w:w="1190" w:type="dxa"/>
            <w:noWrap/>
            <w:hideMark/>
          </w:tcPr>
          <w:p w14:paraId="43009BB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69.53</w:t>
            </w:r>
          </w:p>
        </w:tc>
        <w:tc>
          <w:tcPr>
            <w:tcW w:w="818" w:type="dxa"/>
            <w:noWrap/>
            <w:hideMark/>
          </w:tcPr>
          <w:p w14:paraId="09624A6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10.82</w:t>
            </w:r>
          </w:p>
        </w:tc>
        <w:tc>
          <w:tcPr>
            <w:tcW w:w="939" w:type="dxa"/>
            <w:noWrap/>
            <w:hideMark/>
          </w:tcPr>
          <w:p w14:paraId="1ACCBDC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33.36</w:t>
            </w:r>
          </w:p>
        </w:tc>
        <w:tc>
          <w:tcPr>
            <w:tcW w:w="811" w:type="dxa"/>
            <w:noWrap/>
            <w:hideMark/>
          </w:tcPr>
          <w:p w14:paraId="3B99B19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11.04</w:t>
            </w:r>
          </w:p>
        </w:tc>
        <w:tc>
          <w:tcPr>
            <w:tcW w:w="834" w:type="dxa"/>
            <w:noWrap/>
            <w:hideMark/>
          </w:tcPr>
          <w:p w14:paraId="123EEB7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11.42</w:t>
            </w:r>
          </w:p>
        </w:tc>
        <w:tc>
          <w:tcPr>
            <w:tcW w:w="984" w:type="dxa"/>
            <w:noWrap/>
            <w:hideMark/>
          </w:tcPr>
          <w:p w14:paraId="12DAEBA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11.64</w:t>
            </w:r>
          </w:p>
        </w:tc>
        <w:tc>
          <w:tcPr>
            <w:tcW w:w="811" w:type="dxa"/>
            <w:noWrap/>
            <w:hideMark/>
          </w:tcPr>
          <w:p w14:paraId="738F0F7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11.29</w:t>
            </w:r>
          </w:p>
        </w:tc>
        <w:tc>
          <w:tcPr>
            <w:tcW w:w="989" w:type="dxa"/>
            <w:noWrap/>
            <w:hideMark/>
          </w:tcPr>
          <w:p w14:paraId="5251A2C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10.42</w:t>
            </w:r>
          </w:p>
        </w:tc>
        <w:tc>
          <w:tcPr>
            <w:tcW w:w="1190" w:type="dxa"/>
            <w:noWrap/>
            <w:hideMark/>
          </w:tcPr>
          <w:p w14:paraId="20DF401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66.64</w:t>
            </w:r>
          </w:p>
        </w:tc>
      </w:tr>
      <w:tr w:rsidR="00226362" w:rsidRPr="009B605C" w14:paraId="516C3245" w14:textId="77777777" w:rsidTr="00D9004E">
        <w:trPr>
          <w:trHeight w:val="340"/>
        </w:trPr>
        <w:tc>
          <w:tcPr>
            <w:tcW w:w="1419" w:type="dxa"/>
            <w:noWrap/>
            <w:hideMark/>
          </w:tcPr>
          <w:p w14:paraId="519F9C32"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India</w:t>
            </w:r>
          </w:p>
        </w:tc>
        <w:tc>
          <w:tcPr>
            <w:tcW w:w="872" w:type="dxa"/>
            <w:noWrap/>
            <w:hideMark/>
          </w:tcPr>
          <w:p w14:paraId="7338018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11.93</w:t>
            </w:r>
          </w:p>
        </w:tc>
        <w:tc>
          <w:tcPr>
            <w:tcW w:w="1001" w:type="dxa"/>
            <w:noWrap/>
            <w:hideMark/>
          </w:tcPr>
          <w:p w14:paraId="469F904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12.42</w:t>
            </w:r>
          </w:p>
        </w:tc>
        <w:tc>
          <w:tcPr>
            <w:tcW w:w="865" w:type="dxa"/>
            <w:noWrap/>
            <w:hideMark/>
          </w:tcPr>
          <w:p w14:paraId="726FC85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30.91</w:t>
            </w:r>
          </w:p>
        </w:tc>
        <w:tc>
          <w:tcPr>
            <w:tcW w:w="891" w:type="dxa"/>
            <w:noWrap/>
            <w:hideMark/>
          </w:tcPr>
          <w:p w14:paraId="4565A0C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11.69</w:t>
            </w:r>
          </w:p>
        </w:tc>
        <w:tc>
          <w:tcPr>
            <w:tcW w:w="815" w:type="dxa"/>
            <w:noWrap/>
            <w:hideMark/>
          </w:tcPr>
          <w:p w14:paraId="66D6A13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14.02</w:t>
            </w:r>
          </w:p>
        </w:tc>
        <w:tc>
          <w:tcPr>
            <w:tcW w:w="769" w:type="dxa"/>
            <w:noWrap/>
            <w:hideMark/>
          </w:tcPr>
          <w:p w14:paraId="52F4163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9.54</w:t>
            </w:r>
          </w:p>
        </w:tc>
        <w:tc>
          <w:tcPr>
            <w:tcW w:w="938" w:type="dxa"/>
            <w:noWrap/>
            <w:hideMark/>
          </w:tcPr>
          <w:p w14:paraId="79054E9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9.49</w:t>
            </w:r>
          </w:p>
        </w:tc>
        <w:tc>
          <w:tcPr>
            <w:tcW w:w="1190" w:type="dxa"/>
            <w:noWrap/>
            <w:hideMark/>
          </w:tcPr>
          <w:p w14:paraId="5BA5C8E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69.09</w:t>
            </w:r>
          </w:p>
        </w:tc>
        <w:tc>
          <w:tcPr>
            <w:tcW w:w="818" w:type="dxa"/>
            <w:noWrap/>
            <w:hideMark/>
          </w:tcPr>
          <w:p w14:paraId="021A41E2" w14:textId="4F411E75"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w:t>
            </w:r>
            <w:r w:rsidR="00D521F8" w:rsidRPr="009B605C">
              <w:rPr>
                <w:rFonts w:ascii="Cambria" w:hAnsi="Cambria"/>
                <w:color w:val="000000"/>
                <w:sz w:val="20"/>
                <w:szCs w:val="20"/>
              </w:rPr>
              <w:t>0</w:t>
            </w:r>
          </w:p>
        </w:tc>
        <w:tc>
          <w:tcPr>
            <w:tcW w:w="939" w:type="dxa"/>
            <w:noWrap/>
            <w:hideMark/>
          </w:tcPr>
          <w:p w14:paraId="445E326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10.54</w:t>
            </w:r>
          </w:p>
        </w:tc>
        <w:tc>
          <w:tcPr>
            <w:tcW w:w="811" w:type="dxa"/>
            <w:noWrap/>
            <w:hideMark/>
          </w:tcPr>
          <w:p w14:paraId="6CC04ED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31.76</w:t>
            </w:r>
          </w:p>
        </w:tc>
        <w:tc>
          <w:tcPr>
            <w:tcW w:w="834" w:type="dxa"/>
            <w:noWrap/>
            <w:hideMark/>
          </w:tcPr>
          <w:p w14:paraId="289D928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11.11</w:t>
            </w:r>
          </w:p>
        </w:tc>
        <w:tc>
          <w:tcPr>
            <w:tcW w:w="984" w:type="dxa"/>
            <w:noWrap/>
            <w:hideMark/>
          </w:tcPr>
          <w:p w14:paraId="400A37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13.18</w:t>
            </w:r>
          </w:p>
        </w:tc>
        <w:tc>
          <w:tcPr>
            <w:tcW w:w="811" w:type="dxa"/>
            <w:noWrap/>
            <w:hideMark/>
          </w:tcPr>
          <w:p w14:paraId="62F4A5A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11.57</w:t>
            </w:r>
          </w:p>
        </w:tc>
        <w:tc>
          <w:tcPr>
            <w:tcW w:w="989" w:type="dxa"/>
            <w:noWrap/>
            <w:hideMark/>
          </w:tcPr>
          <w:p w14:paraId="5E83B06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10.43</w:t>
            </w:r>
          </w:p>
        </w:tc>
        <w:tc>
          <w:tcPr>
            <w:tcW w:w="1190" w:type="dxa"/>
            <w:noWrap/>
            <w:hideMark/>
          </w:tcPr>
          <w:p w14:paraId="7D12B30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68.24</w:t>
            </w:r>
          </w:p>
        </w:tc>
      </w:tr>
      <w:tr w:rsidR="00226362" w:rsidRPr="009B605C" w14:paraId="3BE69E39" w14:textId="77777777" w:rsidTr="00D9004E">
        <w:trPr>
          <w:trHeight w:val="340"/>
        </w:trPr>
        <w:tc>
          <w:tcPr>
            <w:tcW w:w="1419" w:type="dxa"/>
            <w:noWrap/>
            <w:hideMark/>
          </w:tcPr>
          <w:p w14:paraId="3ED16997"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China</w:t>
            </w:r>
          </w:p>
        </w:tc>
        <w:tc>
          <w:tcPr>
            <w:tcW w:w="872" w:type="dxa"/>
            <w:noWrap/>
            <w:hideMark/>
          </w:tcPr>
          <w:p w14:paraId="02CCAE9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11.25</w:t>
            </w:r>
          </w:p>
        </w:tc>
        <w:tc>
          <w:tcPr>
            <w:tcW w:w="1001" w:type="dxa"/>
            <w:noWrap/>
            <w:hideMark/>
          </w:tcPr>
          <w:p w14:paraId="0153479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11.31</w:t>
            </w:r>
          </w:p>
        </w:tc>
        <w:tc>
          <w:tcPr>
            <w:tcW w:w="865" w:type="dxa"/>
            <w:noWrap/>
            <w:hideMark/>
          </w:tcPr>
          <w:p w14:paraId="72EEA9E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12.19</w:t>
            </w:r>
          </w:p>
        </w:tc>
        <w:tc>
          <w:tcPr>
            <w:tcW w:w="891" w:type="dxa"/>
            <w:noWrap/>
            <w:hideMark/>
          </w:tcPr>
          <w:p w14:paraId="48F7D96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32.27</w:t>
            </w:r>
          </w:p>
        </w:tc>
        <w:tc>
          <w:tcPr>
            <w:tcW w:w="815" w:type="dxa"/>
            <w:noWrap/>
            <w:hideMark/>
          </w:tcPr>
          <w:p w14:paraId="675CF65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12.79</w:t>
            </w:r>
          </w:p>
        </w:tc>
        <w:tc>
          <w:tcPr>
            <w:tcW w:w="769" w:type="dxa"/>
            <w:noWrap/>
            <w:hideMark/>
          </w:tcPr>
          <w:p w14:paraId="7463A6A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10.21</w:t>
            </w:r>
          </w:p>
        </w:tc>
        <w:tc>
          <w:tcPr>
            <w:tcW w:w="938" w:type="dxa"/>
            <w:noWrap/>
            <w:hideMark/>
          </w:tcPr>
          <w:p w14:paraId="2DFDF55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9.98</w:t>
            </w:r>
          </w:p>
        </w:tc>
        <w:tc>
          <w:tcPr>
            <w:tcW w:w="1190" w:type="dxa"/>
            <w:noWrap/>
            <w:hideMark/>
          </w:tcPr>
          <w:p w14:paraId="02BAEBB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67.73</w:t>
            </w:r>
          </w:p>
        </w:tc>
        <w:tc>
          <w:tcPr>
            <w:tcW w:w="818" w:type="dxa"/>
            <w:noWrap/>
            <w:hideMark/>
          </w:tcPr>
          <w:p w14:paraId="57F2B4A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10.85</w:t>
            </w:r>
          </w:p>
        </w:tc>
        <w:tc>
          <w:tcPr>
            <w:tcW w:w="939" w:type="dxa"/>
            <w:noWrap/>
            <w:hideMark/>
          </w:tcPr>
          <w:p w14:paraId="150898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11.07</w:t>
            </w:r>
          </w:p>
        </w:tc>
        <w:tc>
          <w:tcPr>
            <w:tcW w:w="811" w:type="dxa"/>
            <w:noWrap/>
            <w:hideMark/>
          </w:tcPr>
          <w:p w14:paraId="05C2C15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11.27</w:t>
            </w:r>
          </w:p>
        </w:tc>
        <w:tc>
          <w:tcPr>
            <w:tcW w:w="834" w:type="dxa"/>
            <w:noWrap/>
            <w:hideMark/>
          </w:tcPr>
          <w:p w14:paraId="1B806CB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32.15</w:t>
            </w:r>
          </w:p>
        </w:tc>
        <w:tc>
          <w:tcPr>
            <w:tcW w:w="984" w:type="dxa"/>
            <w:noWrap/>
            <w:hideMark/>
          </w:tcPr>
          <w:p w14:paraId="28D78C3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12.91</w:t>
            </w:r>
          </w:p>
        </w:tc>
        <w:tc>
          <w:tcPr>
            <w:tcW w:w="811" w:type="dxa"/>
            <w:noWrap/>
            <w:hideMark/>
          </w:tcPr>
          <w:p w14:paraId="702AC46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11.81</w:t>
            </w:r>
          </w:p>
        </w:tc>
        <w:tc>
          <w:tcPr>
            <w:tcW w:w="989" w:type="dxa"/>
            <w:noWrap/>
            <w:hideMark/>
          </w:tcPr>
          <w:p w14:paraId="33BD02D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9.94</w:t>
            </w:r>
          </w:p>
        </w:tc>
        <w:tc>
          <w:tcPr>
            <w:tcW w:w="1190" w:type="dxa"/>
            <w:noWrap/>
            <w:hideMark/>
          </w:tcPr>
          <w:p w14:paraId="7522320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67.85</w:t>
            </w:r>
          </w:p>
        </w:tc>
      </w:tr>
      <w:tr w:rsidR="00226362" w:rsidRPr="009B605C" w14:paraId="11F0292B" w14:textId="77777777" w:rsidTr="00D9004E">
        <w:trPr>
          <w:trHeight w:val="340"/>
        </w:trPr>
        <w:tc>
          <w:tcPr>
            <w:tcW w:w="1419" w:type="dxa"/>
            <w:noWrap/>
            <w:hideMark/>
          </w:tcPr>
          <w:p w14:paraId="1950BC76"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South Africa</w:t>
            </w:r>
          </w:p>
        </w:tc>
        <w:tc>
          <w:tcPr>
            <w:tcW w:w="872" w:type="dxa"/>
            <w:noWrap/>
            <w:hideMark/>
          </w:tcPr>
          <w:p w14:paraId="495AC6D8" w14:textId="76DE28D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12.6</w:t>
            </w:r>
            <w:r w:rsidR="00D521F8" w:rsidRPr="009B605C">
              <w:rPr>
                <w:rFonts w:ascii="Cambria" w:hAnsi="Cambria"/>
                <w:color w:val="000000"/>
                <w:sz w:val="20"/>
                <w:szCs w:val="20"/>
              </w:rPr>
              <w:t>0</w:t>
            </w:r>
          </w:p>
        </w:tc>
        <w:tc>
          <w:tcPr>
            <w:tcW w:w="1001" w:type="dxa"/>
            <w:noWrap/>
            <w:hideMark/>
          </w:tcPr>
          <w:p w14:paraId="3A8B2D5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13.62</w:t>
            </w:r>
          </w:p>
        </w:tc>
        <w:tc>
          <w:tcPr>
            <w:tcW w:w="865" w:type="dxa"/>
            <w:noWrap/>
            <w:hideMark/>
          </w:tcPr>
          <w:p w14:paraId="0857AA3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13.31</w:t>
            </w:r>
          </w:p>
        </w:tc>
        <w:tc>
          <w:tcPr>
            <w:tcW w:w="891" w:type="dxa"/>
            <w:noWrap/>
            <w:hideMark/>
          </w:tcPr>
          <w:p w14:paraId="2629D5A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11.65</w:t>
            </w:r>
          </w:p>
        </w:tc>
        <w:tc>
          <w:tcPr>
            <w:tcW w:w="815" w:type="dxa"/>
            <w:noWrap/>
            <w:hideMark/>
          </w:tcPr>
          <w:p w14:paraId="2DF526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29.24</w:t>
            </w:r>
          </w:p>
        </w:tc>
        <w:tc>
          <w:tcPr>
            <w:tcW w:w="769" w:type="dxa"/>
            <w:noWrap/>
            <w:hideMark/>
          </w:tcPr>
          <w:p w14:paraId="30C772E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10.01</w:t>
            </w:r>
          </w:p>
        </w:tc>
        <w:tc>
          <w:tcPr>
            <w:tcW w:w="938" w:type="dxa"/>
            <w:noWrap/>
            <w:hideMark/>
          </w:tcPr>
          <w:p w14:paraId="6E8F015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9.56</w:t>
            </w:r>
          </w:p>
        </w:tc>
        <w:tc>
          <w:tcPr>
            <w:tcW w:w="1190" w:type="dxa"/>
            <w:noWrap/>
            <w:hideMark/>
          </w:tcPr>
          <w:p w14:paraId="7F33847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70.76</w:t>
            </w:r>
          </w:p>
        </w:tc>
        <w:tc>
          <w:tcPr>
            <w:tcW w:w="818" w:type="dxa"/>
            <w:noWrap/>
            <w:hideMark/>
          </w:tcPr>
          <w:p w14:paraId="766E31B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12.89</w:t>
            </w:r>
          </w:p>
        </w:tc>
        <w:tc>
          <w:tcPr>
            <w:tcW w:w="939" w:type="dxa"/>
            <w:noWrap/>
            <w:hideMark/>
          </w:tcPr>
          <w:p w14:paraId="7C76C50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10.49</w:t>
            </w:r>
          </w:p>
        </w:tc>
        <w:tc>
          <w:tcPr>
            <w:tcW w:w="811" w:type="dxa"/>
            <w:noWrap/>
            <w:hideMark/>
          </w:tcPr>
          <w:p w14:paraId="73724FC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12.46</w:t>
            </w:r>
          </w:p>
        </w:tc>
        <w:tc>
          <w:tcPr>
            <w:tcW w:w="834" w:type="dxa"/>
            <w:noWrap/>
            <w:hideMark/>
          </w:tcPr>
          <w:p w14:paraId="036B46D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12.09</w:t>
            </w:r>
          </w:p>
        </w:tc>
        <w:tc>
          <w:tcPr>
            <w:tcW w:w="984" w:type="dxa"/>
            <w:noWrap/>
            <w:hideMark/>
          </w:tcPr>
          <w:p w14:paraId="458A170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29.93</w:t>
            </w:r>
          </w:p>
        </w:tc>
        <w:tc>
          <w:tcPr>
            <w:tcW w:w="811" w:type="dxa"/>
            <w:noWrap/>
            <w:hideMark/>
          </w:tcPr>
          <w:p w14:paraId="5DA133D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12.18</w:t>
            </w:r>
          </w:p>
        </w:tc>
        <w:tc>
          <w:tcPr>
            <w:tcW w:w="989" w:type="dxa"/>
            <w:noWrap/>
            <w:hideMark/>
          </w:tcPr>
          <w:p w14:paraId="0C4F8F7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9.97</w:t>
            </w:r>
          </w:p>
        </w:tc>
        <w:tc>
          <w:tcPr>
            <w:tcW w:w="1190" w:type="dxa"/>
            <w:noWrap/>
            <w:hideMark/>
          </w:tcPr>
          <w:p w14:paraId="633F641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70.07</w:t>
            </w:r>
          </w:p>
        </w:tc>
      </w:tr>
      <w:tr w:rsidR="00226362" w:rsidRPr="009B605C" w14:paraId="62482C65" w14:textId="77777777" w:rsidTr="00D9004E">
        <w:trPr>
          <w:trHeight w:val="340"/>
        </w:trPr>
        <w:tc>
          <w:tcPr>
            <w:tcW w:w="1419" w:type="dxa"/>
            <w:noWrap/>
            <w:hideMark/>
          </w:tcPr>
          <w:p w14:paraId="4568036E"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Gold</w:t>
            </w:r>
          </w:p>
        </w:tc>
        <w:tc>
          <w:tcPr>
            <w:tcW w:w="872" w:type="dxa"/>
            <w:noWrap/>
            <w:hideMark/>
          </w:tcPr>
          <w:p w14:paraId="42585E4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10.85</w:t>
            </w:r>
          </w:p>
        </w:tc>
        <w:tc>
          <w:tcPr>
            <w:tcW w:w="1001" w:type="dxa"/>
            <w:noWrap/>
            <w:hideMark/>
          </w:tcPr>
          <w:p w14:paraId="53251F3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10.79</w:t>
            </w:r>
          </w:p>
        </w:tc>
        <w:tc>
          <w:tcPr>
            <w:tcW w:w="865" w:type="dxa"/>
            <w:noWrap/>
            <w:hideMark/>
          </w:tcPr>
          <w:p w14:paraId="522C140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10.48</w:t>
            </w:r>
          </w:p>
        </w:tc>
        <w:tc>
          <w:tcPr>
            <w:tcW w:w="891" w:type="dxa"/>
            <w:noWrap/>
            <w:hideMark/>
          </w:tcPr>
          <w:p w14:paraId="0009BC4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10.81</w:t>
            </w:r>
          </w:p>
        </w:tc>
        <w:tc>
          <w:tcPr>
            <w:tcW w:w="815" w:type="dxa"/>
            <w:noWrap/>
            <w:hideMark/>
          </w:tcPr>
          <w:p w14:paraId="1088677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11.51</w:t>
            </w:r>
          </w:p>
        </w:tc>
        <w:tc>
          <w:tcPr>
            <w:tcW w:w="769" w:type="dxa"/>
            <w:noWrap/>
            <w:hideMark/>
          </w:tcPr>
          <w:p w14:paraId="5BF686F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34.19</w:t>
            </w:r>
          </w:p>
        </w:tc>
        <w:tc>
          <w:tcPr>
            <w:tcW w:w="938" w:type="dxa"/>
            <w:noWrap/>
            <w:hideMark/>
          </w:tcPr>
          <w:p w14:paraId="1BA3A7F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11.37</w:t>
            </w:r>
          </w:p>
        </w:tc>
        <w:tc>
          <w:tcPr>
            <w:tcW w:w="1190" w:type="dxa"/>
            <w:noWrap/>
            <w:hideMark/>
          </w:tcPr>
          <w:p w14:paraId="706F328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65.81</w:t>
            </w:r>
          </w:p>
        </w:tc>
        <w:tc>
          <w:tcPr>
            <w:tcW w:w="818" w:type="dxa"/>
            <w:noWrap/>
            <w:hideMark/>
          </w:tcPr>
          <w:p w14:paraId="74F32F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11.93</w:t>
            </w:r>
          </w:p>
        </w:tc>
        <w:tc>
          <w:tcPr>
            <w:tcW w:w="939" w:type="dxa"/>
            <w:noWrap/>
            <w:hideMark/>
          </w:tcPr>
          <w:p w14:paraId="3065B7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10.66</w:t>
            </w:r>
          </w:p>
        </w:tc>
        <w:tc>
          <w:tcPr>
            <w:tcW w:w="811" w:type="dxa"/>
            <w:noWrap/>
            <w:hideMark/>
          </w:tcPr>
          <w:p w14:paraId="49310D7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11.42</w:t>
            </w:r>
          </w:p>
        </w:tc>
        <w:tc>
          <w:tcPr>
            <w:tcW w:w="834" w:type="dxa"/>
            <w:noWrap/>
            <w:hideMark/>
          </w:tcPr>
          <w:p w14:paraId="79DF73E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11.48</w:t>
            </w:r>
          </w:p>
        </w:tc>
        <w:tc>
          <w:tcPr>
            <w:tcW w:w="984" w:type="dxa"/>
            <w:noWrap/>
            <w:hideMark/>
          </w:tcPr>
          <w:p w14:paraId="0C6F9DE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12.66</w:t>
            </w:r>
          </w:p>
        </w:tc>
        <w:tc>
          <w:tcPr>
            <w:tcW w:w="811" w:type="dxa"/>
            <w:noWrap/>
            <w:hideMark/>
          </w:tcPr>
          <w:p w14:paraId="31084C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31.28</w:t>
            </w:r>
          </w:p>
        </w:tc>
        <w:tc>
          <w:tcPr>
            <w:tcW w:w="989" w:type="dxa"/>
            <w:noWrap/>
            <w:hideMark/>
          </w:tcPr>
          <w:p w14:paraId="266038B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10.56</w:t>
            </w:r>
          </w:p>
        </w:tc>
        <w:tc>
          <w:tcPr>
            <w:tcW w:w="1190" w:type="dxa"/>
            <w:noWrap/>
            <w:hideMark/>
          </w:tcPr>
          <w:p w14:paraId="546C857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68.72</w:t>
            </w:r>
          </w:p>
        </w:tc>
      </w:tr>
      <w:tr w:rsidR="00226362" w:rsidRPr="009B605C" w14:paraId="292807CA" w14:textId="77777777" w:rsidTr="00D9004E">
        <w:trPr>
          <w:trHeight w:val="340"/>
        </w:trPr>
        <w:tc>
          <w:tcPr>
            <w:tcW w:w="1419" w:type="dxa"/>
            <w:noWrap/>
            <w:hideMark/>
          </w:tcPr>
          <w:p w14:paraId="05DC118F"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Crypto</w:t>
            </w:r>
          </w:p>
        </w:tc>
        <w:tc>
          <w:tcPr>
            <w:tcW w:w="872" w:type="dxa"/>
            <w:noWrap/>
            <w:hideMark/>
          </w:tcPr>
          <w:p w14:paraId="669A5FE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11.06</w:t>
            </w:r>
          </w:p>
        </w:tc>
        <w:tc>
          <w:tcPr>
            <w:tcW w:w="1001" w:type="dxa"/>
            <w:noWrap/>
            <w:hideMark/>
          </w:tcPr>
          <w:p w14:paraId="4B5D3F2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11.43</w:t>
            </w:r>
          </w:p>
        </w:tc>
        <w:tc>
          <w:tcPr>
            <w:tcW w:w="865" w:type="dxa"/>
            <w:noWrap/>
            <w:hideMark/>
          </w:tcPr>
          <w:p w14:paraId="534BF9F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10.41</w:t>
            </w:r>
          </w:p>
        </w:tc>
        <w:tc>
          <w:tcPr>
            <w:tcW w:w="891" w:type="dxa"/>
            <w:noWrap/>
            <w:hideMark/>
          </w:tcPr>
          <w:p w14:paraId="24C1EAF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10.54</w:t>
            </w:r>
          </w:p>
        </w:tc>
        <w:tc>
          <w:tcPr>
            <w:tcW w:w="815" w:type="dxa"/>
            <w:noWrap/>
            <w:hideMark/>
          </w:tcPr>
          <w:p w14:paraId="3E6035A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11.01</w:t>
            </w:r>
          </w:p>
        </w:tc>
        <w:tc>
          <w:tcPr>
            <w:tcW w:w="769" w:type="dxa"/>
            <w:noWrap/>
            <w:hideMark/>
          </w:tcPr>
          <w:p w14:paraId="0BF7811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11.32</w:t>
            </w:r>
          </w:p>
        </w:tc>
        <w:tc>
          <w:tcPr>
            <w:tcW w:w="938" w:type="dxa"/>
            <w:noWrap/>
            <w:hideMark/>
          </w:tcPr>
          <w:p w14:paraId="312124E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34.23</w:t>
            </w:r>
          </w:p>
        </w:tc>
        <w:tc>
          <w:tcPr>
            <w:tcW w:w="1190" w:type="dxa"/>
            <w:noWrap/>
            <w:hideMark/>
          </w:tcPr>
          <w:p w14:paraId="5F90A26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65.77</w:t>
            </w:r>
          </w:p>
        </w:tc>
        <w:tc>
          <w:tcPr>
            <w:tcW w:w="818" w:type="dxa"/>
            <w:noWrap/>
            <w:hideMark/>
          </w:tcPr>
          <w:p w14:paraId="4AB435D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12.52</w:t>
            </w:r>
          </w:p>
        </w:tc>
        <w:tc>
          <w:tcPr>
            <w:tcW w:w="939" w:type="dxa"/>
            <w:noWrap/>
            <w:hideMark/>
          </w:tcPr>
          <w:p w14:paraId="7E8372A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10.58</w:t>
            </w:r>
          </w:p>
        </w:tc>
        <w:tc>
          <w:tcPr>
            <w:tcW w:w="811" w:type="dxa"/>
            <w:noWrap/>
            <w:hideMark/>
          </w:tcPr>
          <w:p w14:paraId="13D2EEFA" w14:textId="4E6E6B00"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10.9</w:t>
            </w:r>
            <w:r w:rsidR="00D521F8" w:rsidRPr="009B605C">
              <w:rPr>
                <w:rFonts w:ascii="Cambria" w:hAnsi="Cambria"/>
                <w:color w:val="000000"/>
                <w:sz w:val="20"/>
                <w:szCs w:val="20"/>
              </w:rPr>
              <w:t>0</w:t>
            </w:r>
          </w:p>
        </w:tc>
        <w:tc>
          <w:tcPr>
            <w:tcW w:w="834" w:type="dxa"/>
            <w:noWrap/>
            <w:hideMark/>
          </w:tcPr>
          <w:p w14:paraId="1E26B32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10.28</w:t>
            </w:r>
          </w:p>
        </w:tc>
        <w:tc>
          <w:tcPr>
            <w:tcW w:w="984" w:type="dxa"/>
            <w:noWrap/>
            <w:hideMark/>
          </w:tcPr>
          <w:p w14:paraId="4DB4B4B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10.98</w:t>
            </w:r>
          </w:p>
        </w:tc>
        <w:tc>
          <w:tcPr>
            <w:tcW w:w="811" w:type="dxa"/>
            <w:noWrap/>
            <w:hideMark/>
          </w:tcPr>
          <w:p w14:paraId="2884C0F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11.15</w:t>
            </w:r>
          </w:p>
        </w:tc>
        <w:tc>
          <w:tcPr>
            <w:tcW w:w="989" w:type="dxa"/>
            <w:noWrap/>
            <w:hideMark/>
          </w:tcPr>
          <w:p w14:paraId="07ECB02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33.59</w:t>
            </w:r>
          </w:p>
        </w:tc>
        <w:tc>
          <w:tcPr>
            <w:tcW w:w="1190" w:type="dxa"/>
            <w:noWrap/>
            <w:hideMark/>
          </w:tcPr>
          <w:p w14:paraId="1E2FC1B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66.41</w:t>
            </w:r>
          </w:p>
        </w:tc>
      </w:tr>
      <w:tr w:rsidR="00226362" w:rsidRPr="009B605C" w14:paraId="1A83EF51" w14:textId="77777777" w:rsidTr="00D9004E">
        <w:trPr>
          <w:trHeight w:val="340"/>
        </w:trPr>
        <w:tc>
          <w:tcPr>
            <w:tcW w:w="1419" w:type="dxa"/>
            <w:noWrap/>
            <w:hideMark/>
          </w:tcPr>
          <w:p w14:paraId="7FBF9696"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TO</w:t>
            </w:r>
          </w:p>
        </w:tc>
        <w:tc>
          <w:tcPr>
            <w:tcW w:w="872" w:type="dxa"/>
            <w:noWrap/>
            <w:hideMark/>
          </w:tcPr>
          <w:p w14:paraId="7401004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70.36</w:t>
            </w:r>
          </w:p>
        </w:tc>
        <w:tc>
          <w:tcPr>
            <w:tcW w:w="1001" w:type="dxa"/>
            <w:noWrap/>
            <w:hideMark/>
          </w:tcPr>
          <w:p w14:paraId="6573E94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72.45</w:t>
            </w:r>
          </w:p>
        </w:tc>
        <w:tc>
          <w:tcPr>
            <w:tcW w:w="865" w:type="dxa"/>
            <w:noWrap/>
            <w:hideMark/>
          </w:tcPr>
          <w:p w14:paraId="2AC901A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70.58</w:t>
            </w:r>
          </w:p>
        </w:tc>
        <w:tc>
          <w:tcPr>
            <w:tcW w:w="891" w:type="dxa"/>
            <w:noWrap/>
            <w:hideMark/>
          </w:tcPr>
          <w:p w14:paraId="7C51AB6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66.17</w:t>
            </w:r>
          </w:p>
        </w:tc>
        <w:tc>
          <w:tcPr>
            <w:tcW w:w="815" w:type="dxa"/>
            <w:noWrap/>
            <w:hideMark/>
          </w:tcPr>
          <w:p w14:paraId="642A582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76.74</w:t>
            </w:r>
          </w:p>
        </w:tc>
        <w:tc>
          <w:tcPr>
            <w:tcW w:w="769" w:type="dxa"/>
            <w:noWrap/>
            <w:hideMark/>
          </w:tcPr>
          <w:p w14:paraId="47859F9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60.67</w:t>
            </w:r>
          </w:p>
        </w:tc>
        <w:tc>
          <w:tcPr>
            <w:tcW w:w="938" w:type="dxa"/>
            <w:noWrap/>
            <w:hideMark/>
          </w:tcPr>
          <w:p w14:paraId="6C49787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60.77</w:t>
            </w:r>
          </w:p>
        </w:tc>
        <w:tc>
          <w:tcPr>
            <w:tcW w:w="1190" w:type="dxa"/>
            <w:noWrap/>
            <w:hideMark/>
          </w:tcPr>
          <w:p w14:paraId="599F680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477.75</w:t>
            </w:r>
          </w:p>
        </w:tc>
        <w:tc>
          <w:tcPr>
            <w:tcW w:w="818" w:type="dxa"/>
            <w:noWrap/>
            <w:hideMark/>
          </w:tcPr>
          <w:p w14:paraId="5367166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70.42</w:t>
            </w:r>
          </w:p>
        </w:tc>
        <w:tc>
          <w:tcPr>
            <w:tcW w:w="939" w:type="dxa"/>
            <w:noWrap/>
            <w:hideMark/>
          </w:tcPr>
          <w:p w14:paraId="34D283C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63.44</w:t>
            </w:r>
          </w:p>
        </w:tc>
        <w:tc>
          <w:tcPr>
            <w:tcW w:w="811" w:type="dxa"/>
            <w:noWrap/>
            <w:hideMark/>
          </w:tcPr>
          <w:p w14:paraId="0B15F21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68.32</w:t>
            </w:r>
          </w:p>
        </w:tc>
        <w:tc>
          <w:tcPr>
            <w:tcW w:w="834" w:type="dxa"/>
            <w:noWrap/>
            <w:hideMark/>
          </w:tcPr>
          <w:p w14:paraId="63F40CF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66.93</w:t>
            </w:r>
          </w:p>
        </w:tc>
        <w:tc>
          <w:tcPr>
            <w:tcW w:w="984" w:type="dxa"/>
            <w:noWrap/>
            <w:hideMark/>
          </w:tcPr>
          <w:p w14:paraId="24A1CEE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74.75</w:t>
            </w:r>
          </w:p>
        </w:tc>
        <w:tc>
          <w:tcPr>
            <w:tcW w:w="811" w:type="dxa"/>
            <w:noWrap/>
            <w:hideMark/>
          </w:tcPr>
          <w:p w14:paraId="6E8A1FD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69.87</w:t>
            </w:r>
          </w:p>
        </w:tc>
        <w:tc>
          <w:tcPr>
            <w:tcW w:w="989" w:type="dxa"/>
            <w:noWrap/>
            <w:hideMark/>
          </w:tcPr>
          <w:p w14:paraId="43F586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62.94</w:t>
            </w:r>
          </w:p>
        </w:tc>
        <w:tc>
          <w:tcPr>
            <w:tcW w:w="1190" w:type="dxa"/>
            <w:noWrap/>
            <w:hideMark/>
          </w:tcPr>
          <w:p w14:paraId="3D2A4AC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476.68</w:t>
            </w:r>
          </w:p>
        </w:tc>
      </w:tr>
      <w:tr w:rsidR="00226362" w:rsidRPr="009B605C" w14:paraId="6CF1FD51" w14:textId="77777777" w:rsidTr="00D9004E">
        <w:trPr>
          <w:trHeight w:val="340"/>
        </w:trPr>
        <w:tc>
          <w:tcPr>
            <w:tcW w:w="1419" w:type="dxa"/>
            <w:noWrap/>
            <w:hideMark/>
          </w:tcPr>
          <w:p w14:paraId="5280B849"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NET</w:t>
            </w:r>
          </w:p>
        </w:tc>
        <w:tc>
          <w:tcPr>
            <w:tcW w:w="872" w:type="dxa"/>
            <w:noWrap/>
            <w:hideMark/>
          </w:tcPr>
          <w:p w14:paraId="2F2ABBC3" w14:textId="6285CC21"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w:t>
            </w:r>
            <w:r w:rsidR="00D521F8" w:rsidRPr="009B605C">
              <w:rPr>
                <w:rFonts w:ascii="Cambria" w:hAnsi="Cambria"/>
                <w:color w:val="000000"/>
                <w:sz w:val="20"/>
                <w:szCs w:val="20"/>
              </w:rPr>
              <w:t>0</w:t>
            </w:r>
          </w:p>
        </w:tc>
        <w:tc>
          <w:tcPr>
            <w:tcW w:w="1001" w:type="dxa"/>
            <w:noWrap/>
            <w:hideMark/>
          </w:tcPr>
          <w:p w14:paraId="1571E94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2.92</w:t>
            </w:r>
          </w:p>
        </w:tc>
        <w:tc>
          <w:tcPr>
            <w:tcW w:w="865" w:type="dxa"/>
            <w:noWrap/>
            <w:hideMark/>
          </w:tcPr>
          <w:p w14:paraId="4E0E2C0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1.49</w:t>
            </w:r>
          </w:p>
        </w:tc>
        <w:tc>
          <w:tcPr>
            <w:tcW w:w="891" w:type="dxa"/>
            <w:noWrap/>
            <w:hideMark/>
          </w:tcPr>
          <w:p w14:paraId="10BC7C2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-1.55</w:t>
            </w:r>
          </w:p>
        </w:tc>
        <w:tc>
          <w:tcPr>
            <w:tcW w:w="815" w:type="dxa"/>
            <w:noWrap/>
            <w:hideMark/>
          </w:tcPr>
          <w:p w14:paraId="29F311E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5.98</w:t>
            </w:r>
          </w:p>
        </w:tc>
        <w:tc>
          <w:tcPr>
            <w:tcW w:w="769" w:type="dxa"/>
            <w:noWrap/>
            <w:hideMark/>
          </w:tcPr>
          <w:p w14:paraId="6D026D7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-5.14</w:t>
            </w:r>
          </w:p>
        </w:tc>
        <w:tc>
          <w:tcPr>
            <w:tcW w:w="938" w:type="dxa"/>
            <w:noWrap/>
            <w:hideMark/>
          </w:tcPr>
          <w:p w14:paraId="112E1798" w14:textId="21CA9ED9"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w:t>
            </w:r>
            <w:r w:rsidR="006C1359" w:rsidRPr="009B605C">
              <w:rPr>
                <w:rFonts w:ascii="Cambria" w:hAnsi="Cambria"/>
                <w:color w:val="000000"/>
                <w:sz w:val="20"/>
                <w:szCs w:val="20"/>
              </w:rPr>
              <w:t>.00</w:t>
            </w:r>
          </w:p>
        </w:tc>
        <w:tc>
          <w:tcPr>
            <w:tcW w:w="1190" w:type="dxa"/>
            <w:noWrap/>
            <w:hideMark/>
          </w:tcPr>
          <w:p w14:paraId="304BDFE3"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TCI=68.25</w:t>
            </w:r>
          </w:p>
        </w:tc>
        <w:tc>
          <w:tcPr>
            <w:tcW w:w="818" w:type="dxa"/>
            <w:noWrap/>
            <w:hideMark/>
          </w:tcPr>
          <w:p w14:paraId="69D8CDB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1.66</w:t>
            </w:r>
          </w:p>
        </w:tc>
        <w:tc>
          <w:tcPr>
            <w:tcW w:w="939" w:type="dxa"/>
            <w:noWrap/>
            <w:hideMark/>
          </w:tcPr>
          <w:p w14:paraId="3D5A00C3" w14:textId="16FE792B"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w:t>
            </w:r>
            <w:r w:rsidR="00D521F8" w:rsidRPr="009B605C">
              <w:rPr>
                <w:rFonts w:ascii="Cambria" w:hAnsi="Cambria"/>
                <w:color w:val="000000"/>
                <w:sz w:val="20"/>
                <w:szCs w:val="20"/>
              </w:rPr>
              <w:t>0</w:t>
            </w:r>
          </w:p>
        </w:tc>
        <w:tc>
          <w:tcPr>
            <w:tcW w:w="811" w:type="dxa"/>
            <w:noWrap/>
            <w:hideMark/>
          </w:tcPr>
          <w:p w14:paraId="40DC13A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0.08</w:t>
            </w:r>
          </w:p>
        </w:tc>
        <w:tc>
          <w:tcPr>
            <w:tcW w:w="834" w:type="dxa"/>
            <w:noWrap/>
            <w:hideMark/>
          </w:tcPr>
          <w:p w14:paraId="55EACD3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-0.92</w:t>
            </w:r>
          </w:p>
        </w:tc>
        <w:tc>
          <w:tcPr>
            <w:tcW w:w="984" w:type="dxa"/>
            <w:noWrap/>
            <w:hideMark/>
          </w:tcPr>
          <w:p w14:paraId="2BCF0E1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4.68</w:t>
            </w:r>
          </w:p>
        </w:tc>
        <w:tc>
          <w:tcPr>
            <w:tcW w:w="811" w:type="dxa"/>
            <w:noWrap/>
            <w:hideMark/>
          </w:tcPr>
          <w:p w14:paraId="415B9BA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w:t>
            </w:r>
          </w:p>
        </w:tc>
        <w:tc>
          <w:tcPr>
            <w:tcW w:w="989" w:type="dxa"/>
            <w:noWrap/>
            <w:hideMark/>
          </w:tcPr>
          <w:p w14:paraId="726E808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-3.46</w:t>
            </w:r>
          </w:p>
        </w:tc>
        <w:tc>
          <w:tcPr>
            <w:tcW w:w="1190" w:type="dxa"/>
            <w:noWrap/>
            <w:hideMark/>
          </w:tcPr>
          <w:p w14:paraId="14466DE1"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TCI=68.10</w:t>
            </w:r>
          </w:p>
        </w:tc>
      </w:tr>
      <w:tr w:rsidR="00226362" w:rsidRPr="009B605C" w14:paraId="48338B0D" w14:textId="77777777" w:rsidTr="00D9004E">
        <w:trPr>
          <w:trHeight w:val="340"/>
        </w:trPr>
        <w:tc>
          <w:tcPr>
            <w:tcW w:w="5048" w:type="dxa"/>
            <w:gridSpan w:val="5"/>
            <w:noWrap/>
            <w:hideMark/>
          </w:tcPr>
          <w:p w14:paraId="1A900F8E" w14:textId="77777777" w:rsidR="00226362" w:rsidRPr="009B605C" w:rsidRDefault="00226362" w:rsidP="0087752F">
            <w:pPr>
              <w:rPr>
                <w:rFonts w:ascii="Cambria" w:hAnsi="Cambria"/>
                <w:b/>
                <w:bCs/>
                <w:color w:val="000000"/>
                <w:sz w:val="20"/>
                <w:szCs w:val="20"/>
              </w:rPr>
            </w:pPr>
            <w:r w:rsidRPr="009B605C">
              <w:rPr>
                <w:rFonts w:ascii="Cambria" w:hAnsi="Cambria"/>
                <w:b/>
                <w:bCs/>
                <w:color w:val="000000"/>
                <w:sz w:val="20"/>
                <w:szCs w:val="20"/>
              </w:rPr>
              <w:t>Panel C. Spillover at extreme upper quantile (</w:t>
            </w:r>
            <w:r w:rsidRPr="009B605C">
              <w:rPr>
                <w:rFonts w:ascii="Cambria" w:hAnsi="Cambria"/>
                <w:b/>
                <w:bCs/>
                <w:i/>
                <w:iCs/>
                <w:color w:val="000000"/>
                <w:sz w:val="20"/>
                <w:szCs w:val="20"/>
              </w:rPr>
              <w:t>τ</w:t>
            </w:r>
            <w:r w:rsidRPr="009B605C">
              <w:rPr>
                <w:rFonts w:ascii="Cambria" w:hAnsi="Cambria"/>
                <w:b/>
                <w:bCs/>
                <w:color w:val="000000"/>
                <w:sz w:val="20"/>
                <w:szCs w:val="20"/>
              </w:rPr>
              <w:t xml:space="preserve"> =0.95)</w:t>
            </w:r>
          </w:p>
        </w:tc>
        <w:tc>
          <w:tcPr>
            <w:tcW w:w="815" w:type="dxa"/>
            <w:noWrap/>
            <w:hideMark/>
          </w:tcPr>
          <w:p w14:paraId="23B16945" w14:textId="77777777" w:rsidR="00226362" w:rsidRPr="009B605C" w:rsidRDefault="00226362" w:rsidP="0087752F">
            <w:pPr>
              <w:rPr>
                <w:rFonts w:ascii="Cambria" w:hAnsi="Cambria"/>
                <w:b/>
                <w:bCs/>
                <w:color w:val="000000"/>
                <w:sz w:val="20"/>
                <w:szCs w:val="20"/>
              </w:rPr>
            </w:pPr>
          </w:p>
        </w:tc>
        <w:tc>
          <w:tcPr>
            <w:tcW w:w="769" w:type="dxa"/>
            <w:noWrap/>
            <w:hideMark/>
          </w:tcPr>
          <w:p w14:paraId="682035C2" w14:textId="77777777" w:rsidR="00226362" w:rsidRPr="009B605C" w:rsidRDefault="00226362" w:rsidP="0087752F">
            <w:pPr>
              <w:rPr>
                <w:rFonts w:ascii="Cambria" w:hAnsi="Cambria"/>
                <w:sz w:val="20"/>
                <w:szCs w:val="20"/>
              </w:rPr>
            </w:pPr>
          </w:p>
        </w:tc>
        <w:tc>
          <w:tcPr>
            <w:tcW w:w="938" w:type="dxa"/>
            <w:noWrap/>
            <w:hideMark/>
          </w:tcPr>
          <w:p w14:paraId="36BB4E6F" w14:textId="77777777" w:rsidR="00226362" w:rsidRPr="009B605C" w:rsidRDefault="00226362" w:rsidP="0087752F">
            <w:pPr>
              <w:rPr>
                <w:rFonts w:ascii="Cambria" w:hAnsi="Cambria"/>
                <w:sz w:val="20"/>
                <w:szCs w:val="20"/>
              </w:rPr>
            </w:pPr>
          </w:p>
        </w:tc>
        <w:tc>
          <w:tcPr>
            <w:tcW w:w="1190" w:type="dxa"/>
            <w:noWrap/>
            <w:hideMark/>
          </w:tcPr>
          <w:p w14:paraId="4ABCD4EF" w14:textId="77777777" w:rsidR="00226362" w:rsidRPr="009B605C" w:rsidRDefault="00226362" w:rsidP="0087752F">
            <w:pPr>
              <w:rPr>
                <w:rFonts w:ascii="Cambria" w:hAnsi="Cambria"/>
                <w:sz w:val="20"/>
                <w:szCs w:val="20"/>
              </w:rPr>
            </w:pPr>
          </w:p>
        </w:tc>
        <w:tc>
          <w:tcPr>
            <w:tcW w:w="818" w:type="dxa"/>
            <w:noWrap/>
            <w:hideMark/>
          </w:tcPr>
          <w:p w14:paraId="4941C225" w14:textId="77777777" w:rsidR="00226362" w:rsidRPr="009B605C" w:rsidRDefault="00226362" w:rsidP="0087752F">
            <w:pPr>
              <w:rPr>
                <w:rFonts w:ascii="Cambria" w:hAnsi="Cambria"/>
                <w:sz w:val="20"/>
                <w:szCs w:val="20"/>
              </w:rPr>
            </w:pPr>
          </w:p>
        </w:tc>
        <w:tc>
          <w:tcPr>
            <w:tcW w:w="939" w:type="dxa"/>
            <w:noWrap/>
            <w:hideMark/>
          </w:tcPr>
          <w:p w14:paraId="7AC1DFCD" w14:textId="77777777" w:rsidR="00226362" w:rsidRPr="009B605C" w:rsidRDefault="00226362" w:rsidP="0087752F">
            <w:pPr>
              <w:rPr>
                <w:rFonts w:ascii="Cambria" w:hAnsi="Cambria"/>
                <w:sz w:val="20"/>
                <w:szCs w:val="20"/>
              </w:rPr>
            </w:pPr>
          </w:p>
        </w:tc>
        <w:tc>
          <w:tcPr>
            <w:tcW w:w="811" w:type="dxa"/>
            <w:noWrap/>
            <w:hideMark/>
          </w:tcPr>
          <w:p w14:paraId="7AB3BDEB" w14:textId="77777777" w:rsidR="00226362" w:rsidRPr="009B605C" w:rsidRDefault="00226362" w:rsidP="0087752F">
            <w:pPr>
              <w:rPr>
                <w:rFonts w:ascii="Cambria" w:hAnsi="Cambria"/>
                <w:sz w:val="20"/>
                <w:szCs w:val="20"/>
              </w:rPr>
            </w:pPr>
          </w:p>
        </w:tc>
        <w:tc>
          <w:tcPr>
            <w:tcW w:w="834" w:type="dxa"/>
            <w:noWrap/>
            <w:hideMark/>
          </w:tcPr>
          <w:p w14:paraId="5C89E9B7" w14:textId="77777777" w:rsidR="00226362" w:rsidRPr="009B605C" w:rsidRDefault="00226362" w:rsidP="0087752F">
            <w:pPr>
              <w:rPr>
                <w:rFonts w:ascii="Cambria" w:hAnsi="Cambria"/>
                <w:sz w:val="20"/>
                <w:szCs w:val="20"/>
              </w:rPr>
            </w:pPr>
          </w:p>
        </w:tc>
        <w:tc>
          <w:tcPr>
            <w:tcW w:w="984" w:type="dxa"/>
            <w:noWrap/>
            <w:hideMark/>
          </w:tcPr>
          <w:p w14:paraId="31D7E95F" w14:textId="77777777" w:rsidR="00226362" w:rsidRPr="009B605C" w:rsidRDefault="00226362" w:rsidP="0087752F">
            <w:pPr>
              <w:rPr>
                <w:rFonts w:ascii="Cambria" w:hAnsi="Cambria"/>
                <w:sz w:val="20"/>
                <w:szCs w:val="20"/>
              </w:rPr>
            </w:pPr>
          </w:p>
        </w:tc>
        <w:tc>
          <w:tcPr>
            <w:tcW w:w="811" w:type="dxa"/>
            <w:noWrap/>
            <w:hideMark/>
          </w:tcPr>
          <w:p w14:paraId="4320BDD3" w14:textId="77777777" w:rsidR="00226362" w:rsidRPr="009B605C" w:rsidRDefault="00226362" w:rsidP="0087752F">
            <w:pPr>
              <w:rPr>
                <w:rFonts w:ascii="Cambria" w:hAnsi="Cambria"/>
                <w:sz w:val="20"/>
                <w:szCs w:val="20"/>
              </w:rPr>
            </w:pPr>
          </w:p>
        </w:tc>
        <w:tc>
          <w:tcPr>
            <w:tcW w:w="989" w:type="dxa"/>
            <w:noWrap/>
            <w:hideMark/>
          </w:tcPr>
          <w:p w14:paraId="5A1F1919" w14:textId="77777777" w:rsidR="00226362" w:rsidRPr="009B605C" w:rsidRDefault="00226362" w:rsidP="0087752F">
            <w:pPr>
              <w:rPr>
                <w:rFonts w:ascii="Cambria" w:hAnsi="Cambria"/>
                <w:sz w:val="20"/>
                <w:szCs w:val="20"/>
              </w:rPr>
            </w:pPr>
          </w:p>
        </w:tc>
        <w:tc>
          <w:tcPr>
            <w:tcW w:w="1190" w:type="dxa"/>
            <w:noWrap/>
            <w:hideMark/>
          </w:tcPr>
          <w:p w14:paraId="7612BEED" w14:textId="77777777" w:rsidR="00226362" w:rsidRPr="009B605C" w:rsidRDefault="00226362" w:rsidP="0087752F">
            <w:pPr>
              <w:rPr>
                <w:rFonts w:ascii="Cambria" w:hAnsi="Cambria"/>
                <w:sz w:val="20"/>
                <w:szCs w:val="20"/>
              </w:rPr>
            </w:pPr>
          </w:p>
        </w:tc>
      </w:tr>
      <w:tr w:rsidR="00226362" w:rsidRPr="009B605C" w14:paraId="1B71967B" w14:textId="77777777" w:rsidTr="00D9004E">
        <w:trPr>
          <w:trHeight w:val="340"/>
        </w:trPr>
        <w:tc>
          <w:tcPr>
            <w:tcW w:w="1419" w:type="dxa"/>
            <w:noWrap/>
            <w:hideMark/>
          </w:tcPr>
          <w:p w14:paraId="7C6A3C6C"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Brazil</w:t>
            </w:r>
          </w:p>
        </w:tc>
        <w:tc>
          <w:tcPr>
            <w:tcW w:w="872" w:type="dxa"/>
            <w:noWrap/>
            <w:hideMark/>
          </w:tcPr>
          <w:p w14:paraId="129CFF1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30.88</w:t>
            </w:r>
          </w:p>
        </w:tc>
        <w:tc>
          <w:tcPr>
            <w:tcW w:w="1001" w:type="dxa"/>
            <w:noWrap/>
            <w:hideMark/>
          </w:tcPr>
          <w:p w14:paraId="2BF3A30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12.95</w:t>
            </w:r>
          </w:p>
        </w:tc>
        <w:tc>
          <w:tcPr>
            <w:tcW w:w="865" w:type="dxa"/>
            <w:noWrap/>
            <w:hideMark/>
          </w:tcPr>
          <w:p w14:paraId="3CC1EC74" w14:textId="4B291883"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w:t>
            </w:r>
            <w:r w:rsidR="00D521F8" w:rsidRPr="009B605C">
              <w:rPr>
                <w:rFonts w:ascii="Cambria" w:hAnsi="Cambria"/>
                <w:color w:val="000000"/>
                <w:sz w:val="20"/>
                <w:szCs w:val="20"/>
              </w:rPr>
              <w:t>.00</w:t>
            </w:r>
          </w:p>
        </w:tc>
        <w:tc>
          <w:tcPr>
            <w:tcW w:w="891" w:type="dxa"/>
            <w:noWrap/>
            <w:hideMark/>
          </w:tcPr>
          <w:p w14:paraId="7698FEB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10.66</w:t>
            </w:r>
          </w:p>
        </w:tc>
        <w:tc>
          <w:tcPr>
            <w:tcW w:w="815" w:type="dxa"/>
            <w:noWrap/>
            <w:hideMark/>
          </w:tcPr>
          <w:p w14:paraId="6670DE3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13.15</w:t>
            </w:r>
          </w:p>
        </w:tc>
        <w:tc>
          <w:tcPr>
            <w:tcW w:w="769" w:type="dxa"/>
            <w:noWrap/>
            <w:hideMark/>
          </w:tcPr>
          <w:p w14:paraId="1309CA1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9.96</w:t>
            </w:r>
          </w:p>
        </w:tc>
        <w:tc>
          <w:tcPr>
            <w:tcW w:w="938" w:type="dxa"/>
            <w:noWrap/>
            <w:hideMark/>
          </w:tcPr>
          <w:p w14:paraId="799B5DC0" w14:textId="7D3E72C4"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w:t>
            </w:r>
            <w:r w:rsidR="00D521F8" w:rsidRPr="009B605C">
              <w:rPr>
                <w:rFonts w:ascii="Cambria" w:hAnsi="Cambria"/>
                <w:color w:val="000000"/>
                <w:sz w:val="20"/>
                <w:szCs w:val="20"/>
              </w:rPr>
              <w:t>0</w:t>
            </w:r>
          </w:p>
        </w:tc>
        <w:tc>
          <w:tcPr>
            <w:tcW w:w="1190" w:type="dxa"/>
            <w:noWrap/>
            <w:hideMark/>
          </w:tcPr>
          <w:p w14:paraId="586876D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69.12</w:t>
            </w:r>
          </w:p>
        </w:tc>
        <w:tc>
          <w:tcPr>
            <w:tcW w:w="818" w:type="dxa"/>
            <w:noWrap/>
            <w:hideMark/>
          </w:tcPr>
          <w:p w14:paraId="3AA3620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31.71</w:t>
            </w:r>
          </w:p>
        </w:tc>
        <w:tc>
          <w:tcPr>
            <w:tcW w:w="939" w:type="dxa"/>
            <w:noWrap/>
            <w:hideMark/>
          </w:tcPr>
          <w:p w14:paraId="28F49D8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9.85</w:t>
            </w:r>
          </w:p>
        </w:tc>
        <w:tc>
          <w:tcPr>
            <w:tcW w:w="811" w:type="dxa"/>
            <w:noWrap/>
            <w:hideMark/>
          </w:tcPr>
          <w:p w14:paraId="4B4C2EF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11.06</w:t>
            </w:r>
          </w:p>
        </w:tc>
        <w:tc>
          <w:tcPr>
            <w:tcW w:w="834" w:type="dxa"/>
            <w:noWrap/>
            <w:hideMark/>
          </w:tcPr>
          <w:p w14:paraId="44B29B4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11.14</w:t>
            </w:r>
          </w:p>
        </w:tc>
        <w:tc>
          <w:tcPr>
            <w:tcW w:w="984" w:type="dxa"/>
            <w:noWrap/>
            <w:hideMark/>
          </w:tcPr>
          <w:p w14:paraId="12FC2C6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13.01</w:t>
            </w:r>
          </w:p>
        </w:tc>
        <w:tc>
          <w:tcPr>
            <w:tcW w:w="811" w:type="dxa"/>
            <w:noWrap/>
            <w:hideMark/>
          </w:tcPr>
          <w:p w14:paraId="6F3FCF3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11.71</w:t>
            </w:r>
          </w:p>
        </w:tc>
        <w:tc>
          <w:tcPr>
            <w:tcW w:w="989" w:type="dxa"/>
            <w:noWrap/>
            <w:hideMark/>
          </w:tcPr>
          <w:p w14:paraId="7DFE725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11.53</w:t>
            </w:r>
          </w:p>
        </w:tc>
        <w:tc>
          <w:tcPr>
            <w:tcW w:w="1190" w:type="dxa"/>
            <w:noWrap/>
            <w:hideMark/>
          </w:tcPr>
          <w:p w14:paraId="25752DF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68.29</w:t>
            </w:r>
          </w:p>
        </w:tc>
      </w:tr>
      <w:tr w:rsidR="00226362" w:rsidRPr="009B605C" w14:paraId="7D4C62AD" w14:textId="77777777" w:rsidTr="00D9004E">
        <w:trPr>
          <w:trHeight w:val="340"/>
        </w:trPr>
        <w:tc>
          <w:tcPr>
            <w:tcW w:w="1419" w:type="dxa"/>
            <w:noWrap/>
            <w:hideMark/>
          </w:tcPr>
          <w:p w14:paraId="6FA6AB2C"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lastRenderedPageBreak/>
              <w:t>Russia</w:t>
            </w:r>
          </w:p>
        </w:tc>
        <w:tc>
          <w:tcPr>
            <w:tcW w:w="872" w:type="dxa"/>
            <w:noWrap/>
            <w:hideMark/>
          </w:tcPr>
          <w:p w14:paraId="6801A38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12.78</w:t>
            </w:r>
          </w:p>
        </w:tc>
        <w:tc>
          <w:tcPr>
            <w:tcW w:w="1001" w:type="dxa"/>
            <w:noWrap/>
            <w:hideMark/>
          </w:tcPr>
          <w:p w14:paraId="21EC6012" w14:textId="0A073DF9"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30.5</w:t>
            </w:r>
            <w:r w:rsidR="00D521F8" w:rsidRPr="009B605C">
              <w:rPr>
                <w:rFonts w:ascii="Cambria" w:hAnsi="Cambria"/>
                <w:color w:val="000000"/>
                <w:sz w:val="20"/>
                <w:szCs w:val="20"/>
              </w:rPr>
              <w:t>0</w:t>
            </w:r>
          </w:p>
        </w:tc>
        <w:tc>
          <w:tcPr>
            <w:tcW w:w="865" w:type="dxa"/>
            <w:noWrap/>
            <w:hideMark/>
          </w:tcPr>
          <w:p w14:paraId="042E521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12.31</w:t>
            </w:r>
          </w:p>
        </w:tc>
        <w:tc>
          <w:tcPr>
            <w:tcW w:w="891" w:type="dxa"/>
            <w:noWrap/>
            <w:hideMark/>
          </w:tcPr>
          <w:p w14:paraId="000FA44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10.59</w:t>
            </w:r>
          </w:p>
        </w:tc>
        <w:tc>
          <w:tcPr>
            <w:tcW w:w="815" w:type="dxa"/>
            <w:noWrap/>
            <w:hideMark/>
          </w:tcPr>
          <w:p w14:paraId="731F126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14.35</w:t>
            </w:r>
          </w:p>
        </w:tc>
        <w:tc>
          <w:tcPr>
            <w:tcW w:w="769" w:type="dxa"/>
            <w:noWrap/>
            <w:hideMark/>
          </w:tcPr>
          <w:p w14:paraId="0A122A5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9.56</w:t>
            </w:r>
          </w:p>
        </w:tc>
        <w:tc>
          <w:tcPr>
            <w:tcW w:w="938" w:type="dxa"/>
            <w:noWrap/>
            <w:hideMark/>
          </w:tcPr>
          <w:p w14:paraId="75EE9415" w14:textId="3FCAE7FA"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w:t>
            </w:r>
            <w:r w:rsidR="00D521F8" w:rsidRPr="009B605C">
              <w:rPr>
                <w:rFonts w:ascii="Cambria" w:hAnsi="Cambria"/>
                <w:color w:val="000000"/>
                <w:sz w:val="20"/>
                <w:szCs w:val="20"/>
              </w:rPr>
              <w:t>0</w:t>
            </w:r>
          </w:p>
        </w:tc>
        <w:tc>
          <w:tcPr>
            <w:tcW w:w="1190" w:type="dxa"/>
            <w:noWrap/>
            <w:hideMark/>
          </w:tcPr>
          <w:p w14:paraId="5CB3D2FA" w14:textId="43BB55C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69.5</w:t>
            </w:r>
            <w:r w:rsidR="00D521F8" w:rsidRPr="009B605C">
              <w:rPr>
                <w:rFonts w:ascii="Cambria" w:hAnsi="Cambria"/>
                <w:color w:val="000000"/>
                <w:sz w:val="20"/>
                <w:szCs w:val="20"/>
              </w:rPr>
              <w:t>0</w:t>
            </w:r>
          </w:p>
        </w:tc>
        <w:tc>
          <w:tcPr>
            <w:tcW w:w="818" w:type="dxa"/>
            <w:noWrap/>
            <w:hideMark/>
          </w:tcPr>
          <w:p w14:paraId="79B1A9A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10.54</w:t>
            </w:r>
          </w:p>
        </w:tc>
        <w:tc>
          <w:tcPr>
            <w:tcW w:w="939" w:type="dxa"/>
            <w:noWrap/>
            <w:hideMark/>
          </w:tcPr>
          <w:p w14:paraId="2FC5FD3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34.08</w:t>
            </w:r>
          </w:p>
        </w:tc>
        <w:tc>
          <w:tcPr>
            <w:tcW w:w="811" w:type="dxa"/>
            <w:noWrap/>
            <w:hideMark/>
          </w:tcPr>
          <w:p w14:paraId="598F7AD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10.46</w:t>
            </w:r>
          </w:p>
        </w:tc>
        <w:tc>
          <w:tcPr>
            <w:tcW w:w="834" w:type="dxa"/>
            <w:noWrap/>
            <w:hideMark/>
          </w:tcPr>
          <w:p w14:paraId="7068B13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11.16</w:t>
            </w:r>
          </w:p>
        </w:tc>
        <w:tc>
          <w:tcPr>
            <w:tcW w:w="984" w:type="dxa"/>
            <w:noWrap/>
            <w:hideMark/>
          </w:tcPr>
          <w:p w14:paraId="7B62A73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11.89</w:t>
            </w:r>
          </w:p>
        </w:tc>
        <w:tc>
          <w:tcPr>
            <w:tcW w:w="811" w:type="dxa"/>
            <w:noWrap/>
            <w:hideMark/>
          </w:tcPr>
          <w:p w14:paraId="12B7253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10.79</w:t>
            </w:r>
          </w:p>
        </w:tc>
        <w:tc>
          <w:tcPr>
            <w:tcW w:w="989" w:type="dxa"/>
            <w:noWrap/>
            <w:hideMark/>
          </w:tcPr>
          <w:p w14:paraId="171C205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11.08</w:t>
            </w:r>
          </w:p>
        </w:tc>
        <w:tc>
          <w:tcPr>
            <w:tcW w:w="1190" w:type="dxa"/>
            <w:noWrap/>
            <w:hideMark/>
          </w:tcPr>
          <w:p w14:paraId="2D10EC7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65.92</w:t>
            </w:r>
          </w:p>
        </w:tc>
      </w:tr>
      <w:tr w:rsidR="00226362" w:rsidRPr="009B605C" w14:paraId="086A75C2" w14:textId="77777777" w:rsidTr="00D9004E">
        <w:trPr>
          <w:trHeight w:val="340"/>
        </w:trPr>
        <w:tc>
          <w:tcPr>
            <w:tcW w:w="1419" w:type="dxa"/>
            <w:noWrap/>
            <w:hideMark/>
          </w:tcPr>
          <w:p w14:paraId="767271B1"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India</w:t>
            </w:r>
          </w:p>
        </w:tc>
        <w:tc>
          <w:tcPr>
            <w:tcW w:w="872" w:type="dxa"/>
            <w:noWrap/>
            <w:hideMark/>
          </w:tcPr>
          <w:p w14:paraId="1F80946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11.97</w:t>
            </w:r>
          </w:p>
        </w:tc>
        <w:tc>
          <w:tcPr>
            <w:tcW w:w="1001" w:type="dxa"/>
            <w:noWrap/>
            <w:hideMark/>
          </w:tcPr>
          <w:p w14:paraId="22CA0C0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12.45</w:t>
            </w:r>
          </w:p>
        </w:tc>
        <w:tc>
          <w:tcPr>
            <w:tcW w:w="865" w:type="dxa"/>
            <w:noWrap/>
            <w:hideMark/>
          </w:tcPr>
          <w:p w14:paraId="3C3D70B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30.71</w:t>
            </w:r>
          </w:p>
        </w:tc>
        <w:tc>
          <w:tcPr>
            <w:tcW w:w="891" w:type="dxa"/>
            <w:noWrap/>
            <w:hideMark/>
          </w:tcPr>
          <w:p w14:paraId="1C1A117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11.66</w:t>
            </w:r>
          </w:p>
        </w:tc>
        <w:tc>
          <w:tcPr>
            <w:tcW w:w="815" w:type="dxa"/>
            <w:noWrap/>
            <w:hideMark/>
          </w:tcPr>
          <w:p w14:paraId="2F1C0AA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13.99</w:t>
            </w:r>
          </w:p>
        </w:tc>
        <w:tc>
          <w:tcPr>
            <w:tcW w:w="769" w:type="dxa"/>
            <w:noWrap/>
            <w:hideMark/>
          </w:tcPr>
          <w:p w14:paraId="61D139AD" w14:textId="4B994102"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9.7</w:t>
            </w:r>
            <w:r w:rsidR="00D521F8" w:rsidRPr="009B605C">
              <w:rPr>
                <w:rFonts w:ascii="Cambria" w:hAnsi="Cambria"/>
                <w:color w:val="000000"/>
                <w:sz w:val="20"/>
                <w:szCs w:val="20"/>
              </w:rPr>
              <w:t>0</w:t>
            </w:r>
          </w:p>
        </w:tc>
        <w:tc>
          <w:tcPr>
            <w:tcW w:w="938" w:type="dxa"/>
            <w:noWrap/>
            <w:hideMark/>
          </w:tcPr>
          <w:p w14:paraId="329E849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9.52</w:t>
            </w:r>
          </w:p>
        </w:tc>
        <w:tc>
          <w:tcPr>
            <w:tcW w:w="1190" w:type="dxa"/>
            <w:noWrap/>
            <w:hideMark/>
          </w:tcPr>
          <w:p w14:paraId="0651F13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69.29</w:t>
            </w:r>
          </w:p>
        </w:tc>
        <w:tc>
          <w:tcPr>
            <w:tcW w:w="818" w:type="dxa"/>
            <w:noWrap/>
            <w:hideMark/>
          </w:tcPr>
          <w:p w14:paraId="109FD30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11.26</w:t>
            </w:r>
          </w:p>
        </w:tc>
        <w:tc>
          <w:tcPr>
            <w:tcW w:w="939" w:type="dxa"/>
            <w:noWrap/>
            <w:hideMark/>
          </w:tcPr>
          <w:p w14:paraId="5E706E2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9.94</w:t>
            </w:r>
          </w:p>
        </w:tc>
        <w:tc>
          <w:tcPr>
            <w:tcW w:w="811" w:type="dxa"/>
            <w:noWrap/>
            <w:hideMark/>
          </w:tcPr>
          <w:p w14:paraId="1A3F364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32.16</w:t>
            </w:r>
          </w:p>
        </w:tc>
        <w:tc>
          <w:tcPr>
            <w:tcW w:w="834" w:type="dxa"/>
            <w:noWrap/>
            <w:hideMark/>
          </w:tcPr>
          <w:p w14:paraId="0612D0D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11.27</w:t>
            </w:r>
          </w:p>
        </w:tc>
        <w:tc>
          <w:tcPr>
            <w:tcW w:w="984" w:type="dxa"/>
            <w:noWrap/>
            <w:hideMark/>
          </w:tcPr>
          <w:p w14:paraId="1AE16ED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13.32</w:t>
            </w:r>
          </w:p>
        </w:tc>
        <w:tc>
          <w:tcPr>
            <w:tcW w:w="811" w:type="dxa"/>
            <w:noWrap/>
            <w:hideMark/>
          </w:tcPr>
          <w:p w14:paraId="556504B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11.42</w:t>
            </w:r>
          </w:p>
        </w:tc>
        <w:tc>
          <w:tcPr>
            <w:tcW w:w="989" w:type="dxa"/>
            <w:noWrap/>
            <w:hideMark/>
          </w:tcPr>
          <w:p w14:paraId="1F71E00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10.63</w:t>
            </w:r>
          </w:p>
        </w:tc>
        <w:tc>
          <w:tcPr>
            <w:tcW w:w="1190" w:type="dxa"/>
            <w:noWrap/>
            <w:hideMark/>
          </w:tcPr>
          <w:p w14:paraId="6EAD462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67.84</w:t>
            </w:r>
          </w:p>
        </w:tc>
      </w:tr>
      <w:tr w:rsidR="00226362" w:rsidRPr="009B605C" w14:paraId="50126A90" w14:textId="77777777" w:rsidTr="00D9004E">
        <w:trPr>
          <w:trHeight w:val="340"/>
        </w:trPr>
        <w:tc>
          <w:tcPr>
            <w:tcW w:w="1419" w:type="dxa"/>
            <w:noWrap/>
            <w:hideMark/>
          </w:tcPr>
          <w:p w14:paraId="7734508A"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China</w:t>
            </w:r>
          </w:p>
        </w:tc>
        <w:tc>
          <w:tcPr>
            <w:tcW w:w="872" w:type="dxa"/>
            <w:noWrap/>
            <w:hideMark/>
          </w:tcPr>
          <w:p w14:paraId="2D02BFC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11.13</w:t>
            </w:r>
          </w:p>
        </w:tc>
        <w:tc>
          <w:tcPr>
            <w:tcW w:w="1001" w:type="dxa"/>
            <w:noWrap/>
            <w:hideMark/>
          </w:tcPr>
          <w:p w14:paraId="5D83589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11.27</w:t>
            </w:r>
          </w:p>
        </w:tc>
        <w:tc>
          <w:tcPr>
            <w:tcW w:w="865" w:type="dxa"/>
            <w:noWrap/>
            <w:hideMark/>
          </w:tcPr>
          <w:p w14:paraId="12EB181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12.25</w:t>
            </w:r>
          </w:p>
        </w:tc>
        <w:tc>
          <w:tcPr>
            <w:tcW w:w="891" w:type="dxa"/>
            <w:noWrap/>
            <w:hideMark/>
          </w:tcPr>
          <w:p w14:paraId="6006EAE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32.39</w:t>
            </w:r>
          </w:p>
        </w:tc>
        <w:tc>
          <w:tcPr>
            <w:tcW w:w="815" w:type="dxa"/>
            <w:noWrap/>
            <w:hideMark/>
          </w:tcPr>
          <w:p w14:paraId="046EE95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12.97</w:t>
            </w:r>
          </w:p>
        </w:tc>
        <w:tc>
          <w:tcPr>
            <w:tcW w:w="769" w:type="dxa"/>
            <w:noWrap/>
            <w:hideMark/>
          </w:tcPr>
          <w:p w14:paraId="2DF9F89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10.12</w:t>
            </w:r>
          </w:p>
        </w:tc>
        <w:tc>
          <w:tcPr>
            <w:tcW w:w="938" w:type="dxa"/>
            <w:noWrap/>
            <w:hideMark/>
          </w:tcPr>
          <w:p w14:paraId="69C2476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9.87</w:t>
            </w:r>
          </w:p>
        </w:tc>
        <w:tc>
          <w:tcPr>
            <w:tcW w:w="1190" w:type="dxa"/>
            <w:noWrap/>
            <w:hideMark/>
          </w:tcPr>
          <w:p w14:paraId="5D39AA4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67.61</w:t>
            </w:r>
          </w:p>
        </w:tc>
        <w:tc>
          <w:tcPr>
            <w:tcW w:w="818" w:type="dxa"/>
            <w:noWrap/>
            <w:hideMark/>
          </w:tcPr>
          <w:p w14:paraId="0847708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11.06</w:t>
            </w:r>
          </w:p>
        </w:tc>
        <w:tc>
          <w:tcPr>
            <w:tcW w:w="939" w:type="dxa"/>
            <w:noWrap/>
            <w:hideMark/>
          </w:tcPr>
          <w:p w14:paraId="37B44D4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10.42</w:t>
            </w:r>
          </w:p>
        </w:tc>
        <w:tc>
          <w:tcPr>
            <w:tcW w:w="811" w:type="dxa"/>
            <w:noWrap/>
            <w:hideMark/>
          </w:tcPr>
          <w:p w14:paraId="1B06322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11.05</w:t>
            </w:r>
          </w:p>
        </w:tc>
        <w:tc>
          <w:tcPr>
            <w:tcW w:w="834" w:type="dxa"/>
            <w:noWrap/>
            <w:hideMark/>
          </w:tcPr>
          <w:p w14:paraId="57BFD2D2" w14:textId="48A7DED4"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31.6</w:t>
            </w:r>
            <w:r w:rsidR="00D521F8" w:rsidRPr="009B605C">
              <w:rPr>
                <w:rFonts w:ascii="Cambria" w:hAnsi="Cambria"/>
                <w:color w:val="000000"/>
                <w:sz w:val="20"/>
                <w:szCs w:val="20"/>
              </w:rPr>
              <w:t>0</w:t>
            </w:r>
          </w:p>
        </w:tc>
        <w:tc>
          <w:tcPr>
            <w:tcW w:w="984" w:type="dxa"/>
            <w:noWrap/>
            <w:hideMark/>
          </w:tcPr>
          <w:p w14:paraId="7507A06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13.69</w:t>
            </w:r>
          </w:p>
        </w:tc>
        <w:tc>
          <w:tcPr>
            <w:tcW w:w="811" w:type="dxa"/>
            <w:noWrap/>
            <w:hideMark/>
          </w:tcPr>
          <w:p w14:paraId="40A1484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11.63</w:t>
            </w:r>
          </w:p>
        </w:tc>
        <w:tc>
          <w:tcPr>
            <w:tcW w:w="989" w:type="dxa"/>
            <w:noWrap/>
            <w:hideMark/>
          </w:tcPr>
          <w:p w14:paraId="065F13A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10.55</w:t>
            </w:r>
          </w:p>
        </w:tc>
        <w:tc>
          <w:tcPr>
            <w:tcW w:w="1190" w:type="dxa"/>
            <w:noWrap/>
            <w:hideMark/>
          </w:tcPr>
          <w:p w14:paraId="0880CBAD" w14:textId="7FA6EB62"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68.4</w:t>
            </w:r>
            <w:r w:rsidR="00D521F8" w:rsidRPr="009B605C">
              <w:rPr>
                <w:rFonts w:ascii="Cambria" w:hAnsi="Cambria"/>
                <w:color w:val="000000"/>
                <w:sz w:val="20"/>
                <w:szCs w:val="20"/>
              </w:rPr>
              <w:t>0</w:t>
            </w:r>
          </w:p>
        </w:tc>
      </w:tr>
      <w:tr w:rsidR="00226362" w:rsidRPr="009B605C" w14:paraId="6B4EBB48" w14:textId="77777777" w:rsidTr="00D9004E">
        <w:trPr>
          <w:trHeight w:val="340"/>
        </w:trPr>
        <w:tc>
          <w:tcPr>
            <w:tcW w:w="1419" w:type="dxa"/>
            <w:noWrap/>
            <w:hideMark/>
          </w:tcPr>
          <w:p w14:paraId="6D8EF16C"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South Africa</w:t>
            </w:r>
          </w:p>
        </w:tc>
        <w:tc>
          <w:tcPr>
            <w:tcW w:w="872" w:type="dxa"/>
            <w:noWrap/>
            <w:hideMark/>
          </w:tcPr>
          <w:p w14:paraId="1FD0B7A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12.58</w:t>
            </w:r>
          </w:p>
        </w:tc>
        <w:tc>
          <w:tcPr>
            <w:tcW w:w="1001" w:type="dxa"/>
            <w:noWrap/>
            <w:hideMark/>
          </w:tcPr>
          <w:p w14:paraId="2521EEB7" w14:textId="6B20DA2D"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13.9</w:t>
            </w:r>
            <w:r w:rsidR="00D521F8" w:rsidRPr="009B605C">
              <w:rPr>
                <w:rFonts w:ascii="Cambria" w:hAnsi="Cambria"/>
                <w:color w:val="000000"/>
                <w:sz w:val="20"/>
                <w:szCs w:val="20"/>
              </w:rPr>
              <w:t>0</w:t>
            </w:r>
          </w:p>
        </w:tc>
        <w:tc>
          <w:tcPr>
            <w:tcW w:w="865" w:type="dxa"/>
            <w:noWrap/>
            <w:hideMark/>
          </w:tcPr>
          <w:p w14:paraId="21CF97A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13.37</w:t>
            </w:r>
          </w:p>
        </w:tc>
        <w:tc>
          <w:tcPr>
            <w:tcW w:w="891" w:type="dxa"/>
            <w:noWrap/>
            <w:hideMark/>
          </w:tcPr>
          <w:p w14:paraId="33FAC6B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11.81</w:t>
            </w:r>
          </w:p>
        </w:tc>
        <w:tc>
          <w:tcPr>
            <w:tcW w:w="815" w:type="dxa"/>
            <w:noWrap/>
            <w:hideMark/>
          </w:tcPr>
          <w:p w14:paraId="36A5AEB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29.36</w:t>
            </w:r>
          </w:p>
        </w:tc>
        <w:tc>
          <w:tcPr>
            <w:tcW w:w="769" w:type="dxa"/>
            <w:noWrap/>
            <w:hideMark/>
          </w:tcPr>
          <w:p w14:paraId="0D2CC60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9.49</w:t>
            </w:r>
          </w:p>
        </w:tc>
        <w:tc>
          <w:tcPr>
            <w:tcW w:w="938" w:type="dxa"/>
            <w:noWrap/>
            <w:hideMark/>
          </w:tcPr>
          <w:p w14:paraId="09B6A83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9.49</w:t>
            </w:r>
          </w:p>
        </w:tc>
        <w:tc>
          <w:tcPr>
            <w:tcW w:w="1190" w:type="dxa"/>
            <w:noWrap/>
            <w:hideMark/>
          </w:tcPr>
          <w:p w14:paraId="3F5FB7A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70.64</w:t>
            </w:r>
          </w:p>
        </w:tc>
        <w:tc>
          <w:tcPr>
            <w:tcW w:w="818" w:type="dxa"/>
            <w:noWrap/>
            <w:hideMark/>
          </w:tcPr>
          <w:p w14:paraId="561600B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12.19</w:t>
            </w:r>
          </w:p>
        </w:tc>
        <w:tc>
          <w:tcPr>
            <w:tcW w:w="939" w:type="dxa"/>
            <w:noWrap/>
            <w:hideMark/>
          </w:tcPr>
          <w:p w14:paraId="25269EB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10.42</w:t>
            </w:r>
          </w:p>
        </w:tc>
        <w:tc>
          <w:tcPr>
            <w:tcW w:w="811" w:type="dxa"/>
            <w:noWrap/>
            <w:hideMark/>
          </w:tcPr>
          <w:p w14:paraId="55A470D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12.25</w:t>
            </w:r>
          </w:p>
        </w:tc>
        <w:tc>
          <w:tcPr>
            <w:tcW w:w="834" w:type="dxa"/>
            <w:noWrap/>
            <w:hideMark/>
          </w:tcPr>
          <w:p w14:paraId="208A643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12.86</w:t>
            </w:r>
          </w:p>
        </w:tc>
        <w:tc>
          <w:tcPr>
            <w:tcW w:w="984" w:type="dxa"/>
            <w:noWrap/>
            <w:hideMark/>
          </w:tcPr>
          <w:p w14:paraId="78345A7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29.76</w:t>
            </w:r>
          </w:p>
        </w:tc>
        <w:tc>
          <w:tcPr>
            <w:tcW w:w="811" w:type="dxa"/>
            <w:noWrap/>
            <w:hideMark/>
          </w:tcPr>
          <w:p w14:paraId="0B7F6D1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12.23</w:t>
            </w:r>
          </w:p>
        </w:tc>
        <w:tc>
          <w:tcPr>
            <w:tcW w:w="989" w:type="dxa"/>
            <w:noWrap/>
            <w:hideMark/>
          </w:tcPr>
          <w:p w14:paraId="3287AC9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10.28</w:t>
            </w:r>
          </w:p>
        </w:tc>
        <w:tc>
          <w:tcPr>
            <w:tcW w:w="1190" w:type="dxa"/>
            <w:noWrap/>
            <w:hideMark/>
          </w:tcPr>
          <w:p w14:paraId="19F51C6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70.24</w:t>
            </w:r>
          </w:p>
        </w:tc>
      </w:tr>
      <w:tr w:rsidR="00226362" w:rsidRPr="009B605C" w14:paraId="15BA75BC" w14:textId="77777777" w:rsidTr="00D9004E">
        <w:trPr>
          <w:trHeight w:val="340"/>
        </w:trPr>
        <w:tc>
          <w:tcPr>
            <w:tcW w:w="1419" w:type="dxa"/>
            <w:noWrap/>
            <w:hideMark/>
          </w:tcPr>
          <w:p w14:paraId="4673B7A3"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Gold</w:t>
            </w:r>
          </w:p>
        </w:tc>
        <w:tc>
          <w:tcPr>
            <w:tcW w:w="872" w:type="dxa"/>
            <w:noWrap/>
            <w:hideMark/>
          </w:tcPr>
          <w:p w14:paraId="6058B31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10.99</w:t>
            </w:r>
          </w:p>
        </w:tc>
        <w:tc>
          <w:tcPr>
            <w:tcW w:w="1001" w:type="dxa"/>
            <w:noWrap/>
            <w:hideMark/>
          </w:tcPr>
          <w:p w14:paraId="45DA7E9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10.71</w:t>
            </w:r>
          </w:p>
        </w:tc>
        <w:tc>
          <w:tcPr>
            <w:tcW w:w="865" w:type="dxa"/>
            <w:noWrap/>
            <w:hideMark/>
          </w:tcPr>
          <w:p w14:paraId="6A3885B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10.69</w:t>
            </w:r>
          </w:p>
        </w:tc>
        <w:tc>
          <w:tcPr>
            <w:tcW w:w="891" w:type="dxa"/>
            <w:noWrap/>
            <w:hideMark/>
          </w:tcPr>
          <w:p w14:paraId="156F4D5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10.67</w:t>
            </w:r>
          </w:p>
        </w:tc>
        <w:tc>
          <w:tcPr>
            <w:tcW w:w="815" w:type="dxa"/>
            <w:noWrap/>
            <w:hideMark/>
          </w:tcPr>
          <w:p w14:paraId="69F61C5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10.97</w:t>
            </w:r>
          </w:p>
        </w:tc>
        <w:tc>
          <w:tcPr>
            <w:tcW w:w="769" w:type="dxa"/>
            <w:noWrap/>
            <w:hideMark/>
          </w:tcPr>
          <w:p w14:paraId="21A99EA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34.21</w:t>
            </w:r>
          </w:p>
        </w:tc>
        <w:tc>
          <w:tcPr>
            <w:tcW w:w="938" w:type="dxa"/>
            <w:noWrap/>
            <w:hideMark/>
          </w:tcPr>
          <w:p w14:paraId="03393CB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11.76</w:t>
            </w:r>
          </w:p>
        </w:tc>
        <w:tc>
          <w:tcPr>
            <w:tcW w:w="1190" w:type="dxa"/>
            <w:noWrap/>
            <w:hideMark/>
          </w:tcPr>
          <w:p w14:paraId="45DB51EF"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65.79</w:t>
            </w:r>
          </w:p>
        </w:tc>
        <w:tc>
          <w:tcPr>
            <w:tcW w:w="818" w:type="dxa"/>
            <w:noWrap/>
            <w:hideMark/>
          </w:tcPr>
          <w:p w14:paraId="09E317AB" w14:textId="1CB92273"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11.8</w:t>
            </w:r>
            <w:r w:rsidR="00D521F8" w:rsidRPr="009B605C">
              <w:rPr>
                <w:rFonts w:ascii="Cambria" w:hAnsi="Cambria"/>
                <w:color w:val="000000"/>
                <w:sz w:val="20"/>
                <w:szCs w:val="20"/>
              </w:rPr>
              <w:t>0</w:t>
            </w:r>
          </w:p>
        </w:tc>
        <w:tc>
          <w:tcPr>
            <w:tcW w:w="939" w:type="dxa"/>
            <w:noWrap/>
            <w:hideMark/>
          </w:tcPr>
          <w:p w14:paraId="680FBD6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10.19</w:t>
            </w:r>
          </w:p>
        </w:tc>
        <w:tc>
          <w:tcPr>
            <w:tcW w:w="811" w:type="dxa"/>
            <w:noWrap/>
            <w:hideMark/>
          </w:tcPr>
          <w:p w14:paraId="3EE31BA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11.12</w:t>
            </w:r>
          </w:p>
        </w:tc>
        <w:tc>
          <w:tcPr>
            <w:tcW w:w="834" w:type="dxa"/>
            <w:noWrap/>
            <w:hideMark/>
          </w:tcPr>
          <w:p w14:paraId="29A87E5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11.79</w:t>
            </w:r>
          </w:p>
        </w:tc>
        <w:tc>
          <w:tcPr>
            <w:tcW w:w="984" w:type="dxa"/>
            <w:noWrap/>
            <w:hideMark/>
          </w:tcPr>
          <w:p w14:paraId="400434BD"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12.96</w:t>
            </w:r>
          </w:p>
        </w:tc>
        <w:tc>
          <w:tcPr>
            <w:tcW w:w="811" w:type="dxa"/>
            <w:noWrap/>
            <w:hideMark/>
          </w:tcPr>
          <w:p w14:paraId="7C67FBA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31.95</w:t>
            </w:r>
          </w:p>
        </w:tc>
        <w:tc>
          <w:tcPr>
            <w:tcW w:w="989" w:type="dxa"/>
            <w:noWrap/>
            <w:hideMark/>
          </w:tcPr>
          <w:p w14:paraId="3C2EB42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10.19</w:t>
            </w:r>
          </w:p>
        </w:tc>
        <w:tc>
          <w:tcPr>
            <w:tcW w:w="1190" w:type="dxa"/>
            <w:noWrap/>
            <w:hideMark/>
          </w:tcPr>
          <w:p w14:paraId="66C103C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68.05</w:t>
            </w:r>
          </w:p>
        </w:tc>
      </w:tr>
      <w:tr w:rsidR="00226362" w:rsidRPr="009B605C" w14:paraId="6F71DD7A" w14:textId="77777777" w:rsidTr="00D9004E">
        <w:trPr>
          <w:trHeight w:val="340"/>
        </w:trPr>
        <w:tc>
          <w:tcPr>
            <w:tcW w:w="1419" w:type="dxa"/>
            <w:noWrap/>
            <w:hideMark/>
          </w:tcPr>
          <w:p w14:paraId="2D43669E"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Crypto</w:t>
            </w:r>
          </w:p>
        </w:tc>
        <w:tc>
          <w:tcPr>
            <w:tcW w:w="872" w:type="dxa"/>
            <w:noWrap/>
            <w:hideMark/>
          </w:tcPr>
          <w:p w14:paraId="0DC4938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11.41</w:t>
            </w:r>
          </w:p>
        </w:tc>
        <w:tc>
          <w:tcPr>
            <w:tcW w:w="1001" w:type="dxa"/>
            <w:noWrap/>
            <w:hideMark/>
          </w:tcPr>
          <w:p w14:paraId="495BF9C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11.06</w:t>
            </w:r>
          </w:p>
        </w:tc>
        <w:tc>
          <w:tcPr>
            <w:tcW w:w="865" w:type="dxa"/>
            <w:noWrap/>
            <w:hideMark/>
          </w:tcPr>
          <w:p w14:paraId="688B3F4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10.47</w:t>
            </w:r>
          </w:p>
        </w:tc>
        <w:tc>
          <w:tcPr>
            <w:tcW w:w="891" w:type="dxa"/>
            <w:noWrap/>
            <w:hideMark/>
          </w:tcPr>
          <w:p w14:paraId="4107992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10.38</w:t>
            </w:r>
          </w:p>
        </w:tc>
        <w:tc>
          <w:tcPr>
            <w:tcW w:w="815" w:type="dxa"/>
            <w:noWrap/>
            <w:hideMark/>
          </w:tcPr>
          <w:p w14:paraId="5B8A570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10.91</w:t>
            </w:r>
          </w:p>
        </w:tc>
        <w:tc>
          <w:tcPr>
            <w:tcW w:w="769" w:type="dxa"/>
            <w:noWrap/>
            <w:hideMark/>
          </w:tcPr>
          <w:p w14:paraId="6538E7A1" w14:textId="07115051"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11.7</w:t>
            </w:r>
            <w:r w:rsidR="00D521F8" w:rsidRPr="009B605C">
              <w:rPr>
                <w:rFonts w:ascii="Cambria" w:hAnsi="Cambria"/>
                <w:color w:val="000000"/>
                <w:sz w:val="20"/>
                <w:szCs w:val="20"/>
              </w:rPr>
              <w:t>0</w:t>
            </w:r>
          </w:p>
        </w:tc>
        <w:tc>
          <w:tcPr>
            <w:tcW w:w="938" w:type="dxa"/>
            <w:noWrap/>
            <w:hideMark/>
          </w:tcPr>
          <w:p w14:paraId="531AE7A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34.08</w:t>
            </w:r>
          </w:p>
        </w:tc>
        <w:tc>
          <w:tcPr>
            <w:tcW w:w="1190" w:type="dxa"/>
            <w:noWrap/>
            <w:hideMark/>
          </w:tcPr>
          <w:p w14:paraId="4A35B52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65.92</w:t>
            </w:r>
          </w:p>
        </w:tc>
        <w:tc>
          <w:tcPr>
            <w:tcW w:w="818" w:type="dxa"/>
            <w:noWrap/>
            <w:hideMark/>
          </w:tcPr>
          <w:p w14:paraId="0974727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12.01</w:t>
            </w:r>
          </w:p>
        </w:tc>
        <w:tc>
          <w:tcPr>
            <w:tcW w:w="939" w:type="dxa"/>
            <w:noWrap/>
            <w:hideMark/>
          </w:tcPr>
          <w:p w14:paraId="53570C8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10.83</w:t>
            </w:r>
          </w:p>
        </w:tc>
        <w:tc>
          <w:tcPr>
            <w:tcW w:w="811" w:type="dxa"/>
            <w:noWrap/>
            <w:hideMark/>
          </w:tcPr>
          <w:p w14:paraId="4D8868B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10.86</w:t>
            </w:r>
          </w:p>
        </w:tc>
        <w:tc>
          <w:tcPr>
            <w:tcW w:w="834" w:type="dxa"/>
            <w:noWrap/>
            <w:hideMark/>
          </w:tcPr>
          <w:p w14:paraId="05260DE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11.02</w:t>
            </w:r>
          </w:p>
        </w:tc>
        <w:tc>
          <w:tcPr>
            <w:tcW w:w="984" w:type="dxa"/>
            <w:noWrap/>
            <w:hideMark/>
          </w:tcPr>
          <w:p w14:paraId="1FEEF23D" w14:textId="489610FF"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11.4</w:t>
            </w:r>
            <w:r w:rsidR="00D521F8" w:rsidRPr="009B605C">
              <w:rPr>
                <w:rFonts w:ascii="Cambria" w:hAnsi="Cambria"/>
                <w:color w:val="000000"/>
                <w:sz w:val="20"/>
                <w:szCs w:val="20"/>
              </w:rPr>
              <w:t>0</w:t>
            </w:r>
          </w:p>
        </w:tc>
        <w:tc>
          <w:tcPr>
            <w:tcW w:w="811" w:type="dxa"/>
            <w:noWrap/>
            <w:hideMark/>
          </w:tcPr>
          <w:p w14:paraId="2CCFD9EA"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10.52</w:t>
            </w:r>
          </w:p>
        </w:tc>
        <w:tc>
          <w:tcPr>
            <w:tcW w:w="989" w:type="dxa"/>
            <w:noWrap/>
            <w:hideMark/>
          </w:tcPr>
          <w:p w14:paraId="3CE7B1F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33.35</w:t>
            </w:r>
          </w:p>
        </w:tc>
        <w:tc>
          <w:tcPr>
            <w:tcW w:w="1190" w:type="dxa"/>
            <w:noWrap/>
            <w:hideMark/>
          </w:tcPr>
          <w:p w14:paraId="1FA3F16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66.65</w:t>
            </w:r>
          </w:p>
        </w:tc>
      </w:tr>
      <w:tr w:rsidR="00226362" w:rsidRPr="009B605C" w14:paraId="75C9EE8F" w14:textId="77777777" w:rsidTr="00D9004E">
        <w:trPr>
          <w:trHeight w:val="340"/>
        </w:trPr>
        <w:tc>
          <w:tcPr>
            <w:tcW w:w="1419" w:type="dxa"/>
            <w:noWrap/>
            <w:hideMark/>
          </w:tcPr>
          <w:p w14:paraId="7E4A8D53"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TO</w:t>
            </w:r>
          </w:p>
        </w:tc>
        <w:tc>
          <w:tcPr>
            <w:tcW w:w="872" w:type="dxa"/>
            <w:noWrap/>
            <w:hideMark/>
          </w:tcPr>
          <w:p w14:paraId="0D1C9AA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70.85</w:t>
            </w:r>
          </w:p>
        </w:tc>
        <w:tc>
          <w:tcPr>
            <w:tcW w:w="1001" w:type="dxa"/>
            <w:noWrap/>
            <w:hideMark/>
          </w:tcPr>
          <w:p w14:paraId="1D66732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72.34</w:t>
            </w:r>
          </w:p>
        </w:tc>
        <w:tc>
          <w:tcPr>
            <w:tcW w:w="865" w:type="dxa"/>
            <w:noWrap/>
            <w:hideMark/>
          </w:tcPr>
          <w:p w14:paraId="7E5C819F" w14:textId="77C4AB61"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71.1</w:t>
            </w:r>
            <w:r w:rsidR="00D521F8" w:rsidRPr="009B605C">
              <w:rPr>
                <w:rFonts w:ascii="Cambria" w:hAnsi="Cambria"/>
                <w:color w:val="000000"/>
                <w:sz w:val="20"/>
                <w:szCs w:val="20"/>
              </w:rPr>
              <w:t>0</w:t>
            </w:r>
          </w:p>
        </w:tc>
        <w:tc>
          <w:tcPr>
            <w:tcW w:w="891" w:type="dxa"/>
            <w:noWrap/>
            <w:hideMark/>
          </w:tcPr>
          <w:p w14:paraId="3DE5A48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65.77</w:t>
            </w:r>
          </w:p>
        </w:tc>
        <w:tc>
          <w:tcPr>
            <w:tcW w:w="815" w:type="dxa"/>
            <w:noWrap/>
            <w:hideMark/>
          </w:tcPr>
          <w:p w14:paraId="2DE59AF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76.34</w:t>
            </w:r>
          </w:p>
        </w:tc>
        <w:tc>
          <w:tcPr>
            <w:tcW w:w="769" w:type="dxa"/>
            <w:noWrap/>
            <w:hideMark/>
          </w:tcPr>
          <w:p w14:paraId="5C760FD4"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60.54</w:t>
            </w:r>
          </w:p>
        </w:tc>
        <w:tc>
          <w:tcPr>
            <w:tcW w:w="938" w:type="dxa"/>
            <w:noWrap/>
            <w:hideMark/>
          </w:tcPr>
          <w:p w14:paraId="384A10A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60.95</w:t>
            </w:r>
          </w:p>
        </w:tc>
        <w:tc>
          <w:tcPr>
            <w:tcW w:w="1190" w:type="dxa"/>
            <w:noWrap/>
            <w:hideMark/>
          </w:tcPr>
          <w:p w14:paraId="0C6DD24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477.88</w:t>
            </w:r>
          </w:p>
        </w:tc>
        <w:tc>
          <w:tcPr>
            <w:tcW w:w="818" w:type="dxa"/>
            <w:noWrap/>
            <w:hideMark/>
          </w:tcPr>
          <w:p w14:paraId="6C29A29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68.87</w:t>
            </w:r>
          </w:p>
        </w:tc>
        <w:tc>
          <w:tcPr>
            <w:tcW w:w="939" w:type="dxa"/>
            <w:noWrap/>
            <w:hideMark/>
          </w:tcPr>
          <w:p w14:paraId="144EA9A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61.65</w:t>
            </w:r>
          </w:p>
        </w:tc>
        <w:tc>
          <w:tcPr>
            <w:tcW w:w="811" w:type="dxa"/>
            <w:noWrap/>
            <w:hideMark/>
          </w:tcPr>
          <w:p w14:paraId="28CE8997" w14:textId="0169DFF2"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66.8</w:t>
            </w:r>
            <w:r w:rsidR="00D521F8" w:rsidRPr="009B605C">
              <w:rPr>
                <w:rFonts w:ascii="Cambria" w:hAnsi="Cambria"/>
                <w:color w:val="000000"/>
                <w:sz w:val="20"/>
                <w:szCs w:val="20"/>
              </w:rPr>
              <w:t>0</w:t>
            </w:r>
          </w:p>
        </w:tc>
        <w:tc>
          <w:tcPr>
            <w:tcW w:w="834" w:type="dxa"/>
            <w:noWrap/>
            <w:hideMark/>
          </w:tcPr>
          <w:p w14:paraId="16812240"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69.24</w:t>
            </w:r>
          </w:p>
        </w:tc>
        <w:tc>
          <w:tcPr>
            <w:tcW w:w="984" w:type="dxa"/>
            <w:noWrap/>
            <w:hideMark/>
          </w:tcPr>
          <w:p w14:paraId="730BB42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76.27</w:t>
            </w:r>
          </w:p>
        </w:tc>
        <w:tc>
          <w:tcPr>
            <w:tcW w:w="811" w:type="dxa"/>
            <w:noWrap/>
            <w:hideMark/>
          </w:tcPr>
          <w:p w14:paraId="230B6A9A" w14:textId="3F4DA5FA"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68.3</w:t>
            </w:r>
            <w:r w:rsidR="00D521F8" w:rsidRPr="009B605C">
              <w:rPr>
                <w:rFonts w:ascii="Cambria" w:hAnsi="Cambria"/>
                <w:color w:val="000000"/>
                <w:sz w:val="20"/>
                <w:szCs w:val="20"/>
              </w:rPr>
              <w:t>0</w:t>
            </w:r>
          </w:p>
        </w:tc>
        <w:tc>
          <w:tcPr>
            <w:tcW w:w="989" w:type="dxa"/>
            <w:noWrap/>
            <w:hideMark/>
          </w:tcPr>
          <w:p w14:paraId="08056A6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64.26</w:t>
            </w:r>
          </w:p>
        </w:tc>
        <w:tc>
          <w:tcPr>
            <w:tcW w:w="1190" w:type="dxa"/>
            <w:noWrap/>
            <w:hideMark/>
          </w:tcPr>
          <w:p w14:paraId="52CF4D01"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475.39</w:t>
            </w:r>
          </w:p>
        </w:tc>
      </w:tr>
      <w:tr w:rsidR="00226362" w:rsidRPr="009B605C" w14:paraId="3D83BB6E" w14:textId="77777777" w:rsidTr="00D9004E">
        <w:trPr>
          <w:trHeight w:val="340"/>
        </w:trPr>
        <w:tc>
          <w:tcPr>
            <w:tcW w:w="1419" w:type="dxa"/>
            <w:tcBorders>
              <w:bottom w:val="double" w:sz="4" w:space="0" w:color="auto"/>
            </w:tcBorders>
            <w:noWrap/>
            <w:hideMark/>
          </w:tcPr>
          <w:p w14:paraId="5ED1E3ED"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NET</w:t>
            </w:r>
          </w:p>
        </w:tc>
        <w:tc>
          <w:tcPr>
            <w:tcW w:w="872" w:type="dxa"/>
            <w:tcBorders>
              <w:bottom w:val="double" w:sz="4" w:space="0" w:color="auto"/>
            </w:tcBorders>
            <w:noWrap/>
            <w:hideMark/>
          </w:tcPr>
          <w:p w14:paraId="3521DE3B"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1.73</w:t>
            </w:r>
          </w:p>
        </w:tc>
        <w:tc>
          <w:tcPr>
            <w:tcW w:w="1001" w:type="dxa"/>
            <w:tcBorders>
              <w:bottom w:val="double" w:sz="4" w:space="0" w:color="auto"/>
            </w:tcBorders>
            <w:noWrap/>
            <w:hideMark/>
          </w:tcPr>
          <w:p w14:paraId="6F573CD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2.84</w:t>
            </w:r>
          </w:p>
        </w:tc>
        <w:tc>
          <w:tcPr>
            <w:tcW w:w="865" w:type="dxa"/>
            <w:tcBorders>
              <w:bottom w:val="double" w:sz="4" w:space="0" w:color="auto"/>
            </w:tcBorders>
            <w:noWrap/>
            <w:hideMark/>
          </w:tcPr>
          <w:p w14:paraId="00C537C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1.81</w:t>
            </w:r>
          </w:p>
        </w:tc>
        <w:tc>
          <w:tcPr>
            <w:tcW w:w="891" w:type="dxa"/>
            <w:tcBorders>
              <w:bottom w:val="double" w:sz="4" w:space="0" w:color="auto"/>
            </w:tcBorders>
            <w:noWrap/>
            <w:hideMark/>
          </w:tcPr>
          <w:p w14:paraId="28F8BD82"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-1.84</w:t>
            </w:r>
          </w:p>
        </w:tc>
        <w:tc>
          <w:tcPr>
            <w:tcW w:w="815" w:type="dxa"/>
            <w:tcBorders>
              <w:bottom w:val="double" w:sz="4" w:space="0" w:color="auto"/>
            </w:tcBorders>
            <w:noWrap/>
            <w:hideMark/>
          </w:tcPr>
          <w:p w14:paraId="698AE843"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5.69</w:t>
            </w:r>
          </w:p>
        </w:tc>
        <w:tc>
          <w:tcPr>
            <w:tcW w:w="769" w:type="dxa"/>
            <w:tcBorders>
              <w:bottom w:val="double" w:sz="4" w:space="0" w:color="auto"/>
            </w:tcBorders>
            <w:noWrap/>
            <w:hideMark/>
          </w:tcPr>
          <w:p w14:paraId="10FD34FC"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-5.26</w:t>
            </w:r>
          </w:p>
        </w:tc>
        <w:tc>
          <w:tcPr>
            <w:tcW w:w="938" w:type="dxa"/>
            <w:tcBorders>
              <w:bottom w:val="double" w:sz="4" w:space="0" w:color="auto"/>
            </w:tcBorders>
            <w:noWrap/>
            <w:hideMark/>
          </w:tcPr>
          <w:p w14:paraId="5CE67339"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-4.98</w:t>
            </w:r>
          </w:p>
        </w:tc>
        <w:tc>
          <w:tcPr>
            <w:tcW w:w="1190" w:type="dxa"/>
            <w:tcBorders>
              <w:bottom w:val="double" w:sz="4" w:space="0" w:color="auto"/>
            </w:tcBorders>
            <w:noWrap/>
            <w:hideMark/>
          </w:tcPr>
          <w:p w14:paraId="0FDF3D15"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TCI=68.27</w:t>
            </w:r>
          </w:p>
        </w:tc>
        <w:tc>
          <w:tcPr>
            <w:tcW w:w="818" w:type="dxa"/>
            <w:tcBorders>
              <w:bottom w:val="double" w:sz="4" w:space="0" w:color="auto"/>
            </w:tcBorders>
            <w:noWrap/>
            <w:hideMark/>
          </w:tcPr>
          <w:p w14:paraId="02370D46"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0.58</w:t>
            </w:r>
          </w:p>
        </w:tc>
        <w:tc>
          <w:tcPr>
            <w:tcW w:w="939" w:type="dxa"/>
            <w:tcBorders>
              <w:bottom w:val="double" w:sz="4" w:space="0" w:color="auto"/>
            </w:tcBorders>
            <w:noWrap/>
            <w:hideMark/>
          </w:tcPr>
          <w:p w14:paraId="1504E437"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-4.28</w:t>
            </w:r>
          </w:p>
        </w:tc>
        <w:tc>
          <w:tcPr>
            <w:tcW w:w="811" w:type="dxa"/>
            <w:tcBorders>
              <w:bottom w:val="double" w:sz="4" w:space="0" w:color="auto"/>
            </w:tcBorders>
            <w:noWrap/>
            <w:hideMark/>
          </w:tcPr>
          <w:p w14:paraId="77B3C4C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-1.04</w:t>
            </w:r>
          </w:p>
        </w:tc>
        <w:tc>
          <w:tcPr>
            <w:tcW w:w="834" w:type="dxa"/>
            <w:tcBorders>
              <w:bottom w:val="double" w:sz="4" w:space="0" w:color="auto"/>
            </w:tcBorders>
            <w:noWrap/>
            <w:hideMark/>
          </w:tcPr>
          <w:p w14:paraId="46912358"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0.84</w:t>
            </w:r>
          </w:p>
        </w:tc>
        <w:tc>
          <w:tcPr>
            <w:tcW w:w="984" w:type="dxa"/>
            <w:tcBorders>
              <w:bottom w:val="double" w:sz="4" w:space="0" w:color="auto"/>
            </w:tcBorders>
            <w:noWrap/>
            <w:hideMark/>
          </w:tcPr>
          <w:p w14:paraId="4905B60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6.04</w:t>
            </w:r>
          </w:p>
        </w:tc>
        <w:tc>
          <w:tcPr>
            <w:tcW w:w="811" w:type="dxa"/>
            <w:tcBorders>
              <w:bottom w:val="double" w:sz="4" w:space="0" w:color="auto"/>
            </w:tcBorders>
            <w:noWrap/>
            <w:hideMark/>
          </w:tcPr>
          <w:p w14:paraId="7B24A97E"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0.25</w:t>
            </w:r>
          </w:p>
        </w:tc>
        <w:tc>
          <w:tcPr>
            <w:tcW w:w="989" w:type="dxa"/>
            <w:tcBorders>
              <w:bottom w:val="double" w:sz="4" w:space="0" w:color="auto"/>
            </w:tcBorders>
            <w:noWrap/>
            <w:hideMark/>
          </w:tcPr>
          <w:p w14:paraId="48873225" w14:textId="77777777" w:rsidR="00226362" w:rsidRPr="009B605C" w:rsidRDefault="00226362" w:rsidP="0087752F">
            <w:pPr>
              <w:jc w:val="right"/>
              <w:rPr>
                <w:rFonts w:ascii="Cambria" w:hAnsi="Cambria"/>
                <w:color w:val="000000"/>
                <w:sz w:val="20"/>
                <w:szCs w:val="20"/>
              </w:rPr>
            </w:pPr>
            <w:r w:rsidRPr="009B605C">
              <w:rPr>
                <w:rFonts w:ascii="Cambria" w:hAnsi="Cambria"/>
                <w:color w:val="000000"/>
                <w:sz w:val="20"/>
                <w:szCs w:val="20"/>
              </w:rPr>
              <w:t>-2.39</w:t>
            </w:r>
          </w:p>
        </w:tc>
        <w:tc>
          <w:tcPr>
            <w:tcW w:w="1190" w:type="dxa"/>
            <w:tcBorders>
              <w:bottom w:val="double" w:sz="4" w:space="0" w:color="auto"/>
            </w:tcBorders>
            <w:noWrap/>
            <w:hideMark/>
          </w:tcPr>
          <w:p w14:paraId="059B9A86" w14:textId="77777777" w:rsidR="00226362" w:rsidRPr="009B605C" w:rsidRDefault="00226362" w:rsidP="0087752F">
            <w:pPr>
              <w:rPr>
                <w:rFonts w:ascii="Cambria" w:hAnsi="Cambria"/>
                <w:color w:val="000000"/>
                <w:sz w:val="20"/>
                <w:szCs w:val="20"/>
              </w:rPr>
            </w:pPr>
            <w:r w:rsidRPr="009B605C">
              <w:rPr>
                <w:rFonts w:ascii="Cambria" w:hAnsi="Cambria"/>
                <w:color w:val="000000"/>
                <w:sz w:val="20"/>
                <w:szCs w:val="20"/>
              </w:rPr>
              <w:t>TCI=67.91</w:t>
            </w:r>
          </w:p>
        </w:tc>
      </w:tr>
    </w:tbl>
    <w:p w14:paraId="0F57B312" w14:textId="718498D0" w:rsidR="0082061B" w:rsidRPr="009B605C" w:rsidRDefault="00D9004E" w:rsidP="0087752F">
      <w:pPr>
        <w:ind w:left="-1134" w:right="-1068"/>
        <w:rPr>
          <w:rFonts w:ascii="Cambria" w:hAnsi="Cambria"/>
          <w:sz w:val="20"/>
          <w:szCs w:val="20"/>
        </w:rPr>
      </w:pPr>
      <w:r w:rsidRPr="009B605C">
        <w:rPr>
          <w:rFonts w:ascii="Cambria" w:hAnsi="Cambria"/>
          <w:sz w:val="20"/>
          <w:szCs w:val="20"/>
        </w:rPr>
        <w:t>Note: The table presents the estimates from the quantile directional spillover analysis for pre- and post-conflict announcement periods across different quantiles,</w:t>
      </w:r>
      <w:r w:rsidRPr="009B605C">
        <w:rPr>
          <w:rFonts w:ascii="Cambria" w:hAnsi="Cambria"/>
          <w:b/>
          <w:bCs/>
          <w:color w:val="000000"/>
          <w:sz w:val="20"/>
          <w:szCs w:val="20"/>
        </w:rPr>
        <w:t xml:space="preserve"> </w:t>
      </w:r>
      <m:oMath>
        <m:r>
          <w:rPr>
            <w:rFonts w:ascii="Cambria Math" w:eastAsia="Arial" w:hAnsi="Cambria Math"/>
            <w:sz w:val="20"/>
            <w:szCs w:val="20"/>
          </w:rPr>
          <m:t>τ</m:t>
        </m:r>
      </m:oMath>
      <w:r w:rsidRPr="009B605C">
        <w:rPr>
          <w:rFonts w:ascii="Cambria" w:hAnsi="Cambria"/>
          <w:sz w:val="20"/>
          <w:szCs w:val="20"/>
        </w:rPr>
        <w:t xml:space="preserve">. TCI </w:t>
      </w:r>
      <w:r w:rsidR="00A615EA" w:rsidRPr="009B605C">
        <w:rPr>
          <w:rFonts w:ascii="Cambria" w:hAnsi="Cambria"/>
          <w:sz w:val="20"/>
          <w:szCs w:val="20"/>
        </w:rPr>
        <w:t>refers to the</w:t>
      </w:r>
      <w:r w:rsidRPr="009B605C">
        <w:rPr>
          <w:rFonts w:ascii="Cambria" w:hAnsi="Cambria"/>
          <w:sz w:val="20"/>
          <w:szCs w:val="20"/>
        </w:rPr>
        <w:t xml:space="preserve"> Total Connectedness Index.</w:t>
      </w:r>
    </w:p>
    <w:p w14:paraId="13C0021E" w14:textId="77777777" w:rsidR="0082061B" w:rsidRPr="009B605C" w:rsidRDefault="0082061B" w:rsidP="0087752F">
      <w:pPr>
        <w:rPr>
          <w:rFonts w:ascii="Cambria" w:hAnsi="Cambria"/>
        </w:rPr>
      </w:pPr>
    </w:p>
    <w:p w14:paraId="3D7DE202" w14:textId="77777777" w:rsidR="0082061B" w:rsidRPr="009B605C" w:rsidRDefault="0082061B" w:rsidP="0087752F">
      <w:pPr>
        <w:rPr>
          <w:rFonts w:ascii="Cambria" w:hAnsi="Cambria"/>
        </w:rPr>
      </w:pPr>
    </w:p>
    <w:p w14:paraId="354F8E1A" w14:textId="77777777" w:rsidR="0082061B" w:rsidRPr="009B605C" w:rsidRDefault="0082061B" w:rsidP="0087752F">
      <w:pPr>
        <w:rPr>
          <w:rFonts w:ascii="Cambria" w:hAnsi="Cambria"/>
        </w:rPr>
      </w:pPr>
    </w:p>
    <w:p w14:paraId="75F90182" w14:textId="77777777" w:rsidR="0082061B" w:rsidRPr="009B605C" w:rsidRDefault="0082061B" w:rsidP="0087752F">
      <w:pPr>
        <w:rPr>
          <w:rFonts w:ascii="Cambria" w:hAnsi="Cambria"/>
        </w:rPr>
      </w:pPr>
    </w:p>
    <w:p w14:paraId="7B1200CF" w14:textId="77777777" w:rsidR="0082061B" w:rsidRPr="009B605C" w:rsidRDefault="0082061B" w:rsidP="0087752F">
      <w:pPr>
        <w:rPr>
          <w:rFonts w:ascii="Cambria" w:hAnsi="Cambria"/>
        </w:rPr>
      </w:pPr>
    </w:p>
    <w:p w14:paraId="6CDA9F18" w14:textId="77777777" w:rsidR="0082061B" w:rsidRPr="009B605C" w:rsidRDefault="0082061B" w:rsidP="0087752F">
      <w:pPr>
        <w:rPr>
          <w:rFonts w:ascii="Cambria" w:hAnsi="Cambria"/>
        </w:rPr>
      </w:pPr>
    </w:p>
    <w:p w14:paraId="6652C42B" w14:textId="77777777" w:rsidR="0082061B" w:rsidRPr="009B605C" w:rsidRDefault="0082061B" w:rsidP="0087752F">
      <w:pPr>
        <w:rPr>
          <w:rFonts w:ascii="Cambria" w:hAnsi="Cambria"/>
        </w:rPr>
      </w:pPr>
    </w:p>
    <w:p w14:paraId="011A082F" w14:textId="77777777" w:rsidR="0082061B" w:rsidRPr="009B605C" w:rsidRDefault="0082061B" w:rsidP="0087752F">
      <w:pPr>
        <w:rPr>
          <w:rFonts w:ascii="Cambria" w:hAnsi="Cambria"/>
        </w:rPr>
      </w:pPr>
    </w:p>
    <w:p w14:paraId="78068E6C" w14:textId="77777777" w:rsidR="00A615EA" w:rsidRPr="009B605C" w:rsidRDefault="00A615EA" w:rsidP="0087752F">
      <w:pPr>
        <w:rPr>
          <w:rFonts w:ascii="Cambria" w:hAnsi="Cambria"/>
        </w:rPr>
      </w:pPr>
    </w:p>
    <w:p w14:paraId="5062435C" w14:textId="77777777" w:rsidR="00A615EA" w:rsidRPr="009B605C" w:rsidRDefault="00A615EA" w:rsidP="0087752F">
      <w:pPr>
        <w:rPr>
          <w:rFonts w:ascii="Cambria" w:hAnsi="Cambria"/>
        </w:rPr>
      </w:pPr>
    </w:p>
    <w:p w14:paraId="10EF2759" w14:textId="77777777" w:rsidR="00A615EA" w:rsidRPr="009B605C" w:rsidRDefault="00A615EA" w:rsidP="0087752F">
      <w:pPr>
        <w:rPr>
          <w:rFonts w:ascii="Cambria" w:hAnsi="Cambria"/>
        </w:rPr>
      </w:pPr>
    </w:p>
    <w:p w14:paraId="44C72389" w14:textId="77777777" w:rsidR="00A615EA" w:rsidRPr="009B605C" w:rsidRDefault="00A615EA" w:rsidP="0087752F">
      <w:pPr>
        <w:rPr>
          <w:rFonts w:ascii="Cambria" w:hAnsi="Cambria"/>
        </w:rPr>
      </w:pPr>
    </w:p>
    <w:p w14:paraId="0DECFE10" w14:textId="77777777" w:rsidR="00A615EA" w:rsidRPr="009B605C" w:rsidRDefault="00A615EA" w:rsidP="0087752F">
      <w:pPr>
        <w:rPr>
          <w:rFonts w:ascii="Cambria" w:hAnsi="Cambria"/>
        </w:rPr>
      </w:pPr>
    </w:p>
    <w:p w14:paraId="14A459EA" w14:textId="77777777" w:rsidR="00A615EA" w:rsidRPr="009B605C" w:rsidRDefault="00A615EA" w:rsidP="0087752F">
      <w:pPr>
        <w:rPr>
          <w:rFonts w:ascii="Cambria" w:hAnsi="Cambria"/>
        </w:rPr>
      </w:pPr>
    </w:p>
    <w:p w14:paraId="03CF218B" w14:textId="77777777" w:rsidR="00A615EA" w:rsidRPr="009B605C" w:rsidRDefault="00A615EA" w:rsidP="0087752F">
      <w:pPr>
        <w:rPr>
          <w:rFonts w:ascii="Cambria" w:hAnsi="Cambria"/>
        </w:rPr>
      </w:pPr>
    </w:p>
    <w:p w14:paraId="77629044" w14:textId="77777777" w:rsidR="00A615EA" w:rsidRPr="009B605C" w:rsidRDefault="00A615EA" w:rsidP="0087752F">
      <w:pPr>
        <w:rPr>
          <w:rFonts w:ascii="Cambria" w:hAnsi="Cambria"/>
        </w:rPr>
      </w:pPr>
    </w:p>
    <w:p w14:paraId="54AE532F" w14:textId="77777777" w:rsidR="00A615EA" w:rsidRPr="009B605C" w:rsidRDefault="00A615EA" w:rsidP="0087752F">
      <w:pPr>
        <w:rPr>
          <w:rFonts w:ascii="Cambria" w:hAnsi="Cambria"/>
        </w:rPr>
      </w:pPr>
    </w:p>
    <w:p w14:paraId="014B4E7D" w14:textId="77777777" w:rsidR="00A615EA" w:rsidRPr="009B605C" w:rsidRDefault="00A615EA" w:rsidP="0087752F">
      <w:pPr>
        <w:rPr>
          <w:rFonts w:ascii="Cambria" w:hAnsi="Cambria"/>
        </w:rPr>
      </w:pPr>
    </w:p>
    <w:p w14:paraId="6C794318" w14:textId="77777777" w:rsidR="00A615EA" w:rsidRPr="009B605C" w:rsidRDefault="00A615EA" w:rsidP="0087752F">
      <w:pPr>
        <w:rPr>
          <w:rFonts w:ascii="Cambria" w:hAnsi="Cambria"/>
        </w:rPr>
      </w:pPr>
    </w:p>
    <w:p w14:paraId="1590C131" w14:textId="77777777" w:rsidR="00A615EA" w:rsidRPr="009B605C" w:rsidRDefault="00A615EA" w:rsidP="0087752F">
      <w:pPr>
        <w:rPr>
          <w:rFonts w:ascii="Cambria" w:hAnsi="Cambria"/>
        </w:rPr>
      </w:pPr>
    </w:p>
    <w:p w14:paraId="4A0CEBA6" w14:textId="77777777" w:rsidR="00A615EA" w:rsidRPr="009B605C" w:rsidRDefault="00A615EA" w:rsidP="0087752F">
      <w:pPr>
        <w:rPr>
          <w:rFonts w:ascii="Cambria" w:hAnsi="Cambria"/>
        </w:rPr>
        <w:sectPr w:rsidR="00A615EA" w:rsidRPr="009B605C" w:rsidSect="00226362">
          <w:pgSz w:w="16838" w:h="11906" w:orient="landscape"/>
          <w:pgMar w:top="1440" w:right="1440" w:bottom="1440" w:left="1440" w:header="708" w:footer="708" w:gutter="0"/>
          <w:cols w:space="708"/>
          <w:docGrid w:linePitch="360"/>
        </w:sectPr>
      </w:pPr>
    </w:p>
    <w:p w14:paraId="46463308" w14:textId="1E80921E" w:rsidR="00226362" w:rsidRPr="009B605C" w:rsidRDefault="00226362" w:rsidP="0087752F">
      <w:pPr>
        <w:rPr>
          <w:rFonts w:ascii="Cambria" w:hAnsi="Cambria"/>
        </w:rPr>
      </w:pPr>
      <w:r w:rsidRPr="009B605C">
        <w:rPr>
          <w:rFonts w:ascii="Cambria" w:hAnsi="Cambria"/>
          <w:b/>
          <w:bCs/>
        </w:rPr>
        <w:lastRenderedPageBreak/>
        <w:t>Table 8.</w:t>
      </w:r>
      <w:r w:rsidRPr="009B605C">
        <w:rPr>
          <w:rFonts w:ascii="Cambria" w:hAnsi="Cambria"/>
        </w:rPr>
        <w:t xml:space="preserve"> </w:t>
      </w:r>
      <w:r w:rsidR="005E5FE5" w:rsidRPr="009B605C">
        <w:rPr>
          <w:rFonts w:ascii="Cambria" w:hAnsi="Cambria"/>
          <w:color w:val="000000"/>
        </w:rPr>
        <w:t>Hedge ratios, portfolio weights, and hedging effectiveness</w:t>
      </w:r>
    </w:p>
    <w:tbl>
      <w:tblPr>
        <w:tblW w:w="8720" w:type="dxa"/>
        <w:tblLook w:val="04A0" w:firstRow="1" w:lastRow="0" w:firstColumn="1" w:lastColumn="0" w:noHBand="0" w:noVBand="1"/>
      </w:tblPr>
      <w:tblGrid>
        <w:gridCol w:w="2281"/>
        <w:gridCol w:w="983"/>
        <w:gridCol w:w="965"/>
        <w:gridCol w:w="1420"/>
        <w:gridCol w:w="1008"/>
        <w:gridCol w:w="1016"/>
        <w:gridCol w:w="1047"/>
      </w:tblGrid>
      <w:tr w:rsidR="005E5FE5" w:rsidRPr="009B605C" w14:paraId="7CBF8709" w14:textId="77777777" w:rsidTr="008F07E5">
        <w:trPr>
          <w:trHeight w:val="397"/>
        </w:trPr>
        <w:tc>
          <w:tcPr>
            <w:tcW w:w="2281" w:type="dxa"/>
            <w:tcBorders>
              <w:top w:val="double" w:sz="4" w:space="0" w:color="auto"/>
              <w:left w:val="nil"/>
              <w:bottom w:val="nil"/>
              <w:right w:val="nil"/>
            </w:tcBorders>
            <w:shd w:val="clear" w:color="auto" w:fill="auto"/>
            <w:noWrap/>
            <w:vAlign w:val="bottom"/>
            <w:hideMark/>
          </w:tcPr>
          <w:p w14:paraId="04A86216" w14:textId="77777777" w:rsidR="005E5FE5" w:rsidRPr="009B605C" w:rsidRDefault="005E5FE5" w:rsidP="0087752F">
            <w:pPr>
              <w:rPr>
                <w:rFonts w:ascii="Cambria" w:hAnsi="Cambria"/>
                <w:sz w:val="20"/>
                <w:szCs w:val="20"/>
              </w:rPr>
            </w:pPr>
          </w:p>
        </w:tc>
        <w:tc>
          <w:tcPr>
            <w:tcW w:w="3368" w:type="dxa"/>
            <w:gridSpan w:val="3"/>
            <w:tcBorders>
              <w:top w:val="double" w:sz="4" w:space="0" w:color="auto"/>
              <w:left w:val="nil"/>
              <w:bottom w:val="single" w:sz="4" w:space="0" w:color="auto"/>
              <w:right w:val="nil"/>
            </w:tcBorders>
            <w:shd w:val="clear" w:color="auto" w:fill="auto"/>
            <w:vAlign w:val="center"/>
            <w:hideMark/>
          </w:tcPr>
          <w:p w14:paraId="4AC78DDB"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Optimally weighted portfolio</w:t>
            </w:r>
          </w:p>
        </w:tc>
        <w:tc>
          <w:tcPr>
            <w:tcW w:w="3071" w:type="dxa"/>
            <w:gridSpan w:val="3"/>
            <w:tcBorders>
              <w:top w:val="double" w:sz="4" w:space="0" w:color="auto"/>
              <w:left w:val="nil"/>
              <w:bottom w:val="single" w:sz="4" w:space="0" w:color="auto"/>
              <w:right w:val="nil"/>
            </w:tcBorders>
            <w:shd w:val="clear" w:color="auto" w:fill="auto"/>
            <w:vAlign w:val="center"/>
            <w:hideMark/>
          </w:tcPr>
          <w:p w14:paraId="6499D64F"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Hedging portfolio</w:t>
            </w:r>
          </w:p>
        </w:tc>
      </w:tr>
      <w:tr w:rsidR="005E5FE5" w:rsidRPr="009B605C" w14:paraId="256C0142" w14:textId="77777777" w:rsidTr="008F07E5">
        <w:trPr>
          <w:trHeight w:val="397"/>
        </w:trPr>
        <w:tc>
          <w:tcPr>
            <w:tcW w:w="2281" w:type="dxa"/>
            <w:tcBorders>
              <w:top w:val="nil"/>
              <w:left w:val="nil"/>
              <w:bottom w:val="single" w:sz="4" w:space="0" w:color="auto"/>
              <w:right w:val="nil"/>
            </w:tcBorders>
            <w:shd w:val="clear" w:color="auto" w:fill="auto"/>
            <w:noWrap/>
            <w:vAlign w:val="bottom"/>
            <w:hideMark/>
          </w:tcPr>
          <w:p w14:paraId="5AAC6B84" w14:textId="77777777" w:rsidR="005E5FE5" w:rsidRPr="009B605C" w:rsidRDefault="005E5FE5" w:rsidP="0087752F">
            <w:pPr>
              <w:jc w:val="center"/>
              <w:rPr>
                <w:rFonts w:ascii="Cambria" w:hAnsi="Cambria"/>
                <w:b/>
                <w:bCs/>
                <w:color w:val="000000"/>
                <w:sz w:val="20"/>
                <w:szCs w:val="20"/>
              </w:rPr>
            </w:pPr>
          </w:p>
        </w:tc>
        <w:tc>
          <w:tcPr>
            <w:tcW w:w="983" w:type="dxa"/>
            <w:tcBorders>
              <w:top w:val="single" w:sz="4" w:space="0" w:color="auto"/>
              <w:left w:val="nil"/>
              <w:bottom w:val="single" w:sz="4" w:space="0" w:color="auto"/>
              <w:right w:val="nil"/>
            </w:tcBorders>
            <w:shd w:val="clear" w:color="auto" w:fill="auto"/>
            <w:vAlign w:val="center"/>
            <w:hideMark/>
          </w:tcPr>
          <w:p w14:paraId="23A57B8D"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Mean</w:t>
            </w:r>
          </w:p>
        </w:tc>
        <w:tc>
          <w:tcPr>
            <w:tcW w:w="965" w:type="dxa"/>
            <w:tcBorders>
              <w:top w:val="single" w:sz="4" w:space="0" w:color="auto"/>
              <w:left w:val="nil"/>
              <w:bottom w:val="single" w:sz="4" w:space="0" w:color="auto"/>
              <w:right w:val="nil"/>
            </w:tcBorders>
            <w:shd w:val="clear" w:color="auto" w:fill="auto"/>
            <w:vAlign w:val="center"/>
            <w:hideMark/>
          </w:tcPr>
          <w:p w14:paraId="1E818679"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Std. Dev.</w:t>
            </w:r>
          </w:p>
        </w:tc>
        <w:tc>
          <w:tcPr>
            <w:tcW w:w="1420" w:type="dxa"/>
            <w:tcBorders>
              <w:top w:val="nil"/>
              <w:left w:val="nil"/>
              <w:bottom w:val="single" w:sz="4" w:space="0" w:color="auto"/>
              <w:right w:val="nil"/>
            </w:tcBorders>
            <w:shd w:val="clear" w:color="auto" w:fill="auto"/>
            <w:vAlign w:val="center"/>
            <w:hideMark/>
          </w:tcPr>
          <w:p w14:paraId="6A1096E9"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HE</w:t>
            </w:r>
          </w:p>
        </w:tc>
        <w:tc>
          <w:tcPr>
            <w:tcW w:w="1008" w:type="dxa"/>
            <w:tcBorders>
              <w:top w:val="single" w:sz="4" w:space="0" w:color="auto"/>
              <w:left w:val="nil"/>
              <w:bottom w:val="single" w:sz="4" w:space="0" w:color="auto"/>
              <w:right w:val="nil"/>
            </w:tcBorders>
            <w:shd w:val="clear" w:color="auto" w:fill="auto"/>
            <w:vAlign w:val="center"/>
            <w:hideMark/>
          </w:tcPr>
          <w:p w14:paraId="197A6960"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Mean</w:t>
            </w:r>
          </w:p>
        </w:tc>
        <w:tc>
          <w:tcPr>
            <w:tcW w:w="1016" w:type="dxa"/>
            <w:tcBorders>
              <w:top w:val="single" w:sz="4" w:space="0" w:color="auto"/>
              <w:left w:val="nil"/>
              <w:bottom w:val="single" w:sz="4" w:space="0" w:color="auto"/>
              <w:right w:val="nil"/>
            </w:tcBorders>
            <w:shd w:val="clear" w:color="auto" w:fill="auto"/>
            <w:vAlign w:val="center"/>
            <w:hideMark/>
          </w:tcPr>
          <w:p w14:paraId="08293D9A"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Std. Dev.</w:t>
            </w:r>
          </w:p>
        </w:tc>
        <w:tc>
          <w:tcPr>
            <w:tcW w:w="1047" w:type="dxa"/>
            <w:tcBorders>
              <w:top w:val="single" w:sz="4" w:space="0" w:color="auto"/>
              <w:left w:val="nil"/>
              <w:bottom w:val="single" w:sz="4" w:space="0" w:color="auto"/>
              <w:right w:val="nil"/>
            </w:tcBorders>
            <w:shd w:val="clear" w:color="auto" w:fill="auto"/>
            <w:vAlign w:val="center"/>
            <w:hideMark/>
          </w:tcPr>
          <w:p w14:paraId="312CF97D" w14:textId="77777777" w:rsidR="005E5FE5" w:rsidRPr="009B605C" w:rsidRDefault="005E5FE5" w:rsidP="0087752F">
            <w:pPr>
              <w:jc w:val="center"/>
              <w:rPr>
                <w:rFonts w:ascii="Cambria" w:hAnsi="Cambria"/>
                <w:b/>
                <w:bCs/>
                <w:color w:val="000000"/>
                <w:sz w:val="20"/>
                <w:szCs w:val="20"/>
              </w:rPr>
            </w:pPr>
            <w:r w:rsidRPr="009B605C">
              <w:rPr>
                <w:rFonts w:ascii="Cambria" w:hAnsi="Cambria"/>
                <w:b/>
                <w:bCs/>
                <w:color w:val="000000"/>
                <w:sz w:val="20"/>
                <w:szCs w:val="20"/>
              </w:rPr>
              <w:t>HE</w:t>
            </w:r>
          </w:p>
        </w:tc>
      </w:tr>
      <w:tr w:rsidR="00A615EA" w:rsidRPr="009B605C" w14:paraId="60E452B7" w14:textId="77777777" w:rsidTr="008F07E5">
        <w:trPr>
          <w:trHeight w:val="397"/>
        </w:trPr>
        <w:tc>
          <w:tcPr>
            <w:tcW w:w="2281" w:type="dxa"/>
            <w:tcBorders>
              <w:top w:val="single" w:sz="4" w:space="0" w:color="auto"/>
              <w:left w:val="nil"/>
              <w:bottom w:val="nil"/>
              <w:right w:val="nil"/>
            </w:tcBorders>
            <w:shd w:val="clear" w:color="auto" w:fill="auto"/>
            <w:noWrap/>
            <w:vAlign w:val="center"/>
            <w:hideMark/>
          </w:tcPr>
          <w:p w14:paraId="3B791A71" w14:textId="3AE31865" w:rsidR="00A615EA" w:rsidRPr="009B605C" w:rsidRDefault="00A615EA" w:rsidP="0087752F">
            <w:pPr>
              <w:rPr>
                <w:rFonts w:ascii="Cambria" w:hAnsi="Cambria"/>
                <w:b/>
                <w:bCs/>
                <w:color w:val="000000"/>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Pre-conflict announcement</w:t>
            </w:r>
          </w:p>
        </w:tc>
        <w:tc>
          <w:tcPr>
            <w:tcW w:w="983" w:type="dxa"/>
            <w:tcBorders>
              <w:top w:val="single" w:sz="4" w:space="0" w:color="auto"/>
              <w:left w:val="nil"/>
              <w:bottom w:val="nil"/>
              <w:right w:val="nil"/>
            </w:tcBorders>
            <w:shd w:val="clear" w:color="auto" w:fill="auto"/>
            <w:vAlign w:val="center"/>
            <w:hideMark/>
          </w:tcPr>
          <w:p w14:paraId="2FF8363F" w14:textId="77777777" w:rsidR="00A615EA" w:rsidRPr="009B605C" w:rsidRDefault="00A615EA" w:rsidP="0087752F">
            <w:pPr>
              <w:rPr>
                <w:rFonts w:ascii="Cambria" w:hAnsi="Cambria"/>
                <w:b/>
                <w:bCs/>
                <w:color w:val="000000"/>
                <w:sz w:val="20"/>
                <w:szCs w:val="20"/>
              </w:rPr>
            </w:pPr>
          </w:p>
        </w:tc>
        <w:tc>
          <w:tcPr>
            <w:tcW w:w="965" w:type="dxa"/>
            <w:tcBorders>
              <w:top w:val="single" w:sz="4" w:space="0" w:color="auto"/>
              <w:left w:val="nil"/>
              <w:bottom w:val="nil"/>
              <w:right w:val="nil"/>
            </w:tcBorders>
            <w:shd w:val="clear" w:color="auto" w:fill="auto"/>
            <w:vAlign w:val="center"/>
            <w:hideMark/>
          </w:tcPr>
          <w:p w14:paraId="6045D684" w14:textId="77777777" w:rsidR="00A615EA" w:rsidRPr="009B605C" w:rsidRDefault="00A615EA" w:rsidP="0087752F">
            <w:pPr>
              <w:jc w:val="center"/>
              <w:rPr>
                <w:rFonts w:ascii="Cambria" w:hAnsi="Cambria"/>
                <w:sz w:val="20"/>
                <w:szCs w:val="20"/>
              </w:rPr>
            </w:pPr>
          </w:p>
        </w:tc>
        <w:tc>
          <w:tcPr>
            <w:tcW w:w="1420" w:type="dxa"/>
            <w:tcBorders>
              <w:top w:val="single" w:sz="4" w:space="0" w:color="auto"/>
              <w:left w:val="nil"/>
              <w:bottom w:val="nil"/>
              <w:right w:val="nil"/>
            </w:tcBorders>
            <w:shd w:val="clear" w:color="auto" w:fill="auto"/>
            <w:vAlign w:val="center"/>
            <w:hideMark/>
          </w:tcPr>
          <w:p w14:paraId="724378AA" w14:textId="77777777" w:rsidR="00A615EA" w:rsidRPr="009B605C" w:rsidRDefault="00A615EA" w:rsidP="0087752F">
            <w:pPr>
              <w:jc w:val="center"/>
              <w:rPr>
                <w:rFonts w:ascii="Cambria" w:hAnsi="Cambria"/>
                <w:sz w:val="20"/>
                <w:szCs w:val="20"/>
              </w:rPr>
            </w:pPr>
          </w:p>
        </w:tc>
        <w:tc>
          <w:tcPr>
            <w:tcW w:w="1008" w:type="dxa"/>
            <w:tcBorders>
              <w:top w:val="single" w:sz="4" w:space="0" w:color="auto"/>
              <w:left w:val="nil"/>
              <w:bottom w:val="nil"/>
              <w:right w:val="nil"/>
            </w:tcBorders>
            <w:shd w:val="clear" w:color="auto" w:fill="auto"/>
            <w:vAlign w:val="center"/>
            <w:hideMark/>
          </w:tcPr>
          <w:p w14:paraId="2179157C" w14:textId="77777777" w:rsidR="00A615EA" w:rsidRPr="009B605C" w:rsidRDefault="00A615EA" w:rsidP="0087752F">
            <w:pPr>
              <w:jc w:val="center"/>
              <w:rPr>
                <w:rFonts w:ascii="Cambria" w:hAnsi="Cambria"/>
                <w:sz w:val="20"/>
                <w:szCs w:val="20"/>
              </w:rPr>
            </w:pPr>
          </w:p>
        </w:tc>
        <w:tc>
          <w:tcPr>
            <w:tcW w:w="1016" w:type="dxa"/>
            <w:tcBorders>
              <w:top w:val="single" w:sz="4" w:space="0" w:color="auto"/>
              <w:left w:val="nil"/>
              <w:bottom w:val="nil"/>
              <w:right w:val="nil"/>
            </w:tcBorders>
            <w:shd w:val="clear" w:color="auto" w:fill="auto"/>
            <w:vAlign w:val="center"/>
            <w:hideMark/>
          </w:tcPr>
          <w:p w14:paraId="3D39F61C" w14:textId="77777777" w:rsidR="00A615EA" w:rsidRPr="009B605C" w:rsidRDefault="00A615EA" w:rsidP="0087752F">
            <w:pPr>
              <w:jc w:val="center"/>
              <w:rPr>
                <w:rFonts w:ascii="Cambria" w:hAnsi="Cambria"/>
                <w:sz w:val="20"/>
                <w:szCs w:val="20"/>
              </w:rPr>
            </w:pPr>
          </w:p>
        </w:tc>
        <w:tc>
          <w:tcPr>
            <w:tcW w:w="1047" w:type="dxa"/>
            <w:tcBorders>
              <w:top w:val="single" w:sz="4" w:space="0" w:color="auto"/>
              <w:left w:val="nil"/>
              <w:bottom w:val="nil"/>
              <w:right w:val="nil"/>
            </w:tcBorders>
            <w:shd w:val="clear" w:color="auto" w:fill="auto"/>
            <w:vAlign w:val="center"/>
            <w:hideMark/>
          </w:tcPr>
          <w:p w14:paraId="73A3759F" w14:textId="77777777" w:rsidR="00A615EA" w:rsidRPr="009B605C" w:rsidRDefault="00A615EA" w:rsidP="0087752F">
            <w:pPr>
              <w:jc w:val="center"/>
              <w:rPr>
                <w:rFonts w:ascii="Cambria" w:hAnsi="Cambria"/>
                <w:sz w:val="20"/>
                <w:szCs w:val="20"/>
              </w:rPr>
            </w:pPr>
          </w:p>
        </w:tc>
      </w:tr>
      <w:tr w:rsidR="00A615EA" w:rsidRPr="009B605C" w14:paraId="68605AD3" w14:textId="77777777" w:rsidTr="00BE66CA">
        <w:trPr>
          <w:trHeight w:val="397"/>
        </w:trPr>
        <w:tc>
          <w:tcPr>
            <w:tcW w:w="2281" w:type="dxa"/>
            <w:tcBorders>
              <w:top w:val="nil"/>
              <w:left w:val="nil"/>
              <w:bottom w:val="nil"/>
              <w:right w:val="nil"/>
            </w:tcBorders>
            <w:shd w:val="clear" w:color="auto" w:fill="auto"/>
            <w:noWrap/>
            <w:vAlign w:val="center"/>
            <w:hideMark/>
          </w:tcPr>
          <w:p w14:paraId="32461D5C"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Brazil/Gold</w:t>
            </w:r>
          </w:p>
        </w:tc>
        <w:tc>
          <w:tcPr>
            <w:tcW w:w="983" w:type="dxa"/>
            <w:tcBorders>
              <w:top w:val="nil"/>
              <w:left w:val="nil"/>
              <w:bottom w:val="nil"/>
              <w:right w:val="nil"/>
            </w:tcBorders>
            <w:shd w:val="clear" w:color="auto" w:fill="auto"/>
            <w:noWrap/>
            <w:vAlign w:val="center"/>
            <w:hideMark/>
          </w:tcPr>
          <w:p w14:paraId="46E114F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0.251</w:t>
            </w:r>
          </w:p>
        </w:tc>
        <w:tc>
          <w:tcPr>
            <w:tcW w:w="965" w:type="dxa"/>
            <w:tcBorders>
              <w:top w:val="nil"/>
              <w:left w:val="nil"/>
              <w:bottom w:val="nil"/>
              <w:right w:val="nil"/>
            </w:tcBorders>
            <w:shd w:val="clear" w:color="auto" w:fill="auto"/>
            <w:noWrap/>
            <w:vAlign w:val="center"/>
            <w:hideMark/>
          </w:tcPr>
          <w:p w14:paraId="43EDE03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0.088</w:t>
            </w:r>
          </w:p>
        </w:tc>
        <w:tc>
          <w:tcPr>
            <w:tcW w:w="1420" w:type="dxa"/>
            <w:tcBorders>
              <w:top w:val="nil"/>
              <w:left w:val="nil"/>
              <w:bottom w:val="nil"/>
              <w:right w:val="nil"/>
            </w:tcBorders>
            <w:shd w:val="clear" w:color="auto" w:fill="auto"/>
            <w:noWrap/>
            <w:vAlign w:val="center"/>
            <w:hideMark/>
          </w:tcPr>
          <w:p w14:paraId="17C0207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0.768***</w:t>
            </w:r>
          </w:p>
        </w:tc>
        <w:tc>
          <w:tcPr>
            <w:tcW w:w="1008" w:type="dxa"/>
            <w:tcBorders>
              <w:top w:val="nil"/>
              <w:left w:val="nil"/>
              <w:bottom w:val="nil"/>
              <w:right w:val="nil"/>
            </w:tcBorders>
            <w:shd w:val="clear" w:color="auto" w:fill="auto"/>
            <w:noWrap/>
            <w:vAlign w:val="center"/>
            <w:hideMark/>
          </w:tcPr>
          <w:p w14:paraId="40AB01D9" w14:textId="469E6872"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0.08</w:t>
            </w:r>
            <w:r w:rsidR="00D521F8" w:rsidRPr="009B605C">
              <w:rPr>
                <w:rFonts w:ascii="Cambria" w:hAnsi="Cambria"/>
                <w:color w:val="000000"/>
                <w:sz w:val="20"/>
                <w:szCs w:val="20"/>
              </w:rPr>
              <w:t>0</w:t>
            </w:r>
          </w:p>
        </w:tc>
        <w:tc>
          <w:tcPr>
            <w:tcW w:w="1016" w:type="dxa"/>
            <w:tcBorders>
              <w:top w:val="nil"/>
              <w:left w:val="nil"/>
              <w:bottom w:val="nil"/>
              <w:right w:val="nil"/>
            </w:tcBorders>
            <w:shd w:val="clear" w:color="auto" w:fill="auto"/>
            <w:noWrap/>
            <w:vAlign w:val="center"/>
            <w:hideMark/>
          </w:tcPr>
          <w:p w14:paraId="7B72C2A3"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0.184</w:t>
            </w:r>
          </w:p>
        </w:tc>
        <w:tc>
          <w:tcPr>
            <w:tcW w:w="1047" w:type="dxa"/>
            <w:tcBorders>
              <w:top w:val="nil"/>
              <w:left w:val="nil"/>
              <w:bottom w:val="nil"/>
              <w:right w:val="nil"/>
            </w:tcBorders>
            <w:shd w:val="clear" w:color="auto" w:fill="auto"/>
            <w:noWrap/>
            <w:vAlign w:val="center"/>
            <w:hideMark/>
          </w:tcPr>
          <w:p w14:paraId="7CA1DB20" w14:textId="6B46F650"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w:t>
            </w:r>
            <w:r w:rsidR="00D521F8" w:rsidRPr="009B605C">
              <w:rPr>
                <w:rFonts w:ascii="Cambria" w:hAnsi="Cambria"/>
                <w:color w:val="000000"/>
                <w:sz w:val="20"/>
                <w:szCs w:val="20"/>
              </w:rPr>
              <w:t>0</w:t>
            </w:r>
          </w:p>
        </w:tc>
      </w:tr>
      <w:tr w:rsidR="00A615EA" w:rsidRPr="009B605C" w14:paraId="6A0A70AC" w14:textId="77777777" w:rsidTr="00BE66CA">
        <w:trPr>
          <w:trHeight w:val="397"/>
        </w:trPr>
        <w:tc>
          <w:tcPr>
            <w:tcW w:w="2281" w:type="dxa"/>
            <w:tcBorders>
              <w:top w:val="nil"/>
              <w:left w:val="nil"/>
              <w:bottom w:val="nil"/>
              <w:right w:val="nil"/>
            </w:tcBorders>
            <w:shd w:val="clear" w:color="auto" w:fill="auto"/>
            <w:noWrap/>
            <w:vAlign w:val="center"/>
            <w:hideMark/>
          </w:tcPr>
          <w:p w14:paraId="538948C3"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Brazil/Crypto</w:t>
            </w:r>
          </w:p>
        </w:tc>
        <w:tc>
          <w:tcPr>
            <w:tcW w:w="983" w:type="dxa"/>
            <w:tcBorders>
              <w:top w:val="nil"/>
              <w:left w:val="nil"/>
              <w:bottom w:val="nil"/>
              <w:right w:val="nil"/>
            </w:tcBorders>
            <w:shd w:val="clear" w:color="auto" w:fill="auto"/>
            <w:noWrap/>
            <w:vAlign w:val="center"/>
            <w:hideMark/>
          </w:tcPr>
          <w:p w14:paraId="54B9413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0.908</w:t>
            </w:r>
          </w:p>
        </w:tc>
        <w:tc>
          <w:tcPr>
            <w:tcW w:w="965" w:type="dxa"/>
            <w:tcBorders>
              <w:top w:val="nil"/>
              <w:left w:val="nil"/>
              <w:bottom w:val="nil"/>
              <w:right w:val="nil"/>
            </w:tcBorders>
            <w:shd w:val="clear" w:color="auto" w:fill="auto"/>
            <w:noWrap/>
            <w:vAlign w:val="center"/>
            <w:hideMark/>
          </w:tcPr>
          <w:p w14:paraId="62070BA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0.058</w:t>
            </w:r>
          </w:p>
        </w:tc>
        <w:tc>
          <w:tcPr>
            <w:tcW w:w="1420" w:type="dxa"/>
            <w:tcBorders>
              <w:top w:val="nil"/>
              <w:left w:val="nil"/>
              <w:bottom w:val="nil"/>
              <w:right w:val="nil"/>
            </w:tcBorders>
            <w:shd w:val="clear" w:color="auto" w:fill="auto"/>
            <w:noWrap/>
            <w:vAlign w:val="center"/>
            <w:hideMark/>
          </w:tcPr>
          <w:p w14:paraId="435611F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0.112***</w:t>
            </w:r>
          </w:p>
        </w:tc>
        <w:tc>
          <w:tcPr>
            <w:tcW w:w="1008" w:type="dxa"/>
            <w:tcBorders>
              <w:top w:val="nil"/>
              <w:left w:val="nil"/>
              <w:bottom w:val="nil"/>
              <w:right w:val="nil"/>
            </w:tcBorders>
            <w:shd w:val="clear" w:color="auto" w:fill="auto"/>
            <w:noWrap/>
            <w:vAlign w:val="center"/>
            <w:hideMark/>
          </w:tcPr>
          <w:p w14:paraId="57FC92A3"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0.034</w:t>
            </w:r>
          </w:p>
        </w:tc>
        <w:tc>
          <w:tcPr>
            <w:tcW w:w="1016" w:type="dxa"/>
            <w:tcBorders>
              <w:top w:val="nil"/>
              <w:left w:val="nil"/>
              <w:bottom w:val="nil"/>
              <w:right w:val="nil"/>
            </w:tcBorders>
            <w:shd w:val="clear" w:color="auto" w:fill="auto"/>
            <w:noWrap/>
            <w:vAlign w:val="center"/>
            <w:hideMark/>
          </w:tcPr>
          <w:p w14:paraId="0F9269D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0.061</w:t>
            </w:r>
          </w:p>
        </w:tc>
        <w:tc>
          <w:tcPr>
            <w:tcW w:w="1047" w:type="dxa"/>
            <w:tcBorders>
              <w:top w:val="nil"/>
              <w:left w:val="nil"/>
              <w:bottom w:val="nil"/>
              <w:right w:val="nil"/>
            </w:tcBorders>
            <w:shd w:val="clear" w:color="auto" w:fill="auto"/>
            <w:noWrap/>
            <w:vAlign w:val="center"/>
            <w:hideMark/>
          </w:tcPr>
          <w:p w14:paraId="7EF3CCF3" w14:textId="48F9383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w:t>
            </w:r>
            <w:r w:rsidR="00D521F8" w:rsidRPr="009B605C">
              <w:rPr>
                <w:rFonts w:ascii="Cambria" w:hAnsi="Cambria"/>
                <w:color w:val="000000"/>
                <w:sz w:val="20"/>
                <w:szCs w:val="20"/>
              </w:rPr>
              <w:t>0</w:t>
            </w:r>
            <w:r w:rsidRPr="009B605C">
              <w:rPr>
                <w:rFonts w:ascii="Cambria" w:hAnsi="Cambria"/>
                <w:color w:val="000000"/>
                <w:sz w:val="20"/>
                <w:szCs w:val="20"/>
              </w:rPr>
              <w:t>***</w:t>
            </w:r>
          </w:p>
        </w:tc>
      </w:tr>
      <w:tr w:rsidR="00A615EA" w:rsidRPr="009B605C" w14:paraId="62915280" w14:textId="77777777" w:rsidTr="00BE66CA">
        <w:trPr>
          <w:trHeight w:val="397"/>
        </w:trPr>
        <w:tc>
          <w:tcPr>
            <w:tcW w:w="2281" w:type="dxa"/>
            <w:tcBorders>
              <w:top w:val="nil"/>
              <w:left w:val="nil"/>
              <w:bottom w:val="nil"/>
              <w:right w:val="nil"/>
            </w:tcBorders>
            <w:shd w:val="clear" w:color="auto" w:fill="auto"/>
            <w:noWrap/>
            <w:vAlign w:val="center"/>
            <w:hideMark/>
          </w:tcPr>
          <w:p w14:paraId="2D9173FE"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Russia/Gold</w:t>
            </w:r>
          </w:p>
        </w:tc>
        <w:tc>
          <w:tcPr>
            <w:tcW w:w="983" w:type="dxa"/>
            <w:tcBorders>
              <w:top w:val="nil"/>
              <w:left w:val="nil"/>
              <w:bottom w:val="nil"/>
              <w:right w:val="nil"/>
            </w:tcBorders>
            <w:shd w:val="clear" w:color="auto" w:fill="auto"/>
            <w:noWrap/>
            <w:vAlign w:val="center"/>
            <w:hideMark/>
          </w:tcPr>
          <w:p w14:paraId="401B944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0.377</w:t>
            </w:r>
          </w:p>
        </w:tc>
        <w:tc>
          <w:tcPr>
            <w:tcW w:w="965" w:type="dxa"/>
            <w:tcBorders>
              <w:top w:val="nil"/>
              <w:left w:val="nil"/>
              <w:bottom w:val="nil"/>
              <w:right w:val="nil"/>
            </w:tcBorders>
            <w:shd w:val="clear" w:color="auto" w:fill="auto"/>
            <w:noWrap/>
            <w:vAlign w:val="center"/>
            <w:hideMark/>
          </w:tcPr>
          <w:p w14:paraId="7D13C8FE" w14:textId="7AD98EAA"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w:t>
            </w:r>
            <w:r w:rsidR="008F07E5" w:rsidRPr="009B605C">
              <w:rPr>
                <w:rFonts w:ascii="Cambria" w:hAnsi="Cambria"/>
                <w:color w:val="000000"/>
                <w:sz w:val="20"/>
                <w:szCs w:val="20"/>
              </w:rPr>
              <w:t>00</w:t>
            </w:r>
          </w:p>
        </w:tc>
        <w:tc>
          <w:tcPr>
            <w:tcW w:w="1420" w:type="dxa"/>
            <w:tcBorders>
              <w:top w:val="nil"/>
              <w:left w:val="nil"/>
              <w:bottom w:val="nil"/>
              <w:right w:val="nil"/>
            </w:tcBorders>
            <w:shd w:val="clear" w:color="auto" w:fill="auto"/>
            <w:noWrap/>
            <w:vAlign w:val="center"/>
            <w:hideMark/>
          </w:tcPr>
          <w:p w14:paraId="7B12C5B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0.669***</w:t>
            </w:r>
          </w:p>
        </w:tc>
        <w:tc>
          <w:tcPr>
            <w:tcW w:w="1008" w:type="dxa"/>
            <w:tcBorders>
              <w:top w:val="nil"/>
              <w:left w:val="nil"/>
              <w:bottom w:val="nil"/>
              <w:right w:val="nil"/>
            </w:tcBorders>
            <w:shd w:val="clear" w:color="auto" w:fill="auto"/>
            <w:noWrap/>
            <w:vAlign w:val="center"/>
            <w:hideMark/>
          </w:tcPr>
          <w:p w14:paraId="1A38BB1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0.006</w:t>
            </w:r>
          </w:p>
        </w:tc>
        <w:tc>
          <w:tcPr>
            <w:tcW w:w="1016" w:type="dxa"/>
            <w:tcBorders>
              <w:top w:val="nil"/>
              <w:left w:val="nil"/>
              <w:bottom w:val="nil"/>
              <w:right w:val="nil"/>
            </w:tcBorders>
            <w:shd w:val="clear" w:color="auto" w:fill="auto"/>
            <w:noWrap/>
            <w:vAlign w:val="center"/>
            <w:hideMark/>
          </w:tcPr>
          <w:p w14:paraId="0D6EAD63"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0.195</w:t>
            </w:r>
          </w:p>
        </w:tc>
        <w:tc>
          <w:tcPr>
            <w:tcW w:w="1047" w:type="dxa"/>
            <w:tcBorders>
              <w:top w:val="nil"/>
              <w:left w:val="nil"/>
              <w:bottom w:val="nil"/>
              <w:right w:val="nil"/>
            </w:tcBorders>
            <w:shd w:val="clear" w:color="auto" w:fill="auto"/>
            <w:noWrap/>
            <w:vAlign w:val="center"/>
            <w:hideMark/>
          </w:tcPr>
          <w:p w14:paraId="69FE79BE"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0.034</w:t>
            </w:r>
          </w:p>
        </w:tc>
      </w:tr>
      <w:tr w:rsidR="00A615EA" w:rsidRPr="009B605C" w14:paraId="0ACE289D" w14:textId="77777777" w:rsidTr="00BE66CA">
        <w:trPr>
          <w:trHeight w:val="397"/>
        </w:trPr>
        <w:tc>
          <w:tcPr>
            <w:tcW w:w="2281" w:type="dxa"/>
            <w:tcBorders>
              <w:top w:val="nil"/>
              <w:left w:val="nil"/>
              <w:bottom w:val="nil"/>
              <w:right w:val="nil"/>
            </w:tcBorders>
            <w:shd w:val="clear" w:color="auto" w:fill="auto"/>
            <w:noWrap/>
            <w:vAlign w:val="center"/>
            <w:hideMark/>
          </w:tcPr>
          <w:p w14:paraId="7C16E897"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Russia/Crypto</w:t>
            </w:r>
          </w:p>
        </w:tc>
        <w:tc>
          <w:tcPr>
            <w:tcW w:w="983" w:type="dxa"/>
            <w:tcBorders>
              <w:top w:val="nil"/>
              <w:left w:val="nil"/>
              <w:bottom w:val="nil"/>
              <w:right w:val="nil"/>
            </w:tcBorders>
            <w:shd w:val="clear" w:color="auto" w:fill="auto"/>
            <w:noWrap/>
            <w:vAlign w:val="center"/>
            <w:hideMark/>
          </w:tcPr>
          <w:p w14:paraId="15E5DEDF"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0.955</w:t>
            </w:r>
          </w:p>
        </w:tc>
        <w:tc>
          <w:tcPr>
            <w:tcW w:w="965" w:type="dxa"/>
            <w:tcBorders>
              <w:top w:val="nil"/>
              <w:left w:val="nil"/>
              <w:bottom w:val="nil"/>
              <w:right w:val="nil"/>
            </w:tcBorders>
            <w:shd w:val="clear" w:color="auto" w:fill="auto"/>
            <w:noWrap/>
            <w:vAlign w:val="center"/>
            <w:hideMark/>
          </w:tcPr>
          <w:p w14:paraId="2EA3C7C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0.032</w:t>
            </w:r>
          </w:p>
        </w:tc>
        <w:tc>
          <w:tcPr>
            <w:tcW w:w="1420" w:type="dxa"/>
            <w:tcBorders>
              <w:top w:val="nil"/>
              <w:left w:val="nil"/>
              <w:bottom w:val="nil"/>
              <w:right w:val="nil"/>
            </w:tcBorders>
            <w:shd w:val="clear" w:color="auto" w:fill="auto"/>
            <w:noWrap/>
            <w:vAlign w:val="center"/>
            <w:hideMark/>
          </w:tcPr>
          <w:p w14:paraId="5C343B6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0.072***</w:t>
            </w:r>
          </w:p>
        </w:tc>
        <w:tc>
          <w:tcPr>
            <w:tcW w:w="1008" w:type="dxa"/>
            <w:tcBorders>
              <w:top w:val="nil"/>
              <w:left w:val="nil"/>
              <w:bottom w:val="nil"/>
              <w:right w:val="nil"/>
            </w:tcBorders>
            <w:shd w:val="clear" w:color="auto" w:fill="auto"/>
            <w:noWrap/>
            <w:vAlign w:val="center"/>
            <w:hideMark/>
          </w:tcPr>
          <w:p w14:paraId="5AD74F3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0.025</w:t>
            </w:r>
          </w:p>
        </w:tc>
        <w:tc>
          <w:tcPr>
            <w:tcW w:w="1016" w:type="dxa"/>
            <w:tcBorders>
              <w:top w:val="nil"/>
              <w:left w:val="nil"/>
              <w:bottom w:val="nil"/>
              <w:right w:val="nil"/>
            </w:tcBorders>
            <w:shd w:val="clear" w:color="auto" w:fill="auto"/>
            <w:noWrap/>
            <w:vAlign w:val="center"/>
            <w:hideMark/>
          </w:tcPr>
          <w:p w14:paraId="110682F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0.045</w:t>
            </w:r>
          </w:p>
        </w:tc>
        <w:tc>
          <w:tcPr>
            <w:tcW w:w="1047" w:type="dxa"/>
            <w:tcBorders>
              <w:top w:val="nil"/>
              <w:left w:val="nil"/>
              <w:bottom w:val="nil"/>
              <w:right w:val="nil"/>
            </w:tcBorders>
            <w:shd w:val="clear" w:color="auto" w:fill="auto"/>
            <w:noWrap/>
            <w:vAlign w:val="center"/>
            <w:hideMark/>
          </w:tcPr>
          <w:p w14:paraId="41DB07F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0.048***</w:t>
            </w:r>
          </w:p>
        </w:tc>
      </w:tr>
      <w:tr w:rsidR="00A615EA" w:rsidRPr="009B605C" w14:paraId="6A8DCDF8" w14:textId="77777777" w:rsidTr="00BE66CA">
        <w:trPr>
          <w:trHeight w:val="397"/>
        </w:trPr>
        <w:tc>
          <w:tcPr>
            <w:tcW w:w="2281" w:type="dxa"/>
            <w:tcBorders>
              <w:top w:val="nil"/>
              <w:left w:val="nil"/>
              <w:bottom w:val="nil"/>
              <w:right w:val="nil"/>
            </w:tcBorders>
            <w:shd w:val="clear" w:color="auto" w:fill="auto"/>
            <w:noWrap/>
            <w:vAlign w:val="center"/>
            <w:hideMark/>
          </w:tcPr>
          <w:p w14:paraId="21F8CF40"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India/Gold</w:t>
            </w:r>
          </w:p>
        </w:tc>
        <w:tc>
          <w:tcPr>
            <w:tcW w:w="983" w:type="dxa"/>
            <w:tcBorders>
              <w:top w:val="nil"/>
              <w:left w:val="nil"/>
              <w:bottom w:val="nil"/>
              <w:right w:val="nil"/>
            </w:tcBorders>
            <w:shd w:val="clear" w:color="auto" w:fill="auto"/>
            <w:noWrap/>
            <w:vAlign w:val="center"/>
            <w:hideMark/>
          </w:tcPr>
          <w:p w14:paraId="6133974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0.456</w:t>
            </w:r>
          </w:p>
        </w:tc>
        <w:tc>
          <w:tcPr>
            <w:tcW w:w="965" w:type="dxa"/>
            <w:tcBorders>
              <w:top w:val="nil"/>
              <w:left w:val="nil"/>
              <w:bottom w:val="nil"/>
              <w:right w:val="nil"/>
            </w:tcBorders>
            <w:shd w:val="clear" w:color="auto" w:fill="auto"/>
            <w:noWrap/>
            <w:vAlign w:val="center"/>
            <w:hideMark/>
          </w:tcPr>
          <w:p w14:paraId="133F4E2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0.093</w:t>
            </w:r>
          </w:p>
        </w:tc>
        <w:tc>
          <w:tcPr>
            <w:tcW w:w="1420" w:type="dxa"/>
            <w:tcBorders>
              <w:top w:val="nil"/>
              <w:left w:val="nil"/>
              <w:bottom w:val="nil"/>
              <w:right w:val="nil"/>
            </w:tcBorders>
            <w:shd w:val="clear" w:color="auto" w:fill="auto"/>
            <w:noWrap/>
            <w:vAlign w:val="center"/>
            <w:hideMark/>
          </w:tcPr>
          <w:p w14:paraId="7EA5A2A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0.623***</w:t>
            </w:r>
          </w:p>
        </w:tc>
        <w:tc>
          <w:tcPr>
            <w:tcW w:w="1008" w:type="dxa"/>
            <w:tcBorders>
              <w:top w:val="nil"/>
              <w:left w:val="nil"/>
              <w:bottom w:val="nil"/>
              <w:right w:val="nil"/>
            </w:tcBorders>
            <w:shd w:val="clear" w:color="auto" w:fill="auto"/>
            <w:noWrap/>
            <w:vAlign w:val="center"/>
            <w:hideMark/>
          </w:tcPr>
          <w:p w14:paraId="335CD56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-0.029</w:t>
            </w:r>
          </w:p>
        </w:tc>
        <w:tc>
          <w:tcPr>
            <w:tcW w:w="1016" w:type="dxa"/>
            <w:tcBorders>
              <w:top w:val="nil"/>
              <w:left w:val="nil"/>
              <w:bottom w:val="nil"/>
              <w:right w:val="nil"/>
            </w:tcBorders>
            <w:shd w:val="clear" w:color="auto" w:fill="auto"/>
            <w:noWrap/>
            <w:vAlign w:val="center"/>
            <w:hideMark/>
          </w:tcPr>
          <w:p w14:paraId="0B72AA75" w14:textId="093CF50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0.12</w:t>
            </w:r>
            <w:r w:rsidR="00D521F8" w:rsidRPr="009B605C">
              <w:rPr>
                <w:rFonts w:ascii="Cambria" w:hAnsi="Cambria"/>
                <w:color w:val="000000"/>
                <w:sz w:val="20"/>
                <w:szCs w:val="20"/>
              </w:rPr>
              <w:t>0</w:t>
            </w:r>
          </w:p>
        </w:tc>
        <w:tc>
          <w:tcPr>
            <w:tcW w:w="1047" w:type="dxa"/>
            <w:tcBorders>
              <w:top w:val="nil"/>
              <w:left w:val="nil"/>
              <w:bottom w:val="nil"/>
              <w:right w:val="nil"/>
            </w:tcBorders>
            <w:shd w:val="clear" w:color="auto" w:fill="auto"/>
            <w:noWrap/>
            <w:vAlign w:val="center"/>
            <w:hideMark/>
          </w:tcPr>
          <w:p w14:paraId="4901F12B" w14:textId="54844741"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w:t>
            </w:r>
            <w:r w:rsidR="00D521F8" w:rsidRPr="009B605C">
              <w:rPr>
                <w:rFonts w:ascii="Cambria" w:hAnsi="Cambria"/>
                <w:color w:val="000000"/>
                <w:sz w:val="20"/>
                <w:szCs w:val="20"/>
              </w:rPr>
              <w:t>0</w:t>
            </w:r>
          </w:p>
        </w:tc>
      </w:tr>
      <w:tr w:rsidR="00A615EA" w:rsidRPr="009B605C" w14:paraId="581BCAF0" w14:textId="77777777" w:rsidTr="00BE66CA">
        <w:trPr>
          <w:trHeight w:val="397"/>
        </w:trPr>
        <w:tc>
          <w:tcPr>
            <w:tcW w:w="2281" w:type="dxa"/>
            <w:tcBorders>
              <w:top w:val="nil"/>
              <w:left w:val="nil"/>
              <w:bottom w:val="nil"/>
              <w:right w:val="nil"/>
            </w:tcBorders>
            <w:shd w:val="clear" w:color="auto" w:fill="auto"/>
            <w:noWrap/>
            <w:vAlign w:val="center"/>
            <w:hideMark/>
          </w:tcPr>
          <w:p w14:paraId="5D238AA5"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India/Crypto</w:t>
            </w:r>
          </w:p>
        </w:tc>
        <w:tc>
          <w:tcPr>
            <w:tcW w:w="983" w:type="dxa"/>
            <w:tcBorders>
              <w:top w:val="nil"/>
              <w:left w:val="nil"/>
              <w:bottom w:val="nil"/>
              <w:right w:val="nil"/>
            </w:tcBorders>
            <w:shd w:val="clear" w:color="auto" w:fill="auto"/>
            <w:noWrap/>
            <w:vAlign w:val="center"/>
            <w:hideMark/>
          </w:tcPr>
          <w:p w14:paraId="378AB6D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0.952</w:t>
            </w:r>
          </w:p>
        </w:tc>
        <w:tc>
          <w:tcPr>
            <w:tcW w:w="965" w:type="dxa"/>
            <w:tcBorders>
              <w:top w:val="nil"/>
              <w:left w:val="nil"/>
              <w:bottom w:val="nil"/>
              <w:right w:val="nil"/>
            </w:tcBorders>
            <w:shd w:val="clear" w:color="auto" w:fill="auto"/>
            <w:noWrap/>
            <w:vAlign w:val="center"/>
            <w:hideMark/>
          </w:tcPr>
          <w:p w14:paraId="5F94C98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0.032</w:t>
            </w:r>
          </w:p>
        </w:tc>
        <w:tc>
          <w:tcPr>
            <w:tcW w:w="1420" w:type="dxa"/>
            <w:tcBorders>
              <w:top w:val="nil"/>
              <w:left w:val="nil"/>
              <w:bottom w:val="nil"/>
              <w:right w:val="nil"/>
            </w:tcBorders>
            <w:shd w:val="clear" w:color="auto" w:fill="auto"/>
            <w:noWrap/>
            <w:vAlign w:val="center"/>
            <w:hideMark/>
          </w:tcPr>
          <w:p w14:paraId="6A03B95F"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0.088***</w:t>
            </w:r>
          </w:p>
        </w:tc>
        <w:tc>
          <w:tcPr>
            <w:tcW w:w="1008" w:type="dxa"/>
            <w:tcBorders>
              <w:top w:val="nil"/>
              <w:left w:val="nil"/>
              <w:bottom w:val="nil"/>
              <w:right w:val="nil"/>
            </w:tcBorders>
            <w:shd w:val="clear" w:color="auto" w:fill="auto"/>
            <w:noWrap/>
            <w:vAlign w:val="center"/>
            <w:hideMark/>
          </w:tcPr>
          <w:p w14:paraId="2BEB6B5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0.006</w:t>
            </w:r>
          </w:p>
        </w:tc>
        <w:tc>
          <w:tcPr>
            <w:tcW w:w="1016" w:type="dxa"/>
            <w:tcBorders>
              <w:top w:val="nil"/>
              <w:left w:val="nil"/>
              <w:bottom w:val="nil"/>
              <w:right w:val="nil"/>
            </w:tcBorders>
            <w:shd w:val="clear" w:color="auto" w:fill="auto"/>
            <w:noWrap/>
            <w:vAlign w:val="center"/>
            <w:hideMark/>
          </w:tcPr>
          <w:p w14:paraId="0181F62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0.021</w:t>
            </w:r>
          </w:p>
        </w:tc>
        <w:tc>
          <w:tcPr>
            <w:tcW w:w="1047" w:type="dxa"/>
            <w:tcBorders>
              <w:top w:val="nil"/>
              <w:left w:val="nil"/>
              <w:bottom w:val="nil"/>
              <w:right w:val="nil"/>
            </w:tcBorders>
            <w:shd w:val="clear" w:color="auto" w:fill="auto"/>
            <w:noWrap/>
            <w:vAlign w:val="center"/>
            <w:hideMark/>
          </w:tcPr>
          <w:p w14:paraId="71CCC7D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0.027***</w:t>
            </w:r>
          </w:p>
        </w:tc>
      </w:tr>
      <w:tr w:rsidR="00A615EA" w:rsidRPr="009B605C" w14:paraId="3301DAEA" w14:textId="77777777" w:rsidTr="00BE66CA">
        <w:trPr>
          <w:trHeight w:val="397"/>
        </w:trPr>
        <w:tc>
          <w:tcPr>
            <w:tcW w:w="2281" w:type="dxa"/>
            <w:tcBorders>
              <w:top w:val="nil"/>
              <w:left w:val="nil"/>
              <w:bottom w:val="nil"/>
              <w:right w:val="nil"/>
            </w:tcBorders>
            <w:shd w:val="clear" w:color="auto" w:fill="auto"/>
            <w:noWrap/>
            <w:vAlign w:val="center"/>
            <w:hideMark/>
          </w:tcPr>
          <w:p w14:paraId="3D454F5A"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China/Gold</w:t>
            </w:r>
          </w:p>
        </w:tc>
        <w:tc>
          <w:tcPr>
            <w:tcW w:w="983" w:type="dxa"/>
            <w:tcBorders>
              <w:top w:val="nil"/>
              <w:left w:val="nil"/>
              <w:bottom w:val="nil"/>
              <w:right w:val="nil"/>
            </w:tcBorders>
            <w:shd w:val="clear" w:color="auto" w:fill="auto"/>
            <w:noWrap/>
            <w:vAlign w:val="center"/>
            <w:hideMark/>
          </w:tcPr>
          <w:p w14:paraId="2701F45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0.379</w:t>
            </w:r>
          </w:p>
        </w:tc>
        <w:tc>
          <w:tcPr>
            <w:tcW w:w="965" w:type="dxa"/>
            <w:tcBorders>
              <w:top w:val="nil"/>
              <w:left w:val="nil"/>
              <w:bottom w:val="nil"/>
              <w:right w:val="nil"/>
            </w:tcBorders>
            <w:shd w:val="clear" w:color="auto" w:fill="auto"/>
            <w:noWrap/>
            <w:vAlign w:val="center"/>
            <w:hideMark/>
          </w:tcPr>
          <w:p w14:paraId="1107230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0.143</w:t>
            </w:r>
          </w:p>
        </w:tc>
        <w:tc>
          <w:tcPr>
            <w:tcW w:w="1420" w:type="dxa"/>
            <w:tcBorders>
              <w:top w:val="nil"/>
              <w:left w:val="nil"/>
              <w:bottom w:val="nil"/>
              <w:right w:val="nil"/>
            </w:tcBorders>
            <w:shd w:val="clear" w:color="auto" w:fill="auto"/>
            <w:noWrap/>
            <w:vAlign w:val="center"/>
            <w:hideMark/>
          </w:tcPr>
          <w:p w14:paraId="59D81F6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0.715***</w:t>
            </w:r>
          </w:p>
        </w:tc>
        <w:tc>
          <w:tcPr>
            <w:tcW w:w="1008" w:type="dxa"/>
            <w:tcBorders>
              <w:top w:val="nil"/>
              <w:left w:val="nil"/>
              <w:bottom w:val="nil"/>
              <w:right w:val="nil"/>
            </w:tcBorders>
            <w:shd w:val="clear" w:color="auto" w:fill="auto"/>
            <w:noWrap/>
            <w:vAlign w:val="center"/>
            <w:hideMark/>
          </w:tcPr>
          <w:p w14:paraId="5338C9E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0.014</w:t>
            </w:r>
          </w:p>
        </w:tc>
        <w:tc>
          <w:tcPr>
            <w:tcW w:w="1016" w:type="dxa"/>
            <w:tcBorders>
              <w:top w:val="nil"/>
              <w:left w:val="nil"/>
              <w:bottom w:val="nil"/>
              <w:right w:val="nil"/>
            </w:tcBorders>
            <w:shd w:val="clear" w:color="auto" w:fill="auto"/>
            <w:noWrap/>
            <w:vAlign w:val="center"/>
            <w:hideMark/>
          </w:tcPr>
          <w:p w14:paraId="44A6211F"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0.141</w:t>
            </w:r>
          </w:p>
        </w:tc>
        <w:tc>
          <w:tcPr>
            <w:tcW w:w="1047" w:type="dxa"/>
            <w:tcBorders>
              <w:top w:val="nil"/>
              <w:left w:val="nil"/>
              <w:bottom w:val="nil"/>
              <w:right w:val="nil"/>
            </w:tcBorders>
            <w:shd w:val="clear" w:color="auto" w:fill="auto"/>
            <w:noWrap/>
            <w:vAlign w:val="center"/>
            <w:hideMark/>
          </w:tcPr>
          <w:p w14:paraId="34516E51" w14:textId="60642E71"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w:t>
            </w:r>
            <w:r w:rsidR="00D521F8" w:rsidRPr="009B605C">
              <w:rPr>
                <w:rFonts w:ascii="Cambria" w:hAnsi="Cambria"/>
                <w:color w:val="000000"/>
                <w:sz w:val="20"/>
                <w:szCs w:val="20"/>
              </w:rPr>
              <w:t>0</w:t>
            </w:r>
          </w:p>
        </w:tc>
      </w:tr>
      <w:tr w:rsidR="00A615EA" w:rsidRPr="009B605C" w14:paraId="083A65E6" w14:textId="77777777" w:rsidTr="00BE66CA">
        <w:trPr>
          <w:trHeight w:val="397"/>
        </w:trPr>
        <w:tc>
          <w:tcPr>
            <w:tcW w:w="2281" w:type="dxa"/>
            <w:tcBorders>
              <w:top w:val="nil"/>
              <w:left w:val="nil"/>
              <w:bottom w:val="nil"/>
              <w:right w:val="nil"/>
            </w:tcBorders>
            <w:shd w:val="clear" w:color="auto" w:fill="auto"/>
            <w:noWrap/>
            <w:vAlign w:val="center"/>
            <w:hideMark/>
          </w:tcPr>
          <w:p w14:paraId="69381367"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China/Crypto</w:t>
            </w:r>
          </w:p>
        </w:tc>
        <w:tc>
          <w:tcPr>
            <w:tcW w:w="983" w:type="dxa"/>
            <w:tcBorders>
              <w:top w:val="nil"/>
              <w:left w:val="nil"/>
              <w:bottom w:val="nil"/>
              <w:right w:val="nil"/>
            </w:tcBorders>
            <w:shd w:val="clear" w:color="auto" w:fill="auto"/>
            <w:noWrap/>
            <w:vAlign w:val="center"/>
            <w:hideMark/>
          </w:tcPr>
          <w:p w14:paraId="274D52CD" w14:textId="3719FEB3"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0.92</w:t>
            </w:r>
            <w:r w:rsidR="00D521F8" w:rsidRPr="009B605C">
              <w:rPr>
                <w:rFonts w:ascii="Cambria" w:hAnsi="Cambria"/>
                <w:color w:val="000000"/>
                <w:sz w:val="20"/>
                <w:szCs w:val="20"/>
              </w:rPr>
              <w:t>0</w:t>
            </w:r>
          </w:p>
        </w:tc>
        <w:tc>
          <w:tcPr>
            <w:tcW w:w="965" w:type="dxa"/>
            <w:tcBorders>
              <w:top w:val="nil"/>
              <w:left w:val="nil"/>
              <w:bottom w:val="nil"/>
              <w:right w:val="nil"/>
            </w:tcBorders>
            <w:shd w:val="clear" w:color="auto" w:fill="auto"/>
            <w:noWrap/>
            <w:vAlign w:val="center"/>
            <w:hideMark/>
          </w:tcPr>
          <w:p w14:paraId="5C6E4A0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0.084</w:t>
            </w:r>
          </w:p>
        </w:tc>
        <w:tc>
          <w:tcPr>
            <w:tcW w:w="1420" w:type="dxa"/>
            <w:tcBorders>
              <w:top w:val="nil"/>
              <w:left w:val="nil"/>
              <w:bottom w:val="nil"/>
              <w:right w:val="nil"/>
            </w:tcBorders>
            <w:shd w:val="clear" w:color="auto" w:fill="auto"/>
            <w:noWrap/>
            <w:vAlign w:val="center"/>
            <w:hideMark/>
          </w:tcPr>
          <w:p w14:paraId="0E1ADA4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0.155***</w:t>
            </w:r>
          </w:p>
        </w:tc>
        <w:tc>
          <w:tcPr>
            <w:tcW w:w="1008" w:type="dxa"/>
            <w:tcBorders>
              <w:top w:val="nil"/>
              <w:left w:val="nil"/>
              <w:bottom w:val="nil"/>
              <w:right w:val="nil"/>
            </w:tcBorders>
            <w:shd w:val="clear" w:color="auto" w:fill="auto"/>
            <w:noWrap/>
            <w:vAlign w:val="center"/>
            <w:hideMark/>
          </w:tcPr>
          <w:p w14:paraId="37352A5E"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0.012</w:t>
            </w:r>
          </w:p>
        </w:tc>
        <w:tc>
          <w:tcPr>
            <w:tcW w:w="1016" w:type="dxa"/>
            <w:tcBorders>
              <w:top w:val="nil"/>
              <w:left w:val="nil"/>
              <w:bottom w:val="nil"/>
              <w:right w:val="nil"/>
            </w:tcBorders>
            <w:shd w:val="clear" w:color="auto" w:fill="auto"/>
            <w:noWrap/>
            <w:vAlign w:val="center"/>
            <w:hideMark/>
          </w:tcPr>
          <w:p w14:paraId="0DA717B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0.024</w:t>
            </w:r>
          </w:p>
        </w:tc>
        <w:tc>
          <w:tcPr>
            <w:tcW w:w="1047" w:type="dxa"/>
            <w:tcBorders>
              <w:top w:val="nil"/>
              <w:left w:val="nil"/>
              <w:bottom w:val="nil"/>
              <w:right w:val="nil"/>
            </w:tcBorders>
            <w:shd w:val="clear" w:color="auto" w:fill="auto"/>
            <w:noWrap/>
            <w:vAlign w:val="center"/>
            <w:hideMark/>
          </w:tcPr>
          <w:p w14:paraId="5E4495F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0.015***</w:t>
            </w:r>
          </w:p>
        </w:tc>
      </w:tr>
      <w:tr w:rsidR="00A615EA" w:rsidRPr="009B605C" w14:paraId="747AE973" w14:textId="77777777" w:rsidTr="00BE66CA">
        <w:trPr>
          <w:trHeight w:val="397"/>
        </w:trPr>
        <w:tc>
          <w:tcPr>
            <w:tcW w:w="2281" w:type="dxa"/>
            <w:tcBorders>
              <w:top w:val="nil"/>
              <w:left w:val="nil"/>
              <w:bottom w:val="nil"/>
              <w:right w:val="nil"/>
            </w:tcBorders>
            <w:shd w:val="clear" w:color="auto" w:fill="auto"/>
            <w:noWrap/>
            <w:vAlign w:val="center"/>
            <w:hideMark/>
          </w:tcPr>
          <w:p w14:paraId="4363E65F"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South Africa/Gold</w:t>
            </w:r>
          </w:p>
        </w:tc>
        <w:tc>
          <w:tcPr>
            <w:tcW w:w="983" w:type="dxa"/>
            <w:tcBorders>
              <w:top w:val="nil"/>
              <w:left w:val="nil"/>
              <w:bottom w:val="nil"/>
              <w:right w:val="nil"/>
            </w:tcBorders>
            <w:shd w:val="clear" w:color="auto" w:fill="auto"/>
            <w:noWrap/>
            <w:vAlign w:val="center"/>
            <w:hideMark/>
          </w:tcPr>
          <w:p w14:paraId="6A899EB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0.396</w:t>
            </w:r>
          </w:p>
        </w:tc>
        <w:tc>
          <w:tcPr>
            <w:tcW w:w="965" w:type="dxa"/>
            <w:tcBorders>
              <w:top w:val="nil"/>
              <w:left w:val="nil"/>
              <w:bottom w:val="nil"/>
              <w:right w:val="nil"/>
            </w:tcBorders>
            <w:shd w:val="clear" w:color="auto" w:fill="auto"/>
            <w:noWrap/>
            <w:vAlign w:val="center"/>
            <w:hideMark/>
          </w:tcPr>
          <w:p w14:paraId="3C9B4C11" w14:textId="7AB24335"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0.13</w:t>
            </w:r>
            <w:r w:rsidR="008F07E5" w:rsidRPr="009B605C">
              <w:rPr>
                <w:rFonts w:ascii="Cambria" w:hAnsi="Cambria"/>
                <w:color w:val="000000"/>
                <w:sz w:val="20"/>
                <w:szCs w:val="20"/>
              </w:rPr>
              <w:t>0</w:t>
            </w:r>
          </w:p>
        </w:tc>
        <w:tc>
          <w:tcPr>
            <w:tcW w:w="1420" w:type="dxa"/>
            <w:tcBorders>
              <w:top w:val="nil"/>
              <w:left w:val="nil"/>
              <w:bottom w:val="nil"/>
              <w:right w:val="nil"/>
            </w:tcBorders>
            <w:shd w:val="clear" w:color="auto" w:fill="auto"/>
            <w:noWrap/>
            <w:vAlign w:val="center"/>
            <w:hideMark/>
          </w:tcPr>
          <w:p w14:paraId="2CC203BD" w14:textId="13D0BE8B"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0.62</w:t>
            </w:r>
            <w:r w:rsidR="00BE66CA" w:rsidRPr="009B605C">
              <w:rPr>
                <w:rFonts w:ascii="Cambria" w:hAnsi="Cambria"/>
                <w:color w:val="000000"/>
                <w:sz w:val="20"/>
                <w:szCs w:val="20"/>
              </w:rPr>
              <w:t>0</w:t>
            </w:r>
            <w:r w:rsidRPr="009B605C">
              <w:rPr>
                <w:rFonts w:ascii="Cambria" w:hAnsi="Cambria"/>
                <w:color w:val="000000"/>
                <w:sz w:val="20"/>
                <w:szCs w:val="20"/>
              </w:rPr>
              <w:t>***</w:t>
            </w:r>
          </w:p>
        </w:tc>
        <w:tc>
          <w:tcPr>
            <w:tcW w:w="1008" w:type="dxa"/>
            <w:tcBorders>
              <w:top w:val="nil"/>
              <w:left w:val="nil"/>
              <w:bottom w:val="nil"/>
              <w:right w:val="nil"/>
            </w:tcBorders>
            <w:shd w:val="clear" w:color="auto" w:fill="auto"/>
            <w:noWrap/>
            <w:vAlign w:val="center"/>
            <w:hideMark/>
          </w:tcPr>
          <w:p w14:paraId="2A16422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0.073</w:t>
            </w:r>
          </w:p>
        </w:tc>
        <w:tc>
          <w:tcPr>
            <w:tcW w:w="1016" w:type="dxa"/>
            <w:tcBorders>
              <w:top w:val="nil"/>
              <w:left w:val="nil"/>
              <w:bottom w:val="nil"/>
              <w:right w:val="nil"/>
            </w:tcBorders>
            <w:shd w:val="clear" w:color="auto" w:fill="auto"/>
            <w:noWrap/>
            <w:vAlign w:val="center"/>
            <w:hideMark/>
          </w:tcPr>
          <w:p w14:paraId="32F4998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0.242</w:t>
            </w:r>
          </w:p>
        </w:tc>
        <w:tc>
          <w:tcPr>
            <w:tcW w:w="1047" w:type="dxa"/>
            <w:tcBorders>
              <w:top w:val="nil"/>
              <w:left w:val="nil"/>
              <w:bottom w:val="nil"/>
              <w:right w:val="nil"/>
            </w:tcBorders>
            <w:shd w:val="clear" w:color="auto" w:fill="auto"/>
            <w:noWrap/>
            <w:vAlign w:val="center"/>
            <w:hideMark/>
          </w:tcPr>
          <w:p w14:paraId="6CB19A5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0.076</w:t>
            </w:r>
          </w:p>
        </w:tc>
      </w:tr>
      <w:tr w:rsidR="00A615EA" w:rsidRPr="009B605C" w14:paraId="5D5EB157" w14:textId="77777777" w:rsidTr="00BE66CA">
        <w:trPr>
          <w:trHeight w:val="397"/>
        </w:trPr>
        <w:tc>
          <w:tcPr>
            <w:tcW w:w="2281" w:type="dxa"/>
            <w:tcBorders>
              <w:top w:val="nil"/>
              <w:left w:val="nil"/>
              <w:bottom w:val="nil"/>
              <w:right w:val="nil"/>
            </w:tcBorders>
            <w:shd w:val="clear" w:color="auto" w:fill="auto"/>
            <w:noWrap/>
            <w:vAlign w:val="center"/>
            <w:hideMark/>
          </w:tcPr>
          <w:p w14:paraId="2A5AC5B5"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South Africa/Crypto</w:t>
            </w:r>
          </w:p>
        </w:tc>
        <w:tc>
          <w:tcPr>
            <w:tcW w:w="983" w:type="dxa"/>
            <w:tcBorders>
              <w:top w:val="nil"/>
              <w:left w:val="nil"/>
              <w:bottom w:val="nil"/>
              <w:right w:val="nil"/>
            </w:tcBorders>
            <w:shd w:val="clear" w:color="auto" w:fill="auto"/>
            <w:noWrap/>
            <w:vAlign w:val="center"/>
            <w:hideMark/>
          </w:tcPr>
          <w:p w14:paraId="775F7E0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0.953</w:t>
            </w:r>
          </w:p>
        </w:tc>
        <w:tc>
          <w:tcPr>
            <w:tcW w:w="965" w:type="dxa"/>
            <w:tcBorders>
              <w:top w:val="nil"/>
              <w:left w:val="nil"/>
              <w:bottom w:val="nil"/>
              <w:right w:val="nil"/>
            </w:tcBorders>
            <w:shd w:val="clear" w:color="auto" w:fill="auto"/>
            <w:noWrap/>
            <w:vAlign w:val="center"/>
            <w:hideMark/>
          </w:tcPr>
          <w:p w14:paraId="2571D09F"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0.035</w:t>
            </w:r>
          </w:p>
        </w:tc>
        <w:tc>
          <w:tcPr>
            <w:tcW w:w="1420" w:type="dxa"/>
            <w:tcBorders>
              <w:top w:val="nil"/>
              <w:left w:val="nil"/>
              <w:bottom w:val="nil"/>
              <w:right w:val="nil"/>
            </w:tcBorders>
            <w:shd w:val="clear" w:color="auto" w:fill="auto"/>
            <w:noWrap/>
            <w:vAlign w:val="center"/>
            <w:hideMark/>
          </w:tcPr>
          <w:p w14:paraId="1A5D18BD"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0.057***</w:t>
            </w:r>
          </w:p>
        </w:tc>
        <w:tc>
          <w:tcPr>
            <w:tcW w:w="1008" w:type="dxa"/>
            <w:tcBorders>
              <w:top w:val="nil"/>
              <w:left w:val="nil"/>
              <w:bottom w:val="nil"/>
              <w:right w:val="nil"/>
            </w:tcBorders>
            <w:shd w:val="clear" w:color="auto" w:fill="auto"/>
            <w:noWrap/>
            <w:vAlign w:val="center"/>
            <w:hideMark/>
          </w:tcPr>
          <w:p w14:paraId="008ACE4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0.019</w:t>
            </w:r>
          </w:p>
        </w:tc>
        <w:tc>
          <w:tcPr>
            <w:tcW w:w="1016" w:type="dxa"/>
            <w:tcBorders>
              <w:top w:val="nil"/>
              <w:left w:val="nil"/>
              <w:bottom w:val="nil"/>
              <w:right w:val="nil"/>
            </w:tcBorders>
            <w:shd w:val="clear" w:color="auto" w:fill="auto"/>
            <w:noWrap/>
            <w:vAlign w:val="center"/>
            <w:hideMark/>
          </w:tcPr>
          <w:p w14:paraId="68171A94" w14:textId="63E09B34"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w:t>
            </w:r>
            <w:r w:rsidR="00D521F8" w:rsidRPr="009B605C">
              <w:rPr>
                <w:rFonts w:ascii="Cambria" w:hAnsi="Cambria"/>
                <w:color w:val="000000"/>
                <w:sz w:val="20"/>
                <w:szCs w:val="20"/>
              </w:rPr>
              <w:t>0</w:t>
            </w:r>
          </w:p>
        </w:tc>
        <w:tc>
          <w:tcPr>
            <w:tcW w:w="1047" w:type="dxa"/>
            <w:tcBorders>
              <w:top w:val="nil"/>
              <w:left w:val="nil"/>
              <w:bottom w:val="nil"/>
              <w:right w:val="nil"/>
            </w:tcBorders>
            <w:shd w:val="clear" w:color="auto" w:fill="auto"/>
            <w:noWrap/>
            <w:vAlign w:val="center"/>
            <w:hideMark/>
          </w:tcPr>
          <w:p w14:paraId="59639BD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0.048***</w:t>
            </w:r>
          </w:p>
        </w:tc>
      </w:tr>
      <w:tr w:rsidR="00A615EA" w:rsidRPr="009B605C" w14:paraId="67B319B0" w14:textId="77777777" w:rsidTr="00BE66CA">
        <w:trPr>
          <w:trHeight w:val="397"/>
        </w:trPr>
        <w:tc>
          <w:tcPr>
            <w:tcW w:w="2281" w:type="dxa"/>
            <w:tcBorders>
              <w:top w:val="nil"/>
              <w:left w:val="nil"/>
              <w:bottom w:val="nil"/>
              <w:right w:val="nil"/>
            </w:tcBorders>
            <w:shd w:val="clear" w:color="auto" w:fill="auto"/>
            <w:noWrap/>
            <w:vAlign w:val="bottom"/>
            <w:hideMark/>
          </w:tcPr>
          <w:p w14:paraId="14C64AD2" w14:textId="0186B975" w:rsidR="00A615EA" w:rsidRPr="009B605C" w:rsidRDefault="00A615EA" w:rsidP="0087752F">
            <w:pPr>
              <w:rPr>
                <w:rFonts w:ascii="Cambria" w:hAnsi="Cambria"/>
                <w:b/>
                <w:bCs/>
                <w:color w:val="000000"/>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Post-conflict announcement</w:t>
            </w:r>
          </w:p>
        </w:tc>
        <w:tc>
          <w:tcPr>
            <w:tcW w:w="983" w:type="dxa"/>
            <w:tcBorders>
              <w:top w:val="nil"/>
              <w:left w:val="nil"/>
              <w:bottom w:val="nil"/>
              <w:right w:val="nil"/>
            </w:tcBorders>
            <w:shd w:val="clear" w:color="auto" w:fill="auto"/>
            <w:noWrap/>
            <w:vAlign w:val="bottom"/>
            <w:hideMark/>
          </w:tcPr>
          <w:p w14:paraId="16312991" w14:textId="77777777" w:rsidR="00A615EA" w:rsidRPr="009B605C" w:rsidRDefault="00A615EA" w:rsidP="0087752F">
            <w:pPr>
              <w:rPr>
                <w:rFonts w:ascii="Cambria" w:hAnsi="Cambria"/>
                <w:b/>
                <w:bCs/>
                <w:color w:val="000000"/>
                <w:sz w:val="20"/>
                <w:szCs w:val="20"/>
              </w:rPr>
            </w:pPr>
          </w:p>
        </w:tc>
        <w:tc>
          <w:tcPr>
            <w:tcW w:w="965" w:type="dxa"/>
            <w:tcBorders>
              <w:top w:val="nil"/>
              <w:left w:val="nil"/>
              <w:bottom w:val="nil"/>
              <w:right w:val="nil"/>
            </w:tcBorders>
            <w:shd w:val="clear" w:color="auto" w:fill="auto"/>
            <w:noWrap/>
            <w:vAlign w:val="bottom"/>
            <w:hideMark/>
          </w:tcPr>
          <w:p w14:paraId="771459E4" w14:textId="77777777" w:rsidR="00A615EA" w:rsidRPr="009B605C" w:rsidRDefault="00A615EA" w:rsidP="0087752F">
            <w:pPr>
              <w:rPr>
                <w:rFonts w:ascii="Cambria" w:hAnsi="Cambria"/>
                <w:sz w:val="20"/>
                <w:szCs w:val="20"/>
              </w:rPr>
            </w:pPr>
          </w:p>
        </w:tc>
        <w:tc>
          <w:tcPr>
            <w:tcW w:w="1420" w:type="dxa"/>
            <w:tcBorders>
              <w:top w:val="nil"/>
              <w:left w:val="nil"/>
              <w:bottom w:val="nil"/>
              <w:right w:val="nil"/>
            </w:tcBorders>
            <w:shd w:val="clear" w:color="auto" w:fill="auto"/>
            <w:noWrap/>
            <w:vAlign w:val="bottom"/>
            <w:hideMark/>
          </w:tcPr>
          <w:p w14:paraId="62C98533" w14:textId="77777777" w:rsidR="00A615EA" w:rsidRPr="009B605C" w:rsidRDefault="00A615EA" w:rsidP="0087752F">
            <w:pPr>
              <w:rPr>
                <w:rFonts w:ascii="Cambria" w:hAnsi="Cambria"/>
                <w:sz w:val="20"/>
                <w:szCs w:val="20"/>
              </w:rPr>
            </w:pPr>
          </w:p>
        </w:tc>
        <w:tc>
          <w:tcPr>
            <w:tcW w:w="1008" w:type="dxa"/>
            <w:tcBorders>
              <w:top w:val="nil"/>
              <w:left w:val="nil"/>
              <w:bottom w:val="nil"/>
              <w:right w:val="nil"/>
            </w:tcBorders>
            <w:shd w:val="clear" w:color="auto" w:fill="auto"/>
            <w:noWrap/>
            <w:vAlign w:val="bottom"/>
            <w:hideMark/>
          </w:tcPr>
          <w:p w14:paraId="6807DBA7" w14:textId="77777777" w:rsidR="00A615EA" w:rsidRPr="009B605C" w:rsidRDefault="00A615EA" w:rsidP="0087752F">
            <w:pPr>
              <w:jc w:val="right"/>
              <w:rPr>
                <w:rFonts w:ascii="Cambria" w:hAnsi="Cambria"/>
                <w:sz w:val="20"/>
                <w:szCs w:val="20"/>
              </w:rPr>
            </w:pPr>
          </w:p>
        </w:tc>
        <w:tc>
          <w:tcPr>
            <w:tcW w:w="1016" w:type="dxa"/>
            <w:tcBorders>
              <w:top w:val="nil"/>
              <w:left w:val="nil"/>
              <w:bottom w:val="nil"/>
              <w:right w:val="nil"/>
            </w:tcBorders>
            <w:shd w:val="clear" w:color="auto" w:fill="auto"/>
            <w:noWrap/>
            <w:vAlign w:val="bottom"/>
            <w:hideMark/>
          </w:tcPr>
          <w:p w14:paraId="1082859D" w14:textId="77777777" w:rsidR="00A615EA" w:rsidRPr="009B605C" w:rsidRDefault="00A615EA" w:rsidP="0087752F">
            <w:pPr>
              <w:rPr>
                <w:rFonts w:ascii="Cambria" w:hAnsi="Cambria"/>
                <w:sz w:val="20"/>
                <w:szCs w:val="20"/>
              </w:rPr>
            </w:pPr>
          </w:p>
        </w:tc>
        <w:tc>
          <w:tcPr>
            <w:tcW w:w="1047" w:type="dxa"/>
            <w:tcBorders>
              <w:top w:val="nil"/>
              <w:left w:val="nil"/>
              <w:bottom w:val="nil"/>
              <w:right w:val="nil"/>
            </w:tcBorders>
            <w:shd w:val="clear" w:color="auto" w:fill="auto"/>
            <w:noWrap/>
            <w:vAlign w:val="center"/>
            <w:hideMark/>
          </w:tcPr>
          <w:p w14:paraId="7A4C99BE" w14:textId="77777777" w:rsidR="00A615EA" w:rsidRPr="009B605C" w:rsidRDefault="00A615EA" w:rsidP="0087752F">
            <w:pPr>
              <w:jc w:val="center"/>
              <w:rPr>
                <w:rFonts w:ascii="Cambria" w:hAnsi="Cambria"/>
                <w:sz w:val="20"/>
                <w:szCs w:val="20"/>
              </w:rPr>
            </w:pPr>
          </w:p>
        </w:tc>
      </w:tr>
      <w:tr w:rsidR="00A615EA" w:rsidRPr="009B605C" w14:paraId="4156FE0B" w14:textId="77777777" w:rsidTr="00BE66CA">
        <w:trPr>
          <w:trHeight w:val="397"/>
        </w:trPr>
        <w:tc>
          <w:tcPr>
            <w:tcW w:w="2281" w:type="dxa"/>
            <w:tcBorders>
              <w:top w:val="nil"/>
              <w:left w:val="nil"/>
              <w:bottom w:val="nil"/>
              <w:right w:val="nil"/>
            </w:tcBorders>
            <w:shd w:val="clear" w:color="auto" w:fill="auto"/>
            <w:noWrap/>
            <w:vAlign w:val="center"/>
            <w:hideMark/>
          </w:tcPr>
          <w:p w14:paraId="5CED64F4"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Brazil/Gold</w:t>
            </w:r>
          </w:p>
        </w:tc>
        <w:tc>
          <w:tcPr>
            <w:tcW w:w="983" w:type="dxa"/>
            <w:tcBorders>
              <w:top w:val="nil"/>
              <w:left w:val="nil"/>
              <w:bottom w:val="nil"/>
              <w:right w:val="nil"/>
            </w:tcBorders>
            <w:shd w:val="clear" w:color="auto" w:fill="auto"/>
            <w:noWrap/>
            <w:vAlign w:val="center"/>
            <w:hideMark/>
          </w:tcPr>
          <w:p w14:paraId="1A46D3B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0.384</w:t>
            </w:r>
          </w:p>
        </w:tc>
        <w:tc>
          <w:tcPr>
            <w:tcW w:w="965" w:type="dxa"/>
            <w:tcBorders>
              <w:top w:val="nil"/>
              <w:left w:val="nil"/>
              <w:bottom w:val="nil"/>
              <w:right w:val="nil"/>
            </w:tcBorders>
            <w:shd w:val="clear" w:color="auto" w:fill="auto"/>
            <w:noWrap/>
            <w:vAlign w:val="center"/>
            <w:hideMark/>
          </w:tcPr>
          <w:p w14:paraId="2A33C1C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0.092</w:t>
            </w:r>
          </w:p>
        </w:tc>
        <w:tc>
          <w:tcPr>
            <w:tcW w:w="1420" w:type="dxa"/>
            <w:tcBorders>
              <w:top w:val="nil"/>
              <w:left w:val="nil"/>
              <w:bottom w:val="nil"/>
              <w:right w:val="nil"/>
            </w:tcBorders>
            <w:shd w:val="clear" w:color="auto" w:fill="auto"/>
            <w:noWrap/>
            <w:vAlign w:val="center"/>
            <w:hideMark/>
          </w:tcPr>
          <w:p w14:paraId="1E9CF98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0.604***</w:t>
            </w:r>
          </w:p>
        </w:tc>
        <w:tc>
          <w:tcPr>
            <w:tcW w:w="1008" w:type="dxa"/>
            <w:tcBorders>
              <w:top w:val="nil"/>
              <w:left w:val="nil"/>
              <w:bottom w:val="nil"/>
              <w:right w:val="nil"/>
            </w:tcBorders>
            <w:shd w:val="clear" w:color="auto" w:fill="auto"/>
            <w:noWrap/>
            <w:vAlign w:val="center"/>
            <w:hideMark/>
          </w:tcPr>
          <w:p w14:paraId="071CB56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0.069</w:t>
            </w:r>
          </w:p>
        </w:tc>
        <w:tc>
          <w:tcPr>
            <w:tcW w:w="1016" w:type="dxa"/>
            <w:tcBorders>
              <w:top w:val="nil"/>
              <w:left w:val="nil"/>
              <w:bottom w:val="nil"/>
              <w:right w:val="nil"/>
            </w:tcBorders>
            <w:shd w:val="clear" w:color="auto" w:fill="auto"/>
            <w:noWrap/>
            <w:vAlign w:val="center"/>
            <w:hideMark/>
          </w:tcPr>
          <w:p w14:paraId="7367638A"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0.107</w:t>
            </w:r>
          </w:p>
        </w:tc>
        <w:tc>
          <w:tcPr>
            <w:tcW w:w="1047" w:type="dxa"/>
            <w:tcBorders>
              <w:top w:val="nil"/>
              <w:left w:val="nil"/>
              <w:bottom w:val="nil"/>
              <w:right w:val="nil"/>
            </w:tcBorders>
            <w:shd w:val="clear" w:color="auto" w:fill="auto"/>
            <w:noWrap/>
            <w:vAlign w:val="center"/>
            <w:hideMark/>
          </w:tcPr>
          <w:p w14:paraId="6062976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0.022</w:t>
            </w:r>
          </w:p>
        </w:tc>
      </w:tr>
      <w:tr w:rsidR="00A615EA" w:rsidRPr="009B605C" w14:paraId="1C50750B" w14:textId="77777777" w:rsidTr="00BE66CA">
        <w:trPr>
          <w:trHeight w:val="397"/>
        </w:trPr>
        <w:tc>
          <w:tcPr>
            <w:tcW w:w="2281" w:type="dxa"/>
            <w:tcBorders>
              <w:top w:val="nil"/>
              <w:left w:val="nil"/>
              <w:bottom w:val="nil"/>
              <w:right w:val="nil"/>
            </w:tcBorders>
            <w:shd w:val="clear" w:color="auto" w:fill="auto"/>
            <w:noWrap/>
            <w:vAlign w:val="center"/>
            <w:hideMark/>
          </w:tcPr>
          <w:p w14:paraId="415CCB9B"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Brazil/Crypto</w:t>
            </w:r>
          </w:p>
        </w:tc>
        <w:tc>
          <w:tcPr>
            <w:tcW w:w="983" w:type="dxa"/>
            <w:tcBorders>
              <w:top w:val="nil"/>
              <w:left w:val="nil"/>
              <w:bottom w:val="nil"/>
              <w:right w:val="nil"/>
            </w:tcBorders>
            <w:shd w:val="clear" w:color="auto" w:fill="auto"/>
            <w:noWrap/>
            <w:vAlign w:val="center"/>
            <w:hideMark/>
          </w:tcPr>
          <w:p w14:paraId="1FFBCA7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0.971</w:t>
            </w:r>
          </w:p>
        </w:tc>
        <w:tc>
          <w:tcPr>
            <w:tcW w:w="965" w:type="dxa"/>
            <w:tcBorders>
              <w:top w:val="nil"/>
              <w:left w:val="nil"/>
              <w:bottom w:val="nil"/>
              <w:right w:val="nil"/>
            </w:tcBorders>
            <w:shd w:val="clear" w:color="auto" w:fill="auto"/>
            <w:noWrap/>
            <w:vAlign w:val="center"/>
            <w:hideMark/>
          </w:tcPr>
          <w:p w14:paraId="1992B97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0.023</w:t>
            </w:r>
          </w:p>
        </w:tc>
        <w:tc>
          <w:tcPr>
            <w:tcW w:w="1420" w:type="dxa"/>
            <w:tcBorders>
              <w:top w:val="nil"/>
              <w:left w:val="nil"/>
              <w:bottom w:val="nil"/>
              <w:right w:val="nil"/>
            </w:tcBorders>
            <w:shd w:val="clear" w:color="auto" w:fill="auto"/>
            <w:noWrap/>
            <w:vAlign w:val="center"/>
            <w:hideMark/>
          </w:tcPr>
          <w:p w14:paraId="2CE2686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0.023***</w:t>
            </w:r>
          </w:p>
        </w:tc>
        <w:tc>
          <w:tcPr>
            <w:tcW w:w="1008" w:type="dxa"/>
            <w:tcBorders>
              <w:top w:val="nil"/>
              <w:left w:val="nil"/>
              <w:bottom w:val="nil"/>
              <w:right w:val="nil"/>
            </w:tcBorders>
            <w:shd w:val="clear" w:color="auto" w:fill="auto"/>
            <w:noWrap/>
            <w:vAlign w:val="center"/>
            <w:hideMark/>
          </w:tcPr>
          <w:p w14:paraId="04CBB3D3"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0.023</w:t>
            </w:r>
          </w:p>
        </w:tc>
        <w:tc>
          <w:tcPr>
            <w:tcW w:w="1016" w:type="dxa"/>
            <w:tcBorders>
              <w:top w:val="nil"/>
              <w:left w:val="nil"/>
              <w:bottom w:val="nil"/>
              <w:right w:val="nil"/>
            </w:tcBorders>
            <w:shd w:val="clear" w:color="auto" w:fill="auto"/>
            <w:noWrap/>
            <w:vAlign w:val="center"/>
            <w:hideMark/>
          </w:tcPr>
          <w:p w14:paraId="15BE63E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0.012</w:t>
            </w:r>
          </w:p>
        </w:tc>
        <w:tc>
          <w:tcPr>
            <w:tcW w:w="1047" w:type="dxa"/>
            <w:tcBorders>
              <w:top w:val="nil"/>
              <w:left w:val="nil"/>
              <w:bottom w:val="nil"/>
              <w:right w:val="nil"/>
            </w:tcBorders>
            <w:shd w:val="clear" w:color="auto" w:fill="auto"/>
            <w:noWrap/>
            <w:vAlign w:val="center"/>
            <w:hideMark/>
          </w:tcPr>
          <w:p w14:paraId="440C060A"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0.019***</w:t>
            </w:r>
          </w:p>
        </w:tc>
      </w:tr>
      <w:tr w:rsidR="00A615EA" w:rsidRPr="009B605C" w14:paraId="165DFBF1" w14:textId="77777777" w:rsidTr="00BE66CA">
        <w:trPr>
          <w:trHeight w:val="397"/>
        </w:trPr>
        <w:tc>
          <w:tcPr>
            <w:tcW w:w="2281" w:type="dxa"/>
            <w:tcBorders>
              <w:top w:val="nil"/>
              <w:left w:val="nil"/>
              <w:bottom w:val="nil"/>
              <w:right w:val="nil"/>
            </w:tcBorders>
            <w:shd w:val="clear" w:color="auto" w:fill="auto"/>
            <w:noWrap/>
            <w:vAlign w:val="center"/>
            <w:hideMark/>
          </w:tcPr>
          <w:p w14:paraId="55A6DE71"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Russia/Gold</w:t>
            </w:r>
          </w:p>
        </w:tc>
        <w:tc>
          <w:tcPr>
            <w:tcW w:w="983" w:type="dxa"/>
            <w:tcBorders>
              <w:top w:val="nil"/>
              <w:left w:val="nil"/>
              <w:bottom w:val="nil"/>
              <w:right w:val="nil"/>
            </w:tcBorders>
            <w:shd w:val="clear" w:color="auto" w:fill="auto"/>
            <w:noWrap/>
            <w:vAlign w:val="center"/>
            <w:hideMark/>
          </w:tcPr>
          <w:p w14:paraId="7DB07EC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0.284</w:t>
            </w:r>
          </w:p>
        </w:tc>
        <w:tc>
          <w:tcPr>
            <w:tcW w:w="965" w:type="dxa"/>
            <w:tcBorders>
              <w:top w:val="nil"/>
              <w:left w:val="nil"/>
              <w:bottom w:val="nil"/>
              <w:right w:val="nil"/>
            </w:tcBorders>
            <w:shd w:val="clear" w:color="auto" w:fill="auto"/>
            <w:noWrap/>
            <w:vAlign w:val="center"/>
            <w:hideMark/>
          </w:tcPr>
          <w:p w14:paraId="76FC571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0.115</w:t>
            </w:r>
          </w:p>
        </w:tc>
        <w:tc>
          <w:tcPr>
            <w:tcW w:w="1420" w:type="dxa"/>
            <w:tcBorders>
              <w:top w:val="nil"/>
              <w:left w:val="nil"/>
              <w:bottom w:val="nil"/>
              <w:right w:val="nil"/>
            </w:tcBorders>
            <w:shd w:val="clear" w:color="auto" w:fill="auto"/>
            <w:noWrap/>
            <w:vAlign w:val="center"/>
            <w:hideMark/>
          </w:tcPr>
          <w:p w14:paraId="49A5A2D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0.852***</w:t>
            </w:r>
          </w:p>
        </w:tc>
        <w:tc>
          <w:tcPr>
            <w:tcW w:w="1008" w:type="dxa"/>
            <w:tcBorders>
              <w:top w:val="nil"/>
              <w:left w:val="nil"/>
              <w:bottom w:val="nil"/>
              <w:right w:val="nil"/>
            </w:tcBorders>
            <w:shd w:val="clear" w:color="auto" w:fill="auto"/>
            <w:noWrap/>
            <w:vAlign w:val="center"/>
            <w:hideMark/>
          </w:tcPr>
          <w:p w14:paraId="7265B0DA" w14:textId="304B88DA"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0.11</w:t>
            </w:r>
            <w:r w:rsidR="00D521F8" w:rsidRPr="009B605C">
              <w:rPr>
                <w:rFonts w:ascii="Cambria" w:hAnsi="Cambria"/>
                <w:color w:val="000000"/>
                <w:sz w:val="20"/>
                <w:szCs w:val="20"/>
              </w:rPr>
              <w:t>0</w:t>
            </w:r>
          </w:p>
        </w:tc>
        <w:tc>
          <w:tcPr>
            <w:tcW w:w="1016" w:type="dxa"/>
            <w:tcBorders>
              <w:top w:val="nil"/>
              <w:left w:val="nil"/>
              <w:bottom w:val="nil"/>
              <w:right w:val="nil"/>
            </w:tcBorders>
            <w:shd w:val="clear" w:color="auto" w:fill="auto"/>
            <w:noWrap/>
            <w:vAlign w:val="center"/>
            <w:hideMark/>
          </w:tcPr>
          <w:p w14:paraId="423EA0B8" w14:textId="221445CE"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0.11</w:t>
            </w:r>
            <w:r w:rsidR="00D521F8" w:rsidRPr="009B605C">
              <w:rPr>
                <w:rFonts w:ascii="Cambria" w:hAnsi="Cambria"/>
                <w:color w:val="000000"/>
                <w:sz w:val="20"/>
                <w:szCs w:val="20"/>
              </w:rPr>
              <w:t>0</w:t>
            </w:r>
          </w:p>
        </w:tc>
        <w:tc>
          <w:tcPr>
            <w:tcW w:w="1047" w:type="dxa"/>
            <w:tcBorders>
              <w:top w:val="nil"/>
              <w:left w:val="nil"/>
              <w:bottom w:val="nil"/>
              <w:right w:val="nil"/>
            </w:tcBorders>
            <w:shd w:val="clear" w:color="auto" w:fill="auto"/>
            <w:noWrap/>
            <w:vAlign w:val="center"/>
            <w:hideMark/>
          </w:tcPr>
          <w:p w14:paraId="77A880B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0.005</w:t>
            </w:r>
          </w:p>
        </w:tc>
      </w:tr>
      <w:tr w:rsidR="00A615EA" w:rsidRPr="009B605C" w14:paraId="681B3325" w14:textId="77777777" w:rsidTr="00BE66CA">
        <w:trPr>
          <w:trHeight w:val="397"/>
        </w:trPr>
        <w:tc>
          <w:tcPr>
            <w:tcW w:w="2281" w:type="dxa"/>
            <w:tcBorders>
              <w:top w:val="nil"/>
              <w:left w:val="nil"/>
              <w:bottom w:val="nil"/>
              <w:right w:val="nil"/>
            </w:tcBorders>
            <w:shd w:val="clear" w:color="auto" w:fill="auto"/>
            <w:noWrap/>
            <w:vAlign w:val="center"/>
            <w:hideMark/>
          </w:tcPr>
          <w:p w14:paraId="2E9706EC"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Russia/Crypto</w:t>
            </w:r>
          </w:p>
        </w:tc>
        <w:tc>
          <w:tcPr>
            <w:tcW w:w="983" w:type="dxa"/>
            <w:tcBorders>
              <w:top w:val="nil"/>
              <w:left w:val="nil"/>
              <w:bottom w:val="nil"/>
              <w:right w:val="nil"/>
            </w:tcBorders>
            <w:shd w:val="clear" w:color="auto" w:fill="auto"/>
            <w:noWrap/>
            <w:vAlign w:val="center"/>
            <w:hideMark/>
          </w:tcPr>
          <w:p w14:paraId="72F1525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0.942</w:t>
            </w:r>
          </w:p>
        </w:tc>
        <w:tc>
          <w:tcPr>
            <w:tcW w:w="965" w:type="dxa"/>
            <w:tcBorders>
              <w:top w:val="nil"/>
              <w:left w:val="nil"/>
              <w:bottom w:val="nil"/>
              <w:right w:val="nil"/>
            </w:tcBorders>
            <w:shd w:val="clear" w:color="auto" w:fill="auto"/>
            <w:noWrap/>
            <w:vAlign w:val="center"/>
            <w:hideMark/>
          </w:tcPr>
          <w:p w14:paraId="2EEFCB5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0.026</w:t>
            </w:r>
          </w:p>
        </w:tc>
        <w:tc>
          <w:tcPr>
            <w:tcW w:w="1420" w:type="dxa"/>
            <w:tcBorders>
              <w:top w:val="nil"/>
              <w:left w:val="nil"/>
              <w:bottom w:val="nil"/>
              <w:right w:val="nil"/>
            </w:tcBorders>
            <w:shd w:val="clear" w:color="auto" w:fill="auto"/>
            <w:noWrap/>
            <w:vAlign w:val="center"/>
            <w:hideMark/>
          </w:tcPr>
          <w:p w14:paraId="4057867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0.048**</w:t>
            </w:r>
          </w:p>
        </w:tc>
        <w:tc>
          <w:tcPr>
            <w:tcW w:w="1008" w:type="dxa"/>
            <w:tcBorders>
              <w:top w:val="nil"/>
              <w:left w:val="nil"/>
              <w:bottom w:val="nil"/>
              <w:right w:val="nil"/>
            </w:tcBorders>
            <w:shd w:val="clear" w:color="auto" w:fill="auto"/>
            <w:noWrap/>
            <w:vAlign w:val="center"/>
            <w:hideMark/>
          </w:tcPr>
          <w:p w14:paraId="78CE6B3A"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0.007</w:t>
            </w:r>
          </w:p>
        </w:tc>
        <w:tc>
          <w:tcPr>
            <w:tcW w:w="1016" w:type="dxa"/>
            <w:tcBorders>
              <w:top w:val="nil"/>
              <w:left w:val="nil"/>
              <w:bottom w:val="nil"/>
              <w:right w:val="nil"/>
            </w:tcBorders>
            <w:shd w:val="clear" w:color="auto" w:fill="auto"/>
            <w:noWrap/>
            <w:vAlign w:val="center"/>
            <w:hideMark/>
          </w:tcPr>
          <w:p w14:paraId="21F494C5"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0.015</w:t>
            </w:r>
          </w:p>
        </w:tc>
        <w:tc>
          <w:tcPr>
            <w:tcW w:w="1047" w:type="dxa"/>
            <w:tcBorders>
              <w:top w:val="nil"/>
              <w:left w:val="nil"/>
              <w:bottom w:val="nil"/>
              <w:right w:val="nil"/>
            </w:tcBorders>
            <w:shd w:val="clear" w:color="auto" w:fill="auto"/>
            <w:noWrap/>
            <w:vAlign w:val="center"/>
            <w:hideMark/>
          </w:tcPr>
          <w:p w14:paraId="3EFC176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0.002***</w:t>
            </w:r>
          </w:p>
        </w:tc>
      </w:tr>
      <w:tr w:rsidR="00A615EA" w:rsidRPr="009B605C" w14:paraId="76599263" w14:textId="77777777" w:rsidTr="00BE66CA">
        <w:trPr>
          <w:trHeight w:val="397"/>
        </w:trPr>
        <w:tc>
          <w:tcPr>
            <w:tcW w:w="2281" w:type="dxa"/>
            <w:tcBorders>
              <w:top w:val="nil"/>
              <w:left w:val="nil"/>
              <w:bottom w:val="nil"/>
              <w:right w:val="nil"/>
            </w:tcBorders>
            <w:shd w:val="clear" w:color="auto" w:fill="auto"/>
            <w:noWrap/>
            <w:vAlign w:val="center"/>
            <w:hideMark/>
          </w:tcPr>
          <w:p w14:paraId="7685F305"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India/Gold</w:t>
            </w:r>
          </w:p>
        </w:tc>
        <w:tc>
          <w:tcPr>
            <w:tcW w:w="983" w:type="dxa"/>
            <w:tcBorders>
              <w:top w:val="nil"/>
              <w:left w:val="nil"/>
              <w:bottom w:val="nil"/>
              <w:right w:val="nil"/>
            </w:tcBorders>
            <w:shd w:val="clear" w:color="auto" w:fill="auto"/>
            <w:noWrap/>
            <w:vAlign w:val="center"/>
            <w:hideMark/>
          </w:tcPr>
          <w:p w14:paraId="0BC90C3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0.557</w:t>
            </w:r>
          </w:p>
        </w:tc>
        <w:tc>
          <w:tcPr>
            <w:tcW w:w="965" w:type="dxa"/>
            <w:tcBorders>
              <w:top w:val="nil"/>
              <w:left w:val="nil"/>
              <w:bottom w:val="nil"/>
              <w:right w:val="nil"/>
            </w:tcBorders>
            <w:shd w:val="clear" w:color="auto" w:fill="auto"/>
            <w:noWrap/>
            <w:vAlign w:val="center"/>
            <w:hideMark/>
          </w:tcPr>
          <w:p w14:paraId="3AE5739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0.071</w:t>
            </w:r>
          </w:p>
        </w:tc>
        <w:tc>
          <w:tcPr>
            <w:tcW w:w="1420" w:type="dxa"/>
            <w:tcBorders>
              <w:top w:val="nil"/>
              <w:left w:val="nil"/>
              <w:bottom w:val="nil"/>
              <w:right w:val="nil"/>
            </w:tcBorders>
            <w:shd w:val="clear" w:color="auto" w:fill="auto"/>
            <w:noWrap/>
            <w:vAlign w:val="center"/>
            <w:hideMark/>
          </w:tcPr>
          <w:p w14:paraId="0F8F4B4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0.476***</w:t>
            </w:r>
          </w:p>
        </w:tc>
        <w:tc>
          <w:tcPr>
            <w:tcW w:w="1008" w:type="dxa"/>
            <w:tcBorders>
              <w:top w:val="nil"/>
              <w:left w:val="nil"/>
              <w:bottom w:val="nil"/>
              <w:right w:val="nil"/>
            </w:tcBorders>
            <w:shd w:val="clear" w:color="auto" w:fill="auto"/>
            <w:noWrap/>
            <w:vAlign w:val="center"/>
            <w:hideMark/>
          </w:tcPr>
          <w:p w14:paraId="0746E4B1"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0.039</w:t>
            </w:r>
          </w:p>
        </w:tc>
        <w:tc>
          <w:tcPr>
            <w:tcW w:w="1016" w:type="dxa"/>
            <w:tcBorders>
              <w:top w:val="nil"/>
              <w:left w:val="nil"/>
              <w:bottom w:val="nil"/>
              <w:right w:val="nil"/>
            </w:tcBorders>
            <w:shd w:val="clear" w:color="auto" w:fill="auto"/>
            <w:noWrap/>
            <w:vAlign w:val="center"/>
            <w:hideMark/>
          </w:tcPr>
          <w:p w14:paraId="45C0193E"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0.061</w:t>
            </w:r>
          </w:p>
        </w:tc>
        <w:tc>
          <w:tcPr>
            <w:tcW w:w="1047" w:type="dxa"/>
            <w:tcBorders>
              <w:top w:val="nil"/>
              <w:left w:val="nil"/>
              <w:bottom w:val="nil"/>
              <w:right w:val="nil"/>
            </w:tcBorders>
            <w:shd w:val="clear" w:color="auto" w:fill="auto"/>
            <w:noWrap/>
            <w:vAlign w:val="center"/>
            <w:hideMark/>
          </w:tcPr>
          <w:p w14:paraId="7595292D"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0.016</w:t>
            </w:r>
          </w:p>
        </w:tc>
      </w:tr>
      <w:tr w:rsidR="00A615EA" w:rsidRPr="009B605C" w14:paraId="68588D67" w14:textId="77777777" w:rsidTr="00BE66CA">
        <w:trPr>
          <w:trHeight w:val="397"/>
        </w:trPr>
        <w:tc>
          <w:tcPr>
            <w:tcW w:w="2281" w:type="dxa"/>
            <w:tcBorders>
              <w:top w:val="nil"/>
              <w:left w:val="nil"/>
              <w:bottom w:val="nil"/>
              <w:right w:val="nil"/>
            </w:tcBorders>
            <w:shd w:val="clear" w:color="auto" w:fill="auto"/>
            <w:noWrap/>
            <w:vAlign w:val="center"/>
            <w:hideMark/>
          </w:tcPr>
          <w:p w14:paraId="6551E7A8"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India/Crypto</w:t>
            </w:r>
          </w:p>
        </w:tc>
        <w:tc>
          <w:tcPr>
            <w:tcW w:w="983" w:type="dxa"/>
            <w:tcBorders>
              <w:top w:val="nil"/>
              <w:left w:val="nil"/>
              <w:bottom w:val="nil"/>
              <w:right w:val="nil"/>
            </w:tcBorders>
            <w:shd w:val="clear" w:color="auto" w:fill="auto"/>
            <w:noWrap/>
            <w:vAlign w:val="center"/>
            <w:hideMark/>
          </w:tcPr>
          <w:p w14:paraId="1231167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0.983</w:t>
            </w:r>
          </w:p>
        </w:tc>
        <w:tc>
          <w:tcPr>
            <w:tcW w:w="965" w:type="dxa"/>
            <w:tcBorders>
              <w:top w:val="nil"/>
              <w:left w:val="nil"/>
              <w:bottom w:val="nil"/>
              <w:right w:val="nil"/>
            </w:tcBorders>
            <w:shd w:val="clear" w:color="auto" w:fill="auto"/>
            <w:noWrap/>
            <w:vAlign w:val="center"/>
            <w:hideMark/>
          </w:tcPr>
          <w:p w14:paraId="00368A9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0.019</w:t>
            </w:r>
          </w:p>
        </w:tc>
        <w:tc>
          <w:tcPr>
            <w:tcW w:w="1420" w:type="dxa"/>
            <w:tcBorders>
              <w:top w:val="nil"/>
              <w:left w:val="nil"/>
              <w:bottom w:val="nil"/>
              <w:right w:val="nil"/>
            </w:tcBorders>
            <w:shd w:val="clear" w:color="auto" w:fill="auto"/>
            <w:noWrap/>
            <w:vAlign w:val="center"/>
            <w:hideMark/>
          </w:tcPr>
          <w:p w14:paraId="476EF29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0.032***</w:t>
            </w:r>
          </w:p>
        </w:tc>
        <w:tc>
          <w:tcPr>
            <w:tcW w:w="1008" w:type="dxa"/>
            <w:tcBorders>
              <w:top w:val="nil"/>
              <w:left w:val="nil"/>
              <w:bottom w:val="nil"/>
              <w:right w:val="nil"/>
            </w:tcBorders>
            <w:shd w:val="clear" w:color="auto" w:fill="auto"/>
            <w:noWrap/>
            <w:vAlign w:val="center"/>
            <w:hideMark/>
          </w:tcPr>
          <w:p w14:paraId="065E0FE9"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0.006</w:t>
            </w:r>
          </w:p>
        </w:tc>
        <w:tc>
          <w:tcPr>
            <w:tcW w:w="1016" w:type="dxa"/>
            <w:tcBorders>
              <w:top w:val="nil"/>
              <w:left w:val="nil"/>
              <w:bottom w:val="nil"/>
              <w:right w:val="nil"/>
            </w:tcBorders>
            <w:shd w:val="clear" w:color="auto" w:fill="auto"/>
            <w:noWrap/>
            <w:vAlign w:val="center"/>
            <w:hideMark/>
          </w:tcPr>
          <w:p w14:paraId="6195193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w:t>
            </w:r>
          </w:p>
        </w:tc>
        <w:tc>
          <w:tcPr>
            <w:tcW w:w="1047" w:type="dxa"/>
            <w:tcBorders>
              <w:top w:val="nil"/>
              <w:left w:val="nil"/>
              <w:bottom w:val="nil"/>
              <w:right w:val="nil"/>
            </w:tcBorders>
            <w:shd w:val="clear" w:color="auto" w:fill="auto"/>
            <w:noWrap/>
            <w:vAlign w:val="center"/>
            <w:hideMark/>
          </w:tcPr>
          <w:p w14:paraId="2FF515F8"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0.007***</w:t>
            </w:r>
          </w:p>
        </w:tc>
      </w:tr>
      <w:tr w:rsidR="00A615EA" w:rsidRPr="009B605C" w14:paraId="3F194A37" w14:textId="77777777" w:rsidTr="00BE66CA">
        <w:trPr>
          <w:trHeight w:val="397"/>
        </w:trPr>
        <w:tc>
          <w:tcPr>
            <w:tcW w:w="2281" w:type="dxa"/>
            <w:tcBorders>
              <w:top w:val="nil"/>
              <w:left w:val="nil"/>
              <w:bottom w:val="nil"/>
              <w:right w:val="nil"/>
            </w:tcBorders>
            <w:shd w:val="clear" w:color="auto" w:fill="auto"/>
            <w:noWrap/>
            <w:vAlign w:val="center"/>
            <w:hideMark/>
          </w:tcPr>
          <w:p w14:paraId="28359F1B"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China/Gold</w:t>
            </w:r>
          </w:p>
        </w:tc>
        <w:tc>
          <w:tcPr>
            <w:tcW w:w="983" w:type="dxa"/>
            <w:tcBorders>
              <w:top w:val="nil"/>
              <w:left w:val="nil"/>
              <w:bottom w:val="nil"/>
              <w:right w:val="nil"/>
            </w:tcBorders>
            <w:shd w:val="clear" w:color="auto" w:fill="auto"/>
            <w:noWrap/>
            <w:vAlign w:val="center"/>
            <w:hideMark/>
          </w:tcPr>
          <w:p w14:paraId="2C259DD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0.486</w:t>
            </w:r>
          </w:p>
        </w:tc>
        <w:tc>
          <w:tcPr>
            <w:tcW w:w="965" w:type="dxa"/>
            <w:tcBorders>
              <w:top w:val="nil"/>
              <w:left w:val="nil"/>
              <w:bottom w:val="nil"/>
              <w:right w:val="nil"/>
            </w:tcBorders>
            <w:shd w:val="clear" w:color="auto" w:fill="auto"/>
            <w:noWrap/>
            <w:vAlign w:val="center"/>
            <w:hideMark/>
          </w:tcPr>
          <w:p w14:paraId="3A25CC9A"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0.067</w:t>
            </w:r>
          </w:p>
        </w:tc>
        <w:tc>
          <w:tcPr>
            <w:tcW w:w="1420" w:type="dxa"/>
            <w:tcBorders>
              <w:top w:val="nil"/>
              <w:left w:val="nil"/>
              <w:bottom w:val="nil"/>
              <w:right w:val="nil"/>
            </w:tcBorders>
            <w:shd w:val="clear" w:color="auto" w:fill="auto"/>
            <w:noWrap/>
            <w:vAlign w:val="center"/>
            <w:hideMark/>
          </w:tcPr>
          <w:p w14:paraId="5726F4F4" w14:textId="4A2AA772"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0.49</w:t>
            </w:r>
            <w:r w:rsidR="00BE66CA" w:rsidRPr="009B605C">
              <w:rPr>
                <w:rFonts w:ascii="Cambria" w:hAnsi="Cambria"/>
                <w:color w:val="000000"/>
                <w:sz w:val="20"/>
                <w:szCs w:val="20"/>
              </w:rPr>
              <w:t>0</w:t>
            </w:r>
            <w:r w:rsidRPr="009B605C">
              <w:rPr>
                <w:rFonts w:ascii="Cambria" w:hAnsi="Cambria"/>
                <w:color w:val="000000"/>
                <w:sz w:val="20"/>
                <w:szCs w:val="20"/>
              </w:rPr>
              <w:t>***</w:t>
            </w:r>
          </w:p>
        </w:tc>
        <w:tc>
          <w:tcPr>
            <w:tcW w:w="1008" w:type="dxa"/>
            <w:tcBorders>
              <w:top w:val="nil"/>
              <w:left w:val="nil"/>
              <w:bottom w:val="nil"/>
              <w:right w:val="nil"/>
            </w:tcBorders>
            <w:shd w:val="clear" w:color="auto" w:fill="auto"/>
            <w:noWrap/>
            <w:vAlign w:val="center"/>
            <w:hideMark/>
          </w:tcPr>
          <w:p w14:paraId="0C9019A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0.112</w:t>
            </w:r>
          </w:p>
        </w:tc>
        <w:tc>
          <w:tcPr>
            <w:tcW w:w="1016" w:type="dxa"/>
            <w:tcBorders>
              <w:top w:val="nil"/>
              <w:left w:val="nil"/>
              <w:bottom w:val="nil"/>
              <w:right w:val="nil"/>
            </w:tcBorders>
            <w:shd w:val="clear" w:color="auto" w:fill="auto"/>
            <w:noWrap/>
            <w:vAlign w:val="center"/>
            <w:hideMark/>
          </w:tcPr>
          <w:p w14:paraId="0F34A31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0.062</w:t>
            </w:r>
          </w:p>
        </w:tc>
        <w:tc>
          <w:tcPr>
            <w:tcW w:w="1047" w:type="dxa"/>
            <w:tcBorders>
              <w:top w:val="nil"/>
              <w:left w:val="nil"/>
              <w:bottom w:val="nil"/>
              <w:right w:val="nil"/>
            </w:tcBorders>
            <w:shd w:val="clear" w:color="auto" w:fill="auto"/>
            <w:noWrap/>
            <w:vAlign w:val="center"/>
            <w:hideMark/>
          </w:tcPr>
          <w:p w14:paraId="71615C2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0.026</w:t>
            </w:r>
          </w:p>
        </w:tc>
      </w:tr>
      <w:tr w:rsidR="00A615EA" w:rsidRPr="009B605C" w14:paraId="4F315F7A" w14:textId="77777777" w:rsidTr="00BE66CA">
        <w:trPr>
          <w:trHeight w:val="397"/>
        </w:trPr>
        <w:tc>
          <w:tcPr>
            <w:tcW w:w="2281" w:type="dxa"/>
            <w:tcBorders>
              <w:top w:val="nil"/>
              <w:left w:val="nil"/>
              <w:bottom w:val="nil"/>
              <w:right w:val="nil"/>
            </w:tcBorders>
            <w:shd w:val="clear" w:color="auto" w:fill="auto"/>
            <w:noWrap/>
            <w:vAlign w:val="center"/>
            <w:hideMark/>
          </w:tcPr>
          <w:p w14:paraId="4840F82C"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China/Crypto</w:t>
            </w:r>
          </w:p>
        </w:tc>
        <w:tc>
          <w:tcPr>
            <w:tcW w:w="983" w:type="dxa"/>
            <w:tcBorders>
              <w:top w:val="nil"/>
              <w:left w:val="nil"/>
              <w:bottom w:val="nil"/>
              <w:right w:val="nil"/>
            </w:tcBorders>
            <w:shd w:val="clear" w:color="auto" w:fill="auto"/>
            <w:noWrap/>
            <w:vAlign w:val="center"/>
            <w:hideMark/>
          </w:tcPr>
          <w:p w14:paraId="7F7D81CD"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0.974</w:t>
            </w:r>
          </w:p>
        </w:tc>
        <w:tc>
          <w:tcPr>
            <w:tcW w:w="965" w:type="dxa"/>
            <w:tcBorders>
              <w:top w:val="nil"/>
              <w:left w:val="nil"/>
              <w:bottom w:val="nil"/>
              <w:right w:val="nil"/>
            </w:tcBorders>
            <w:shd w:val="clear" w:color="auto" w:fill="auto"/>
            <w:noWrap/>
            <w:vAlign w:val="center"/>
            <w:hideMark/>
          </w:tcPr>
          <w:p w14:paraId="0CE9A32A"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0.022</w:t>
            </w:r>
          </w:p>
        </w:tc>
        <w:tc>
          <w:tcPr>
            <w:tcW w:w="1420" w:type="dxa"/>
            <w:tcBorders>
              <w:top w:val="nil"/>
              <w:left w:val="nil"/>
              <w:bottom w:val="nil"/>
              <w:right w:val="nil"/>
            </w:tcBorders>
            <w:shd w:val="clear" w:color="auto" w:fill="auto"/>
            <w:noWrap/>
            <w:vAlign w:val="center"/>
            <w:hideMark/>
          </w:tcPr>
          <w:p w14:paraId="7A25485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0.036***</w:t>
            </w:r>
          </w:p>
        </w:tc>
        <w:tc>
          <w:tcPr>
            <w:tcW w:w="1008" w:type="dxa"/>
            <w:tcBorders>
              <w:top w:val="nil"/>
              <w:left w:val="nil"/>
              <w:bottom w:val="nil"/>
              <w:right w:val="nil"/>
            </w:tcBorders>
            <w:shd w:val="clear" w:color="auto" w:fill="auto"/>
            <w:noWrap/>
            <w:vAlign w:val="center"/>
            <w:hideMark/>
          </w:tcPr>
          <w:p w14:paraId="03541EE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0.004</w:t>
            </w:r>
          </w:p>
        </w:tc>
        <w:tc>
          <w:tcPr>
            <w:tcW w:w="1016" w:type="dxa"/>
            <w:tcBorders>
              <w:top w:val="nil"/>
              <w:left w:val="nil"/>
              <w:bottom w:val="nil"/>
              <w:right w:val="nil"/>
            </w:tcBorders>
            <w:shd w:val="clear" w:color="auto" w:fill="auto"/>
            <w:noWrap/>
            <w:vAlign w:val="center"/>
            <w:hideMark/>
          </w:tcPr>
          <w:p w14:paraId="4D321E84"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0.012</w:t>
            </w:r>
          </w:p>
        </w:tc>
        <w:tc>
          <w:tcPr>
            <w:tcW w:w="1047" w:type="dxa"/>
            <w:tcBorders>
              <w:top w:val="nil"/>
              <w:left w:val="nil"/>
              <w:bottom w:val="nil"/>
              <w:right w:val="nil"/>
            </w:tcBorders>
            <w:shd w:val="clear" w:color="auto" w:fill="auto"/>
            <w:noWrap/>
            <w:vAlign w:val="center"/>
            <w:hideMark/>
          </w:tcPr>
          <w:p w14:paraId="16C99A4E"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0.007***</w:t>
            </w:r>
          </w:p>
        </w:tc>
      </w:tr>
      <w:tr w:rsidR="00A615EA" w:rsidRPr="009B605C" w14:paraId="28990829" w14:textId="77777777" w:rsidTr="00BE66CA">
        <w:trPr>
          <w:trHeight w:val="397"/>
        </w:trPr>
        <w:tc>
          <w:tcPr>
            <w:tcW w:w="2281" w:type="dxa"/>
            <w:tcBorders>
              <w:top w:val="nil"/>
              <w:left w:val="nil"/>
              <w:bottom w:val="nil"/>
              <w:right w:val="nil"/>
            </w:tcBorders>
            <w:shd w:val="clear" w:color="auto" w:fill="auto"/>
            <w:noWrap/>
            <w:vAlign w:val="center"/>
            <w:hideMark/>
          </w:tcPr>
          <w:p w14:paraId="3428AD8D"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South Africa/Gold</w:t>
            </w:r>
          </w:p>
        </w:tc>
        <w:tc>
          <w:tcPr>
            <w:tcW w:w="983" w:type="dxa"/>
            <w:tcBorders>
              <w:top w:val="nil"/>
              <w:left w:val="nil"/>
              <w:bottom w:val="nil"/>
              <w:right w:val="nil"/>
            </w:tcBorders>
            <w:shd w:val="clear" w:color="auto" w:fill="auto"/>
            <w:noWrap/>
            <w:vAlign w:val="center"/>
            <w:hideMark/>
          </w:tcPr>
          <w:p w14:paraId="1796D916"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0.328</w:t>
            </w:r>
          </w:p>
        </w:tc>
        <w:tc>
          <w:tcPr>
            <w:tcW w:w="965" w:type="dxa"/>
            <w:tcBorders>
              <w:top w:val="nil"/>
              <w:left w:val="nil"/>
              <w:bottom w:val="nil"/>
              <w:right w:val="nil"/>
            </w:tcBorders>
            <w:shd w:val="clear" w:color="auto" w:fill="auto"/>
            <w:noWrap/>
            <w:vAlign w:val="center"/>
            <w:hideMark/>
          </w:tcPr>
          <w:p w14:paraId="1112D2D3"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0.089</w:t>
            </w:r>
          </w:p>
        </w:tc>
        <w:tc>
          <w:tcPr>
            <w:tcW w:w="1420" w:type="dxa"/>
            <w:tcBorders>
              <w:top w:val="nil"/>
              <w:left w:val="nil"/>
              <w:bottom w:val="nil"/>
              <w:right w:val="nil"/>
            </w:tcBorders>
            <w:shd w:val="clear" w:color="auto" w:fill="auto"/>
            <w:noWrap/>
            <w:vAlign w:val="center"/>
            <w:hideMark/>
          </w:tcPr>
          <w:p w14:paraId="1A2E941D"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0.569***</w:t>
            </w:r>
          </w:p>
        </w:tc>
        <w:tc>
          <w:tcPr>
            <w:tcW w:w="1008" w:type="dxa"/>
            <w:tcBorders>
              <w:top w:val="nil"/>
              <w:left w:val="nil"/>
              <w:bottom w:val="nil"/>
              <w:right w:val="nil"/>
            </w:tcBorders>
            <w:shd w:val="clear" w:color="auto" w:fill="auto"/>
            <w:noWrap/>
            <w:vAlign w:val="center"/>
            <w:hideMark/>
          </w:tcPr>
          <w:p w14:paraId="07F4DD80"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0.304</w:t>
            </w:r>
          </w:p>
        </w:tc>
        <w:tc>
          <w:tcPr>
            <w:tcW w:w="1016" w:type="dxa"/>
            <w:tcBorders>
              <w:top w:val="nil"/>
              <w:left w:val="nil"/>
              <w:bottom w:val="nil"/>
              <w:right w:val="nil"/>
            </w:tcBorders>
            <w:shd w:val="clear" w:color="auto" w:fill="auto"/>
            <w:noWrap/>
            <w:vAlign w:val="center"/>
            <w:hideMark/>
          </w:tcPr>
          <w:p w14:paraId="57E23D7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0.154</w:t>
            </w:r>
          </w:p>
        </w:tc>
        <w:tc>
          <w:tcPr>
            <w:tcW w:w="1047" w:type="dxa"/>
            <w:tcBorders>
              <w:top w:val="nil"/>
              <w:left w:val="nil"/>
              <w:bottom w:val="nil"/>
              <w:right w:val="nil"/>
            </w:tcBorders>
            <w:shd w:val="clear" w:color="auto" w:fill="auto"/>
            <w:noWrap/>
            <w:vAlign w:val="center"/>
            <w:hideMark/>
          </w:tcPr>
          <w:p w14:paraId="1D5D8A8D"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0.074</w:t>
            </w:r>
          </w:p>
        </w:tc>
      </w:tr>
      <w:tr w:rsidR="00A615EA" w:rsidRPr="009B605C" w14:paraId="242D19E5" w14:textId="77777777" w:rsidTr="008F07E5">
        <w:trPr>
          <w:trHeight w:val="397"/>
        </w:trPr>
        <w:tc>
          <w:tcPr>
            <w:tcW w:w="2281" w:type="dxa"/>
            <w:tcBorders>
              <w:top w:val="nil"/>
              <w:left w:val="nil"/>
              <w:bottom w:val="double" w:sz="4" w:space="0" w:color="auto"/>
              <w:right w:val="nil"/>
            </w:tcBorders>
            <w:shd w:val="clear" w:color="auto" w:fill="auto"/>
            <w:noWrap/>
            <w:vAlign w:val="center"/>
            <w:hideMark/>
          </w:tcPr>
          <w:p w14:paraId="11DAC492" w14:textId="77777777" w:rsidR="00A615EA" w:rsidRPr="009B605C" w:rsidRDefault="00A615EA" w:rsidP="0087752F">
            <w:pPr>
              <w:rPr>
                <w:rFonts w:ascii="Cambria" w:hAnsi="Cambria"/>
                <w:color w:val="000000"/>
                <w:sz w:val="20"/>
                <w:szCs w:val="20"/>
              </w:rPr>
            </w:pPr>
            <w:r w:rsidRPr="009B605C">
              <w:rPr>
                <w:rFonts w:ascii="Cambria" w:hAnsi="Cambria"/>
                <w:color w:val="000000"/>
                <w:sz w:val="20"/>
                <w:szCs w:val="20"/>
              </w:rPr>
              <w:t>South Africa/Crypto</w:t>
            </w:r>
          </w:p>
        </w:tc>
        <w:tc>
          <w:tcPr>
            <w:tcW w:w="983" w:type="dxa"/>
            <w:tcBorders>
              <w:top w:val="nil"/>
              <w:left w:val="nil"/>
              <w:bottom w:val="double" w:sz="4" w:space="0" w:color="auto"/>
              <w:right w:val="nil"/>
            </w:tcBorders>
            <w:shd w:val="clear" w:color="auto" w:fill="auto"/>
            <w:noWrap/>
            <w:vAlign w:val="center"/>
            <w:hideMark/>
          </w:tcPr>
          <w:p w14:paraId="10B3C6F2"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0.966</w:t>
            </w:r>
          </w:p>
        </w:tc>
        <w:tc>
          <w:tcPr>
            <w:tcW w:w="965" w:type="dxa"/>
            <w:tcBorders>
              <w:top w:val="nil"/>
              <w:left w:val="nil"/>
              <w:bottom w:val="double" w:sz="4" w:space="0" w:color="auto"/>
              <w:right w:val="nil"/>
            </w:tcBorders>
            <w:shd w:val="clear" w:color="auto" w:fill="auto"/>
            <w:noWrap/>
            <w:vAlign w:val="center"/>
            <w:hideMark/>
          </w:tcPr>
          <w:p w14:paraId="5BE3E45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0.035</w:t>
            </w:r>
          </w:p>
        </w:tc>
        <w:tc>
          <w:tcPr>
            <w:tcW w:w="1420" w:type="dxa"/>
            <w:tcBorders>
              <w:top w:val="nil"/>
              <w:left w:val="nil"/>
              <w:bottom w:val="double" w:sz="4" w:space="0" w:color="auto"/>
              <w:right w:val="nil"/>
            </w:tcBorders>
            <w:shd w:val="clear" w:color="auto" w:fill="auto"/>
            <w:noWrap/>
            <w:vAlign w:val="center"/>
            <w:hideMark/>
          </w:tcPr>
          <w:p w14:paraId="50BBC0CF" w14:textId="6166AF28"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0.03</w:t>
            </w:r>
            <w:r w:rsidR="00BE66CA" w:rsidRPr="009B605C">
              <w:rPr>
                <w:rFonts w:ascii="Cambria" w:hAnsi="Cambria"/>
                <w:color w:val="000000"/>
                <w:sz w:val="20"/>
                <w:szCs w:val="20"/>
              </w:rPr>
              <w:t>0</w:t>
            </w:r>
            <w:r w:rsidRPr="009B605C">
              <w:rPr>
                <w:rFonts w:ascii="Cambria" w:hAnsi="Cambria"/>
                <w:color w:val="000000"/>
                <w:sz w:val="20"/>
                <w:szCs w:val="20"/>
              </w:rPr>
              <w:t>***</w:t>
            </w:r>
          </w:p>
        </w:tc>
        <w:tc>
          <w:tcPr>
            <w:tcW w:w="1008" w:type="dxa"/>
            <w:tcBorders>
              <w:top w:val="nil"/>
              <w:left w:val="nil"/>
              <w:bottom w:val="double" w:sz="4" w:space="0" w:color="auto"/>
              <w:right w:val="nil"/>
            </w:tcBorders>
            <w:shd w:val="clear" w:color="auto" w:fill="auto"/>
            <w:noWrap/>
            <w:vAlign w:val="center"/>
            <w:hideMark/>
          </w:tcPr>
          <w:p w14:paraId="4DE0B1EB"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0.018</w:t>
            </w:r>
          </w:p>
        </w:tc>
        <w:tc>
          <w:tcPr>
            <w:tcW w:w="1016" w:type="dxa"/>
            <w:tcBorders>
              <w:top w:val="nil"/>
              <w:left w:val="nil"/>
              <w:bottom w:val="double" w:sz="4" w:space="0" w:color="auto"/>
              <w:right w:val="nil"/>
            </w:tcBorders>
            <w:shd w:val="clear" w:color="auto" w:fill="auto"/>
            <w:noWrap/>
            <w:vAlign w:val="center"/>
            <w:hideMark/>
          </w:tcPr>
          <w:p w14:paraId="401673B7"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0.017</w:t>
            </w:r>
          </w:p>
        </w:tc>
        <w:tc>
          <w:tcPr>
            <w:tcW w:w="1047" w:type="dxa"/>
            <w:tcBorders>
              <w:top w:val="nil"/>
              <w:left w:val="nil"/>
              <w:bottom w:val="double" w:sz="4" w:space="0" w:color="auto"/>
              <w:right w:val="nil"/>
            </w:tcBorders>
            <w:shd w:val="clear" w:color="auto" w:fill="auto"/>
            <w:noWrap/>
            <w:vAlign w:val="center"/>
            <w:hideMark/>
          </w:tcPr>
          <w:p w14:paraId="38620A2C" w14:textId="77777777" w:rsidR="00A615EA" w:rsidRPr="009B605C" w:rsidRDefault="00A615EA" w:rsidP="0087752F">
            <w:pPr>
              <w:jc w:val="center"/>
              <w:rPr>
                <w:rFonts w:ascii="Cambria" w:hAnsi="Cambria"/>
                <w:color w:val="000000"/>
                <w:sz w:val="20"/>
                <w:szCs w:val="20"/>
              </w:rPr>
            </w:pPr>
            <w:r w:rsidRPr="009B605C">
              <w:rPr>
                <w:rFonts w:ascii="Cambria" w:hAnsi="Cambria"/>
                <w:color w:val="000000"/>
                <w:sz w:val="20"/>
                <w:szCs w:val="20"/>
              </w:rPr>
              <w:t>0.016***</w:t>
            </w:r>
          </w:p>
        </w:tc>
      </w:tr>
    </w:tbl>
    <w:p w14:paraId="1BF0D5BE" w14:textId="6010A7F2" w:rsidR="008F07E5" w:rsidRPr="009B605C" w:rsidRDefault="008F07E5" w:rsidP="0087752F">
      <w:pPr>
        <w:ind w:right="-472"/>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 **, and * denote 1%, 5%, and 10% statistical significance levels, respectively.</w:t>
      </w:r>
    </w:p>
    <w:p w14:paraId="773970B3" w14:textId="77777777" w:rsidR="0082061B" w:rsidRPr="009B605C" w:rsidRDefault="0082061B" w:rsidP="0087752F">
      <w:pPr>
        <w:rPr>
          <w:rFonts w:ascii="Cambria" w:hAnsi="Cambria"/>
        </w:rPr>
      </w:pPr>
    </w:p>
    <w:p w14:paraId="76BF138F" w14:textId="77777777" w:rsidR="0082061B" w:rsidRPr="009B605C" w:rsidRDefault="0082061B" w:rsidP="0087752F">
      <w:pPr>
        <w:rPr>
          <w:rFonts w:ascii="Cambria" w:hAnsi="Cambria"/>
        </w:rPr>
      </w:pPr>
    </w:p>
    <w:p w14:paraId="0A7D275F" w14:textId="77777777" w:rsidR="0082061B" w:rsidRPr="009B605C" w:rsidRDefault="0082061B" w:rsidP="0087752F">
      <w:pPr>
        <w:rPr>
          <w:rFonts w:ascii="Cambria" w:hAnsi="Cambria"/>
        </w:rPr>
      </w:pPr>
    </w:p>
    <w:p w14:paraId="664617D6" w14:textId="77777777" w:rsidR="00A615EA" w:rsidRPr="009B605C" w:rsidRDefault="00A615EA" w:rsidP="0087752F">
      <w:pPr>
        <w:rPr>
          <w:rFonts w:ascii="Cambria" w:hAnsi="Cambria"/>
        </w:rPr>
      </w:pPr>
    </w:p>
    <w:p w14:paraId="5E2AE7D4" w14:textId="77777777" w:rsidR="00A615EA" w:rsidRPr="009B605C" w:rsidRDefault="00A615EA" w:rsidP="0087752F">
      <w:pPr>
        <w:rPr>
          <w:rFonts w:ascii="Cambria" w:hAnsi="Cambria"/>
        </w:rPr>
      </w:pPr>
    </w:p>
    <w:p w14:paraId="11BD8974" w14:textId="77777777" w:rsidR="00A615EA" w:rsidRPr="009B605C" w:rsidRDefault="00A615EA" w:rsidP="0087752F">
      <w:pPr>
        <w:rPr>
          <w:rFonts w:ascii="Cambria" w:hAnsi="Cambria"/>
        </w:rPr>
      </w:pPr>
    </w:p>
    <w:p w14:paraId="01929524" w14:textId="77777777" w:rsidR="00A615EA" w:rsidRPr="009B605C" w:rsidRDefault="00A615EA" w:rsidP="0087752F">
      <w:pPr>
        <w:rPr>
          <w:rFonts w:ascii="Cambria" w:hAnsi="Cambria"/>
        </w:rPr>
      </w:pPr>
    </w:p>
    <w:p w14:paraId="3E209C7C" w14:textId="77777777" w:rsidR="00A615EA" w:rsidRPr="009B605C" w:rsidRDefault="00A615EA" w:rsidP="0087752F">
      <w:pPr>
        <w:rPr>
          <w:rFonts w:ascii="Cambria" w:hAnsi="Cambria"/>
        </w:rPr>
      </w:pPr>
    </w:p>
    <w:p w14:paraId="5F4F8127" w14:textId="77777777" w:rsidR="00A615EA" w:rsidRPr="009B605C" w:rsidRDefault="00A615EA" w:rsidP="0087752F">
      <w:pPr>
        <w:rPr>
          <w:rFonts w:ascii="Cambria" w:hAnsi="Cambria"/>
        </w:rPr>
      </w:pPr>
    </w:p>
    <w:p w14:paraId="7F0104FB" w14:textId="77777777" w:rsidR="00A615EA" w:rsidRPr="009B605C" w:rsidRDefault="00A615EA" w:rsidP="0087752F">
      <w:pPr>
        <w:rPr>
          <w:rFonts w:ascii="Cambria" w:hAnsi="Cambria"/>
        </w:rPr>
      </w:pPr>
    </w:p>
    <w:p w14:paraId="71AFAA2D" w14:textId="77777777" w:rsidR="00A615EA" w:rsidRPr="009B605C" w:rsidRDefault="00A615EA" w:rsidP="0087752F">
      <w:pPr>
        <w:rPr>
          <w:rFonts w:ascii="Cambria" w:hAnsi="Cambria"/>
        </w:rPr>
      </w:pPr>
    </w:p>
    <w:p w14:paraId="28F352C4" w14:textId="77777777" w:rsidR="00A615EA" w:rsidRPr="009B605C" w:rsidRDefault="00A615EA" w:rsidP="0087752F">
      <w:pPr>
        <w:rPr>
          <w:rFonts w:ascii="Cambria" w:hAnsi="Cambria"/>
        </w:rPr>
      </w:pPr>
    </w:p>
    <w:p w14:paraId="6B34BBC5" w14:textId="174D3A7C" w:rsidR="005E5FE5" w:rsidRPr="009B605C" w:rsidRDefault="005E5FE5" w:rsidP="0087752F">
      <w:pPr>
        <w:ind w:left="-851"/>
        <w:rPr>
          <w:rFonts w:ascii="Cambria" w:hAnsi="Cambria"/>
        </w:rPr>
      </w:pPr>
      <w:r w:rsidRPr="009B605C">
        <w:rPr>
          <w:rFonts w:ascii="Cambria" w:hAnsi="Cambria"/>
          <w:b/>
          <w:bCs/>
        </w:rPr>
        <w:lastRenderedPageBreak/>
        <w:t>Table 9.</w:t>
      </w:r>
      <w:r w:rsidRPr="009B605C">
        <w:rPr>
          <w:rFonts w:ascii="Cambria" w:hAnsi="Cambria"/>
        </w:rPr>
        <w:t xml:space="preserve"> </w:t>
      </w:r>
      <w:r w:rsidRPr="009B605C">
        <w:rPr>
          <w:rFonts w:ascii="Cambria" w:hAnsi="Cambria"/>
          <w:color w:val="000000"/>
        </w:rPr>
        <w:t>Optimal portfolio weights</w:t>
      </w:r>
    </w:p>
    <w:tbl>
      <w:tblPr>
        <w:tblW w:w="10632" w:type="dxa"/>
        <w:tblInd w:w="-851" w:type="dxa"/>
        <w:tblLayout w:type="fixed"/>
        <w:tblLook w:val="04A0" w:firstRow="1" w:lastRow="0" w:firstColumn="1" w:lastColumn="0" w:noHBand="0" w:noVBand="1"/>
      </w:tblPr>
      <w:tblGrid>
        <w:gridCol w:w="1844"/>
        <w:gridCol w:w="1134"/>
        <w:gridCol w:w="992"/>
        <w:gridCol w:w="992"/>
        <w:gridCol w:w="1134"/>
        <w:gridCol w:w="1134"/>
        <w:gridCol w:w="1134"/>
        <w:gridCol w:w="1134"/>
        <w:gridCol w:w="1134"/>
      </w:tblGrid>
      <w:tr w:rsidR="003B2B93" w:rsidRPr="009B605C" w14:paraId="69F7E3FF" w14:textId="77777777" w:rsidTr="008E212E">
        <w:trPr>
          <w:trHeight w:val="286"/>
        </w:trPr>
        <w:tc>
          <w:tcPr>
            <w:tcW w:w="1844" w:type="dxa"/>
            <w:tcBorders>
              <w:top w:val="double" w:sz="4" w:space="0" w:color="auto"/>
              <w:left w:val="nil"/>
              <w:bottom w:val="single" w:sz="4" w:space="0" w:color="auto"/>
              <w:right w:val="nil"/>
            </w:tcBorders>
            <w:shd w:val="clear" w:color="auto" w:fill="auto"/>
            <w:noWrap/>
            <w:vAlign w:val="bottom"/>
            <w:hideMark/>
          </w:tcPr>
          <w:p w14:paraId="243C66B5" w14:textId="77777777" w:rsidR="005E5FE5" w:rsidRPr="009B605C" w:rsidRDefault="005E5FE5" w:rsidP="0087752F">
            <w:pPr>
              <w:rPr>
                <w:rFonts w:ascii="Cambria" w:hAnsi="Cambria"/>
                <w:sz w:val="20"/>
                <w:szCs w:val="20"/>
              </w:rPr>
            </w:pPr>
          </w:p>
        </w:tc>
        <w:tc>
          <w:tcPr>
            <w:tcW w:w="1134" w:type="dxa"/>
            <w:tcBorders>
              <w:top w:val="double" w:sz="4" w:space="0" w:color="auto"/>
              <w:left w:val="nil"/>
              <w:bottom w:val="single" w:sz="4" w:space="0" w:color="auto"/>
              <w:right w:val="nil"/>
            </w:tcBorders>
            <w:shd w:val="clear" w:color="auto" w:fill="auto"/>
            <w:noWrap/>
            <w:vAlign w:val="bottom"/>
            <w:hideMark/>
          </w:tcPr>
          <w:p w14:paraId="3C3CE174" w14:textId="77777777" w:rsidR="005E5FE5" w:rsidRPr="009B605C" w:rsidRDefault="005E5FE5" w:rsidP="0087752F">
            <w:pPr>
              <w:rPr>
                <w:rFonts w:ascii="Cambria" w:hAnsi="Cambria"/>
                <w:sz w:val="20"/>
                <w:szCs w:val="20"/>
              </w:rPr>
            </w:pPr>
          </w:p>
        </w:tc>
        <w:tc>
          <w:tcPr>
            <w:tcW w:w="992" w:type="dxa"/>
            <w:tcBorders>
              <w:top w:val="double" w:sz="4" w:space="0" w:color="auto"/>
              <w:left w:val="nil"/>
              <w:bottom w:val="single" w:sz="4" w:space="0" w:color="auto"/>
              <w:right w:val="nil"/>
            </w:tcBorders>
            <w:shd w:val="clear" w:color="auto" w:fill="auto"/>
            <w:noWrap/>
            <w:vAlign w:val="bottom"/>
            <w:hideMark/>
          </w:tcPr>
          <w:p w14:paraId="06A205B9" w14:textId="77777777" w:rsidR="005E5FE5" w:rsidRPr="009B605C" w:rsidRDefault="005E5FE5" w:rsidP="0087752F">
            <w:pPr>
              <w:rPr>
                <w:rFonts w:ascii="Cambria" w:hAnsi="Cambria"/>
                <w:b/>
                <w:bCs/>
                <w:color w:val="000000"/>
                <w:sz w:val="20"/>
                <w:szCs w:val="20"/>
              </w:rPr>
            </w:pPr>
            <w:r w:rsidRPr="009B605C">
              <w:rPr>
                <w:rFonts w:ascii="Cambria" w:hAnsi="Cambria"/>
                <w:b/>
                <w:bCs/>
                <w:color w:val="000000"/>
                <w:sz w:val="20"/>
                <w:szCs w:val="20"/>
              </w:rPr>
              <w:t>Bitcoin</w:t>
            </w:r>
          </w:p>
        </w:tc>
        <w:tc>
          <w:tcPr>
            <w:tcW w:w="992" w:type="dxa"/>
            <w:tcBorders>
              <w:top w:val="double" w:sz="4" w:space="0" w:color="auto"/>
              <w:left w:val="nil"/>
              <w:bottom w:val="single" w:sz="4" w:space="0" w:color="auto"/>
              <w:right w:val="nil"/>
            </w:tcBorders>
            <w:shd w:val="clear" w:color="auto" w:fill="auto"/>
            <w:noWrap/>
            <w:vAlign w:val="bottom"/>
            <w:hideMark/>
          </w:tcPr>
          <w:p w14:paraId="10C230E0" w14:textId="161BA348"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10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04D9AA5D" w14:textId="7C753EC0"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100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2D6972F9" w14:textId="7CD38057"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500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416C9558" w14:textId="2C942F54"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500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7DAA3778" w14:textId="57AC1321"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100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061EE305" w14:textId="50F248E3" w:rsidR="005E5FE5" w:rsidRPr="009B605C" w:rsidRDefault="00604C9D"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10</m:t>
                    </m:r>
                  </m:sup>
                </m:sSubSup>
              </m:oMath>
            </m:oMathPara>
          </w:p>
        </w:tc>
      </w:tr>
      <w:tr w:rsidR="003B2B93" w:rsidRPr="009B605C" w14:paraId="03666016" w14:textId="77777777" w:rsidTr="008E212E">
        <w:trPr>
          <w:trHeight w:val="286"/>
        </w:trPr>
        <w:tc>
          <w:tcPr>
            <w:tcW w:w="2978" w:type="dxa"/>
            <w:gridSpan w:val="2"/>
            <w:tcBorders>
              <w:top w:val="single" w:sz="4" w:space="0" w:color="auto"/>
              <w:left w:val="nil"/>
              <w:bottom w:val="nil"/>
              <w:right w:val="nil"/>
            </w:tcBorders>
            <w:shd w:val="clear" w:color="auto" w:fill="auto"/>
            <w:noWrap/>
            <w:vAlign w:val="bottom"/>
            <w:hideMark/>
          </w:tcPr>
          <w:p w14:paraId="274F21F2" w14:textId="531B1D91" w:rsidR="003B2B93" w:rsidRPr="009B605C" w:rsidRDefault="003B2B93" w:rsidP="0087752F">
            <w:pPr>
              <w:rPr>
                <w:rFonts w:ascii="Cambria" w:hAnsi="Cambria"/>
                <w:b/>
                <w:bCs/>
                <w:color w:val="000000"/>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Pre-conflict announcement</w:t>
            </w:r>
          </w:p>
        </w:tc>
        <w:tc>
          <w:tcPr>
            <w:tcW w:w="992" w:type="dxa"/>
            <w:tcBorders>
              <w:top w:val="single" w:sz="4" w:space="0" w:color="auto"/>
              <w:left w:val="nil"/>
              <w:bottom w:val="nil"/>
              <w:right w:val="nil"/>
            </w:tcBorders>
            <w:shd w:val="clear" w:color="auto" w:fill="auto"/>
            <w:noWrap/>
            <w:vAlign w:val="bottom"/>
            <w:hideMark/>
          </w:tcPr>
          <w:p w14:paraId="21D61609" w14:textId="77777777" w:rsidR="003B2B93" w:rsidRPr="009B605C" w:rsidRDefault="003B2B93" w:rsidP="0087752F">
            <w:pPr>
              <w:rPr>
                <w:rFonts w:ascii="Cambria" w:hAnsi="Cambria"/>
                <w:sz w:val="20"/>
                <w:szCs w:val="20"/>
              </w:rPr>
            </w:pPr>
          </w:p>
        </w:tc>
        <w:tc>
          <w:tcPr>
            <w:tcW w:w="992" w:type="dxa"/>
            <w:tcBorders>
              <w:top w:val="single" w:sz="4" w:space="0" w:color="auto"/>
              <w:left w:val="nil"/>
              <w:bottom w:val="nil"/>
              <w:right w:val="nil"/>
            </w:tcBorders>
            <w:shd w:val="clear" w:color="auto" w:fill="auto"/>
            <w:noWrap/>
            <w:vAlign w:val="bottom"/>
            <w:hideMark/>
          </w:tcPr>
          <w:p w14:paraId="2D1817EF" w14:textId="77777777" w:rsidR="003B2B93" w:rsidRPr="009B605C" w:rsidRDefault="003B2B93"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105AFC4D" w14:textId="77777777" w:rsidR="003B2B93" w:rsidRPr="009B605C" w:rsidRDefault="003B2B93"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0D8DCC99" w14:textId="77777777" w:rsidR="003B2B93" w:rsidRPr="009B605C" w:rsidRDefault="003B2B93"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13EECD05" w14:textId="77777777" w:rsidR="003B2B93" w:rsidRPr="009B605C" w:rsidRDefault="003B2B93"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4B3BFE93" w14:textId="77777777" w:rsidR="003B2B93" w:rsidRPr="009B605C" w:rsidRDefault="003B2B93"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57A22B5C" w14:textId="77777777" w:rsidR="003B2B93" w:rsidRPr="009B605C" w:rsidRDefault="003B2B93" w:rsidP="0087752F">
            <w:pPr>
              <w:rPr>
                <w:rFonts w:ascii="Cambria" w:hAnsi="Cambria"/>
                <w:sz w:val="20"/>
                <w:szCs w:val="20"/>
              </w:rPr>
            </w:pPr>
          </w:p>
        </w:tc>
      </w:tr>
      <w:tr w:rsidR="003B2B93" w:rsidRPr="009B605C" w14:paraId="011671C4" w14:textId="77777777" w:rsidTr="008E212E">
        <w:trPr>
          <w:trHeight w:val="286"/>
        </w:trPr>
        <w:tc>
          <w:tcPr>
            <w:tcW w:w="1844" w:type="dxa"/>
            <w:tcBorders>
              <w:top w:val="nil"/>
              <w:left w:val="nil"/>
              <w:bottom w:val="nil"/>
              <w:right w:val="nil"/>
            </w:tcBorders>
            <w:shd w:val="clear" w:color="auto" w:fill="auto"/>
            <w:noWrap/>
            <w:vAlign w:val="bottom"/>
            <w:hideMark/>
          </w:tcPr>
          <w:p w14:paraId="0980E28B"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Brazil</w:t>
            </w:r>
          </w:p>
        </w:tc>
        <w:tc>
          <w:tcPr>
            <w:tcW w:w="1134" w:type="dxa"/>
            <w:tcBorders>
              <w:top w:val="nil"/>
              <w:left w:val="nil"/>
              <w:bottom w:val="nil"/>
              <w:right w:val="nil"/>
            </w:tcBorders>
            <w:shd w:val="clear" w:color="auto" w:fill="auto"/>
            <w:noWrap/>
            <w:vAlign w:val="bottom"/>
            <w:hideMark/>
          </w:tcPr>
          <w:p w14:paraId="307FAAF7"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2CCE8F9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992" w:type="dxa"/>
            <w:tcBorders>
              <w:top w:val="nil"/>
              <w:left w:val="nil"/>
              <w:bottom w:val="nil"/>
              <w:right w:val="nil"/>
            </w:tcBorders>
            <w:shd w:val="clear" w:color="auto" w:fill="auto"/>
            <w:noWrap/>
            <w:vAlign w:val="bottom"/>
            <w:hideMark/>
          </w:tcPr>
          <w:p w14:paraId="0B68314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1134" w:type="dxa"/>
            <w:tcBorders>
              <w:top w:val="nil"/>
              <w:left w:val="nil"/>
              <w:bottom w:val="nil"/>
              <w:right w:val="nil"/>
            </w:tcBorders>
            <w:shd w:val="clear" w:color="auto" w:fill="auto"/>
            <w:noWrap/>
            <w:vAlign w:val="bottom"/>
            <w:hideMark/>
          </w:tcPr>
          <w:p w14:paraId="373685C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1134" w:type="dxa"/>
            <w:tcBorders>
              <w:top w:val="nil"/>
              <w:left w:val="nil"/>
              <w:bottom w:val="nil"/>
              <w:right w:val="nil"/>
            </w:tcBorders>
            <w:shd w:val="clear" w:color="auto" w:fill="auto"/>
            <w:noWrap/>
            <w:vAlign w:val="bottom"/>
            <w:hideMark/>
          </w:tcPr>
          <w:p w14:paraId="41B7AE4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1134" w:type="dxa"/>
            <w:tcBorders>
              <w:top w:val="nil"/>
              <w:left w:val="nil"/>
              <w:bottom w:val="nil"/>
              <w:right w:val="nil"/>
            </w:tcBorders>
            <w:shd w:val="clear" w:color="auto" w:fill="auto"/>
            <w:noWrap/>
            <w:vAlign w:val="bottom"/>
            <w:hideMark/>
          </w:tcPr>
          <w:p w14:paraId="3EA5214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1134" w:type="dxa"/>
            <w:tcBorders>
              <w:top w:val="nil"/>
              <w:left w:val="nil"/>
              <w:bottom w:val="nil"/>
              <w:right w:val="nil"/>
            </w:tcBorders>
            <w:shd w:val="clear" w:color="auto" w:fill="auto"/>
            <w:noWrap/>
            <w:vAlign w:val="bottom"/>
            <w:hideMark/>
          </w:tcPr>
          <w:p w14:paraId="5FFB3C18"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0.251</w:t>
            </w:r>
          </w:p>
        </w:tc>
        <w:tc>
          <w:tcPr>
            <w:tcW w:w="1134" w:type="dxa"/>
            <w:tcBorders>
              <w:top w:val="nil"/>
              <w:left w:val="nil"/>
              <w:bottom w:val="nil"/>
              <w:right w:val="nil"/>
            </w:tcBorders>
            <w:shd w:val="clear" w:color="auto" w:fill="auto"/>
            <w:noWrap/>
            <w:vAlign w:val="bottom"/>
            <w:hideMark/>
          </w:tcPr>
          <w:p w14:paraId="443D5C9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0.252</w:t>
            </w:r>
          </w:p>
        </w:tc>
      </w:tr>
      <w:tr w:rsidR="003B2B93" w:rsidRPr="009B605C" w14:paraId="5F74BCEE" w14:textId="77777777" w:rsidTr="008E212E">
        <w:trPr>
          <w:trHeight w:val="286"/>
        </w:trPr>
        <w:tc>
          <w:tcPr>
            <w:tcW w:w="1844" w:type="dxa"/>
            <w:tcBorders>
              <w:top w:val="nil"/>
              <w:left w:val="nil"/>
              <w:bottom w:val="nil"/>
              <w:right w:val="nil"/>
            </w:tcBorders>
            <w:shd w:val="clear" w:color="auto" w:fill="auto"/>
            <w:noWrap/>
            <w:vAlign w:val="bottom"/>
            <w:hideMark/>
          </w:tcPr>
          <w:p w14:paraId="55171C4E"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72A5CDB3" w14:textId="213453DD" w:rsidR="005E5FE5" w:rsidRPr="009B605C" w:rsidRDefault="005E5FE5" w:rsidP="0087752F">
            <w:pPr>
              <w:rPr>
                <w:rFonts w:ascii="Cambria" w:hAnsi="Cambria"/>
                <w:color w:val="000000"/>
                <w:sz w:val="20"/>
                <w:szCs w:val="20"/>
              </w:rPr>
            </w:pPr>
          </w:p>
        </w:tc>
        <w:tc>
          <w:tcPr>
            <w:tcW w:w="992" w:type="dxa"/>
            <w:tcBorders>
              <w:top w:val="nil"/>
              <w:left w:val="nil"/>
              <w:bottom w:val="nil"/>
              <w:right w:val="nil"/>
            </w:tcBorders>
            <w:shd w:val="clear" w:color="auto" w:fill="auto"/>
            <w:noWrap/>
            <w:vAlign w:val="bottom"/>
            <w:hideMark/>
          </w:tcPr>
          <w:p w14:paraId="5DD150E0" w14:textId="3EAAD427" w:rsidR="005E5FE5" w:rsidRPr="009B605C" w:rsidRDefault="005F7C8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0.087</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42187D2A" w14:textId="4804C9B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0867B4A" w14:textId="1C40971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234A738" w14:textId="54525F2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8FFC0F2" w14:textId="274C47F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699E732" w14:textId="5E3D369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0.087</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9474D7F" w14:textId="7032B62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0.087</w:t>
            </w:r>
            <w:r w:rsidRPr="009B605C">
              <w:rPr>
                <w:rFonts w:ascii="Cambria" w:hAnsi="Cambria"/>
                <w:color w:val="000000"/>
                <w:sz w:val="20"/>
                <w:szCs w:val="20"/>
              </w:rPr>
              <w:t>)</w:t>
            </w:r>
          </w:p>
        </w:tc>
      </w:tr>
      <w:tr w:rsidR="003B2B93" w:rsidRPr="009B605C" w14:paraId="4C5B257C" w14:textId="77777777" w:rsidTr="008E212E">
        <w:trPr>
          <w:trHeight w:val="286"/>
        </w:trPr>
        <w:tc>
          <w:tcPr>
            <w:tcW w:w="1844" w:type="dxa"/>
            <w:tcBorders>
              <w:top w:val="nil"/>
              <w:left w:val="nil"/>
              <w:bottom w:val="nil"/>
              <w:right w:val="nil"/>
            </w:tcBorders>
            <w:shd w:val="clear" w:color="auto" w:fill="auto"/>
            <w:noWrap/>
            <w:vAlign w:val="bottom"/>
            <w:hideMark/>
          </w:tcPr>
          <w:p w14:paraId="1C80CE5B"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4792F03"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080D312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0.901</w:t>
            </w:r>
          </w:p>
        </w:tc>
        <w:tc>
          <w:tcPr>
            <w:tcW w:w="992" w:type="dxa"/>
            <w:tcBorders>
              <w:top w:val="nil"/>
              <w:left w:val="nil"/>
              <w:bottom w:val="nil"/>
              <w:right w:val="nil"/>
            </w:tcBorders>
            <w:shd w:val="clear" w:color="auto" w:fill="auto"/>
            <w:noWrap/>
            <w:vAlign w:val="bottom"/>
            <w:hideMark/>
          </w:tcPr>
          <w:p w14:paraId="7D244FD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0.907</w:t>
            </w:r>
          </w:p>
        </w:tc>
        <w:tc>
          <w:tcPr>
            <w:tcW w:w="1134" w:type="dxa"/>
            <w:tcBorders>
              <w:top w:val="nil"/>
              <w:left w:val="nil"/>
              <w:bottom w:val="nil"/>
              <w:right w:val="nil"/>
            </w:tcBorders>
            <w:shd w:val="clear" w:color="auto" w:fill="auto"/>
            <w:noWrap/>
            <w:vAlign w:val="bottom"/>
            <w:hideMark/>
          </w:tcPr>
          <w:p w14:paraId="751778F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0.908</w:t>
            </w:r>
          </w:p>
        </w:tc>
        <w:tc>
          <w:tcPr>
            <w:tcW w:w="1134" w:type="dxa"/>
            <w:tcBorders>
              <w:top w:val="nil"/>
              <w:left w:val="nil"/>
              <w:bottom w:val="nil"/>
              <w:right w:val="nil"/>
            </w:tcBorders>
            <w:shd w:val="clear" w:color="auto" w:fill="auto"/>
            <w:noWrap/>
            <w:vAlign w:val="bottom"/>
            <w:hideMark/>
          </w:tcPr>
          <w:p w14:paraId="20888CC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0.908</w:t>
            </w:r>
          </w:p>
        </w:tc>
        <w:tc>
          <w:tcPr>
            <w:tcW w:w="1134" w:type="dxa"/>
            <w:tcBorders>
              <w:top w:val="nil"/>
              <w:left w:val="nil"/>
              <w:bottom w:val="nil"/>
              <w:right w:val="nil"/>
            </w:tcBorders>
            <w:shd w:val="clear" w:color="auto" w:fill="auto"/>
            <w:noWrap/>
            <w:vAlign w:val="bottom"/>
            <w:hideMark/>
          </w:tcPr>
          <w:p w14:paraId="318E4BB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0.908</w:t>
            </w:r>
          </w:p>
        </w:tc>
        <w:tc>
          <w:tcPr>
            <w:tcW w:w="1134" w:type="dxa"/>
            <w:tcBorders>
              <w:top w:val="nil"/>
              <w:left w:val="nil"/>
              <w:bottom w:val="nil"/>
              <w:right w:val="nil"/>
            </w:tcBorders>
            <w:shd w:val="clear" w:color="auto" w:fill="auto"/>
            <w:noWrap/>
            <w:vAlign w:val="bottom"/>
            <w:hideMark/>
          </w:tcPr>
          <w:p w14:paraId="3AFAC07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0.998</w:t>
            </w:r>
          </w:p>
        </w:tc>
        <w:tc>
          <w:tcPr>
            <w:tcW w:w="1134" w:type="dxa"/>
            <w:tcBorders>
              <w:top w:val="nil"/>
              <w:left w:val="nil"/>
              <w:bottom w:val="nil"/>
              <w:right w:val="nil"/>
            </w:tcBorders>
            <w:shd w:val="clear" w:color="auto" w:fill="auto"/>
            <w:noWrap/>
            <w:vAlign w:val="bottom"/>
            <w:hideMark/>
          </w:tcPr>
          <w:p w14:paraId="40B7203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r>
      <w:tr w:rsidR="003B2B93" w:rsidRPr="009B605C" w14:paraId="6CC8C120" w14:textId="77777777" w:rsidTr="008E212E">
        <w:trPr>
          <w:trHeight w:val="286"/>
        </w:trPr>
        <w:tc>
          <w:tcPr>
            <w:tcW w:w="1844" w:type="dxa"/>
            <w:tcBorders>
              <w:top w:val="nil"/>
              <w:left w:val="nil"/>
              <w:bottom w:val="nil"/>
              <w:right w:val="nil"/>
            </w:tcBorders>
            <w:shd w:val="clear" w:color="auto" w:fill="auto"/>
            <w:noWrap/>
            <w:vAlign w:val="bottom"/>
            <w:hideMark/>
          </w:tcPr>
          <w:p w14:paraId="5FB9E188"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790E164A"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2C7A06B3" w14:textId="6F81F6A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0.066</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605FD791" w14:textId="4EA4871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0.058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7DDCE02" w14:textId="49016E3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0.058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33517FD" w14:textId="7F092E7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0.058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6E62903" w14:textId="0437E33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0.058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6C04BB4" w14:textId="26B1E7C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A251CA5" w14:textId="128BBF2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7D3D40B6" w14:textId="77777777" w:rsidTr="008E212E">
        <w:trPr>
          <w:trHeight w:val="286"/>
        </w:trPr>
        <w:tc>
          <w:tcPr>
            <w:tcW w:w="1844" w:type="dxa"/>
            <w:tcBorders>
              <w:top w:val="nil"/>
              <w:left w:val="nil"/>
              <w:bottom w:val="nil"/>
              <w:right w:val="nil"/>
            </w:tcBorders>
            <w:shd w:val="clear" w:color="auto" w:fill="auto"/>
            <w:noWrap/>
            <w:vAlign w:val="bottom"/>
            <w:hideMark/>
          </w:tcPr>
          <w:p w14:paraId="6CA5EAFF"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Russia</w:t>
            </w:r>
          </w:p>
        </w:tc>
        <w:tc>
          <w:tcPr>
            <w:tcW w:w="1134" w:type="dxa"/>
            <w:tcBorders>
              <w:top w:val="nil"/>
              <w:left w:val="nil"/>
              <w:bottom w:val="nil"/>
              <w:right w:val="nil"/>
            </w:tcBorders>
            <w:shd w:val="clear" w:color="auto" w:fill="auto"/>
            <w:noWrap/>
            <w:vAlign w:val="bottom"/>
            <w:hideMark/>
          </w:tcPr>
          <w:p w14:paraId="34353AF0"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7922DE3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c>
          <w:tcPr>
            <w:tcW w:w="992" w:type="dxa"/>
            <w:tcBorders>
              <w:top w:val="nil"/>
              <w:left w:val="nil"/>
              <w:bottom w:val="nil"/>
              <w:right w:val="nil"/>
            </w:tcBorders>
            <w:shd w:val="clear" w:color="auto" w:fill="auto"/>
            <w:noWrap/>
            <w:vAlign w:val="bottom"/>
            <w:hideMark/>
          </w:tcPr>
          <w:p w14:paraId="49B45D7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c>
          <w:tcPr>
            <w:tcW w:w="1134" w:type="dxa"/>
            <w:tcBorders>
              <w:top w:val="nil"/>
              <w:left w:val="nil"/>
              <w:bottom w:val="nil"/>
              <w:right w:val="nil"/>
            </w:tcBorders>
            <w:shd w:val="clear" w:color="auto" w:fill="auto"/>
            <w:noWrap/>
            <w:vAlign w:val="bottom"/>
            <w:hideMark/>
          </w:tcPr>
          <w:p w14:paraId="27737F8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c>
          <w:tcPr>
            <w:tcW w:w="1134" w:type="dxa"/>
            <w:tcBorders>
              <w:top w:val="nil"/>
              <w:left w:val="nil"/>
              <w:bottom w:val="nil"/>
              <w:right w:val="nil"/>
            </w:tcBorders>
            <w:shd w:val="clear" w:color="auto" w:fill="auto"/>
            <w:noWrap/>
            <w:vAlign w:val="bottom"/>
            <w:hideMark/>
          </w:tcPr>
          <w:p w14:paraId="14EFD58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c>
          <w:tcPr>
            <w:tcW w:w="1134" w:type="dxa"/>
            <w:tcBorders>
              <w:top w:val="nil"/>
              <w:left w:val="nil"/>
              <w:bottom w:val="nil"/>
              <w:right w:val="nil"/>
            </w:tcBorders>
            <w:shd w:val="clear" w:color="auto" w:fill="auto"/>
            <w:noWrap/>
            <w:vAlign w:val="bottom"/>
            <w:hideMark/>
          </w:tcPr>
          <w:p w14:paraId="4FDE749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c>
          <w:tcPr>
            <w:tcW w:w="1134" w:type="dxa"/>
            <w:tcBorders>
              <w:top w:val="nil"/>
              <w:left w:val="nil"/>
              <w:bottom w:val="nil"/>
              <w:right w:val="nil"/>
            </w:tcBorders>
            <w:shd w:val="clear" w:color="auto" w:fill="auto"/>
            <w:noWrap/>
            <w:vAlign w:val="bottom"/>
            <w:hideMark/>
          </w:tcPr>
          <w:p w14:paraId="242B2CE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0.376</w:t>
            </w:r>
          </w:p>
        </w:tc>
        <w:tc>
          <w:tcPr>
            <w:tcW w:w="1134" w:type="dxa"/>
            <w:tcBorders>
              <w:top w:val="nil"/>
              <w:left w:val="nil"/>
              <w:bottom w:val="nil"/>
              <w:right w:val="nil"/>
            </w:tcBorders>
            <w:shd w:val="clear" w:color="auto" w:fill="auto"/>
            <w:noWrap/>
            <w:vAlign w:val="bottom"/>
            <w:hideMark/>
          </w:tcPr>
          <w:p w14:paraId="276588C9"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0.377</w:t>
            </w:r>
          </w:p>
        </w:tc>
      </w:tr>
      <w:tr w:rsidR="003B2B93" w:rsidRPr="009B605C" w14:paraId="2BB19763" w14:textId="77777777" w:rsidTr="008E212E">
        <w:trPr>
          <w:trHeight w:val="286"/>
        </w:trPr>
        <w:tc>
          <w:tcPr>
            <w:tcW w:w="1844" w:type="dxa"/>
            <w:tcBorders>
              <w:top w:val="nil"/>
              <w:left w:val="nil"/>
              <w:bottom w:val="nil"/>
              <w:right w:val="nil"/>
            </w:tcBorders>
            <w:shd w:val="clear" w:color="auto" w:fill="auto"/>
            <w:noWrap/>
            <w:vAlign w:val="bottom"/>
            <w:hideMark/>
          </w:tcPr>
          <w:p w14:paraId="31E88113"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3FAC9297"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5A8078C8" w14:textId="5E75697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DA666E7" w14:textId="531E0BF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3C66204" w14:textId="3D3BFE1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CAB12D7" w14:textId="626A37A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9FE7E59" w14:textId="6EFE038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341F7AB" w14:textId="02091B0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4C74512" w14:textId="7A7E1E6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0.101</w:t>
            </w:r>
            <w:r w:rsidRPr="009B605C">
              <w:rPr>
                <w:rFonts w:ascii="Cambria" w:hAnsi="Cambria"/>
                <w:color w:val="000000"/>
                <w:sz w:val="20"/>
                <w:szCs w:val="20"/>
              </w:rPr>
              <w:t>)</w:t>
            </w:r>
          </w:p>
        </w:tc>
      </w:tr>
      <w:tr w:rsidR="003B2B93" w:rsidRPr="009B605C" w14:paraId="696C1A21" w14:textId="77777777" w:rsidTr="008E212E">
        <w:trPr>
          <w:trHeight w:val="286"/>
        </w:trPr>
        <w:tc>
          <w:tcPr>
            <w:tcW w:w="1844" w:type="dxa"/>
            <w:tcBorders>
              <w:top w:val="nil"/>
              <w:left w:val="nil"/>
              <w:bottom w:val="nil"/>
              <w:right w:val="nil"/>
            </w:tcBorders>
            <w:shd w:val="clear" w:color="auto" w:fill="auto"/>
            <w:noWrap/>
            <w:vAlign w:val="bottom"/>
            <w:hideMark/>
          </w:tcPr>
          <w:p w14:paraId="57096E41"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FD7A3C9"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2EB30646"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0.951</w:t>
            </w:r>
          </w:p>
        </w:tc>
        <w:tc>
          <w:tcPr>
            <w:tcW w:w="992" w:type="dxa"/>
            <w:tcBorders>
              <w:top w:val="nil"/>
              <w:left w:val="nil"/>
              <w:bottom w:val="nil"/>
              <w:right w:val="nil"/>
            </w:tcBorders>
            <w:shd w:val="clear" w:color="auto" w:fill="auto"/>
            <w:noWrap/>
            <w:vAlign w:val="bottom"/>
            <w:hideMark/>
          </w:tcPr>
          <w:p w14:paraId="2504845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0.955</w:t>
            </w:r>
          </w:p>
        </w:tc>
        <w:tc>
          <w:tcPr>
            <w:tcW w:w="1134" w:type="dxa"/>
            <w:tcBorders>
              <w:top w:val="nil"/>
              <w:left w:val="nil"/>
              <w:bottom w:val="nil"/>
              <w:right w:val="nil"/>
            </w:tcBorders>
            <w:shd w:val="clear" w:color="auto" w:fill="auto"/>
            <w:noWrap/>
            <w:vAlign w:val="bottom"/>
            <w:hideMark/>
          </w:tcPr>
          <w:p w14:paraId="3956FB4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0.955</w:t>
            </w:r>
          </w:p>
        </w:tc>
        <w:tc>
          <w:tcPr>
            <w:tcW w:w="1134" w:type="dxa"/>
            <w:tcBorders>
              <w:top w:val="nil"/>
              <w:left w:val="nil"/>
              <w:bottom w:val="nil"/>
              <w:right w:val="nil"/>
            </w:tcBorders>
            <w:shd w:val="clear" w:color="auto" w:fill="auto"/>
            <w:noWrap/>
            <w:vAlign w:val="bottom"/>
            <w:hideMark/>
          </w:tcPr>
          <w:p w14:paraId="58F32A5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0.955</w:t>
            </w:r>
          </w:p>
        </w:tc>
        <w:tc>
          <w:tcPr>
            <w:tcW w:w="1134" w:type="dxa"/>
            <w:tcBorders>
              <w:top w:val="nil"/>
              <w:left w:val="nil"/>
              <w:bottom w:val="nil"/>
              <w:right w:val="nil"/>
            </w:tcBorders>
            <w:shd w:val="clear" w:color="auto" w:fill="auto"/>
            <w:noWrap/>
            <w:vAlign w:val="bottom"/>
            <w:hideMark/>
          </w:tcPr>
          <w:p w14:paraId="03ACFB8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0.955</w:t>
            </w:r>
          </w:p>
        </w:tc>
        <w:tc>
          <w:tcPr>
            <w:tcW w:w="1134" w:type="dxa"/>
            <w:tcBorders>
              <w:top w:val="nil"/>
              <w:left w:val="nil"/>
              <w:bottom w:val="nil"/>
              <w:right w:val="nil"/>
            </w:tcBorders>
            <w:shd w:val="clear" w:color="auto" w:fill="auto"/>
            <w:noWrap/>
            <w:vAlign w:val="bottom"/>
            <w:hideMark/>
          </w:tcPr>
          <w:p w14:paraId="1E39C69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0.998</w:t>
            </w:r>
          </w:p>
        </w:tc>
        <w:tc>
          <w:tcPr>
            <w:tcW w:w="1134" w:type="dxa"/>
            <w:tcBorders>
              <w:top w:val="nil"/>
              <w:left w:val="nil"/>
              <w:bottom w:val="nil"/>
              <w:right w:val="nil"/>
            </w:tcBorders>
            <w:shd w:val="clear" w:color="auto" w:fill="auto"/>
            <w:noWrap/>
            <w:vAlign w:val="bottom"/>
            <w:hideMark/>
          </w:tcPr>
          <w:p w14:paraId="2984DF0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r>
      <w:tr w:rsidR="003B2B93" w:rsidRPr="009B605C" w14:paraId="60EBF656" w14:textId="77777777" w:rsidTr="008E212E">
        <w:trPr>
          <w:trHeight w:val="286"/>
        </w:trPr>
        <w:tc>
          <w:tcPr>
            <w:tcW w:w="1844" w:type="dxa"/>
            <w:tcBorders>
              <w:top w:val="nil"/>
              <w:left w:val="nil"/>
              <w:bottom w:val="nil"/>
              <w:right w:val="nil"/>
            </w:tcBorders>
            <w:shd w:val="clear" w:color="auto" w:fill="auto"/>
            <w:noWrap/>
            <w:vAlign w:val="bottom"/>
            <w:hideMark/>
          </w:tcPr>
          <w:p w14:paraId="73334BFC"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1F7073F"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4CDDC9BD" w14:textId="403D2D06"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0.037</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39126EE" w14:textId="1F64388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28F7F69" w14:textId="08F2170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61797DD" w14:textId="5C53D93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229E663" w14:textId="684392F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C780310" w14:textId="59AEB7E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31A3EE7" w14:textId="1691A5D6"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5642F12B" w14:textId="77777777" w:rsidTr="008E212E">
        <w:trPr>
          <w:trHeight w:val="286"/>
        </w:trPr>
        <w:tc>
          <w:tcPr>
            <w:tcW w:w="1844" w:type="dxa"/>
            <w:tcBorders>
              <w:top w:val="nil"/>
              <w:left w:val="nil"/>
              <w:bottom w:val="nil"/>
              <w:right w:val="nil"/>
            </w:tcBorders>
            <w:shd w:val="clear" w:color="auto" w:fill="auto"/>
            <w:noWrap/>
            <w:vAlign w:val="bottom"/>
            <w:hideMark/>
          </w:tcPr>
          <w:p w14:paraId="575639F3"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India</w:t>
            </w:r>
          </w:p>
        </w:tc>
        <w:tc>
          <w:tcPr>
            <w:tcW w:w="1134" w:type="dxa"/>
            <w:tcBorders>
              <w:top w:val="nil"/>
              <w:left w:val="nil"/>
              <w:bottom w:val="nil"/>
              <w:right w:val="nil"/>
            </w:tcBorders>
            <w:shd w:val="clear" w:color="auto" w:fill="auto"/>
            <w:noWrap/>
            <w:vAlign w:val="bottom"/>
            <w:hideMark/>
          </w:tcPr>
          <w:p w14:paraId="21FA1105"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116BBC5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c>
          <w:tcPr>
            <w:tcW w:w="992" w:type="dxa"/>
            <w:tcBorders>
              <w:top w:val="nil"/>
              <w:left w:val="nil"/>
              <w:bottom w:val="nil"/>
              <w:right w:val="nil"/>
            </w:tcBorders>
            <w:shd w:val="clear" w:color="auto" w:fill="auto"/>
            <w:noWrap/>
            <w:vAlign w:val="bottom"/>
            <w:hideMark/>
          </w:tcPr>
          <w:p w14:paraId="6D243E8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c>
          <w:tcPr>
            <w:tcW w:w="1134" w:type="dxa"/>
            <w:tcBorders>
              <w:top w:val="nil"/>
              <w:left w:val="nil"/>
              <w:bottom w:val="nil"/>
              <w:right w:val="nil"/>
            </w:tcBorders>
            <w:shd w:val="clear" w:color="auto" w:fill="auto"/>
            <w:noWrap/>
            <w:vAlign w:val="bottom"/>
            <w:hideMark/>
          </w:tcPr>
          <w:p w14:paraId="228079D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c>
          <w:tcPr>
            <w:tcW w:w="1134" w:type="dxa"/>
            <w:tcBorders>
              <w:top w:val="nil"/>
              <w:left w:val="nil"/>
              <w:bottom w:val="nil"/>
              <w:right w:val="nil"/>
            </w:tcBorders>
            <w:shd w:val="clear" w:color="auto" w:fill="auto"/>
            <w:noWrap/>
            <w:vAlign w:val="bottom"/>
            <w:hideMark/>
          </w:tcPr>
          <w:p w14:paraId="35D020F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c>
          <w:tcPr>
            <w:tcW w:w="1134" w:type="dxa"/>
            <w:tcBorders>
              <w:top w:val="nil"/>
              <w:left w:val="nil"/>
              <w:bottom w:val="nil"/>
              <w:right w:val="nil"/>
            </w:tcBorders>
            <w:shd w:val="clear" w:color="auto" w:fill="auto"/>
            <w:noWrap/>
            <w:vAlign w:val="bottom"/>
            <w:hideMark/>
          </w:tcPr>
          <w:p w14:paraId="0C8DDCC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c>
          <w:tcPr>
            <w:tcW w:w="1134" w:type="dxa"/>
            <w:tcBorders>
              <w:top w:val="nil"/>
              <w:left w:val="nil"/>
              <w:bottom w:val="nil"/>
              <w:right w:val="nil"/>
            </w:tcBorders>
            <w:shd w:val="clear" w:color="auto" w:fill="auto"/>
            <w:noWrap/>
            <w:vAlign w:val="bottom"/>
            <w:hideMark/>
          </w:tcPr>
          <w:p w14:paraId="395C975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0.457</w:t>
            </w:r>
          </w:p>
        </w:tc>
        <w:tc>
          <w:tcPr>
            <w:tcW w:w="1134" w:type="dxa"/>
            <w:tcBorders>
              <w:top w:val="nil"/>
              <w:left w:val="nil"/>
              <w:bottom w:val="nil"/>
              <w:right w:val="nil"/>
            </w:tcBorders>
            <w:shd w:val="clear" w:color="auto" w:fill="auto"/>
            <w:noWrap/>
            <w:vAlign w:val="bottom"/>
            <w:hideMark/>
          </w:tcPr>
          <w:p w14:paraId="3026A98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0.456</w:t>
            </w:r>
          </w:p>
        </w:tc>
      </w:tr>
      <w:tr w:rsidR="003B2B93" w:rsidRPr="009B605C" w14:paraId="7CAD0A66" w14:textId="77777777" w:rsidTr="008E212E">
        <w:trPr>
          <w:trHeight w:val="286"/>
        </w:trPr>
        <w:tc>
          <w:tcPr>
            <w:tcW w:w="1844" w:type="dxa"/>
            <w:tcBorders>
              <w:top w:val="nil"/>
              <w:left w:val="nil"/>
              <w:bottom w:val="nil"/>
              <w:right w:val="nil"/>
            </w:tcBorders>
            <w:shd w:val="clear" w:color="auto" w:fill="auto"/>
            <w:noWrap/>
            <w:vAlign w:val="bottom"/>
            <w:hideMark/>
          </w:tcPr>
          <w:p w14:paraId="612AD6E3"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3829B41"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048AEFD3" w14:textId="3B1A869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0.093</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611F11A5" w14:textId="2E30EEB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FF4D648" w14:textId="0788397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ECD8536" w14:textId="7381340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D7C4899" w14:textId="4877EE2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3FA09A6" w14:textId="1BD7CC1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A50E6A5" w14:textId="2B177ED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0.092</w:t>
            </w:r>
            <w:r w:rsidRPr="009B605C">
              <w:rPr>
                <w:rFonts w:ascii="Cambria" w:hAnsi="Cambria"/>
                <w:color w:val="000000"/>
                <w:sz w:val="20"/>
                <w:szCs w:val="20"/>
              </w:rPr>
              <w:t>)</w:t>
            </w:r>
          </w:p>
        </w:tc>
      </w:tr>
      <w:tr w:rsidR="003B2B93" w:rsidRPr="009B605C" w14:paraId="392F20A5" w14:textId="77777777" w:rsidTr="008E212E">
        <w:trPr>
          <w:trHeight w:val="286"/>
        </w:trPr>
        <w:tc>
          <w:tcPr>
            <w:tcW w:w="1844" w:type="dxa"/>
            <w:tcBorders>
              <w:top w:val="nil"/>
              <w:left w:val="nil"/>
              <w:bottom w:val="nil"/>
              <w:right w:val="nil"/>
            </w:tcBorders>
            <w:shd w:val="clear" w:color="auto" w:fill="auto"/>
            <w:noWrap/>
            <w:vAlign w:val="bottom"/>
            <w:hideMark/>
          </w:tcPr>
          <w:p w14:paraId="1574EFAE"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21BAD2B"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3ACF24F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0.949</w:t>
            </w:r>
          </w:p>
        </w:tc>
        <w:tc>
          <w:tcPr>
            <w:tcW w:w="992" w:type="dxa"/>
            <w:tcBorders>
              <w:top w:val="nil"/>
              <w:left w:val="nil"/>
              <w:bottom w:val="nil"/>
              <w:right w:val="nil"/>
            </w:tcBorders>
            <w:shd w:val="clear" w:color="auto" w:fill="auto"/>
            <w:noWrap/>
            <w:vAlign w:val="bottom"/>
            <w:hideMark/>
          </w:tcPr>
          <w:p w14:paraId="37CAB3A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0.951</w:t>
            </w:r>
          </w:p>
        </w:tc>
        <w:tc>
          <w:tcPr>
            <w:tcW w:w="1134" w:type="dxa"/>
            <w:tcBorders>
              <w:top w:val="nil"/>
              <w:left w:val="nil"/>
              <w:bottom w:val="nil"/>
              <w:right w:val="nil"/>
            </w:tcBorders>
            <w:shd w:val="clear" w:color="auto" w:fill="auto"/>
            <w:noWrap/>
            <w:vAlign w:val="bottom"/>
            <w:hideMark/>
          </w:tcPr>
          <w:p w14:paraId="765A30C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0.952</w:t>
            </w:r>
          </w:p>
        </w:tc>
        <w:tc>
          <w:tcPr>
            <w:tcW w:w="1134" w:type="dxa"/>
            <w:tcBorders>
              <w:top w:val="nil"/>
              <w:left w:val="nil"/>
              <w:bottom w:val="nil"/>
              <w:right w:val="nil"/>
            </w:tcBorders>
            <w:shd w:val="clear" w:color="auto" w:fill="auto"/>
            <w:noWrap/>
            <w:vAlign w:val="bottom"/>
            <w:hideMark/>
          </w:tcPr>
          <w:p w14:paraId="7D0D535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0.952</w:t>
            </w:r>
          </w:p>
        </w:tc>
        <w:tc>
          <w:tcPr>
            <w:tcW w:w="1134" w:type="dxa"/>
            <w:tcBorders>
              <w:top w:val="nil"/>
              <w:left w:val="nil"/>
              <w:bottom w:val="nil"/>
              <w:right w:val="nil"/>
            </w:tcBorders>
            <w:shd w:val="clear" w:color="auto" w:fill="auto"/>
            <w:noWrap/>
            <w:vAlign w:val="bottom"/>
            <w:hideMark/>
          </w:tcPr>
          <w:p w14:paraId="034270B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0.952</w:t>
            </w:r>
          </w:p>
        </w:tc>
        <w:tc>
          <w:tcPr>
            <w:tcW w:w="1134" w:type="dxa"/>
            <w:tcBorders>
              <w:top w:val="nil"/>
              <w:left w:val="nil"/>
              <w:bottom w:val="nil"/>
              <w:right w:val="nil"/>
            </w:tcBorders>
            <w:shd w:val="clear" w:color="auto" w:fill="auto"/>
            <w:noWrap/>
            <w:vAlign w:val="bottom"/>
            <w:hideMark/>
          </w:tcPr>
          <w:p w14:paraId="26EA128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7CD6029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r>
      <w:tr w:rsidR="003B2B93" w:rsidRPr="009B605C" w14:paraId="6A5F0E6D" w14:textId="77777777" w:rsidTr="008E212E">
        <w:trPr>
          <w:trHeight w:val="286"/>
        </w:trPr>
        <w:tc>
          <w:tcPr>
            <w:tcW w:w="1844" w:type="dxa"/>
            <w:tcBorders>
              <w:top w:val="nil"/>
              <w:left w:val="nil"/>
              <w:bottom w:val="nil"/>
              <w:right w:val="nil"/>
            </w:tcBorders>
            <w:shd w:val="clear" w:color="auto" w:fill="auto"/>
            <w:noWrap/>
            <w:vAlign w:val="bottom"/>
            <w:hideMark/>
          </w:tcPr>
          <w:p w14:paraId="60042B1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AF5E055"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65ABE196" w14:textId="7BCCA4C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0.034</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DFA26FD" w14:textId="16FA41F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0B6762D" w14:textId="0A559374"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2E07405" w14:textId="3BCED9F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7CF84DB" w14:textId="1576C41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F28C9BB" w14:textId="22228CC4"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AD00BBD" w14:textId="3A13BA3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3E269BD3" w14:textId="77777777" w:rsidTr="008E212E">
        <w:trPr>
          <w:trHeight w:val="286"/>
        </w:trPr>
        <w:tc>
          <w:tcPr>
            <w:tcW w:w="1844" w:type="dxa"/>
            <w:tcBorders>
              <w:top w:val="nil"/>
              <w:left w:val="nil"/>
              <w:bottom w:val="nil"/>
              <w:right w:val="nil"/>
            </w:tcBorders>
            <w:shd w:val="clear" w:color="auto" w:fill="auto"/>
            <w:noWrap/>
            <w:vAlign w:val="bottom"/>
            <w:hideMark/>
          </w:tcPr>
          <w:p w14:paraId="5BB95159"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China</w:t>
            </w:r>
          </w:p>
        </w:tc>
        <w:tc>
          <w:tcPr>
            <w:tcW w:w="1134" w:type="dxa"/>
            <w:tcBorders>
              <w:top w:val="nil"/>
              <w:left w:val="nil"/>
              <w:bottom w:val="nil"/>
              <w:right w:val="nil"/>
            </w:tcBorders>
            <w:shd w:val="clear" w:color="auto" w:fill="auto"/>
            <w:noWrap/>
            <w:vAlign w:val="bottom"/>
            <w:hideMark/>
          </w:tcPr>
          <w:p w14:paraId="6F72B6CB"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1EDB866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992" w:type="dxa"/>
            <w:tcBorders>
              <w:top w:val="nil"/>
              <w:left w:val="nil"/>
              <w:bottom w:val="nil"/>
              <w:right w:val="nil"/>
            </w:tcBorders>
            <w:shd w:val="clear" w:color="auto" w:fill="auto"/>
            <w:noWrap/>
            <w:vAlign w:val="bottom"/>
            <w:hideMark/>
          </w:tcPr>
          <w:p w14:paraId="66C0E70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1134" w:type="dxa"/>
            <w:tcBorders>
              <w:top w:val="nil"/>
              <w:left w:val="nil"/>
              <w:bottom w:val="nil"/>
              <w:right w:val="nil"/>
            </w:tcBorders>
            <w:shd w:val="clear" w:color="auto" w:fill="auto"/>
            <w:noWrap/>
            <w:vAlign w:val="bottom"/>
            <w:hideMark/>
          </w:tcPr>
          <w:p w14:paraId="116BD2C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1134" w:type="dxa"/>
            <w:tcBorders>
              <w:top w:val="nil"/>
              <w:left w:val="nil"/>
              <w:bottom w:val="nil"/>
              <w:right w:val="nil"/>
            </w:tcBorders>
            <w:shd w:val="clear" w:color="auto" w:fill="auto"/>
            <w:noWrap/>
            <w:vAlign w:val="bottom"/>
            <w:hideMark/>
          </w:tcPr>
          <w:p w14:paraId="70830BD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1134" w:type="dxa"/>
            <w:tcBorders>
              <w:top w:val="nil"/>
              <w:left w:val="nil"/>
              <w:bottom w:val="nil"/>
              <w:right w:val="nil"/>
            </w:tcBorders>
            <w:shd w:val="clear" w:color="auto" w:fill="auto"/>
            <w:noWrap/>
            <w:vAlign w:val="bottom"/>
            <w:hideMark/>
          </w:tcPr>
          <w:p w14:paraId="6E6928B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1134" w:type="dxa"/>
            <w:tcBorders>
              <w:top w:val="nil"/>
              <w:left w:val="nil"/>
              <w:bottom w:val="nil"/>
              <w:right w:val="nil"/>
            </w:tcBorders>
            <w:shd w:val="clear" w:color="auto" w:fill="auto"/>
            <w:noWrap/>
            <w:vAlign w:val="bottom"/>
            <w:hideMark/>
          </w:tcPr>
          <w:p w14:paraId="534CD65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c>
          <w:tcPr>
            <w:tcW w:w="1134" w:type="dxa"/>
            <w:tcBorders>
              <w:top w:val="nil"/>
              <w:left w:val="nil"/>
              <w:bottom w:val="nil"/>
              <w:right w:val="nil"/>
            </w:tcBorders>
            <w:shd w:val="clear" w:color="auto" w:fill="auto"/>
            <w:noWrap/>
            <w:vAlign w:val="bottom"/>
            <w:hideMark/>
          </w:tcPr>
          <w:p w14:paraId="45C8A9C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0.379</w:t>
            </w:r>
          </w:p>
        </w:tc>
      </w:tr>
      <w:tr w:rsidR="003B2B93" w:rsidRPr="009B605C" w14:paraId="213BAD36" w14:textId="77777777" w:rsidTr="008E212E">
        <w:trPr>
          <w:trHeight w:val="286"/>
        </w:trPr>
        <w:tc>
          <w:tcPr>
            <w:tcW w:w="1844" w:type="dxa"/>
            <w:tcBorders>
              <w:top w:val="nil"/>
              <w:left w:val="nil"/>
              <w:bottom w:val="nil"/>
              <w:right w:val="nil"/>
            </w:tcBorders>
            <w:shd w:val="clear" w:color="auto" w:fill="auto"/>
            <w:noWrap/>
            <w:vAlign w:val="bottom"/>
            <w:hideMark/>
          </w:tcPr>
          <w:p w14:paraId="6A34C7A4"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05DBBE31"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5A1C0895" w14:textId="6B9D9BC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0823179" w14:textId="61DFA1E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DB08D4E" w14:textId="218D9D5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929B278" w14:textId="5F50AB4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FB06F5C" w14:textId="1E64264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EAD02BC" w14:textId="14BBEE7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E4ED485" w14:textId="7F64FA1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0.143</w:t>
            </w:r>
            <w:r w:rsidRPr="009B605C">
              <w:rPr>
                <w:rFonts w:ascii="Cambria" w:hAnsi="Cambria"/>
                <w:color w:val="000000"/>
                <w:sz w:val="20"/>
                <w:szCs w:val="20"/>
              </w:rPr>
              <w:t>)</w:t>
            </w:r>
          </w:p>
        </w:tc>
      </w:tr>
      <w:tr w:rsidR="003B2B93" w:rsidRPr="009B605C" w14:paraId="59811EF2" w14:textId="77777777" w:rsidTr="008E212E">
        <w:trPr>
          <w:trHeight w:val="286"/>
        </w:trPr>
        <w:tc>
          <w:tcPr>
            <w:tcW w:w="1844" w:type="dxa"/>
            <w:tcBorders>
              <w:top w:val="nil"/>
              <w:left w:val="nil"/>
              <w:bottom w:val="nil"/>
              <w:right w:val="nil"/>
            </w:tcBorders>
            <w:shd w:val="clear" w:color="auto" w:fill="auto"/>
            <w:noWrap/>
            <w:vAlign w:val="bottom"/>
            <w:hideMark/>
          </w:tcPr>
          <w:p w14:paraId="0970C19E"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5C08B70"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06B214A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0.915</w:t>
            </w:r>
          </w:p>
        </w:tc>
        <w:tc>
          <w:tcPr>
            <w:tcW w:w="992" w:type="dxa"/>
            <w:tcBorders>
              <w:top w:val="nil"/>
              <w:left w:val="nil"/>
              <w:bottom w:val="nil"/>
              <w:right w:val="nil"/>
            </w:tcBorders>
            <w:shd w:val="clear" w:color="auto" w:fill="auto"/>
            <w:noWrap/>
            <w:vAlign w:val="bottom"/>
            <w:hideMark/>
          </w:tcPr>
          <w:p w14:paraId="78CE9FF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0.92</w:t>
            </w:r>
          </w:p>
        </w:tc>
        <w:tc>
          <w:tcPr>
            <w:tcW w:w="1134" w:type="dxa"/>
            <w:tcBorders>
              <w:top w:val="nil"/>
              <w:left w:val="nil"/>
              <w:bottom w:val="nil"/>
              <w:right w:val="nil"/>
            </w:tcBorders>
            <w:shd w:val="clear" w:color="auto" w:fill="auto"/>
            <w:noWrap/>
            <w:vAlign w:val="bottom"/>
            <w:hideMark/>
          </w:tcPr>
          <w:p w14:paraId="29DB65A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0.92</w:t>
            </w:r>
          </w:p>
        </w:tc>
        <w:tc>
          <w:tcPr>
            <w:tcW w:w="1134" w:type="dxa"/>
            <w:tcBorders>
              <w:top w:val="nil"/>
              <w:left w:val="nil"/>
              <w:bottom w:val="nil"/>
              <w:right w:val="nil"/>
            </w:tcBorders>
            <w:shd w:val="clear" w:color="auto" w:fill="auto"/>
            <w:noWrap/>
            <w:vAlign w:val="bottom"/>
            <w:hideMark/>
          </w:tcPr>
          <w:p w14:paraId="60D8786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0.92</w:t>
            </w:r>
          </w:p>
        </w:tc>
        <w:tc>
          <w:tcPr>
            <w:tcW w:w="1134" w:type="dxa"/>
            <w:tcBorders>
              <w:top w:val="nil"/>
              <w:left w:val="nil"/>
              <w:bottom w:val="nil"/>
              <w:right w:val="nil"/>
            </w:tcBorders>
            <w:shd w:val="clear" w:color="auto" w:fill="auto"/>
            <w:noWrap/>
            <w:vAlign w:val="bottom"/>
            <w:hideMark/>
          </w:tcPr>
          <w:p w14:paraId="6B912B5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0.92</w:t>
            </w:r>
          </w:p>
        </w:tc>
        <w:tc>
          <w:tcPr>
            <w:tcW w:w="1134" w:type="dxa"/>
            <w:tcBorders>
              <w:top w:val="nil"/>
              <w:left w:val="nil"/>
              <w:bottom w:val="nil"/>
              <w:right w:val="nil"/>
            </w:tcBorders>
            <w:shd w:val="clear" w:color="auto" w:fill="auto"/>
            <w:noWrap/>
            <w:vAlign w:val="bottom"/>
            <w:hideMark/>
          </w:tcPr>
          <w:p w14:paraId="3B3798F8"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0.998</w:t>
            </w:r>
          </w:p>
        </w:tc>
        <w:tc>
          <w:tcPr>
            <w:tcW w:w="1134" w:type="dxa"/>
            <w:tcBorders>
              <w:top w:val="nil"/>
              <w:left w:val="nil"/>
              <w:bottom w:val="nil"/>
              <w:right w:val="nil"/>
            </w:tcBorders>
            <w:shd w:val="clear" w:color="auto" w:fill="auto"/>
            <w:noWrap/>
            <w:vAlign w:val="bottom"/>
            <w:hideMark/>
          </w:tcPr>
          <w:p w14:paraId="5EF4342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r>
      <w:tr w:rsidR="003B2B93" w:rsidRPr="009B605C" w14:paraId="41A640E6" w14:textId="77777777" w:rsidTr="008E212E">
        <w:trPr>
          <w:trHeight w:val="286"/>
        </w:trPr>
        <w:tc>
          <w:tcPr>
            <w:tcW w:w="1844" w:type="dxa"/>
            <w:tcBorders>
              <w:top w:val="nil"/>
              <w:left w:val="nil"/>
              <w:bottom w:val="nil"/>
              <w:right w:val="nil"/>
            </w:tcBorders>
            <w:shd w:val="clear" w:color="auto" w:fill="auto"/>
            <w:noWrap/>
            <w:vAlign w:val="bottom"/>
            <w:hideMark/>
          </w:tcPr>
          <w:p w14:paraId="498D09E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2C18A2E"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15DEE772" w14:textId="0C06624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0.094</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2361C700" w14:textId="5743CDF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91C0285" w14:textId="22C3B33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2999902" w14:textId="6871655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98FC2C3" w14:textId="581EE67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2F6EEF" w14:textId="78D75874"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5BF943A" w14:textId="26B0715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50C75A46" w14:textId="77777777" w:rsidTr="008E212E">
        <w:trPr>
          <w:trHeight w:val="286"/>
        </w:trPr>
        <w:tc>
          <w:tcPr>
            <w:tcW w:w="1844" w:type="dxa"/>
            <w:tcBorders>
              <w:top w:val="nil"/>
              <w:left w:val="nil"/>
              <w:bottom w:val="nil"/>
              <w:right w:val="nil"/>
            </w:tcBorders>
            <w:shd w:val="clear" w:color="auto" w:fill="auto"/>
            <w:noWrap/>
            <w:vAlign w:val="bottom"/>
            <w:hideMark/>
          </w:tcPr>
          <w:p w14:paraId="22148A81" w14:textId="622CE59C" w:rsidR="005E5FE5" w:rsidRPr="009B605C" w:rsidRDefault="005E5FE5" w:rsidP="0087752F">
            <w:pPr>
              <w:rPr>
                <w:rFonts w:ascii="Cambria" w:hAnsi="Cambria"/>
                <w:color w:val="000000"/>
                <w:sz w:val="20"/>
                <w:szCs w:val="20"/>
              </w:rPr>
            </w:pPr>
            <w:r w:rsidRPr="009B605C">
              <w:rPr>
                <w:rFonts w:ascii="Cambria" w:hAnsi="Cambria"/>
                <w:color w:val="000000"/>
                <w:sz w:val="20"/>
                <w:szCs w:val="20"/>
              </w:rPr>
              <w:t>South</w:t>
            </w:r>
            <w:r w:rsidR="003B2B93" w:rsidRPr="009B605C">
              <w:rPr>
                <w:rFonts w:ascii="Cambria" w:hAnsi="Cambria"/>
                <w:color w:val="000000"/>
                <w:sz w:val="20"/>
                <w:szCs w:val="20"/>
              </w:rPr>
              <w:t xml:space="preserve"> </w:t>
            </w:r>
            <w:r w:rsidRPr="009B605C">
              <w:rPr>
                <w:rFonts w:ascii="Cambria" w:hAnsi="Cambria"/>
                <w:color w:val="000000"/>
                <w:sz w:val="20"/>
                <w:szCs w:val="20"/>
              </w:rPr>
              <w:t>Africa</w:t>
            </w:r>
          </w:p>
        </w:tc>
        <w:tc>
          <w:tcPr>
            <w:tcW w:w="1134" w:type="dxa"/>
            <w:tcBorders>
              <w:top w:val="nil"/>
              <w:left w:val="nil"/>
              <w:bottom w:val="nil"/>
              <w:right w:val="nil"/>
            </w:tcBorders>
            <w:shd w:val="clear" w:color="auto" w:fill="auto"/>
            <w:noWrap/>
            <w:vAlign w:val="bottom"/>
            <w:hideMark/>
          </w:tcPr>
          <w:p w14:paraId="09122D44"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195F383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0.397</w:t>
            </w:r>
          </w:p>
        </w:tc>
        <w:tc>
          <w:tcPr>
            <w:tcW w:w="992" w:type="dxa"/>
            <w:tcBorders>
              <w:top w:val="nil"/>
              <w:left w:val="nil"/>
              <w:bottom w:val="nil"/>
              <w:right w:val="nil"/>
            </w:tcBorders>
            <w:shd w:val="clear" w:color="auto" w:fill="auto"/>
            <w:noWrap/>
            <w:vAlign w:val="bottom"/>
            <w:hideMark/>
          </w:tcPr>
          <w:p w14:paraId="74FD27E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0.396</w:t>
            </w:r>
          </w:p>
        </w:tc>
        <w:tc>
          <w:tcPr>
            <w:tcW w:w="1134" w:type="dxa"/>
            <w:tcBorders>
              <w:top w:val="nil"/>
              <w:left w:val="nil"/>
              <w:bottom w:val="nil"/>
              <w:right w:val="nil"/>
            </w:tcBorders>
            <w:shd w:val="clear" w:color="auto" w:fill="auto"/>
            <w:noWrap/>
            <w:vAlign w:val="bottom"/>
            <w:hideMark/>
          </w:tcPr>
          <w:p w14:paraId="2EF13F3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0.396</w:t>
            </w:r>
          </w:p>
        </w:tc>
        <w:tc>
          <w:tcPr>
            <w:tcW w:w="1134" w:type="dxa"/>
            <w:tcBorders>
              <w:top w:val="nil"/>
              <w:left w:val="nil"/>
              <w:bottom w:val="nil"/>
              <w:right w:val="nil"/>
            </w:tcBorders>
            <w:shd w:val="clear" w:color="auto" w:fill="auto"/>
            <w:noWrap/>
            <w:vAlign w:val="bottom"/>
            <w:hideMark/>
          </w:tcPr>
          <w:p w14:paraId="7812B03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0.396</w:t>
            </w:r>
          </w:p>
        </w:tc>
        <w:tc>
          <w:tcPr>
            <w:tcW w:w="1134" w:type="dxa"/>
            <w:tcBorders>
              <w:top w:val="nil"/>
              <w:left w:val="nil"/>
              <w:bottom w:val="nil"/>
              <w:right w:val="nil"/>
            </w:tcBorders>
            <w:shd w:val="clear" w:color="auto" w:fill="auto"/>
            <w:noWrap/>
            <w:vAlign w:val="bottom"/>
            <w:hideMark/>
          </w:tcPr>
          <w:p w14:paraId="7FFE1CC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0.396</w:t>
            </w:r>
          </w:p>
        </w:tc>
        <w:tc>
          <w:tcPr>
            <w:tcW w:w="1134" w:type="dxa"/>
            <w:tcBorders>
              <w:top w:val="nil"/>
              <w:left w:val="nil"/>
              <w:bottom w:val="nil"/>
              <w:right w:val="nil"/>
            </w:tcBorders>
            <w:shd w:val="clear" w:color="auto" w:fill="auto"/>
            <w:noWrap/>
            <w:vAlign w:val="bottom"/>
            <w:hideMark/>
          </w:tcPr>
          <w:p w14:paraId="52A28AC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0.395</w:t>
            </w:r>
          </w:p>
        </w:tc>
        <w:tc>
          <w:tcPr>
            <w:tcW w:w="1134" w:type="dxa"/>
            <w:tcBorders>
              <w:top w:val="nil"/>
              <w:left w:val="nil"/>
              <w:bottom w:val="nil"/>
              <w:right w:val="nil"/>
            </w:tcBorders>
            <w:shd w:val="clear" w:color="auto" w:fill="auto"/>
            <w:noWrap/>
            <w:vAlign w:val="bottom"/>
            <w:hideMark/>
          </w:tcPr>
          <w:p w14:paraId="40B3E79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0.396</w:t>
            </w:r>
          </w:p>
        </w:tc>
      </w:tr>
      <w:tr w:rsidR="003B2B93" w:rsidRPr="009B605C" w14:paraId="543117ED" w14:textId="77777777" w:rsidTr="008E212E">
        <w:trPr>
          <w:trHeight w:val="286"/>
        </w:trPr>
        <w:tc>
          <w:tcPr>
            <w:tcW w:w="1844" w:type="dxa"/>
            <w:tcBorders>
              <w:top w:val="nil"/>
              <w:left w:val="nil"/>
              <w:bottom w:val="nil"/>
              <w:right w:val="nil"/>
            </w:tcBorders>
            <w:shd w:val="clear" w:color="auto" w:fill="auto"/>
            <w:noWrap/>
            <w:vAlign w:val="bottom"/>
            <w:hideMark/>
          </w:tcPr>
          <w:p w14:paraId="0ADF1CE7"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2C648BDB"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28562468" w14:textId="2D5566E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BBF6713" w14:textId="797AB8F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8E20DB5" w14:textId="7414B92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334AF60" w14:textId="5A56F9C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738A874" w14:textId="453B60C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3A334EC" w14:textId="29EB8BC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731FFD9" w14:textId="2154CB0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0.131</w:t>
            </w:r>
            <w:r w:rsidRPr="009B605C">
              <w:rPr>
                <w:rFonts w:ascii="Cambria" w:hAnsi="Cambria"/>
                <w:color w:val="000000"/>
                <w:sz w:val="20"/>
                <w:szCs w:val="20"/>
              </w:rPr>
              <w:t>)</w:t>
            </w:r>
          </w:p>
        </w:tc>
      </w:tr>
      <w:tr w:rsidR="003B2B93" w:rsidRPr="009B605C" w14:paraId="64586C84" w14:textId="77777777" w:rsidTr="008E212E">
        <w:trPr>
          <w:trHeight w:val="286"/>
        </w:trPr>
        <w:tc>
          <w:tcPr>
            <w:tcW w:w="1844" w:type="dxa"/>
            <w:tcBorders>
              <w:top w:val="nil"/>
              <w:left w:val="nil"/>
              <w:bottom w:val="nil"/>
              <w:right w:val="nil"/>
            </w:tcBorders>
            <w:shd w:val="clear" w:color="auto" w:fill="auto"/>
            <w:noWrap/>
            <w:vAlign w:val="bottom"/>
            <w:hideMark/>
          </w:tcPr>
          <w:p w14:paraId="7A6FAEBE"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298FB273"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08BDB056"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0.949</w:t>
            </w:r>
          </w:p>
        </w:tc>
        <w:tc>
          <w:tcPr>
            <w:tcW w:w="992" w:type="dxa"/>
            <w:tcBorders>
              <w:top w:val="nil"/>
              <w:left w:val="nil"/>
              <w:bottom w:val="nil"/>
              <w:right w:val="nil"/>
            </w:tcBorders>
            <w:shd w:val="clear" w:color="auto" w:fill="auto"/>
            <w:noWrap/>
            <w:vAlign w:val="bottom"/>
            <w:hideMark/>
          </w:tcPr>
          <w:p w14:paraId="70227C7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0.953</w:t>
            </w:r>
          </w:p>
        </w:tc>
        <w:tc>
          <w:tcPr>
            <w:tcW w:w="1134" w:type="dxa"/>
            <w:tcBorders>
              <w:top w:val="nil"/>
              <w:left w:val="nil"/>
              <w:bottom w:val="nil"/>
              <w:right w:val="nil"/>
            </w:tcBorders>
            <w:shd w:val="clear" w:color="auto" w:fill="auto"/>
            <w:noWrap/>
            <w:vAlign w:val="bottom"/>
            <w:hideMark/>
          </w:tcPr>
          <w:p w14:paraId="760D443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0.953</w:t>
            </w:r>
          </w:p>
        </w:tc>
        <w:tc>
          <w:tcPr>
            <w:tcW w:w="1134" w:type="dxa"/>
            <w:tcBorders>
              <w:top w:val="nil"/>
              <w:left w:val="nil"/>
              <w:bottom w:val="nil"/>
              <w:right w:val="nil"/>
            </w:tcBorders>
            <w:shd w:val="clear" w:color="auto" w:fill="auto"/>
            <w:noWrap/>
            <w:vAlign w:val="bottom"/>
            <w:hideMark/>
          </w:tcPr>
          <w:p w14:paraId="75FF806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0.953</w:t>
            </w:r>
          </w:p>
        </w:tc>
        <w:tc>
          <w:tcPr>
            <w:tcW w:w="1134" w:type="dxa"/>
            <w:tcBorders>
              <w:top w:val="nil"/>
              <w:left w:val="nil"/>
              <w:bottom w:val="nil"/>
              <w:right w:val="nil"/>
            </w:tcBorders>
            <w:shd w:val="clear" w:color="auto" w:fill="auto"/>
            <w:noWrap/>
            <w:vAlign w:val="bottom"/>
            <w:hideMark/>
          </w:tcPr>
          <w:p w14:paraId="65ED915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0.953</w:t>
            </w:r>
          </w:p>
        </w:tc>
        <w:tc>
          <w:tcPr>
            <w:tcW w:w="1134" w:type="dxa"/>
            <w:tcBorders>
              <w:top w:val="nil"/>
              <w:left w:val="nil"/>
              <w:bottom w:val="nil"/>
              <w:right w:val="nil"/>
            </w:tcBorders>
            <w:shd w:val="clear" w:color="auto" w:fill="auto"/>
            <w:noWrap/>
            <w:vAlign w:val="bottom"/>
            <w:hideMark/>
          </w:tcPr>
          <w:p w14:paraId="65EE5B3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042D992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r>
      <w:tr w:rsidR="003B2B93" w:rsidRPr="009B605C" w14:paraId="5942CAF3" w14:textId="77777777" w:rsidTr="008E212E">
        <w:trPr>
          <w:trHeight w:val="286"/>
        </w:trPr>
        <w:tc>
          <w:tcPr>
            <w:tcW w:w="1844" w:type="dxa"/>
            <w:tcBorders>
              <w:top w:val="nil"/>
              <w:left w:val="nil"/>
              <w:bottom w:val="nil"/>
              <w:right w:val="nil"/>
            </w:tcBorders>
            <w:shd w:val="clear" w:color="auto" w:fill="auto"/>
            <w:noWrap/>
            <w:vAlign w:val="bottom"/>
            <w:hideMark/>
          </w:tcPr>
          <w:p w14:paraId="2F47E284"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73C99E44"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18C99F60" w14:textId="0CD90F8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0.042</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9F3E558" w14:textId="1594E2D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CB20EAC" w14:textId="7023865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5E9D50C" w14:textId="6B8171A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69EEADF" w14:textId="3F2DFC5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9A57216" w14:textId="14762F8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B16803E" w14:textId="2137579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182482C2" w14:textId="77777777" w:rsidTr="008E212E">
        <w:trPr>
          <w:trHeight w:val="286"/>
        </w:trPr>
        <w:tc>
          <w:tcPr>
            <w:tcW w:w="2978" w:type="dxa"/>
            <w:gridSpan w:val="2"/>
            <w:tcBorders>
              <w:top w:val="nil"/>
              <w:left w:val="nil"/>
              <w:bottom w:val="nil"/>
              <w:right w:val="nil"/>
            </w:tcBorders>
            <w:shd w:val="clear" w:color="auto" w:fill="auto"/>
            <w:noWrap/>
            <w:vAlign w:val="bottom"/>
            <w:hideMark/>
          </w:tcPr>
          <w:p w14:paraId="68900853" w14:textId="2E8BB6A2" w:rsidR="003B2B93" w:rsidRPr="009B605C" w:rsidRDefault="003B2B93" w:rsidP="0087752F">
            <w:pPr>
              <w:rPr>
                <w:rFonts w:ascii="Cambria" w:hAnsi="Cambria"/>
                <w:b/>
                <w:bCs/>
                <w:color w:val="000000"/>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Post-conflict announcement</w:t>
            </w:r>
          </w:p>
        </w:tc>
        <w:tc>
          <w:tcPr>
            <w:tcW w:w="992" w:type="dxa"/>
            <w:tcBorders>
              <w:top w:val="nil"/>
              <w:left w:val="nil"/>
              <w:bottom w:val="nil"/>
              <w:right w:val="nil"/>
            </w:tcBorders>
            <w:shd w:val="clear" w:color="auto" w:fill="auto"/>
            <w:noWrap/>
            <w:vAlign w:val="bottom"/>
            <w:hideMark/>
          </w:tcPr>
          <w:p w14:paraId="789C45C5" w14:textId="77777777" w:rsidR="003B2B93" w:rsidRPr="009B605C" w:rsidRDefault="003B2B93"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1E2D8CCE" w14:textId="77777777" w:rsidR="003B2B93" w:rsidRPr="009B605C" w:rsidRDefault="003B2B93"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547F8696" w14:textId="77777777" w:rsidR="003B2B93" w:rsidRPr="009B605C" w:rsidRDefault="003B2B93"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3B5B1AD5" w14:textId="77777777" w:rsidR="003B2B93" w:rsidRPr="009B605C" w:rsidRDefault="003B2B93"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31213E43" w14:textId="77777777" w:rsidR="003B2B93" w:rsidRPr="009B605C" w:rsidRDefault="003B2B93"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635E64DB" w14:textId="77777777" w:rsidR="003B2B93" w:rsidRPr="009B605C" w:rsidRDefault="003B2B93"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37502191" w14:textId="77777777" w:rsidR="003B2B93" w:rsidRPr="009B605C" w:rsidRDefault="003B2B93" w:rsidP="0087752F">
            <w:pPr>
              <w:rPr>
                <w:rFonts w:ascii="Cambria" w:hAnsi="Cambria"/>
                <w:sz w:val="20"/>
                <w:szCs w:val="20"/>
              </w:rPr>
            </w:pPr>
          </w:p>
        </w:tc>
      </w:tr>
      <w:tr w:rsidR="003B2B93" w:rsidRPr="009B605C" w14:paraId="226C4D95" w14:textId="77777777" w:rsidTr="008E212E">
        <w:trPr>
          <w:trHeight w:val="286"/>
        </w:trPr>
        <w:tc>
          <w:tcPr>
            <w:tcW w:w="1844" w:type="dxa"/>
            <w:tcBorders>
              <w:top w:val="nil"/>
              <w:left w:val="nil"/>
              <w:bottom w:val="nil"/>
              <w:right w:val="nil"/>
            </w:tcBorders>
            <w:shd w:val="clear" w:color="auto" w:fill="auto"/>
            <w:noWrap/>
            <w:vAlign w:val="bottom"/>
            <w:hideMark/>
          </w:tcPr>
          <w:p w14:paraId="4BB9001A"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Brazil</w:t>
            </w:r>
          </w:p>
        </w:tc>
        <w:tc>
          <w:tcPr>
            <w:tcW w:w="1134" w:type="dxa"/>
            <w:tcBorders>
              <w:top w:val="nil"/>
              <w:left w:val="nil"/>
              <w:bottom w:val="nil"/>
              <w:right w:val="nil"/>
            </w:tcBorders>
            <w:shd w:val="clear" w:color="auto" w:fill="auto"/>
            <w:noWrap/>
            <w:vAlign w:val="bottom"/>
            <w:hideMark/>
          </w:tcPr>
          <w:p w14:paraId="1345C50F"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76A57B3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0.384</w:t>
            </w:r>
          </w:p>
        </w:tc>
        <w:tc>
          <w:tcPr>
            <w:tcW w:w="992" w:type="dxa"/>
            <w:tcBorders>
              <w:top w:val="nil"/>
              <w:left w:val="nil"/>
              <w:bottom w:val="nil"/>
              <w:right w:val="nil"/>
            </w:tcBorders>
            <w:shd w:val="clear" w:color="auto" w:fill="auto"/>
            <w:noWrap/>
            <w:vAlign w:val="bottom"/>
            <w:hideMark/>
          </w:tcPr>
          <w:p w14:paraId="45757BC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0.384</w:t>
            </w:r>
          </w:p>
        </w:tc>
        <w:tc>
          <w:tcPr>
            <w:tcW w:w="1134" w:type="dxa"/>
            <w:tcBorders>
              <w:top w:val="nil"/>
              <w:left w:val="nil"/>
              <w:bottom w:val="nil"/>
              <w:right w:val="nil"/>
            </w:tcBorders>
            <w:shd w:val="clear" w:color="auto" w:fill="auto"/>
            <w:noWrap/>
            <w:vAlign w:val="bottom"/>
            <w:hideMark/>
          </w:tcPr>
          <w:p w14:paraId="471A1FC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0.384</w:t>
            </w:r>
          </w:p>
        </w:tc>
        <w:tc>
          <w:tcPr>
            <w:tcW w:w="1134" w:type="dxa"/>
            <w:tcBorders>
              <w:top w:val="nil"/>
              <w:left w:val="nil"/>
              <w:bottom w:val="nil"/>
              <w:right w:val="nil"/>
            </w:tcBorders>
            <w:shd w:val="clear" w:color="auto" w:fill="auto"/>
            <w:noWrap/>
            <w:vAlign w:val="bottom"/>
            <w:hideMark/>
          </w:tcPr>
          <w:p w14:paraId="50425F7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0.384</w:t>
            </w:r>
          </w:p>
        </w:tc>
        <w:tc>
          <w:tcPr>
            <w:tcW w:w="1134" w:type="dxa"/>
            <w:tcBorders>
              <w:top w:val="nil"/>
              <w:left w:val="nil"/>
              <w:bottom w:val="nil"/>
              <w:right w:val="nil"/>
            </w:tcBorders>
            <w:shd w:val="clear" w:color="auto" w:fill="auto"/>
            <w:noWrap/>
            <w:vAlign w:val="bottom"/>
            <w:hideMark/>
          </w:tcPr>
          <w:p w14:paraId="1D549B2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0.384</w:t>
            </w:r>
          </w:p>
        </w:tc>
        <w:tc>
          <w:tcPr>
            <w:tcW w:w="1134" w:type="dxa"/>
            <w:tcBorders>
              <w:top w:val="nil"/>
              <w:left w:val="nil"/>
              <w:bottom w:val="nil"/>
              <w:right w:val="nil"/>
            </w:tcBorders>
            <w:shd w:val="clear" w:color="auto" w:fill="auto"/>
            <w:noWrap/>
            <w:vAlign w:val="bottom"/>
            <w:hideMark/>
          </w:tcPr>
          <w:p w14:paraId="51D172AC" w14:textId="14506DB0"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0.383</w:t>
            </w:r>
          </w:p>
        </w:tc>
        <w:tc>
          <w:tcPr>
            <w:tcW w:w="1134" w:type="dxa"/>
            <w:tcBorders>
              <w:top w:val="nil"/>
              <w:left w:val="nil"/>
              <w:bottom w:val="nil"/>
              <w:right w:val="nil"/>
            </w:tcBorders>
            <w:shd w:val="clear" w:color="auto" w:fill="auto"/>
            <w:noWrap/>
            <w:vAlign w:val="bottom"/>
            <w:hideMark/>
          </w:tcPr>
          <w:p w14:paraId="6B29173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0.382</w:t>
            </w:r>
          </w:p>
        </w:tc>
      </w:tr>
      <w:tr w:rsidR="003B2B93" w:rsidRPr="009B605C" w14:paraId="6A773D1B" w14:textId="77777777" w:rsidTr="008E212E">
        <w:trPr>
          <w:trHeight w:val="286"/>
        </w:trPr>
        <w:tc>
          <w:tcPr>
            <w:tcW w:w="1844" w:type="dxa"/>
            <w:tcBorders>
              <w:top w:val="nil"/>
              <w:left w:val="nil"/>
              <w:bottom w:val="nil"/>
              <w:right w:val="nil"/>
            </w:tcBorders>
            <w:shd w:val="clear" w:color="auto" w:fill="auto"/>
            <w:noWrap/>
            <w:vAlign w:val="bottom"/>
            <w:hideMark/>
          </w:tcPr>
          <w:p w14:paraId="2FE91463"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BBFE9D7"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2C7AA8B6" w14:textId="0A60EC2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8A70C28" w14:textId="443D2B1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8A43A8" w14:textId="6CC73F1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25257E0" w14:textId="20673D14"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C021007" w14:textId="605E94E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62DCCB6" w14:textId="5E03FD0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61338CF" w14:textId="3B1CC116"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0.091</w:t>
            </w:r>
            <w:r w:rsidRPr="009B605C">
              <w:rPr>
                <w:rFonts w:ascii="Cambria" w:hAnsi="Cambria"/>
                <w:color w:val="000000"/>
                <w:sz w:val="20"/>
                <w:szCs w:val="20"/>
              </w:rPr>
              <w:t>)</w:t>
            </w:r>
          </w:p>
        </w:tc>
      </w:tr>
      <w:tr w:rsidR="003B2B93" w:rsidRPr="009B605C" w14:paraId="7610103E" w14:textId="77777777" w:rsidTr="008E212E">
        <w:trPr>
          <w:trHeight w:val="286"/>
        </w:trPr>
        <w:tc>
          <w:tcPr>
            <w:tcW w:w="1844" w:type="dxa"/>
            <w:tcBorders>
              <w:top w:val="nil"/>
              <w:left w:val="nil"/>
              <w:bottom w:val="nil"/>
              <w:right w:val="nil"/>
            </w:tcBorders>
            <w:shd w:val="clear" w:color="auto" w:fill="auto"/>
            <w:noWrap/>
            <w:vAlign w:val="bottom"/>
            <w:hideMark/>
          </w:tcPr>
          <w:p w14:paraId="7B7021D3"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7CEA6DF"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6DE47F5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0.939</w:t>
            </w:r>
          </w:p>
        </w:tc>
        <w:tc>
          <w:tcPr>
            <w:tcW w:w="992" w:type="dxa"/>
            <w:tcBorders>
              <w:top w:val="nil"/>
              <w:left w:val="nil"/>
              <w:bottom w:val="nil"/>
              <w:right w:val="nil"/>
            </w:tcBorders>
            <w:shd w:val="clear" w:color="auto" w:fill="auto"/>
            <w:noWrap/>
            <w:vAlign w:val="bottom"/>
            <w:hideMark/>
          </w:tcPr>
          <w:p w14:paraId="71F7287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0.971</w:t>
            </w:r>
          </w:p>
        </w:tc>
        <w:tc>
          <w:tcPr>
            <w:tcW w:w="1134" w:type="dxa"/>
            <w:tcBorders>
              <w:top w:val="nil"/>
              <w:left w:val="nil"/>
              <w:bottom w:val="nil"/>
              <w:right w:val="nil"/>
            </w:tcBorders>
            <w:shd w:val="clear" w:color="auto" w:fill="auto"/>
            <w:noWrap/>
            <w:vAlign w:val="bottom"/>
            <w:hideMark/>
          </w:tcPr>
          <w:p w14:paraId="31D9409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0.971</w:t>
            </w:r>
          </w:p>
        </w:tc>
        <w:tc>
          <w:tcPr>
            <w:tcW w:w="1134" w:type="dxa"/>
            <w:tcBorders>
              <w:top w:val="nil"/>
              <w:left w:val="nil"/>
              <w:bottom w:val="nil"/>
              <w:right w:val="nil"/>
            </w:tcBorders>
            <w:shd w:val="clear" w:color="auto" w:fill="auto"/>
            <w:noWrap/>
            <w:vAlign w:val="bottom"/>
            <w:hideMark/>
          </w:tcPr>
          <w:p w14:paraId="7690B4F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0.971</w:t>
            </w:r>
          </w:p>
        </w:tc>
        <w:tc>
          <w:tcPr>
            <w:tcW w:w="1134" w:type="dxa"/>
            <w:tcBorders>
              <w:top w:val="nil"/>
              <w:left w:val="nil"/>
              <w:bottom w:val="nil"/>
              <w:right w:val="nil"/>
            </w:tcBorders>
            <w:shd w:val="clear" w:color="auto" w:fill="auto"/>
            <w:noWrap/>
            <w:vAlign w:val="bottom"/>
            <w:hideMark/>
          </w:tcPr>
          <w:p w14:paraId="287AE06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0CFF179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3139160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0.996</w:t>
            </w:r>
          </w:p>
        </w:tc>
      </w:tr>
      <w:tr w:rsidR="003B2B93" w:rsidRPr="009B605C" w14:paraId="6470477B" w14:textId="77777777" w:rsidTr="008E212E">
        <w:trPr>
          <w:trHeight w:val="286"/>
        </w:trPr>
        <w:tc>
          <w:tcPr>
            <w:tcW w:w="1844" w:type="dxa"/>
            <w:tcBorders>
              <w:top w:val="nil"/>
              <w:left w:val="nil"/>
              <w:bottom w:val="nil"/>
              <w:right w:val="nil"/>
            </w:tcBorders>
            <w:shd w:val="clear" w:color="auto" w:fill="auto"/>
            <w:noWrap/>
            <w:vAlign w:val="bottom"/>
            <w:hideMark/>
          </w:tcPr>
          <w:p w14:paraId="614C0FB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3E039641"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2AA80CFD" w14:textId="2236B19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0.041</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C07036E" w14:textId="110F3DB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41B4B50" w14:textId="765D240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624DFF4" w14:textId="2EB63EA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0.023</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FB06DB4" w14:textId="220005A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E6D78F7" w14:textId="175C8C4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8C68F32" w14:textId="55A27B4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0.004</w:t>
            </w:r>
            <w:r w:rsidRPr="009B605C">
              <w:rPr>
                <w:rFonts w:ascii="Cambria" w:hAnsi="Cambria"/>
                <w:color w:val="000000"/>
                <w:sz w:val="20"/>
                <w:szCs w:val="20"/>
              </w:rPr>
              <w:t>)</w:t>
            </w:r>
          </w:p>
        </w:tc>
      </w:tr>
      <w:tr w:rsidR="003B2B93" w:rsidRPr="009B605C" w14:paraId="330EA9F6" w14:textId="77777777" w:rsidTr="008E212E">
        <w:trPr>
          <w:trHeight w:val="286"/>
        </w:trPr>
        <w:tc>
          <w:tcPr>
            <w:tcW w:w="1844" w:type="dxa"/>
            <w:tcBorders>
              <w:top w:val="nil"/>
              <w:left w:val="nil"/>
              <w:bottom w:val="nil"/>
              <w:right w:val="nil"/>
            </w:tcBorders>
            <w:shd w:val="clear" w:color="auto" w:fill="auto"/>
            <w:noWrap/>
            <w:vAlign w:val="bottom"/>
            <w:hideMark/>
          </w:tcPr>
          <w:p w14:paraId="42731D1D"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Russia</w:t>
            </w:r>
          </w:p>
        </w:tc>
        <w:tc>
          <w:tcPr>
            <w:tcW w:w="1134" w:type="dxa"/>
            <w:tcBorders>
              <w:top w:val="nil"/>
              <w:left w:val="nil"/>
              <w:bottom w:val="nil"/>
              <w:right w:val="nil"/>
            </w:tcBorders>
            <w:shd w:val="clear" w:color="auto" w:fill="auto"/>
            <w:noWrap/>
            <w:vAlign w:val="bottom"/>
            <w:hideMark/>
          </w:tcPr>
          <w:p w14:paraId="5530BCCC"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49C7C11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c>
          <w:tcPr>
            <w:tcW w:w="992" w:type="dxa"/>
            <w:tcBorders>
              <w:top w:val="nil"/>
              <w:left w:val="nil"/>
              <w:bottom w:val="nil"/>
              <w:right w:val="nil"/>
            </w:tcBorders>
            <w:shd w:val="clear" w:color="auto" w:fill="auto"/>
            <w:noWrap/>
            <w:vAlign w:val="bottom"/>
            <w:hideMark/>
          </w:tcPr>
          <w:p w14:paraId="0F47672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c>
          <w:tcPr>
            <w:tcW w:w="1134" w:type="dxa"/>
            <w:tcBorders>
              <w:top w:val="nil"/>
              <w:left w:val="nil"/>
              <w:bottom w:val="nil"/>
              <w:right w:val="nil"/>
            </w:tcBorders>
            <w:shd w:val="clear" w:color="auto" w:fill="auto"/>
            <w:noWrap/>
            <w:vAlign w:val="bottom"/>
            <w:hideMark/>
          </w:tcPr>
          <w:p w14:paraId="414DD85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c>
          <w:tcPr>
            <w:tcW w:w="1134" w:type="dxa"/>
            <w:tcBorders>
              <w:top w:val="nil"/>
              <w:left w:val="nil"/>
              <w:bottom w:val="nil"/>
              <w:right w:val="nil"/>
            </w:tcBorders>
            <w:shd w:val="clear" w:color="auto" w:fill="auto"/>
            <w:noWrap/>
            <w:vAlign w:val="bottom"/>
            <w:hideMark/>
          </w:tcPr>
          <w:p w14:paraId="6270E41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c>
          <w:tcPr>
            <w:tcW w:w="1134" w:type="dxa"/>
            <w:tcBorders>
              <w:top w:val="nil"/>
              <w:left w:val="nil"/>
              <w:bottom w:val="nil"/>
              <w:right w:val="nil"/>
            </w:tcBorders>
            <w:shd w:val="clear" w:color="auto" w:fill="auto"/>
            <w:noWrap/>
            <w:vAlign w:val="bottom"/>
            <w:hideMark/>
          </w:tcPr>
          <w:p w14:paraId="1FEAE41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0.285</w:t>
            </w:r>
          </w:p>
        </w:tc>
        <w:tc>
          <w:tcPr>
            <w:tcW w:w="1134" w:type="dxa"/>
            <w:tcBorders>
              <w:top w:val="nil"/>
              <w:left w:val="nil"/>
              <w:bottom w:val="nil"/>
              <w:right w:val="nil"/>
            </w:tcBorders>
            <w:shd w:val="clear" w:color="auto" w:fill="auto"/>
            <w:noWrap/>
            <w:vAlign w:val="bottom"/>
            <w:hideMark/>
          </w:tcPr>
          <w:p w14:paraId="113D978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c>
          <w:tcPr>
            <w:tcW w:w="1134" w:type="dxa"/>
            <w:tcBorders>
              <w:top w:val="nil"/>
              <w:left w:val="nil"/>
              <w:bottom w:val="nil"/>
              <w:right w:val="nil"/>
            </w:tcBorders>
            <w:shd w:val="clear" w:color="auto" w:fill="auto"/>
            <w:noWrap/>
            <w:vAlign w:val="bottom"/>
            <w:hideMark/>
          </w:tcPr>
          <w:p w14:paraId="02EC01D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0.284</w:t>
            </w:r>
          </w:p>
        </w:tc>
      </w:tr>
      <w:tr w:rsidR="003B2B93" w:rsidRPr="009B605C" w14:paraId="770E1FE2" w14:textId="77777777" w:rsidTr="008E212E">
        <w:trPr>
          <w:trHeight w:val="286"/>
        </w:trPr>
        <w:tc>
          <w:tcPr>
            <w:tcW w:w="1844" w:type="dxa"/>
            <w:tcBorders>
              <w:top w:val="nil"/>
              <w:left w:val="nil"/>
              <w:bottom w:val="nil"/>
              <w:right w:val="nil"/>
            </w:tcBorders>
            <w:shd w:val="clear" w:color="auto" w:fill="auto"/>
            <w:noWrap/>
            <w:vAlign w:val="bottom"/>
            <w:hideMark/>
          </w:tcPr>
          <w:p w14:paraId="549AFF9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594BF754"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525C498D" w14:textId="5BE5C29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0.115</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397E7F9D" w14:textId="10356EE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4F27843" w14:textId="744B13E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4FC6E18" w14:textId="31DD244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3185AB3" w14:textId="3CA4F7C9"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85C3F8C" w14:textId="68A4307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5FEB261" w14:textId="2FD64B8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0.113</w:t>
            </w:r>
            <w:r w:rsidRPr="009B605C">
              <w:rPr>
                <w:rFonts w:ascii="Cambria" w:hAnsi="Cambria"/>
                <w:color w:val="000000"/>
                <w:sz w:val="20"/>
                <w:szCs w:val="20"/>
              </w:rPr>
              <w:t>)</w:t>
            </w:r>
          </w:p>
        </w:tc>
      </w:tr>
      <w:tr w:rsidR="003B2B93" w:rsidRPr="009B605C" w14:paraId="658A3B74" w14:textId="77777777" w:rsidTr="008E212E">
        <w:trPr>
          <w:trHeight w:val="286"/>
        </w:trPr>
        <w:tc>
          <w:tcPr>
            <w:tcW w:w="1844" w:type="dxa"/>
            <w:tcBorders>
              <w:top w:val="nil"/>
              <w:left w:val="nil"/>
              <w:bottom w:val="nil"/>
              <w:right w:val="nil"/>
            </w:tcBorders>
            <w:shd w:val="clear" w:color="auto" w:fill="auto"/>
            <w:noWrap/>
            <w:vAlign w:val="bottom"/>
            <w:hideMark/>
          </w:tcPr>
          <w:p w14:paraId="73EA0979"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747A6835"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16FC9FD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0.854</w:t>
            </w:r>
          </w:p>
        </w:tc>
        <w:tc>
          <w:tcPr>
            <w:tcW w:w="992" w:type="dxa"/>
            <w:tcBorders>
              <w:top w:val="nil"/>
              <w:left w:val="nil"/>
              <w:bottom w:val="nil"/>
              <w:right w:val="nil"/>
            </w:tcBorders>
            <w:shd w:val="clear" w:color="auto" w:fill="auto"/>
            <w:noWrap/>
            <w:vAlign w:val="bottom"/>
            <w:hideMark/>
          </w:tcPr>
          <w:p w14:paraId="748C7B7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0.944</w:t>
            </w:r>
          </w:p>
        </w:tc>
        <w:tc>
          <w:tcPr>
            <w:tcW w:w="1134" w:type="dxa"/>
            <w:tcBorders>
              <w:top w:val="nil"/>
              <w:left w:val="nil"/>
              <w:bottom w:val="nil"/>
              <w:right w:val="nil"/>
            </w:tcBorders>
            <w:shd w:val="clear" w:color="auto" w:fill="auto"/>
            <w:noWrap/>
            <w:vAlign w:val="bottom"/>
            <w:hideMark/>
          </w:tcPr>
          <w:p w14:paraId="4C69F40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0.943</w:t>
            </w:r>
          </w:p>
        </w:tc>
        <w:tc>
          <w:tcPr>
            <w:tcW w:w="1134" w:type="dxa"/>
            <w:tcBorders>
              <w:top w:val="nil"/>
              <w:left w:val="nil"/>
              <w:bottom w:val="nil"/>
              <w:right w:val="nil"/>
            </w:tcBorders>
            <w:shd w:val="clear" w:color="auto" w:fill="auto"/>
            <w:noWrap/>
            <w:vAlign w:val="bottom"/>
            <w:hideMark/>
          </w:tcPr>
          <w:p w14:paraId="17C2876F"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0.942</w:t>
            </w:r>
          </w:p>
        </w:tc>
        <w:tc>
          <w:tcPr>
            <w:tcW w:w="1134" w:type="dxa"/>
            <w:tcBorders>
              <w:top w:val="nil"/>
              <w:left w:val="nil"/>
              <w:bottom w:val="nil"/>
              <w:right w:val="nil"/>
            </w:tcBorders>
            <w:shd w:val="clear" w:color="auto" w:fill="auto"/>
            <w:noWrap/>
            <w:vAlign w:val="bottom"/>
            <w:hideMark/>
          </w:tcPr>
          <w:p w14:paraId="1CD2623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0.998</w:t>
            </w:r>
          </w:p>
        </w:tc>
        <w:tc>
          <w:tcPr>
            <w:tcW w:w="1134" w:type="dxa"/>
            <w:tcBorders>
              <w:top w:val="nil"/>
              <w:left w:val="nil"/>
              <w:bottom w:val="nil"/>
              <w:right w:val="nil"/>
            </w:tcBorders>
            <w:shd w:val="clear" w:color="auto" w:fill="auto"/>
            <w:noWrap/>
            <w:vAlign w:val="bottom"/>
            <w:hideMark/>
          </w:tcPr>
          <w:p w14:paraId="4E0F07B0"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c>
          <w:tcPr>
            <w:tcW w:w="1134" w:type="dxa"/>
            <w:tcBorders>
              <w:top w:val="nil"/>
              <w:left w:val="nil"/>
              <w:bottom w:val="nil"/>
              <w:right w:val="nil"/>
            </w:tcBorders>
            <w:shd w:val="clear" w:color="auto" w:fill="auto"/>
            <w:noWrap/>
            <w:vAlign w:val="bottom"/>
            <w:hideMark/>
          </w:tcPr>
          <w:p w14:paraId="31A6C2C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0.994</w:t>
            </w:r>
          </w:p>
        </w:tc>
      </w:tr>
      <w:tr w:rsidR="003B2B93" w:rsidRPr="009B605C" w14:paraId="12668C56" w14:textId="77777777" w:rsidTr="008E212E">
        <w:trPr>
          <w:trHeight w:val="286"/>
        </w:trPr>
        <w:tc>
          <w:tcPr>
            <w:tcW w:w="1844" w:type="dxa"/>
            <w:tcBorders>
              <w:top w:val="nil"/>
              <w:left w:val="nil"/>
              <w:bottom w:val="nil"/>
              <w:right w:val="nil"/>
            </w:tcBorders>
            <w:shd w:val="clear" w:color="auto" w:fill="auto"/>
            <w:noWrap/>
            <w:vAlign w:val="bottom"/>
            <w:hideMark/>
          </w:tcPr>
          <w:p w14:paraId="0317CD13"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3231603"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34104F34" w14:textId="3D3C7F7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0.058</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0BB4DC3" w14:textId="37AFFA0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0.025</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CA323CE" w14:textId="3591B69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0.026</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9A17A50" w14:textId="2DA629B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0.026</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2DE3F28" w14:textId="265FFD8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329B12E" w14:textId="3CBFFEB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17F0EC5" w14:textId="1DF2177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0.004</w:t>
            </w:r>
            <w:r w:rsidRPr="009B605C">
              <w:rPr>
                <w:rFonts w:ascii="Cambria" w:hAnsi="Cambria"/>
                <w:color w:val="000000"/>
                <w:sz w:val="20"/>
                <w:szCs w:val="20"/>
              </w:rPr>
              <w:t>)</w:t>
            </w:r>
          </w:p>
        </w:tc>
      </w:tr>
      <w:tr w:rsidR="003B2B93" w:rsidRPr="009B605C" w14:paraId="104BA8F2" w14:textId="77777777" w:rsidTr="008E212E">
        <w:trPr>
          <w:trHeight w:val="286"/>
        </w:trPr>
        <w:tc>
          <w:tcPr>
            <w:tcW w:w="1844" w:type="dxa"/>
            <w:tcBorders>
              <w:top w:val="nil"/>
              <w:left w:val="nil"/>
              <w:bottom w:val="nil"/>
              <w:right w:val="nil"/>
            </w:tcBorders>
            <w:shd w:val="clear" w:color="auto" w:fill="auto"/>
            <w:noWrap/>
            <w:vAlign w:val="bottom"/>
            <w:hideMark/>
          </w:tcPr>
          <w:p w14:paraId="032280E2"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India</w:t>
            </w:r>
          </w:p>
        </w:tc>
        <w:tc>
          <w:tcPr>
            <w:tcW w:w="1134" w:type="dxa"/>
            <w:tcBorders>
              <w:top w:val="nil"/>
              <w:left w:val="nil"/>
              <w:bottom w:val="nil"/>
              <w:right w:val="nil"/>
            </w:tcBorders>
            <w:shd w:val="clear" w:color="auto" w:fill="auto"/>
            <w:noWrap/>
            <w:vAlign w:val="bottom"/>
            <w:hideMark/>
          </w:tcPr>
          <w:p w14:paraId="5DB71612"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53D6A4A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0.562</w:t>
            </w:r>
          </w:p>
        </w:tc>
        <w:tc>
          <w:tcPr>
            <w:tcW w:w="992" w:type="dxa"/>
            <w:tcBorders>
              <w:top w:val="nil"/>
              <w:left w:val="nil"/>
              <w:bottom w:val="nil"/>
              <w:right w:val="nil"/>
            </w:tcBorders>
            <w:shd w:val="clear" w:color="auto" w:fill="auto"/>
            <w:noWrap/>
            <w:vAlign w:val="bottom"/>
            <w:hideMark/>
          </w:tcPr>
          <w:p w14:paraId="6C78868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0.557</w:t>
            </w:r>
          </w:p>
        </w:tc>
        <w:tc>
          <w:tcPr>
            <w:tcW w:w="1134" w:type="dxa"/>
            <w:tcBorders>
              <w:top w:val="nil"/>
              <w:left w:val="nil"/>
              <w:bottom w:val="nil"/>
              <w:right w:val="nil"/>
            </w:tcBorders>
            <w:shd w:val="clear" w:color="auto" w:fill="auto"/>
            <w:noWrap/>
            <w:vAlign w:val="bottom"/>
            <w:hideMark/>
          </w:tcPr>
          <w:p w14:paraId="66CD77F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0.557</w:t>
            </w:r>
          </w:p>
        </w:tc>
        <w:tc>
          <w:tcPr>
            <w:tcW w:w="1134" w:type="dxa"/>
            <w:tcBorders>
              <w:top w:val="nil"/>
              <w:left w:val="nil"/>
              <w:bottom w:val="nil"/>
              <w:right w:val="nil"/>
            </w:tcBorders>
            <w:shd w:val="clear" w:color="auto" w:fill="auto"/>
            <w:noWrap/>
            <w:vAlign w:val="bottom"/>
            <w:hideMark/>
          </w:tcPr>
          <w:p w14:paraId="737FAB2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0.557</w:t>
            </w:r>
          </w:p>
        </w:tc>
        <w:tc>
          <w:tcPr>
            <w:tcW w:w="1134" w:type="dxa"/>
            <w:tcBorders>
              <w:top w:val="nil"/>
              <w:left w:val="nil"/>
              <w:bottom w:val="nil"/>
              <w:right w:val="nil"/>
            </w:tcBorders>
            <w:shd w:val="clear" w:color="auto" w:fill="auto"/>
            <w:noWrap/>
            <w:vAlign w:val="bottom"/>
            <w:hideMark/>
          </w:tcPr>
          <w:p w14:paraId="03D6A788"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0.556</w:t>
            </w:r>
          </w:p>
        </w:tc>
        <w:tc>
          <w:tcPr>
            <w:tcW w:w="1134" w:type="dxa"/>
            <w:tcBorders>
              <w:top w:val="nil"/>
              <w:left w:val="nil"/>
              <w:bottom w:val="nil"/>
              <w:right w:val="nil"/>
            </w:tcBorders>
            <w:shd w:val="clear" w:color="auto" w:fill="auto"/>
            <w:noWrap/>
            <w:vAlign w:val="bottom"/>
            <w:hideMark/>
          </w:tcPr>
          <w:p w14:paraId="5CE5B949"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0.557</w:t>
            </w:r>
          </w:p>
        </w:tc>
        <w:tc>
          <w:tcPr>
            <w:tcW w:w="1134" w:type="dxa"/>
            <w:tcBorders>
              <w:top w:val="nil"/>
              <w:left w:val="nil"/>
              <w:bottom w:val="nil"/>
              <w:right w:val="nil"/>
            </w:tcBorders>
            <w:shd w:val="clear" w:color="auto" w:fill="auto"/>
            <w:noWrap/>
            <w:vAlign w:val="bottom"/>
            <w:hideMark/>
          </w:tcPr>
          <w:p w14:paraId="74021E2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0.553</w:t>
            </w:r>
          </w:p>
        </w:tc>
      </w:tr>
      <w:tr w:rsidR="003B2B93" w:rsidRPr="009B605C" w14:paraId="4C1B6F55" w14:textId="77777777" w:rsidTr="008E212E">
        <w:trPr>
          <w:trHeight w:val="286"/>
        </w:trPr>
        <w:tc>
          <w:tcPr>
            <w:tcW w:w="1844" w:type="dxa"/>
            <w:tcBorders>
              <w:top w:val="nil"/>
              <w:left w:val="nil"/>
              <w:bottom w:val="nil"/>
              <w:right w:val="nil"/>
            </w:tcBorders>
            <w:shd w:val="clear" w:color="auto" w:fill="auto"/>
            <w:noWrap/>
            <w:vAlign w:val="bottom"/>
            <w:hideMark/>
          </w:tcPr>
          <w:p w14:paraId="419CF93F"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3E12BB9B"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6FB3FB5A" w14:textId="36A90B6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0.068</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66BEA7ED" w14:textId="3C3FE96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3D0F3B" w14:textId="7CC1A1B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07E25FF" w14:textId="101DC38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2848020" w14:textId="04A57C7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0343952" w14:textId="183B3D9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E87D5A1" w14:textId="51ABEC6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0.071</w:t>
            </w:r>
            <w:r w:rsidRPr="009B605C">
              <w:rPr>
                <w:rFonts w:ascii="Cambria" w:hAnsi="Cambria"/>
                <w:color w:val="000000"/>
                <w:sz w:val="20"/>
                <w:szCs w:val="20"/>
              </w:rPr>
              <w:t>)</w:t>
            </w:r>
          </w:p>
        </w:tc>
      </w:tr>
      <w:tr w:rsidR="003B2B93" w:rsidRPr="009B605C" w14:paraId="340010AC" w14:textId="77777777" w:rsidTr="008E212E">
        <w:trPr>
          <w:trHeight w:val="286"/>
        </w:trPr>
        <w:tc>
          <w:tcPr>
            <w:tcW w:w="1844" w:type="dxa"/>
            <w:tcBorders>
              <w:top w:val="nil"/>
              <w:left w:val="nil"/>
              <w:bottom w:val="nil"/>
              <w:right w:val="nil"/>
            </w:tcBorders>
            <w:shd w:val="clear" w:color="auto" w:fill="auto"/>
            <w:noWrap/>
            <w:vAlign w:val="bottom"/>
            <w:hideMark/>
          </w:tcPr>
          <w:p w14:paraId="538AF4A8"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4D8B6A3"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58E34A6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0.962</w:t>
            </w:r>
          </w:p>
        </w:tc>
        <w:tc>
          <w:tcPr>
            <w:tcW w:w="992" w:type="dxa"/>
            <w:tcBorders>
              <w:top w:val="nil"/>
              <w:left w:val="nil"/>
              <w:bottom w:val="nil"/>
              <w:right w:val="nil"/>
            </w:tcBorders>
            <w:shd w:val="clear" w:color="auto" w:fill="auto"/>
            <w:noWrap/>
            <w:vAlign w:val="bottom"/>
            <w:hideMark/>
          </w:tcPr>
          <w:p w14:paraId="22A949C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0.984</w:t>
            </w:r>
          </w:p>
        </w:tc>
        <w:tc>
          <w:tcPr>
            <w:tcW w:w="1134" w:type="dxa"/>
            <w:tcBorders>
              <w:top w:val="nil"/>
              <w:left w:val="nil"/>
              <w:bottom w:val="nil"/>
              <w:right w:val="nil"/>
            </w:tcBorders>
            <w:shd w:val="clear" w:color="auto" w:fill="auto"/>
            <w:noWrap/>
            <w:vAlign w:val="bottom"/>
            <w:hideMark/>
          </w:tcPr>
          <w:p w14:paraId="5380F9C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0.983</w:t>
            </w:r>
          </w:p>
        </w:tc>
        <w:tc>
          <w:tcPr>
            <w:tcW w:w="1134" w:type="dxa"/>
            <w:tcBorders>
              <w:top w:val="nil"/>
              <w:left w:val="nil"/>
              <w:bottom w:val="nil"/>
              <w:right w:val="nil"/>
            </w:tcBorders>
            <w:shd w:val="clear" w:color="auto" w:fill="auto"/>
            <w:noWrap/>
            <w:vAlign w:val="bottom"/>
            <w:hideMark/>
          </w:tcPr>
          <w:p w14:paraId="15FB9CB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0.983</w:t>
            </w:r>
          </w:p>
        </w:tc>
        <w:tc>
          <w:tcPr>
            <w:tcW w:w="1134" w:type="dxa"/>
            <w:tcBorders>
              <w:top w:val="nil"/>
              <w:left w:val="nil"/>
              <w:bottom w:val="nil"/>
              <w:right w:val="nil"/>
            </w:tcBorders>
            <w:shd w:val="clear" w:color="auto" w:fill="auto"/>
            <w:noWrap/>
            <w:vAlign w:val="bottom"/>
            <w:hideMark/>
          </w:tcPr>
          <w:p w14:paraId="70B6F1C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3565C046"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c>
          <w:tcPr>
            <w:tcW w:w="1134" w:type="dxa"/>
            <w:tcBorders>
              <w:top w:val="nil"/>
              <w:left w:val="nil"/>
              <w:bottom w:val="nil"/>
              <w:right w:val="nil"/>
            </w:tcBorders>
            <w:shd w:val="clear" w:color="auto" w:fill="auto"/>
            <w:noWrap/>
            <w:vAlign w:val="bottom"/>
            <w:hideMark/>
          </w:tcPr>
          <w:p w14:paraId="1B8E0FC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r>
      <w:tr w:rsidR="003B2B93" w:rsidRPr="009B605C" w14:paraId="2939587C" w14:textId="77777777" w:rsidTr="008E212E">
        <w:trPr>
          <w:trHeight w:val="286"/>
        </w:trPr>
        <w:tc>
          <w:tcPr>
            <w:tcW w:w="1844" w:type="dxa"/>
            <w:tcBorders>
              <w:top w:val="nil"/>
              <w:left w:val="nil"/>
              <w:bottom w:val="nil"/>
              <w:right w:val="nil"/>
            </w:tcBorders>
            <w:shd w:val="clear" w:color="auto" w:fill="auto"/>
            <w:noWrap/>
            <w:vAlign w:val="bottom"/>
            <w:hideMark/>
          </w:tcPr>
          <w:p w14:paraId="018C65FD"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023143AD"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36FDF022" w14:textId="7244B4C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0.025</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46F214BD" w14:textId="07EEE32F"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0.019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01273B8" w14:textId="72A2D31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0.019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EEE4A9C" w14:textId="0BCA8FA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0.019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6B12AAC" w14:textId="41E041A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5BEE6D2" w14:textId="4C31242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7A9D410" w14:textId="3C94527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1E3A39DF" w14:textId="77777777" w:rsidTr="008E212E">
        <w:trPr>
          <w:trHeight w:val="286"/>
        </w:trPr>
        <w:tc>
          <w:tcPr>
            <w:tcW w:w="1844" w:type="dxa"/>
            <w:tcBorders>
              <w:top w:val="nil"/>
              <w:left w:val="nil"/>
              <w:bottom w:val="nil"/>
              <w:right w:val="nil"/>
            </w:tcBorders>
            <w:shd w:val="clear" w:color="auto" w:fill="auto"/>
            <w:noWrap/>
            <w:vAlign w:val="bottom"/>
            <w:hideMark/>
          </w:tcPr>
          <w:p w14:paraId="18044B64"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China</w:t>
            </w:r>
          </w:p>
        </w:tc>
        <w:tc>
          <w:tcPr>
            <w:tcW w:w="1134" w:type="dxa"/>
            <w:tcBorders>
              <w:top w:val="nil"/>
              <w:left w:val="nil"/>
              <w:bottom w:val="nil"/>
              <w:right w:val="nil"/>
            </w:tcBorders>
            <w:shd w:val="clear" w:color="auto" w:fill="auto"/>
            <w:noWrap/>
            <w:vAlign w:val="bottom"/>
            <w:hideMark/>
          </w:tcPr>
          <w:p w14:paraId="77CCF399"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0CAA1E3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0.487</w:t>
            </w:r>
          </w:p>
        </w:tc>
        <w:tc>
          <w:tcPr>
            <w:tcW w:w="992" w:type="dxa"/>
            <w:tcBorders>
              <w:top w:val="nil"/>
              <w:left w:val="nil"/>
              <w:bottom w:val="nil"/>
              <w:right w:val="nil"/>
            </w:tcBorders>
            <w:shd w:val="clear" w:color="auto" w:fill="auto"/>
            <w:noWrap/>
            <w:vAlign w:val="bottom"/>
            <w:hideMark/>
          </w:tcPr>
          <w:p w14:paraId="75569BC4"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0.487</w:t>
            </w:r>
          </w:p>
        </w:tc>
        <w:tc>
          <w:tcPr>
            <w:tcW w:w="1134" w:type="dxa"/>
            <w:tcBorders>
              <w:top w:val="nil"/>
              <w:left w:val="nil"/>
              <w:bottom w:val="nil"/>
              <w:right w:val="nil"/>
            </w:tcBorders>
            <w:shd w:val="clear" w:color="auto" w:fill="auto"/>
            <w:noWrap/>
            <w:vAlign w:val="bottom"/>
            <w:hideMark/>
          </w:tcPr>
          <w:p w14:paraId="16A2A258"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0.486</w:t>
            </w:r>
          </w:p>
        </w:tc>
        <w:tc>
          <w:tcPr>
            <w:tcW w:w="1134" w:type="dxa"/>
            <w:tcBorders>
              <w:top w:val="nil"/>
              <w:left w:val="nil"/>
              <w:bottom w:val="nil"/>
              <w:right w:val="nil"/>
            </w:tcBorders>
            <w:shd w:val="clear" w:color="auto" w:fill="auto"/>
            <w:noWrap/>
            <w:vAlign w:val="bottom"/>
            <w:hideMark/>
          </w:tcPr>
          <w:p w14:paraId="783AD26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0.486</w:t>
            </w:r>
          </w:p>
        </w:tc>
        <w:tc>
          <w:tcPr>
            <w:tcW w:w="1134" w:type="dxa"/>
            <w:tcBorders>
              <w:top w:val="nil"/>
              <w:left w:val="nil"/>
              <w:bottom w:val="nil"/>
              <w:right w:val="nil"/>
            </w:tcBorders>
            <w:shd w:val="clear" w:color="auto" w:fill="auto"/>
            <w:noWrap/>
            <w:vAlign w:val="bottom"/>
            <w:hideMark/>
          </w:tcPr>
          <w:p w14:paraId="03A76BE1"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0.487</w:t>
            </w:r>
          </w:p>
        </w:tc>
        <w:tc>
          <w:tcPr>
            <w:tcW w:w="1134" w:type="dxa"/>
            <w:tcBorders>
              <w:top w:val="nil"/>
              <w:left w:val="nil"/>
              <w:bottom w:val="nil"/>
              <w:right w:val="nil"/>
            </w:tcBorders>
            <w:shd w:val="clear" w:color="auto" w:fill="auto"/>
            <w:noWrap/>
            <w:vAlign w:val="bottom"/>
            <w:hideMark/>
          </w:tcPr>
          <w:p w14:paraId="48E246EB"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0.485</w:t>
            </w:r>
          </w:p>
        </w:tc>
        <w:tc>
          <w:tcPr>
            <w:tcW w:w="1134" w:type="dxa"/>
            <w:tcBorders>
              <w:top w:val="nil"/>
              <w:left w:val="nil"/>
              <w:bottom w:val="nil"/>
              <w:right w:val="nil"/>
            </w:tcBorders>
            <w:shd w:val="clear" w:color="auto" w:fill="auto"/>
            <w:noWrap/>
            <w:vAlign w:val="bottom"/>
            <w:hideMark/>
          </w:tcPr>
          <w:p w14:paraId="2BC77758"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0.485</w:t>
            </w:r>
          </w:p>
        </w:tc>
      </w:tr>
      <w:tr w:rsidR="003B2B93" w:rsidRPr="009B605C" w14:paraId="4128CA83" w14:textId="77777777" w:rsidTr="008E212E">
        <w:trPr>
          <w:trHeight w:val="286"/>
        </w:trPr>
        <w:tc>
          <w:tcPr>
            <w:tcW w:w="1844" w:type="dxa"/>
            <w:tcBorders>
              <w:top w:val="nil"/>
              <w:left w:val="nil"/>
              <w:bottom w:val="nil"/>
              <w:right w:val="nil"/>
            </w:tcBorders>
            <w:shd w:val="clear" w:color="auto" w:fill="auto"/>
            <w:noWrap/>
            <w:vAlign w:val="bottom"/>
            <w:hideMark/>
          </w:tcPr>
          <w:p w14:paraId="3ACADDC1"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13AA025E"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7C298E09" w14:textId="5C4DA75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0.068</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613AF0D2" w14:textId="6CB8E3C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D358461" w14:textId="1F5C0FB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0.067</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92439C7" w14:textId="5BFAB9B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0.067</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DC97E80" w14:textId="79E4832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0.067</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606F467" w14:textId="6BAC180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0.066</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3DAEFA8" w14:textId="3428E8E6"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0.066</w:t>
            </w:r>
            <w:r w:rsidRPr="009B605C">
              <w:rPr>
                <w:rFonts w:ascii="Cambria" w:hAnsi="Cambria"/>
                <w:color w:val="000000"/>
                <w:sz w:val="20"/>
                <w:szCs w:val="20"/>
              </w:rPr>
              <w:t>)</w:t>
            </w:r>
          </w:p>
        </w:tc>
      </w:tr>
      <w:tr w:rsidR="003B2B93" w:rsidRPr="009B605C" w14:paraId="3E7D0E0B" w14:textId="77777777" w:rsidTr="008E212E">
        <w:trPr>
          <w:trHeight w:val="286"/>
        </w:trPr>
        <w:tc>
          <w:tcPr>
            <w:tcW w:w="1844" w:type="dxa"/>
            <w:tcBorders>
              <w:top w:val="nil"/>
              <w:left w:val="nil"/>
              <w:bottom w:val="nil"/>
              <w:right w:val="nil"/>
            </w:tcBorders>
            <w:shd w:val="clear" w:color="auto" w:fill="auto"/>
            <w:noWrap/>
            <w:vAlign w:val="bottom"/>
            <w:hideMark/>
          </w:tcPr>
          <w:p w14:paraId="54EDCC32"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41BF7461"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68E07B6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0.94</w:t>
            </w:r>
          </w:p>
        </w:tc>
        <w:tc>
          <w:tcPr>
            <w:tcW w:w="992" w:type="dxa"/>
            <w:tcBorders>
              <w:top w:val="nil"/>
              <w:left w:val="nil"/>
              <w:bottom w:val="nil"/>
              <w:right w:val="nil"/>
            </w:tcBorders>
            <w:shd w:val="clear" w:color="auto" w:fill="auto"/>
            <w:noWrap/>
            <w:vAlign w:val="bottom"/>
            <w:hideMark/>
          </w:tcPr>
          <w:p w14:paraId="06EA701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0.974</w:t>
            </w:r>
          </w:p>
        </w:tc>
        <w:tc>
          <w:tcPr>
            <w:tcW w:w="1134" w:type="dxa"/>
            <w:tcBorders>
              <w:top w:val="nil"/>
              <w:left w:val="nil"/>
              <w:bottom w:val="nil"/>
              <w:right w:val="nil"/>
            </w:tcBorders>
            <w:shd w:val="clear" w:color="auto" w:fill="auto"/>
            <w:noWrap/>
            <w:vAlign w:val="bottom"/>
            <w:hideMark/>
          </w:tcPr>
          <w:p w14:paraId="6ADBD8A2"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0.974</w:t>
            </w:r>
          </w:p>
        </w:tc>
        <w:tc>
          <w:tcPr>
            <w:tcW w:w="1134" w:type="dxa"/>
            <w:tcBorders>
              <w:top w:val="nil"/>
              <w:left w:val="nil"/>
              <w:bottom w:val="nil"/>
              <w:right w:val="nil"/>
            </w:tcBorders>
            <w:shd w:val="clear" w:color="auto" w:fill="auto"/>
            <w:noWrap/>
            <w:vAlign w:val="bottom"/>
            <w:hideMark/>
          </w:tcPr>
          <w:p w14:paraId="0F129F5D"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0.974</w:t>
            </w:r>
          </w:p>
        </w:tc>
        <w:tc>
          <w:tcPr>
            <w:tcW w:w="1134" w:type="dxa"/>
            <w:tcBorders>
              <w:top w:val="nil"/>
              <w:left w:val="nil"/>
              <w:bottom w:val="nil"/>
              <w:right w:val="nil"/>
            </w:tcBorders>
            <w:shd w:val="clear" w:color="auto" w:fill="auto"/>
            <w:noWrap/>
            <w:vAlign w:val="bottom"/>
            <w:hideMark/>
          </w:tcPr>
          <w:p w14:paraId="58786476"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0.998</w:t>
            </w:r>
          </w:p>
        </w:tc>
        <w:tc>
          <w:tcPr>
            <w:tcW w:w="1134" w:type="dxa"/>
            <w:tcBorders>
              <w:top w:val="nil"/>
              <w:left w:val="nil"/>
              <w:bottom w:val="nil"/>
              <w:right w:val="nil"/>
            </w:tcBorders>
            <w:shd w:val="clear" w:color="auto" w:fill="auto"/>
            <w:noWrap/>
            <w:vAlign w:val="bottom"/>
            <w:hideMark/>
          </w:tcPr>
          <w:p w14:paraId="1DB2ED1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1</w:t>
            </w:r>
          </w:p>
        </w:tc>
        <w:tc>
          <w:tcPr>
            <w:tcW w:w="1134" w:type="dxa"/>
            <w:tcBorders>
              <w:top w:val="nil"/>
              <w:left w:val="nil"/>
              <w:bottom w:val="nil"/>
              <w:right w:val="nil"/>
            </w:tcBorders>
            <w:shd w:val="clear" w:color="auto" w:fill="auto"/>
            <w:noWrap/>
            <w:vAlign w:val="bottom"/>
            <w:hideMark/>
          </w:tcPr>
          <w:p w14:paraId="743F611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0.997</w:t>
            </w:r>
          </w:p>
        </w:tc>
      </w:tr>
      <w:tr w:rsidR="003B2B93" w:rsidRPr="009B605C" w14:paraId="3DE30A2B" w14:textId="77777777" w:rsidTr="008E212E">
        <w:trPr>
          <w:trHeight w:val="286"/>
        </w:trPr>
        <w:tc>
          <w:tcPr>
            <w:tcW w:w="1844" w:type="dxa"/>
            <w:tcBorders>
              <w:top w:val="nil"/>
              <w:left w:val="nil"/>
              <w:bottom w:val="nil"/>
              <w:right w:val="nil"/>
            </w:tcBorders>
            <w:shd w:val="clear" w:color="auto" w:fill="auto"/>
            <w:noWrap/>
            <w:vAlign w:val="bottom"/>
            <w:hideMark/>
          </w:tcPr>
          <w:p w14:paraId="5E908F8A"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6ADF8F46"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1D887116" w14:textId="01D5E301"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0.022</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166707D3" w14:textId="61339F34"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0.024</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9A3F14A" w14:textId="2613D6EA"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16C49DE" w14:textId="5AE9414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0.022</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25ACD5F" w14:textId="756E656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0859BF0" w14:textId="6ACC4A0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0BC2BA4" w14:textId="6AF9CD9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r w:rsidR="003B2B93" w:rsidRPr="009B605C" w14:paraId="7E3A05D8" w14:textId="77777777" w:rsidTr="008E212E">
        <w:trPr>
          <w:trHeight w:val="286"/>
        </w:trPr>
        <w:tc>
          <w:tcPr>
            <w:tcW w:w="1844" w:type="dxa"/>
            <w:tcBorders>
              <w:top w:val="nil"/>
              <w:left w:val="nil"/>
              <w:bottom w:val="nil"/>
              <w:right w:val="nil"/>
            </w:tcBorders>
            <w:shd w:val="clear" w:color="auto" w:fill="auto"/>
            <w:noWrap/>
            <w:vAlign w:val="bottom"/>
            <w:hideMark/>
          </w:tcPr>
          <w:p w14:paraId="4A09FA6C" w14:textId="2581086C" w:rsidR="005E5FE5" w:rsidRPr="009B605C" w:rsidRDefault="005E5FE5" w:rsidP="0087752F">
            <w:pPr>
              <w:rPr>
                <w:rFonts w:ascii="Cambria" w:hAnsi="Cambria"/>
                <w:color w:val="000000"/>
                <w:sz w:val="20"/>
                <w:szCs w:val="20"/>
              </w:rPr>
            </w:pPr>
            <w:r w:rsidRPr="009B605C">
              <w:rPr>
                <w:rFonts w:ascii="Cambria" w:hAnsi="Cambria"/>
                <w:color w:val="000000"/>
                <w:sz w:val="20"/>
                <w:szCs w:val="20"/>
              </w:rPr>
              <w:t>South</w:t>
            </w:r>
            <w:r w:rsidR="003B2B93" w:rsidRPr="009B605C">
              <w:rPr>
                <w:rFonts w:ascii="Cambria" w:hAnsi="Cambria"/>
                <w:color w:val="000000"/>
                <w:sz w:val="20"/>
                <w:szCs w:val="20"/>
              </w:rPr>
              <w:t xml:space="preserve"> </w:t>
            </w:r>
            <w:r w:rsidRPr="009B605C">
              <w:rPr>
                <w:rFonts w:ascii="Cambria" w:hAnsi="Cambria"/>
                <w:color w:val="000000"/>
                <w:sz w:val="20"/>
                <w:szCs w:val="20"/>
              </w:rPr>
              <w:t>Africa</w:t>
            </w:r>
          </w:p>
        </w:tc>
        <w:tc>
          <w:tcPr>
            <w:tcW w:w="1134" w:type="dxa"/>
            <w:tcBorders>
              <w:top w:val="nil"/>
              <w:left w:val="nil"/>
              <w:bottom w:val="nil"/>
              <w:right w:val="nil"/>
            </w:tcBorders>
            <w:shd w:val="clear" w:color="auto" w:fill="auto"/>
            <w:noWrap/>
            <w:vAlign w:val="bottom"/>
            <w:hideMark/>
          </w:tcPr>
          <w:p w14:paraId="7BD8E32A"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Gold</w:t>
            </w:r>
          </w:p>
        </w:tc>
        <w:tc>
          <w:tcPr>
            <w:tcW w:w="992" w:type="dxa"/>
            <w:tcBorders>
              <w:top w:val="nil"/>
              <w:left w:val="nil"/>
              <w:bottom w:val="nil"/>
              <w:right w:val="nil"/>
            </w:tcBorders>
            <w:shd w:val="clear" w:color="auto" w:fill="auto"/>
            <w:noWrap/>
            <w:vAlign w:val="bottom"/>
            <w:hideMark/>
          </w:tcPr>
          <w:p w14:paraId="4A8FAB9B" w14:textId="7A9A59E0"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0.33</w:t>
            </w:r>
            <w:r w:rsidR="00D65793" w:rsidRPr="009B605C">
              <w:rPr>
                <w:rFonts w:ascii="Cambria" w:hAnsi="Cambria"/>
                <w:color w:val="000000"/>
                <w:sz w:val="20"/>
                <w:szCs w:val="20"/>
              </w:rPr>
              <w:t>0</w:t>
            </w:r>
          </w:p>
        </w:tc>
        <w:tc>
          <w:tcPr>
            <w:tcW w:w="992" w:type="dxa"/>
            <w:tcBorders>
              <w:top w:val="nil"/>
              <w:left w:val="nil"/>
              <w:bottom w:val="nil"/>
              <w:right w:val="nil"/>
            </w:tcBorders>
            <w:shd w:val="clear" w:color="auto" w:fill="auto"/>
            <w:noWrap/>
            <w:vAlign w:val="bottom"/>
            <w:hideMark/>
          </w:tcPr>
          <w:p w14:paraId="04B7422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0.328</w:t>
            </w:r>
          </w:p>
        </w:tc>
        <w:tc>
          <w:tcPr>
            <w:tcW w:w="1134" w:type="dxa"/>
            <w:tcBorders>
              <w:top w:val="nil"/>
              <w:left w:val="nil"/>
              <w:bottom w:val="nil"/>
              <w:right w:val="nil"/>
            </w:tcBorders>
            <w:shd w:val="clear" w:color="auto" w:fill="auto"/>
            <w:noWrap/>
            <w:vAlign w:val="bottom"/>
            <w:hideMark/>
          </w:tcPr>
          <w:p w14:paraId="0570F09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0.328</w:t>
            </w:r>
          </w:p>
        </w:tc>
        <w:tc>
          <w:tcPr>
            <w:tcW w:w="1134" w:type="dxa"/>
            <w:tcBorders>
              <w:top w:val="nil"/>
              <w:left w:val="nil"/>
              <w:bottom w:val="nil"/>
              <w:right w:val="nil"/>
            </w:tcBorders>
            <w:shd w:val="clear" w:color="auto" w:fill="auto"/>
            <w:noWrap/>
            <w:vAlign w:val="bottom"/>
            <w:hideMark/>
          </w:tcPr>
          <w:p w14:paraId="58CB7DD7"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0.328</w:t>
            </w:r>
          </w:p>
        </w:tc>
        <w:tc>
          <w:tcPr>
            <w:tcW w:w="1134" w:type="dxa"/>
            <w:tcBorders>
              <w:top w:val="nil"/>
              <w:left w:val="nil"/>
              <w:bottom w:val="nil"/>
              <w:right w:val="nil"/>
            </w:tcBorders>
            <w:shd w:val="clear" w:color="auto" w:fill="auto"/>
            <w:noWrap/>
            <w:vAlign w:val="bottom"/>
            <w:hideMark/>
          </w:tcPr>
          <w:p w14:paraId="11A793E6"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0.329</w:t>
            </w:r>
          </w:p>
        </w:tc>
        <w:tc>
          <w:tcPr>
            <w:tcW w:w="1134" w:type="dxa"/>
            <w:tcBorders>
              <w:top w:val="nil"/>
              <w:left w:val="nil"/>
              <w:bottom w:val="nil"/>
              <w:right w:val="nil"/>
            </w:tcBorders>
            <w:shd w:val="clear" w:color="auto" w:fill="auto"/>
            <w:noWrap/>
            <w:vAlign w:val="bottom"/>
            <w:hideMark/>
          </w:tcPr>
          <w:p w14:paraId="64E19C8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0.327</w:t>
            </w:r>
          </w:p>
        </w:tc>
        <w:tc>
          <w:tcPr>
            <w:tcW w:w="1134" w:type="dxa"/>
            <w:tcBorders>
              <w:top w:val="nil"/>
              <w:left w:val="nil"/>
              <w:bottom w:val="nil"/>
              <w:right w:val="nil"/>
            </w:tcBorders>
            <w:shd w:val="clear" w:color="auto" w:fill="auto"/>
            <w:noWrap/>
            <w:vAlign w:val="bottom"/>
            <w:hideMark/>
          </w:tcPr>
          <w:p w14:paraId="3E3E7C79"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0.325</w:t>
            </w:r>
          </w:p>
        </w:tc>
      </w:tr>
      <w:tr w:rsidR="003B2B93" w:rsidRPr="009B605C" w14:paraId="31C0175A" w14:textId="77777777" w:rsidTr="008E212E">
        <w:trPr>
          <w:trHeight w:val="286"/>
        </w:trPr>
        <w:tc>
          <w:tcPr>
            <w:tcW w:w="1844" w:type="dxa"/>
            <w:tcBorders>
              <w:top w:val="nil"/>
              <w:left w:val="nil"/>
              <w:bottom w:val="nil"/>
              <w:right w:val="nil"/>
            </w:tcBorders>
            <w:shd w:val="clear" w:color="auto" w:fill="auto"/>
            <w:noWrap/>
            <w:vAlign w:val="bottom"/>
            <w:hideMark/>
          </w:tcPr>
          <w:p w14:paraId="12FF322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633386E3" w14:textId="77777777" w:rsidR="005E5FE5" w:rsidRPr="009B605C" w:rsidRDefault="005E5FE5"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4ACA9D50" w14:textId="5BED90E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0.087</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5A01E0A6" w14:textId="01D50A0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514314D" w14:textId="25BAB63D"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2B40727" w14:textId="4F20E78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0.089</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F833525" w14:textId="19DB8778"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0.088</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79A74FA" w14:textId="6463BCB2"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0.086</w:t>
            </w:r>
            <w:r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867EED" w14:textId="252F7C13"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0.087</w:t>
            </w:r>
            <w:r w:rsidRPr="009B605C">
              <w:rPr>
                <w:rFonts w:ascii="Cambria" w:hAnsi="Cambria"/>
                <w:color w:val="000000"/>
                <w:sz w:val="20"/>
                <w:szCs w:val="20"/>
              </w:rPr>
              <w:t>)</w:t>
            </w:r>
          </w:p>
        </w:tc>
      </w:tr>
      <w:tr w:rsidR="003B2B93" w:rsidRPr="009B605C" w14:paraId="535C6F3E" w14:textId="77777777" w:rsidTr="008E212E">
        <w:trPr>
          <w:trHeight w:val="286"/>
        </w:trPr>
        <w:tc>
          <w:tcPr>
            <w:tcW w:w="1844" w:type="dxa"/>
            <w:tcBorders>
              <w:top w:val="nil"/>
              <w:left w:val="nil"/>
              <w:bottom w:val="nil"/>
              <w:right w:val="nil"/>
            </w:tcBorders>
            <w:shd w:val="clear" w:color="auto" w:fill="auto"/>
            <w:noWrap/>
            <w:vAlign w:val="bottom"/>
            <w:hideMark/>
          </w:tcPr>
          <w:p w14:paraId="314C9596"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nil"/>
              <w:right w:val="nil"/>
            </w:tcBorders>
            <w:shd w:val="clear" w:color="auto" w:fill="auto"/>
            <w:noWrap/>
            <w:vAlign w:val="bottom"/>
            <w:hideMark/>
          </w:tcPr>
          <w:p w14:paraId="621376AE" w14:textId="77777777" w:rsidR="005E5FE5" w:rsidRPr="009B605C" w:rsidRDefault="005E5FE5" w:rsidP="0087752F">
            <w:pPr>
              <w:rPr>
                <w:rFonts w:ascii="Cambria" w:hAnsi="Cambria"/>
                <w:color w:val="000000"/>
                <w:sz w:val="20"/>
                <w:szCs w:val="20"/>
              </w:rPr>
            </w:pPr>
            <w:r w:rsidRPr="009B605C">
              <w:rPr>
                <w:rFonts w:ascii="Cambria" w:hAnsi="Cambria"/>
                <w:color w:val="000000"/>
                <w:sz w:val="20"/>
                <w:szCs w:val="20"/>
              </w:rPr>
              <w:t>Crypto</w:t>
            </w:r>
          </w:p>
        </w:tc>
        <w:tc>
          <w:tcPr>
            <w:tcW w:w="992" w:type="dxa"/>
            <w:tcBorders>
              <w:top w:val="nil"/>
              <w:left w:val="nil"/>
              <w:bottom w:val="nil"/>
              <w:right w:val="nil"/>
            </w:tcBorders>
            <w:shd w:val="clear" w:color="auto" w:fill="auto"/>
            <w:noWrap/>
            <w:vAlign w:val="bottom"/>
            <w:hideMark/>
          </w:tcPr>
          <w:p w14:paraId="1FBCCD3A"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0.93</w:t>
            </w:r>
          </w:p>
        </w:tc>
        <w:tc>
          <w:tcPr>
            <w:tcW w:w="992" w:type="dxa"/>
            <w:tcBorders>
              <w:top w:val="nil"/>
              <w:left w:val="nil"/>
              <w:bottom w:val="nil"/>
              <w:right w:val="nil"/>
            </w:tcBorders>
            <w:shd w:val="clear" w:color="auto" w:fill="auto"/>
            <w:noWrap/>
            <w:vAlign w:val="bottom"/>
            <w:hideMark/>
          </w:tcPr>
          <w:p w14:paraId="2919DFA5"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0.966</w:t>
            </w:r>
          </w:p>
        </w:tc>
        <w:tc>
          <w:tcPr>
            <w:tcW w:w="1134" w:type="dxa"/>
            <w:tcBorders>
              <w:top w:val="nil"/>
              <w:left w:val="nil"/>
              <w:bottom w:val="nil"/>
              <w:right w:val="nil"/>
            </w:tcBorders>
            <w:shd w:val="clear" w:color="auto" w:fill="auto"/>
            <w:noWrap/>
            <w:vAlign w:val="bottom"/>
            <w:hideMark/>
          </w:tcPr>
          <w:p w14:paraId="60A591E9"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0.966</w:t>
            </w:r>
          </w:p>
        </w:tc>
        <w:tc>
          <w:tcPr>
            <w:tcW w:w="1134" w:type="dxa"/>
            <w:tcBorders>
              <w:top w:val="nil"/>
              <w:left w:val="nil"/>
              <w:bottom w:val="nil"/>
              <w:right w:val="nil"/>
            </w:tcBorders>
            <w:shd w:val="clear" w:color="auto" w:fill="auto"/>
            <w:noWrap/>
            <w:vAlign w:val="bottom"/>
            <w:hideMark/>
          </w:tcPr>
          <w:p w14:paraId="4ADB70BC"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0.966</w:t>
            </w:r>
          </w:p>
        </w:tc>
        <w:tc>
          <w:tcPr>
            <w:tcW w:w="1134" w:type="dxa"/>
            <w:tcBorders>
              <w:top w:val="nil"/>
              <w:left w:val="nil"/>
              <w:bottom w:val="nil"/>
              <w:right w:val="nil"/>
            </w:tcBorders>
            <w:shd w:val="clear" w:color="auto" w:fill="auto"/>
            <w:noWrap/>
            <w:vAlign w:val="bottom"/>
            <w:hideMark/>
          </w:tcPr>
          <w:p w14:paraId="5F80B50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67AD1053"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c>
          <w:tcPr>
            <w:tcW w:w="1134" w:type="dxa"/>
            <w:tcBorders>
              <w:top w:val="nil"/>
              <w:left w:val="nil"/>
              <w:bottom w:val="nil"/>
              <w:right w:val="nil"/>
            </w:tcBorders>
            <w:shd w:val="clear" w:color="auto" w:fill="auto"/>
            <w:noWrap/>
            <w:vAlign w:val="bottom"/>
            <w:hideMark/>
          </w:tcPr>
          <w:p w14:paraId="755830FE" w14:textId="77777777" w:rsidR="005E5FE5" w:rsidRPr="009B605C" w:rsidRDefault="005E5FE5" w:rsidP="0087752F">
            <w:pPr>
              <w:jc w:val="right"/>
              <w:rPr>
                <w:rFonts w:ascii="Cambria" w:hAnsi="Cambria"/>
                <w:color w:val="000000"/>
                <w:sz w:val="20"/>
                <w:szCs w:val="20"/>
              </w:rPr>
            </w:pPr>
            <w:r w:rsidRPr="009B605C">
              <w:rPr>
                <w:rFonts w:ascii="Cambria" w:hAnsi="Cambria"/>
                <w:color w:val="000000"/>
                <w:sz w:val="20"/>
                <w:szCs w:val="20"/>
              </w:rPr>
              <w:t>0.999</w:t>
            </w:r>
          </w:p>
        </w:tc>
      </w:tr>
      <w:tr w:rsidR="003B2B93" w:rsidRPr="009B605C" w14:paraId="45B19FF0" w14:textId="77777777" w:rsidTr="008E212E">
        <w:trPr>
          <w:trHeight w:val="286"/>
        </w:trPr>
        <w:tc>
          <w:tcPr>
            <w:tcW w:w="1844" w:type="dxa"/>
            <w:tcBorders>
              <w:top w:val="nil"/>
              <w:left w:val="nil"/>
              <w:bottom w:val="double" w:sz="4" w:space="0" w:color="auto"/>
              <w:right w:val="nil"/>
            </w:tcBorders>
            <w:shd w:val="clear" w:color="auto" w:fill="auto"/>
            <w:noWrap/>
            <w:vAlign w:val="bottom"/>
            <w:hideMark/>
          </w:tcPr>
          <w:p w14:paraId="1C2477D1" w14:textId="77777777" w:rsidR="005E5FE5" w:rsidRPr="009B605C" w:rsidRDefault="005E5FE5" w:rsidP="0087752F">
            <w:pPr>
              <w:jc w:val="right"/>
              <w:rPr>
                <w:rFonts w:ascii="Cambria" w:hAnsi="Cambria"/>
                <w:color w:val="000000"/>
                <w:sz w:val="20"/>
                <w:szCs w:val="20"/>
              </w:rPr>
            </w:pPr>
          </w:p>
        </w:tc>
        <w:tc>
          <w:tcPr>
            <w:tcW w:w="1134" w:type="dxa"/>
            <w:tcBorders>
              <w:top w:val="nil"/>
              <w:left w:val="nil"/>
              <w:bottom w:val="double" w:sz="4" w:space="0" w:color="auto"/>
              <w:right w:val="nil"/>
            </w:tcBorders>
            <w:shd w:val="clear" w:color="auto" w:fill="auto"/>
            <w:noWrap/>
            <w:vAlign w:val="bottom"/>
            <w:hideMark/>
          </w:tcPr>
          <w:p w14:paraId="3E153BAE" w14:textId="77777777" w:rsidR="005E5FE5" w:rsidRPr="009B605C" w:rsidRDefault="005E5FE5" w:rsidP="0087752F">
            <w:pPr>
              <w:rPr>
                <w:rFonts w:ascii="Cambria" w:hAnsi="Cambria"/>
                <w:sz w:val="20"/>
                <w:szCs w:val="20"/>
              </w:rPr>
            </w:pPr>
          </w:p>
        </w:tc>
        <w:tc>
          <w:tcPr>
            <w:tcW w:w="992" w:type="dxa"/>
            <w:tcBorders>
              <w:top w:val="nil"/>
              <w:left w:val="nil"/>
              <w:bottom w:val="double" w:sz="4" w:space="0" w:color="auto"/>
              <w:right w:val="nil"/>
            </w:tcBorders>
            <w:shd w:val="clear" w:color="auto" w:fill="auto"/>
            <w:noWrap/>
            <w:vAlign w:val="bottom"/>
            <w:hideMark/>
          </w:tcPr>
          <w:p w14:paraId="4F9F693D" w14:textId="70BD26FC"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0.042</w:t>
            </w:r>
            <w:r w:rsidRPr="009B605C">
              <w:rPr>
                <w:rFonts w:ascii="Cambria" w:hAnsi="Cambria"/>
                <w:color w:val="000000"/>
                <w:sz w:val="20"/>
                <w:szCs w:val="20"/>
              </w:rPr>
              <w:t>)</w:t>
            </w:r>
          </w:p>
        </w:tc>
        <w:tc>
          <w:tcPr>
            <w:tcW w:w="992" w:type="dxa"/>
            <w:tcBorders>
              <w:top w:val="nil"/>
              <w:left w:val="nil"/>
              <w:bottom w:val="double" w:sz="4" w:space="0" w:color="auto"/>
              <w:right w:val="nil"/>
            </w:tcBorders>
            <w:shd w:val="clear" w:color="auto" w:fill="auto"/>
            <w:noWrap/>
            <w:vAlign w:val="bottom"/>
            <w:hideMark/>
          </w:tcPr>
          <w:p w14:paraId="319519A2" w14:textId="1D625B35"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400538D7" w14:textId="11240B6B"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2362538B" w14:textId="10CC0570"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0.035</w:t>
            </w:r>
            <w:r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0E2BC142" w14:textId="74C7F36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3FA1B893" w14:textId="4634E5AE"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3A32B0B3" w14:textId="1D10B337" w:rsidR="005E5FE5" w:rsidRPr="009B605C" w:rsidRDefault="003B2B93" w:rsidP="0087752F">
            <w:pPr>
              <w:jc w:val="right"/>
              <w:rPr>
                <w:rFonts w:ascii="Cambria" w:hAnsi="Cambria"/>
                <w:color w:val="000000"/>
                <w:sz w:val="20"/>
                <w:szCs w:val="20"/>
              </w:rPr>
            </w:pPr>
            <w:r w:rsidRPr="009B605C">
              <w:rPr>
                <w:rFonts w:ascii="Cambria" w:hAnsi="Cambria"/>
                <w:color w:val="000000"/>
                <w:sz w:val="20"/>
                <w:szCs w:val="20"/>
              </w:rPr>
              <w:t>(</w:t>
            </w:r>
            <w:r w:rsidR="005E5FE5" w:rsidRPr="009B605C">
              <w:rPr>
                <w:rFonts w:ascii="Cambria" w:hAnsi="Cambria"/>
                <w:color w:val="000000"/>
                <w:sz w:val="20"/>
                <w:szCs w:val="20"/>
              </w:rPr>
              <w:t>0.001</w:t>
            </w:r>
            <w:r w:rsidRPr="009B605C">
              <w:rPr>
                <w:rFonts w:ascii="Cambria" w:hAnsi="Cambria"/>
                <w:color w:val="000000"/>
                <w:sz w:val="20"/>
                <w:szCs w:val="20"/>
              </w:rPr>
              <w:t>)</w:t>
            </w:r>
          </w:p>
        </w:tc>
      </w:tr>
    </w:tbl>
    <w:p w14:paraId="176A323E" w14:textId="525BA946" w:rsidR="005F7C83" w:rsidRPr="009B605C" w:rsidRDefault="005F7C83" w:rsidP="0087752F">
      <w:pPr>
        <w:ind w:left="-851"/>
        <w:rPr>
          <w:rFonts w:ascii="Cambria" w:hAnsi="Cambria"/>
          <w:b/>
          <w:bCs/>
          <w:sz w:val="20"/>
          <w:szCs w:val="20"/>
        </w:rPr>
      </w:pPr>
      <w:r w:rsidRPr="009B605C">
        <w:rPr>
          <w:rFonts w:ascii="Cambria" w:hAnsi="Cambria"/>
          <w:b/>
          <w:bCs/>
          <w:sz w:val="20"/>
          <w:szCs w:val="20"/>
        </w:rPr>
        <w:t xml:space="preserve">Note: </w:t>
      </w:r>
      <w:r w:rsidR="00F0773A" w:rsidRPr="009B605C">
        <w:rPr>
          <w:rFonts w:ascii="Cambria" w:hAnsi="Cambria"/>
          <w:sz w:val="20"/>
          <w:szCs w:val="20"/>
        </w:rPr>
        <w:t>S</w:t>
      </w:r>
      <w:r w:rsidRPr="009B605C">
        <w:rPr>
          <w:rFonts w:ascii="Cambria" w:hAnsi="Cambria"/>
          <w:sz w:val="20"/>
          <w:szCs w:val="20"/>
        </w:rPr>
        <w:t>tandard deviations are provided in brackets</w:t>
      </w:r>
      <w:r w:rsidRPr="009B605C">
        <w:rPr>
          <w:rFonts w:ascii="Cambria" w:hAnsi="Cambria"/>
          <w:b/>
          <w:bCs/>
          <w:sz w:val="20"/>
          <w:szCs w:val="20"/>
        </w:rPr>
        <w:t>.</w:t>
      </w:r>
    </w:p>
    <w:p w14:paraId="4F1A41E0" w14:textId="77777777" w:rsidR="005F7C83" w:rsidRPr="009B605C" w:rsidRDefault="005F7C83" w:rsidP="0087752F">
      <w:pPr>
        <w:rPr>
          <w:rFonts w:ascii="Cambria" w:hAnsi="Cambria"/>
          <w:b/>
          <w:bCs/>
        </w:rPr>
      </w:pPr>
    </w:p>
    <w:p w14:paraId="5CB5A8E8" w14:textId="77777777" w:rsidR="005F7C83" w:rsidRPr="009B605C" w:rsidRDefault="005F7C83" w:rsidP="0087752F">
      <w:pPr>
        <w:rPr>
          <w:rFonts w:ascii="Cambria" w:hAnsi="Cambria"/>
          <w:b/>
          <w:bCs/>
        </w:rPr>
      </w:pPr>
    </w:p>
    <w:p w14:paraId="534834D0" w14:textId="1A2A592F" w:rsidR="009526DE" w:rsidRPr="009B605C" w:rsidRDefault="009526DE" w:rsidP="0087752F">
      <w:pPr>
        <w:ind w:left="-851"/>
        <w:rPr>
          <w:rFonts w:ascii="Cambria" w:hAnsi="Cambria"/>
        </w:rPr>
      </w:pPr>
      <w:r w:rsidRPr="009B605C">
        <w:rPr>
          <w:rFonts w:ascii="Cambria" w:hAnsi="Cambria"/>
          <w:b/>
          <w:bCs/>
        </w:rPr>
        <w:lastRenderedPageBreak/>
        <w:t xml:space="preserve">Table </w:t>
      </w:r>
      <w:r w:rsidR="009B4FAA" w:rsidRPr="009B605C">
        <w:rPr>
          <w:rFonts w:ascii="Cambria" w:hAnsi="Cambria"/>
          <w:b/>
          <w:bCs/>
        </w:rPr>
        <w:t>10</w:t>
      </w:r>
      <w:r w:rsidRPr="009B605C">
        <w:rPr>
          <w:rFonts w:ascii="Cambria" w:hAnsi="Cambria"/>
          <w:b/>
          <w:bCs/>
        </w:rPr>
        <w:t>.</w:t>
      </w:r>
      <w:r w:rsidRPr="009B605C">
        <w:rPr>
          <w:rFonts w:ascii="Cambria" w:hAnsi="Cambria"/>
        </w:rPr>
        <w:t xml:space="preserve"> </w:t>
      </w:r>
      <w:r w:rsidRPr="009B605C">
        <w:rPr>
          <w:rFonts w:ascii="Cambria" w:hAnsi="Cambria"/>
          <w:color w:val="000000"/>
        </w:rPr>
        <w:t xml:space="preserve">Optimal </w:t>
      </w:r>
      <w:r w:rsidR="005836A1" w:rsidRPr="009B605C">
        <w:rPr>
          <w:rFonts w:ascii="Cambria" w:hAnsi="Cambria"/>
          <w:color w:val="000000"/>
        </w:rPr>
        <w:t>hedge ratios</w:t>
      </w:r>
    </w:p>
    <w:tbl>
      <w:tblPr>
        <w:tblW w:w="10774" w:type="dxa"/>
        <w:tblInd w:w="-851" w:type="dxa"/>
        <w:tblLayout w:type="fixed"/>
        <w:tblLook w:val="04A0" w:firstRow="1" w:lastRow="0" w:firstColumn="1" w:lastColumn="0" w:noHBand="0" w:noVBand="1"/>
      </w:tblPr>
      <w:tblGrid>
        <w:gridCol w:w="1985"/>
        <w:gridCol w:w="1136"/>
        <w:gridCol w:w="991"/>
        <w:gridCol w:w="992"/>
        <w:gridCol w:w="1134"/>
        <w:gridCol w:w="1134"/>
        <w:gridCol w:w="1134"/>
        <w:gridCol w:w="1134"/>
        <w:gridCol w:w="1134"/>
      </w:tblGrid>
      <w:tr w:rsidR="009526DE" w:rsidRPr="009B605C" w14:paraId="3D20CD37" w14:textId="77777777" w:rsidTr="005E4ADA">
        <w:trPr>
          <w:trHeight w:val="286"/>
        </w:trPr>
        <w:tc>
          <w:tcPr>
            <w:tcW w:w="1985" w:type="dxa"/>
            <w:tcBorders>
              <w:top w:val="double" w:sz="4" w:space="0" w:color="auto"/>
              <w:left w:val="nil"/>
              <w:bottom w:val="single" w:sz="4" w:space="0" w:color="auto"/>
              <w:right w:val="nil"/>
            </w:tcBorders>
            <w:shd w:val="clear" w:color="auto" w:fill="auto"/>
            <w:noWrap/>
            <w:vAlign w:val="bottom"/>
            <w:hideMark/>
          </w:tcPr>
          <w:p w14:paraId="141F0414" w14:textId="77777777" w:rsidR="009526DE" w:rsidRPr="009B605C" w:rsidRDefault="009526DE" w:rsidP="0087752F">
            <w:pPr>
              <w:rPr>
                <w:rFonts w:ascii="Cambria" w:hAnsi="Cambria"/>
                <w:sz w:val="20"/>
                <w:szCs w:val="20"/>
              </w:rPr>
            </w:pPr>
          </w:p>
        </w:tc>
        <w:tc>
          <w:tcPr>
            <w:tcW w:w="1136" w:type="dxa"/>
            <w:tcBorders>
              <w:top w:val="double" w:sz="4" w:space="0" w:color="auto"/>
              <w:left w:val="nil"/>
              <w:bottom w:val="single" w:sz="4" w:space="0" w:color="auto"/>
              <w:right w:val="nil"/>
            </w:tcBorders>
            <w:shd w:val="clear" w:color="auto" w:fill="auto"/>
            <w:noWrap/>
            <w:vAlign w:val="bottom"/>
            <w:hideMark/>
          </w:tcPr>
          <w:p w14:paraId="04EC380E" w14:textId="77777777" w:rsidR="009526DE" w:rsidRPr="009B605C" w:rsidRDefault="009526DE" w:rsidP="0087752F">
            <w:pPr>
              <w:rPr>
                <w:rFonts w:ascii="Cambria" w:hAnsi="Cambria"/>
                <w:sz w:val="20"/>
                <w:szCs w:val="20"/>
              </w:rPr>
            </w:pPr>
          </w:p>
        </w:tc>
        <w:tc>
          <w:tcPr>
            <w:tcW w:w="991" w:type="dxa"/>
            <w:tcBorders>
              <w:top w:val="double" w:sz="4" w:space="0" w:color="auto"/>
              <w:left w:val="nil"/>
              <w:bottom w:val="single" w:sz="4" w:space="0" w:color="auto"/>
              <w:right w:val="nil"/>
            </w:tcBorders>
            <w:shd w:val="clear" w:color="auto" w:fill="auto"/>
            <w:noWrap/>
            <w:vAlign w:val="bottom"/>
            <w:hideMark/>
          </w:tcPr>
          <w:p w14:paraId="752F1AD1" w14:textId="77777777" w:rsidR="009526DE" w:rsidRPr="009B605C" w:rsidRDefault="009526DE" w:rsidP="0087752F">
            <w:pPr>
              <w:rPr>
                <w:rFonts w:ascii="Cambria" w:hAnsi="Cambria"/>
                <w:b/>
                <w:bCs/>
                <w:color w:val="000000"/>
                <w:sz w:val="20"/>
                <w:szCs w:val="20"/>
              </w:rPr>
            </w:pPr>
            <w:r w:rsidRPr="009B605C">
              <w:rPr>
                <w:rFonts w:ascii="Cambria" w:hAnsi="Cambria"/>
                <w:b/>
                <w:bCs/>
                <w:color w:val="000000"/>
                <w:sz w:val="20"/>
                <w:szCs w:val="20"/>
              </w:rPr>
              <w:t>Bitcoin</w:t>
            </w:r>
          </w:p>
        </w:tc>
        <w:tc>
          <w:tcPr>
            <w:tcW w:w="992" w:type="dxa"/>
            <w:tcBorders>
              <w:top w:val="double" w:sz="4" w:space="0" w:color="auto"/>
              <w:left w:val="nil"/>
              <w:bottom w:val="single" w:sz="4" w:space="0" w:color="auto"/>
              <w:right w:val="nil"/>
            </w:tcBorders>
            <w:shd w:val="clear" w:color="auto" w:fill="auto"/>
            <w:noWrap/>
            <w:vAlign w:val="bottom"/>
            <w:hideMark/>
          </w:tcPr>
          <w:p w14:paraId="2B24CACC"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10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3D84CC27"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100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2A98B80E"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T</m:t>
                    </m:r>
                  </m:sub>
                  <m:sup>
                    <m:r>
                      <m:rPr>
                        <m:sty m:val="bi"/>
                      </m:rPr>
                      <w:rPr>
                        <w:rFonts w:ascii="Cambria Math" w:hAnsi="Cambria Math"/>
                        <w:color w:val="000000"/>
                        <w:sz w:val="20"/>
                        <w:szCs w:val="20"/>
                      </w:rPr>
                      <m:t>500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3FD9BA4B"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500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1ECC947B"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100</m:t>
                    </m:r>
                  </m:sup>
                </m:sSubSup>
              </m:oMath>
            </m:oMathPara>
          </w:p>
        </w:tc>
        <w:tc>
          <w:tcPr>
            <w:tcW w:w="1134" w:type="dxa"/>
            <w:tcBorders>
              <w:top w:val="double" w:sz="4" w:space="0" w:color="auto"/>
              <w:left w:val="nil"/>
              <w:bottom w:val="single" w:sz="4" w:space="0" w:color="auto"/>
              <w:right w:val="nil"/>
            </w:tcBorders>
            <w:shd w:val="clear" w:color="auto" w:fill="auto"/>
            <w:noWrap/>
            <w:vAlign w:val="bottom"/>
            <w:hideMark/>
          </w:tcPr>
          <w:p w14:paraId="2969063B" w14:textId="77777777" w:rsidR="009526DE" w:rsidRPr="009B605C" w:rsidRDefault="009526DE" w:rsidP="0087752F">
            <w:pPr>
              <w:rPr>
                <w:rFonts w:ascii="Cambria" w:hAnsi="Cambria"/>
                <w:b/>
                <w:bCs/>
                <w:color w:val="000000"/>
                <w:sz w:val="20"/>
                <w:szCs w:val="20"/>
              </w:rPr>
            </w:pPr>
            <m:oMathPara>
              <m:oMath>
                <m:r>
                  <m:rPr>
                    <m:sty m:val="bi"/>
                  </m:rPr>
                  <w:rPr>
                    <w:rFonts w:ascii="Cambria Math" w:hAnsi="Cambria Math"/>
                    <w:color w:val="000000"/>
                    <w:sz w:val="20"/>
                    <w:szCs w:val="20"/>
                  </w:rPr>
                  <m:t>Crypt</m:t>
                </m:r>
                <m:sSubSup>
                  <m:sSubSupPr>
                    <m:ctrlPr>
                      <w:rPr>
                        <w:rFonts w:ascii="Cambria Math" w:hAnsi="Cambria Math"/>
                        <w:b/>
                        <w:bCs/>
                        <w:i/>
                        <w:color w:val="000000"/>
                        <w:sz w:val="20"/>
                        <w:szCs w:val="20"/>
                      </w:rPr>
                    </m:ctrlPr>
                  </m:sSubSupPr>
                  <m:e>
                    <m:r>
                      <m:rPr>
                        <m:sty m:val="bi"/>
                      </m:rPr>
                      <w:rPr>
                        <w:rFonts w:ascii="Cambria Math" w:hAnsi="Cambria Math"/>
                        <w:color w:val="000000"/>
                        <w:sz w:val="20"/>
                        <w:szCs w:val="20"/>
                      </w:rPr>
                      <m:t>o</m:t>
                    </m:r>
                  </m:e>
                  <m:sub>
                    <m:r>
                      <m:rPr>
                        <m:sty m:val="bi"/>
                      </m:rPr>
                      <w:rPr>
                        <w:rFonts w:ascii="Cambria Math" w:hAnsi="Cambria Math"/>
                        <w:color w:val="000000"/>
                        <w:sz w:val="20"/>
                        <w:szCs w:val="20"/>
                      </w:rPr>
                      <m:t>B</m:t>
                    </m:r>
                  </m:sub>
                  <m:sup>
                    <m:r>
                      <m:rPr>
                        <m:sty m:val="bi"/>
                      </m:rPr>
                      <w:rPr>
                        <w:rFonts w:ascii="Cambria Math" w:hAnsi="Cambria Math"/>
                        <w:color w:val="000000"/>
                        <w:sz w:val="20"/>
                        <w:szCs w:val="20"/>
                      </w:rPr>
                      <m:t>10</m:t>
                    </m:r>
                  </m:sup>
                </m:sSubSup>
              </m:oMath>
            </m:oMathPara>
          </w:p>
        </w:tc>
      </w:tr>
      <w:tr w:rsidR="009526DE" w:rsidRPr="009B605C" w14:paraId="6C536B47" w14:textId="77777777" w:rsidTr="005E4ADA">
        <w:trPr>
          <w:trHeight w:val="286"/>
        </w:trPr>
        <w:tc>
          <w:tcPr>
            <w:tcW w:w="3121" w:type="dxa"/>
            <w:gridSpan w:val="2"/>
            <w:tcBorders>
              <w:top w:val="single" w:sz="4" w:space="0" w:color="auto"/>
              <w:left w:val="nil"/>
              <w:bottom w:val="nil"/>
              <w:right w:val="nil"/>
            </w:tcBorders>
            <w:shd w:val="clear" w:color="auto" w:fill="auto"/>
            <w:noWrap/>
            <w:vAlign w:val="bottom"/>
            <w:hideMark/>
          </w:tcPr>
          <w:p w14:paraId="2E6D9145" w14:textId="77777777" w:rsidR="009526DE" w:rsidRPr="009B605C" w:rsidRDefault="009526DE" w:rsidP="0087752F">
            <w:pPr>
              <w:rPr>
                <w:rFonts w:ascii="Cambria" w:hAnsi="Cambria"/>
                <w:b/>
                <w:bCs/>
                <w:color w:val="000000"/>
                <w:sz w:val="20"/>
                <w:szCs w:val="20"/>
              </w:rPr>
            </w:pPr>
            <w:r w:rsidRPr="009B605C">
              <w:rPr>
                <w:rFonts w:ascii="Cambria" w:hAnsi="Cambria"/>
                <w:b/>
                <w:bCs/>
                <w:color w:val="000000"/>
                <w:sz w:val="20"/>
                <w:szCs w:val="20"/>
              </w:rPr>
              <w:t xml:space="preserve">Panel A: </w:t>
            </w:r>
            <w:r w:rsidRPr="009B605C">
              <w:rPr>
                <w:rFonts w:ascii="Cambria" w:hAnsi="Cambria"/>
                <w:color w:val="000000"/>
                <w:sz w:val="20"/>
                <w:szCs w:val="20"/>
              </w:rPr>
              <w:t>Pre-conflict announcement</w:t>
            </w:r>
          </w:p>
        </w:tc>
        <w:tc>
          <w:tcPr>
            <w:tcW w:w="991" w:type="dxa"/>
            <w:tcBorders>
              <w:top w:val="single" w:sz="4" w:space="0" w:color="auto"/>
              <w:left w:val="nil"/>
              <w:bottom w:val="nil"/>
              <w:right w:val="nil"/>
            </w:tcBorders>
            <w:shd w:val="clear" w:color="auto" w:fill="auto"/>
            <w:noWrap/>
            <w:vAlign w:val="bottom"/>
            <w:hideMark/>
          </w:tcPr>
          <w:p w14:paraId="3C6AD92F" w14:textId="77777777" w:rsidR="009526DE" w:rsidRPr="009B605C" w:rsidRDefault="009526DE" w:rsidP="0087752F">
            <w:pPr>
              <w:rPr>
                <w:rFonts w:ascii="Cambria" w:hAnsi="Cambria"/>
                <w:sz w:val="20"/>
                <w:szCs w:val="20"/>
              </w:rPr>
            </w:pPr>
          </w:p>
        </w:tc>
        <w:tc>
          <w:tcPr>
            <w:tcW w:w="992" w:type="dxa"/>
            <w:tcBorders>
              <w:top w:val="single" w:sz="4" w:space="0" w:color="auto"/>
              <w:left w:val="nil"/>
              <w:bottom w:val="nil"/>
              <w:right w:val="nil"/>
            </w:tcBorders>
            <w:shd w:val="clear" w:color="auto" w:fill="auto"/>
            <w:noWrap/>
            <w:vAlign w:val="bottom"/>
            <w:hideMark/>
          </w:tcPr>
          <w:p w14:paraId="6A1AC719" w14:textId="77777777" w:rsidR="009526DE" w:rsidRPr="009B605C" w:rsidRDefault="009526DE"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205500EC" w14:textId="77777777" w:rsidR="009526DE" w:rsidRPr="009B605C" w:rsidRDefault="009526DE"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7811145B" w14:textId="77777777" w:rsidR="009526DE" w:rsidRPr="009B605C" w:rsidRDefault="009526DE"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4246D0DC" w14:textId="77777777" w:rsidR="009526DE" w:rsidRPr="009B605C" w:rsidRDefault="009526DE"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31C74DAE" w14:textId="77777777" w:rsidR="009526DE" w:rsidRPr="009B605C" w:rsidRDefault="009526DE" w:rsidP="0087752F">
            <w:pPr>
              <w:rPr>
                <w:rFonts w:ascii="Cambria" w:hAnsi="Cambria"/>
                <w:sz w:val="20"/>
                <w:szCs w:val="20"/>
              </w:rPr>
            </w:pPr>
          </w:p>
        </w:tc>
        <w:tc>
          <w:tcPr>
            <w:tcW w:w="1134" w:type="dxa"/>
            <w:tcBorders>
              <w:top w:val="single" w:sz="4" w:space="0" w:color="auto"/>
              <w:left w:val="nil"/>
              <w:bottom w:val="nil"/>
              <w:right w:val="nil"/>
            </w:tcBorders>
            <w:shd w:val="clear" w:color="auto" w:fill="auto"/>
            <w:noWrap/>
            <w:vAlign w:val="bottom"/>
            <w:hideMark/>
          </w:tcPr>
          <w:p w14:paraId="45FBEA2C" w14:textId="77777777" w:rsidR="009526DE" w:rsidRPr="009B605C" w:rsidRDefault="009526DE" w:rsidP="0087752F">
            <w:pPr>
              <w:rPr>
                <w:rFonts w:ascii="Cambria" w:hAnsi="Cambria"/>
                <w:sz w:val="20"/>
                <w:szCs w:val="20"/>
              </w:rPr>
            </w:pPr>
          </w:p>
        </w:tc>
      </w:tr>
      <w:tr w:rsidR="009526DE" w:rsidRPr="009B605C" w14:paraId="0EF5AD16" w14:textId="77777777" w:rsidTr="005E4ADA">
        <w:trPr>
          <w:trHeight w:val="286"/>
        </w:trPr>
        <w:tc>
          <w:tcPr>
            <w:tcW w:w="1985" w:type="dxa"/>
            <w:tcBorders>
              <w:top w:val="nil"/>
              <w:left w:val="nil"/>
              <w:bottom w:val="nil"/>
              <w:right w:val="nil"/>
            </w:tcBorders>
            <w:shd w:val="clear" w:color="auto" w:fill="auto"/>
            <w:noWrap/>
            <w:vAlign w:val="bottom"/>
            <w:hideMark/>
          </w:tcPr>
          <w:p w14:paraId="57478611"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Brazil</w:t>
            </w:r>
          </w:p>
        </w:tc>
        <w:tc>
          <w:tcPr>
            <w:tcW w:w="1136" w:type="dxa"/>
            <w:tcBorders>
              <w:top w:val="nil"/>
              <w:left w:val="nil"/>
              <w:bottom w:val="nil"/>
              <w:right w:val="nil"/>
            </w:tcBorders>
            <w:shd w:val="clear" w:color="auto" w:fill="auto"/>
            <w:noWrap/>
            <w:vAlign w:val="bottom"/>
            <w:hideMark/>
          </w:tcPr>
          <w:p w14:paraId="6DEF1D01"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09389F9C" w14:textId="57F9FF7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w:t>
            </w:r>
          </w:p>
        </w:tc>
        <w:tc>
          <w:tcPr>
            <w:tcW w:w="992" w:type="dxa"/>
            <w:tcBorders>
              <w:top w:val="nil"/>
              <w:left w:val="nil"/>
              <w:bottom w:val="nil"/>
              <w:right w:val="nil"/>
            </w:tcBorders>
            <w:shd w:val="clear" w:color="auto" w:fill="auto"/>
            <w:noWrap/>
            <w:vAlign w:val="bottom"/>
            <w:hideMark/>
          </w:tcPr>
          <w:p w14:paraId="5C4FDB0B" w14:textId="46F4D33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w:t>
            </w:r>
          </w:p>
        </w:tc>
        <w:tc>
          <w:tcPr>
            <w:tcW w:w="1134" w:type="dxa"/>
            <w:tcBorders>
              <w:top w:val="nil"/>
              <w:left w:val="nil"/>
              <w:bottom w:val="nil"/>
              <w:right w:val="nil"/>
            </w:tcBorders>
            <w:shd w:val="clear" w:color="auto" w:fill="auto"/>
            <w:noWrap/>
            <w:vAlign w:val="bottom"/>
            <w:hideMark/>
          </w:tcPr>
          <w:p w14:paraId="7E9317C0" w14:textId="0266840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w:t>
            </w:r>
          </w:p>
        </w:tc>
        <w:tc>
          <w:tcPr>
            <w:tcW w:w="1134" w:type="dxa"/>
            <w:tcBorders>
              <w:top w:val="nil"/>
              <w:left w:val="nil"/>
              <w:bottom w:val="nil"/>
              <w:right w:val="nil"/>
            </w:tcBorders>
            <w:shd w:val="clear" w:color="auto" w:fill="auto"/>
            <w:noWrap/>
            <w:vAlign w:val="bottom"/>
            <w:hideMark/>
          </w:tcPr>
          <w:p w14:paraId="6C030A06" w14:textId="1199011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w:t>
            </w:r>
          </w:p>
        </w:tc>
        <w:tc>
          <w:tcPr>
            <w:tcW w:w="1134" w:type="dxa"/>
            <w:tcBorders>
              <w:top w:val="nil"/>
              <w:left w:val="nil"/>
              <w:bottom w:val="nil"/>
              <w:right w:val="nil"/>
            </w:tcBorders>
            <w:shd w:val="clear" w:color="auto" w:fill="auto"/>
            <w:noWrap/>
            <w:vAlign w:val="bottom"/>
            <w:hideMark/>
          </w:tcPr>
          <w:p w14:paraId="4BA469F6" w14:textId="6C1F167B"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0.087</w:t>
            </w:r>
          </w:p>
        </w:tc>
        <w:tc>
          <w:tcPr>
            <w:tcW w:w="1134" w:type="dxa"/>
            <w:tcBorders>
              <w:top w:val="nil"/>
              <w:left w:val="nil"/>
              <w:bottom w:val="nil"/>
              <w:right w:val="nil"/>
            </w:tcBorders>
            <w:shd w:val="clear" w:color="auto" w:fill="auto"/>
            <w:noWrap/>
            <w:vAlign w:val="bottom"/>
            <w:hideMark/>
          </w:tcPr>
          <w:p w14:paraId="7D81DDDA" w14:textId="61CAAFD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0.083</w:t>
            </w:r>
          </w:p>
        </w:tc>
        <w:tc>
          <w:tcPr>
            <w:tcW w:w="1134" w:type="dxa"/>
            <w:tcBorders>
              <w:top w:val="nil"/>
              <w:left w:val="nil"/>
              <w:bottom w:val="nil"/>
              <w:right w:val="nil"/>
            </w:tcBorders>
            <w:shd w:val="clear" w:color="auto" w:fill="auto"/>
            <w:noWrap/>
            <w:vAlign w:val="bottom"/>
            <w:hideMark/>
          </w:tcPr>
          <w:p w14:paraId="7A28EC14" w14:textId="04481EB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0.08</w:t>
            </w:r>
          </w:p>
        </w:tc>
      </w:tr>
      <w:tr w:rsidR="009526DE" w:rsidRPr="009B605C" w14:paraId="6623ED25" w14:textId="77777777" w:rsidTr="005E4ADA">
        <w:trPr>
          <w:trHeight w:val="286"/>
        </w:trPr>
        <w:tc>
          <w:tcPr>
            <w:tcW w:w="1985" w:type="dxa"/>
            <w:tcBorders>
              <w:top w:val="nil"/>
              <w:left w:val="nil"/>
              <w:bottom w:val="nil"/>
              <w:right w:val="nil"/>
            </w:tcBorders>
            <w:shd w:val="clear" w:color="auto" w:fill="auto"/>
            <w:noWrap/>
            <w:vAlign w:val="bottom"/>
            <w:hideMark/>
          </w:tcPr>
          <w:p w14:paraId="01FDD52D"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1E7CAF6" w14:textId="77777777" w:rsidR="009526DE" w:rsidRPr="009B605C" w:rsidRDefault="009526DE" w:rsidP="0087752F">
            <w:pPr>
              <w:rPr>
                <w:rFonts w:ascii="Cambria" w:hAnsi="Cambria"/>
                <w:color w:val="000000"/>
                <w:sz w:val="20"/>
                <w:szCs w:val="20"/>
              </w:rPr>
            </w:pPr>
          </w:p>
        </w:tc>
        <w:tc>
          <w:tcPr>
            <w:tcW w:w="991" w:type="dxa"/>
            <w:tcBorders>
              <w:top w:val="nil"/>
              <w:left w:val="nil"/>
              <w:bottom w:val="nil"/>
              <w:right w:val="nil"/>
            </w:tcBorders>
            <w:shd w:val="clear" w:color="auto" w:fill="auto"/>
            <w:noWrap/>
            <w:vAlign w:val="bottom"/>
            <w:hideMark/>
          </w:tcPr>
          <w:p w14:paraId="3461E7E8" w14:textId="5793243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(0.184)</w:t>
            </w:r>
          </w:p>
        </w:tc>
        <w:tc>
          <w:tcPr>
            <w:tcW w:w="992" w:type="dxa"/>
            <w:tcBorders>
              <w:top w:val="nil"/>
              <w:left w:val="nil"/>
              <w:bottom w:val="nil"/>
              <w:right w:val="nil"/>
            </w:tcBorders>
            <w:shd w:val="clear" w:color="auto" w:fill="auto"/>
            <w:noWrap/>
            <w:vAlign w:val="bottom"/>
            <w:hideMark/>
          </w:tcPr>
          <w:p w14:paraId="2B0A8406" w14:textId="65944B8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0.184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D7796B9" w14:textId="0ADAA1CD"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0.184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FDE080D" w14:textId="4380793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0.184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3E7DA8E" w14:textId="3318C8F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0B82890" w14:textId="022557D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0.189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3F9183E" w14:textId="26406FB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0.184</w:t>
            </w:r>
            <w:r w:rsidR="005B4778" w:rsidRPr="009B605C">
              <w:rPr>
                <w:rFonts w:ascii="Cambria" w:hAnsi="Cambria"/>
                <w:color w:val="000000"/>
                <w:sz w:val="20"/>
                <w:szCs w:val="20"/>
              </w:rPr>
              <w:t>)</w:t>
            </w:r>
          </w:p>
        </w:tc>
      </w:tr>
      <w:tr w:rsidR="009526DE" w:rsidRPr="009B605C" w14:paraId="6C4BB7E9" w14:textId="77777777" w:rsidTr="005E4ADA">
        <w:trPr>
          <w:trHeight w:val="286"/>
        </w:trPr>
        <w:tc>
          <w:tcPr>
            <w:tcW w:w="1985" w:type="dxa"/>
            <w:tcBorders>
              <w:top w:val="nil"/>
              <w:left w:val="nil"/>
              <w:bottom w:val="nil"/>
              <w:right w:val="nil"/>
            </w:tcBorders>
            <w:shd w:val="clear" w:color="auto" w:fill="auto"/>
            <w:noWrap/>
            <w:vAlign w:val="bottom"/>
            <w:hideMark/>
          </w:tcPr>
          <w:p w14:paraId="0B4D907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39ACE267"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38765ED6" w14:textId="4C11A6E7"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0.04</w:t>
            </w:r>
          </w:p>
        </w:tc>
        <w:tc>
          <w:tcPr>
            <w:tcW w:w="992" w:type="dxa"/>
            <w:tcBorders>
              <w:top w:val="nil"/>
              <w:left w:val="nil"/>
              <w:bottom w:val="nil"/>
              <w:right w:val="nil"/>
            </w:tcBorders>
            <w:shd w:val="clear" w:color="auto" w:fill="auto"/>
            <w:noWrap/>
            <w:vAlign w:val="bottom"/>
            <w:hideMark/>
          </w:tcPr>
          <w:p w14:paraId="30211448" w14:textId="2092CB2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0.036</w:t>
            </w:r>
          </w:p>
        </w:tc>
        <w:tc>
          <w:tcPr>
            <w:tcW w:w="1134" w:type="dxa"/>
            <w:tcBorders>
              <w:top w:val="nil"/>
              <w:left w:val="nil"/>
              <w:bottom w:val="nil"/>
              <w:right w:val="nil"/>
            </w:tcBorders>
            <w:shd w:val="clear" w:color="auto" w:fill="auto"/>
            <w:noWrap/>
            <w:vAlign w:val="bottom"/>
            <w:hideMark/>
          </w:tcPr>
          <w:p w14:paraId="0013CE26" w14:textId="041565EC"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0.035</w:t>
            </w:r>
          </w:p>
        </w:tc>
        <w:tc>
          <w:tcPr>
            <w:tcW w:w="1134" w:type="dxa"/>
            <w:tcBorders>
              <w:top w:val="nil"/>
              <w:left w:val="nil"/>
              <w:bottom w:val="nil"/>
              <w:right w:val="nil"/>
            </w:tcBorders>
            <w:shd w:val="clear" w:color="auto" w:fill="auto"/>
            <w:noWrap/>
            <w:vAlign w:val="bottom"/>
            <w:hideMark/>
          </w:tcPr>
          <w:p w14:paraId="12D83FEE" w14:textId="7ACD138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0.034</w:t>
            </w:r>
          </w:p>
        </w:tc>
        <w:tc>
          <w:tcPr>
            <w:tcW w:w="1134" w:type="dxa"/>
            <w:tcBorders>
              <w:top w:val="nil"/>
              <w:left w:val="nil"/>
              <w:bottom w:val="nil"/>
              <w:right w:val="nil"/>
            </w:tcBorders>
            <w:shd w:val="clear" w:color="auto" w:fill="auto"/>
            <w:noWrap/>
            <w:vAlign w:val="bottom"/>
            <w:hideMark/>
          </w:tcPr>
          <w:p w14:paraId="0D1942D1" w14:textId="468A6F7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0.004</w:t>
            </w:r>
          </w:p>
        </w:tc>
        <w:tc>
          <w:tcPr>
            <w:tcW w:w="1134" w:type="dxa"/>
            <w:tcBorders>
              <w:top w:val="nil"/>
              <w:left w:val="nil"/>
              <w:bottom w:val="nil"/>
              <w:right w:val="nil"/>
            </w:tcBorders>
            <w:shd w:val="clear" w:color="auto" w:fill="auto"/>
            <w:noWrap/>
            <w:vAlign w:val="bottom"/>
            <w:hideMark/>
          </w:tcPr>
          <w:p w14:paraId="1D24F349" w14:textId="6E5CB57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0.002</w:t>
            </w:r>
          </w:p>
        </w:tc>
        <w:tc>
          <w:tcPr>
            <w:tcW w:w="1134" w:type="dxa"/>
            <w:tcBorders>
              <w:top w:val="nil"/>
              <w:left w:val="nil"/>
              <w:bottom w:val="nil"/>
              <w:right w:val="nil"/>
            </w:tcBorders>
            <w:shd w:val="clear" w:color="auto" w:fill="auto"/>
            <w:noWrap/>
            <w:vAlign w:val="bottom"/>
            <w:hideMark/>
          </w:tcPr>
          <w:p w14:paraId="2D95F102" w14:textId="3D73124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0.04</w:t>
            </w:r>
          </w:p>
        </w:tc>
      </w:tr>
      <w:tr w:rsidR="009526DE" w:rsidRPr="009B605C" w14:paraId="3B6F78C2" w14:textId="77777777" w:rsidTr="005E4ADA">
        <w:trPr>
          <w:trHeight w:val="286"/>
        </w:trPr>
        <w:tc>
          <w:tcPr>
            <w:tcW w:w="1985" w:type="dxa"/>
            <w:tcBorders>
              <w:top w:val="nil"/>
              <w:left w:val="nil"/>
              <w:bottom w:val="nil"/>
              <w:right w:val="nil"/>
            </w:tcBorders>
            <w:shd w:val="clear" w:color="auto" w:fill="auto"/>
            <w:noWrap/>
            <w:vAlign w:val="bottom"/>
            <w:hideMark/>
          </w:tcPr>
          <w:p w14:paraId="2FDB4BD9"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AF99462"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23BE3132" w14:textId="2BECCD5B" w:rsidR="009526DE" w:rsidRPr="009B605C" w:rsidRDefault="009A1210"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0.066</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52720A7A" w14:textId="01E0832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C08D6D0" w14:textId="5307213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A25EA5C" w14:textId="00663DA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B9CD4EB" w14:textId="0C0AAED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AA0FAD5" w14:textId="04E11FE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CC3B7D0" w14:textId="575AEAB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0.066</w:t>
            </w:r>
            <w:r w:rsidR="005B4778" w:rsidRPr="009B605C">
              <w:rPr>
                <w:rFonts w:ascii="Cambria" w:hAnsi="Cambria"/>
                <w:color w:val="000000"/>
                <w:sz w:val="20"/>
                <w:szCs w:val="20"/>
              </w:rPr>
              <w:t>)</w:t>
            </w:r>
          </w:p>
        </w:tc>
      </w:tr>
      <w:tr w:rsidR="009526DE" w:rsidRPr="009B605C" w14:paraId="1C59865D" w14:textId="77777777" w:rsidTr="005E4ADA">
        <w:trPr>
          <w:trHeight w:val="286"/>
        </w:trPr>
        <w:tc>
          <w:tcPr>
            <w:tcW w:w="1985" w:type="dxa"/>
            <w:tcBorders>
              <w:top w:val="nil"/>
              <w:left w:val="nil"/>
              <w:bottom w:val="nil"/>
              <w:right w:val="nil"/>
            </w:tcBorders>
            <w:shd w:val="clear" w:color="auto" w:fill="auto"/>
            <w:noWrap/>
            <w:vAlign w:val="bottom"/>
            <w:hideMark/>
          </w:tcPr>
          <w:p w14:paraId="3E788E48"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Russia</w:t>
            </w:r>
          </w:p>
        </w:tc>
        <w:tc>
          <w:tcPr>
            <w:tcW w:w="1136" w:type="dxa"/>
            <w:tcBorders>
              <w:top w:val="nil"/>
              <w:left w:val="nil"/>
              <w:bottom w:val="nil"/>
              <w:right w:val="nil"/>
            </w:tcBorders>
            <w:shd w:val="clear" w:color="auto" w:fill="auto"/>
            <w:noWrap/>
            <w:vAlign w:val="bottom"/>
            <w:hideMark/>
          </w:tcPr>
          <w:p w14:paraId="31F737E6"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742840ED" w14:textId="2B7F3A6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0.005</w:t>
            </w:r>
          </w:p>
        </w:tc>
        <w:tc>
          <w:tcPr>
            <w:tcW w:w="992" w:type="dxa"/>
            <w:tcBorders>
              <w:top w:val="nil"/>
              <w:left w:val="nil"/>
              <w:bottom w:val="nil"/>
              <w:right w:val="nil"/>
            </w:tcBorders>
            <w:shd w:val="clear" w:color="auto" w:fill="auto"/>
            <w:noWrap/>
            <w:vAlign w:val="bottom"/>
            <w:hideMark/>
          </w:tcPr>
          <w:p w14:paraId="474FC426" w14:textId="5BD20B6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5A24CFFA" w14:textId="6EC24C1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514B926B" w14:textId="58F11D0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5B3D0296" w14:textId="21EFA88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0.005</w:t>
            </w:r>
          </w:p>
        </w:tc>
        <w:tc>
          <w:tcPr>
            <w:tcW w:w="1134" w:type="dxa"/>
            <w:tcBorders>
              <w:top w:val="nil"/>
              <w:left w:val="nil"/>
              <w:bottom w:val="nil"/>
              <w:right w:val="nil"/>
            </w:tcBorders>
            <w:shd w:val="clear" w:color="auto" w:fill="auto"/>
            <w:noWrap/>
            <w:vAlign w:val="bottom"/>
            <w:hideMark/>
          </w:tcPr>
          <w:p w14:paraId="4E992E06" w14:textId="4076B95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0.011</w:t>
            </w:r>
          </w:p>
        </w:tc>
        <w:tc>
          <w:tcPr>
            <w:tcW w:w="1134" w:type="dxa"/>
            <w:tcBorders>
              <w:top w:val="nil"/>
              <w:left w:val="nil"/>
              <w:bottom w:val="nil"/>
              <w:right w:val="nil"/>
            </w:tcBorders>
            <w:shd w:val="clear" w:color="auto" w:fill="auto"/>
            <w:noWrap/>
            <w:vAlign w:val="bottom"/>
            <w:hideMark/>
          </w:tcPr>
          <w:p w14:paraId="65878DD8" w14:textId="60C97BE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0.005</w:t>
            </w:r>
          </w:p>
        </w:tc>
      </w:tr>
      <w:tr w:rsidR="009526DE" w:rsidRPr="009B605C" w14:paraId="2B25740B" w14:textId="77777777" w:rsidTr="005E4ADA">
        <w:trPr>
          <w:trHeight w:val="286"/>
        </w:trPr>
        <w:tc>
          <w:tcPr>
            <w:tcW w:w="1985" w:type="dxa"/>
            <w:tcBorders>
              <w:top w:val="nil"/>
              <w:left w:val="nil"/>
              <w:bottom w:val="nil"/>
              <w:right w:val="nil"/>
            </w:tcBorders>
            <w:shd w:val="clear" w:color="auto" w:fill="auto"/>
            <w:noWrap/>
            <w:vAlign w:val="bottom"/>
            <w:hideMark/>
          </w:tcPr>
          <w:p w14:paraId="31847108"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0F1122E"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7B53331E" w14:textId="5B989093"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0.194</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41DCFFE2" w14:textId="33D7EE3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6514FDA" w14:textId="50C8628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871345E" w14:textId="2E91C4F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9F2A946" w14:textId="4363EA6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D54EC4C" w14:textId="07FFB14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DFA01D7" w14:textId="77C0DA6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0.194</w:t>
            </w:r>
            <w:r w:rsidR="005B4778" w:rsidRPr="009B605C">
              <w:rPr>
                <w:rFonts w:ascii="Cambria" w:hAnsi="Cambria"/>
                <w:color w:val="000000"/>
                <w:sz w:val="20"/>
                <w:szCs w:val="20"/>
              </w:rPr>
              <w:t>)</w:t>
            </w:r>
          </w:p>
        </w:tc>
      </w:tr>
      <w:tr w:rsidR="009526DE" w:rsidRPr="009B605C" w14:paraId="027CF2FE" w14:textId="77777777" w:rsidTr="005E4ADA">
        <w:trPr>
          <w:trHeight w:val="286"/>
        </w:trPr>
        <w:tc>
          <w:tcPr>
            <w:tcW w:w="1985" w:type="dxa"/>
            <w:tcBorders>
              <w:top w:val="nil"/>
              <w:left w:val="nil"/>
              <w:bottom w:val="nil"/>
              <w:right w:val="nil"/>
            </w:tcBorders>
            <w:shd w:val="clear" w:color="auto" w:fill="auto"/>
            <w:noWrap/>
            <w:vAlign w:val="bottom"/>
            <w:hideMark/>
          </w:tcPr>
          <w:p w14:paraId="56E182D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24665352"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04972E02" w14:textId="72FF894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0.028</w:t>
            </w:r>
          </w:p>
        </w:tc>
        <w:tc>
          <w:tcPr>
            <w:tcW w:w="992" w:type="dxa"/>
            <w:tcBorders>
              <w:top w:val="nil"/>
              <w:left w:val="nil"/>
              <w:bottom w:val="nil"/>
              <w:right w:val="nil"/>
            </w:tcBorders>
            <w:shd w:val="clear" w:color="auto" w:fill="auto"/>
            <w:noWrap/>
            <w:vAlign w:val="bottom"/>
            <w:hideMark/>
          </w:tcPr>
          <w:p w14:paraId="36CCC590" w14:textId="2922D8E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0.026</w:t>
            </w:r>
          </w:p>
        </w:tc>
        <w:tc>
          <w:tcPr>
            <w:tcW w:w="1134" w:type="dxa"/>
            <w:tcBorders>
              <w:top w:val="nil"/>
              <w:left w:val="nil"/>
              <w:bottom w:val="nil"/>
              <w:right w:val="nil"/>
            </w:tcBorders>
            <w:shd w:val="clear" w:color="auto" w:fill="auto"/>
            <w:noWrap/>
            <w:vAlign w:val="bottom"/>
            <w:hideMark/>
          </w:tcPr>
          <w:p w14:paraId="68C4000C" w14:textId="1D6565D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0.025</w:t>
            </w:r>
          </w:p>
        </w:tc>
        <w:tc>
          <w:tcPr>
            <w:tcW w:w="1134" w:type="dxa"/>
            <w:tcBorders>
              <w:top w:val="nil"/>
              <w:left w:val="nil"/>
              <w:bottom w:val="nil"/>
              <w:right w:val="nil"/>
            </w:tcBorders>
            <w:shd w:val="clear" w:color="auto" w:fill="auto"/>
            <w:noWrap/>
            <w:vAlign w:val="bottom"/>
            <w:hideMark/>
          </w:tcPr>
          <w:p w14:paraId="4242CB4A" w14:textId="63FEC1F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0.025</w:t>
            </w:r>
          </w:p>
        </w:tc>
        <w:tc>
          <w:tcPr>
            <w:tcW w:w="1134" w:type="dxa"/>
            <w:tcBorders>
              <w:top w:val="nil"/>
              <w:left w:val="nil"/>
              <w:bottom w:val="nil"/>
              <w:right w:val="nil"/>
            </w:tcBorders>
            <w:shd w:val="clear" w:color="auto" w:fill="auto"/>
            <w:noWrap/>
            <w:vAlign w:val="bottom"/>
            <w:hideMark/>
          </w:tcPr>
          <w:p w14:paraId="177DA430" w14:textId="2BF2606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0.005</w:t>
            </w:r>
          </w:p>
        </w:tc>
        <w:tc>
          <w:tcPr>
            <w:tcW w:w="1134" w:type="dxa"/>
            <w:tcBorders>
              <w:top w:val="nil"/>
              <w:left w:val="nil"/>
              <w:bottom w:val="nil"/>
              <w:right w:val="nil"/>
            </w:tcBorders>
            <w:shd w:val="clear" w:color="auto" w:fill="auto"/>
            <w:noWrap/>
            <w:vAlign w:val="bottom"/>
            <w:hideMark/>
          </w:tcPr>
          <w:p w14:paraId="4A1071CB" w14:textId="5BCAEE4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73EA66F6" w14:textId="23BFE1D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0.028</w:t>
            </w:r>
          </w:p>
        </w:tc>
      </w:tr>
      <w:tr w:rsidR="009526DE" w:rsidRPr="009B605C" w14:paraId="33CC9269" w14:textId="77777777" w:rsidTr="005E4ADA">
        <w:trPr>
          <w:trHeight w:val="286"/>
        </w:trPr>
        <w:tc>
          <w:tcPr>
            <w:tcW w:w="1985" w:type="dxa"/>
            <w:tcBorders>
              <w:top w:val="nil"/>
              <w:left w:val="nil"/>
              <w:bottom w:val="nil"/>
              <w:right w:val="nil"/>
            </w:tcBorders>
            <w:shd w:val="clear" w:color="auto" w:fill="auto"/>
            <w:noWrap/>
            <w:vAlign w:val="bottom"/>
            <w:hideMark/>
          </w:tcPr>
          <w:p w14:paraId="0E82A510"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502FF6D"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1F0DD450" w14:textId="57D401A0"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0.047</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096C120" w14:textId="25D5993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0.046</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27BCE13" w14:textId="444E00F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29DAD02" w14:textId="2A11E23D"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602F41A" w14:textId="1A04DF4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A5B6323" w14:textId="4EC0C73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EF6F974" w14:textId="7B4D144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0.047</w:t>
            </w:r>
            <w:r w:rsidR="005B4778" w:rsidRPr="009B605C">
              <w:rPr>
                <w:rFonts w:ascii="Cambria" w:hAnsi="Cambria"/>
                <w:color w:val="000000"/>
                <w:sz w:val="20"/>
                <w:szCs w:val="20"/>
              </w:rPr>
              <w:t>)</w:t>
            </w:r>
          </w:p>
        </w:tc>
      </w:tr>
      <w:tr w:rsidR="009526DE" w:rsidRPr="009B605C" w14:paraId="6FC84847" w14:textId="77777777" w:rsidTr="005E4ADA">
        <w:trPr>
          <w:trHeight w:val="286"/>
        </w:trPr>
        <w:tc>
          <w:tcPr>
            <w:tcW w:w="1985" w:type="dxa"/>
            <w:tcBorders>
              <w:top w:val="nil"/>
              <w:left w:val="nil"/>
              <w:bottom w:val="nil"/>
              <w:right w:val="nil"/>
            </w:tcBorders>
            <w:shd w:val="clear" w:color="auto" w:fill="auto"/>
            <w:noWrap/>
            <w:vAlign w:val="bottom"/>
            <w:hideMark/>
          </w:tcPr>
          <w:p w14:paraId="4A19939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India</w:t>
            </w:r>
          </w:p>
        </w:tc>
        <w:tc>
          <w:tcPr>
            <w:tcW w:w="1136" w:type="dxa"/>
            <w:tcBorders>
              <w:top w:val="nil"/>
              <w:left w:val="nil"/>
              <w:bottom w:val="nil"/>
              <w:right w:val="nil"/>
            </w:tcBorders>
            <w:shd w:val="clear" w:color="auto" w:fill="auto"/>
            <w:noWrap/>
            <w:vAlign w:val="bottom"/>
            <w:hideMark/>
          </w:tcPr>
          <w:p w14:paraId="52410D8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24B1F5C7" w14:textId="6CA717A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-0.029</w:t>
            </w:r>
          </w:p>
        </w:tc>
        <w:tc>
          <w:tcPr>
            <w:tcW w:w="992" w:type="dxa"/>
            <w:tcBorders>
              <w:top w:val="nil"/>
              <w:left w:val="nil"/>
              <w:bottom w:val="nil"/>
              <w:right w:val="nil"/>
            </w:tcBorders>
            <w:shd w:val="clear" w:color="auto" w:fill="auto"/>
            <w:noWrap/>
            <w:vAlign w:val="bottom"/>
            <w:hideMark/>
          </w:tcPr>
          <w:p w14:paraId="5A2E8A10" w14:textId="67CDE45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-0.029</w:t>
            </w:r>
          </w:p>
        </w:tc>
        <w:tc>
          <w:tcPr>
            <w:tcW w:w="1134" w:type="dxa"/>
            <w:tcBorders>
              <w:top w:val="nil"/>
              <w:left w:val="nil"/>
              <w:bottom w:val="nil"/>
              <w:right w:val="nil"/>
            </w:tcBorders>
            <w:shd w:val="clear" w:color="auto" w:fill="auto"/>
            <w:noWrap/>
            <w:vAlign w:val="bottom"/>
            <w:hideMark/>
          </w:tcPr>
          <w:p w14:paraId="46737F8C" w14:textId="50659FC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-0.029</w:t>
            </w:r>
          </w:p>
        </w:tc>
        <w:tc>
          <w:tcPr>
            <w:tcW w:w="1134" w:type="dxa"/>
            <w:tcBorders>
              <w:top w:val="nil"/>
              <w:left w:val="nil"/>
              <w:bottom w:val="nil"/>
              <w:right w:val="nil"/>
            </w:tcBorders>
            <w:shd w:val="clear" w:color="auto" w:fill="auto"/>
            <w:noWrap/>
            <w:vAlign w:val="bottom"/>
            <w:hideMark/>
          </w:tcPr>
          <w:p w14:paraId="57F101BD" w14:textId="06A8D0EB"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-0.029</w:t>
            </w:r>
          </w:p>
        </w:tc>
        <w:tc>
          <w:tcPr>
            <w:tcW w:w="1134" w:type="dxa"/>
            <w:tcBorders>
              <w:top w:val="nil"/>
              <w:left w:val="nil"/>
              <w:bottom w:val="nil"/>
              <w:right w:val="nil"/>
            </w:tcBorders>
            <w:shd w:val="clear" w:color="auto" w:fill="auto"/>
            <w:noWrap/>
            <w:vAlign w:val="bottom"/>
            <w:hideMark/>
          </w:tcPr>
          <w:p w14:paraId="53DC8E5E" w14:textId="26CB2D3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-0.032</w:t>
            </w:r>
          </w:p>
        </w:tc>
        <w:tc>
          <w:tcPr>
            <w:tcW w:w="1134" w:type="dxa"/>
            <w:tcBorders>
              <w:top w:val="nil"/>
              <w:left w:val="nil"/>
              <w:bottom w:val="nil"/>
              <w:right w:val="nil"/>
            </w:tcBorders>
            <w:shd w:val="clear" w:color="auto" w:fill="auto"/>
            <w:noWrap/>
            <w:vAlign w:val="bottom"/>
            <w:hideMark/>
          </w:tcPr>
          <w:p w14:paraId="4F4E9CC4" w14:textId="1DD944A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w:t>
            </w:r>
          </w:p>
        </w:tc>
        <w:tc>
          <w:tcPr>
            <w:tcW w:w="1134" w:type="dxa"/>
            <w:tcBorders>
              <w:top w:val="nil"/>
              <w:left w:val="nil"/>
              <w:bottom w:val="nil"/>
              <w:right w:val="nil"/>
            </w:tcBorders>
            <w:shd w:val="clear" w:color="auto" w:fill="auto"/>
            <w:noWrap/>
            <w:vAlign w:val="bottom"/>
            <w:hideMark/>
          </w:tcPr>
          <w:p w14:paraId="15E0E545" w14:textId="701AAD07"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-0.029</w:t>
            </w:r>
          </w:p>
        </w:tc>
      </w:tr>
      <w:tr w:rsidR="009526DE" w:rsidRPr="009B605C" w14:paraId="50F96FD1" w14:textId="77777777" w:rsidTr="005E4ADA">
        <w:trPr>
          <w:trHeight w:val="286"/>
        </w:trPr>
        <w:tc>
          <w:tcPr>
            <w:tcW w:w="1985" w:type="dxa"/>
            <w:tcBorders>
              <w:top w:val="nil"/>
              <w:left w:val="nil"/>
              <w:bottom w:val="nil"/>
              <w:right w:val="nil"/>
            </w:tcBorders>
            <w:shd w:val="clear" w:color="auto" w:fill="auto"/>
            <w:noWrap/>
            <w:vAlign w:val="bottom"/>
            <w:hideMark/>
          </w:tcPr>
          <w:p w14:paraId="7189BF2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C783D6C"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3BD93FDC" w14:textId="5228C100"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1873BCC8" w14:textId="2E1BC1B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B1E00AD" w14:textId="2089DEB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90CB348" w14:textId="188E604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746A11B" w14:textId="2693C20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0.119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B9F5B62" w14:textId="3C14531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B817886" w14:textId="62D5259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0.12</w:t>
            </w:r>
            <w:r w:rsidR="005B4778" w:rsidRPr="009B605C">
              <w:rPr>
                <w:rFonts w:ascii="Cambria" w:hAnsi="Cambria"/>
                <w:color w:val="000000"/>
                <w:sz w:val="20"/>
                <w:szCs w:val="20"/>
              </w:rPr>
              <w:t>)</w:t>
            </w:r>
          </w:p>
        </w:tc>
      </w:tr>
      <w:tr w:rsidR="009526DE" w:rsidRPr="009B605C" w14:paraId="7D4FD5F8" w14:textId="77777777" w:rsidTr="005E4ADA">
        <w:trPr>
          <w:trHeight w:val="286"/>
        </w:trPr>
        <w:tc>
          <w:tcPr>
            <w:tcW w:w="1985" w:type="dxa"/>
            <w:tcBorders>
              <w:top w:val="nil"/>
              <w:left w:val="nil"/>
              <w:bottom w:val="nil"/>
              <w:right w:val="nil"/>
            </w:tcBorders>
            <w:shd w:val="clear" w:color="auto" w:fill="auto"/>
            <w:noWrap/>
            <w:vAlign w:val="bottom"/>
            <w:hideMark/>
          </w:tcPr>
          <w:p w14:paraId="0C43752D"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12F3076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1070D6C3" w14:textId="3ED4DBE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0.007</w:t>
            </w:r>
          </w:p>
        </w:tc>
        <w:tc>
          <w:tcPr>
            <w:tcW w:w="992" w:type="dxa"/>
            <w:tcBorders>
              <w:top w:val="nil"/>
              <w:left w:val="nil"/>
              <w:bottom w:val="nil"/>
              <w:right w:val="nil"/>
            </w:tcBorders>
            <w:shd w:val="clear" w:color="auto" w:fill="auto"/>
            <w:noWrap/>
            <w:vAlign w:val="bottom"/>
            <w:hideMark/>
          </w:tcPr>
          <w:p w14:paraId="53EBBB79" w14:textId="432C2D6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1583F97C" w14:textId="187FA89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0306CC70" w14:textId="118E942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36DD959E" w14:textId="06BD519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6DC19954" w14:textId="3DB47A0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37240E92" w14:textId="1339A18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0.007</w:t>
            </w:r>
          </w:p>
        </w:tc>
      </w:tr>
      <w:tr w:rsidR="009526DE" w:rsidRPr="009B605C" w14:paraId="47AAA70F" w14:textId="77777777" w:rsidTr="005E4ADA">
        <w:trPr>
          <w:trHeight w:val="286"/>
        </w:trPr>
        <w:tc>
          <w:tcPr>
            <w:tcW w:w="1985" w:type="dxa"/>
            <w:tcBorders>
              <w:top w:val="nil"/>
              <w:left w:val="nil"/>
              <w:bottom w:val="nil"/>
              <w:right w:val="nil"/>
            </w:tcBorders>
            <w:shd w:val="clear" w:color="auto" w:fill="auto"/>
            <w:noWrap/>
            <w:vAlign w:val="bottom"/>
            <w:hideMark/>
          </w:tcPr>
          <w:p w14:paraId="7AD0909D"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2E48CB40"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39AA259A" w14:textId="55B0F90A"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0.023</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4F714622" w14:textId="7FD49BE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79C613D" w14:textId="39B0B18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54B47A9" w14:textId="5829095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4090AD1" w14:textId="0F1DBD4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0.008</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9F0C766" w14:textId="26A7756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51E54DF" w14:textId="3CC9C6A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0.023</w:t>
            </w:r>
            <w:r w:rsidR="005B4778" w:rsidRPr="009B605C">
              <w:rPr>
                <w:rFonts w:ascii="Cambria" w:hAnsi="Cambria"/>
                <w:color w:val="000000"/>
                <w:sz w:val="20"/>
                <w:szCs w:val="20"/>
              </w:rPr>
              <w:t>)</w:t>
            </w:r>
          </w:p>
        </w:tc>
      </w:tr>
      <w:tr w:rsidR="009526DE" w:rsidRPr="009B605C" w14:paraId="7C702666" w14:textId="77777777" w:rsidTr="005E4ADA">
        <w:trPr>
          <w:trHeight w:val="286"/>
        </w:trPr>
        <w:tc>
          <w:tcPr>
            <w:tcW w:w="1985" w:type="dxa"/>
            <w:tcBorders>
              <w:top w:val="nil"/>
              <w:left w:val="nil"/>
              <w:bottom w:val="nil"/>
              <w:right w:val="nil"/>
            </w:tcBorders>
            <w:shd w:val="clear" w:color="auto" w:fill="auto"/>
            <w:noWrap/>
            <w:vAlign w:val="bottom"/>
            <w:hideMark/>
          </w:tcPr>
          <w:p w14:paraId="78D7BF31"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China</w:t>
            </w:r>
          </w:p>
        </w:tc>
        <w:tc>
          <w:tcPr>
            <w:tcW w:w="1136" w:type="dxa"/>
            <w:tcBorders>
              <w:top w:val="nil"/>
              <w:left w:val="nil"/>
              <w:bottom w:val="nil"/>
              <w:right w:val="nil"/>
            </w:tcBorders>
            <w:shd w:val="clear" w:color="auto" w:fill="auto"/>
            <w:noWrap/>
            <w:vAlign w:val="bottom"/>
            <w:hideMark/>
          </w:tcPr>
          <w:p w14:paraId="07CEA55A"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1DAA2C90" w14:textId="4557BCC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c>
          <w:tcPr>
            <w:tcW w:w="992" w:type="dxa"/>
            <w:tcBorders>
              <w:top w:val="nil"/>
              <w:left w:val="nil"/>
              <w:bottom w:val="nil"/>
              <w:right w:val="nil"/>
            </w:tcBorders>
            <w:shd w:val="clear" w:color="auto" w:fill="auto"/>
            <w:noWrap/>
            <w:vAlign w:val="bottom"/>
            <w:hideMark/>
          </w:tcPr>
          <w:p w14:paraId="247C5300" w14:textId="6BD7854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c>
          <w:tcPr>
            <w:tcW w:w="1134" w:type="dxa"/>
            <w:tcBorders>
              <w:top w:val="nil"/>
              <w:left w:val="nil"/>
              <w:bottom w:val="nil"/>
              <w:right w:val="nil"/>
            </w:tcBorders>
            <w:shd w:val="clear" w:color="auto" w:fill="auto"/>
            <w:noWrap/>
            <w:vAlign w:val="bottom"/>
            <w:hideMark/>
          </w:tcPr>
          <w:p w14:paraId="5088F3CD" w14:textId="0361F94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c>
          <w:tcPr>
            <w:tcW w:w="1134" w:type="dxa"/>
            <w:tcBorders>
              <w:top w:val="nil"/>
              <w:left w:val="nil"/>
              <w:bottom w:val="nil"/>
              <w:right w:val="nil"/>
            </w:tcBorders>
            <w:shd w:val="clear" w:color="auto" w:fill="auto"/>
            <w:noWrap/>
            <w:vAlign w:val="bottom"/>
            <w:hideMark/>
          </w:tcPr>
          <w:p w14:paraId="30FDE048" w14:textId="3BFB7AE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c>
          <w:tcPr>
            <w:tcW w:w="1134" w:type="dxa"/>
            <w:tcBorders>
              <w:top w:val="nil"/>
              <w:left w:val="nil"/>
              <w:bottom w:val="nil"/>
              <w:right w:val="nil"/>
            </w:tcBorders>
            <w:shd w:val="clear" w:color="auto" w:fill="auto"/>
            <w:noWrap/>
            <w:vAlign w:val="bottom"/>
            <w:hideMark/>
          </w:tcPr>
          <w:p w14:paraId="1691F7B6" w14:textId="7C417B2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c>
          <w:tcPr>
            <w:tcW w:w="1134" w:type="dxa"/>
            <w:tcBorders>
              <w:top w:val="nil"/>
              <w:left w:val="nil"/>
              <w:bottom w:val="nil"/>
              <w:right w:val="nil"/>
            </w:tcBorders>
            <w:shd w:val="clear" w:color="auto" w:fill="auto"/>
            <w:noWrap/>
            <w:vAlign w:val="bottom"/>
            <w:hideMark/>
          </w:tcPr>
          <w:p w14:paraId="78D8B484" w14:textId="0C52E50B"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0.013</w:t>
            </w:r>
          </w:p>
        </w:tc>
        <w:tc>
          <w:tcPr>
            <w:tcW w:w="1134" w:type="dxa"/>
            <w:tcBorders>
              <w:top w:val="nil"/>
              <w:left w:val="nil"/>
              <w:bottom w:val="nil"/>
              <w:right w:val="nil"/>
            </w:tcBorders>
            <w:shd w:val="clear" w:color="auto" w:fill="auto"/>
            <w:noWrap/>
            <w:vAlign w:val="bottom"/>
            <w:hideMark/>
          </w:tcPr>
          <w:p w14:paraId="2C921D05" w14:textId="0F8E0877"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0.014</w:t>
            </w:r>
          </w:p>
        </w:tc>
      </w:tr>
      <w:tr w:rsidR="009526DE" w:rsidRPr="009B605C" w14:paraId="03E24892" w14:textId="77777777" w:rsidTr="005E4ADA">
        <w:trPr>
          <w:trHeight w:val="286"/>
        </w:trPr>
        <w:tc>
          <w:tcPr>
            <w:tcW w:w="1985" w:type="dxa"/>
            <w:tcBorders>
              <w:top w:val="nil"/>
              <w:left w:val="nil"/>
              <w:bottom w:val="nil"/>
              <w:right w:val="nil"/>
            </w:tcBorders>
            <w:shd w:val="clear" w:color="auto" w:fill="auto"/>
            <w:noWrap/>
            <w:vAlign w:val="bottom"/>
            <w:hideMark/>
          </w:tcPr>
          <w:p w14:paraId="757E123C"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08E7951"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74D0D317" w14:textId="6921A508"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0.141</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A3F222E" w14:textId="47B77CE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30EF14A" w14:textId="1A87CC5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F4B6EA9" w14:textId="7866767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BE12DDF" w14:textId="69E7199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8A9B41B" w14:textId="516409C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16F3F75" w14:textId="2B40B7D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0.141</w:t>
            </w:r>
            <w:r w:rsidR="005B4778" w:rsidRPr="009B605C">
              <w:rPr>
                <w:rFonts w:ascii="Cambria" w:hAnsi="Cambria"/>
                <w:color w:val="000000"/>
                <w:sz w:val="20"/>
                <w:szCs w:val="20"/>
              </w:rPr>
              <w:t>)</w:t>
            </w:r>
          </w:p>
        </w:tc>
      </w:tr>
      <w:tr w:rsidR="009526DE" w:rsidRPr="009B605C" w14:paraId="66243731" w14:textId="77777777" w:rsidTr="005E4ADA">
        <w:trPr>
          <w:trHeight w:val="286"/>
        </w:trPr>
        <w:tc>
          <w:tcPr>
            <w:tcW w:w="1985" w:type="dxa"/>
            <w:tcBorders>
              <w:top w:val="nil"/>
              <w:left w:val="nil"/>
              <w:bottom w:val="nil"/>
              <w:right w:val="nil"/>
            </w:tcBorders>
            <w:shd w:val="clear" w:color="auto" w:fill="auto"/>
            <w:noWrap/>
            <w:vAlign w:val="bottom"/>
            <w:hideMark/>
          </w:tcPr>
          <w:p w14:paraId="1B06AD15"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6A2AC044"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051ECF0B" w14:textId="1690EFC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0.015</w:t>
            </w:r>
          </w:p>
        </w:tc>
        <w:tc>
          <w:tcPr>
            <w:tcW w:w="992" w:type="dxa"/>
            <w:tcBorders>
              <w:top w:val="nil"/>
              <w:left w:val="nil"/>
              <w:bottom w:val="nil"/>
              <w:right w:val="nil"/>
            </w:tcBorders>
            <w:shd w:val="clear" w:color="auto" w:fill="auto"/>
            <w:noWrap/>
            <w:vAlign w:val="bottom"/>
            <w:hideMark/>
          </w:tcPr>
          <w:p w14:paraId="09F98069" w14:textId="3211E5E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0.013</w:t>
            </w:r>
          </w:p>
        </w:tc>
        <w:tc>
          <w:tcPr>
            <w:tcW w:w="1134" w:type="dxa"/>
            <w:tcBorders>
              <w:top w:val="nil"/>
              <w:left w:val="nil"/>
              <w:bottom w:val="nil"/>
              <w:right w:val="nil"/>
            </w:tcBorders>
            <w:shd w:val="clear" w:color="auto" w:fill="auto"/>
            <w:noWrap/>
            <w:vAlign w:val="bottom"/>
            <w:hideMark/>
          </w:tcPr>
          <w:p w14:paraId="43C00473" w14:textId="5DC7440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0.013</w:t>
            </w:r>
          </w:p>
        </w:tc>
        <w:tc>
          <w:tcPr>
            <w:tcW w:w="1134" w:type="dxa"/>
            <w:tcBorders>
              <w:top w:val="nil"/>
              <w:left w:val="nil"/>
              <w:bottom w:val="nil"/>
              <w:right w:val="nil"/>
            </w:tcBorders>
            <w:shd w:val="clear" w:color="auto" w:fill="auto"/>
            <w:noWrap/>
            <w:vAlign w:val="bottom"/>
            <w:hideMark/>
          </w:tcPr>
          <w:p w14:paraId="3877947B" w14:textId="02FB8B4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0.012</w:t>
            </w:r>
          </w:p>
        </w:tc>
        <w:tc>
          <w:tcPr>
            <w:tcW w:w="1134" w:type="dxa"/>
            <w:tcBorders>
              <w:top w:val="nil"/>
              <w:left w:val="nil"/>
              <w:bottom w:val="nil"/>
              <w:right w:val="nil"/>
            </w:tcBorders>
            <w:shd w:val="clear" w:color="auto" w:fill="auto"/>
            <w:noWrap/>
            <w:vAlign w:val="bottom"/>
            <w:hideMark/>
          </w:tcPr>
          <w:p w14:paraId="5E881151" w14:textId="4BEBB28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0.002</w:t>
            </w:r>
          </w:p>
        </w:tc>
        <w:tc>
          <w:tcPr>
            <w:tcW w:w="1134" w:type="dxa"/>
            <w:tcBorders>
              <w:top w:val="nil"/>
              <w:left w:val="nil"/>
              <w:bottom w:val="nil"/>
              <w:right w:val="nil"/>
            </w:tcBorders>
            <w:shd w:val="clear" w:color="auto" w:fill="auto"/>
            <w:noWrap/>
            <w:vAlign w:val="bottom"/>
            <w:hideMark/>
          </w:tcPr>
          <w:p w14:paraId="250D3A14" w14:textId="5F5816CB"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0779C917" w14:textId="17130D6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0.015</w:t>
            </w:r>
          </w:p>
        </w:tc>
      </w:tr>
      <w:tr w:rsidR="009526DE" w:rsidRPr="009B605C" w14:paraId="5DF46851" w14:textId="77777777" w:rsidTr="005E4ADA">
        <w:trPr>
          <w:trHeight w:val="286"/>
        </w:trPr>
        <w:tc>
          <w:tcPr>
            <w:tcW w:w="1985" w:type="dxa"/>
            <w:tcBorders>
              <w:top w:val="nil"/>
              <w:left w:val="nil"/>
              <w:bottom w:val="nil"/>
              <w:right w:val="nil"/>
            </w:tcBorders>
            <w:shd w:val="clear" w:color="auto" w:fill="auto"/>
            <w:noWrap/>
            <w:vAlign w:val="bottom"/>
            <w:hideMark/>
          </w:tcPr>
          <w:p w14:paraId="166649B7"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6D26AF12"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00172B39" w14:textId="0DEEA983"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0.026</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13E1C98E" w14:textId="17259EB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7FE07A1" w14:textId="7B40C0F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7779814" w14:textId="1E7A25B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21210CE" w14:textId="7FAD85B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A1B8B00" w14:textId="71A49F1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DB04283" w14:textId="01303AB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0.026</w:t>
            </w:r>
            <w:r w:rsidR="005B4778" w:rsidRPr="009B605C">
              <w:rPr>
                <w:rFonts w:ascii="Cambria" w:hAnsi="Cambria"/>
                <w:color w:val="000000"/>
                <w:sz w:val="20"/>
                <w:szCs w:val="20"/>
              </w:rPr>
              <w:t>)</w:t>
            </w:r>
          </w:p>
        </w:tc>
      </w:tr>
      <w:tr w:rsidR="009526DE" w:rsidRPr="009B605C" w14:paraId="58369AD0" w14:textId="77777777" w:rsidTr="005E4ADA">
        <w:trPr>
          <w:trHeight w:val="286"/>
        </w:trPr>
        <w:tc>
          <w:tcPr>
            <w:tcW w:w="1985" w:type="dxa"/>
            <w:tcBorders>
              <w:top w:val="nil"/>
              <w:left w:val="nil"/>
              <w:bottom w:val="nil"/>
              <w:right w:val="nil"/>
            </w:tcBorders>
            <w:shd w:val="clear" w:color="auto" w:fill="auto"/>
            <w:noWrap/>
            <w:vAlign w:val="bottom"/>
            <w:hideMark/>
          </w:tcPr>
          <w:p w14:paraId="0452C545"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South Africa</w:t>
            </w:r>
          </w:p>
        </w:tc>
        <w:tc>
          <w:tcPr>
            <w:tcW w:w="1136" w:type="dxa"/>
            <w:tcBorders>
              <w:top w:val="nil"/>
              <w:left w:val="nil"/>
              <w:bottom w:val="nil"/>
              <w:right w:val="nil"/>
            </w:tcBorders>
            <w:shd w:val="clear" w:color="auto" w:fill="auto"/>
            <w:noWrap/>
            <w:vAlign w:val="bottom"/>
            <w:hideMark/>
          </w:tcPr>
          <w:p w14:paraId="7666935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5830A343" w14:textId="66C569A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0.072</w:t>
            </w:r>
          </w:p>
        </w:tc>
        <w:tc>
          <w:tcPr>
            <w:tcW w:w="992" w:type="dxa"/>
            <w:tcBorders>
              <w:top w:val="nil"/>
              <w:left w:val="nil"/>
              <w:bottom w:val="nil"/>
              <w:right w:val="nil"/>
            </w:tcBorders>
            <w:shd w:val="clear" w:color="auto" w:fill="auto"/>
            <w:noWrap/>
            <w:vAlign w:val="bottom"/>
            <w:hideMark/>
          </w:tcPr>
          <w:p w14:paraId="5CF43600" w14:textId="08944F7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0.073</w:t>
            </w:r>
          </w:p>
        </w:tc>
        <w:tc>
          <w:tcPr>
            <w:tcW w:w="1134" w:type="dxa"/>
            <w:tcBorders>
              <w:top w:val="nil"/>
              <w:left w:val="nil"/>
              <w:bottom w:val="nil"/>
              <w:right w:val="nil"/>
            </w:tcBorders>
            <w:shd w:val="clear" w:color="auto" w:fill="auto"/>
            <w:noWrap/>
            <w:vAlign w:val="bottom"/>
            <w:hideMark/>
          </w:tcPr>
          <w:p w14:paraId="1FC89716" w14:textId="4D819E5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0.073</w:t>
            </w:r>
          </w:p>
        </w:tc>
        <w:tc>
          <w:tcPr>
            <w:tcW w:w="1134" w:type="dxa"/>
            <w:tcBorders>
              <w:top w:val="nil"/>
              <w:left w:val="nil"/>
              <w:bottom w:val="nil"/>
              <w:right w:val="nil"/>
            </w:tcBorders>
            <w:shd w:val="clear" w:color="auto" w:fill="auto"/>
            <w:noWrap/>
            <w:vAlign w:val="bottom"/>
            <w:hideMark/>
          </w:tcPr>
          <w:p w14:paraId="6D58EED9" w14:textId="0EAA5A7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0.073</w:t>
            </w:r>
          </w:p>
        </w:tc>
        <w:tc>
          <w:tcPr>
            <w:tcW w:w="1134" w:type="dxa"/>
            <w:tcBorders>
              <w:top w:val="nil"/>
              <w:left w:val="nil"/>
              <w:bottom w:val="nil"/>
              <w:right w:val="nil"/>
            </w:tcBorders>
            <w:shd w:val="clear" w:color="auto" w:fill="auto"/>
            <w:noWrap/>
            <w:vAlign w:val="bottom"/>
            <w:hideMark/>
          </w:tcPr>
          <w:p w14:paraId="07CFDC18" w14:textId="7A2A279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0.071</w:t>
            </w:r>
          </w:p>
        </w:tc>
        <w:tc>
          <w:tcPr>
            <w:tcW w:w="1134" w:type="dxa"/>
            <w:tcBorders>
              <w:top w:val="nil"/>
              <w:left w:val="nil"/>
              <w:bottom w:val="nil"/>
              <w:right w:val="nil"/>
            </w:tcBorders>
            <w:shd w:val="clear" w:color="auto" w:fill="auto"/>
            <w:noWrap/>
            <w:vAlign w:val="bottom"/>
            <w:hideMark/>
          </w:tcPr>
          <w:p w14:paraId="4C3B2F81" w14:textId="663FB0F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0.078</w:t>
            </w:r>
          </w:p>
        </w:tc>
        <w:tc>
          <w:tcPr>
            <w:tcW w:w="1134" w:type="dxa"/>
            <w:tcBorders>
              <w:top w:val="nil"/>
              <w:left w:val="nil"/>
              <w:bottom w:val="nil"/>
              <w:right w:val="nil"/>
            </w:tcBorders>
            <w:shd w:val="clear" w:color="auto" w:fill="auto"/>
            <w:noWrap/>
            <w:vAlign w:val="bottom"/>
            <w:hideMark/>
          </w:tcPr>
          <w:p w14:paraId="159A36D7" w14:textId="016D7E2C"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0.072</w:t>
            </w:r>
          </w:p>
        </w:tc>
      </w:tr>
      <w:tr w:rsidR="009526DE" w:rsidRPr="009B605C" w14:paraId="2E2D0D87" w14:textId="77777777" w:rsidTr="005E4ADA">
        <w:trPr>
          <w:trHeight w:val="286"/>
        </w:trPr>
        <w:tc>
          <w:tcPr>
            <w:tcW w:w="1985" w:type="dxa"/>
            <w:tcBorders>
              <w:top w:val="nil"/>
              <w:left w:val="nil"/>
              <w:bottom w:val="nil"/>
              <w:right w:val="nil"/>
            </w:tcBorders>
            <w:shd w:val="clear" w:color="auto" w:fill="auto"/>
            <w:noWrap/>
            <w:vAlign w:val="bottom"/>
            <w:hideMark/>
          </w:tcPr>
          <w:p w14:paraId="41DE0D0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7EA7B6B6"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03196227" w14:textId="5F287291"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FD7135C" w14:textId="346C446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90E9C2B" w14:textId="0417F92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08A162E" w14:textId="106CDC3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C81C698" w14:textId="71BB349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9AC6D90" w14:textId="5E5D54D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0.247</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6F41DEF" w14:textId="0EBE94B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0.242</w:t>
            </w:r>
            <w:r w:rsidR="005B4778" w:rsidRPr="009B605C">
              <w:rPr>
                <w:rFonts w:ascii="Cambria" w:hAnsi="Cambria"/>
                <w:color w:val="000000"/>
                <w:sz w:val="20"/>
                <w:szCs w:val="20"/>
              </w:rPr>
              <w:t>)</w:t>
            </w:r>
          </w:p>
        </w:tc>
      </w:tr>
      <w:tr w:rsidR="009526DE" w:rsidRPr="009B605C" w14:paraId="65564B53" w14:textId="77777777" w:rsidTr="005E4ADA">
        <w:trPr>
          <w:trHeight w:val="286"/>
        </w:trPr>
        <w:tc>
          <w:tcPr>
            <w:tcW w:w="1985" w:type="dxa"/>
            <w:tcBorders>
              <w:top w:val="nil"/>
              <w:left w:val="nil"/>
              <w:bottom w:val="nil"/>
              <w:right w:val="nil"/>
            </w:tcBorders>
            <w:shd w:val="clear" w:color="auto" w:fill="auto"/>
            <w:noWrap/>
            <w:vAlign w:val="bottom"/>
            <w:hideMark/>
          </w:tcPr>
          <w:p w14:paraId="116CB442"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124C1502"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0BCE96B7" w14:textId="471133E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0.021</w:t>
            </w:r>
          </w:p>
        </w:tc>
        <w:tc>
          <w:tcPr>
            <w:tcW w:w="992" w:type="dxa"/>
            <w:tcBorders>
              <w:top w:val="nil"/>
              <w:left w:val="nil"/>
              <w:bottom w:val="nil"/>
              <w:right w:val="nil"/>
            </w:tcBorders>
            <w:shd w:val="clear" w:color="auto" w:fill="auto"/>
            <w:noWrap/>
            <w:vAlign w:val="bottom"/>
            <w:hideMark/>
          </w:tcPr>
          <w:p w14:paraId="0F78ABAC" w14:textId="7395D69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w:t>
            </w:r>
          </w:p>
        </w:tc>
        <w:tc>
          <w:tcPr>
            <w:tcW w:w="1134" w:type="dxa"/>
            <w:tcBorders>
              <w:top w:val="nil"/>
              <w:left w:val="nil"/>
              <w:bottom w:val="nil"/>
              <w:right w:val="nil"/>
            </w:tcBorders>
            <w:shd w:val="clear" w:color="auto" w:fill="auto"/>
            <w:noWrap/>
            <w:vAlign w:val="bottom"/>
            <w:hideMark/>
          </w:tcPr>
          <w:p w14:paraId="235E9A03" w14:textId="4314EA1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0.019</w:t>
            </w:r>
          </w:p>
        </w:tc>
        <w:tc>
          <w:tcPr>
            <w:tcW w:w="1134" w:type="dxa"/>
            <w:tcBorders>
              <w:top w:val="nil"/>
              <w:left w:val="nil"/>
              <w:bottom w:val="nil"/>
              <w:right w:val="nil"/>
            </w:tcBorders>
            <w:shd w:val="clear" w:color="auto" w:fill="auto"/>
            <w:noWrap/>
            <w:vAlign w:val="bottom"/>
            <w:hideMark/>
          </w:tcPr>
          <w:p w14:paraId="7F47253A" w14:textId="6DD4322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0.019</w:t>
            </w:r>
          </w:p>
        </w:tc>
        <w:tc>
          <w:tcPr>
            <w:tcW w:w="1134" w:type="dxa"/>
            <w:tcBorders>
              <w:top w:val="nil"/>
              <w:left w:val="nil"/>
              <w:bottom w:val="nil"/>
              <w:right w:val="nil"/>
            </w:tcBorders>
            <w:shd w:val="clear" w:color="auto" w:fill="auto"/>
            <w:noWrap/>
            <w:vAlign w:val="bottom"/>
            <w:hideMark/>
          </w:tcPr>
          <w:p w14:paraId="676C0E7D" w14:textId="61B6476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3774CB52" w14:textId="4F47E15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16A8D093" w14:textId="4174F05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0.021</w:t>
            </w:r>
          </w:p>
        </w:tc>
      </w:tr>
      <w:tr w:rsidR="009526DE" w:rsidRPr="009B605C" w14:paraId="04112A79" w14:textId="77777777" w:rsidTr="005E4ADA">
        <w:trPr>
          <w:trHeight w:val="286"/>
        </w:trPr>
        <w:tc>
          <w:tcPr>
            <w:tcW w:w="1985" w:type="dxa"/>
            <w:tcBorders>
              <w:top w:val="nil"/>
              <w:left w:val="nil"/>
              <w:bottom w:val="nil"/>
              <w:right w:val="nil"/>
            </w:tcBorders>
            <w:shd w:val="clear" w:color="auto" w:fill="auto"/>
            <w:noWrap/>
            <w:vAlign w:val="bottom"/>
            <w:hideMark/>
          </w:tcPr>
          <w:p w14:paraId="3A94AAA3"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7462EFE0"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12995B37" w14:textId="50423A24" w:rsidR="009526DE" w:rsidRPr="009B605C" w:rsidRDefault="008A0F42"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0.044</w:t>
            </w:r>
            <w:r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204D03C1" w14:textId="45BAE51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595D47C" w14:textId="1A74A21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0057CEE" w14:textId="48A2841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D966ECF" w14:textId="1216A33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F25C574" w14:textId="1BE1AE2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714CD34" w14:textId="2F13318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0.044</w:t>
            </w:r>
            <w:r w:rsidR="005B4778" w:rsidRPr="009B605C">
              <w:rPr>
                <w:rFonts w:ascii="Cambria" w:hAnsi="Cambria"/>
                <w:color w:val="000000"/>
                <w:sz w:val="20"/>
                <w:szCs w:val="20"/>
              </w:rPr>
              <w:t>)</w:t>
            </w:r>
          </w:p>
        </w:tc>
      </w:tr>
      <w:tr w:rsidR="009526DE" w:rsidRPr="009B605C" w14:paraId="48A613B2" w14:textId="77777777" w:rsidTr="005E4ADA">
        <w:trPr>
          <w:trHeight w:val="286"/>
        </w:trPr>
        <w:tc>
          <w:tcPr>
            <w:tcW w:w="3121" w:type="dxa"/>
            <w:gridSpan w:val="2"/>
            <w:tcBorders>
              <w:top w:val="nil"/>
              <w:left w:val="nil"/>
              <w:bottom w:val="nil"/>
              <w:right w:val="nil"/>
            </w:tcBorders>
            <w:shd w:val="clear" w:color="auto" w:fill="auto"/>
            <w:noWrap/>
            <w:vAlign w:val="bottom"/>
            <w:hideMark/>
          </w:tcPr>
          <w:p w14:paraId="21970A9F" w14:textId="77777777" w:rsidR="009526DE" w:rsidRPr="009B605C" w:rsidRDefault="009526DE" w:rsidP="0087752F">
            <w:pPr>
              <w:rPr>
                <w:rFonts w:ascii="Cambria" w:hAnsi="Cambria"/>
                <w:b/>
                <w:bCs/>
                <w:color w:val="000000"/>
                <w:sz w:val="20"/>
                <w:szCs w:val="20"/>
              </w:rPr>
            </w:pPr>
            <w:r w:rsidRPr="009B605C">
              <w:rPr>
                <w:rFonts w:ascii="Cambria" w:hAnsi="Cambria"/>
                <w:b/>
                <w:bCs/>
                <w:color w:val="000000"/>
                <w:sz w:val="20"/>
                <w:szCs w:val="20"/>
              </w:rPr>
              <w:t xml:space="preserve">Panel B: </w:t>
            </w:r>
            <w:r w:rsidRPr="009B605C">
              <w:rPr>
                <w:rFonts w:ascii="Cambria" w:hAnsi="Cambria"/>
                <w:color w:val="000000"/>
                <w:sz w:val="20"/>
                <w:szCs w:val="20"/>
              </w:rPr>
              <w:t>Post-conflict announcement</w:t>
            </w:r>
          </w:p>
        </w:tc>
        <w:tc>
          <w:tcPr>
            <w:tcW w:w="991" w:type="dxa"/>
            <w:tcBorders>
              <w:top w:val="nil"/>
              <w:left w:val="nil"/>
              <w:bottom w:val="nil"/>
              <w:right w:val="nil"/>
            </w:tcBorders>
            <w:shd w:val="clear" w:color="auto" w:fill="auto"/>
            <w:noWrap/>
            <w:vAlign w:val="bottom"/>
            <w:hideMark/>
          </w:tcPr>
          <w:p w14:paraId="3A7F451D" w14:textId="77777777" w:rsidR="009526DE" w:rsidRPr="009B605C" w:rsidRDefault="009526DE" w:rsidP="0087752F">
            <w:pPr>
              <w:rPr>
                <w:rFonts w:ascii="Cambria" w:hAnsi="Cambria"/>
                <w:sz w:val="20"/>
                <w:szCs w:val="20"/>
              </w:rPr>
            </w:pPr>
          </w:p>
        </w:tc>
        <w:tc>
          <w:tcPr>
            <w:tcW w:w="992" w:type="dxa"/>
            <w:tcBorders>
              <w:top w:val="nil"/>
              <w:left w:val="nil"/>
              <w:bottom w:val="nil"/>
              <w:right w:val="nil"/>
            </w:tcBorders>
            <w:shd w:val="clear" w:color="auto" w:fill="auto"/>
            <w:noWrap/>
            <w:vAlign w:val="bottom"/>
            <w:hideMark/>
          </w:tcPr>
          <w:p w14:paraId="3F8B2AB9" w14:textId="77777777" w:rsidR="009526DE" w:rsidRPr="009B605C" w:rsidRDefault="009526DE"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58F2D618" w14:textId="77777777" w:rsidR="009526DE" w:rsidRPr="009B605C" w:rsidRDefault="009526DE"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770C3D38" w14:textId="77777777" w:rsidR="009526DE" w:rsidRPr="009B605C" w:rsidRDefault="009526DE"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2B9579C4" w14:textId="77777777" w:rsidR="009526DE" w:rsidRPr="009B605C" w:rsidRDefault="009526DE"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206D27C0" w14:textId="77777777" w:rsidR="009526DE" w:rsidRPr="009B605C" w:rsidRDefault="009526DE" w:rsidP="0087752F">
            <w:pPr>
              <w:rPr>
                <w:rFonts w:ascii="Cambria" w:hAnsi="Cambria"/>
                <w:sz w:val="20"/>
                <w:szCs w:val="20"/>
              </w:rPr>
            </w:pPr>
          </w:p>
        </w:tc>
        <w:tc>
          <w:tcPr>
            <w:tcW w:w="1134" w:type="dxa"/>
            <w:tcBorders>
              <w:top w:val="nil"/>
              <w:left w:val="nil"/>
              <w:bottom w:val="nil"/>
              <w:right w:val="nil"/>
            </w:tcBorders>
            <w:shd w:val="clear" w:color="auto" w:fill="auto"/>
            <w:noWrap/>
            <w:vAlign w:val="bottom"/>
            <w:hideMark/>
          </w:tcPr>
          <w:p w14:paraId="169AB889" w14:textId="77777777" w:rsidR="009526DE" w:rsidRPr="009B605C" w:rsidRDefault="009526DE" w:rsidP="0087752F">
            <w:pPr>
              <w:rPr>
                <w:rFonts w:ascii="Cambria" w:hAnsi="Cambria"/>
                <w:sz w:val="20"/>
                <w:szCs w:val="20"/>
              </w:rPr>
            </w:pPr>
          </w:p>
        </w:tc>
      </w:tr>
      <w:tr w:rsidR="009526DE" w:rsidRPr="009B605C" w14:paraId="2EA212B7" w14:textId="77777777" w:rsidTr="005E4ADA">
        <w:trPr>
          <w:trHeight w:val="286"/>
        </w:trPr>
        <w:tc>
          <w:tcPr>
            <w:tcW w:w="1985" w:type="dxa"/>
            <w:tcBorders>
              <w:top w:val="nil"/>
              <w:left w:val="nil"/>
              <w:bottom w:val="nil"/>
              <w:right w:val="nil"/>
            </w:tcBorders>
            <w:shd w:val="clear" w:color="auto" w:fill="auto"/>
            <w:noWrap/>
            <w:vAlign w:val="bottom"/>
            <w:hideMark/>
          </w:tcPr>
          <w:p w14:paraId="264E68C9"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Brazil</w:t>
            </w:r>
          </w:p>
        </w:tc>
        <w:tc>
          <w:tcPr>
            <w:tcW w:w="1136" w:type="dxa"/>
            <w:tcBorders>
              <w:top w:val="nil"/>
              <w:left w:val="nil"/>
              <w:bottom w:val="nil"/>
              <w:right w:val="nil"/>
            </w:tcBorders>
            <w:shd w:val="clear" w:color="auto" w:fill="auto"/>
            <w:noWrap/>
            <w:vAlign w:val="bottom"/>
            <w:hideMark/>
          </w:tcPr>
          <w:p w14:paraId="2916A7A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652BB50C" w14:textId="64A785A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c>
          <w:tcPr>
            <w:tcW w:w="992" w:type="dxa"/>
            <w:tcBorders>
              <w:top w:val="nil"/>
              <w:left w:val="nil"/>
              <w:bottom w:val="nil"/>
              <w:right w:val="nil"/>
            </w:tcBorders>
            <w:shd w:val="clear" w:color="auto" w:fill="auto"/>
            <w:noWrap/>
            <w:vAlign w:val="bottom"/>
            <w:hideMark/>
          </w:tcPr>
          <w:p w14:paraId="58CD6A58" w14:textId="025D4DA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c>
          <w:tcPr>
            <w:tcW w:w="1134" w:type="dxa"/>
            <w:tcBorders>
              <w:top w:val="nil"/>
              <w:left w:val="nil"/>
              <w:bottom w:val="nil"/>
              <w:right w:val="nil"/>
            </w:tcBorders>
            <w:shd w:val="clear" w:color="auto" w:fill="auto"/>
            <w:noWrap/>
            <w:vAlign w:val="bottom"/>
            <w:hideMark/>
          </w:tcPr>
          <w:p w14:paraId="5B759BC4" w14:textId="247F720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c>
          <w:tcPr>
            <w:tcW w:w="1134" w:type="dxa"/>
            <w:tcBorders>
              <w:top w:val="nil"/>
              <w:left w:val="nil"/>
              <w:bottom w:val="nil"/>
              <w:right w:val="nil"/>
            </w:tcBorders>
            <w:shd w:val="clear" w:color="auto" w:fill="auto"/>
            <w:noWrap/>
            <w:vAlign w:val="bottom"/>
            <w:hideMark/>
          </w:tcPr>
          <w:p w14:paraId="49E59A53" w14:textId="57BE301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c>
          <w:tcPr>
            <w:tcW w:w="1134" w:type="dxa"/>
            <w:tcBorders>
              <w:top w:val="nil"/>
              <w:left w:val="nil"/>
              <w:bottom w:val="nil"/>
              <w:right w:val="nil"/>
            </w:tcBorders>
            <w:shd w:val="clear" w:color="auto" w:fill="auto"/>
            <w:noWrap/>
            <w:vAlign w:val="bottom"/>
            <w:hideMark/>
          </w:tcPr>
          <w:p w14:paraId="085E401E" w14:textId="65EC581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0.07</w:t>
            </w:r>
          </w:p>
        </w:tc>
        <w:tc>
          <w:tcPr>
            <w:tcW w:w="1134" w:type="dxa"/>
            <w:tcBorders>
              <w:top w:val="nil"/>
              <w:left w:val="nil"/>
              <w:bottom w:val="nil"/>
              <w:right w:val="nil"/>
            </w:tcBorders>
            <w:shd w:val="clear" w:color="auto" w:fill="auto"/>
            <w:noWrap/>
            <w:vAlign w:val="bottom"/>
            <w:hideMark/>
          </w:tcPr>
          <w:p w14:paraId="22CE69D6" w14:textId="75276F4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c>
          <w:tcPr>
            <w:tcW w:w="1134" w:type="dxa"/>
            <w:tcBorders>
              <w:top w:val="nil"/>
              <w:left w:val="nil"/>
              <w:bottom w:val="nil"/>
              <w:right w:val="nil"/>
            </w:tcBorders>
            <w:shd w:val="clear" w:color="auto" w:fill="auto"/>
            <w:noWrap/>
            <w:vAlign w:val="bottom"/>
            <w:hideMark/>
          </w:tcPr>
          <w:p w14:paraId="63BEED4A" w14:textId="5794C69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0.069</w:t>
            </w:r>
          </w:p>
        </w:tc>
      </w:tr>
      <w:tr w:rsidR="009526DE" w:rsidRPr="009B605C" w14:paraId="3E7F4A31" w14:textId="77777777" w:rsidTr="005E4ADA">
        <w:trPr>
          <w:trHeight w:val="286"/>
        </w:trPr>
        <w:tc>
          <w:tcPr>
            <w:tcW w:w="1985" w:type="dxa"/>
            <w:tcBorders>
              <w:top w:val="nil"/>
              <w:left w:val="nil"/>
              <w:bottom w:val="nil"/>
              <w:right w:val="nil"/>
            </w:tcBorders>
            <w:shd w:val="clear" w:color="auto" w:fill="auto"/>
            <w:noWrap/>
            <w:vAlign w:val="bottom"/>
            <w:hideMark/>
          </w:tcPr>
          <w:p w14:paraId="1AB4C05D"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23446702"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12308C8C" w14:textId="5E11EC2D"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6B8CA203" w14:textId="6C1A7A2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0.106</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D302E0D" w14:textId="0072724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0.106</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C635E00" w14:textId="6A03810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B19DF18" w14:textId="356A79E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A90854C" w14:textId="4D08A09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5566576" w14:textId="06E0BA8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r>
      <w:tr w:rsidR="009526DE" w:rsidRPr="009B605C" w14:paraId="19314294" w14:textId="77777777" w:rsidTr="005E4ADA">
        <w:trPr>
          <w:trHeight w:val="286"/>
        </w:trPr>
        <w:tc>
          <w:tcPr>
            <w:tcW w:w="1985" w:type="dxa"/>
            <w:tcBorders>
              <w:top w:val="nil"/>
              <w:left w:val="nil"/>
              <w:bottom w:val="nil"/>
              <w:right w:val="nil"/>
            </w:tcBorders>
            <w:shd w:val="clear" w:color="auto" w:fill="auto"/>
            <w:noWrap/>
            <w:vAlign w:val="bottom"/>
            <w:hideMark/>
          </w:tcPr>
          <w:p w14:paraId="344E09FA"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30E17CE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5582B0BE" w14:textId="56F9C76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0.068</w:t>
            </w:r>
          </w:p>
        </w:tc>
        <w:tc>
          <w:tcPr>
            <w:tcW w:w="992" w:type="dxa"/>
            <w:tcBorders>
              <w:top w:val="nil"/>
              <w:left w:val="nil"/>
              <w:bottom w:val="nil"/>
              <w:right w:val="nil"/>
            </w:tcBorders>
            <w:shd w:val="clear" w:color="auto" w:fill="auto"/>
            <w:noWrap/>
            <w:vAlign w:val="bottom"/>
            <w:hideMark/>
          </w:tcPr>
          <w:p w14:paraId="11C353A6" w14:textId="3038A16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0.022</w:t>
            </w:r>
          </w:p>
        </w:tc>
        <w:tc>
          <w:tcPr>
            <w:tcW w:w="1134" w:type="dxa"/>
            <w:tcBorders>
              <w:top w:val="nil"/>
              <w:left w:val="nil"/>
              <w:bottom w:val="nil"/>
              <w:right w:val="nil"/>
            </w:tcBorders>
            <w:shd w:val="clear" w:color="auto" w:fill="auto"/>
            <w:noWrap/>
            <w:vAlign w:val="bottom"/>
            <w:hideMark/>
          </w:tcPr>
          <w:p w14:paraId="0D6CCCFE" w14:textId="4B67BAB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0.023</w:t>
            </w:r>
          </w:p>
        </w:tc>
        <w:tc>
          <w:tcPr>
            <w:tcW w:w="1134" w:type="dxa"/>
            <w:tcBorders>
              <w:top w:val="nil"/>
              <w:left w:val="nil"/>
              <w:bottom w:val="nil"/>
              <w:right w:val="nil"/>
            </w:tcBorders>
            <w:shd w:val="clear" w:color="auto" w:fill="auto"/>
            <w:noWrap/>
            <w:vAlign w:val="bottom"/>
            <w:hideMark/>
          </w:tcPr>
          <w:p w14:paraId="2200DCE7" w14:textId="7A530A7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0.023</w:t>
            </w:r>
          </w:p>
        </w:tc>
        <w:tc>
          <w:tcPr>
            <w:tcW w:w="1134" w:type="dxa"/>
            <w:tcBorders>
              <w:top w:val="nil"/>
              <w:left w:val="nil"/>
              <w:bottom w:val="nil"/>
              <w:right w:val="nil"/>
            </w:tcBorders>
            <w:shd w:val="clear" w:color="auto" w:fill="auto"/>
            <w:noWrap/>
            <w:vAlign w:val="bottom"/>
            <w:hideMark/>
          </w:tcPr>
          <w:p w14:paraId="16275F57" w14:textId="0262ACB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7F8142C6" w14:textId="24708CE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1CEBB2A6" w14:textId="4C74831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0.068</w:t>
            </w:r>
          </w:p>
        </w:tc>
      </w:tr>
      <w:tr w:rsidR="009526DE" w:rsidRPr="009B605C" w14:paraId="2B76FD2B" w14:textId="77777777" w:rsidTr="005E4ADA">
        <w:trPr>
          <w:trHeight w:val="286"/>
        </w:trPr>
        <w:tc>
          <w:tcPr>
            <w:tcW w:w="1985" w:type="dxa"/>
            <w:tcBorders>
              <w:top w:val="nil"/>
              <w:left w:val="nil"/>
              <w:bottom w:val="nil"/>
              <w:right w:val="nil"/>
            </w:tcBorders>
            <w:shd w:val="clear" w:color="auto" w:fill="auto"/>
            <w:noWrap/>
            <w:vAlign w:val="bottom"/>
            <w:hideMark/>
          </w:tcPr>
          <w:p w14:paraId="11D3EB0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9ED2FE9"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6B53BD7B" w14:textId="3BD01D6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0.032</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6990E99" w14:textId="0A9FF9E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8D1C140" w14:textId="6612C43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1EF7A88" w14:textId="35E5079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3C9BC8" w14:textId="212D009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F312279" w14:textId="7ED567E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B043521" w14:textId="1BF642C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0.032</w:t>
            </w:r>
            <w:r w:rsidR="005B4778" w:rsidRPr="009B605C">
              <w:rPr>
                <w:rFonts w:ascii="Cambria" w:hAnsi="Cambria"/>
                <w:color w:val="000000"/>
                <w:sz w:val="20"/>
                <w:szCs w:val="20"/>
              </w:rPr>
              <w:t>)</w:t>
            </w:r>
          </w:p>
        </w:tc>
      </w:tr>
      <w:tr w:rsidR="009526DE" w:rsidRPr="009B605C" w14:paraId="50C7B5FD" w14:textId="77777777" w:rsidTr="005E4ADA">
        <w:trPr>
          <w:trHeight w:val="286"/>
        </w:trPr>
        <w:tc>
          <w:tcPr>
            <w:tcW w:w="1985" w:type="dxa"/>
            <w:tcBorders>
              <w:top w:val="nil"/>
              <w:left w:val="nil"/>
              <w:bottom w:val="nil"/>
              <w:right w:val="nil"/>
            </w:tcBorders>
            <w:shd w:val="clear" w:color="auto" w:fill="auto"/>
            <w:noWrap/>
            <w:vAlign w:val="bottom"/>
            <w:hideMark/>
          </w:tcPr>
          <w:p w14:paraId="0EDB2DB8"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Russia</w:t>
            </w:r>
          </w:p>
        </w:tc>
        <w:tc>
          <w:tcPr>
            <w:tcW w:w="1136" w:type="dxa"/>
            <w:tcBorders>
              <w:top w:val="nil"/>
              <w:left w:val="nil"/>
              <w:bottom w:val="nil"/>
              <w:right w:val="nil"/>
            </w:tcBorders>
            <w:shd w:val="clear" w:color="auto" w:fill="auto"/>
            <w:noWrap/>
            <w:vAlign w:val="bottom"/>
            <w:hideMark/>
          </w:tcPr>
          <w:p w14:paraId="0975B02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02F4A15E" w14:textId="797EC65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0.111</w:t>
            </w:r>
          </w:p>
        </w:tc>
        <w:tc>
          <w:tcPr>
            <w:tcW w:w="992" w:type="dxa"/>
            <w:tcBorders>
              <w:top w:val="nil"/>
              <w:left w:val="nil"/>
              <w:bottom w:val="nil"/>
              <w:right w:val="nil"/>
            </w:tcBorders>
            <w:shd w:val="clear" w:color="auto" w:fill="auto"/>
            <w:noWrap/>
            <w:vAlign w:val="bottom"/>
            <w:hideMark/>
          </w:tcPr>
          <w:p w14:paraId="7DDF3FA7" w14:textId="0F73B87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0.109</w:t>
            </w:r>
          </w:p>
        </w:tc>
        <w:tc>
          <w:tcPr>
            <w:tcW w:w="1134" w:type="dxa"/>
            <w:tcBorders>
              <w:top w:val="nil"/>
              <w:left w:val="nil"/>
              <w:bottom w:val="nil"/>
              <w:right w:val="nil"/>
            </w:tcBorders>
            <w:shd w:val="clear" w:color="auto" w:fill="auto"/>
            <w:noWrap/>
            <w:vAlign w:val="bottom"/>
            <w:hideMark/>
          </w:tcPr>
          <w:p w14:paraId="7899E5D3" w14:textId="49AF00D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w:t>
            </w:r>
          </w:p>
        </w:tc>
        <w:tc>
          <w:tcPr>
            <w:tcW w:w="1134" w:type="dxa"/>
            <w:tcBorders>
              <w:top w:val="nil"/>
              <w:left w:val="nil"/>
              <w:bottom w:val="nil"/>
              <w:right w:val="nil"/>
            </w:tcBorders>
            <w:shd w:val="clear" w:color="auto" w:fill="auto"/>
            <w:noWrap/>
            <w:vAlign w:val="bottom"/>
            <w:hideMark/>
          </w:tcPr>
          <w:p w14:paraId="4312BFAC" w14:textId="44AC164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w:t>
            </w:r>
          </w:p>
        </w:tc>
        <w:tc>
          <w:tcPr>
            <w:tcW w:w="1134" w:type="dxa"/>
            <w:tcBorders>
              <w:top w:val="nil"/>
              <w:left w:val="nil"/>
              <w:bottom w:val="nil"/>
              <w:right w:val="nil"/>
            </w:tcBorders>
            <w:shd w:val="clear" w:color="auto" w:fill="auto"/>
            <w:noWrap/>
            <w:vAlign w:val="bottom"/>
            <w:hideMark/>
          </w:tcPr>
          <w:p w14:paraId="414FF23D" w14:textId="41D8915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0.109</w:t>
            </w:r>
          </w:p>
        </w:tc>
        <w:tc>
          <w:tcPr>
            <w:tcW w:w="1134" w:type="dxa"/>
            <w:tcBorders>
              <w:top w:val="nil"/>
              <w:left w:val="nil"/>
              <w:bottom w:val="nil"/>
              <w:right w:val="nil"/>
            </w:tcBorders>
            <w:shd w:val="clear" w:color="auto" w:fill="auto"/>
            <w:noWrap/>
            <w:vAlign w:val="bottom"/>
            <w:hideMark/>
          </w:tcPr>
          <w:p w14:paraId="330CF650" w14:textId="7F3FDB87"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0.111</w:t>
            </w:r>
          </w:p>
        </w:tc>
        <w:tc>
          <w:tcPr>
            <w:tcW w:w="1134" w:type="dxa"/>
            <w:tcBorders>
              <w:top w:val="nil"/>
              <w:left w:val="nil"/>
              <w:bottom w:val="nil"/>
              <w:right w:val="nil"/>
            </w:tcBorders>
            <w:shd w:val="clear" w:color="auto" w:fill="auto"/>
            <w:noWrap/>
            <w:vAlign w:val="bottom"/>
            <w:hideMark/>
          </w:tcPr>
          <w:p w14:paraId="135220F9" w14:textId="1510917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0.111</w:t>
            </w:r>
          </w:p>
        </w:tc>
      </w:tr>
      <w:tr w:rsidR="009526DE" w:rsidRPr="009B605C" w14:paraId="4DD51942" w14:textId="77777777" w:rsidTr="005E4ADA">
        <w:trPr>
          <w:trHeight w:val="286"/>
        </w:trPr>
        <w:tc>
          <w:tcPr>
            <w:tcW w:w="1985" w:type="dxa"/>
            <w:tcBorders>
              <w:top w:val="nil"/>
              <w:left w:val="nil"/>
              <w:bottom w:val="nil"/>
              <w:right w:val="nil"/>
            </w:tcBorders>
            <w:shd w:val="clear" w:color="auto" w:fill="auto"/>
            <w:noWrap/>
            <w:vAlign w:val="bottom"/>
            <w:hideMark/>
          </w:tcPr>
          <w:p w14:paraId="189D9A55"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7136662C"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4EFAA822" w14:textId="7888334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1110DD3" w14:textId="638D19D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64C1998" w14:textId="0A665AA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07E89B4" w14:textId="04358C6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175872F" w14:textId="0C26DBA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4CFC086" w14:textId="5682FF4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119977C" w14:textId="26EDAB6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0.107</w:t>
            </w:r>
            <w:r w:rsidR="005B4778" w:rsidRPr="009B605C">
              <w:rPr>
                <w:rFonts w:ascii="Cambria" w:hAnsi="Cambria"/>
                <w:color w:val="000000"/>
                <w:sz w:val="20"/>
                <w:szCs w:val="20"/>
              </w:rPr>
              <w:t>)</w:t>
            </w:r>
          </w:p>
        </w:tc>
      </w:tr>
      <w:tr w:rsidR="009526DE" w:rsidRPr="009B605C" w14:paraId="2A443372" w14:textId="77777777" w:rsidTr="005E4ADA">
        <w:trPr>
          <w:trHeight w:val="286"/>
        </w:trPr>
        <w:tc>
          <w:tcPr>
            <w:tcW w:w="1985" w:type="dxa"/>
            <w:tcBorders>
              <w:top w:val="nil"/>
              <w:left w:val="nil"/>
              <w:bottom w:val="nil"/>
              <w:right w:val="nil"/>
            </w:tcBorders>
            <w:shd w:val="clear" w:color="auto" w:fill="auto"/>
            <w:noWrap/>
            <w:vAlign w:val="bottom"/>
            <w:hideMark/>
          </w:tcPr>
          <w:p w14:paraId="0336CF13"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68B2BF87"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2C6A7DA8" w14:textId="721FD5F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0.032</w:t>
            </w:r>
          </w:p>
        </w:tc>
        <w:tc>
          <w:tcPr>
            <w:tcW w:w="992" w:type="dxa"/>
            <w:tcBorders>
              <w:top w:val="nil"/>
              <w:left w:val="nil"/>
              <w:bottom w:val="nil"/>
              <w:right w:val="nil"/>
            </w:tcBorders>
            <w:shd w:val="clear" w:color="auto" w:fill="auto"/>
            <w:noWrap/>
            <w:vAlign w:val="bottom"/>
            <w:hideMark/>
          </w:tcPr>
          <w:p w14:paraId="0C6357D2" w14:textId="11C4E6B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5A2CD932" w14:textId="41E6091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0.007</w:t>
            </w:r>
          </w:p>
        </w:tc>
        <w:tc>
          <w:tcPr>
            <w:tcW w:w="1134" w:type="dxa"/>
            <w:tcBorders>
              <w:top w:val="nil"/>
              <w:left w:val="nil"/>
              <w:bottom w:val="nil"/>
              <w:right w:val="nil"/>
            </w:tcBorders>
            <w:shd w:val="clear" w:color="auto" w:fill="auto"/>
            <w:noWrap/>
            <w:vAlign w:val="bottom"/>
            <w:hideMark/>
          </w:tcPr>
          <w:p w14:paraId="05953F11" w14:textId="45EBDC5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0.007</w:t>
            </w:r>
          </w:p>
        </w:tc>
        <w:tc>
          <w:tcPr>
            <w:tcW w:w="1134" w:type="dxa"/>
            <w:tcBorders>
              <w:top w:val="nil"/>
              <w:left w:val="nil"/>
              <w:bottom w:val="nil"/>
              <w:right w:val="nil"/>
            </w:tcBorders>
            <w:shd w:val="clear" w:color="auto" w:fill="auto"/>
            <w:noWrap/>
            <w:vAlign w:val="bottom"/>
            <w:hideMark/>
          </w:tcPr>
          <w:p w14:paraId="49A111DE" w14:textId="05E78C6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43374F4F" w14:textId="2EC1192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3BEA657D" w14:textId="30FF682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0.032</w:t>
            </w:r>
          </w:p>
        </w:tc>
      </w:tr>
      <w:tr w:rsidR="009526DE" w:rsidRPr="009B605C" w14:paraId="77938505" w14:textId="77777777" w:rsidTr="005E4ADA">
        <w:trPr>
          <w:trHeight w:val="286"/>
        </w:trPr>
        <w:tc>
          <w:tcPr>
            <w:tcW w:w="1985" w:type="dxa"/>
            <w:tcBorders>
              <w:top w:val="nil"/>
              <w:left w:val="nil"/>
              <w:bottom w:val="nil"/>
              <w:right w:val="nil"/>
            </w:tcBorders>
            <w:shd w:val="clear" w:color="auto" w:fill="auto"/>
            <w:noWrap/>
            <w:vAlign w:val="bottom"/>
            <w:hideMark/>
          </w:tcPr>
          <w:p w14:paraId="15765763"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78032290"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2B51F7F5" w14:textId="611EB1B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0.024</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2A23F69" w14:textId="44C21DF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567449C" w14:textId="1F49A96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5BFE7A0" w14:textId="27CF73D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E258C2A" w14:textId="77D6E47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17EF315" w14:textId="62F90C1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0.003</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E4065F0" w14:textId="2EFB9D9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0.024</w:t>
            </w:r>
            <w:r w:rsidR="005B4778" w:rsidRPr="009B605C">
              <w:rPr>
                <w:rFonts w:ascii="Cambria" w:hAnsi="Cambria"/>
                <w:color w:val="000000"/>
                <w:sz w:val="20"/>
                <w:szCs w:val="20"/>
              </w:rPr>
              <w:t>)</w:t>
            </w:r>
          </w:p>
        </w:tc>
      </w:tr>
      <w:tr w:rsidR="009526DE" w:rsidRPr="009B605C" w14:paraId="51AF9C4E" w14:textId="77777777" w:rsidTr="005E4ADA">
        <w:trPr>
          <w:trHeight w:val="286"/>
        </w:trPr>
        <w:tc>
          <w:tcPr>
            <w:tcW w:w="1985" w:type="dxa"/>
            <w:tcBorders>
              <w:top w:val="nil"/>
              <w:left w:val="nil"/>
              <w:bottom w:val="nil"/>
              <w:right w:val="nil"/>
            </w:tcBorders>
            <w:shd w:val="clear" w:color="auto" w:fill="auto"/>
            <w:noWrap/>
            <w:vAlign w:val="bottom"/>
            <w:hideMark/>
          </w:tcPr>
          <w:p w14:paraId="7163130A"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India</w:t>
            </w:r>
          </w:p>
        </w:tc>
        <w:tc>
          <w:tcPr>
            <w:tcW w:w="1136" w:type="dxa"/>
            <w:tcBorders>
              <w:top w:val="nil"/>
              <w:left w:val="nil"/>
              <w:bottom w:val="nil"/>
              <w:right w:val="nil"/>
            </w:tcBorders>
            <w:shd w:val="clear" w:color="auto" w:fill="auto"/>
            <w:noWrap/>
            <w:vAlign w:val="bottom"/>
            <w:hideMark/>
          </w:tcPr>
          <w:p w14:paraId="00DE5B27"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6D5B85A9" w14:textId="6B44695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0.04</w:t>
            </w:r>
          </w:p>
        </w:tc>
        <w:tc>
          <w:tcPr>
            <w:tcW w:w="992" w:type="dxa"/>
            <w:tcBorders>
              <w:top w:val="nil"/>
              <w:left w:val="nil"/>
              <w:bottom w:val="nil"/>
              <w:right w:val="nil"/>
            </w:tcBorders>
            <w:shd w:val="clear" w:color="auto" w:fill="auto"/>
            <w:noWrap/>
            <w:vAlign w:val="bottom"/>
            <w:hideMark/>
          </w:tcPr>
          <w:p w14:paraId="6B23A1D3" w14:textId="70AEA61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0.039</w:t>
            </w:r>
          </w:p>
        </w:tc>
        <w:tc>
          <w:tcPr>
            <w:tcW w:w="1134" w:type="dxa"/>
            <w:tcBorders>
              <w:top w:val="nil"/>
              <w:left w:val="nil"/>
              <w:bottom w:val="nil"/>
              <w:right w:val="nil"/>
            </w:tcBorders>
            <w:shd w:val="clear" w:color="auto" w:fill="auto"/>
            <w:noWrap/>
            <w:vAlign w:val="bottom"/>
            <w:hideMark/>
          </w:tcPr>
          <w:p w14:paraId="51040394" w14:textId="44E16D1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0.039</w:t>
            </w:r>
          </w:p>
        </w:tc>
        <w:tc>
          <w:tcPr>
            <w:tcW w:w="1134" w:type="dxa"/>
            <w:tcBorders>
              <w:top w:val="nil"/>
              <w:left w:val="nil"/>
              <w:bottom w:val="nil"/>
              <w:right w:val="nil"/>
            </w:tcBorders>
            <w:shd w:val="clear" w:color="auto" w:fill="auto"/>
            <w:noWrap/>
            <w:vAlign w:val="bottom"/>
            <w:hideMark/>
          </w:tcPr>
          <w:p w14:paraId="220A1C36" w14:textId="434C2B3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0.039</w:t>
            </w:r>
          </w:p>
        </w:tc>
        <w:tc>
          <w:tcPr>
            <w:tcW w:w="1134" w:type="dxa"/>
            <w:tcBorders>
              <w:top w:val="nil"/>
              <w:left w:val="nil"/>
              <w:bottom w:val="nil"/>
              <w:right w:val="nil"/>
            </w:tcBorders>
            <w:shd w:val="clear" w:color="auto" w:fill="auto"/>
            <w:noWrap/>
            <w:vAlign w:val="bottom"/>
            <w:hideMark/>
          </w:tcPr>
          <w:p w14:paraId="78E8F61E" w14:textId="1596548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0.039</w:t>
            </w:r>
          </w:p>
        </w:tc>
        <w:tc>
          <w:tcPr>
            <w:tcW w:w="1134" w:type="dxa"/>
            <w:tcBorders>
              <w:top w:val="nil"/>
              <w:left w:val="nil"/>
              <w:bottom w:val="nil"/>
              <w:right w:val="nil"/>
            </w:tcBorders>
            <w:shd w:val="clear" w:color="auto" w:fill="auto"/>
            <w:noWrap/>
            <w:vAlign w:val="bottom"/>
            <w:hideMark/>
          </w:tcPr>
          <w:p w14:paraId="1C36C713" w14:textId="16DE9DB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0.038</w:t>
            </w:r>
          </w:p>
        </w:tc>
        <w:tc>
          <w:tcPr>
            <w:tcW w:w="1134" w:type="dxa"/>
            <w:tcBorders>
              <w:top w:val="nil"/>
              <w:left w:val="nil"/>
              <w:bottom w:val="nil"/>
              <w:right w:val="nil"/>
            </w:tcBorders>
            <w:shd w:val="clear" w:color="auto" w:fill="auto"/>
            <w:noWrap/>
            <w:vAlign w:val="bottom"/>
            <w:hideMark/>
          </w:tcPr>
          <w:p w14:paraId="7C7FE636" w14:textId="3F10DDE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0.04</w:t>
            </w:r>
          </w:p>
        </w:tc>
      </w:tr>
      <w:tr w:rsidR="009526DE" w:rsidRPr="009B605C" w14:paraId="384B7C44" w14:textId="77777777" w:rsidTr="005E4ADA">
        <w:trPr>
          <w:trHeight w:val="286"/>
        </w:trPr>
        <w:tc>
          <w:tcPr>
            <w:tcW w:w="1985" w:type="dxa"/>
            <w:tcBorders>
              <w:top w:val="nil"/>
              <w:left w:val="nil"/>
              <w:bottom w:val="nil"/>
              <w:right w:val="nil"/>
            </w:tcBorders>
            <w:shd w:val="clear" w:color="auto" w:fill="auto"/>
            <w:noWrap/>
            <w:vAlign w:val="bottom"/>
            <w:hideMark/>
          </w:tcPr>
          <w:p w14:paraId="590C2B62"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2E940A4"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0961BEF4" w14:textId="35A0709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05E75549" w14:textId="39ED107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6BF7F4E" w14:textId="3B0E1FF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B838623" w14:textId="46D32BD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FBDCC67" w14:textId="5F1F032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F573D2B" w14:textId="2725DB11"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0.059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50D28BD6" w14:textId="65DBB33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r>
      <w:tr w:rsidR="009526DE" w:rsidRPr="009B605C" w14:paraId="788B7E65" w14:textId="77777777" w:rsidTr="005E4ADA">
        <w:trPr>
          <w:trHeight w:val="286"/>
        </w:trPr>
        <w:tc>
          <w:tcPr>
            <w:tcW w:w="1985" w:type="dxa"/>
            <w:tcBorders>
              <w:top w:val="nil"/>
              <w:left w:val="nil"/>
              <w:bottom w:val="nil"/>
              <w:right w:val="nil"/>
            </w:tcBorders>
            <w:shd w:val="clear" w:color="auto" w:fill="auto"/>
            <w:noWrap/>
            <w:vAlign w:val="bottom"/>
            <w:hideMark/>
          </w:tcPr>
          <w:p w14:paraId="42EB0948"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DCFDB0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3A13A85D" w14:textId="6BA950D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0.022</w:t>
            </w:r>
          </w:p>
        </w:tc>
        <w:tc>
          <w:tcPr>
            <w:tcW w:w="992" w:type="dxa"/>
            <w:tcBorders>
              <w:top w:val="nil"/>
              <w:left w:val="nil"/>
              <w:bottom w:val="nil"/>
              <w:right w:val="nil"/>
            </w:tcBorders>
            <w:shd w:val="clear" w:color="auto" w:fill="auto"/>
            <w:noWrap/>
            <w:vAlign w:val="bottom"/>
            <w:hideMark/>
          </w:tcPr>
          <w:p w14:paraId="1F2ED06D" w14:textId="3E785878"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61FEBADD" w14:textId="146723E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0453A541" w14:textId="36E782E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0.006</w:t>
            </w:r>
          </w:p>
        </w:tc>
        <w:tc>
          <w:tcPr>
            <w:tcW w:w="1134" w:type="dxa"/>
            <w:tcBorders>
              <w:top w:val="nil"/>
              <w:left w:val="nil"/>
              <w:bottom w:val="nil"/>
              <w:right w:val="nil"/>
            </w:tcBorders>
            <w:shd w:val="clear" w:color="auto" w:fill="auto"/>
            <w:noWrap/>
            <w:vAlign w:val="bottom"/>
            <w:hideMark/>
          </w:tcPr>
          <w:p w14:paraId="17F7507C" w14:textId="68A3665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05D75C6C" w14:textId="1BEDB92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320157A1" w14:textId="690DEEC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0.022</w:t>
            </w:r>
          </w:p>
        </w:tc>
      </w:tr>
      <w:tr w:rsidR="009526DE" w:rsidRPr="009B605C" w14:paraId="2721E26A" w14:textId="77777777" w:rsidTr="005E4ADA">
        <w:trPr>
          <w:trHeight w:val="286"/>
        </w:trPr>
        <w:tc>
          <w:tcPr>
            <w:tcW w:w="1985" w:type="dxa"/>
            <w:tcBorders>
              <w:top w:val="nil"/>
              <w:left w:val="nil"/>
              <w:bottom w:val="nil"/>
              <w:right w:val="nil"/>
            </w:tcBorders>
            <w:shd w:val="clear" w:color="auto" w:fill="auto"/>
            <w:noWrap/>
            <w:vAlign w:val="bottom"/>
            <w:hideMark/>
          </w:tcPr>
          <w:p w14:paraId="1A7CF0C4"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62D3D49"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5094E832" w14:textId="4A802AD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0.026</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7B9C955C" w14:textId="52A82CC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0.009</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11AEA66" w14:textId="4926A9F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09F2E2F" w14:textId="1475505D"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5BBA6D4" w14:textId="20F210B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AFBE01D" w14:textId="552A625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BD1B538" w14:textId="2F84DF9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0.026</w:t>
            </w:r>
            <w:r w:rsidR="005B4778" w:rsidRPr="009B605C">
              <w:rPr>
                <w:rFonts w:ascii="Cambria" w:hAnsi="Cambria"/>
                <w:color w:val="000000"/>
                <w:sz w:val="20"/>
                <w:szCs w:val="20"/>
              </w:rPr>
              <w:t>)</w:t>
            </w:r>
          </w:p>
        </w:tc>
      </w:tr>
      <w:tr w:rsidR="009526DE" w:rsidRPr="009B605C" w14:paraId="7EB10FC1" w14:textId="77777777" w:rsidTr="005E4ADA">
        <w:trPr>
          <w:trHeight w:val="286"/>
        </w:trPr>
        <w:tc>
          <w:tcPr>
            <w:tcW w:w="1985" w:type="dxa"/>
            <w:tcBorders>
              <w:top w:val="nil"/>
              <w:left w:val="nil"/>
              <w:bottom w:val="nil"/>
              <w:right w:val="nil"/>
            </w:tcBorders>
            <w:shd w:val="clear" w:color="auto" w:fill="auto"/>
            <w:noWrap/>
            <w:vAlign w:val="bottom"/>
            <w:hideMark/>
          </w:tcPr>
          <w:p w14:paraId="59F7B168"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China</w:t>
            </w:r>
          </w:p>
        </w:tc>
        <w:tc>
          <w:tcPr>
            <w:tcW w:w="1136" w:type="dxa"/>
            <w:tcBorders>
              <w:top w:val="nil"/>
              <w:left w:val="nil"/>
              <w:bottom w:val="nil"/>
              <w:right w:val="nil"/>
            </w:tcBorders>
            <w:shd w:val="clear" w:color="auto" w:fill="auto"/>
            <w:noWrap/>
            <w:vAlign w:val="bottom"/>
            <w:hideMark/>
          </w:tcPr>
          <w:p w14:paraId="0E5DC5C4"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3E78A1A8" w14:textId="5F7DD2D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w:t>
            </w:r>
          </w:p>
        </w:tc>
        <w:tc>
          <w:tcPr>
            <w:tcW w:w="992" w:type="dxa"/>
            <w:tcBorders>
              <w:top w:val="nil"/>
              <w:left w:val="nil"/>
              <w:bottom w:val="nil"/>
              <w:right w:val="nil"/>
            </w:tcBorders>
            <w:shd w:val="clear" w:color="auto" w:fill="auto"/>
            <w:noWrap/>
            <w:vAlign w:val="bottom"/>
            <w:hideMark/>
          </w:tcPr>
          <w:p w14:paraId="34DE7F60" w14:textId="239CE2E6"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0.112</w:t>
            </w:r>
          </w:p>
        </w:tc>
        <w:tc>
          <w:tcPr>
            <w:tcW w:w="1134" w:type="dxa"/>
            <w:tcBorders>
              <w:top w:val="nil"/>
              <w:left w:val="nil"/>
              <w:bottom w:val="nil"/>
              <w:right w:val="nil"/>
            </w:tcBorders>
            <w:shd w:val="clear" w:color="auto" w:fill="auto"/>
            <w:noWrap/>
            <w:vAlign w:val="bottom"/>
            <w:hideMark/>
          </w:tcPr>
          <w:p w14:paraId="56C95B71" w14:textId="66546AA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0.112</w:t>
            </w:r>
          </w:p>
        </w:tc>
        <w:tc>
          <w:tcPr>
            <w:tcW w:w="1134" w:type="dxa"/>
            <w:tcBorders>
              <w:top w:val="nil"/>
              <w:left w:val="nil"/>
              <w:bottom w:val="nil"/>
              <w:right w:val="nil"/>
            </w:tcBorders>
            <w:shd w:val="clear" w:color="auto" w:fill="auto"/>
            <w:noWrap/>
            <w:vAlign w:val="bottom"/>
            <w:hideMark/>
          </w:tcPr>
          <w:p w14:paraId="05C5E887" w14:textId="4849D81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0.112</w:t>
            </w:r>
          </w:p>
        </w:tc>
        <w:tc>
          <w:tcPr>
            <w:tcW w:w="1134" w:type="dxa"/>
            <w:tcBorders>
              <w:top w:val="nil"/>
              <w:left w:val="nil"/>
              <w:bottom w:val="nil"/>
              <w:right w:val="nil"/>
            </w:tcBorders>
            <w:shd w:val="clear" w:color="auto" w:fill="auto"/>
            <w:noWrap/>
            <w:vAlign w:val="bottom"/>
            <w:hideMark/>
          </w:tcPr>
          <w:p w14:paraId="14763ACB" w14:textId="33A1825A"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0.113</w:t>
            </w:r>
          </w:p>
        </w:tc>
        <w:tc>
          <w:tcPr>
            <w:tcW w:w="1134" w:type="dxa"/>
            <w:tcBorders>
              <w:top w:val="nil"/>
              <w:left w:val="nil"/>
              <w:bottom w:val="nil"/>
              <w:right w:val="nil"/>
            </w:tcBorders>
            <w:shd w:val="clear" w:color="auto" w:fill="auto"/>
            <w:noWrap/>
            <w:vAlign w:val="bottom"/>
            <w:hideMark/>
          </w:tcPr>
          <w:p w14:paraId="16BA369F" w14:textId="1DC49189"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0.112</w:t>
            </w:r>
          </w:p>
        </w:tc>
        <w:tc>
          <w:tcPr>
            <w:tcW w:w="1134" w:type="dxa"/>
            <w:tcBorders>
              <w:top w:val="nil"/>
              <w:left w:val="nil"/>
              <w:bottom w:val="nil"/>
              <w:right w:val="nil"/>
            </w:tcBorders>
            <w:shd w:val="clear" w:color="auto" w:fill="auto"/>
            <w:noWrap/>
            <w:vAlign w:val="bottom"/>
            <w:hideMark/>
          </w:tcPr>
          <w:p w14:paraId="00CE2012" w14:textId="5AB1265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0.11</w:t>
            </w:r>
          </w:p>
        </w:tc>
      </w:tr>
      <w:tr w:rsidR="009526DE" w:rsidRPr="009B605C" w14:paraId="61213DA1" w14:textId="77777777" w:rsidTr="005E4ADA">
        <w:trPr>
          <w:trHeight w:val="286"/>
        </w:trPr>
        <w:tc>
          <w:tcPr>
            <w:tcW w:w="1985" w:type="dxa"/>
            <w:tcBorders>
              <w:top w:val="nil"/>
              <w:left w:val="nil"/>
              <w:bottom w:val="nil"/>
              <w:right w:val="nil"/>
            </w:tcBorders>
            <w:shd w:val="clear" w:color="auto" w:fill="auto"/>
            <w:noWrap/>
            <w:vAlign w:val="bottom"/>
            <w:hideMark/>
          </w:tcPr>
          <w:p w14:paraId="69B64850"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11010B58"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701CE01E" w14:textId="3B4EA2C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1ECEE519" w14:textId="1A6CB70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237AFDA" w14:textId="7AB2B35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D61E16A" w14:textId="2FCDCD9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1F116139" w14:textId="0DD39929"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8CB9DA6" w14:textId="490E1BA4"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66BD042" w14:textId="7EBE8C5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0.062</w:t>
            </w:r>
            <w:r w:rsidR="005B4778" w:rsidRPr="009B605C">
              <w:rPr>
                <w:rFonts w:ascii="Cambria" w:hAnsi="Cambria"/>
                <w:color w:val="000000"/>
                <w:sz w:val="20"/>
                <w:szCs w:val="20"/>
              </w:rPr>
              <w:t>)</w:t>
            </w:r>
          </w:p>
        </w:tc>
      </w:tr>
      <w:tr w:rsidR="009526DE" w:rsidRPr="009B605C" w14:paraId="65302DF8" w14:textId="77777777" w:rsidTr="005E4ADA">
        <w:trPr>
          <w:trHeight w:val="286"/>
        </w:trPr>
        <w:tc>
          <w:tcPr>
            <w:tcW w:w="1985" w:type="dxa"/>
            <w:tcBorders>
              <w:top w:val="nil"/>
              <w:left w:val="nil"/>
              <w:bottom w:val="nil"/>
              <w:right w:val="nil"/>
            </w:tcBorders>
            <w:shd w:val="clear" w:color="auto" w:fill="auto"/>
            <w:noWrap/>
            <w:vAlign w:val="bottom"/>
            <w:hideMark/>
          </w:tcPr>
          <w:p w14:paraId="53463888"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47F39A97"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677E5CE2" w14:textId="79119D67"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0.018</w:t>
            </w:r>
          </w:p>
        </w:tc>
        <w:tc>
          <w:tcPr>
            <w:tcW w:w="992" w:type="dxa"/>
            <w:tcBorders>
              <w:top w:val="nil"/>
              <w:left w:val="nil"/>
              <w:bottom w:val="nil"/>
              <w:right w:val="nil"/>
            </w:tcBorders>
            <w:shd w:val="clear" w:color="auto" w:fill="auto"/>
            <w:noWrap/>
            <w:vAlign w:val="bottom"/>
            <w:hideMark/>
          </w:tcPr>
          <w:p w14:paraId="75BE359F" w14:textId="5CA260A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0.003</w:t>
            </w:r>
          </w:p>
        </w:tc>
        <w:tc>
          <w:tcPr>
            <w:tcW w:w="1134" w:type="dxa"/>
            <w:tcBorders>
              <w:top w:val="nil"/>
              <w:left w:val="nil"/>
              <w:bottom w:val="nil"/>
              <w:right w:val="nil"/>
            </w:tcBorders>
            <w:shd w:val="clear" w:color="auto" w:fill="auto"/>
            <w:noWrap/>
            <w:vAlign w:val="bottom"/>
            <w:hideMark/>
          </w:tcPr>
          <w:p w14:paraId="1D1C07B4" w14:textId="03BA017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0.004</w:t>
            </w:r>
          </w:p>
        </w:tc>
        <w:tc>
          <w:tcPr>
            <w:tcW w:w="1134" w:type="dxa"/>
            <w:tcBorders>
              <w:top w:val="nil"/>
              <w:left w:val="nil"/>
              <w:bottom w:val="nil"/>
              <w:right w:val="nil"/>
            </w:tcBorders>
            <w:shd w:val="clear" w:color="auto" w:fill="auto"/>
            <w:noWrap/>
            <w:vAlign w:val="bottom"/>
            <w:hideMark/>
          </w:tcPr>
          <w:p w14:paraId="57605071" w14:textId="62FC250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0.004</w:t>
            </w:r>
          </w:p>
        </w:tc>
        <w:tc>
          <w:tcPr>
            <w:tcW w:w="1134" w:type="dxa"/>
            <w:tcBorders>
              <w:top w:val="nil"/>
              <w:left w:val="nil"/>
              <w:bottom w:val="nil"/>
              <w:right w:val="nil"/>
            </w:tcBorders>
            <w:shd w:val="clear" w:color="auto" w:fill="auto"/>
            <w:noWrap/>
            <w:vAlign w:val="bottom"/>
            <w:hideMark/>
          </w:tcPr>
          <w:p w14:paraId="24FAE6E7" w14:textId="70302884"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-0.001</w:t>
            </w:r>
          </w:p>
        </w:tc>
        <w:tc>
          <w:tcPr>
            <w:tcW w:w="1134" w:type="dxa"/>
            <w:tcBorders>
              <w:top w:val="nil"/>
              <w:left w:val="nil"/>
              <w:bottom w:val="nil"/>
              <w:right w:val="nil"/>
            </w:tcBorders>
            <w:shd w:val="clear" w:color="auto" w:fill="auto"/>
            <w:noWrap/>
            <w:vAlign w:val="bottom"/>
            <w:hideMark/>
          </w:tcPr>
          <w:p w14:paraId="4878FC51" w14:textId="4E7326BE"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64748571" w14:textId="4AB4B1FC"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0.018</w:t>
            </w:r>
          </w:p>
        </w:tc>
      </w:tr>
      <w:tr w:rsidR="009526DE" w:rsidRPr="009B605C" w14:paraId="3DB4BF47" w14:textId="77777777" w:rsidTr="005E4ADA">
        <w:trPr>
          <w:trHeight w:val="286"/>
        </w:trPr>
        <w:tc>
          <w:tcPr>
            <w:tcW w:w="1985" w:type="dxa"/>
            <w:tcBorders>
              <w:top w:val="nil"/>
              <w:left w:val="nil"/>
              <w:bottom w:val="nil"/>
              <w:right w:val="nil"/>
            </w:tcBorders>
            <w:shd w:val="clear" w:color="auto" w:fill="auto"/>
            <w:noWrap/>
            <w:vAlign w:val="bottom"/>
            <w:hideMark/>
          </w:tcPr>
          <w:p w14:paraId="04606ED8"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2890F97"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5F27D365" w14:textId="3C25878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0.021</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15E5A4BC" w14:textId="51F0815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5ED7F04" w14:textId="21CE571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32E7134" w14:textId="31C7297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0.012</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7B9ACEF" w14:textId="6E01841C"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392C2CE2" w14:textId="05FC816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6EC2AEB1" w14:textId="09EE1C92"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0.021</w:t>
            </w:r>
            <w:r w:rsidR="005B4778" w:rsidRPr="009B605C">
              <w:rPr>
                <w:rFonts w:ascii="Cambria" w:hAnsi="Cambria"/>
                <w:color w:val="000000"/>
                <w:sz w:val="20"/>
                <w:szCs w:val="20"/>
              </w:rPr>
              <w:t>)</w:t>
            </w:r>
          </w:p>
        </w:tc>
      </w:tr>
      <w:tr w:rsidR="009526DE" w:rsidRPr="009B605C" w14:paraId="08B6EBFA" w14:textId="77777777" w:rsidTr="005E4ADA">
        <w:trPr>
          <w:trHeight w:val="286"/>
        </w:trPr>
        <w:tc>
          <w:tcPr>
            <w:tcW w:w="1985" w:type="dxa"/>
            <w:tcBorders>
              <w:top w:val="nil"/>
              <w:left w:val="nil"/>
              <w:bottom w:val="nil"/>
              <w:right w:val="nil"/>
            </w:tcBorders>
            <w:shd w:val="clear" w:color="auto" w:fill="auto"/>
            <w:noWrap/>
            <w:vAlign w:val="bottom"/>
            <w:hideMark/>
          </w:tcPr>
          <w:p w14:paraId="5A1ACDC0"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South Africa</w:t>
            </w:r>
          </w:p>
        </w:tc>
        <w:tc>
          <w:tcPr>
            <w:tcW w:w="1136" w:type="dxa"/>
            <w:tcBorders>
              <w:top w:val="nil"/>
              <w:left w:val="nil"/>
              <w:bottom w:val="nil"/>
              <w:right w:val="nil"/>
            </w:tcBorders>
            <w:shd w:val="clear" w:color="auto" w:fill="auto"/>
            <w:noWrap/>
            <w:vAlign w:val="bottom"/>
            <w:hideMark/>
          </w:tcPr>
          <w:p w14:paraId="5154191D"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Gold</w:t>
            </w:r>
          </w:p>
        </w:tc>
        <w:tc>
          <w:tcPr>
            <w:tcW w:w="991" w:type="dxa"/>
            <w:tcBorders>
              <w:top w:val="nil"/>
              <w:left w:val="nil"/>
              <w:bottom w:val="nil"/>
              <w:right w:val="nil"/>
            </w:tcBorders>
            <w:shd w:val="clear" w:color="auto" w:fill="auto"/>
            <w:noWrap/>
            <w:vAlign w:val="bottom"/>
            <w:hideMark/>
          </w:tcPr>
          <w:p w14:paraId="225449A0" w14:textId="3B35640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0.304</w:t>
            </w:r>
          </w:p>
        </w:tc>
        <w:tc>
          <w:tcPr>
            <w:tcW w:w="992" w:type="dxa"/>
            <w:tcBorders>
              <w:top w:val="nil"/>
              <w:left w:val="nil"/>
              <w:bottom w:val="nil"/>
              <w:right w:val="nil"/>
            </w:tcBorders>
            <w:shd w:val="clear" w:color="auto" w:fill="auto"/>
            <w:noWrap/>
            <w:vAlign w:val="bottom"/>
            <w:hideMark/>
          </w:tcPr>
          <w:p w14:paraId="16993BAB" w14:textId="5C265342"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0.303</w:t>
            </w:r>
          </w:p>
        </w:tc>
        <w:tc>
          <w:tcPr>
            <w:tcW w:w="1134" w:type="dxa"/>
            <w:tcBorders>
              <w:top w:val="nil"/>
              <w:left w:val="nil"/>
              <w:bottom w:val="nil"/>
              <w:right w:val="nil"/>
            </w:tcBorders>
            <w:shd w:val="clear" w:color="auto" w:fill="auto"/>
            <w:noWrap/>
            <w:vAlign w:val="bottom"/>
            <w:hideMark/>
          </w:tcPr>
          <w:p w14:paraId="0F92DFF9" w14:textId="656AB12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0.304</w:t>
            </w:r>
          </w:p>
        </w:tc>
        <w:tc>
          <w:tcPr>
            <w:tcW w:w="1134" w:type="dxa"/>
            <w:tcBorders>
              <w:top w:val="nil"/>
              <w:left w:val="nil"/>
              <w:bottom w:val="nil"/>
              <w:right w:val="nil"/>
            </w:tcBorders>
            <w:shd w:val="clear" w:color="auto" w:fill="auto"/>
            <w:noWrap/>
            <w:vAlign w:val="bottom"/>
            <w:hideMark/>
          </w:tcPr>
          <w:p w14:paraId="10A70690" w14:textId="0CC3A5D3"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0.304</w:t>
            </w:r>
          </w:p>
        </w:tc>
        <w:tc>
          <w:tcPr>
            <w:tcW w:w="1134" w:type="dxa"/>
            <w:tcBorders>
              <w:top w:val="nil"/>
              <w:left w:val="nil"/>
              <w:bottom w:val="nil"/>
              <w:right w:val="nil"/>
            </w:tcBorders>
            <w:shd w:val="clear" w:color="auto" w:fill="auto"/>
            <w:noWrap/>
            <w:vAlign w:val="bottom"/>
            <w:hideMark/>
          </w:tcPr>
          <w:p w14:paraId="72B37124" w14:textId="200457D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0.303</w:t>
            </w:r>
          </w:p>
        </w:tc>
        <w:tc>
          <w:tcPr>
            <w:tcW w:w="1134" w:type="dxa"/>
            <w:tcBorders>
              <w:top w:val="nil"/>
              <w:left w:val="nil"/>
              <w:bottom w:val="nil"/>
              <w:right w:val="nil"/>
            </w:tcBorders>
            <w:shd w:val="clear" w:color="auto" w:fill="auto"/>
            <w:noWrap/>
            <w:vAlign w:val="bottom"/>
            <w:hideMark/>
          </w:tcPr>
          <w:p w14:paraId="69086012" w14:textId="471337B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0.303</w:t>
            </w:r>
          </w:p>
        </w:tc>
        <w:tc>
          <w:tcPr>
            <w:tcW w:w="1134" w:type="dxa"/>
            <w:tcBorders>
              <w:top w:val="nil"/>
              <w:left w:val="nil"/>
              <w:bottom w:val="nil"/>
              <w:right w:val="nil"/>
            </w:tcBorders>
            <w:shd w:val="clear" w:color="auto" w:fill="auto"/>
            <w:noWrap/>
            <w:vAlign w:val="bottom"/>
            <w:hideMark/>
          </w:tcPr>
          <w:p w14:paraId="015A8542" w14:textId="488D127C"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0.304</w:t>
            </w:r>
          </w:p>
        </w:tc>
      </w:tr>
      <w:tr w:rsidR="009526DE" w:rsidRPr="009B605C" w14:paraId="32D7B622" w14:textId="77777777" w:rsidTr="005E4ADA">
        <w:trPr>
          <w:trHeight w:val="286"/>
        </w:trPr>
        <w:tc>
          <w:tcPr>
            <w:tcW w:w="1985" w:type="dxa"/>
            <w:tcBorders>
              <w:top w:val="nil"/>
              <w:left w:val="nil"/>
              <w:bottom w:val="nil"/>
              <w:right w:val="nil"/>
            </w:tcBorders>
            <w:shd w:val="clear" w:color="auto" w:fill="auto"/>
            <w:noWrap/>
            <w:vAlign w:val="bottom"/>
            <w:hideMark/>
          </w:tcPr>
          <w:p w14:paraId="6C8795BC"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28883051" w14:textId="77777777" w:rsidR="009526DE" w:rsidRPr="009B605C" w:rsidRDefault="009526DE" w:rsidP="0087752F">
            <w:pPr>
              <w:rPr>
                <w:rFonts w:ascii="Cambria" w:hAnsi="Cambria"/>
                <w:sz w:val="20"/>
                <w:szCs w:val="20"/>
              </w:rPr>
            </w:pPr>
          </w:p>
        </w:tc>
        <w:tc>
          <w:tcPr>
            <w:tcW w:w="991" w:type="dxa"/>
            <w:tcBorders>
              <w:top w:val="nil"/>
              <w:left w:val="nil"/>
              <w:bottom w:val="nil"/>
              <w:right w:val="nil"/>
            </w:tcBorders>
            <w:shd w:val="clear" w:color="auto" w:fill="auto"/>
            <w:noWrap/>
            <w:vAlign w:val="bottom"/>
            <w:hideMark/>
          </w:tcPr>
          <w:p w14:paraId="0BB25B96" w14:textId="1D4C2033"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0.156</w:t>
            </w:r>
            <w:r w:rsidR="005B4778" w:rsidRPr="009B605C">
              <w:rPr>
                <w:rFonts w:ascii="Cambria" w:hAnsi="Cambria"/>
                <w:color w:val="000000"/>
                <w:sz w:val="20"/>
                <w:szCs w:val="20"/>
              </w:rPr>
              <w:t>)</w:t>
            </w:r>
          </w:p>
        </w:tc>
        <w:tc>
          <w:tcPr>
            <w:tcW w:w="992" w:type="dxa"/>
            <w:tcBorders>
              <w:top w:val="nil"/>
              <w:left w:val="nil"/>
              <w:bottom w:val="nil"/>
              <w:right w:val="nil"/>
            </w:tcBorders>
            <w:shd w:val="clear" w:color="auto" w:fill="auto"/>
            <w:noWrap/>
            <w:vAlign w:val="bottom"/>
            <w:hideMark/>
          </w:tcPr>
          <w:p w14:paraId="547039E5" w14:textId="3FC511D5"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7069ED11" w14:textId="3DFF5A6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2AB88E14" w14:textId="7FA0AD1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52F5422" w14:textId="44EE3EB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03BB5F0B" w14:textId="35CC655B"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0.154</w:t>
            </w:r>
            <w:r w:rsidR="005B4778" w:rsidRPr="009B605C">
              <w:rPr>
                <w:rFonts w:ascii="Cambria" w:hAnsi="Cambria"/>
                <w:color w:val="000000"/>
                <w:sz w:val="20"/>
                <w:szCs w:val="20"/>
              </w:rPr>
              <w:t>)</w:t>
            </w:r>
          </w:p>
        </w:tc>
        <w:tc>
          <w:tcPr>
            <w:tcW w:w="1134" w:type="dxa"/>
            <w:tcBorders>
              <w:top w:val="nil"/>
              <w:left w:val="nil"/>
              <w:bottom w:val="nil"/>
              <w:right w:val="nil"/>
            </w:tcBorders>
            <w:shd w:val="clear" w:color="auto" w:fill="auto"/>
            <w:noWrap/>
            <w:vAlign w:val="bottom"/>
            <w:hideMark/>
          </w:tcPr>
          <w:p w14:paraId="4639CF6F" w14:textId="08EA678F"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0.156</w:t>
            </w:r>
            <w:r w:rsidR="005B4778" w:rsidRPr="009B605C">
              <w:rPr>
                <w:rFonts w:ascii="Cambria" w:hAnsi="Cambria"/>
                <w:color w:val="000000"/>
                <w:sz w:val="20"/>
                <w:szCs w:val="20"/>
              </w:rPr>
              <w:t>)</w:t>
            </w:r>
          </w:p>
        </w:tc>
      </w:tr>
      <w:tr w:rsidR="009526DE" w:rsidRPr="009B605C" w14:paraId="36F656A3" w14:textId="77777777" w:rsidTr="005E4ADA">
        <w:trPr>
          <w:trHeight w:val="286"/>
        </w:trPr>
        <w:tc>
          <w:tcPr>
            <w:tcW w:w="1985" w:type="dxa"/>
            <w:tcBorders>
              <w:top w:val="nil"/>
              <w:left w:val="nil"/>
              <w:bottom w:val="nil"/>
              <w:right w:val="nil"/>
            </w:tcBorders>
            <w:shd w:val="clear" w:color="auto" w:fill="auto"/>
            <w:noWrap/>
            <w:vAlign w:val="bottom"/>
            <w:hideMark/>
          </w:tcPr>
          <w:p w14:paraId="187303E8"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nil"/>
              <w:right w:val="nil"/>
            </w:tcBorders>
            <w:shd w:val="clear" w:color="auto" w:fill="auto"/>
            <w:noWrap/>
            <w:vAlign w:val="bottom"/>
            <w:hideMark/>
          </w:tcPr>
          <w:p w14:paraId="0F698EAF" w14:textId="77777777" w:rsidR="009526DE" w:rsidRPr="009B605C" w:rsidRDefault="009526DE" w:rsidP="0087752F">
            <w:pPr>
              <w:rPr>
                <w:rFonts w:ascii="Cambria" w:hAnsi="Cambria"/>
                <w:color w:val="000000"/>
                <w:sz w:val="20"/>
                <w:szCs w:val="20"/>
              </w:rPr>
            </w:pPr>
            <w:r w:rsidRPr="009B605C">
              <w:rPr>
                <w:rFonts w:ascii="Cambria" w:hAnsi="Cambria"/>
                <w:color w:val="000000"/>
                <w:sz w:val="20"/>
                <w:szCs w:val="20"/>
              </w:rPr>
              <w:t>Crypto</w:t>
            </w:r>
          </w:p>
        </w:tc>
        <w:tc>
          <w:tcPr>
            <w:tcW w:w="991" w:type="dxa"/>
            <w:tcBorders>
              <w:top w:val="nil"/>
              <w:left w:val="nil"/>
              <w:bottom w:val="nil"/>
              <w:right w:val="nil"/>
            </w:tcBorders>
            <w:shd w:val="clear" w:color="auto" w:fill="auto"/>
            <w:noWrap/>
            <w:vAlign w:val="bottom"/>
            <w:hideMark/>
          </w:tcPr>
          <w:p w14:paraId="5F939A47" w14:textId="4E1F7E5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w:t>
            </w:r>
          </w:p>
        </w:tc>
        <w:tc>
          <w:tcPr>
            <w:tcW w:w="992" w:type="dxa"/>
            <w:tcBorders>
              <w:top w:val="nil"/>
              <w:left w:val="nil"/>
              <w:bottom w:val="nil"/>
              <w:right w:val="nil"/>
            </w:tcBorders>
            <w:shd w:val="clear" w:color="auto" w:fill="auto"/>
            <w:noWrap/>
            <w:vAlign w:val="bottom"/>
            <w:hideMark/>
          </w:tcPr>
          <w:p w14:paraId="3C92734E" w14:textId="1359AA5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0.018</w:t>
            </w:r>
          </w:p>
        </w:tc>
        <w:tc>
          <w:tcPr>
            <w:tcW w:w="1134" w:type="dxa"/>
            <w:tcBorders>
              <w:top w:val="nil"/>
              <w:left w:val="nil"/>
              <w:bottom w:val="nil"/>
              <w:right w:val="nil"/>
            </w:tcBorders>
            <w:shd w:val="clear" w:color="auto" w:fill="auto"/>
            <w:noWrap/>
            <w:vAlign w:val="bottom"/>
            <w:hideMark/>
          </w:tcPr>
          <w:p w14:paraId="595E452F" w14:textId="77B7B27F"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0.018</w:t>
            </w:r>
          </w:p>
        </w:tc>
        <w:tc>
          <w:tcPr>
            <w:tcW w:w="1134" w:type="dxa"/>
            <w:tcBorders>
              <w:top w:val="nil"/>
              <w:left w:val="nil"/>
              <w:bottom w:val="nil"/>
              <w:right w:val="nil"/>
            </w:tcBorders>
            <w:shd w:val="clear" w:color="auto" w:fill="auto"/>
            <w:noWrap/>
            <w:vAlign w:val="bottom"/>
            <w:hideMark/>
          </w:tcPr>
          <w:p w14:paraId="109111B7" w14:textId="240174CD"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0.018</w:t>
            </w:r>
          </w:p>
        </w:tc>
        <w:tc>
          <w:tcPr>
            <w:tcW w:w="1134" w:type="dxa"/>
            <w:tcBorders>
              <w:top w:val="nil"/>
              <w:left w:val="nil"/>
              <w:bottom w:val="nil"/>
              <w:right w:val="nil"/>
            </w:tcBorders>
            <w:shd w:val="clear" w:color="auto" w:fill="auto"/>
            <w:noWrap/>
            <w:vAlign w:val="bottom"/>
            <w:hideMark/>
          </w:tcPr>
          <w:p w14:paraId="286153B4" w14:textId="520B3325"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38D4D90A" w14:textId="67983EF0"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w:t>
            </w:r>
          </w:p>
        </w:tc>
        <w:tc>
          <w:tcPr>
            <w:tcW w:w="1134" w:type="dxa"/>
            <w:tcBorders>
              <w:top w:val="nil"/>
              <w:left w:val="nil"/>
              <w:bottom w:val="nil"/>
              <w:right w:val="nil"/>
            </w:tcBorders>
            <w:shd w:val="clear" w:color="auto" w:fill="auto"/>
            <w:noWrap/>
            <w:vAlign w:val="bottom"/>
            <w:hideMark/>
          </w:tcPr>
          <w:p w14:paraId="58971465" w14:textId="0F726E61" w:rsidR="009526DE" w:rsidRPr="009B605C" w:rsidRDefault="009526DE" w:rsidP="0087752F">
            <w:pPr>
              <w:jc w:val="right"/>
              <w:rPr>
                <w:rFonts w:ascii="Cambria" w:hAnsi="Cambria"/>
                <w:color w:val="000000"/>
                <w:sz w:val="20"/>
                <w:szCs w:val="20"/>
              </w:rPr>
            </w:pPr>
            <w:r w:rsidRPr="009B605C">
              <w:rPr>
                <w:rFonts w:ascii="Cambria" w:hAnsi="Cambria"/>
                <w:color w:val="000000"/>
                <w:sz w:val="20"/>
                <w:szCs w:val="20"/>
              </w:rPr>
              <w:t>0.06</w:t>
            </w:r>
          </w:p>
        </w:tc>
      </w:tr>
      <w:tr w:rsidR="009526DE" w:rsidRPr="009B605C" w14:paraId="5BD06B6E" w14:textId="77777777" w:rsidTr="005E4ADA">
        <w:trPr>
          <w:trHeight w:val="286"/>
        </w:trPr>
        <w:tc>
          <w:tcPr>
            <w:tcW w:w="1985" w:type="dxa"/>
            <w:tcBorders>
              <w:top w:val="nil"/>
              <w:left w:val="nil"/>
              <w:bottom w:val="double" w:sz="4" w:space="0" w:color="auto"/>
              <w:right w:val="nil"/>
            </w:tcBorders>
            <w:shd w:val="clear" w:color="auto" w:fill="auto"/>
            <w:noWrap/>
            <w:vAlign w:val="bottom"/>
            <w:hideMark/>
          </w:tcPr>
          <w:p w14:paraId="23666CEE" w14:textId="77777777" w:rsidR="009526DE" w:rsidRPr="009B605C" w:rsidRDefault="009526DE" w:rsidP="0087752F">
            <w:pPr>
              <w:jc w:val="right"/>
              <w:rPr>
                <w:rFonts w:ascii="Cambria" w:hAnsi="Cambria"/>
                <w:color w:val="000000"/>
                <w:sz w:val="20"/>
                <w:szCs w:val="20"/>
              </w:rPr>
            </w:pPr>
          </w:p>
        </w:tc>
        <w:tc>
          <w:tcPr>
            <w:tcW w:w="1136" w:type="dxa"/>
            <w:tcBorders>
              <w:top w:val="nil"/>
              <w:left w:val="nil"/>
              <w:bottom w:val="double" w:sz="4" w:space="0" w:color="auto"/>
              <w:right w:val="nil"/>
            </w:tcBorders>
            <w:shd w:val="clear" w:color="auto" w:fill="auto"/>
            <w:noWrap/>
            <w:vAlign w:val="bottom"/>
            <w:hideMark/>
          </w:tcPr>
          <w:p w14:paraId="2B6DA567" w14:textId="77777777" w:rsidR="009526DE" w:rsidRPr="009B605C" w:rsidRDefault="009526DE" w:rsidP="0087752F">
            <w:pPr>
              <w:rPr>
                <w:rFonts w:ascii="Cambria" w:hAnsi="Cambria"/>
                <w:sz w:val="20"/>
                <w:szCs w:val="20"/>
              </w:rPr>
            </w:pPr>
          </w:p>
        </w:tc>
        <w:tc>
          <w:tcPr>
            <w:tcW w:w="991" w:type="dxa"/>
            <w:tcBorders>
              <w:top w:val="nil"/>
              <w:left w:val="nil"/>
              <w:bottom w:val="double" w:sz="4" w:space="0" w:color="auto"/>
              <w:right w:val="nil"/>
            </w:tcBorders>
            <w:shd w:val="clear" w:color="auto" w:fill="auto"/>
            <w:noWrap/>
            <w:vAlign w:val="bottom"/>
            <w:hideMark/>
          </w:tcPr>
          <w:p w14:paraId="286F2A13" w14:textId="53C1BB48"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0.039</w:t>
            </w:r>
            <w:r w:rsidR="005B4778" w:rsidRPr="009B605C">
              <w:rPr>
                <w:rFonts w:ascii="Cambria" w:hAnsi="Cambria"/>
                <w:color w:val="000000"/>
                <w:sz w:val="20"/>
                <w:szCs w:val="20"/>
              </w:rPr>
              <w:t>)</w:t>
            </w:r>
          </w:p>
        </w:tc>
        <w:tc>
          <w:tcPr>
            <w:tcW w:w="992" w:type="dxa"/>
            <w:tcBorders>
              <w:top w:val="nil"/>
              <w:left w:val="nil"/>
              <w:bottom w:val="double" w:sz="4" w:space="0" w:color="auto"/>
              <w:right w:val="nil"/>
            </w:tcBorders>
            <w:shd w:val="clear" w:color="auto" w:fill="auto"/>
            <w:noWrap/>
            <w:vAlign w:val="bottom"/>
            <w:hideMark/>
          </w:tcPr>
          <w:p w14:paraId="4BADE395" w14:textId="7719D9DA"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0.015</w:t>
            </w:r>
            <w:r w:rsidR="005B4778"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6900AC4F" w14:textId="37265850"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0.016</w:t>
            </w:r>
            <w:r w:rsidR="005B4778"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59DF4317" w14:textId="041AF9AE"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0.017</w:t>
            </w:r>
            <w:r w:rsidR="005B4778"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651DB4E0" w14:textId="1816E5B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3FB0E851" w14:textId="5063C6F6"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0.001</w:t>
            </w:r>
            <w:r w:rsidR="005B4778" w:rsidRPr="009B605C">
              <w:rPr>
                <w:rFonts w:ascii="Cambria" w:hAnsi="Cambria"/>
                <w:color w:val="000000"/>
                <w:sz w:val="20"/>
                <w:szCs w:val="20"/>
              </w:rPr>
              <w:t>)</w:t>
            </w:r>
          </w:p>
        </w:tc>
        <w:tc>
          <w:tcPr>
            <w:tcW w:w="1134" w:type="dxa"/>
            <w:tcBorders>
              <w:top w:val="nil"/>
              <w:left w:val="nil"/>
              <w:bottom w:val="double" w:sz="4" w:space="0" w:color="auto"/>
              <w:right w:val="nil"/>
            </w:tcBorders>
            <w:shd w:val="clear" w:color="auto" w:fill="auto"/>
            <w:noWrap/>
            <w:vAlign w:val="bottom"/>
            <w:hideMark/>
          </w:tcPr>
          <w:p w14:paraId="00CD3755" w14:textId="18FEE4F7" w:rsidR="009526DE" w:rsidRPr="009B605C" w:rsidRDefault="00F05AA6" w:rsidP="0087752F">
            <w:pPr>
              <w:jc w:val="right"/>
              <w:rPr>
                <w:rFonts w:ascii="Cambria" w:hAnsi="Cambria"/>
                <w:color w:val="000000"/>
                <w:sz w:val="20"/>
                <w:szCs w:val="20"/>
              </w:rPr>
            </w:pPr>
            <w:r w:rsidRPr="009B605C">
              <w:rPr>
                <w:rFonts w:ascii="Cambria" w:hAnsi="Cambria"/>
                <w:color w:val="000000"/>
                <w:sz w:val="20"/>
                <w:szCs w:val="20"/>
              </w:rPr>
              <w:t>(</w:t>
            </w:r>
            <w:r w:rsidR="009526DE" w:rsidRPr="009B605C">
              <w:rPr>
                <w:rFonts w:ascii="Cambria" w:hAnsi="Cambria"/>
                <w:color w:val="000000"/>
                <w:sz w:val="20"/>
                <w:szCs w:val="20"/>
              </w:rPr>
              <w:t>0.039</w:t>
            </w:r>
            <w:r w:rsidR="005B4778" w:rsidRPr="009B605C">
              <w:rPr>
                <w:rFonts w:ascii="Cambria" w:hAnsi="Cambria"/>
                <w:color w:val="000000"/>
                <w:sz w:val="20"/>
                <w:szCs w:val="20"/>
              </w:rPr>
              <w:t>)</w:t>
            </w:r>
          </w:p>
        </w:tc>
      </w:tr>
    </w:tbl>
    <w:p w14:paraId="65B6339A" w14:textId="77777777" w:rsidR="009526DE" w:rsidRPr="009B605C" w:rsidRDefault="009526DE" w:rsidP="0087752F">
      <w:pPr>
        <w:ind w:left="-851"/>
        <w:rPr>
          <w:rFonts w:ascii="Cambria" w:hAnsi="Cambria"/>
          <w:b/>
          <w:bCs/>
          <w:sz w:val="20"/>
          <w:szCs w:val="20"/>
        </w:rPr>
      </w:pPr>
      <w:r w:rsidRPr="009B605C">
        <w:rPr>
          <w:rFonts w:ascii="Cambria" w:hAnsi="Cambria"/>
          <w:b/>
          <w:bCs/>
          <w:sz w:val="20"/>
          <w:szCs w:val="20"/>
        </w:rPr>
        <w:t xml:space="preserve">Note: </w:t>
      </w:r>
      <w:r w:rsidRPr="009B605C">
        <w:rPr>
          <w:rFonts w:ascii="Cambria" w:hAnsi="Cambria"/>
          <w:sz w:val="20"/>
          <w:szCs w:val="20"/>
        </w:rPr>
        <w:t>Standard deviations are provided in brackets</w:t>
      </w:r>
      <w:r w:rsidRPr="009B605C">
        <w:rPr>
          <w:rFonts w:ascii="Cambria" w:hAnsi="Cambria"/>
          <w:b/>
          <w:bCs/>
          <w:sz w:val="20"/>
          <w:szCs w:val="20"/>
        </w:rPr>
        <w:t>.</w:t>
      </w:r>
    </w:p>
    <w:p w14:paraId="055DBF43" w14:textId="77777777" w:rsidR="005F7C83" w:rsidRPr="009B605C" w:rsidRDefault="005F7C83" w:rsidP="0087752F">
      <w:pPr>
        <w:rPr>
          <w:rFonts w:ascii="Cambria" w:hAnsi="Cambria"/>
          <w:b/>
          <w:bCs/>
        </w:rPr>
      </w:pPr>
    </w:p>
    <w:p w14:paraId="153B2D8D" w14:textId="77777777" w:rsidR="009526DE" w:rsidRPr="009B605C" w:rsidRDefault="009526DE" w:rsidP="0087752F">
      <w:pPr>
        <w:rPr>
          <w:rFonts w:ascii="Cambria" w:hAnsi="Cambria"/>
          <w:b/>
          <w:bCs/>
        </w:rPr>
      </w:pPr>
    </w:p>
    <w:p w14:paraId="4CA8D8C2" w14:textId="77777777" w:rsidR="005836A1" w:rsidRPr="009B605C" w:rsidRDefault="005836A1" w:rsidP="0087752F">
      <w:pPr>
        <w:rPr>
          <w:rFonts w:ascii="Cambria" w:hAnsi="Cambria"/>
          <w:b/>
          <w:bCs/>
        </w:rPr>
        <w:sectPr w:rsidR="005836A1" w:rsidRPr="009B605C" w:rsidSect="00A615EA">
          <w:pgSz w:w="11906" w:h="16838"/>
          <w:pgMar w:top="1440" w:right="1440" w:bottom="1440" w:left="1440" w:header="708" w:footer="708" w:gutter="0"/>
          <w:cols w:space="708"/>
          <w:docGrid w:linePitch="360"/>
        </w:sectPr>
      </w:pPr>
    </w:p>
    <w:p w14:paraId="26C02EBD" w14:textId="61BF936E" w:rsidR="00C33E7B" w:rsidRPr="009B605C" w:rsidRDefault="00C33E7B" w:rsidP="0087752F">
      <w:pPr>
        <w:ind w:left="-1276"/>
        <w:rPr>
          <w:rFonts w:ascii="Cambria" w:hAnsi="Cambria"/>
          <w:color w:val="000000"/>
        </w:rPr>
      </w:pPr>
      <w:r w:rsidRPr="009B605C">
        <w:rPr>
          <w:rFonts w:ascii="Cambria" w:hAnsi="Cambria"/>
          <w:b/>
          <w:bCs/>
        </w:rPr>
        <w:lastRenderedPageBreak/>
        <w:t>Table 11.</w:t>
      </w:r>
      <w:r w:rsidRPr="009B605C">
        <w:rPr>
          <w:rFonts w:ascii="Cambria" w:hAnsi="Cambria"/>
        </w:rPr>
        <w:t xml:space="preserve"> </w:t>
      </w:r>
      <w:r w:rsidRPr="009B605C">
        <w:rPr>
          <w:rFonts w:ascii="Cambria" w:hAnsi="Cambria"/>
          <w:color w:val="000000"/>
        </w:rPr>
        <w:t>Hedging effectiveness of the diversification strategies</w:t>
      </w:r>
    </w:p>
    <w:tbl>
      <w:tblPr>
        <w:tblW w:w="16513" w:type="dxa"/>
        <w:tblInd w:w="-1276" w:type="dxa"/>
        <w:tblLook w:val="04A0" w:firstRow="1" w:lastRow="0" w:firstColumn="1" w:lastColumn="0" w:noHBand="0" w:noVBand="1"/>
      </w:tblPr>
      <w:tblGrid>
        <w:gridCol w:w="1258"/>
        <w:gridCol w:w="1011"/>
        <w:gridCol w:w="829"/>
        <w:gridCol w:w="1068"/>
        <w:gridCol w:w="1080"/>
        <w:gridCol w:w="1065"/>
        <w:gridCol w:w="1065"/>
        <w:gridCol w:w="1065"/>
        <w:gridCol w:w="1068"/>
        <w:gridCol w:w="808"/>
        <w:gridCol w:w="988"/>
        <w:gridCol w:w="1065"/>
        <w:gridCol w:w="1065"/>
        <w:gridCol w:w="1065"/>
        <w:gridCol w:w="1065"/>
        <w:gridCol w:w="988"/>
      </w:tblGrid>
      <w:tr w:rsidR="006C78DE" w:rsidRPr="009B605C" w14:paraId="181EB3C5" w14:textId="77777777" w:rsidTr="006C78DE">
        <w:trPr>
          <w:trHeight w:val="288"/>
        </w:trPr>
        <w:tc>
          <w:tcPr>
            <w:tcW w:w="1258" w:type="dxa"/>
            <w:tcBorders>
              <w:top w:val="double" w:sz="4" w:space="0" w:color="auto"/>
              <w:left w:val="nil"/>
              <w:bottom w:val="nil"/>
              <w:right w:val="nil"/>
            </w:tcBorders>
            <w:shd w:val="clear" w:color="auto" w:fill="auto"/>
            <w:noWrap/>
            <w:vAlign w:val="bottom"/>
            <w:hideMark/>
          </w:tcPr>
          <w:p w14:paraId="40B550AF" w14:textId="77777777" w:rsidR="00C33E7B" w:rsidRPr="009B605C" w:rsidRDefault="00C33E7B" w:rsidP="0087752F">
            <w:pPr>
              <w:rPr>
                <w:rFonts w:ascii="Cambria" w:hAnsi="Cambria"/>
                <w:sz w:val="18"/>
                <w:szCs w:val="18"/>
              </w:rPr>
            </w:pPr>
          </w:p>
        </w:tc>
        <w:tc>
          <w:tcPr>
            <w:tcW w:w="1011" w:type="dxa"/>
            <w:tcBorders>
              <w:top w:val="double" w:sz="4" w:space="0" w:color="auto"/>
              <w:left w:val="nil"/>
              <w:bottom w:val="nil"/>
              <w:right w:val="nil"/>
            </w:tcBorders>
            <w:shd w:val="clear" w:color="auto" w:fill="auto"/>
            <w:noWrap/>
            <w:vAlign w:val="bottom"/>
            <w:hideMark/>
          </w:tcPr>
          <w:p w14:paraId="06E5260A" w14:textId="77777777" w:rsidR="00C33E7B" w:rsidRPr="009B605C" w:rsidRDefault="00C33E7B" w:rsidP="0087752F">
            <w:pPr>
              <w:rPr>
                <w:rFonts w:ascii="Cambria" w:hAnsi="Cambria"/>
                <w:sz w:val="18"/>
                <w:szCs w:val="18"/>
              </w:rPr>
            </w:pPr>
          </w:p>
        </w:tc>
        <w:tc>
          <w:tcPr>
            <w:tcW w:w="7240" w:type="dxa"/>
            <w:gridSpan w:val="7"/>
            <w:tcBorders>
              <w:top w:val="double" w:sz="4" w:space="0" w:color="auto"/>
              <w:left w:val="nil"/>
              <w:bottom w:val="single" w:sz="4" w:space="0" w:color="auto"/>
              <w:right w:val="nil"/>
            </w:tcBorders>
            <w:shd w:val="clear" w:color="auto" w:fill="auto"/>
            <w:noWrap/>
            <w:vAlign w:val="bottom"/>
            <w:hideMark/>
          </w:tcPr>
          <w:p w14:paraId="1FF106A8" w14:textId="77777777" w:rsidR="00C33E7B" w:rsidRPr="009B605C" w:rsidRDefault="00C33E7B" w:rsidP="0087752F">
            <w:pPr>
              <w:jc w:val="center"/>
              <w:rPr>
                <w:rFonts w:ascii="Cambria" w:hAnsi="Cambria"/>
                <w:b/>
                <w:bCs/>
                <w:color w:val="000000"/>
                <w:sz w:val="20"/>
                <w:szCs w:val="20"/>
              </w:rPr>
            </w:pPr>
            <w:r w:rsidRPr="009B605C">
              <w:rPr>
                <w:rFonts w:ascii="Cambria" w:hAnsi="Cambria"/>
                <w:b/>
                <w:bCs/>
                <w:color w:val="000000"/>
                <w:sz w:val="20"/>
                <w:szCs w:val="20"/>
              </w:rPr>
              <w:t>Dynamic portfolio weights</w:t>
            </w:r>
          </w:p>
        </w:tc>
        <w:tc>
          <w:tcPr>
            <w:tcW w:w="7004" w:type="dxa"/>
            <w:gridSpan w:val="7"/>
            <w:tcBorders>
              <w:top w:val="double" w:sz="4" w:space="0" w:color="auto"/>
              <w:left w:val="nil"/>
              <w:bottom w:val="nil"/>
              <w:right w:val="nil"/>
            </w:tcBorders>
            <w:shd w:val="clear" w:color="auto" w:fill="auto"/>
            <w:noWrap/>
            <w:vAlign w:val="bottom"/>
            <w:hideMark/>
          </w:tcPr>
          <w:p w14:paraId="7C991745" w14:textId="77777777" w:rsidR="00C33E7B" w:rsidRPr="009B605C" w:rsidRDefault="00C33E7B" w:rsidP="0087752F">
            <w:pPr>
              <w:jc w:val="center"/>
              <w:rPr>
                <w:rFonts w:ascii="Cambria" w:hAnsi="Cambria"/>
                <w:b/>
                <w:bCs/>
                <w:color w:val="000000"/>
                <w:sz w:val="20"/>
                <w:szCs w:val="20"/>
              </w:rPr>
            </w:pPr>
            <w:r w:rsidRPr="009B605C">
              <w:rPr>
                <w:rFonts w:ascii="Cambria" w:hAnsi="Cambria"/>
                <w:b/>
                <w:bCs/>
                <w:color w:val="000000"/>
                <w:sz w:val="20"/>
                <w:szCs w:val="20"/>
              </w:rPr>
              <w:t>Dynamic hedge ratios</w:t>
            </w:r>
          </w:p>
        </w:tc>
      </w:tr>
      <w:tr w:rsidR="006C78DE" w:rsidRPr="009B605C" w14:paraId="482396C9" w14:textId="77777777" w:rsidTr="006C78DE">
        <w:trPr>
          <w:trHeight w:val="288"/>
        </w:trPr>
        <w:tc>
          <w:tcPr>
            <w:tcW w:w="1258" w:type="dxa"/>
            <w:tcBorders>
              <w:top w:val="nil"/>
              <w:left w:val="nil"/>
              <w:bottom w:val="single" w:sz="4" w:space="0" w:color="auto"/>
              <w:right w:val="nil"/>
            </w:tcBorders>
            <w:shd w:val="clear" w:color="auto" w:fill="auto"/>
            <w:noWrap/>
            <w:vAlign w:val="bottom"/>
            <w:hideMark/>
          </w:tcPr>
          <w:p w14:paraId="6CE35039" w14:textId="77777777" w:rsidR="005836A1" w:rsidRPr="009B605C" w:rsidRDefault="005836A1" w:rsidP="0087752F">
            <w:pPr>
              <w:jc w:val="center"/>
              <w:rPr>
                <w:rFonts w:ascii="Cambria" w:hAnsi="Cambria"/>
                <w:b/>
                <w:bCs/>
                <w:color w:val="000000"/>
                <w:sz w:val="18"/>
                <w:szCs w:val="18"/>
              </w:rPr>
            </w:pPr>
          </w:p>
        </w:tc>
        <w:tc>
          <w:tcPr>
            <w:tcW w:w="1011" w:type="dxa"/>
            <w:tcBorders>
              <w:top w:val="nil"/>
              <w:left w:val="nil"/>
              <w:bottom w:val="single" w:sz="4" w:space="0" w:color="auto"/>
              <w:right w:val="nil"/>
            </w:tcBorders>
            <w:shd w:val="clear" w:color="auto" w:fill="auto"/>
            <w:noWrap/>
            <w:vAlign w:val="bottom"/>
            <w:hideMark/>
          </w:tcPr>
          <w:p w14:paraId="67899BBB" w14:textId="77777777" w:rsidR="005836A1" w:rsidRPr="009B605C" w:rsidRDefault="005836A1" w:rsidP="0087752F">
            <w:pPr>
              <w:rPr>
                <w:rFonts w:ascii="Cambria" w:hAnsi="Cambria"/>
                <w:sz w:val="18"/>
                <w:szCs w:val="18"/>
              </w:rPr>
            </w:pPr>
          </w:p>
        </w:tc>
        <w:tc>
          <w:tcPr>
            <w:tcW w:w="829" w:type="dxa"/>
            <w:tcBorders>
              <w:top w:val="single" w:sz="4" w:space="0" w:color="auto"/>
              <w:left w:val="nil"/>
              <w:bottom w:val="single" w:sz="4" w:space="0" w:color="auto"/>
              <w:right w:val="nil"/>
            </w:tcBorders>
            <w:shd w:val="clear" w:color="auto" w:fill="auto"/>
            <w:noWrap/>
            <w:vAlign w:val="bottom"/>
            <w:hideMark/>
          </w:tcPr>
          <w:p w14:paraId="25284D0C" w14:textId="1DD1880F" w:rsidR="005836A1" w:rsidRPr="009B605C" w:rsidRDefault="005836A1" w:rsidP="0087752F">
            <w:pPr>
              <w:rPr>
                <w:rFonts w:ascii="Cambria" w:hAnsi="Cambria"/>
                <w:color w:val="000000"/>
                <w:sz w:val="18"/>
                <w:szCs w:val="18"/>
              </w:rPr>
            </w:pPr>
            <w:r w:rsidRPr="009B605C">
              <w:rPr>
                <w:rFonts w:ascii="Cambria" w:hAnsi="Cambria"/>
                <w:b/>
                <w:bCs/>
                <w:color w:val="000000"/>
                <w:sz w:val="18"/>
                <w:szCs w:val="18"/>
              </w:rPr>
              <w:t>Bitcoin</w:t>
            </w:r>
          </w:p>
        </w:tc>
        <w:tc>
          <w:tcPr>
            <w:tcW w:w="1068" w:type="dxa"/>
            <w:tcBorders>
              <w:top w:val="single" w:sz="4" w:space="0" w:color="auto"/>
              <w:left w:val="nil"/>
              <w:bottom w:val="single" w:sz="4" w:space="0" w:color="auto"/>
              <w:right w:val="nil"/>
            </w:tcBorders>
            <w:shd w:val="clear" w:color="auto" w:fill="auto"/>
            <w:noWrap/>
            <w:vAlign w:val="bottom"/>
            <w:hideMark/>
          </w:tcPr>
          <w:p w14:paraId="16207F5B" w14:textId="3B228003"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10</m:t>
                    </m:r>
                  </m:sup>
                </m:sSubSup>
              </m:oMath>
            </m:oMathPara>
          </w:p>
        </w:tc>
        <w:tc>
          <w:tcPr>
            <w:tcW w:w="1080" w:type="dxa"/>
            <w:tcBorders>
              <w:top w:val="single" w:sz="4" w:space="0" w:color="auto"/>
              <w:left w:val="nil"/>
              <w:bottom w:val="single" w:sz="4" w:space="0" w:color="auto"/>
              <w:right w:val="nil"/>
            </w:tcBorders>
            <w:shd w:val="clear" w:color="auto" w:fill="auto"/>
            <w:noWrap/>
            <w:vAlign w:val="bottom"/>
            <w:hideMark/>
          </w:tcPr>
          <w:p w14:paraId="77C29029" w14:textId="4C42F665"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100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7E216762" w14:textId="769CDCCC"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500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6288096B" w14:textId="05D44D50"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500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17DE4097" w14:textId="606CA8AF"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100</m:t>
                    </m:r>
                  </m:sup>
                </m:sSubSup>
              </m:oMath>
            </m:oMathPara>
          </w:p>
        </w:tc>
        <w:tc>
          <w:tcPr>
            <w:tcW w:w="1068" w:type="dxa"/>
            <w:tcBorders>
              <w:top w:val="single" w:sz="4" w:space="0" w:color="auto"/>
              <w:left w:val="nil"/>
              <w:bottom w:val="single" w:sz="4" w:space="0" w:color="auto"/>
              <w:right w:val="nil"/>
            </w:tcBorders>
            <w:shd w:val="clear" w:color="auto" w:fill="auto"/>
            <w:noWrap/>
            <w:vAlign w:val="bottom"/>
            <w:hideMark/>
          </w:tcPr>
          <w:p w14:paraId="446097DA" w14:textId="0BAEF537"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10</m:t>
                    </m:r>
                  </m:sup>
                </m:sSubSup>
              </m:oMath>
            </m:oMathPara>
          </w:p>
        </w:tc>
        <w:tc>
          <w:tcPr>
            <w:tcW w:w="768" w:type="dxa"/>
            <w:tcBorders>
              <w:top w:val="single" w:sz="4" w:space="0" w:color="auto"/>
              <w:left w:val="nil"/>
              <w:bottom w:val="single" w:sz="4" w:space="0" w:color="auto"/>
              <w:right w:val="nil"/>
            </w:tcBorders>
            <w:shd w:val="clear" w:color="auto" w:fill="auto"/>
            <w:noWrap/>
            <w:vAlign w:val="bottom"/>
            <w:hideMark/>
          </w:tcPr>
          <w:p w14:paraId="48AE6C79" w14:textId="27D86441" w:rsidR="005836A1" w:rsidRPr="009B605C" w:rsidRDefault="005836A1" w:rsidP="0087752F">
            <w:pPr>
              <w:rPr>
                <w:rFonts w:ascii="Cambria" w:hAnsi="Cambria"/>
                <w:color w:val="000000"/>
                <w:sz w:val="18"/>
                <w:szCs w:val="18"/>
              </w:rPr>
            </w:pPr>
            <w:r w:rsidRPr="009B605C">
              <w:rPr>
                <w:rFonts w:ascii="Cambria" w:hAnsi="Cambria"/>
                <w:b/>
                <w:bCs/>
                <w:color w:val="000000"/>
                <w:sz w:val="18"/>
                <w:szCs w:val="18"/>
              </w:rPr>
              <w:t>Bitcoin</w:t>
            </w:r>
          </w:p>
        </w:tc>
        <w:tc>
          <w:tcPr>
            <w:tcW w:w="988" w:type="dxa"/>
            <w:tcBorders>
              <w:top w:val="single" w:sz="4" w:space="0" w:color="auto"/>
              <w:left w:val="nil"/>
              <w:bottom w:val="single" w:sz="4" w:space="0" w:color="auto"/>
              <w:right w:val="nil"/>
            </w:tcBorders>
            <w:shd w:val="clear" w:color="auto" w:fill="auto"/>
            <w:noWrap/>
            <w:vAlign w:val="bottom"/>
            <w:hideMark/>
          </w:tcPr>
          <w:p w14:paraId="66843579" w14:textId="735DB3F9"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10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790442CA" w14:textId="42C3A30B"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100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33832570" w14:textId="0B23A51D"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T</m:t>
                    </m:r>
                  </m:sub>
                  <m:sup>
                    <m:r>
                      <m:rPr>
                        <m:sty m:val="bi"/>
                      </m:rPr>
                      <w:rPr>
                        <w:rFonts w:ascii="Cambria Math" w:hAnsi="Cambria Math"/>
                        <w:color w:val="000000"/>
                        <w:sz w:val="18"/>
                        <w:szCs w:val="18"/>
                      </w:rPr>
                      <m:t>500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493FFC73" w14:textId="20BD85D2"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500</m:t>
                    </m:r>
                  </m:sup>
                </m:sSubSup>
              </m:oMath>
            </m:oMathPara>
          </w:p>
        </w:tc>
        <w:tc>
          <w:tcPr>
            <w:tcW w:w="1065" w:type="dxa"/>
            <w:tcBorders>
              <w:top w:val="single" w:sz="4" w:space="0" w:color="auto"/>
              <w:left w:val="nil"/>
              <w:bottom w:val="single" w:sz="4" w:space="0" w:color="auto"/>
              <w:right w:val="nil"/>
            </w:tcBorders>
            <w:shd w:val="clear" w:color="auto" w:fill="auto"/>
            <w:noWrap/>
            <w:vAlign w:val="bottom"/>
            <w:hideMark/>
          </w:tcPr>
          <w:p w14:paraId="36C49B8C" w14:textId="63683EF1"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100</m:t>
                    </m:r>
                  </m:sup>
                </m:sSubSup>
              </m:oMath>
            </m:oMathPara>
          </w:p>
        </w:tc>
        <w:tc>
          <w:tcPr>
            <w:tcW w:w="988" w:type="dxa"/>
            <w:tcBorders>
              <w:top w:val="single" w:sz="4" w:space="0" w:color="auto"/>
              <w:left w:val="nil"/>
              <w:bottom w:val="nil"/>
              <w:right w:val="nil"/>
            </w:tcBorders>
            <w:shd w:val="clear" w:color="auto" w:fill="auto"/>
            <w:noWrap/>
            <w:vAlign w:val="bottom"/>
            <w:hideMark/>
          </w:tcPr>
          <w:p w14:paraId="2F90268C" w14:textId="093EC830" w:rsidR="005836A1" w:rsidRPr="009B605C" w:rsidRDefault="005836A1" w:rsidP="0087752F">
            <w:pPr>
              <w:rPr>
                <w:rFonts w:ascii="Cambria" w:hAnsi="Cambria"/>
                <w:color w:val="000000"/>
                <w:sz w:val="18"/>
                <w:szCs w:val="18"/>
              </w:rPr>
            </w:pPr>
            <m:oMathPara>
              <m:oMath>
                <m:r>
                  <m:rPr>
                    <m:sty m:val="bi"/>
                  </m:rPr>
                  <w:rPr>
                    <w:rFonts w:ascii="Cambria Math" w:hAnsi="Cambria Math"/>
                    <w:color w:val="000000"/>
                    <w:sz w:val="18"/>
                    <w:szCs w:val="18"/>
                  </w:rPr>
                  <m:t>Crypt</m:t>
                </m:r>
                <m:sSubSup>
                  <m:sSubSupPr>
                    <m:ctrlPr>
                      <w:rPr>
                        <w:rFonts w:ascii="Cambria Math" w:hAnsi="Cambria Math"/>
                        <w:b/>
                        <w:bCs/>
                        <w:i/>
                        <w:color w:val="000000"/>
                        <w:sz w:val="18"/>
                        <w:szCs w:val="18"/>
                      </w:rPr>
                    </m:ctrlPr>
                  </m:sSubSupPr>
                  <m:e>
                    <m:r>
                      <m:rPr>
                        <m:sty m:val="bi"/>
                      </m:rPr>
                      <w:rPr>
                        <w:rFonts w:ascii="Cambria Math" w:hAnsi="Cambria Math"/>
                        <w:color w:val="000000"/>
                        <w:sz w:val="18"/>
                        <w:szCs w:val="18"/>
                      </w:rPr>
                      <m:t>o</m:t>
                    </m:r>
                  </m:e>
                  <m:sub>
                    <m:r>
                      <m:rPr>
                        <m:sty m:val="bi"/>
                      </m:rPr>
                      <w:rPr>
                        <w:rFonts w:ascii="Cambria Math" w:hAnsi="Cambria Math"/>
                        <w:color w:val="000000"/>
                        <w:sz w:val="18"/>
                        <w:szCs w:val="18"/>
                      </w:rPr>
                      <m:t>B</m:t>
                    </m:r>
                  </m:sub>
                  <m:sup>
                    <m:r>
                      <m:rPr>
                        <m:sty m:val="bi"/>
                      </m:rPr>
                      <w:rPr>
                        <w:rFonts w:ascii="Cambria Math" w:hAnsi="Cambria Math"/>
                        <w:color w:val="000000"/>
                        <w:sz w:val="18"/>
                        <w:szCs w:val="18"/>
                      </w:rPr>
                      <m:t>10</m:t>
                    </m:r>
                  </m:sup>
                </m:sSubSup>
              </m:oMath>
            </m:oMathPara>
          </w:p>
        </w:tc>
      </w:tr>
      <w:tr w:rsidR="006C78DE" w:rsidRPr="009B605C" w14:paraId="0FD33BFD" w14:textId="77777777" w:rsidTr="006C78DE">
        <w:trPr>
          <w:trHeight w:val="288"/>
        </w:trPr>
        <w:tc>
          <w:tcPr>
            <w:tcW w:w="3097" w:type="dxa"/>
            <w:gridSpan w:val="3"/>
            <w:tcBorders>
              <w:top w:val="single" w:sz="4" w:space="0" w:color="auto"/>
              <w:left w:val="nil"/>
              <w:bottom w:val="nil"/>
              <w:right w:val="nil"/>
            </w:tcBorders>
            <w:shd w:val="clear" w:color="auto" w:fill="auto"/>
            <w:noWrap/>
            <w:vAlign w:val="bottom"/>
            <w:hideMark/>
          </w:tcPr>
          <w:p w14:paraId="2DBEADCE" w14:textId="01D6AD86" w:rsidR="005836A1" w:rsidRPr="009B605C" w:rsidRDefault="005836A1" w:rsidP="0087752F">
            <w:pPr>
              <w:rPr>
                <w:rFonts w:ascii="Cambria" w:hAnsi="Cambria"/>
                <w:b/>
                <w:bCs/>
                <w:color w:val="000000"/>
                <w:sz w:val="18"/>
                <w:szCs w:val="18"/>
              </w:rPr>
            </w:pPr>
            <w:r w:rsidRPr="009B605C">
              <w:rPr>
                <w:rFonts w:ascii="Cambria" w:hAnsi="Cambria"/>
                <w:b/>
                <w:bCs/>
                <w:color w:val="000000"/>
                <w:sz w:val="18"/>
                <w:szCs w:val="18"/>
              </w:rPr>
              <w:t xml:space="preserve">Panel A: </w:t>
            </w:r>
            <w:r w:rsidRPr="009B605C">
              <w:rPr>
                <w:rFonts w:ascii="Cambria" w:hAnsi="Cambria"/>
                <w:color w:val="000000"/>
                <w:sz w:val="18"/>
                <w:szCs w:val="18"/>
              </w:rPr>
              <w:t>Pre-conflict announcement</w:t>
            </w:r>
          </w:p>
        </w:tc>
        <w:tc>
          <w:tcPr>
            <w:tcW w:w="1068" w:type="dxa"/>
            <w:tcBorders>
              <w:top w:val="single" w:sz="4" w:space="0" w:color="auto"/>
              <w:left w:val="nil"/>
              <w:bottom w:val="nil"/>
              <w:right w:val="nil"/>
            </w:tcBorders>
            <w:shd w:val="clear" w:color="auto" w:fill="auto"/>
            <w:noWrap/>
            <w:vAlign w:val="bottom"/>
            <w:hideMark/>
          </w:tcPr>
          <w:p w14:paraId="071E70DC" w14:textId="77777777" w:rsidR="005836A1" w:rsidRPr="009B605C" w:rsidRDefault="005836A1" w:rsidP="0087752F">
            <w:pPr>
              <w:rPr>
                <w:rFonts w:ascii="Cambria" w:hAnsi="Cambria"/>
                <w:sz w:val="18"/>
                <w:szCs w:val="18"/>
              </w:rPr>
            </w:pPr>
          </w:p>
        </w:tc>
        <w:tc>
          <w:tcPr>
            <w:tcW w:w="1080" w:type="dxa"/>
            <w:tcBorders>
              <w:top w:val="single" w:sz="4" w:space="0" w:color="auto"/>
              <w:left w:val="nil"/>
              <w:bottom w:val="nil"/>
              <w:right w:val="nil"/>
            </w:tcBorders>
            <w:shd w:val="clear" w:color="auto" w:fill="auto"/>
            <w:noWrap/>
            <w:vAlign w:val="bottom"/>
            <w:hideMark/>
          </w:tcPr>
          <w:p w14:paraId="35DC642A"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62FB7A98"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649B032A"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29D55C51" w14:textId="77777777" w:rsidR="005836A1" w:rsidRPr="009B605C" w:rsidRDefault="005836A1" w:rsidP="0087752F">
            <w:pPr>
              <w:rPr>
                <w:rFonts w:ascii="Cambria" w:hAnsi="Cambria"/>
                <w:sz w:val="18"/>
                <w:szCs w:val="18"/>
              </w:rPr>
            </w:pPr>
          </w:p>
        </w:tc>
        <w:tc>
          <w:tcPr>
            <w:tcW w:w="1068" w:type="dxa"/>
            <w:tcBorders>
              <w:top w:val="single" w:sz="4" w:space="0" w:color="auto"/>
              <w:left w:val="nil"/>
              <w:bottom w:val="nil"/>
              <w:right w:val="nil"/>
            </w:tcBorders>
            <w:shd w:val="clear" w:color="auto" w:fill="auto"/>
            <w:noWrap/>
            <w:vAlign w:val="bottom"/>
            <w:hideMark/>
          </w:tcPr>
          <w:p w14:paraId="79436524" w14:textId="77777777" w:rsidR="005836A1" w:rsidRPr="009B605C" w:rsidRDefault="005836A1" w:rsidP="0087752F">
            <w:pPr>
              <w:rPr>
                <w:rFonts w:ascii="Cambria" w:hAnsi="Cambria"/>
                <w:sz w:val="18"/>
                <w:szCs w:val="18"/>
              </w:rPr>
            </w:pPr>
          </w:p>
        </w:tc>
        <w:tc>
          <w:tcPr>
            <w:tcW w:w="768" w:type="dxa"/>
            <w:tcBorders>
              <w:top w:val="single" w:sz="4" w:space="0" w:color="auto"/>
              <w:left w:val="nil"/>
              <w:bottom w:val="nil"/>
              <w:right w:val="nil"/>
            </w:tcBorders>
            <w:shd w:val="clear" w:color="auto" w:fill="auto"/>
            <w:noWrap/>
            <w:vAlign w:val="bottom"/>
            <w:hideMark/>
          </w:tcPr>
          <w:p w14:paraId="298C0E7D" w14:textId="77777777" w:rsidR="005836A1" w:rsidRPr="009B605C" w:rsidRDefault="005836A1" w:rsidP="0087752F">
            <w:pPr>
              <w:rPr>
                <w:rFonts w:ascii="Cambria" w:hAnsi="Cambria"/>
                <w:sz w:val="18"/>
                <w:szCs w:val="18"/>
              </w:rPr>
            </w:pPr>
          </w:p>
        </w:tc>
        <w:tc>
          <w:tcPr>
            <w:tcW w:w="988" w:type="dxa"/>
            <w:tcBorders>
              <w:top w:val="single" w:sz="4" w:space="0" w:color="auto"/>
              <w:left w:val="nil"/>
              <w:bottom w:val="nil"/>
              <w:right w:val="nil"/>
            </w:tcBorders>
            <w:shd w:val="clear" w:color="auto" w:fill="auto"/>
            <w:noWrap/>
            <w:vAlign w:val="bottom"/>
            <w:hideMark/>
          </w:tcPr>
          <w:p w14:paraId="7D14A759"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1C650EA6"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6BEFBFF5"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67A4090C" w14:textId="77777777" w:rsidR="005836A1" w:rsidRPr="009B605C" w:rsidRDefault="005836A1" w:rsidP="0087752F">
            <w:pPr>
              <w:rPr>
                <w:rFonts w:ascii="Cambria" w:hAnsi="Cambria"/>
                <w:sz w:val="18"/>
                <w:szCs w:val="18"/>
              </w:rPr>
            </w:pPr>
          </w:p>
        </w:tc>
        <w:tc>
          <w:tcPr>
            <w:tcW w:w="1065" w:type="dxa"/>
            <w:tcBorders>
              <w:top w:val="single" w:sz="4" w:space="0" w:color="auto"/>
              <w:left w:val="nil"/>
              <w:bottom w:val="nil"/>
              <w:right w:val="nil"/>
            </w:tcBorders>
            <w:shd w:val="clear" w:color="auto" w:fill="auto"/>
            <w:noWrap/>
            <w:vAlign w:val="bottom"/>
            <w:hideMark/>
          </w:tcPr>
          <w:p w14:paraId="1AFBF2B2" w14:textId="77777777" w:rsidR="005836A1" w:rsidRPr="009B605C" w:rsidRDefault="005836A1" w:rsidP="0087752F">
            <w:pPr>
              <w:rPr>
                <w:rFonts w:ascii="Cambria" w:hAnsi="Cambria"/>
                <w:sz w:val="18"/>
                <w:szCs w:val="18"/>
              </w:rPr>
            </w:pPr>
          </w:p>
        </w:tc>
        <w:tc>
          <w:tcPr>
            <w:tcW w:w="988" w:type="dxa"/>
            <w:tcBorders>
              <w:top w:val="single" w:sz="4" w:space="0" w:color="auto"/>
              <w:left w:val="nil"/>
              <w:bottom w:val="nil"/>
              <w:right w:val="nil"/>
            </w:tcBorders>
            <w:shd w:val="clear" w:color="auto" w:fill="auto"/>
            <w:noWrap/>
            <w:vAlign w:val="bottom"/>
            <w:hideMark/>
          </w:tcPr>
          <w:p w14:paraId="4E9A4844" w14:textId="77777777" w:rsidR="005836A1" w:rsidRPr="009B605C" w:rsidRDefault="005836A1" w:rsidP="0087752F">
            <w:pPr>
              <w:rPr>
                <w:rFonts w:ascii="Cambria" w:hAnsi="Cambria"/>
                <w:sz w:val="18"/>
                <w:szCs w:val="18"/>
              </w:rPr>
            </w:pPr>
          </w:p>
        </w:tc>
      </w:tr>
      <w:tr w:rsidR="006C78DE" w:rsidRPr="009B605C" w14:paraId="5DBC2536" w14:textId="77777777" w:rsidTr="006C78DE">
        <w:trPr>
          <w:trHeight w:val="288"/>
        </w:trPr>
        <w:tc>
          <w:tcPr>
            <w:tcW w:w="1258" w:type="dxa"/>
            <w:tcBorders>
              <w:top w:val="nil"/>
              <w:left w:val="nil"/>
              <w:bottom w:val="nil"/>
              <w:right w:val="nil"/>
            </w:tcBorders>
            <w:shd w:val="clear" w:color="auto" w:fill="auto"/>
            <w:noWrap/>
            <w:vAlign w:val="bottom"/>
            <w:hideMark/>
          </w:tcPr>
          <w:p w14:paraId="35B0FFE0"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Brazil</w:t>
            </w:r>
          </w:p>
        </w:tc>
        <w:tc>
          <w:tcPr>
            <w:tcW w:w="1011" w:type="dxa"/>
            <w:tcBorders>
              <w:top w:val="nil"/>
              <w:left w:val="nil"/>
              <w:bottom w:val="nil"/>
              <w:right w:val="nil"/>
            </w:tcBorders>
            <w:shd w:val="clear" w:color="auto" w:fill="auto"/>
            <w:noWrap/>
            <w:vAlign w:val="bottom"/>
            <w:hideMark/>
          </w:tcPr>
          <w:p w14:paraId="6254F93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70EA49D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68" w:type="dxa"/>
            <w:tcBorders>
              <w:top w:val="nil"/>
              <w:left w:val="nil"/>
              <w:bottom w:val="nil"/>
              <w:right w:val="nil"/>
            </w:tcBorders>
            <w:shd w:val="clear" w:color="auto" w:fill="auto"/>
            <w:noWrap/>
            <w:vAlign w:val="bottom"/>
            <w:hideMark/>
          </w:tcPr>
          <w:p w14:paraId="67207FA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80" w:type="dxa"/>
            <w:tcBorders>
              <w:top w:val="nil"/>
              <w:left w:val="nil"/>
              <w:bottom w:val="nil"/>
              <w:right w:val="nil"/>
            </w:tcBorders>
            <w:shd w:val="clear" w:color="auto" w:fill="auto"/>
            <w:noWrap/>
            <w:vAlign w:val="bottom"/>
            <w:hideMark/>
          </w:tcPr>
          <w:p w14:paraId="64CEC1F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65" w:type="dxa"/>
            <w:tcBorders>
              <w:top w:val="nil"/>
              <w:left w:val="nil"/>
              <w:bottom w:val="nil"/>
              <w:right w:val="nil"/>
            </w:tcBorders>
            <w:shd w:val="clear" w:color="auto" w:fill="auto"/>
            <w:noWrap/>
            <w:vAlign w:val="bottom"/>
            <w:hideMark/>
          </w:tcPr>
          <w:p w14:paraId="6AF45B2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65" w:type="dxa"/>
            <w:tcBorders>
              <w:top w:val="nil"/>
              <w:left w:val="nil"/>
              <w:bottom w:val="nil"/>
              <w:right w:val="nil"/>
            </w:tcBorders>
            <w:shd w:val="clear" w:color="auto" w:fill="auto"/>
            <w:noWrap/>
            <w:vAlign w:val="bottom"/>
            <w:hideMark/>
          </w:tcPr>
          <w:p w14:paraId="3B59BE0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65" w:type="dxa"/>
            <w:tcBorders>
              <w:top w:val="nil"/>
              <w:left w:val="nil"/>
              <w:bottom w:val="nil"/>
              <w:right w:val="nil"/>
            </w:tcBorders>
            <w:shd w:val="clear" w:color="auto" w:fill="auto"/>
            <w:noWrap/>
            <w:vAlign w:val="bottom"/>
            <w:hideMark/>
          </w:tcPr>
          <w:p w14:paraId="7CDB40A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1068" w:type="dxa"/>
            <w:tcBorders>
              <w:top w:val="nil"/>
              <w:left w:val="nil"/>
              <w:bottom w:val="nil"/>
              <w:right w:val="nil"/>
            </w:tcBorders>
            <w:shd w:val="clear" w:color="auto" w:fill="auto"/>
            <w:noWrap/>
            <w:vAlign w:val="bottom"/>
            <w:hideMark/>
          </w:tcPr>
          <w:p w14:paraId="024BE5B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0.768</w:t>
            </w:r>
          </w:p>
        </w:tc>
        <w:tc>
          <w:tcPr>
            <w:tcW w:w="768" w:type="dxa"/>
            <w:tcBorders>
              <w:top w:val="nil"/>
              <w:left w:val="nil"/>
              <w:bottom w:val="nil"/>
              <w:right w:val="nil"/>
            </w:tcBorders>
            <w:shd w:val="clear" w:color="auto" w:fill="auto"/>
            <w:noWrap/>
            <w:vAlign w:val="bottom"/>
            <w:hideMark/>
          </w:tcPr>
          <w:p w14:paraId="34B7729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988" w:type="dxa"/>
            <w:tcBorders>
              <w:top w:val="nil"/>
              <w:left w:val="nil"/>
              <w:bottom w:val="nil"/>
              <w:right w:val="nil"/>
            </w:tcBorders>
            <w:shd w:val="clear" w:color="auto" w:fill="auto"/>
            <w:noWrap/>
            <w:vAlign w:val="bottom"/>
            <w:hideMark/>
          </w:tcPr>
          <w:p w14:paraId="7CB3188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7DC069C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59A5D6D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4A31070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55E82FA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988" w:type="dxa"/>
            <w:tcBorders>
              <w:top w:val="nil"/>
              <w:left w:val="nil"/>
              <w:bottom w:val="nil"/>
              <w:right w:val="nil"/>
            </w:tcBorders>
            <w:shd w:val="clear" w:color="auto" w:fill="auto"/>
            <w:noWrap/>
            <w:vAlign w:val="bottom"/>
            <w:hideMark/>
          </w:tcPr>
          <w:p w14:paraId="4777E5E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r>
      <w:tr w:rsidR="006C78DE" w:rsidRPr="009B605C" w14:paraId="02882D2F" w14:textId="77777777" w:rsidTr="006C78DE">
        <w:trPr>
          <w:trHeight w:val="288"/>
        </w:trPr>
        <w:tc>
          <w:tcPr>
            <w:tcW w:w="1258" w:type="dxa"/>
            <w:tcBorders>
              <w:top w:val="nil"/>
              <w:left w:val="nil"/>
              <w:bottom w:val="nil"/>
              <w:right w:val="nil"/>
            </w:tcBorders>
            <w:shd w:val="clear" w:color="auto" w:fill="auto"/>
            <w:noWrap/>
            <w:vAlign w:val="bottom"/>
            <w:hideMark/>
          </w:tcPr>
          <w:p w14:paraId="15EC7557"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2B5E5396" w14:textId="77777777" w:rsidR="00C33E7B" w:rsidRPr="009B605C" w:rsidRDefault="00C33E7B" w:rsidP="0087752F">
            <w:pPr>
              <w:rPr>
                <w:rFonts w:ascii="Cambria" w:hAnsi="Cambria"/>
                <w:i/>
                <w:iCs/>
                <w:color w:val="000000"/>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5CB9782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24482F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2961C43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6B0E3B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B1DDC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3A4949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BE69D1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292427A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0.402</w:t>
            </w:r>
          </w:p>
        </w:tc>
        <w:tc>
          <w:tcPr>
            <w:tcW w:w="988" w:type="dxa"/>
            <w:tcBorders>
              <w:top w:val="nil"/>
              <w:left w:val="nil"/>
              <w:bottom w:val="nil"/>
              <w:right w:val="nil"/>
            </w:tcBorders>
            <w:shd w:val="clear" w:color="auto" w:fill="auto"/>
            <w:noWrap/>
            <w:vAlign w:val="bottom"/>
            <w:hideMark/>
          </w:tcPr>
          <w:p w14:paraId="6B13393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0.398</w:t>
            </w:r>
          </w:p>
        </w:tc>
        <w:tc>
          <w:tcPr>
            <w:tcW w:w="1065" w:type="dxa"/>
            <w:tcBorders>
              <w:top w:val="nil"/>
              <w:left w:val="nil"/>
              <w:bottom w:val="nil"/>
              <w:right w:val="nil"/>
            </w:tcBorders>
            <w:shd w:val="clear" w:color="auto" w:fill="auto"/>
            <w:noWrap/>
            <w:vAlign w:val="bottom"/>
            <w:hideMark/>
          </w:tcPr>
          <w:p w14:paraId="5B87E31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0.394</w:t>
            </w:r>
          </w:p>
        </w:tc>
        <w:tc>
          <w:tcPr>
            <w:tcW w:w="1065" w:type="dxa"/>
            <w:tcBorders>
              <w:top w:val="nil"/>
              <w:left w:val="nil"/>
              <w:bottom w:val="nil"/>
              <w:right w:val="nil"/>
            </w:tcBorders>
            <w:shd w:val="clear" w:color="auto" w:fill="auto"/>
            <w:noWrap/>
            <w:vAlign w:val="bottom"/>
            <w:hideMark/>
          </w:tcPr>
          <w:p w14:paraId="072045B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0.393</w:t>
            </w:r>
          </w:p>
        </w:tc>
        <w:tc>
          <w:tcPr>
            <w:tcW w:w="1065" w:type="dxa"/>
            <w:tcBorders>
              <w:top w:val="nil"/>
              <w:left w:val="nil"/>
              <w:bottom w:val="nil"/>
              <w:right w:val="nil"/>
            </w:tcBorders>
            <w:shd w:val="clear" w:color="auto" w:fill="auto"/>
            <w:noWrap/>
            <w:vAlign w:val="bottom"/>
            <w:hideMark/>
          </w:tcPr>
          <w:p w14:paraId="7C1F858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0.773</w:t>
            </w:r>
          </w:p>
        </w:tc>
        <w:tc>
          <w:tcPr>
            <w:tcW w:w="1065" w:type="dxa"/>
            <w:tcBorders>
              <w:top w:val="nil"/>
              <w:left w:val="nil"/>
              <w:bottom w:val="nil"/>
              <w:right w:val="nil"/>
            </w:tcBorders>
            <w:shd w:val="clear" w:color="auto" w:fill="auto"/>
            <w:noWrap/>
            <w:vAlign w:val="bottom"/>
            <w:hideMark/>
          </w:tcPr>
          <w:p w14:paraId="605346A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988" w:type="dxa"/>
            <w:tcBorders>
              <w:top w:val="nil"/>
              <w:left w:val="nil"/>
              <w:bottom w:val="nil"/>
              <w:right w:val="nil"/>
            </w:tcBorders>
            <w:shd w:val="clear" w:color="auto" w:fill="auto"/>
            <w:noWrap/>
            <w:vAlign w:val="bottom"/>
            <w:hideMark/>
          </w:tcPr>
          <w:p w14:paraId="75CADCD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0.704</w:t>
            </w:r>
          </w:p>
        </w:tc>
      </w:tr>
      <w:tr w:rsidR="006C78DE" w:rsidRPr="009B605C" w14:paraId="3A62080B" w14:textId="77777777" w:rsidTr="006C78DE">
        <w:trPr>
          <w:trHeight w:val="288"/>
        </w:trPr>
        <w:tc>
          <w:tcPr>
            <w:tcW w:w="1258" w:type="dxa"/>
            <w:tcBorders>
              <w:top w:val="nil"/>
              <w:left w:val="nil"/>
              <w:bottom w:val="nil"/>
              <w:right w:val="nil"/>
            </w:tcBorders>
            <w:shd w:val="clear" w:color="auto" w:fill="auto"/>
            <w:noWrap/>
            <w:vAlign w:val="bottom"/>
            <w:hideMark/>
          </w:tcPr>
          <w:p w14:paraId="3D3A135B"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78055523"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7FA010B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0.115</w:t>
            </w:r>
          </w:p>
        </w:tc>
        <w:tc>
          <w:tcPr>
            <w:tcW w:w="1068" w:type="dxa"/>
            <w:tcBorders>
              <w:top w:val="nil"/>
              <w:left w:val="nil"/>
              <w:bottom w:val="nil"/>
              <w:right w:val="nil"/>
            </w:tcBorders>
            <w:shd w:val="clear" w:color="auto" w:fill="auto"/>
            <w:noWrap/>
            <w:vAlign w:val="bottom"/>
            <w:hideMark/>
          </w:tcPr>
          <w:p w14:paraId="3AADC64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0.113</w:t>
            </w:r>
          </w:p>
        </w:tc>
        <w:tc>
          <w:tcPr>
            <w:tcW w:w="1080" w:type="dxa"/>
            <w:tcBorders>
              <w:top w:val="nil"/>
              <w:left w:val="nil"/>
              <w:bottom w:val="nil"/>
              <w:right w:val="nil"/>
            </w:tcBorders>
            <w:shd w:val="clear" w:color="auto" w:fill="auto"/>
            <w:noWrap/>
            <w:vAlign w:val="bottom"/>
            <w:hideMark/>
          </w:tcPr>
          <w:p w14:paraId="379D23A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0.112</w:t>
            </w:r>
          </w:p>
        </w:tc>
        <w:tc>
          <w:tcPr>
            <w:tcW w:w="1065" w:type="dxa"/>
            <w:tcBorders>
              <w:top w:val="nil"/>
              <w:left w:val="nil"/>
              <w:bottom w:val="nil"/>
              <w:right w:val="nil"/>
            </w:tcBorders>
            <w:shd w:val="clear" w:color="auto" w:fill="auto"/>
            <w:noWrap/>
            <w:vAlign w:val="bottom"/>
            <w:hideMark/>
          </w:tcPr>
          <w:p w14:paraId="226DB9E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0.112</w:t>
            </w:r>
          </w:p>
        </w:tc>
        <w:tc>
          <w:tcPr>
            <w:tcW w:w="1065" w:type="dxa"/>
            <w:tcBorders>
              <w:top w:val="nil"/>
              <w:left w:val="nil"/>
              <w:bottom w:val="nil"/>
              <w:right w:val="nil"/>
            </w:tcBorders>
            <w:shd w:val="clear" w:color="auto" w:fill="auto"/>
            <w:noWrap/>
            <w:vAlign w:val="bottom"/>
            <w:hideMark/>
          </w:tcPr>
          <w:p w14:paraId="66818C8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0.112</w:t>
            </w:r>
          </w:p>
        </w:tc>
        <w:tc>
          <w:tcPr>
            <w:tcW w:w="1065" w:type="dxa"/>
            <w:tcBorders>
              <w:top w:val="nil"/>
              <w:left w:val="nil"/>
              <w:bottom w:val="nil"/>
              <w:right w:val="nil"/>
            </w:tcBorders>
            <w:shd w:val="clear" w:color="auto" w:fill="auto"/>
            <w:noWrap/>
            <w:vAlign w:val="bottom"/>
            <w:hideMark/>
          </w:tcPr>
          <w:p w14:paraId="12F957C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0.006</w:t>
            </w:r>
          </w:p>
        </w:tc>
        <w:tc>
          <w:tcPr>
            <w:tcW w:w="1068" w:type="dxa"/>
            <w:tcBorders>
              <w:top w:val="nil"/>
              <w:left w:val="nil"/>
              <w:bottom w:val="nil"/>
              <w:right w:val="nil"/>
            </w:tcBorders>
            <w:shd w:val="clear" w:color="auto" w:fill="auto"/>
            <w:noWrap/>
            <w:vAlign w:val="bottom"/>
            <w:hideMark/>
          </w:tcPr>
          <w:p w14:paraId="02A88E3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0.009</w:t>
            </w:r>
          </w:p>
        </w:tc>
        <w:tc>
          <w:tcPr>
            <w:tcW w:w="768" w:type="dxa"/>
            <w:tcBorders>
              <w:top w:val="nil"/>
              <w:left w:val="nil"/>
              <w:bottom w:val="nil"/>
              <w:right w:val="nil"/>
            </w:tcBorders>
            <w:shd w:val="clear" w:color="auto" w:fill="auto"/>
            <w:noWrap/>
            <w:vAlign w:val="bottom"/>
            <w:hideMark/>
          </w:tcPr>
          <w:p w14:paraId="1764743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0.077</w:t>
            </w:r>
          </w:p>
        </w:tc>
        <w:tc>
          <w:tcPr>
            <w:tcW w:w="988" w:type="dxa"/>
            <w:tcBorders>
              <w:top w:val="nil"/>
              <w:left w:val="nil"/>
              <w:bottom w:val="nil"/>
              <w:right w:val="nil"/>
            </w:tcBorders>
            <w:shd w:val="clear" w:color="auto" w:fill="auto"/>
            <w:noWrap/>
            <w:vAlign w:val="bottom"/>
            <w:hideMark/>
          </w:tcPr>
          <w:p w14:paraId="03CAA66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0.072</w:t>
            </w:r>
          </w:p>
        </w:tc>
        <w:tc>
          <w:tcPr>
            <w:tcW w:w="1065" w:type="dxa"/>
            <w:tcBorders>
              <w:top w:val="nil"/>
              <w:left w:val="nil"/>
              <w:bottom w:val="nil"/>
              <w:right w:val="nil"/>
            </w:tcBorders>
            <w:shd w:val="clear" w:color="auto" w:fill="auto"/>
            <w:noWrap/>
            <w:vAlign w:val="bottom"/>
            <w:hideMark/>
          </w:tcPr>
          <w:p w14:paraId="105F11D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0.071</w:t>
            </w:r>
          </w:p>
        </w:tc>
        <w:tc>
          <w:tcPr>
            <w:tcW w:w="1065" w:type="dxa"/>
            <w:tcBorders>
              <w:top w:val="nil"/>
              <w:left w:val="nil"/>
              <w:bottom w:val="nil"/>
              <w:right w:val="nil"/>
            </w:tcBorders>
            <w:shd w:val="clear" w:color="auto" w:fill="auto"/>
            <w:noWrap/>
            <w:vAlign w:val="bottom"/>
            <w:hideMark/>
          </w:tcPr>
          <w:p w14:paraId="2A3C3D1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w:t>
            </w:r>
          </w:p>
        </w:tc>
        <w:tc>
          <w:tcPr>
            <w:tcW w:w="1065" w:type="dxa"/>
            <w:tcBorders>
              <w:top w:val="nil"/>
              <w:left w:val="nil"/>
              <w:bottom w:val="nil"/>
              <w:right w:val="nil"/>
            </w:tcBorders>
            <w:shd w:val="clear" w:color="auto" w:fill="auto"/>
            <w:noWrap/>
            <w:vAlign w:val="bottom"/>
            <w:hideMark/>
          </w:tcPr>
          <w:p w14:paraId="63FFBED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0.012</w:t>
            </w:r>
          </w:p>
        </w:tc>
        <w:tc>
          <w:tcPr>
            <w:tcW w:w="1065" w:type="dxa"/>
            <w:tcBorders>
              <w:top w:val="nil"/>
              <w:left w:val="nil"/>
              <w:bottom w:val="nil"/>
              <w:right w:val="nil"/>
            </w:tcBorders>
            <w:shd w:val="clear" w:color="auto" w:fill="auto"/>
            <w:noWrap/>
            <w:vAlign w:val="bottom"/>
            <w:hideMark/>
          </w:tcPr>
          <w:p w14:paraId="65484B9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0.011</w:t>
            </w:r>
          </w:p>
        </w:tc>
        <w:tc>
          <w:tcPr>
            <w:tcW w:w="988" w:type="dxa"/>
            <w:tcBorders>
              <w:top w:val="nil"/>
              <w:left w:val="nil"/>
              <w:bottom w:val="nil"/>
              <w:right w:val="nil"/>
            </w:tcBorders>
            <w:shd w:val="clear" w:color="auto" w:fill="auto"/>
            <w:noWrap/>
            <w:vAlign w:val="bottom"/>
            <w:hideMark/>
          </w:tcPr>
          <w:p w14:paraId="2189B14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r>
      <w:tr w:rsidR="006C78DE" w:rsidRPr="009B605C" w14:paraId="4D87F6E1" w14:textId="77777777" w:rsidTr="006C78DE">
        <w:trPr>
          <w:trHeight w:val="288"/>
        </w:trPr>
        <w:tc>
          <w:tcPr>
            <w:tcW w:w="1258" w:type="dxa"/>
            <w:tcBorders>
              <w:top w:val="nil"/>
              <w:left w:val="nil"/>
              <w:bottom w:val="nil"/>
              <w:right w:val="nil"/>
            </w:tcBorders>
            <w:shd w:val="clear" w:color="auto" w:fill="auto"/>
            <w:noWrap/>
            <w:vAlign w:val="bottom"/>
            <w:hideMark/>
          </w:tcPr>
          <w:p w14:paraId="5DDB6A62"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458D0A04" w14:textId="73B632A4"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4EC6222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21A19A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5E57C8F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8C520F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D8D916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B0FB35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460274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07D0002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51A2897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380AE5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AAE03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0CCC7F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B1F4DB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6AF4D47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7303E6C0" w14:textId="77777777" w:rsidTr="006C78DE">
        <w:trPr>
          <w:trHeight w:val="288"/>
        </w:trPr>
        <w:tc>
          <w:tcPr>
            <w:tcW w:w="1258" w:type="dxa"/>
            <w:tcBorders>
              <w:top w:val="nil"/>
              <w:left w:val="nil"/>
              <w:bottom w:val="nil"/>
              <w:right w:val="nil"/>
            </w:tcBorders>
            <w:shd w:val="clear" w:color="auto" w:fill="auto"/>
            <w:noWrap/>
            <w:vAlign w:val="bottom"/>
            <w:hideMark/>
          </w:tcPr>
          <w:p w14:paraId="7416F62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Russia</w:t>
            </w:r>
          </w:p>
        </w:tc>
        <w:tc>
          <w:tcPr>
            <w:tcW w:w="1011" w:type="dxa"/>
            <w:tcBorders>
              <w:top w:val="nil"/>
              <w:left w:val="nil"/>
              <w:bottom w:val="nil"/>
              <w:right w:val="nil"/>
            </w:tcBorders>
            <w:shd w:val="clear" w:color="auto" w:fill="auto"/>
            <w:noWrap/>
            <w:vAlign w:val="bottom"/>
            <w:hideMark/>
          </w:tcPr>
          <w:p w14:paraId="2FEEC70F"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7657529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1068" w:type="dxa"/>
            <w:tcBorders>
              <w:top w:val="nil"/>
              <w:left w:val="nil"/>
              <w:bottom w:val="nil"/>
              <w:right w:val="nil"/>
            </w:tcBorders>
            <w:shd w:val="clear" w:color="auto" w:fill="auto"/>
            <w:noWrap/>
            <w:vAlign w:val="bottom"/>
            <w:hideMark/>
          </w:tcPr>
          <w:p w14:paraId="0F08DB1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1080" w:type="dxa"/>
            <w:tcBorders>
              <w:top w:val="nil"/>
              <w:left w:val="nil"/>
              <w:bottom w:val="nil"/>
              <w:right w:val="nil"/>
            </w:tcBorders>
            <w:shd w:val="clear" w:color="auto" w:fill="auto"/>
            <w:noWrap/>
            <w:vAlign w:val="bottom"/>
            <w:hideMark/>
          </w:tcPr>
          <w:p w14:paraId="61C94EE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1065" w:type="dxa"/>
            <w:tcBorders>
              <w:top w:val="nil"/>
              <w:left w:val="nil"/>
              <w:bottom w:val="nil"/>
              <w:right w:val="nil"/>
            </w:tcBorders>
            <w:shd w:val="clear" w:color="auto" w:fill="auto"/>
            <w:noWrap/>
            <w:vAlign w:val="bottom"/>
            <w:hideMark/>
          </w:tcPr>
          <w:p w14:paraId="02E5D0F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1065" w:type="dxa"/>
            <w:tcBorders>
              <w:top w:val="nil"/>
              <w:left w:val="nil"/>
              <w:bottom w:val="nil"/>
              <w:right w:val="nil"/>
            </w:tcBorders>
            <w:shd w:val="clear" w:color="auto" w:fill="auto"/>
            <w:noWrap/>
            <w:vAlign w:val="bottom"/>
            <w:hideMark/>
          </w:tcPr>
          <w:p w14:paraId="458D3DC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1065" w:type="dxa"/>
            <w:tcBorders>
              <w:top w:val="nil"/>
              <w:left w:val="nil"/>
              <w:bottom w:val="nil"/>
              <w:right w:val="nil"/>
            </w:tcBorders>
            <w:shd w:val="clear" w:color="auto" w:fill="auto"/>
            <w:noWrap/>
            <w:vAlign w:val="bottom"/>
            <w:hideMark/>
          </w:tcPr>
          <w:p w14:paraId="5689180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0.668</w:t>
            </w:r>
          </w:p>
        </w:tc>
        <w:tc>
          <w:tcPr>
            <w:tcW w:w="1068" w:type="dxa"/>
            <w:tcBorders>
              <w:top w:val="nil"/>
              <w:left w:val="nil"/>
              <w:bottom w:val="nil"/>
              <w:right w:val="nil"/>
            </w:tcBorders>
            <w:shd w:val="clear" w:color="auto" w:fill="auto"/>
            <w:noWrap/>
            <w:vAlign w:val="bottom"/>
            <w:hideMark/>
          </w:tcPr>
          <w:p w14:paraId="646A94C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0.669</w:t>
            </w:r>
          </w:p>
        </w:tc>
        <w:tc>
          <w:tcPr>
            <w:tcW w:w="768" w:type="dxa"/>
            <w:tcBorders>
              <w:top w:val="nil"/>
              <w:left w:val="nil"/>
              <w:bottom w:val="nil"/>
              <w:right w:val="nil"/>
            </w:tcBorders>
            <w:shd w:val="clear" w:color="auto" w:fill="auto"/>
            <w:noWrap/>
            <w:vAlign w:val="bottom"/>
            <w:hideMark/>
          </w:tcPr>
          <w:p w14:paraId="67D9D1B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0.034</w:t>
            </w:r>
          </w:p>
        </w:tc>
        <w:tc>
          <w:tcPr>
            <w:tcW w:w="988" w:type="dxa"/>
            <w:tcBorders>
              <w:top w:val="nil"/>
              <w:left w:val="nil"/>
              <w:bottom w:val="nil"/>
              <w:right w:val="nil"/>
            </w:tcBorders>
            <w:shd w:val="clear" w:color="auto" w:fill="auto"/>
            <w:noWrap/>
            <w:vAlign w:val="bottom"/>
            <w:hideMark/>
          </w:tcPr>
          <w:p w14:paraId="2A4FEB6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0.034</w:t>
            </w:r>
          </w:p>
        </w:tc>
        <w:tc>
          <w:tcPr>
            <w:tcW w:w="1065" w:type="dxa"/>
            <w:tcBorders>
              <w:top w:val="nil"/>
              <w:left w:val="nil"/>
              <w:bottom w:val="nil"/>
              <w:right w:val="nil"/>
            </w:tcBorders>
            <w:shd w:val="clear" w:color="auto" w:fill="auto"/>
            <w:noWrap/>
            <w:vAlign w:val="bottom"/>
            <w:hideMark/>
          </w:tcPr>
          <w:p w14:paraId="570744B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0.034</w:t>
            </w:r>
          </w:p>
        </w:tc>
        <w:tc>
          <w:tcPr>
            <w:tcW w:w="1065" w:type="dxa"/>
            <w:tcBorders>
              <w:top w:val="nil"/>
              <w:left w:val="nil"/>
              <w:bottom w:val="nil"/>
              <w:right w:val="nil"/>
            </w:tcBorders>
            <w:shd w:val="clear" w:color="auto" w:fill="auto"/>
            <w:noWrap/>
            <w:vAlign w:val="bottom"/>
            <w:hideMark/>
          </w:tcPr>
          <w:p w14:paraId="4CE3AF9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0.034</w:t>
            </w:r>
          </w:p>
        </w:tc>
        <w:tc>
          <w:tcPr>
            <w:tcW w:w="1065" w:type="dxa"/>
            <w:tcBorders>
              <w:top w:val="nil"/>
              <w:left w:val="nil"/>
              <w:bottom w:val="nil"/>
              <w:right w:val="nil"/>
            </w:tcBorders>
            <w:shd w:val="clear" w:color="auto" w:fill="auto"/>
            <w:noWrap/>
            <w:vAlign w:val="bottom"/>
            <w:hideMark/>
          </w:tcPr>
          <w:p w14:paraId="55D50E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0.032</w:t>
            </w:r>
          </w:p>
        </w:tc>
        <w:tc>
          <w:tcPr>
            <w:tcW w:w="1065" w:type="dxa"/>
            <w:tcBorders>
              <w:top w:val="nil"/>
              <w:left w:val="nil"/>
              <w:bottom w:val="nil"/>
              <w:right w:val="nil"/>
            </w:tcBorders>
            <w:shd w:val="clear" w:color="auto" w:fill="auto"/>
            <w:noWrap/>
            <w:vAlign w:val="bottom"/>
            <w:hideMark/>
          </w:tcPr>
          <w:p w14:paraId="69963C4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0.032</w:t>
            </w:r>
          </w:p>
        </w:tc>
        <w:tc>
          <w:tcPr>
            <w:tcW w:w="988" w:type="dxa"/>
            <w:tcBorders>
              <w:top w:val="nil"/>
              <w:left w:val="nil"/>
              <w:bottom w:val="nil"/>
              <w:right w:val="nil"/>
            </w:tcBorders>
            <w:shd w:val="clear" w:color="auto" w:fill="auto"/>
            <w:noWrap/>
            <w:vAlign w:val="bottom"/>
            <w:hideMark/>
          </w:tcPr>
          <w:p w14:paraId="4392D50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0.032</w:t>
            </w:r>
          </w:p>
        </w:tc>
      </w:tr>
      <w:tr w:rsidR="006C78DE" w:rsidRPr="009B605C" w14:paraId="70156211" w14:textId="77777777" w:rsidTr="006C78DE">
        <w:trPr>
          <w:trHeight w:val="288"/>
        </w:trPr>
        <w:tc>
          <w:tcPr>
            <w:tcW w:w="1258" w:type="dxa"/>
            <w:tcBorders>
              <w:top w:val="nil"/>
              <w:left w:val="nil"/>
              <w:bottom w:val="nil"/>
              <w:right w:val="nil"/>
            </w:tcBorders>
            <w:shd w:val="clear" w:color="auto" w:fill="auto"/>
            <w:noWrap/>
            <w:vAlign w:val="bottom"/>
            <w:hideMark/>
          </w:tcPr>
          <w:p w14:paraId="77B85932"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7642C055" w14:textId="0E42377C"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79D96FB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5A0B7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21A882C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8AD9AA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713DA4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FA8CFA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3A33CE1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7075B1F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0.402</w:t>
            </w:r>
          </w:p>
        </w:tc>
        <w:tc>
          <w:tcPr>
            <w:tcW w:w="988" w:type="dxa"/>
            <w:tcBorders>
              <w:top w:val="nil"/>
              <w:left w:val="nil"/>
              <w:bottom w:val="nil"/>
              <w:right w:val="nil"/>
            </w:tcBorders>
            <w:shd w:val="clear" w:color="auto" w:fill="auto"/>
            <w:noWrap/>
            <w:vAlign w:val="bottom"/>
            <w:hideMark/>
          </w:tcPr>
          <w:p w14:paraId="6E38AB9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0.398</w:t>
            </w:r>
          </w:p>
        </w:tc>
        <w:tc>
          <w:tcPr>
            <w:tcW w:w="1065" w:type="dxa"/>
            <w:tcBorders>
              <w:top w:val="nil"/>
              <w:left w:val="nil"/>
              <w:bottom w:val="nil"/>
              <w:right w:val="nil"/>
            </w:tcBorders>
            <w:shd w:val="clear" w:color="auto" w:fill="auto"/>
            <w:noWrap/>
            <w:vAlign w:val="bottom"/>
            <w:hideMark/>
          </w:tcPr>
          <w:p w14:paraId="0F1AAFE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0.394</w:t>
            </w:r>
          </w:p>
        </w:tc>
        <w:tc>
          <w:tcPr>
            <w:tcW w:w="1065" w:type="dxa"/>
            <w:tcBorders>
              <w:top w:val="nil"/>
              <w:left w:val="nil"/>
              <w:bottom w:val="nil"/>
              <w:right w:val="nil"/>
            </w:tcBorders>
            <w:shd w:val="clear" w:color="auto" w:fill="auto"/>
            <w:noWrap/>
            <w:vAlign w:val="bottom"/>
            <w:hideMark/>
          </w:tcPr>
          <w:p w14:paraId="0DDBA6E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0.393</w:t>
            </w:r>
          </w:p>
        </w:tc>
        <w:tc>
          <w:tcPr>
            <w:tcW w:w="1065" w:type="dxa"/>
            <w:tcBorders>
              <w:top w:val="nil"/>
              <w:left w:val="nil"/>
              <w:bottom w:val="nil"/>
              <w:right w:val="nil"/>
            </w:tcBorders>
            <w:shd w:val="clear" w:color="auto" w:fill="auto"/>
            <w:noWrap/>
            <w:vAlign w:val="bottom"/>
            <w:hideMark/>
          </w:tcPr>
          <w:p w14:paraId="3E9EF8A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0.773</w:t>
            </w:r>
          </w:p>
        </w:tc>
        <w:tc>
          <w:tcPr>
            <w:tcW w:w="1065" w:type="dxa"/>
            <w:tcBorders>
              <w:top w:val="nil"/>
              <w:left w:val="nil"/>
              <w:bottom w:val="nil"/>
              <w:right w:val="nil"/>
            </w:tcBorders>
            <w:shd w:val="clear" w:color="auto" w:fill="auto"/>
            <w:noWrap/>
            <w:vAlign w:val="bottom"/>
            <w:hideMark/>
          </w:tcPr>
          <w:p w14:paraId="73B53D5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988" w:type="dxa"/>
            <w:tcBorders>
              <w:top w:val="nil"/>
              <w:left w:val="nil"/>
              <w:bottom w:val="nil"/>
              <w:right w:val="nil"/>
            </w:tcBorders>
            <w:shd w:val="clear" w:color="auto" w:fill="auto"/>
            <w:noWrap/>
            <w:vAlign w:val="bottom"/>
            <w:hideMark/>
          </w:tcPr>
          <w:p w14:paraId="0AFEE7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0.704</w:t>
            </w:r>
          </w:p>
        </w:tc>
      </w:tr>
      <w:tr w:rsidR="006C78DE" w:rsidRPr="009B605C" w14:paraId="51BC9B74" w14:textId="77777777" w:rsidTr="006C78DE">
        <w:trPr>
          <w:trHeight w:val="288"/>
        </w:trPr>
        <w:tc>
          <w:tcPr>
            <w:tcW w:w="1258" w:type="dxa"/>
            <w:tcBorders>
              <w:top w:val="nil"/>
              <w:left w:val="nil"/>
              <w:bottom w:val="nil"/>
              <w:right w:val="nil"/>
            </w:tcBorders>
            <w:shd w:val="clear" w:color="auto" w:fill="auto"/>
            <w:noWrap/>
            <w:vAlign w:val="bottom"/>
            <w:hideMark/>
          </w:tcPr>
          <w:p w14:paraId="7F600BA0"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22AAF73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13DB60E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0.072</w:t>
            </w:r>
          </w:p>
        </w:tc>
        <w:tc>
          <w:tcPr>
            <w:tcW w:w="1068" w:type="dxa"/>
            <w:tcBorders>
              <w:top w:val="nil"/>
              <w:left w:val="nil"/>
              <w:bottom w:val="nil"/>
              <w:right w:val="nil"/>
            </w:tcBorders>
            <w:shd w:val="clear" w:color="auto" w:fill="auto"/>
            <w:noWrap/>
            <w:vAlign w:val="bottom"/>
            <w:hideMark/>
          </w:tcPr>
          <w:p w14:paraId="62209EC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0.071</w:t>
            </w:r>
          </w:p>
        </w:tc>
        <w:tc>
          <w:tcPr>
            <w:tcW w:w="1080" w:type="dxa"/>
            <w:tcBorders>
              <w:top w:val="nil"/>
              <w:left w:val="nil"/>
              <w:bottom w:val="nil"/>
              <w:right w:val="nil"/>
            </w:tcBorders>
            <w:shd w:val="clear" w:color="auto" w:fill="auto"/>
            <w:noWrap/>
            <w:vAlign w:val="bottom"/>
            <w:hideMark/>
          </w:tcPr>
          <w:p w14:paraId="18775E7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0.072</w:t>
            </w:r>
          </w:p>
        </w:tc>
        <w:tc>
          <w:tcPr>
            <w:tcW w:w="1065" w:type="dxa"/>
            <w:tcBorders>
              <w:top w:val="nil"/>
              <w:left w:val="nil"/>
              <w:bottom w:val="nil"/>
              <w:right w:val="nil"/>
            </w:tcBorders>
            <w:shd w:val="clear" w:color="auto" w:fill="auto"/>
            <w:noWrap/>
            <w:vAlign w:val="bottom"/>
            <w:hideMark/>
          </w:tcPr>
          <w:p w14:paraId="366F6A2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0.072</w:t>
            </w:r>
          </w:p>
        </w:tc>
        <w:tc>
          <w:tcPr>
            <w:tcW w:w="1065" w:type="dxa"/>
            <w:tcBorders>
              <w:top w:val="nil"/>
              <w:left w:val="nil"/>
              <w:bottom w:val="nil"/>
              <w:right w:val="nil"/>
            </w:tcBorders>
            <w:shd w:val="clear" w:color="auto" w:fill="auto"/>
            <w:noWrap/>
            <w:vAlign w:val="bottom"/>
            <w:hideMark/>
          </w:tcPr>
          <w:p w14:paraId="6B47FDC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0.072</w:t>
            </w:r>
          </w:p>
        </w:tc>
        <w:tc>
          <w:tcPr>
            <w:tcW w:w="1065" w:type="dxa"/>
            <w:tcBorders>
              <w:top w:val="nil"/>
              <w:left w:val="nil"/>
              <w:bottom w:val="nil"/>
              <w:right w:val="nil"/>
            </w:tcBorders>
            <w:shd w:val="clear" w:color="auto" w:fill="auto"/>
            <w:noWrap/>
            <w:vAlign w:val="bottom"/>
            <w:hideMark/>
          </w:tcPr>
          <w:p w14:paraId="43DEE00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w:t>
            </w:r>
          </w:p>
        </w:tc>
        <w:tc>
          <w:tcPr>
            <w:tcW w:w="1068" w:type="dxa"/>
            <w:tcBorders>
              <w:top w:val="nil"/>
              <w:left w:val="nil"/>
              <w:bottom w:val="nil"/>
              <w:right w:val="nil"/>
            </w:tcBorders>
            <w:shd w:val="clear" w:color="auto" w:fill="auto"/>
            <w:noWrap/>
            <w:vAlign w:val="bottom"/>
            <w:hideMark/>
          </w:tcPr>
          <w:p w14:paraId="584563C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768" w:type="dxa"/>
            <w:tcBorders>
              <w:top w:val="nil"/>
              <w:left w:val="nil"/>
              <w:bottom w:val="nil"/>
              <w:right w:val="nil"/>
            </w:tcBorders>
            <w:shd w:val="clear" w:color="auto" w:fill="auto"/>
            <w:noWrap/>
            <w:vAlign w:val="bottom"/>
            <w:hideMark/>
          </w:tcPr>
          <w:p w14:paraId="7910BC9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0.053</w:t>
            </w:r>
          </w:p>
        </w:tc>
        <w:tc>
          <w:tcPr>
            <w:tcW w:w="988" w:type="dxa"/>
            <w:tcBorders>
              <w:top w:val="nil"/>
              <w:left w:val="nil"/>
              <w:bottom w:val="nil"/>
              <w:right w:val="nil"/>
            </w:tcBorders>
            <w:shd w:val="clear" w:color="auto" w:fill="auto"/>
            <w:noWrap/>
            <w:vAlign w:val="bottom"/>
            <w:hideMark/>
          </w:tcPr>
          <w:p w14:paraId="121F4EF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w:t>
            </w:r>
          </w:p>
        </w:tc>
        <w:tc>
          <w:tcPr>
            <w:tcW w:w="1065" w:type="dxa"/>
            <w:tcBorders>
              <w:top w:val="nil"/>
              <w:left w:val="nil"/>
              <w:bottom w:val="nil"/>
              <w:right w:val="nil"/>
            </w:tcBorders>
            <w:shd w:val="clear" w:color="auto" w:fill="auto"/>
            <w:noWrap/>
            <w:vAlign w:val="bottom"/>
            <w:hideMark/>
          </w:tcPr>
          <w:p w14:paraId="5624FB1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0.048</w:t>
            </w:r>
          </w:p>
        </w:tc>
        <w:tc>
          <w:tcPr>
            <w:tcW w:w="1065" w:type="dxa"/>
            <w:tcBorders>
              <w:top w:val="nil"/>
              <w:left w:val="nil"/>
              <w:bottom w:val="nil"/>
              <w:right w:val="nil"/>
            </w:tcBorders>
            <w:shd w:val="clear" w:color="auto" w:fill="auto"/>
            <w:noWrap/>
            <w:vAlign w:val="bottom"/>
            <w:hideMark/>
          </w:tcPr>
          <w:p w14:paraId="63C0DB3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0.048</w:t>
            </w:r>
          </w:p>
        </w:tc>
        <w:tc>
          <w:tcPr>
            <w:tcW w:w="1065" w:type="dxa"/>
            <w:tcBorders>
              <w:top w:val="nil"/>
              <w:left w:val="nil"/>
              <w:bottom w:val="nil"/>
              <w:right w:val="nil"/>
            </w:tcBorders>
            <w:shd w:val="clear" w:color="auto" w:fill="auto"/>
            <w:noWrap/>
            <w:vAlign w:val="bottom"/>
            <w:hideMark/>
          </w:tcPr>
          <w:p w14:paraId="78A6F2F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0.011</w:t>
            </w:r>
          </w:p>
        </w:tc>
        <w:tc>
          <w:tcPr>
            <w:tcW w:w="1065" w:type="dxa"/>
            <w:tcBorders>
              <w:top w:val="nil"/>
              <w:left w:val="nil"/>
              <w:bottom w:val="nil"/>
              <w:right w:val="nil"/>
            </w:tcBorders>
            <w:shd w:val="clear" w:color="auto" w:fill="auto"/>
            <w:noWrap/>
            <w:vAlign w:val="bottom"/>
            <w:hideMark/>
          </w:tcPr>
          <w:p w14:paraId="37C3149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0.009</w:t>
            </w:r>
          </w:p>
        </w:tc>
        <w:tc>
          <w:tcPr>
            <w:tcW w:w="988" w:type="dxa"/>
            <w:tcBorders>
              <w:top w:val="nil"/>
              <w:left w:val="nil"/>
              <w:bottom w:val="nil"/>
              <w:right w:val="nil"/>
            </w:tcBorders>
            <w:shd w:val="clear" w:color="auto" w:fill="auto"/>
            <w:noWrap/>
            <w:vAlign w:val="bottom"/>
            <w:hideMark/>
          </w:tcPr>
          <w:p w14:paraId="51F8D2D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r>
      <w:tr w:rsidR="006C78DE" w:rsidRPr="009B605C" w14:paraId="0780416C" w14:textId="77777777" w:rsidTr="006C78DE">
        <w:trPr>
          <w:trHeight w:val="288"/>
        </w:trPr>
        <w:tc>
          <w:tcPr>
            <w:tcW w:w="1258" w:type="dxa"/>
            <w:tcBorders>
              <w:top w:val="nil"/>
              <w:left w:val="nil"/>
              <w:bottom w:val="nil"/>
              <w:right w:val="nil"/>
            </w:tcBorders>
            <w:shd w:val="clear" w:color="auto" w:fill="auto"/>
            <w:noWrap/>
            <w:vAlign w:val="bottom"/>
            <w:hideMark/>
          </w:tcPr>
          <w:p w14:paraId="4BA490D3"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354C6C6" w14:textId="414B4BCA"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665A3E6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F197A5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7F7678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EF5CE5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6FB135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920C73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986888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19317CB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1A89424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EBF9B0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7ABD04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56156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251CCD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672B69A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6A13EB73" w14:textId="77777777" w:rsidTr="006C78DE">
        <w:trPr>
          <w:trHeight w:val="288"/>
        </w:trPr>
        <w:tc>
          <w:tcPr>
            <w:tcW w:w="1258" w:type="dxa"/>
            <w:tcBorders>
              <w:top w:val="nil"/>
              <w:left w:val="nil"/>
              <w:bottom w:val="nil"/>
              <w:right w:val="nil"/>
            </w:tcBorders>
            <w:shd w:val="clear" w:color="auto" w:fill="auto"/>
            <w:noWrap/>
            <w:vAlign w:val="bottom"/>
            <w:hideMark/>
          </w:tcPr>
          <w:p w14:paraId="5E5A9058"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India</w:t>
            </w:r>
          </w:p>
        </w:tc>
        <w:tc>
          <w:tcPr>
            <w:tcW w:w="1011" w:type="dxa"/>
            <w:tcBorders>
              <w:top w:val="nil"/>
              <w:left w:val="nil"/>
              <w:bottom w:val="nil"/>
              <w:right w:val="nil"/>
            </w:tcBorders>
            <w:shd w:val="clear" w:color="auto" w:fill="auto"/>
            <w:noWrap/>
            <w:vAlign w:val="bottom"/>
            <w:hideMark/>
          </w:tcPr>
          <w:p w14:paraId="53605E14"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3306048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68" w:type="dxa"/>
            <w:tcBorders>
              <w:top w:val="nil"/>
              <w:left w:val="nil"/>
              <w:bottom w:val="nil"/>
              <w:right w:val="nil"/>
            </w:tcBorders>
            <w:shd w:val="clear" w:color="auto" w:fill="auto"/>
            <w:noWrap/>
            <w:vAlign w:val="bottom"/>
            <w:hideMark/>
          </w:tcPr>
          <w:p w14:paraId="08E7772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80" w:type="dxa"/>
            <w:tcBorders>
              <w:top w:val="nil"/>
              <w:left w:val="nil"/>
              <w:bottom w:val="nil"/>
              <w:right w:val="nil"/>
            </w:tcBorders>
            <w:shd w:val="clear" w:color="auto" w:fill="auto"/>
            <w:noWrap/>
            <w:vAlign w:val="bottom"/>
            <w:hideMark/>
          </w:tcPr>
          <w:p w14:paraId="32D3903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65" w:type="dxa"/>
            <w:tcBorders>
              <w:top w:val="nil"/>
              <w:left w:val="nil"/>
              <w:bottom w:val="nil"/>
              <w:right w:val="nil"/>
            </w:tcBorders>
            <w:shd w:val="clear" w:color="auto" w:fill="auto"/>
            <w:noWrap/>
            <w:vAlign w:val="bottom"/>
            <w:hideMark/>
          </w:tcPr>
          <w:p w14:paraId="794FDDB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65" w:type="dxa"/>
            <w:tcBorders>
              <w:top w:val="nil"/>
              <w:left w:val="nil"/>
              <w:bottom w:val="nil"/>
              <w:right w:val="nil"/>
            </w:tcBorders>
            <w:shd w:val="clear" w:color="auto" w:fill="auto"/>
            <w:noWrap/>
            <w:vAlign w:val="bottom"/>
            <w:hideMark/>
          </w:tcPr>
          <w:p w14:paraId="07FA035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65" w:type="dxa"/>
            <w:tcBorders>
              <w:top w:val="nil"/>
              <w:left w:val="nil"/>
              <w:bottom w:val="nil"/>
              <w:right w:val="nil"/>
            </w:tcBorders>
            <w:shd w:val="clear" w:color="auto" w:fill="auto"/>
            <w:noWrap/>
            <w:vAlign w:val="bottom"/>
            <w:hideMark/>
          </w:tcPr>
          <w:p w14:paraId="1D5DC65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1068" w:type="dxa"/>
            <w:tcBorders>
              <w:top w:val="nil"/>
              <w:left w:val="nil"/>
              <w:bottom w:val="nil"/>
              <w:right w:val="nil"/>
            </w:tcBorders>
            <w:shd w:val="clear" w:color="auto" w:fill="auto"/>
            <w:noWrap/>
            <w:vAlign w:val="bottom"/>
            <w:hideMark/>
          </w:tcPr>
          <w:p w14:paraId="318ECCE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0.623</w:t>
            </w:r>
          </w:p>
        </w:tc>
        <w:tc>
          <w:tcPr>
            <w:tcW w:w="768" w:type="dxa"/>
            <w:tcBorders>
              <w:top w:val="nil"/>
              <w:left w:val="nil"/>
              <w:bottom w:val="nil"/>
              <w:right w:val="nil"/>
            </w:tcBorders>
            <w:shd w:val="clear" w:color="auto" w:fill="auto"/>
            <w:noWrap/>
            <w:vAlign w:val="bottom"/>
            <w:hideMark/>
          </w:tcPr>
          <w:p w14:paraId="4E567BF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988" w:type="dxa"/>
            <w:tcBorders>
              <w:top w:val="nil"/>
              <w:left w:val="nil"/>
              <w:bottom w:val="nil"/>
              <w:right w:val="nil"/>
            </w:tcBorders>
            <w:shd w:val="clear" w:color="auto" w:fill="auto"/>
            <w:noWrap/>
            <w:vAlign w:val="bottom"/>
            <w:hideMark/>
          </w:tcPr>
          <w:p w14:paraId="66DEEE0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115F467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0F1ED94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w:t>
            </w:r>
          </w:p>
        </w:tc>
        <w:tc>
          <w:tcPr>
            <w:tcW w:w="1065" w:type="dxa"/>
            <w:tcBorders>
              <w:top w:val="nil"/>
              <w:left w:val="nil"/>
              <w:bottom w:val="nil"/>
              <w:right w:val="nil"/>
            </w:tcBorders>
            <w:shd w:val="clear" w:color="auto" w:fill="auto"/>
            <w:noWrap/>
            <w:vAlign w:val="bottom"/>
            <w:hideMark/>
          </w:tcPr>
          <w:p w14:paraId="2D81A24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1065" w:type="dxa"/>
            <w:tcBorders>
              <w:top w:val="nil"/>
              <w:left w:val="nil"/>
              <w:bottom w:val="nil"/>
              <w:right w:val="nil"/>
            </w:tcBorders>
            <w:shd w:val="clear" w:color="auto" w:fill="auto"/>
            <w:noWrap/>
            <w:vAlign w:val="bottom"/>
            <w:hideMark/>
          </w:tcPr>
          <w:p w14:paraId="613A52F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988" w:type="dxa"/>
            <w:tcBorders>
              <w:top w:val="nil"/>
              <w:left w:val="nil"/>
              <w:bottom w:val="nil"/>
              <w:right w:val="nil"/>
            </w:tcBorders>
            <w:shd w:val="clear" w:color="auto" w:fill="auto"/>
            <w:noWrap/>
            <w:vAlign w:val="bottom"/>
            <w:hideMark/>
          </w:tcPr>
          <w:p w14:paraId="158D557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0.038</w:t>
            </w:r>
          </w:p>
        </w:tc>
      </w:tr>
      <w:tr w:rsidR="006C78DE" w:rsidRPr="009B605C" w14:paraId="679ED9D7" w14:textId="77777777" w:rsidTr="006C78DE">
        <w:trPr>
          <w:trHeight w:val="288"/>
        </w:trPr>
        <w:tc>
          <w:tcPr>
            <w:tcW w:w="1258" w:type="dxa"/>
            <w:tcBorders>
              <w:top w:val="nil"/>
              <w:left w:val="nil"/>
              <w:bottom w:val="nil"/>
              <w:right w:val="nil"/>
            </w:tcBorders>
            <w:shd w:val="clear" w:color="auto" w:fill="auto"/>
            <w:noWrap/>
            <w:vAlign w:val="bottom"/>
            <w:hideMark/>
          </w:tcPr>
          <w:p w14:paraId="193C9058"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437A3338" w14:textId="4D87C58B"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420BCE7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9FCDDB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54D25C3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528A6A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38E84D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D8A6DE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32A78CF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60D89DB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0.402</w:t>
            </w:r>
          </w:p>
        </w:tc>
        <w:tc>
          <w:tcPr>
            <w:tcW w:w="988" w:type="dxa"/>
            <w:tcBorders>
              <w:top w:val="nil"/>
              <w:left w:val="nil"/>
              <w:bottom w:val="nil"/>
              <w:right w:val="nil"/>
            </w:tcBorders>
            <w:shd w:val="clear" w:color="auto" w:fill="auto"/>
            <w:noWrap/>
            <w:vAlign w:val="bottom"/>
            <w:hideMark/>
          </w:tcPr>
          <w:p w14:paraId="7127BDE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0.398</w:t>
            </w:r>
          </w:p>
        </w:tc>
        <w:tc>
          <w:tcPr>
            <w:tcW w:w="1065" w:type="dxa"/>
            <w:tcBorders>
              <w:top w:val="nil"/>
              <w:left w:val="nil"/>
              <w:bottom w:val="nil"/>
              <w:right w:val="nil"/>
            </w:tcBorders>
            <w:shd w:val="clear" w:color="auto" w:fill="auto"/>
            <w:noWrap/>
            <w:vAlign w:val="bottom"/>
            <w:hideMark/>
          </w:tcPr>
          <w:p w14:paraId="1CAD8F9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0.394</w:t>
            </w:r>
          </w:p>
        </w:tc>
        <w:tc>
          <w:tcPr>
            <w:tcW w:w="1065" w:type="dxa"/>
            <w:tcBorders>
              <w:top w:val="nil"/>
              <w:left w:val="nil"/>
              <w:bottom w:val="nil"/>
              <w:right w:val="nil"/>
            </w:tcBorders>
            <w:shd w:val="clear" w:color="auto" w:fill="auto"/>
            <w:noWrap/>
            <w:vAlign w:val="bottom"/>
            <w:hideMark/>
          </w:tcPr>
          <w:p w14:paraId="4969E50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0.393</w:t>
            </w:r>
          </w:p>
        </w:tc>
        <w:tc>
          <w:tcPr>
            <w:tcW w:w="1065" w:type="dxa"/>
            <w:tcBorders>
              <w:top w:val="nil"/>
              <w:left w:val="nil"/>
              <w:bottom w:val="nil"/>
              <w:right w:val="nil"/>
            </w:tcBorders>
            <w:shd w:val="clear" w:color="auto" w:fill="auto"/>
            <w:noWrap/>
            <w:vAlign w:val="bottom"/>
            <w:hideMark/>
          </w:tcPr>
          <w:p w14:paraId="7E84033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0.773</w:t>
            </w:r>
          </w:p>
        </w:tc>
        <w:tc>
          <w:tcPr>
            <w:tcW w:w="1065" w:type="dxa"/>
            <w:tcBorders>
              <w:top w:val="nil"/>
              <w:left w:val="nil"/>
              <w:bottom w:val="nil"/>
              <w:right w:val="nil"/>
            </w:tcBorders>
            <w:shd w:val="clear" w:color="auto" w:fill="auto"/>
            <w:noWrap/>
            <w:vAlign w:val="bottom"/>
            <w:hideMark/>
          </w:tcPr>
          <w:p w14:paraId="297C9F1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988" w:type="dxa"/>
            <w:tcBorders>
              <w:top w:val="nil"/>
              <w:left w:val="nil"/>
              <w:bottom w:val="nil"/>
              <w:right w:val="nil"/>
            </w:tcBorders>
            <w:shd w:val="clear" w:color="auto" w:fill="auto"/>
            <w:noWrap/>
            <w:vAlign w:val="bottom"/>
            <w:hideMark/>
          </w:tcPr>
          <w:p w14:paraId="2CEEFE4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0.704</w:t>
            </w:r>
          </w:p>
        </w:tc>
      </w:tr>
      <w:tr w:rsidR="006C78DE" w:rsidRPr="009B605C" w14:paraId="603E5DE2" w14:textId="77777777" w:rsidTr="006C78DE">
        <w:trPr>
          <w:trHeight w:val="288"/>
        </w:trPr>
        <w:tc>
          <w:tcPr>
            <w:tcW w:w="1258" w:type="dxa"/>
            <w:tcBorders>
              <w:top w:val="nil"/>
              <w:left w:val="nil"/>
              <w:bottom w:val="nil"/>
              <w:right w:val="nil"/>
            </w:tcBorders>
            <w:shd w:val="clear" w:color="auto" w:fill="auto"/>
            <w:noWrap/>
            <w:vAlign w:val="bottom"/>
            <w:hideMark/>
          </w:tcPr>
          <w:p w14:paraId="5417EF56"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3545951A"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4975DEA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0.088</w:t>
            </w:r>
          </w:p>
        </w:tc>
        <w:tc>
          <w:tcPr>
            <w:tcW w:w="1068" w:type="dxa"/>
            <w:tcBorders>
              <w:top w:val="nil"/>
              <w:left w:val="nil"/>
              <w:bottom w:val="nil"/>
              <w:right w:val="nil"/>
            </w:tcBorders>
            <w:shd w:val="clear" w:color="auto" w:fill="auto"/>
            <w:noWrap/>
            <w:vAlign w:val="bottom"/>
            <w:hideMark/>
          </w:tcPr>
          <w:p w14:paraId="49EAE50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0.088</w:t>
            </w:r>
          </w:p>
        </w:tc>
        <w:tc>
          <w:tcPr>
            <w:tcW w:w="1080" w:type="dxa"/>
            <w:tcBorders>
              <w:top w:val="nil"/>
              <w:left w:val="nil"/>
              <w:bottom w:val="nil"/>
              <w:right w:val="nil"/>
            </w:tcBorders>
            <w:shd w:val="clear" w:color="auto" w:fill="auto"/>
            <w:noWrap/>
            <w:vAlign w:val="bottom"/>
            <w:hideMark/>
          </w:tcPr>
          <w:p w14:paraId="536171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0.088</w:t>
            </w:r>
          </w:p>
        </w:tc>
        <w:tc>
          <w:tcPr>
            <w:tcW w:w="1065" w:type="dxa"/>
            <w:tcBorders>
              <w:top w:val="nil"/>
              <w:left w:val="nil"/>
              <w:bottom w:val="nil"/>
              <w:right w:val="nil"/>
            </w:tcBorders>
            <w:shd w:val="clear" w:color="auto" w:fill="auto"/>
            <w:noWrap/>
            <w:vAlign w:val="bottom"/>
            <w:hideMark/>
          </w:tcPr>
          <w:p w14:paraId="5C4FC09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0.088</w:t>
            </w:r>
          </w:p>
        </w:tc>
        <w:tc>
          <w:tcPr>
            <w:tcW w:w="1065" w:type="dxa"/>
            <w:tcBorders>
              <w:top w:val="nil"/>
              <w:left w:val="nil"/>
              <w:bottom w:val="nil"/>
              <w:right w:val="nil"/>
            </w:tcBorders>
            <w:shd w:val="clear" w:color="auto" w:fill="auto"/>
            <w:noWrap/>
            <w:vAlign w:val="bottom"/>
            <w:hideMark/>
          </w:tcPr>
          <w:p w14:paraId="7A9B472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0.088</w:t>
            </w:r>
          </w:p>
        </w:tc>
        <w:tc>
          <w:tcPr>
            <w:tcW w:w="1065" w:type="dxa"/>
            <w:tcBorders>
              <w:top w:val="nil"/>
              <w:left w:val="nil"/>
              <w:bottom w:val="nil"/>
              <w:right w:val="nil"/>
            </w:tcBorders>
            <w:shd w:val="clear" w:color="auto" w:fill="auto"/>
            <w:noWrap/>
            <w:vAlign w:val="bottom"/>
            <w:hideMark/>
          </w:tcPr>
          <w:p w14:paraId="320674A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8" w:type="dxa"/>
            <w:tcBorders>
              <w:top w:val="nil"/>
              <w:left w:val="nil"/>
              <w:bottom w:val="nil"/>
              <w:right w:val="nil"/>
            </w:tcBorders>
            <w:shd w:val="clear" w:color="auto" w:fill="auto"/>
            <w:noWrap/>
            <w:vAlign w:val="bottom"/>
            <w:hideMark/>
          </w:tcPr>
          <w:p w14:paraId="3CB5BBF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0.006</w:t>
            </w:r>
          </w:p>
        </w:tc>
        <w:tc>
          <w:tcPr>
            <w:tcW w:w="768" w:type="dxa"/>
            <w:tcBorders>
              <w:top w:val="nil"/>
              <w:left w:val="nil"/>
              <w:bottom w:val="nil"/>
              <w:right w:val="nil"/>
            </w:tcBorders>
            <w:shd w:val="clear" w:color="auto" w:fill="auto"/>
            <w:noWrap/>
            <w:vAlign w:val="bottom"/>
            <w:hideMark/>
          </w:tcPr>
          <w:p w14:paraId="22F93E1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0.028</w:t>
            </w:r>
          </w:p>
        </w:tc>
        <w:tc>
          <w:tcPr>
            <w:tcW w:w="988" w:type="dxa"/>
            <w:tcBorders>
              <w:top w:val="nil"/>
              <w:left w:val="nil"/>
              <w:bottom w:val="nil"/>
              <w:right w:val="nil"/>
            </w:tcBorders>
            <w:shd w:val="clear" w:color="auto" w:fill="auto"/>
            <w:noWrap/>
            <w:vAlign w:val="bottom"/>
            <w:hideMark/>
          </w:tcPr>
          <w:p w14:paraId="4ECFAA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0.028</w:t>
            </w:r>
          </w:p>
        </w:tc>
        <w:tc>
          <w:tcPr>
            <w:tcW w:w="1065" w:type="dxa"/>
            <w:tcBorders>
              <w:top w:val="nil"/>
              <w:left w:val="nil"/>
              <w:bottom w:val="nil"/>
              <w:right w:val="nil"/>
            </w:tcBorders>
            <w:shd w:val="clear" w:color="auto" w:fill="auto"/>
            <w:noWrap/>
            <w:vAlign w:val="bottom"/>
            <w:hideMark/>
          </w:tcPr>
          <w:p w14:paraId="0FD79DD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0.027</w:t>
            </w:r>
          </w:p>
        </w:tc>
        <w:tc>
          <w:tcPr>
            <w:tcW w:w="1065" w:type="dxa"/>
            <w:tcBorders>
              <w:top w:val="nil"/>
              <w:left w:val="nil"/>
              <w:bottom w:val="nil"/>
              <w:right w:val="nil"/>
            </w:tcBorders>
            <w:shd w:val="clear" w:color="auto" w:fill="auto"/>
            <w:noWrap/>
            <w:vAlign w:val="bottom"/>
            <w:hideMark/>
          </w:tcPr>
          <w:p w14:paraId="5DCFEDA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0.027</w:t>
            </w:r>
          </w:p>
        </w:tc>
        <w:tc>
          <w:tcPr>
            <w:tcW w:w="1065" w:type="dxa"/>
            <w:tcBorders>
              <w:top w:val="nil"/>
              <w:left w:val="nil"/>
              <w:bottom w:val="nil"/>
              <w:right w:val="nil"/>
            </w:tcBorders>
            <w:shd w:val="clear" w:color="auto" w:fill="auto"/>
            <w:noWrap/>
            <w:vAlign w:val="bottom"/>
            <w:hideMark/>
          </w:tcPr>
          <w:p w14:paraId="0CDC9BE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0.013</w:t>
            </w:r>
          </w:p>
        </w:tc>
        <w:tc>
          <w:tcPr>
            <w:tcW w:w="1065" w:type="dxa"/>
            <w:tcBorders>
              <w:top w:val="nil"/>
              <w:left w:val="nil"/>
              <w:bottom w:val="nil"/>
              <w:right w:val="nil"/>
            </w:tcBorders>
            <w:shd w:val="clear" w:color="auto" w:fill="auto"/>
            <w:noWrap/>
            <w:vAlign w:val="bottom"/>
            <w:hideMark/>
          </w:tcPr>
          <w:p w14:paraId="0656836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c>
          <w:tcPr>
            <w:tcW w:w="988" w:type="dxa"/>
            <w:tcBorders>
              <w:top w:val="nil"/>
              <w:left w:val="nil"/>
              <w:bottom w:val="nil"/>
              <w:right w:val="nil"/>
            </w:tcBorders>
            <w:shd w:val="clear" w:color="auto" w:fill="auto"/>
            <w:noWrap/>
            <w:vAlign w:val="bottom"/>
            <w:hideMark/>
          </w:tcPr>
          <w:p w14:paraId="3FFCCC8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r>
      <w:tr w:rsidR="006C78DE" w:rsidRPr="009B605C" w14:paraId="74728427" w14:textId="77777777" w:rsidTr="006C78DE">
        <w:trPr>
          <w:trHeight w:val="288"/>
        </w:trPr>
        <w:tc>
          <w:tcPr>
            <w:tcW w:w="1258" w:type="dxa"/>
            <w:tcBorders>
              <w:top w:val="nil"/>
              <w:left w:val="nil"/>
              <w:bottom w:val="nil"/>
              <w:right w:val="nil"/>
            </w:tcBorders>
            <w:shd w:val="clear" w:color="auto" w:fill="auto"/>
            <w:noWrap/>
            <w:vAlign w:val="bottom"/>
            <w:hideMark/>
          </w:tcPr>
          <w:p w14:paraId="53A48BF4"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6A99FC36" w14:textId="67EAF7F7"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306D850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7495161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167E35B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2DEBB8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5CC863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2463FA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C04DFA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4205F34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7952A5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2B0E1A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6CE891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C6DBF6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9538A0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74E4468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05A05117" w14:textId="77777777" w:rsidTr="006C78DE">
        <w:trPr>
          <w:trHeight w:val="288"/>
        </w:trPr>
        <w:tc>
          <w:tcPr>
            <w:tcW w:w="1258" w:type="dxa"/>
            <w:tcBorders>
              <w:top w:val="nil"/>
              <w:left w:val="nil"/>
              <w:bottom w:val="nil"/>
              <w:right w:val="nil"/>
            </w:tcBorders>
            <w:shd w:val="clear" w:color="auto" w:fill="auto"/>
            <w:noWrap/>
            <w:vAlign w:val="bottom"/>
            <w:hideMark/>
          </w:tcPr>
          <w:p w14:paraId="6844C793"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China</w:t>
            </w:r>
          </w:p>
        </w:tc>
        <w:tc>
          <w:tcPr>
            <w:tcW w:w="1011" w:type="dxa"/>
            <w:tcBorders>
              <w:top w:val="nil"/>
              <w:left w:val="nil"/>
              <w:bottom w:val="nil"/>
              <w:right w:val="nil"/>
            </w:tcBorders>
            <w:shd w:val="clear" w:color="auto" w:fill="auto"/>
            <w:noWrap/>
            <w:vAlign w:val="bottom"/>
            <w:hideMark/>
          </w:tcPr>
          <w:p w14:paraId="31A93289"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43048D5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68" w:type="dxa"/>
            <w:tcBorders>
              <w:top w:val="nil"/>
              <w:left w:val="nil"/>
              <w:bottom w:val="nil"/>
              <w:right w:val="nil"/>
            </w:tcBorders>
            <w:shd w:val="clear" w:color="auto" w:fill="auto"/>
            <w:noWrap/>
            <w:vAlign w:val="bottom"/>
            <w:hideMark/>
          </w:tcPr>
          <w:p w14:paraId="20AECE5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80" w:type="dxa"/>
            <w:tcBorders>
              <w:top w:val="nil"/>
              <w:left w:val="nil"/>
              <w:bottom w:val="nil"/>
              <w:right w:val="nil"/>
            </w:tcBorders>
            <w:shd w:val="clear" w:color="auto" w:fill="auto"/>
            <w:noWrap/>
            <w:vAlign w:val="bottom"/>
            <w:hideMark/>
          </w:tcPr>
          <w:p w14:paraId="6D2FD9D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65" w:type="dxa"/>
            <w:tcBorders>
              <w:top w:val="nil"/>
              <w:left w:val="nil"/>
              <w:bottom w:val="nil"/>
              <w:right w:val="nil"/>
            </w:tcBorders>
            <w:shd w:val="clear" w:color="auto" w:fill="auto"/>
            <w:noWrap/>
            <w:vAlign w:val="bottom"/>
            <w:hideMark/>
          </w:tcPr>
          <w:p w14:paraId="5FC50A4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65" w:type="dxa"/>
            <w:tcBorders>
              <w:top w:val="nil"/>
              <w:left w:val="nil"/>
              <w:bottom w:val="nil"/>
              <w:right w:val="nil"/>
            </w:tcBorders>
            <w:shd w:val="clear" w:color="auto" w:fill="auto"/>
            <w:noWrap/>
            <w:vAlign w:val="bottom"/>
            <w:hideMark/>
          </w:tcPr>
          <w:p w14:paraId="2529669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65" w:type="dxa"/>
            <w:tcBorders>
              <w:top w:val="nil"/>
              <w:left w:val="nil"/>
              <w:bottom w:val="nil"/>
              <w:right w:val="nil"/>
            </w:tcBorders>
            <w:shd w:val="clear" w:color="auto" w:fill="auto"/>
            <w:noWrap/>
            <w:vAlign w:val="bottom"/>
            <w:hideMark/>
          </w:tcPr>
          <w:p w14:paraId="4052A72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1068" w:type="dxa"/>
            <w:tcBorders>
              <w:top w:val="nil"/>
              <w:left w:val="nil"/>
              <w:bottom w:val="nil"/>
              <w:right w:val="nil"/>
            </w:tcBorders>
            <w:shd w:val="clear" w:color="auto" w:fill="auto"/>
            <w:noWrap/>
            <w:vAlign w:val="bottom"/>
            <w:hideMark/>
          </w:tcPr>
          <w:p w14:paraId="3DE317E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0.715</w:t>
            </w:r>
          </w:p>
        </w:tc>
        <w:tc>
          <w:tcPr>
            <w:tcW w:w="768" w:type="dxa"/>
            <w:tcBorders>
              <w:top w:val="nil"/>
              <w:left w:val="nil"/>
              <w:bottom w:val="nil"/>
              <w:right w:val="nil"/>
            </w:tcBorders>
            <w:shd w:val="clear" w:color="auto" w:fill="auto"/>
            <w:noWrap/>
            <w:vAlign w:val="bottom"/>
            <w:hideMark/>
          </w:tcPr>
          <w:p w14:paraId="4C199EA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0.021</w:t>
            </w:r>
          </w:p>
        </w:tc>
        <w:tc>
          <w:tcPr>
            <w:tcW w:w="988" w:type="dxa"/>
            <w:tcBorders>
              <w:top w:val="nil"/>
              <w:left w:val="nil"/>
              <w:bottom w:val="nil"/>
              <w:right w:val="nil"/>
            </w:tcBorders>
            <w:shd w:val="clear" w:color="auto" w:fill="auto"/>
            <w:noWrap/>
            <w:vAlign w:val="bottom"/>
            <w:hideMark/>
          </w:tcPr>
          <w:p w14:paraId="0DE7AE4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w:t>
            </w:r>
          </w:p>
        </w:tc>
        <w:tc>
          <w:tcPr>
            <w:tcW w:w="1065" w:type="dxa"/>
            <w:tcBorders>
              <w:top w:val="nil"/>
              <w:left w:val="nil"/>
              <w:bottom w:val="nil"/>
              <w:right w:val="nil"/>
            </w:tcBorders>
            <w:shd w:val="clear" w:color="auto" w:fill="auto"/>
            <w:noWrap/>
            <w:vAlign w:val="bottom"/>
            <w:hideMark/>
          </w:tcPr>
          <w:p w14:paraId="0C14C1B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w:t>
            </w:r>
          </w:p>
        </w:tc>
        <w:tc>
          <w:tcPr>
            <w:tcW w:w="1065" w:type="dxa"/>
            <w:tcBorders>
              <w:top w:val="nil"/>
              <w:left w:val="nil"/>
              <w:bottom w:val="nil"/>
              <w:right w:val="nil"/>
            </w:tcBorders>
            <w:shd w:val="clear" w:color="auto" w:fill="auto"/>
            <w:noWrap/>
            <w:vAlign w:val="bottom"/>
            <w:hideMark/>
          </w:tcPr>
          <w:p w14:paraId="1357611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w:t>
            </w:r>
          </w:p>
        </w:tc>
        <w:tc>
          <w:tcPr>
            <w:tcW w:w="1065" w:type="dxa"/>
            <w:tcBorders>
              <w:top w:val="nil"/>
              <w:left w:val="nil"/>
              <w:bottom w:val="nil"/>
              <w:right w:val="nil"/>
            </w:tcBorders>
            <w:shd w:val="clear" w:color="auto" w:fill="auto"/>
            <w:noWrap/>
            <w:vAlign w:val="bottom"/>
            <w:hideMark/>
          </w:tcPr>
          <w:p w14:paraId="1A35901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0.021</w:t>
            </w:r>
          </w:p>
        </w:tc>
        <w:tc>
          <w:tcPr>
            <w:tcW w:w="1065" w:type="dxa"/>
            <w:tcBorders>
              <w:top w:val="nil"/>
              <w:left w:val="nil"/>
              <w:bottom w:val="nil"/>
              <w:right w:val="nil"/>
            </w:tcBorders>
            <w:shd w:val="clear" w:color="auto" w:fill="auto"/>
            <w:noWrap/>
            <w:vAlign w:val="bottom"/>
            <w:hideMark/>
          </w:tcPr>
          <w:p w14:paraId="13E6AF0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w:t>
            </w:r>
          </w:p>
        </w:tc>
        <w:tc>
          <w:tcPr>
            <w:tcW w:w="988" w:type="dxa"/>
            <w:tcBorders>
              <w:top w:val="nil"/>
              <w:left w:val="nil"/>
              <w:bottom w:val="nil"/>
              <w:right w:val="nil"/>
            </w:tcBorders>
            <w:shd w:val="clear" w:color="auto" w:fill="auto"/>
            <w:noWrap/>
            <w:vAlign w:val="bottom"/>
            <w:hideMark/>
          </w:tcPr>
          <w:p w14:paraId="13D5A17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0.021</w:t>
            </w:r>
          </w:p>
        </w:tc>
      </w:tr>
      <w:tr w:rsidR="006C78DE" w:rsidRPr="009B605C" w14:paraId="14F3C52F" w14:textId="77777777" w:rsidTr="006C78DE">
        <w:trPr>
          <w:trHeight w:val="288"/>
        </w:trPr>
        <w:tc>
          <w:tcPr>
            <w:tcW w:w="1258" w:type="dxa"/>
            <w:tcBorders>
              <w:top w:val="nil"/>
              <w:left w:val="nil"/>
              <w:bottom w:val="nil"/>
              <w:right w:val="nil"/>
            </w:tcBorders>
            <w:shd w:val="clear" w:color="auto" w:fill="auto"/>
            <w:noWrap/>
            <w:vAlign w:val="bottom"/>
            <w:hideMark/>
          </w:tcPr>
          <w:p w14:paraId="72538052"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86EC6FF" w14:textId="7001C6AA"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1CD4EC3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F75FF8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5CD97F5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EF7128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78DE04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8E15EC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8FDDC7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2DFFE22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0.402</w:t>
            </w:r>
          </w:p>
        </w:tc>
        <w:tc>
          <w:tcPr>
            <w:tcW w:w="988" w:type="dxa"/>
            <w:tcBorders>
              <w:top w:val="nil"/>
              <w:left w:val="nil"/>
              <w:bottom w:val="nil"/>
              <w:right w:val="nil"/>
            </w:tcBorders>
            <w:shd w:val="clear" w:color="auto" w:fill="auto"/>
            <w:noWrap/>
            <w:vAlign w:val="bottom"/>
            <w:hideMark/>
          </w:tcPr>
          <w:p w14:paraId="4C94B87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0.398</w:t>
            </w:r>
          </w:p>
        </w:tc>
        <w:tc>
          <w:tcPr>
            <w:tcW w:w="1065" w:type="dxa"/>
            <w:tcBorders>
              <w:top w:val="nil"/>
              <w:left w:val="nil"/>
              <w:bottom w:val="nil"/>
              <w:right w:val="nil"/>
            </w:tcBorders>
            <w:shd w:val="clear" w:color="auto" w:fill="auto"/>
            <w:noWrap/>
            <w:vAlign w:val="bottom"/>
            <w:hideMark/>
          </w:tcPr>
          <w:p w14:paraId="0076224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0.394</w:t>
            </w:r>
          </w:p>
        </w:tc>
        <w:tc>
          <w:tcPr>
            <w:tcW w:w="1065" w:type="dxa"/>
            <w:tcBorders>
              <w:top w:val="nil"/>
              <w:left w:val="nil"/>
              <w:bottom w:val="nil"/>
              <w:right w:val="nil"/>
            </w:tcBorders>
            <w:shd w:val="clear" w:color="auto" w:fill="auto"/>
            <w:noWrap/>
            <w:vAlign w:val="bottom"/>
            <w:hideMark/>
          </w:tcPr>
          <w:p w14:paraId="4F0CA36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0.393</w:t>
            </w:r>
          </w:p>
        </w:tc>
        <w:tc>
          <w:tcPr>
            <w:tcW w:w="1065" w:type="dxa"/>
            <w:tcBorders>
              <w:top w:val="nil"/>
              <w:left w:val="nil"/>
              <w:bottom w:val="nil"/>
              <w:right w:val="nil"/>
            </w:tcBorders>
            <w:shd w:val="clear" w:color="auto" w:fill="auto"/>
            <w:noWrap/>
            <w:vAlign w:val="bottom"/>
            <w:hideMark/>
          </w:tcPr>
          <w:p w14:paraId="32E4879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0.773</w:t>
            </w:r>
          </w:p>
        </w:tc>
        <w:tc>
          <w:tcPr>
            <w:tcW w:w="1065" w:type="dxa"/>
            <w:tcBorders>
              <w:top w:val="nil"/>
              <w:left w:val="nil"/>
              <w:bottom w:val="nil"/>
              <w:right w:val="nil"/>
            </w:tcBorders>
            <w:shd w:val="clear" w:color="auto" w:fill="auto"/>
            <w:noWrap/>
            <w:vAlign w:val="bottom"/>
            <w:hideMark/>
          </w:tcPr>
          <w:p w14:paraId="0431CE5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988" w:type="dxa"/>
            <w:tcBorders>
              <w:top w:val="nil"/>
              <w:left w:val="nil"/>
              <w:bottom w:val="nil"/>
              <w:right w:val="nil"/>
            </w:tcBorders>
            <w:shd w:val="clear" w:color="auto" w:fill="auto"/>
            <w:noWrap/>
            <w:vAlign w:val="bottom"/>
            <w:hideMark/>
          </w:tcPr>
          <w:p w14:paraId="05C5EBC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0.704</w:t>
            </w:r>
          </w:p>
        </w:tc>
      </w:tr>
      <w:tr w:rsidR="006C78DE" w:rsidRPr="009B605C" w14:paraId="5540FB5F" w14:textId="77777777" w:rsidTr="006C78DE">
        <w:trPr>
          <w:trHeight w:val="288"/>
        </w:trPr>
        <w:tc>
          <w:tcPr>
            <w:tcW w:w="1258" w:type="dxa"/>
            <w:tcBorders>
              <w:top w:val="nil"/>
              <w:left w:val="nil"/>
              <w:bottom w:val="nil"/>
              <w:right w:val="nil"/>
            </w:tcBorders>
            <w:shd w:val="clear" w:color="auto" w:fill="auto"/>
            <w:noWrap/>
            <w:vAlign w:val="bottom"/>
            <w:hideMark/>
          </w:tcPr>
          <w:p w14:paraId="66E047E8"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45337316"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61D2EAB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0.168</w:t>
            </w:r>
          </w:p>
        </w:tc>
        <w:tc>
          <w:tcPr>
            <w:tcW w:w="1068" w:type="dxa"/>
            <w:tcBorders>
              <w:top w:val="nil"/>
              <w:left w:val="nil"/>
              <w:bottom w:val="nil"/>
              <w:right w:val="nil"/>
            </w:tcBorders>
            <w:shd w:val="clear" w:color="auto" w:fill="auto"/>
            <w:noWrap/>
            <w:vAlign w:val="bottom"/>
            <w:hideMark/>
          </w:tcPr>
          <w:p w14:paraId="7383FCA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0.155</w:t>
            </w:r>
          </w:p>
        </w:tc>
        <w:tc>
          <w:tcPr>
            <w:tcW w:w="1080" w:type="dxa"/>
            <w:tcBorders>
              <w:top w:val="nil"/>
              <w:left w:val="nil"/>
              <w:bottom w:val="nil"/>
              <w:right w:val="nil"/>
            </w:tcBorders>
            <w:shd w:val="clear" w:color="auto" w:fill="auto"/>
            <w:noWrap/>
            <w:vAlign w:val="bottom"/>
            <w:hideMark/>
          </w:tcPr>
          <w:p w14:paraId="29812C2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0.154</w:t>
            </w:r>
          </w:p>
        </w:tc>
        <w:tc>
          <w:tcPr>
            <w:tcW w:w="1065" w:type="dxa"/>
            <w:tcBorders>
              <w:top w:val="nil"/>
              <w:left w:val="nil"/>
              <w:bottom w:val="nil"/>
              <w:right w:val="nil"/>
            </w:tcBorders>
            <w:shd w:val="clear" w:color="auto" w:fill="auto"/>
            <w:noWrap/>
            <w:vAlign w:val="bottom"/>
            <w:hideMark/>
          </w:tcPr>
          <w:p w14:paraId="5B887E2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0.155</w:t>
            </w:r>
          </w:p>
        </w:tc>
        <w:tc>
          <w:tcPr>
            <w:tcW w:w="1065" w:type="dxa"/>
            <w:tcBorders>
              <w:top w:val="nil"/>
              <w:left w:val="nil"/>
              <w:bottom w:val="nil"/>
              <w:right w:val="nil"/>
            </w:tcBorders>
            <w:shd w:val="clear" w:color="auto" w:fill="auto"/>
            <w:noWrap/>
            <w:vAlign w:val="bottom"/>
            <w:hideMark/>
          </w:tcPr>
          <w:p w14:paraId="1E5CAD2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0.155</w:t>
            </w:r>
          </w:p>
        </w:tc>
        <w:tc>
          <w:tcPr>
            <w:tcW w:w="1065" w:type="dxa"/>
            <w:tcBorders>
              <w:top w:val="nil"/>
              <w:left w:val="nil"/>
              <w:bottom w:val="nil"/>
              <w:right w:val="nil"/>
            </w:tcBorders>
            <w:shd w:val="clear" w:color="auto" w:fill="auto"/>
            <w:noWrap/>
            <w:vAlign w:val="bottom"/>
            <w:hideMark/>
          </w:tcPr>
          <w:p w14:paraId="646ABAB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8" w:type="dxa"/>
            <w:tcBorders>
              <w:top w:val="nil"/>
              <w:left w:val="nil"/>
              <w:bottom w:val="nil"/>
              <w:right w:val="nil"/>
            </w:tcBorders>
            <w:shd w:val="clear" w:color="auto" w:fill="auto"/>
            <w:noWrap/>
            <w:vAlign w:val="bottom"/>
            <w:hideMark/>
          </w:tcPr>
          <w:p w14:paraId="6D8984E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768" w:type="dxa"/>
            <w:tcBorders>
              <w:top w:val="nil"/>
              <w:left w:val="nil"/>
              <w:bottom w:val="nil"/>
              <w:right w:val="nil"/>
            </w:tcBorders>
            <w:shd w:val="clear" w:color="auto" w:fill="auto"/>
            <w:noWrap/>
            <w:vAlign w:val="bottom"/>
            <w:hideMark/>
          </w:tcPr>
          <w:p w14:paraId="4FBD43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988" w:type="dxa"/>
            <w:tcBorders>
              <w:top w:val="nil"/>
              <w:left w:val="nil"/>
              <w:bottom w:val="nil"/>
              <w:right w:val="nil"/>
            </w:tcBorders>
            <w:shd w:val="clear" w:color="auto" w:fill="auto"/>
            <w:noWrap/>
            <w:vAlign w:val="bottom"/>
            <w:hideMark/>
          </w:tcPr>
          <w:p w14:paraId="2ACF8F0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c>
          <w:tcPr>
            <w:tcW w:w="1065" w:type="dxa"/>
            <w:tcBorders>
              <w:top w:val="nil"/>
              <w:left w:val="nil"/>
              <w:bottom w:val="nil"/>
              <w:right w:val="nil"/>
            </w:tcBorders>
            <w:shd w:val="clear" w:color="auto" w:fill="auto"/>
            <w:noWrap/>
            <w:vAlign w:val="bottom"/>
            <w:hideMark/>
          </w:tcPr>
          <w:p w14:paraId="77AEB36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c>
          <w:tcPr>
            <w:tcW w:w="1065" w:type="dxa"/>
            <w:tcBorders>
              <w:top w:val="nil"/>
              <w:left w:val="nil"/>
              <w:bottom w:val="nil"/>
              <w:right w:val="nil"/>
            </w:tcBorders>
            <w:shd w:val="clear" w:color="auto" w:fill="auto"/>
            <w:noWrap/>
            <w:vAlign w:val="bottom"/>
            <w:hideMark/>
          </w:tcPr>
          <w:p w14:paraId="0424F7D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c>
          <w:tcPr>
            <w:tcW w:w="1065" w:type="dxa"/>
            <w:tcBorders>
              <w:top w:val="nil"/>
              <w:left w:val="nil"/>
              <w:bottom w:val="nil"/>
              <w:right w:val="nil"/>
            </w:tcBorders>
            <w:shd w:val="clear" w:color="auto" w:fill="auto"/>
            <w:noWrap/>
            <w:vAlign w:val="bottom"/>
            <w:hideMark/>
          </w:tcPr>
          <w:p w14:paraId="1944DE5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0.012</w:t>
            </w:r>
          </w:p>
        </w:tc>
        <w:tc>
          <w:tcPr>
            <w:tcW w:w="1065" w:type="dxa"/>
            <w:tcBorders>
              <w:top w:val="nil"/>
              <w:left w:val="nil"/>
              <w:bottom w:val="nil"/>
              <w:right w:val="nil"/>
            </w:tcBorders>
            <w:shd w:val="clear" w:color="auto" w:fill="auto"/>
            <w:noWrap/>
            <w:vAlign w:val="bottom"/>
            <w:hideMark/>
          </w:tcPr>
          <w:p w14:paraId="0212139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0.004</w:t>
            </w:r>
          </w:p>
        </w:tc>
        <w:tc>
          <w:tcPr>
            <w:tcW w:w="988" w:type="dxa"/>
            <w:tcBorders>
              <w:top w:val="nil"/>
              <w:left w:val="nil"/>
              <w:bottom w:val="nil"/>
              <w:right w:val="nil"/>
            </w:tcBorders>
            <w:shd w:val="clear" w:color="auto" w:fill="auto"/>
            <w:noWrap/>
            <w:vAlign w:val="bottom"/>
            <w:hideMark/>
          </w:tcPr>
          <w:p w14:paraId="0A86178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r>
      <w:tr w:rsidR="006C78DE" w:rsidRPr="009B605C" w14:paraId="4218A805" w14:textId="77777777" w:rsidTr="006C78DE">
        <w:trPr>
          <w:trHeight w:val="288"/>
        </w:trPr>
        <w:tc>
          <w:tcPr>
            <w:tcW w:w="1258" w:type="dxa"/>
            <w:tcBorders>
              <w:top w:val="nil"/>
              <w:left w:val="nil"/>
              <w:bottom w:val="nil"/>
              <w:right w:val="nil"/>
            </w:tcBorders>
            <w:shd w:val="clear" w:color="auto" w:fill="auto"/>
            <w:noWrap/>
            <w:vAlign w:val="bottom"/>
            <w:hideMark/>
          </w:tcPr>
          <w:p w14:paraId="38F842DF"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272A27A0" w14:textId="283D1388"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173EEAF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63C89DE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225FA70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A96884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BF737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6259BA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BD1352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73EFF63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57C4D9B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5E2385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2987E8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F3A025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F78978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7059DA4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7C193FC3" w14:textId="77777777" w:rsidTr="006C78DE">
        <w:trPr>
          <w:trHeight w:val="288"/>
        </w:trPr>
        <w:tc>
          <w:tcPr>
            <w:tcW w:w="1258" w:type="dxa"/>
            <w:tcBorders>
              <w:top w:val="nil"/>
              <w:left w:val="nil"/>
              <w:bottom w:val="nil"/>
              <w:right w:val="nil"/>
            </w:tcBorders>
            <w:shd w:val="clear" w:color="auto" w:fill="auto"/>
            <w:noWrap/>
            <w:vAlign w:val="bottom"/>
            <w:hideMark/>
          </w:tcPr>
          <w:p w14:paraId="46F29EF5" w14:textId="07257BBD" w:rsidR="00C33E7B" w:rsidRPr="009B605C" w:rsidRDefault="00C33E7B" w:rsidP="0087752F">
            <w:pPr>
              <w:rPr>
                <w:rFonts w:ascii="Cambria" w:hAnsi="Cambria"/>
                <w:color w:val="000000"/>
                <w:sz w:val="18"/>
                <w:szCs w:val="18"/>
              </w:rPr>
            </w:pPr>
            <w:r w:rsidRPr="009B605C">
              <w:rPr>
                <w:rFonts w:ascii="Cambria" w:hAnsi="Cambria"/>
                <w:color w:val="000000"/>
                <w:sz w:val="18"/>
                <w:szCs w:val="18"/>
              </w:rPr>
              <w:t>South</w:t>
            </w:r>
            <w:r w:rsidR="00B63A17" w:rsidRPr="009B605C">
              <w:rPr>
                <w:rFonts w:ascii="Cambria" w:hAnsi="Cambria"/>
                <w:color w:val="000000"/>
                <w:sz w:val="18"/>
                <w:szCs w:val="18"/>
              </w:rPr>
              <w:t xml:space="preserve"> </w:t>
            </w:r>
            <w:r w:rsidRPr="009B605C">
              <w:rPr>
                <w:rFonts w:ascii="Cambria" w:hAnsi="Cambria"/>
                <w:color w:val="000000"/>
                <w:sz w:val="18"/>
                <w:szCs w:val="18"/>
              </w:rPr>
              <w:t>Africa</w:t>
            </w:r>
          </w:p>
        </w:tc>
        <w:tc>
          <w:tcPr>
            <w:tcW w:w="1011" w:type="dxa"/>
            <w:tcBorders>
              <w:top w:val="nil"/>
              <w:left w:val="nil"/>
              <w:bottom w:val="nil"/>
              <w:right w:val="nil"/>
            </w:tcBorders>
            <w:shd w:val="clear" w:color="auto" w:fill="auto"/>
            <w:noWrap/>
            <w:vAlign w:val="bottom"/>
            <w:hideMark/>
          </w:tcPr>
          <w:p w14:paraId="64C9005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0E1F9DB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68" w:type="dxa"/>
            <w:tcBorders>
              <w:top w:val="nil"/>
              <w:left w:val="nil"/>
              <w:bottom w:val="nil"/>
              <w:right w:val="nil"/>
            </w:tcBorders>
            <w:shd w:val="clear" w:color="auto" w:fill="auto"/>
            <w:noWrap/>
            <w:vAlign w:val="bottom"/>
            <w:hideMark/>
          </w:tcPr>
          <w:p w14:paraId="6DF25C9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80" w:type="dxa"/>
            <w:tcBorders>
              <w:top w:val="nil"/>
              <w:left w:val="nil"/>
              <w:bottom w:val="nil"/>
              <w:right w:val="nil"/>
            </w:tcBorders>
            <w:shd w:val="clear" w:color="auto" w:fill="auto"/>
            <w:noWrap/>
            <w:vAlign w:val="bottom"/>
            <w:hideMark/>
          </w:tcPr>
          <w:p w14:paraId="05D6979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65" w:type="dxa"/>
            <w:tcBorders>
              <w:top w:val="nil"/>
              <w:left w:val="nil"/>
              <w:bottom w:val="nil"/>
              <w:right w:val="nil"/>
            </w:tcBorders>
            <w:shd w:val="clear" w:color="auto" w:fill="auto"/>
            <w:noWrap/>
            <w:vAlign w:val="bottom"/>
            <w:hideMark/>
          </w:tcPr>
          <w:p w14:paraId="148194F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65" w:type="dxa"/>
            <w:tcBorders>
              <w:top w:val="nil"/>
              <w:left w:val="nil"/>
              <w:bottom w:val="nil"/>
              <w:right w:val="nil"/>
            </w:tcBorders>
            <w:shd w:val="clear" w:color="auto" w:fill="auto"/>
            <w:noWrap/>
            <w:vAlign w:val="bottom"/>
            <w:hideMark/>
          </w:tcPr>
          <w:p w14:paraId="4A3D2BF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65" w:type="dxa"/>
            <w:tcBorders>
              <w:top w:val="nil"/>
              <w:left w:val="nil"/>
              <w:bottom w:val="nil"/>
              <w:right w:val="nil"/>
            </w:tcBorders>
            <w:shd w:val="clear" w:color="auto" w:fill="auto"/>
            <w:noWrap/>
            <w:vAlign w:val="bottom"/>
            <w:hideMark/>
          </w:tcPr>
          <w:p w14:paraId="27CC60D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w:t>
            </w:r>
          </w:p>
        </w:tc>
        <w:tc>
          <w:tcPr>
            <w:tcW w:w="1068" w:type="dxa"/>
            <w:tcBorders>
              <w:top w:val="nil"/>
              <w:left w:val="nil"/>
              <w:bottom w:val="nil"/>
              <w:right w:val="nil"/>
            </w:tcBorders>
            <w:shd w:val="clear" w:color="auto" w:fill="auto"/>
            <w:noWrap/>
            <w:vAlign w:val="bottom"/>
            <w:hideMark/>
          </w:tcPr>
          <w:p w14:paraId="66AC2E8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0.621</w:t>
            </w:r>
          </w:p>
        </w:tc>
        <w:tc>
          <w:tcPr>
            <w:tcW w:w="768" w:type="dxa"/>
            <w:tcBorders>
              <w:top w:val="nil"/>
              <w:left w:val="nil"/>
              <w:bottom w:val="nil"/>
              <w:right w:val="nil"/>
            </w:tcBorders>
            <w:shd w:val="clear" w:color="auto" w:fill="auto"/>
            <w:noWrap/>
            <w:vAlign w:val="bottom"/>
            <w:hideMark/>
          </w:tcPr>
          <w:p w14:paraId="768319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c>
          <w:tcPr>
            <w:tcW w:w="988" w:type="dxa"/>
            <w:tcBorders>
              <w:top w:val="nil"/>
              <w:left w:val="nil"/>
              <w:bottom w:val="nil"/>
              <w:right w:val="nil"/>
            </w:tcBorders>
            <w:shd w:val="clear" w:color="auto" w:fill="auto"/>
            <w:noWrap/>
            <w:vAlign w:val="bottom"/>
            <w:hideMark/>
          </w:tcPr>
          <w:p w14:paraId="1E87CF6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c>
          <w:tcPr>
            <w:tcW w:w="1065" w:type="dxa"/>
            <w:tcBorders>
              <w:top w:val="nil"/>
              <w:left w:val="nil"/>
              <w:bottom w:val="nil"/>
              <w:right w:val="nil"/>
            </w:tcBorders>
            <w:shd w:val="clear" w:color="auto" w:fill="auto"/>
            <w:noWrap/>
            <w:vAlign w:val="bottom"/>
            <w:hideMark/>
          </w:tcPr>
          <w:p w14:paraId="5B2D798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c>
          <w:tcPr>
            <w:tcW w:w="1065" w:type="dxa"/>
            <w:tcBorders>
              <w:top w:val="nil"/>
              <w:left w:val="nil"/>
              <w:bottom w:val="nil"/>
              <w:right w:val="nil"/>
            </w:tcBorders>
            <w:shd w:val="clear" w:color="auto" w:fill="auto"/>
            <w:noWrap/>
            <w:vAlign w:val="bottom"/>
            <w:hideMark/>
          </w:tcPr>
          <w:p w14:paraId="7A9B8C8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c>
          <w:tcPr>
            <w:tcW w:w="1065" w:type="dxa"/>
            <w:tcBorders>
              <w:top w:val="nil"/>
              <w:left w:val="nil"/>
              <w:bottom w:val="nil"/>
              <w:right w:val="nil"/>
            </w:tcBorders>
            <w:shd w:val="clear" w:color="auto" w:fill="auto"/>
            <w:noWrap/>
            <w:vAlign w:val="bottom"/>
            <w:hideMark/>
          </w:tcPr>
          <w:p w14:paraId="3C6AED2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c>
          <w:tcPr>
            <w:tcW w:w="1065" w:type="dxa"/>
            <w:tcBorders>
              <w:top w:val="nil"/>
              <w:left w:val="nil"/>
              <w:bottom w:val="nil"/>
              <w:right w:val="nil"/>
            </w:tcBorders>
            <w:shd w:val="clear" w:color="auto" w:fill="auto"/>
            <w:noWrap/>
            <w:vAlign w:val="bottom"/>
            <w:hideMark/>
          </w:tcPr>
          <w:p w14:paraId="6D18265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0.075</w:t>
            </w:r>
          </w:p>
        </w:tc>
        <w:tc>
          <w:tcPr>
            <w:tcW w:w="988" w:type="dxa"/>
            <w:tcBorders>
              <w:top w:val="nil"/>
              <w:left w:val="nil"/>
              <w:bottom w:val="nil"/>
              <w:right w:val="nil"/>
            </w:tcBorders>
            <w:shd w:val="clear" w:color="auto" w:fill="auto"/>
            <w:noWrap/>
            <w:vAlign w:val="bottom"/>
            <w:hideMark/>
          </w:tcPr>
          <w:p w14:paraId="5282B9A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0.076</w:t>
            </w:r>
          </w:p>
        </w:tc>
      </w:tr>
      <w:tr w:rsidR="006C78DE" w:rsidRPr="009B605C" w14:paraId="14154720" w14:textId="77777777" w:rsidTr="006C78DE">
        <w:trPr>
          <w:trHeight w:val="288"/>
        </w:trPr>
        <w:tc>
          <w:tcPr>
            <w:tcW w:w="1258" w:type="dxa"/>
            <w:tcBorders>
              <w:top w:val="nil"/>
              <w:left w:val="nil"/>
              <w:bottom w:val="nil"/>
              <w:right w:val="nil"/>
            </w:tcBorders>
            <w:shd w:val="clear" w:color="auto" w:fill="auto"/>
            <w:noWrap/>
            <w:vAlign w:val="bottom"/>
            <w:hideMark/>
          </w:tcPr>
          <w:p w14:paraId="6FB024F5"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5386B46D" w14:textId="1BAECA86"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71C4A95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0A05B9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42E6C80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A94D7B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B2538A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DFBA4C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49ED4A0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2F3D98F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0.402</w:t>
            </w:r>
          </w:p>
        </w:tc>
        <w:tc>
          <w:tcPr>
            <w:tcW w:w="988" w:type="dxa"/>
            <w:tcBorders>
              <w:top w:val="nil"/>
              <w:left w:val="nil"/>
              <w:bottom w:val="nil"/>
              <w:right w:val="nil"/>
            </w:tcBorders>
            <w:shd w:val="clear" w:color="auto" w:fill="auto"/>
            <w:noWrap/>
            <w:vAlign w:val="bottom"/>
            <w:hideMark/>
          </w:tcPr>
          <w:p w14:paraId="69219B2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0.398</w:t>
            </w:r>
          </w:p>
        </w:tc>
        <w:tc>
          <w:tcPr>
            <w:tcW w:w="1065" w:type="dxa"/>
            <w:tcBorders>
              <w:top w:val="nil"/>
              <w:left w:val="nil"/>
              <w:bottom w:val="nil"/>
              <w:right w:val="nil"/>
            </w:tcBorders>
            <w:shd w:val="clear" w:color="auto" w:fill="auto"/>
            <w:noWrap/>
            <w:vAlign w:val="bottom"/>
            <w:hideMark/>
          </w:tcPr>
          <w:p w14:paraId="4949670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0.394</w:t>
            </w:r>
          </w:p>
        </w:tc>
        <w:tc>
          <w:tcPr>
            <w:tcW w:w="1065" w:type="dxa"/>
            <w:tcBorders>
              <w:top w:val="nil"/>
              <w:left w:val="nil"/>
              <w:bottom w:val="nil"/>
              <w:right w:val="nil"/>
            </w:tcBorders>
            <w:shd w:val="clear" w:color="auto" w:fill="auto"/>
            <w:noWrap/>
            <w:vAlign w:val="bottom"/>
            <w:hideMark/>
          </w:tcPr>
          <w:p w14:paraId="2002652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0.393</w:t>
            </w:r>
          </w:p>
        </w:tc>
        <w:tc>
          <w:tcPr>
            <w:tcW w:w="1065" w:type="dxa"/>
            <w:tcBorders>
              <w:top w:val="nil"/>
              <w:left w:val="nil"/>
              <w:bottom w:val="nil"/>
              <w:right w:val="nil"/>
            </w:tcBorders>
            <w:shd w:val="clear" w:color="auto" w:fill="auto"/>
            <w:noWrap/>
            <w:vAlign w:val="bottom"/>
            <w:hideMark/>
          </w:tcPr>
          <w:p w14:paraId="16EFCC2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0.773</w:t>
            </w:r>
          </w:p>
        </w:tc>
        <w:tc>
          <w:tcPr>
            <w:tcW w:w="1065" w:type="dxa"/>
            <w:tcBorders>
              <w:top w:val="nil"/>
              <w:left w:val="nil"/>
              <w:bottom w:val="nil"/>
              <w:right w:val="nil"/>
            </w:tcBorders>
            <w:shd w:val="clear" w:color="auto" w:fill="auto"/>
            <w:noWrap/>
            <w:vAlign w:val="bottom"/>
            <w:hideMark/>
          </w:tcPr>
          <w:p w14:paraId="0876FF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988" w:type="dxa"/>
            <w:tcBorders>
              <w:top w:val="nil"/>
              <w:left w:val="nil"/>
              <w:bottom w:val="nil"/>
              <w:right w:val="nil"/>
            </w:tcBorders>
            <w:shd w:val="clear" w:color="auto" w:fill="auto"/>
            <w:noWrap/>
            <w:vAlign w:val="bottom"/>
            <w:hideMark/>
          </w:tcPr>
          <w:p w14:paraId="5846180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0.704</w:t>
            </w:r>
          </w:p>
        </w:tc>
      </w:tr>
      <w:tr w:rsidR="006C78DE" w:rsidRPr="009B605C" w14:paraId="1FDCC60B" w14:textId="77777777" w:rsidTr="006C78DE">
        <w:trPr>
          <w:trHeight w:val="288"/>
        </w:trPr>
        <w:tc>
          <w:tcPr>
            <w:tcW w:w="1258" w:type="dxa"/>
            <w:tcBorders>
              <w:top w:val="nil"/>
              <w:left w:val="nil"/>
              <w:bottom w:val="nil"/>
              <w:right w:val="nil"/>
            </w:tcBorders>
            <w:shd w:val="clear" w:color="auto" w:fill="auto"/>
            <w:noWrap/>
            <w:vAlign w:val="bottom"/>
            <w:hideMark/>
          </w:tcPr>
          <w:p w14:paraId="0F564409"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7B7CC397"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7C686C2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0.06</w:t>
            </w:r>
          </w:p>
        </w:tc>
        <w:tc>
          <w:tcPr>
            <w:tcW w:w="1068" w:type="dxa"/>
            <w:tcBorders>
              <w:top w:val="nil"/>
              <w:left w:val="nil"/>
              <w:bottom w:val="nil"/>
              <w:right w:val="nil"/>
            </w:tcBorders>
            <w:shd w:val="clear" w:color="auto" w:fill="auto"/>
            <w:noWrap/>
            <w:vAlign w:val="bottom"/>
            <w:hideMark/>
          </w:tcPr>
          <w:p w14:paraId="4D099DA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0.057</w:t>
            </w:r>
          </w:p>
        </w:tc>
        <w:tc>
          <w:tcPr>
            <w:tcW w:w="1080" w:type="dxa"/>
            <w:tcBorders>
              <w:top w:val="nil"/>
              <w:left w:val="nil"/>
              <w:bottom w:val="nil"/>
              <w:right w:val="nil"/>
            </w:tcBorders>
            <w:shd w:val="clear" w:color="auto" w:fill="auto"/>
            <w:noWrap/>
            <w:vAlign w:val="bottom"/>
            <w:hideMark/>
          </w:tcPr>
          <w:p w14:paraId="04F31F1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0.057</w:t>
            </w:r>
          </w:p>
        </w:tc>
        <w:tc>
          <w:tcPr>
            <w:tcW w:w="1065" w:type="dxa"/>
            <w:tcBorders>
              <w:top w:val="nil"/>
              <w:left w:val="nil"/>
              <w:bottom w:val="nil"/>
              <w:right w:val="nil"/>
            </w:tcBorders>
            <w:shd w:val="clear" w:color="auto" w:fill="auto"/>
            <w:noWrap/>
            <w:vAlign w:val="bottom"/>
            <w:hideMark/>
          </w:tcPr>
          <w:p w14:paraId="7DFD5B8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0.057</w:t>
            </w:r>
          </w:p>
        </w:tc>
        <w:tc>
          <w:tcPr>
            <w:tcW w:w="1065" w:type="dxa"/>
            <w:tcBorders>
              <w:top w:val="nil"/>
              <w:left w:val="nil"/>
              <w:bottom w:val="nil"/>
              <w:right w:val="nil"/>
            </w:tcBorders>
            <w:shd w:val="clear" w:color="auto" w:fill="auto"/>
            <w:noWrap/>
            <w:vAlign w:val="bottom"/>
            <w:hideMark/>
          </w:tcPr>
          <w:p w14:paraId="7BAD022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0.057</w:t>
            </w:r>
          </w:p>
        </w:tc>
        <w:tc>
          <w:tcPr>
            <w:tcW w:w="1065" w:type="dxa"/>
            <w:tcBorders>
              <w:top w:val="nil"/>
              <w:left w:val="nil"/>
              <w:bottom w:val="nil"/>
              <w:right w:val="nil"/>
            </w:tcBorders>
            <w:shd w:val="clear" w:color="auto" w:fill="auto"/>
            <w:noWrap/>
            <w:vAlign w:val="bottom"/>
            <w:hideMark/>
          </w:tcPr>
          <w:p w14:paraId="3738E10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8" w:type="dxa"/>
            <w:tcBorders>
              <w:top w:val="nil"/>
              <w:left w:val="nil"/>
              <w:bottom w:val="nil"/>
              <w:right w:val="nil"/>
            </w:tcBorders>
            <w:shd w:val="clear" w:color="auto" w:fill="auto"/>
            <w:noWrap/>
            <w:vAlign w:val="bottom"/>
            <w:hideMark/>
          </w:tcPr>
          <w:p w14:paraId="1C1E507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c>
          <w:tcPr>
            <w:tcW w:w="768" w:type="dxa"/>
            <w:tcBorders>
              <w:top w:val="nil"/>
              <w:left w:val="nil"/>
              <w:bottom w:val="nil"/>
              <w:right w:val="nil"/>
            </w:tcBorders>
            <w:shd w:val="clear" w:color="auto" w:fill="auto"/>
            <w:noWrap/>
            <w:vAlign w:val="bottom"/>
            <w:hideMark/>
          </w:tcPr>
          <w:p w14:paraId="5201CD8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0.051</w:t>
            </w:r>
          </w:p>
        </w:tc>
        <w:tc>
          <w:tcPr>
            <w:tcW w:w="988" w:type="dxa"/>
            <w:tcBorders>
              <w:top w:val="nil"/>
              <w:left w:val="nil"/>
              <w:bottom w:val="nil"/>
              <w:right w:val="nil"/>
            </w:tcBorders>
            <w:shd w:val="clear" w:color="auto" w:fill="auto"/>
            <w:noWrap/>
            <w:vAlign w:val="bottom"/>
            <w:hideMark/>
          </w:tcPr>
          <w:p w14:paraId="2A36AE4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0.049</w:t>
            </w:r>
          </w:p>
        </w:tc>
        <w:tc>
          <w:tcPr>
            <w:tcW w:w="1065" w:type="dxa"/>
            <w:tcBorders>
              <w:top w:val="nil"/>
              <w:left w:val="nil"/>
              <w:bottom w:val="nil"/>
              <w:right w:val="nil"/>
            </w:tcBorders>
            <w:shd w:val="clear" w:color="auto" w:fill="auto"/>
            <w:noWrap/>
            <w:vAlign w:val="bottom"/>
            <w:hideMark/>
          </w:tcPr>
          <w:p w14:paraId="0EC7B0E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0.048</w:t>
            </w:r>
          </w:p>
        </w:tc>
        <w:tc>
          <w:tcPr>
            <w:tcW w:w="1065" w:type="dxa"/>
            <w:tcBorders>
              <w:top w:val="nil"/>
              <w:left w:val="nil"/>
              <w:bottom w:val="nil"/>
              <w:right w:val="nil"/>
            </w:tcBorders>
            <w:shd w:val="clear" w:color="auto" w:fill="auto"/>
            <w:noWrap/>
            <w:vAlign w:val="bottom"/>
            <w:hideMark/>
          </w:tcPr>
          <w:p w14:paraId="1DDA7E1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0.048</w:t>
            </w:r>
          </w:p>
        </w:tc>
        <w:tc>
          <w:tcPr>
            <w:tcW w:w="1065" w:type="dxa"/>
            <w:tcBorders>
              <w:top w:val="nil"/>
              <w:left w:val="nil"/>
              <w:bottom w:val="nil"/>
              <w:right w:val="nil"/>
            </w:tcBorders>
            <w:shd w:val="clear" w:color="auto" w:fill="auto"/>
            <w:noWrap/>
            <w:vAlign w:val="bottom"/>
            <w:hideMark/>
          </w:tcPr>
          <w:p w14:paraId="6223E89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0.012</w:t>
            </w:r>
          </w:p>
        </w:tc>
        <w:tc>
          <w:tcPr>
            <w:tcW w:w="1065" w:type="dxa"/>
            <w:tcBorders>
              <w:top w:val="nil"/>
              <w:left w:val="nil"/>
              <w:bottom w:val="nil"/>
              <w:right w:val="nil"/>
            </w:tcBorders>
            <w:shd w:val="clear" w:color="auto" w:fill="auto"/>
            <w:noWrap/>
            <w:vAlign w:val="bottom"/>
            <w:hideMark/>
          </w:tcPr>
          <w:p w14:paraId="169F819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0.012</w:t>
            </w:r>
          </w:p>
        </w:tc>
        <w:tc>
          <w:tcPr>
            <w:tcW w:w="988" w:type="dxa"/>
            <w:tcBorders>
              <w:top w:val="nil"/>
              <w:left w:val="nil"/>
              <w:bottom w:val="nil"/>
              <w:right w:val="nil"/>
            </w:tcBorders>
            <w:shd w:val="clear" w:color="auto" w:fill="auto"/>
            <w:noWrap/>
            <w:vAlign w:val="bottom"/>
            <w:hideMark/>
          </w:tcPr>
          <w:p w14:paraId="003C2ED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r>
      <w:tr w:rsidR="006C78DE" w:rsidRPr="009B605C" w14:paraId="29572D02" w14:textId="77777777" w:rsidTr="006C78DE">
        <w:trPr>
          <w:trHeight w:val="288"/>
        </w:trPr>
        <w:tc>
          <w:tcPr>
            <w:tcW w:w="1258" w:type="dxa"/>
            <w:tcBorders>
              <w:top w:val="nil"/>
              <w:left w:val="nil"/>
              <w:bottom w:val="nil"/>
              <w:right w:val="nil"/>
            </w:tcBorders>
            <w:shd w:val="clear" w:color="auto" w:fill="auto"/>
            <w:noWrap/>
            <w:vAlign w:val="bottom"/>
            <w:hideMark/>
          </w:tcPr>
          <w:p w14:paraId="73A65DB9"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5066869B" w14:textId="7773C922"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0846C0A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1D59801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0D92C4E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298724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D65465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148600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099DAD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296E522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0851DA3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72E2D1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18596A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CF1500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098ABD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1C05E60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01ADAC39" w14:textId="77777777" w:rsidTr="006C78DE">
        <w:trPr>
          <w:trHeight w:val="288"/>
        </w:trPr>
        <w:tc>
          <w:tcPr>
            <w:tcW w:w="3097" w:type="dxa"/>
            <w:gridSpan w:val="3"/>
            <w:tcBorders>
              <w:top w:val="nil"/>
              <w:left w:val="nil"/>
              <w:bottom w:val="nil"/>
              <w:right w:val="nil"/>
            </w:tcBorders>
            <w:shd w:val="clear" w:color="auto" w:fill="auto"/>
            <w:noWrap/>
            <w:vAlign w:val="bottom"/>
            <w:hideMark/>
          </w:tcPr>
          <w:p w14:paraId="437B7A6A" w14:textId="2332737C" w:rsidR="005836A1" w:rsidRPr="009B605C" w:rsidRDefault="005836A1" w:rsidP="0087752F">
            <w:pPr>
              <w:rPr>
                <w:rFonts w:ascii="Cambria" w:hAnsi="Cambria"/>
                <w:b/>
                <w:bCs/>
                <w:color w:val="000000"/>
                <w:sz w:val="18"/>
                <w:szCs w:val="18"/>
              </w:rPr>
            </w:pPr>
            <w:r w:rsidRPr="009B605C">
              <w:rPr>
                <w:rFonts w:ascii="Cambria" w:hAnsi="Cambria"/>
                <w:b/>
                <w:bCs/>
                <w:color w:val="000000"/>
                <w:sz w:val="18"/>
                <w:szCs w:val="18"/>
              </w:rPr>
              <w:t xml:space="preserve">Panel B: </w:t>
            </w:r>
            <w:r w:rsidRPr="009B605C">
              <w:rPr>
                <w:rFonts w:ascii="Cambria" w:hAnsi="Cambria"/>
                <w:color w:val="000000"/>
                <w:sz w:val="18"/>
                <w:szCs w:val="18"/>
              </w:rPr>
              <w:t>Post-conflict announcement</w:t>
            </w:r>
          </w:p>
        </w:tc>
        <w:tc>
          <w:tcPr>
            <w:tcW w:w="1068" w:type="dxa"/>
            <w:tcBorders>
              <w:top w:val="nil"/>
              <w:left w:val="nil"/>
              <w:bottom w:val="nil"/>
              <w:right w:val="nil"/>
            </w:tcBorders>
            <w:shd w:val="clear" w:color="auto" w:fill="auto"/>
            <w:noWrap/>
            <w:vAlign w:val="bottom"/>
            <w:hideMark/>
          </w:tcPr>
          <w:p w14:paraId="73140521" w14:textId="77777777" w:rsidR="005836A1" w:rsidRPr="009B605C" w:rsidRDefault="005836A1" w:rsidP="0087752F">
            <w:pPr>
              <w:rPr>
                <w:rFonts w:ascii="Cambria" w:hAnsi="Cambria"/>
                <w:sz w:val="18"/>
                <w:szCs w:val="18"/>
              </w:rPr>
            </w:pPr>
          </w:p>
        </w:tc>
        <w:tc>
          <w:tcPr>
            <w:tcW w:w="1080" w:type="dxa"/>
            <w:tcBorders>
              <w:top w:val="nil"/>
              <w:left w:val="nil"/>
              <w:bottom w:val="nil"/>
              <w:right w:val="nil"/>
            </w:tcBorders>
            <w:shd w:val="clear" w:color="auto" w:fill="auto"/>
            <w:noWrap/>
            <w:vAlign w:val="bottom"/>
            <w:hideMark/>
          </w:tcPr>
          <w:p w14:paraId="6215ADE9"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74BDA546"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2A7A6245"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3418C403" w14:textId="77777777" w:rsidR="005836A1" w:rsidRPr="009B605C" w:rsidRDefault="005836A1" w:rsidP="0087752F">
            <w:pPr>
              <w:rPr>
                <w:rFonts w:ascii="Cambria" w:hAnsi="Cambria"/>
                <w:sz w:val="18"/>
                <w:szCs w:val="18"/>
              </w:rPr>
            </w:pPr>
          </w:p>
        </w:tc>
        <w:tc>
          <w:tcPr>
            <w:tcW w:w="1068" w:type="dxa"/>
            <w:tcBorders>
              <w:top w:val="nil"/>
              <w:left w:val="nil"/>
              <w:bottom w:val="nil"/>
              <w:right w:val="nil"/>
            </w:tcBorders>
            <w:shd w:val="clear" w:color="auto" w:fill="auto"/>
            <w:noWrap/>
            <w:vAlign w:val="bottom"/>
            <w:hideMark/>
          </w:tcPr>
          <w:p w14:paraId="352483DA" w14:textId="77777777" w:rsidR="005836A1" w:rsidRPr="009B605C" w:rsidRDefault="005836A1" w:rsidP="0087752F">
            <w:pPr>
              <w:rPr>
                <w:rFonts w:ascii="Cambria" w:hAnsi="Cambria"/>
                <w:sz w:val="18"/>
                <w:szCs w:val="18"/>
              </w:rPr>
            </w:pPr>
          </w:p>
        </w:tc>
        <w:tc>
          <w:tcPr>
            <w:tcW w:w="768" w:type="dxa"/>
            <w:tcBorders>
              <w:top w:val="nil"/>
              <w:left w:val="nil"/>
              <w:bottom w:val="nil"/>
              <w:right w:val="nil"/>
            </w:tcBorders>
            <w:shd w:val="clear" w:color="auto" w:fill="auto"/>
            <w:noWrap/>
            <w:vAlign w:val="bottom"/>
            <w:hideMark/>
          </w:tcPr>
          <w:p w14:paraId="54E31717" w14:textId="77777777" w:rsidR="005836A1" w:rsidRPr="009B605C" w:rsidRDefault="005836A1" w:rsidP="0087752F">
            <w:pPr>
              <w:rPr>
                <w:rFonts w:ascii="Cambria" w:hAnsi="Cambria"/>
                <w:sz w:val="18"/>
                <w:szCs w:val="18"/>
              </w:rPr>
            </w:pPr>
          </w:p>
        </w:tc>
        <w:tc>
          <w:tcPr>
            <w:tcW w:w="988" w:type="dxa"/>
            <w:tcBorders>
              <w:top w:val="nil"/>
              <w:left w:val="nil"/>
              <w:bottom w:val="nil"/>
              <w:right w:val="nil"/>
            </w:tcBorders>
            <w:shd w:val="clear" w:color="auto" w:fill="auto"/>
            <w:noWrap/>
            <w:vAlign w:val="bottom"/>
            <w:hideMark/>
          </w:tcPr>
          <w:p w14:paraId="26F99F7B"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5167E828"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1A422265"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762E4AB0" w14:textId="77777777" w:rsidR="005836A1" w:rsidRPr="009B605C" w:rsidRDefault="005836A1" w:rsidP="0087752F">
            <w:pPr>
              <w:rPr>
                <w:rFonts w:ascii="Cambria" w:hAnsi="Cambria"/>
                <w:sz w:val="18"/>
                <w:szCs w:val="18"/>
              </w:rPr>
            </w:pPr>
          </w:p>
        </w:tc>
        <w:tc>
          <w:tcPr>
            <w:tcW w:w="1065" w:type="dxa"/>
            <w:tcBorders>
              <w:top w:val="nil"/>
              <w:left w:val="nil"/>
              <w:bottom w:val="nil"/>
              <w:right w:val="nil"/>
            </w:tcBorders>
            <w:shd w:val="clear" w:color="auto" w:fill="auto"/>
            <w:noWrap/>
            <w:vAlign w:val="bottom"/>
            <w:hideMark/>
          </w:tcPr>
          <w:p w14:paraId="68F44582" w14:textId="77777777" w:rsidR="005836A1" w:rsidRPr="009B605C" w:rsidRDefault="005836A1" w:rsidP="0087752F">
            <w:pPr>
              <w:rPr>
                <w:rFonts w:ascii="Cambria" w:hAnsi="Cambria"/>
                <w:sz w:val="18"/>
                <w:szCs w:val="18"/>
              </w:rPr>
            </w:pPr>
          </w:p>
        </w:tc>
        <w:tc>
          <w:tcPr>
            <w:tcW w:w="988" w:type="dxa"/>
            <w:tcBorders>
              <w:top w:val="nil"/>
              <w:left w:val="nil"/>
              <w:bottom w:val="nil"/>
              <w:right w:val="nil"/>
            </w:tcBorders>
            <w:shd w:val="clear" w:color="auto" w:fill="auto"/>
            <w:noWrap/>
            <w:vAlign w:val="bottom"/>
            <w:hideMark/>
          </w:tcPr>
          <w:p w14:paraId="7E1B8AED" w14:textId="77777777" w:rsidR="005836A1" w:rsidRPr="009B605C" w:rsidRDefault="005836A1" w:rsidP="0087752F">
            <w:pPr>
              <w:rPr>
                <w:rFonts w:ascii="Cambria" w:hAnsi="Cambria"/>
                <w:sz w:val="18"/>
                <w:szCs w:val="18"/>
              </w:rPr>
            </w:pPr>
          </w:p>
        </w:tc>
      </w:tr>
      <w:tr w:rsidR="006C78DE" w:rsidRPr="009B605C" w14:paraId="499F72DF" w14:textId="77777777" w:rsidTr="006C78DE">
        <w:trPr>
          <w:trHeight w:val="288"/>
        </w:trPr>
        <w:tc>
          <w:tcPr>
            <w:tcW w:w="1258" w:type="dxa"/>
            <w:tcBorders>
              <w:top w:val="nil"/>
              <w:left w:val="nil"/>
              <w:bottom w:val="nil"/>
              <w:right w:val="nil"/>
            </w:tcBorders>
            <w:shd w:val="clear" w:color="auto" w:fill="auto"/>
            <w:noWrap/>
            <w:vAlign w:val="bottom"/>
            <w:hideMark/>
          </w:tcPr>
          <w:p w14:paraId="7EB4BF93"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Brazil</w:t>
            </w:r>
          </w:p>
        </w:tc>
        <w:tc>
          <w:tcPr>
            <w:tcW w:w="1011" w:type="dxa"/>
            <w:tcBorders>
              <w:top w:val="nil"/>
              <w:left w:val="nil"/>
              <w:bottom w:val="nil"/>
              <w:right w:val="nil"/>
            </w:tcBorders>
            <w:shd w:val="clear" w:color="auto" w:fill="auto"/>
            <w:noWrap/>
            <w:vAlign w:val="bottom"/>
            <w:hideMark/>
          </w:tcPr>
          <w:p w14:paraId="7726656F"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170E4DF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68" w:type="dxa"/>
            <w:tcBorders>
              <w:top w:val="nil"/>
              <w:left w:val="nil"/>
              <w:bottom w:val="nil"/>
              <w:right w:val="nil"/>
            </w:tcBorders>
            <w:shd w:val="clear" w:color="auto" w:fill="auto"/>
            <w:noWrap/>
            <w:vAlign w:val="bottom"/>
            <w:hideMark/>
          </w:tcPr>
          <w:p w14:paraId="1AD27D5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80" w:type="dxa"/>
            <w:tcBorders>
              <w:top w:val="nil"/>
              <w:left w:val="nil"/>
              <w:bottom w:val="nil"/>
              <w:right w:val="nil"/>
            </w:tcBorders>
            <w:shd w:val="clear" w:color="auto" w:fill="auto"/>
            <w:noWrap/>
            <w:vAlign w:val="bottom"/>
            <w:hideMark/>
          </w:tcPr>
          <w:p w14:paraId="182010D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65" w:type="dxa"/>
            <w:tcBorders>
              <w:top w:val="nil"/>
              <w:left w:val="nil"/>
              <w:bottom w:val="nil"/>
              <w:right w:val="nil"/>
            </w:tcBorders>
            <w:shd w:val="clear" w:color="auto" w:fill="auto"/>
            <w:noWrap/>
            <w:vAlign w:val="bottom"/>
            <w:hideMark/>
          </w:tcPr>
          <w:p w14:paraId="2132902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65" w:type="dxa"/>
            <w:tcBorders>
              <w:top w:val="nil"/>
              <w:left w:val="nil"/>
              <w:bottom w:val="nil"/>
              <w:right w:val="nil"/>
            </w:tcBorders>
            <w:shd w:val="clear" w:color="auto" w:fill="auto"/>
            <w:noWrap/>
            <w:vAlign w:val="bottom"/>
            <w:hideMark/>
          </w:tcPr>
          <w:p w14:paraId="2BCFDFD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65" w:type="dxa"/>
            <w:tcBorders>
              <w:top w:val="nil"/>
              <w:left w:val="nil"/>
              <w:bottom w:val="nil"/>
              <w:right w:val="nil"/>
            </w:tcBorders>
            <w:shd w:val="clear" w:color="auto" w:fill="auto"/>
            <w:noWrap/>
            <w:vAlign w:val="bottom"/>
            <w:hideMark/>
          </w:tcPr>
          <w:p w14:paraId="60C9ED4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0.604</w:t>
            </w:r>
          </w:p>
        </w:tc>
        <w:tc>
          <w:tcPr>
            <w:tcW w:w="1068" w:type="dxa"/>
            <w:tcBorders>
              <w:top w:val="nil"/>
              <w:left w:val="nil"/>
              <w:bottom w:val="nil"/>
              <w:right w:val="nil"/>
            </w:tcBorders>
            <w:shd w:val="clear" w:color="auto" w:fill="auto"/>
            <w:noWrap/>
            <w:vAlign w:val="bottom"/>
            <w:hideMark/>
          </w:tcPr>
          <w:p w14:paraId="3DA097E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0.603</w:t>
            </w:r>
          </w:p>
        </w:tc>
        <w:tc>
          <w:tcPr>
            <w:tcW w:w="768" w:type="dxa"/>
            <w:tcBorders>
              <w:top w:val="nil"/>
              <w:left w:val="nil"/>
              <w:bottom w:val="nil"/>
              <w:right w:val="nil"/>
            </w:tcBorders>
            <w:shd w:val="clear" w:color="auto" w:fill="auto"/>
            <w:noWrap/>
            <w:vAlign w:val="bottom"/>
            <w:hideMark/>
          </w:tcPr>
          <w:p w14:paraId="54F0745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0.023</w:t>
            </w:r>
          </w:p>
        </w:tc>
        <w:tc>
          <w:tcPr>
            <w:tcW w:w="988" w:type="dxa"/>
            <w:tcBorders>
              <w:top w:val="nil"/>
              <w:left w:val="nil"/>
              <w:bottom w:val="nil"/>
              <w:right w:val="nil"/>
            </w:tcBorders>
            <w:shd w:val="clear" w:color="auto" w:fill="auto"/>
            <w:noWrap/>
            <w:vAlign w:val="bottom"/>
            <w:hideMark/>
          </w:tcPr>
          <w:p w14:paraId="27AB743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c>
          <w:tcPr>
            <w:tcW w:w="1065" w:type="dxa"/>
            <w:tcBorders>
              <w:top w:val="nil"/>
              <w:left w:val="nil"/>
              <w:bottom w:val="nil"/>
              <w:right w:val="nil"/>
            </w:tcBorders>
            <w:shd w:val="clear" w:color="auto" w:fill="auto"/>
            <w:noWrap/>
            <w:vAlign w:val="bottom"/>
            <w:hideMark/>
          </w:tcPr>
          <w:p w14:paraId="7796103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c>
          <w:tcPr>
            <w:tcW w:w="1065" w:type="dxa"/>
            <w:tcBorders>
              <w:top w:val="nil"/>
              <w:left w:val="nil"/>
              <w:bottom w:val="nil"/>
              <w:right w:val="nil"/>
            </w:tcBorders>
            <w:shd w:val="clear" w:color="auto" w:fill="auto"/>
            <w:noWrap/>
            <w:vAlign w:val="bottom"/>
            <w:hideMark/>
          </w:tcPr>
          <w:p w14:paraId="52F8C43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c>
          <w:tcPr>
            <w:tcW w:w="1065" w:type="dxa"/>
            <w:tcBorders>
              <w:top w:val="nil"/>
              <w:left w:val="nil"/>
              <w:bottom w:val="nil"/>
              <w:right w:val="nil"/>
            </w:tcBorders>
            <w:shd w:val="clear" w:color="auto" w:fill="auto"/>
            <w:noWrap/>
            <w:vAlign w:val="bottom"/>
            <w:hideMark/>
          </w:tcPr>
          <w:p w14:paraId="2C8CD26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c>
          <w:tcPr>
            <w:tcW w:w="1065" w:type="dxa"/>
            <w:tcBorders>
              <w:top w:val="nil"/>
              <w:left w:val="nil"/>
              <w:bottom w:val="nil"/>
              <w:right w:val="nil"/>
            </w:tcBorders>
            <w:shd w:val="clear" w:color="auto" w:fill="auto"/>
            <w:noWrap/>
            <w:vAlign w:val="bottom"/>
            <w:hideMark/>
          </w:tcPr>
          <w:p w14:paraId="317020B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0.023</w:t>
            </w:r>
          </w:p>
        </w:tc>
        <w:tc>
          <w:tcPr>
            <w:tcW w:w="988" w:type="dxa"/>
            <w:tcBorders>
              <w:top w:val="nil"/>
              <w:left w:val="nil"/>
              <w:bottom w:val="nil"/>
              <w:right w:val="nil"/>
            </w:tcBorders>
            <w:shd w:val="clear" w:color="auto" w:fill="auto"/>
            <w:noWrap/>
            <w:vAlign w:val="bottom"/>
            <w:hideMark/>
          </w:tcPr>
          <w:p w14:paraId="35A3026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r>
      <w:tr w:rsidR="006C78DE" w:rsidRPr="009B605C" w14:paraId="07A864D3" w14:textId="77777777" w:rsidTr="006C78DE">
        <w:trPr>
          <w:trHeight w:val="288"/>
        </w:trPr>
        <w:tc>
          <w:tcPr>
            <w:tcW w:w="1258" w:type="dxa"/>
            <w:tcBorders>
              <w:top w:val="nil"/>
              <w:left w:val="nil"/>
              <w:bottom w:val="nil"/>
              <w:right w:val="nil"/>
            </w:tcBorders>
            <w:shd w:val="clear" w:color="auto" w:fill="auto"/>
            <w:noWrap/>
            <w:vAlign w:val="bottom"/>
            <w:hideMark/>
          </w:tcPr>
          <w:p w14:paraId="0506A5DD"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6B15C262" w14:textId="7E1B0FDD"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3CCF252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71D15D9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0800B04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D76F9F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85F793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1B993E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476B36C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7720EC1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0.684</w:t>
            </w:r>
          </w:p>
        </w:tc>
        <w:tc>
          <w:tcPr>
            <w:tcW w:w="988" w:type="dxa"/>
            <w:tcBorders>
              <w:top w:val="nil"/>
              <w:left w:val="nil"/>
              <w:bottom w:val="nil"/>
              <w:right w:val="nil"/>
            </w:tcBorders>
            <w:shd w:val="clear" w:color="auto" w:fill="auto"/>
            <w:noWrap/>
            <w:vAlign w:val="bottom"/>
            <w:hideMark/>
          </w:tcPr>
          <w:p w14:paraId="450E655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1065" w:type="dxa"/>
            <w:tcBorders>
              <w:top w:val="nil"/>
              <w:left w:val="nil"/>
              <w:bottom w:val="nil"/>
              <w:right w:val="nil"/>
            </w:tcBorders>
            <w:shd w:val="clear" w:color="auto" w:fill="auto"/>
            <w:noWrap/>
            <w:vAlign w:val="bottom"/>
            <w:hideMark/>
          </w:tcPr>
          <w:p w14:paraId="5452373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0.848</w:t>
            </w:r>
          </w:p>
        </w:tc>
        <w:tc>
          <w:tcPr>
            <w:tcW w:w="1065" w:type="dxa"/>
            <w:tcBorders>
              <w:top w:val="nil"/>
              <w:left w:val="nil"/>
              <w:bottom w:val="nil"/>
              <w:right w:val="nil"/>
            </w:tcBorders>
            <w:shd w:val="clear" w:color="auto" w:fill="auto"/>
            <w:noWrap/>
            <w:vAlign w:val="bottom"/>
            <w:hideMark/>
          </w:tcPr>
          <w:p w14:paraId="711DCBF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0.847</w:t>
            </w:r>
          </w:p>
        </w:tc>
        <w:tc>
          <w:tcPr>
            <w:tcW w:w="1065" w:type="dxa"/>
            <w:tcBorders>
              <w:top w:val="nil"/>
              <w:left w:val="nil"/>
              <w:bottom w:val="nil"/>
              <w:right w:val="nil"/>
            </w:tcBorders>
            <w:shd w:val="clear" w:color="auto" w:fill="auto"/>
            <w:noWrap/>
            <w:vAlign w:val="bottom"/>
            <w:hideMark/>
          </w:tcPr>
          <w:p w14:paraId="1F26B4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0.903</w:t>
            </w:r>
          </w:p>
        </w:tc>
        <w:tc>
          <w:tcPr>
            <w:tcW w:w="1065" w:type="dxa"/>
            <w:tcBorders>
              <w:top w:val="nil"/>
              <w:left w:val="nil"/>
              <w:bottom w:val="nil"/>
              <w:right w:val="nil"/>
            </w:tcBorders>
            <w:shd w:val="clear" w:color="auto" w:fill="auto"/>
            <w:noWrap/>
            <w:vAlign w:val="bottom"/>
            <w:hideMark/>
          </w:tcPr>
          <w:p w14:paraId="2AE375A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0.914</w:t>
            </w:r>
          </w:p>
        </w:tc>
        <w:tc>
          <w:tcPr>
            <w:tcW w:w="988" w:type="dxa"/>
            <w:tcBorders>
              <w:top w:val="nil"/>
              <w:left w:val="nil"/>
              <w:bottom w:val="nil"/>
              <w:right w:val="nil"/>
            </w:tcBorders>
            <w:shd w:val="clear" w:color="auto" w:fill="auto"/>
            <w:noWrap/>
            <w:vAlign w:val="bottom"/>
            <w:hideMark/>
          </w:tcPr>
          <w:p w14:paraId="7325AE9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0.835</w:t>
            </w:r>
          </w:p>
        </w:tc>
      </w:tr>
      <w:tr w:rsidR="006C78DE" w:rsidRPr="009B605C" w14:paraId="01E0CC7A" w14:textId="77777777" w:rsidTr="006C78DE">
        <w:trPr>
          <w:trHeight w:val="288"/>
        </w:trPr>
        <w:tc>
          <w:tcPr>
            <w:tcW w:w="1258" w:type="dxa"/>
            <w:tcBorders>
              <w:top w:val="nil"/>
              <w:left w:val="nil"/>
              <w:bottom w:val="nil"/>
              <w:right w:val="nil"/>
            </w:tcBorders>
            <w:shd w:val="clear" w:color="auto" w:fill="auto"/>
            <w:noWrap/>
            <w:vAlign w:val="bottom"/>
            <w:hideMark/>
          </w:tcPr>
          <w:p w14:paraId="6230B782"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1FCF3A9"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601C506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0.047</w:t>
            </w:r>
          </w:p>
        </w:tc>
        <w:tc>
          <w:tcPr>
            <w:tcW w:w="1068" w:type="dxa"/>
            <w:tcBorders>
              <w:top w:val="nil"/>
              <w:left w:val="nil"/>
              <w:bottom w:val="nil"/>
              <w:right w:val="nil"/>
            </w:tcBorders>
            <w:shd w:val="clear" w:color="auto" w:fill="auto"/>
            <w:noWrap/>
            <w:vAlign w:val="bottom"/>
            <w:hideMark/>
          </w:tcPr>
          <w:p w14:paraId="3945F14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0.024</w:t>
            </w:r>
          </w:p>
        </w:tc>
        <w:tc>
          <w:tcPr>
            <w:tcW w:w="1080" w:type="dxa"/>
            <w:tcBorders>
              <w:top w:val="nil"/>
              <w:left w:val="nil"/>
              <w:bottom w:val="nil"/>
              <w:right w:val="nil"/>
            </w:tcBorders>
            <w:shd w:val="clear" w:color="auto" w:fill="auto"/>
            <w:noWrap/>
            <w:vAlign w:val="bottom"/>
            <w:hideMark/>
          </w:tcPr>
          <w:p w14:paraId="4B467B4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0.023</w:t>
            </w:r>
          </w:p>
        </w:tc>
        <w:tc>
          <w:tcPr>
            <w:tcW w:w="1065" w:type="dxa"/>
            <w:tcBorders>
              <w:top w:val="nil"/>
              <w:left w:val="nil"/>
              <w:bottom w:val="nil"/>
              <w:right w:val="nil"/>
            </w:tcBorders>
            <w:shd w:val="clear" w:color="auto" w:fill="auto"/>
            <w:noWrap/>
            <w:vAlign w:val="bottom"/>
            <w:hideMark/>
          </w:tcPr>
          <w:p w14:paraId="69F3182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0.023</w:t>
            </w:r>
          </w:p>
        </w:tc>
        <w:tc>
          <w:tcPr>
            <w:tcW w:w="1065" w:type="dxa"/>
            <w:tcBorders>
              <w:top w:val="nil"/>
              <w:left w:val="nil"/>
              <w:bottom w:val="nil"/>
              <w:right w:val="nil"/>
            </w:tcBorders>
            <w:shd w:val="clear" w:color="auto" w:fill="auto"/>
            <w:noWrap/>
            <w:vAlign w:val="bottom"/>
            <w:hideMark/>
          </w:tcPr>
          <w:p w14:paraId="2DF231B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0.004</w:t>
            </w:r>
          </w:p>
        </w:tc>
        <w:tc>
          <w:tcPr>
            <w:tcW w:w="1065" w:type="dxa"/>
            <w:tcBorders>
              <w:top w:val="nil"/>
              <w:left w:val="nil"/>
              <w:bottom w:val="nil"/>
              <w:right w:val="nil"/>
            </w:tcBorders>
            <w:shd w:val="clear" w:color="auto" w:fill="auto"/>
            <w:noWrap/>
            <w:vAlign w:val="bottom"/>
            <w:hideMark/>
          </w:tcPr>
          <w:p w14:paraId="3F6AE18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0.004</w:t>
            </w:r>
          </w:p>
        </w:tc>
        <w:tc>
          <w:tcPr>
            <w:tcW w:w="1068" w:type="dxa"/>
            <w:tcBorders>
              <w:top w:val="nil"/>
              <w:left w:val="nil"/>
              <w:bottom w:val="nil"/>
              <w:right w:val="nil"/>
            </w:tcBorders>
            <w:shd w:val="clear" w:color="auto" w:fill="auto"/>
            <w:noWrap/>
            <w:vAlign w:val="bottom"/>
            <w:hideMark/>
          </w:tcPr>
          <w:p w14:paraId="025A9E8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0.027</w:t>
            </w:r>
          </w:p>
        </w:tc>
        <w:tc>
          <w:tcPr>
            <w:tcW w:w="768" w:type="dxa"/>
            <w:tcBorders>
              <w:top w:val="nil"/>
              <w:left w:val="nil"/>
              <w:bottom w:val="nil"/>
              <w:right w:val="nil"/>
            </w:tcBorders>
            <w:shd w:val="clear" w:color="auto" w:fill="auto"/>
            <w:noWrap/>
            <w:vAlign w:val="bottom"/>
            <w:hideMark/>
          </w:tcPr>
          <w:p w14:paraId="6981955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0.059</w:t>
            </w:r>
          </w:p>
        </w:tc>
        <w:tc>
          <w:tcPr>
            <w:tcW w:w="988" w:type="dxa"/>
            <w:tcBorders>
              <w:top w:val="nil"/>
              <w:left w:val="nil"/>
              <w:bottom w:val="nil"/>
              <w:right w:val="nil"/>
            </w:tcBorders>
            <w:shd w:val="clear" w:color="auto" w:fill="auto"/>
            <w:noWrap/>
            <w:vAlign w:val="bottom"/>
            <w:hideMark/>
          </w:tcPr>
          <w:p w14:paraId="2B4BDA3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17FF612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0.018</w:t>
            </w:r>
          </w:p>
        </w:tc>
        <w:tc>
          <w:tcPr>
            <w:tcW w:w="1065" w:type="dxa"/>
            <w:tcBorders>
              <w:top w:val="nil"/>
              <w:left w:val="nil"/>
              <w:bottom w:val="nil"/>
              <w:right w:val="nil"/>
            </w:tcBorders>
            <w:shd w:val="clear" w:color="auto" w:fill="auto"/>
            <w:noWrap/>
            <w:vAlign w:val="bottom"/>
            <w:hideMark/>
          </w:tcPr>
          <w:p w14:paraId="3B3DC6B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0.018</w:t>
            </w:r>
          </w:p>
        </w:tc>
        <w:tc>
          <w:tcPr>
            <w:tcW w:w="1065" w:type="dxa"/>
            <w:tcBorders>
              <w:top w:val="nil"/>
              <w:left w:val="nil"/>
              <w:bottom w:val="nil"/>
              <w:right w:val="nil"/>
            </w:tcBorders>
            <w:shd w:val="clear" w:color="auto" w:fill="auto"/>
            <w:noWrap/>
            <w:vAlign w:val="bottom"/>
            <w:hideMark/>
          </w:tcPr>
          <w:p w14:paraId="4BFE30C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71A12BC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0.003</w:t>
            </w:r>
          </w:p>
        </w:tc>
        <w:tc>
          <w:tcPr>
            <w:tcW w:w="988" w:type="dxa"/>
            <w:tcBorders>
              <w:top w:val="nil"/>
              <w:left w:val="nil"/>
              <w:bottom w:val="nil"/>
              <w:right w:val="nil"/>
            </w:tcBorders>
            <w:shd w:val="clear" w:color="auto" w:fill="auto"/>
            <w:noWrap/>
            <w:vAlign w:val="bottom"/>
            <w:hideMark/>
          </w:tcPr>
          <w:p w14:paraId="4F18B4E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r>
      <w:tr w:rsidR="006C78DE" w:rsidRPr="009B605C" w14:paraId="4FFBB447" w14:textId="77777777" w:rsidTr="006C78DE">
        <w:trPr>
          <w:trHeight w:val="288"/>
        </w:trPr>
        <w:tc>
          <w:tcPr>
            <w:tcW w:w="1258" w:type="dxa"/>
            <w:tcBorders>
              <w:top w:val="nil"/>
              <w:left w:val="nil"/>
              <w:bottom w:val="nil"/>
              <w:right w:val="nil"/>
            </w:tcBorders>
            <w:shd w:val="clear" w:color="auto" w:fill="auto"/>
            <w:noWrap/>
            <w:vAlign w:val="bottom"/>
            <w:hideMark/>
          </w:tcPr>
          <w:p w14:paraId="28110D88"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3140F081" w14:textId="18535026"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2357440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65D99F1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68B98B2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11B2CE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A978C4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2EDC6F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16F650F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028DC54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13D6776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5AEB9B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B17FE3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280888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802893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5458066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35AF8B09" w14:textId="77777777" w:rsidTr="006C78DE">
        <w:trPr>
          <w:trHeight w:val="288"/>
        </w:trPr>
        <w:tc>
          <w:tcPr>
            <w:tcW w:w="1258" w:type="dxa"/>
            <w:tcBorders>
              <w:top w:val="nil"/>
              <w:left w:val="nil"/>
              <w:bottom w:val="nil"/>
              <w:right w:val="nil"/>
            </w:tcBorders>
            <w:shd w:val="clear" w:color="auto" w:fill="auto"/>
            <w:noWrap/>
            <w:vAlign w:val="bottom"/>
            <w:hideMark/>
          </w:tcPr>
          <w:p w14:paraId="063FED79"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Russia</w:t>
            </w:r>
          </w:p>
        </w:tc>
        <w:tc>
          <w:tcPr>
            <w:tcW w:w="1011" w:type="dxa"/>
            <w:tcBorders>
              <w:top w:val="nil"/>
              <w:left w:val="nil"/>
              <w:bottom w:val="nil"/>
              <w:right w:val="nil"/>
            </w:tcBorders>
            <w:shd w:val="clear" w:color="auto" w:fill="auto"/>
            <w:noWrap/>
            <w:vAlign w:val="bottom"/>
            <w:hideMark/>
          </w:tcPr>
          <w:p w14:paraId="5D860117"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78E4A9C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68" w:type="dxa"/>
            <w:tcBorders>
              <w:top w:val="nil"/>
              <w:left w:val="nil"/>
              <w:bottom w:val="nil"/>
              <w:right w:val="nil"/>
            </w:tcBorders>
            <w:shd w:val="clear" w:color="auto" w:fill="auto"/>
            <w:noWrap/>
            <w:vAlign w:val="bottom"/>
            <w:hideMark/>
          </w:tcPr>
          <w:p w14:paraId="7752B3C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80" w:type="dxa"/>
            <w:tcBorders>
              <w:top w:val="nil"/>
              <w:left w:val="nil"/>
              <w:bottom w:val="nil"/>
              <w:right w:val="nil"/>
            </w:tcBorders>
            <w:shd w:val="clear" w:color="auto" w:fill="auto"/>
            <w:noWrap/>
            <w:vAlign w:val="bottom"/>
            <w:hideMark/>
          </w:tcPr>
          <w:p w14:paraId="3AC89E6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65" w:type="dxa"/>
            <w:tcBorders>
              <w:top w:val="nil"/>
              <w:left w:val="nil"/>
              <w:bottom w:val="nil"/>
              <w:right w:val="nil"/>
            </w:tcBorders>
            <w:shd w:val="clear" w:color="auto" w:fill="auto"/>
            <w:noWrap/>
            <w:vAlign w:val="bottom"/>
            <w:hideMark/>
          </w:tcPr>
          <w:p w14:paraId="3D71DB0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65" w:type="dxa"/>
            <w:tcBorders>
              <w:top w:val="nil"/>
              <w:left w:val="nil"/>
              <w:bottom w:val="nil"/>
              <w:right w:val="nil"/>
            </w:tcBorders>
            <w:shd w:val="clear" w:color="auto" w:fill="auto"/>
            <w:noWrap/>
            <w:vAlign w:val="bottom"/>
            <w:hideMark/>
          </w:tcPr>
          <w:p w14:paraId="53EBFD1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65" w:type="dxa"/>
            <w:tcBorders>
              <w:top w:val="nil"/>
              <w:left w:val="nil"/>
              <w:bottom w:val="nil"/>
              <w:right w:val="nil"/>
            </w:tcBorders>
            <w:shd w:val="clear" w:color="auto" w:fill="auto"/>
            <w:noWrap/>
            <w:vAlign w:val="bottom"/>
            <w:hideMark/>
          </w:tcPr>
          <w:p w14:paraId="1F5A71D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1068" w:type="dxa"/>
            <w:tcBorders>
              <w:top w:val="nil"/>
              <w:left w:val="nil"/>
              <w:bottom w:val="nil"/>
              <w:right w:val="nil"/>
            </w:tcBorders>
            <w:shd w:val="clear" w:color="auto" w:fill="auto"/>
            <w:noWrap/>
            <w:vAlign w:val="bottom"/>
            <w:hideMark/>
          </w:tcPr>
          <w:p w14:paraId="6BCE2E4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0.852</w:t>
            </w:r>
          </w:p>
        </w:tc>
        <w:tc>
          <w:tcPr>
            <w:tcW w:w="768" w:type="dxa"/>
            <w:tcBorders>
              <w:top w:val="nil"/>
              <w:left w:val="nil"/>
              <w:bottom w:val="nil"/>
              <w:right w:val="nil"/>
            </w:tcBorders>
            <w:shd w:val="clear" w:color="auto" w:fill="auto"/>
            <w:noWrap/>
            <w:vAlign w:val="bottom"/>
            <w:hideMark/>
          </w:tcPr>
          <w:p w14:paraId="5FD3411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988" w:type="dxa"/>
            <w:tcBorders>
              <w:top w:val="nil"/>
              <w:left w:val="nil"/>
              <w:bottom w:val="nil"/>
              <w:right w:val="nil"/>
            </w:tcBorders>
            <w:shd w:val="clear" w:color="auto" w:fill="auto"/>
            <w:noWrap/>
            <w:vAlign w:val="bottom"/>
            <w:hideMark/>
          </w:tcPr>
          <w:p w14:paraId="46744E8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76F5FFC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5661D0C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0194372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2E1444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988" w:type="dxa"/>
            <w:tcBorders>
              <w:top w:val="nil"/>
              <w:left w:val="nil"/>
              <w:bottom w:val="nil"/>
              <w:right w:val="nil"/>
            </w:tcBorders>
            <w:shd w:val="clear" w:color="auto" w:fill="auto"/>
            <w:noWrap/>
            <w:vAlign w:val="bottom"/>
            <w:hideMark/>
          </w:tcPr>
          <w:p w14:paraId="5A9F8B4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r>
      <w:tr w:rsidR="006C78DE" w:rsidRPr="009B605C" w14:paraId="71FAB259" w14:textId="77777777" w:rsidTr="006C78DE">
        <w:trPr>
          <w:trHeight w:val="288"/>
        </w:trPr>
        <w:tc>
          <w:tcPr>
            <w:tcW w:w="1258" w:type="dxa"/>
            <w:tcBorders>
              <w:top w:val="nil"/>
              <w:left w:val="nil"/>
              <w:bottom w:val="nil"/>
              <w:right w:val="nil"/>
            </w:tcBorders>
            <w:shd w:val="clear" w:color="auto" w:fill="auto"/>
            <w:noWrap/>
            <w:vAlign w:val="bottom"/>
            <w:hideMark/>
          </w:tcPr>
          <w:p w14:paraId="2A759EB4"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7D562F56" w14:textId="41D3F6A2"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6E62EF2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0.038</w:t>
            </w:r>
          </w:p>
        </w:tc>
        <w:tc>
          <w:tcPr>
            <w:tcW w:w="1068" w:type="dxa"/>
            <w:tcBorders>
              <w:top w:val="nil"/>
              <w:left w:val="nil"/>
              <w:bottom w:val="nil"/>
              <w:right w:val="nil"/>
            </w:tcBorders>
            <w:shd w:val="clear" w:color="auto" w:fill="auto"/>
            <w:noWrap/>
            <w:vAlign w:val="bottom"/>
            <w:hideMark/>
          </w:tcPr>
          <w:p w14:paraId="647E71C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1080" w:type="dxa"/>
            <w:tcBorders>
              <w:top w:val="nil"/>
              <w:left w:val="nil"/>
              <w:bottom w:val="nil"/>
              <w:right w:val="nil"/>
            </w:tcBorders>
            <w:shd w:val="clear" w:color="auto" w:fill="auto"/>
            <w:noWrap/>
            <w:vAlign w:val="bottom"/>
            <w:hideMark/>
          </w:tcPr>
          <w:p w14:paraId="61DFD6C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1065" w:type="dxa"/>
            <w:tcBorders>
              <w:top w:val="nil"/>
              <w:left w:val="nil"/>
              <w:bottom w:val="nil"/>
              <w:right w:val="nil"/>
            </w:tcBorders>
            <w:shd w:val="clear" w:color="auto" w:fill="auto"/>
            <w:noWrap/>
            <w:vAlign w:val="bottom"/>
            <w:hideMark/>
          </w:tcPr>
          <w:p w14:paraId="63406BC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1065" w:type="dxa"/>
            <w:tcBorders>
              <w:top w:val="nil"/>
              <w:left w:val="nil"/>
              <w:bottom w:val="nil"/>
              <w:right w:val="nil"/>
            </w:tcBorders>
            <w:shd w:val="clear" w:color="auto" w:fill="auto"/>
            <w:noWrap/>
            <w:vAlign w:val="bottom"/>
            <w:hideMark/>
          </w:tcPr>
          <w:p w14:paraId="3974CF4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0.039</w:t>
            </w:r>
          </w:p>
        </w:tc>
        <w:tc>
          <w:tcPr>
            <w:tcW w:w="1065" w:type="dxa"/>
            <w:tcBorders>
              <w:top w:val="nil"/>
              <w:left w:val="nil"/>
              <w:bottom w:val="nil"/>
              <w:right w:val="nil"/>
            </w:tcBorders>
            <w:shd w:val="clear" w:color="auto" w:fill="auto"/>
            <w:noWrap/>
            <w:vAlign w:val="bottom"/>
            <w:hideMark/>
          </w:tcPr>
          <w:p w14:paraId="5140798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0.038</w:t>
            </w:r>
          </w:p>
        </w:tc>
        <w:tc>
          <w:tcPr>
            <w:tcW w:w="1068" w:type="dxa"/>
            <w:tcBorders>
              <w:top w:val="nil"/>
              <w:left w:val="nil"/>
              <w:bottom w:val="nil"/>
              <w:right w:val="nil"/>
            </w:tcBorders>
            <w:shd w:val="clear" w:color="auto" w:fill="auto"/>
            <w:noWrap/>
            <w:vAlign w:val="bottom"/>
            <w:hideMark/>
          </w:tcPr>
          <w:p w14:paraId="3184479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0.038</w:t>
            </w:r>
          </w:p>
        </w:tc>
        <w:tc>
          <w:tcPr>
            <w:tcW w:w="768" w:type="dxa"/>
            <w:tcBorders>
              <w:top w:val="nil"/>
              <w:left w:val="nil"/>
              <w:bottom w:val="nil"/>
              <w:right w:val="nil"/>
            </w:tcBorders>
            <w:shd w:val="clear" w:color="auto" w:fill="auto"/>
            <w:noWrap/>
            <w:vAlign w:val="bottom"/>
            <w:hideMark/>
          </w:tcPr>
          <w:p w14:paraId="3ABAD06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0.684</w:t>
            </w:r>
          </w:p>
        </w:tc>
        <w:tc>
          <w:tcPr>
            <w:tcW w:w="988" w:type="dxa"/>
            <w:tcBorders>
              <w:top w:val="nil"/>
              <w:left w:val="nil"/>
              <w:bottom w:val="nil"/>
              <w:right w:val="nil"/>
            </w:tcBorders>
            <w:shd w:val="clear" w:color="auto" w:fill="auto"/>
            <w:noWrap/>
            <w:vAlign w:val="bottom"/>
            <w:hideMark/>
          </w:tcPr>
          <w:p w14:paraId="2BDAF9B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1065" w:type="dxa"/>
            <w:tcBorders>
              <w:top w:val="nil"/>
              <w:left w:val="nil"/>
              <w:bottom w:val="nil"/>
              <w:right w:val="nil"/>
            </w:tcBorders>
            <w:shd w:val="clear" w:color="auto" w:fill="auto"/>
            <w:noWrap/>
            <w:vAlign w:val="bottom"/>
            <w:hideMark/>
          </w:tcPr>
          <w:p w14:paraId="0AAB58B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0.848</w:t>
            </w:r>
          </w:p>
        </w:tc>
        <w:tc>
          <w:tcPr>
            <w:tcW w:w="1065" w:type="dxa"/>
            <w:tcBorders>
              <w:top w:val="nil"/>
              <w:left w:val="nil"/>
              <w:bottom w:val="nil"/>
              <w:right w:val="nil"/>
            </w:tcBorders>
            <w:shd w:val="clear" w:color="auto" w:fill="auto"/>
            <w:noWrap/>
            <w:vAlign w:val="bottom"/>
            <w:hideMark/>
          </w:tcPr>
          <w:p w14:paraId="6A785AB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0.847</w:t>
            </w:r>
          </w:p>
        </w:tc>
        <w:tc>
          <w:tcPr>
            <w:tcW w:w="1065" w:type="dxa"/>
            <w:tcBorders>
              <w:top w:val="nil"/>
              <w:left w:val="nil"/>
              <w:bottom w:val="nil"/>
              <w:right w:val="nil"/>
            </w:tcBorders>
            <w:shd w:val="clear" w:color="auto" w:fill="auto"/>
            <w:noWrap/>
            <w:vAlign w:val="bottom"/>
            <w:hideMark/>
          </w:tcPr>
          <w:p w14:paraId="263E368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0.903</w:t>
            </w:r>
          </w:p>
        </w:tc>
        <w:tc>
          <w:tcPr>
            <w:tcW w:w="1065" w:type="dxa"/>
            <w:tcBorders>
              <w:top w:val="nil"/>
              <w:left w:val="nil"/>
              <w:bottom w:val="nil"/>
              <w:right w:val="nil"/>
            </w:tcBorders>
            <w:shd w:val="clear" w:color="auto" w:fill="auto"/>
            <w:noWrap/>
            <w:vAlign w:val="bottom"/>
            <w:hideMark/>
          </w:tcPr>
          <w:p w14:paraId="3BBF2E3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0.914</w:t>
            </w:r>
          </w:p>
        </w:tc>
        <w:tc>
          <w:tcPr>
            <w:tcW w:w="988" w:type="dxa"/>
            <w:tcBorders>
              <w:top w:val="nil"/>
              <w:left w:val="nil"/>
              <w:bottom w:val="nil"/>
              <w:right w:val="nil"/>
            </w:tcBorders>
            <w:shd w:val="clear" w:color="auto" w:fill="auto"/>
            <w:noWrap/>
            <w:vAlign w:val="bottom"/>
            <w:hideMark/>
          </w:tcPr>
          <w:p w14:paraId="305CC4E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0.835</w:t>
            </w:r>
          </w:p>
        </w:tc>
      </w:tr>
      <w:tr w:rsidR="006C78DE" w:rsidRPr="009B605C" w14:paraId="5CBD11D8" w14:textId="77777777" w:rsidTr="006C78DE">
        <w:trPr>
          <w:trHeight w:val="288"/>
        </w:trPr>
        <w:tc>
          <w:tcPr>
            <w:tcW w:w="1258" w:type="dxa"/>
            <w:tcBorders>
              <w:top w:val="nil"/>
              <w:left w:val="nil"/>
              <w:bottom w:val="nil"/>
              <w:right w:val="nil"/>
            </w:tcBorders>
            <w:shd w:val="clear" w:color="auto" w:fill="auto"/>
            <w:noWrap/>
            <w:vAlign w:val="bottom"/>
            <w:hideMark/>
          </w:tcPr>
          <w:p w14:paraId="3998F7C5"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3C6608B9"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316977F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0.244</w:t>
            </w:r>
          </w:p>
        </w:tc>
        <w:tc>
          <w:tcPr>
            <w:tcW w:w="1068" w:type="dxa"/>
            <w:tcBorders>
              <w:top w:val="nil"/>
              <w:left w:val="nil"/>
              <w:bottom w:val="nil"/>
              <w:right w:val="nil"/>
            </w:tcBorders>
            <w:shd w:val="clear" w:color="auto" w:fill="auto"/>
            <w:noWrap/>
            <w:vAlign w:val="bottom"/>
            <w:hideMark/>
          </w:tcPr>
          <w:p w14:paraId="362C725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0.045</w:t>
            </w:r>
          </w:p>
        </w:tc>
        <w:tc>
          <w:tcPr>
            <w:tcW w:w="1080" w:type="dxa"/>
            <w:tcBorders>
              <w:top w:val="nil"/>
              <w:left w:val="nil"/>
              <w:bottom w:val="nil"/>
              <w:right w:val="nil"/>
            </w:tcBorders>
            <w:shd w:val="clear" w:color="auto" w:fill="auto"/>
            <w:noWrap/>
            <w:vAlign w:val="bottom"/>
            <w:hideMark/>
          </w:tcPr>
          <w:p w14:paraId="622B0FC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0.047</w:t>
            </w:r>
          </w:p>
        </w:tc>
        <w:tc>
          <w:tcPr>
            <w:tcW w:w="1065" w:type="dxa"/>
            <w:tcBorders>
              <w:top w:val="nil"/>
              <w:left w:val="nil"/>
              <w:bottom w:val="nil"/>
              <w:right w:val="nil"/>
            </w:tcBorders>
            <w:shd w:val="clear" w:color="auto" w:fill="auto"/>
            <w:noWrap/>
            <w:vAlign w:val="bottom"/>
            <w:hideMark/>
          </w:tcPr>
          <w:p w14:paraId="29092A8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0.048</w:t>
            </w:r>
          </w:p>
        </w:tc>
        <w:tc>
          <w:tcPr>
            <w:tcW w:w="1065" w:type="dxa"/>
            <w:tcBorders>
              <w:top w:val="nil"/>
              <w:left w:val="nil"/>
              <w:bottom w:val="nil"/>
              <w:right w:val="nil"/>
            </w:tcBorders>
            <w:shd w:val="clear" w:color="auto" w:fill="auto"/>
            <w:noWrap/>
            <w:vAlign w:val="bottom"/>
            <w:hideMark/>
          </w:tcPr>
          <w:p w14:paraId="5FB1195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2826F7F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0.001</w:t>
            </w:r>
          </w:p>
        </w:tc>
        <w:tc>
          <w:tcPr>
            <w:tcW w:w="1068" w:type="dxa"/>
            <w:tcBorders>
              <w:top w:val="nil"/>
              <w:left w:val="nil"/>
              <w:bottom w:val="nil"/>
              <w:right w:val="nil"/>
            </w:tcBorders>
            <w:shd w:val="clear" w:color="auto" w:fill="auto"/>
            <w:noWrap/>
            <w:vAlign w:val="bottom"/>
            <w:hideMark/>
          </w:tcPr>
          <w:p w14:paraId="7A03061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c>
          <w:tcPr>
            <w:tcW w:w="768" w:type="dxa"/>
            <w:tcBorders>
              <w:top w:val="nil"/>
              <w:left w:val="nil"/>
              <w:bottom w:val="nil"/>
              <w:right w:val="nil"/>
            </w:tcBorders>
            <w:shd w:val="clear" w:color="auto" w:fill="auto"/>
            <w:noWrap/>
            <w:vAlign w:val="bottom"/>
            <w:hideMark/>
          </w:tcPr>
          <w:p w14:paraId="610D478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0.006</w:t>
            </w:r>
          </w:p>
        </w:tc>
        <w:tc>
          <w:tcPr>
            <w:tcW w:w="988" w:type="dxa"/>
            <w:tcBorders>
              <w:top w:val="nil"/>
              <w:left w:val="nil"/>
              <w:bottom w:val="nil"/>
              <w:right w:val="nil"/>
            </w:tcBorders>
            <w:shd w:val="clear" w:color="auto" w:fill="auto"/>
            <w:noWrap/>
            <w:vAlign w:val="bottom"/>
            <w:hideMark/>
          </w:tcPr>
          <w:p w14:paraId="557E795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0.002</w:t>
            </w:r>
          </w:p>
        </w:tc>
        <w:tc>
          <w:tcPr>
            <w:tcW w:w="1065" w:type="dxa"/>
            <w:tcBorders>
              <w:top w:val="nil"/>
              <w:left w:val="nil"/>
              <w:bottom w:val="nil"/>
              <w:right w:val="nil"/>
            </w:tcBorders>
            <w:shd w:val="clear" w:color="auto" w:fill="auto"/>
            <w:noWrap/>
            <w:vAlign w:val="bottom"/>
            <w:hideMark/>
          </w:tcPr>
          <w:p w14:paraId="7001A9E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0.002</w:t>
            </w:r>
          </w:p>
        </w:tc>
        <w:tc>
          <w:tcPr>
            <w:tcW w:w="1065" w:type="dxa"/>
            <w:tcBorders>
              <w:top w:val="nil"/>
              <w:left w:val="nil"/>
              <w:bottom w:val="nil"/>
              <w:right w:val="nil"/>
            </w:tcBorders>
            <w:shd w:val="clear" w:color="auto" w:fill="auto"/>
            <w:noWrap/>
            <w:vAlign w:val="bottom"/>
            <w:hideMark/>
          </w:tcPr>
          <w:p w14:paraId="0AE04F6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0.002</w:t>
            </w:r>
          </w:p>
        </w:tc>
        <w:tc>
          <w:tcPr>
            <w:tcW w:w="1065" w:type="dxa"/>
            <w:tcBorders>
              <w:top w:val="nil"/>
              <w:left w:val="nil"/>
              <w:bottom w:val="nil"/>
              <w:right w:val="nil"/>
            </w:tcBorders>
            <w:shd w:val="clear" w:color="auto" w:fill="auto"/>
            <w:noWrap/>
            <w:vAlign w:val="bottom"/>
            <w:hideMark/>
          </w:tcPr>
          <w:p w14:paraId="5A52CA5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c>
          <w:tcPr>
            <w:tcW w:w="1065" w:type="dxa"/>
            <w:tcBorders>
              <w:top w:val="nil"/>
              <w:left w:val="nil"/>
              <w:bottom w:val="nil"/>
              <w:right w:val="nil"/>
            </w:tcBorders>
            <w:shd w:val="clear" w:color="auto" w:fill="auto"/>
            <w:noWrap/>
            <w:vAlign w:val="bottom"/>
            <w:hideMark/>
          </w:tcPr>
          <w:p w14:paraId="3529D7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988" w:type="dxa"/>
            <w:tcBorders>
              <w:top w:val="nil"/>
              <w:left w:val="nil"/>
              <w:bottom w:val="nil"/>
              <w:right w:val="nil"/>
            </w:tcBorders>
            <w:shd w:val="clear" w:color="auto" w:fill="auto"/>
            <w:noWrap/>
            <w:vAlign w:val="bottom"/>
            <w:hideMark/>
          </w:tcPr>
          <w:p w14:paraId="2147DB8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r>
      <w:tr w:rsidR="006C78DE" w:rsidRPr="009B605C" w14:paraId="2DE113FA" w14:textId="77777777" w:rsidTr="006C78DE">
        <w:trPr>
          <w:trHeight w:val="288"/>
        </w:trPr>
        <w:tc>
          <w:tcPr>
            <w:tcW w:w="1258" w:type="dxa"/>
            <w:tcBorders>
              <w:top w:val="nil"/>
              <w:left w:val="nil"/>
              <w:bottom w:val="nil"/>
              <w:right w:val="nil"/>
            </w:tcBorders>
            <w:shd w:val="clear" w:color="auto" w:fill="auto"/>
            <w:noWrap/>
            <w:vAlign w:val="bottom"/>
            <w:hideMark/>
          </w:tcPr>
          <w:p w14:paraId="5C6282D4"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4A41E66B" w14:textId="74F68487"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5D3163D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4ACF5E0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1057449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EEEBC4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7B9D9D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FE601A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5DAAF5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4184D17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1F6421D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F73E32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BDDBD5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4B55D3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CC6D4A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32D8452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19E6894C" w14:textId="77777777" w:rsidTr="006C78DE">
        <w:trPr>
          <w:trHeight w:val="288"/>
        </w:trPr>
        <w:tc>
          <w:tcPr>
            <w:tcW w:w="1258" w:type="dxa"/>
            <w:tcBorders>
              <w:top w:val="nil"/>
              <w:left w:val="nil"/>
              <w:bottom w:val="nil"/>
              <w:right w:val="nil"/>
            </w:tcBorders>
            <w:shd w:val="clear" w:color="auto" w:fill="auto"/>
            <w:noWrap/>
            <w:vAlign w:val="bottom"/>
            <w:hideMark/>
          </w:tcPr>
          <w:p w14:paraId="2EC82381"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India</w:t>
            </w:r>
          </w:p>
        </w:tc>
        <w:tc>
          <w:tcPr>
            <w:tcW w:w="1011" w:type="dxa"/>
            <w:tcBorders>
              <w:top w:val="nil"/>
              <w:left w:val="nil"/>
              <w:bottom w:val="nil"/>
              <w:right w:val="nil"/>
            </w:tcBorders>
            <w:shd w:val="clear" w:color="auto" w:fill="auto"/>
            <w:noWrap/>
            <w:vAlign w:val="bottom"/>
            <w:hideMark/>
          </w:tcPr>
          <w:p w14:paraId="4F06E2D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5639C0F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0.476</w:t>
            </w:r>
          </w:p>
        </w:tc>
        <w:tc>
          <w:tcPr>
            <w:tcW w:w="1068" w:type="dxa"/>
            <w:tcBorders>
              <w:top w:val="nil"/>
              <w:left w:val="nil"/>
              <w:bottom w:val="nil"/>
              <w:right w:val="nil"/>
            </w:tcBorders>
            <w:shd w:val="clear" w:color="auto" w:fill="auto"/>
            <w:noWrap/>
            <w:vAlign w:val="bottom"/>
            <w:hideMark/>
          </w:tcPr>
          <w:p w14:paraId="00AD135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0.477</w:t>
            </w:r>
          </w:p>
        </w:tc>
        <w:tc>
          <w:tcPr>
            <w:tcW w:w="1080" w:type="dxa"/>
            <w:tcBorders>
              <w:top w:val="nil"/>
              <w:left w:val="nil"/>
              <w:bottom w:val="nil"/>
              <w:right w:val="nil"/>
            </w:tcBorders>
            <w:shd w:val="clear" w:color="auto" w:fill="auto"/>
            <w:noWrap/>
            <w:vAlign w:val="bottom"/>
            <w:hideMark/>
          </w:tcPr>
          <w:p w14:paraId="0ACC706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0.477</w:t>
            </w:r>
          </w:p>
        </w:tc>
        <w:tc>
          <w:tcPr>
            <w:tcW w:w="1065" w:type="dxa"/>
            <w:tcBorders>
              <w:top w:val="nil"/>
              <w:left w:val="nil"/>
              <w:bottom w:val="nil"/>
              <w:right w:val="nil"/>
            </w:tcBorders>
            <w:shd w:val="clear" w:color="auto" w:fill="auto"/>
            <w:noWrap/>
            <w:vAlign w:val="bottom"/>
            <w:hideMark/>
          </w:tcPr>
          <w:p w14:paraId="60014AA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0.476</w:t>
            </w:r>
          </w:p>
        </w:tc>
        <w:tc>
          <w:tcPr>
            <w:tcW w:w="1065" w:type="dxa"/>
            <w:tcBorders>
              <w:top w:val="nil"/>
              <w:left w:val="nil"/>
              <w:bottom w:val="nil"/>
              <w:right w:val="nil"/>
            </w:tcBorders>
            <w:shd w:val="clear" w:color="auto" w:fill="auto"/>
            <w:noWrap/>
            <w:vAlign w:val="bottom"/>
            <w:hideMark/>
          </w:tcPr>
          <w:p w14:paraId="2C98E9B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0.476</w:t>
            </w:r>
          </w:p>
        </w:tc>
        <w:tc>
          <w:tcPr>
            <w:tcW w:w="1065" w:type="dxa"/>
            <w:tcBorders>
              <w:top w:val="nil"/>
              <w:left w:val="nil"/>
              <w:bottom w:val="nil"/>
              <w:right w:val="nil"/>
            </w:tcBorders>
            <w:shd w:val="clear" w:color="auto" w:fill="auto"/>
            <w:noWrap/>
            <w:vAlign w:val="bottom"/>
            <w:hideMark/>
          </w:tcPr>
          <w:p w14:paraId="014A6D1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0.476</w:t>
            </w:r>
          </w:p>
        </w:tc>
        <w:tc>
          <w:tcPr>
            <w:tcW w:w="1068" w:type="dxa"/>
            <w:tcBorders>
              <w:top w:val="nil"/>
              <w:left w:val="nil"/>
              <w:bottom w:val="nil"/>
              <w:right w:val="nil"/>
            </w:tcBorders>
            <w:shd w:val="clear" w:color="auto" w:fill="auto"/>
            <w:noWrap/>
            <w:vAlign w:val="bottom"/>
            <w:hideMark/>
          </w:tcPr>
          <w:p w14:paraId="1F46F46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0.476</w:t>
            </w:r>
          </w:p>
        </w:tc>
        <w:tc>
          <w:tcPr>
            <w:tcW w:w="768" w:type="dxa"/>
            <w:tcBorders>
              <w:top w:val="nil"/>
              <w:left w:val="nil"/>
              <w:bottom w:val="nil"/>
              <w:right w:val="nil"/>
            </w:tcBorders>
            <w:shd w:val="clear" w:color="auto" w:fill="auto"/>
            <w:noWrap/>
            <w:vAlign w:val="bottom"/>
            <w:hideMark/>
          </w:tcPr>
          <w:p w14:paraId="0019E07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0.017</w:t>
            </w:r>
          </w:p>
        </w:tc>
        <w:tc>
          <w:tcPr>
            <w:tcW w:w="988" w:type="dxa"/>
            <w:tcBorders>
              <w:top w:val="nil"/>
              <w:left w:val="nil"/>
              <w:bottom w:val="nil"/>
              <w:right w:val="nil"/>
            </w:tcBorders>
            <w:shd w:val="clear" w:color="auto" w:fill="auto"/>
            <w:noWrap/>
            <w:vAlign w:val="bottom"/>
            <w:hideMark/>
          </w:tcPr>
          <w:p w14:paraId="7BC60A0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777C160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6E66327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61AA8E9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672D19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988" w:type="dxa"/>
            <w:tcBorders>
              <w:top w:val="nil"/>
              <w:left w:val="nil"/>
              <w:bottom w:val="nil"/>
              <w:right w:val="nil"/>
            </w:tcBorders>
            <w:shd w:val="clear" w:color="auto" w:fill="auto"/>
            <w:noWrap/>
            <w:vAlign w:val="bottom"/>
            <w:hideMark/>
          </w:tcPr>
          <w:p w14:paraId="4844FE8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0.018</w:t>
            </w:r>
          </w:p>
        </w:tc>
      </w:tr>
      <w:tr w:rsidR="006C78DE" w:rsidRPr="009B605C" w14:paraId="69A3E85E" w14:textId="77777777" w:rsidTr="006C78DE">
        <w:trPr>
          <w:trHeight w:val="288"/>
        </w:trPr>
        <w:tc>
          <w:tcPr>
            <w:tcW w:w="1258" w:type="dxa"/>
            <w:tcBorders>
              <w:top w:val="nil"/>
              <w:left w:val="nil"/>
              <w:bottom w:val="nil"/>
              <w:right w:val="nil"/>
            </w:tcBorders>
            <w:shd w:val="clear" w:color="auto" w:fill="auto"/>
            <w:noWrap/>
            <w:vAlign w:val="bottom"/>
            <w:hideMark/>
          </w:tcPr>
          <w:p w14:paraId="3C2DD7D1"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45BD3109" w14:textId="1C8ABACF"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060F046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927DC7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5941E2A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F9FF7B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6EE9D9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B2084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398B93C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3AB1545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0.684</w:t>
            </w:r>
          </w:p>
        </w:tc>
        <w:tc>
          <w:tcPr>
            <w:tcW w:w="988" w:type="dxa"/>
            <w:tcBorders>
              <w:top w:val="nil"/>
              <w:left w:val="nil"/>
              <w:bottom w:val="nil"/>
              <w:right w:val="nil"/>
            </w:tcBorders>
            <w:shd w:val="clear" w:color="auto" w:fill="auto"/>
            <w:noWrap/>
            <w:vAlign w:val="bottom"/>
            <w:hideMark/>
          </w:tcPr>
          <w:p w14:paraId="3FFCA08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1065" w:type="dxa"/>
            <w:tcBorders>
              <w:top w:val="nil"/>
              <w:left w:val="nil"/>
              <w:bottom w:val="nil"/>
              <w:right w:val="nil"/>
            </w:tcBorders>
            <w:shd w:val="clear" w:color="auto" w:fill="auto"/>
            <w:noWrap/>
            <w:vAlign w:val="bottom"/>
            <w:hideMark/>
          </w:tcPr>
          <w:p w14:paraId="59A6897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0.848</w:t>
            </w:r>
          </w:p>
        </w:tc>
        <w:tc>
          <w:tcPr>
            <w:tcW w:w="1065" w:type="dxa"/>
            <w:tcBorders>
              <w:top w:val="nil"/>
              <w:left w:val="nil"/>
              <w:bottom w:val="nil"/>
              <w:right w:val="nil"/>
            </w:tcBorders>
            <w:shd w:val="clear" w:color="auto" w:fill="auto"/>
            <w:noWrap/>
            <w:vAlign w:val="bottom"/>
            <w:hideMark/>
          </w:tcPr>
          <w:p w14:paraId="64F3BBA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0.847</w:t>
            </w:r>
          </w:p>
        </w:tc>
        <w:tc>
          <w:tcPr>
            <w:tcW w:w="1065" w:type="dxa"/>
            <w:tcBorders>
              <w:top w:val="nil"/>
              <w:left w:val="nil"/>
              <w:bottom w:val="nil"/>
              <w:right w:val="nil"/>
            </w:tcBorders>
            <w:shd w:val="clear" w:color="auto" w:fill="auto"/>
            <w:noWrap/>
            <w:vAlign w:val="bottom"/>
            <w:hideMark/>
          </w:tcPr>
          <w:p w14:paraId="7573867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0.903</w:t>
            </w:r>
          </w:p>
        </w:tc>
        <w:tc>
          <w:tcPr>
            <w:tcW w:w="1065" w:type="dxa"/>
            <w:tcBorders>
              <w:top w:val="nil"/>
              <w:left w:val="nil"/>
              <w:bottom w:val="nil"/>
              <w:right w:val="nil"/>
            </w:tcBorders>
            <w:shd w:val="clear" w:color="auto" w:fill="auto"/>
            <w:noWrap/>
            <w:vAlign w:val="bottom"/>
            <w:hideMark/>
          </w:tcPr>
          <w:p w14:paraId="6BFB041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0.914</w:t>
            </w:r>
          </w:p>
        </w:tc>
        <w:tc>
          <w:tcPr>
            <w:tcW w:w="988" w:type="dxa"/>
            <w:tcBorders>
              <w:top w:val="nil"/>
              <w:left w:val="nil"/>
              <w:bottom w:val="nil"/>
              <w:right w:val="nil"/>
            </w:tcBorders>
            <w:shd w:val="clear" w:color="auto" w:fill="auto"/>
            <w:noWrap/>
            <w:vAlign w:val="bottom"/>
            <w:hideMark/>
          </w:tcPr>
          <w:p w14:paraId="17D88CF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0.835</w:t>
            </w:r>
          </w:p>
        </w:tc>
      </w:tr>
      <w:tr w:rsidR="006C78DE" w:rsidRPr="009B605C" w14:paraId="006BA4B4" w14:textId="77777777" w:rsidTr="006C78DE">
        <w:trPr>
          <w:trHeight w:val="288"/>
        </w:trPr>
        <w:tc>
          <w:tcPr>
            <w:tcW w:w="1258" w:type="dxa"/>
            <w:tcBorders>
              <w:top w:val="nil"/>
              <w:left w:val="nil"/>
              <w:bottom w:val="nil"/>
              <w:right w:val="nil"/>
            </w:tcBorders>
            <w:shd w:val="clear" w:color="auto" w:fill="auto"/>
            <w:noWrap/>
            <w:vAlign w:val="bottom"/>
            <w:hideMark/>
          </w:tcPr>
          <w:p w14:paraId="501650CA"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3262BC7"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6A6A355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0.057</w:t>
            </w:r>
          </w:p>
        </w:tc>
        <w:tc>
          <w:tcPr>
            <w:tcW w:w="1068" w:type="dxa"/>
            <w:tcBorders>
              <w:top w:val="nil"/>
              <w:left w:val="nil"/>
              <w:bottom w:val="nil"/>
              <w:right w:val="nil"/>
            </w:tcBorders>
            <w:shd w:val="clear" w:color="auto" w:fill="auto"/>
            <w:noWrap/>
            <w:vAlign w:val="bottom"/>
            <w:hideMark/>
          </w:tcPr>
          <w:p w14:paraId="078CAEA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0.033</w:t>
            </w:r>
          </w:p>
        </w:tc>
        <w:tc>
          <w:tcPr>
            <w:tcW w:w="1080" w:type="dxa"/>
            <w:tcBorders>
              <w:top w:val="nil"/>
              <w:left w:val="nil"/>
              <w:bottom w:val="nil"/>
              <w:right w:val="nil"/>
            </w:tcBorders>
            <w:shd w:val="clear" w:color="auto" w:fill="auto"/>
            <w:noWrap/>
            <w:vAlign w:val="bottom"/>
            <w:hideMark/>
          </w:tcPr>
          <w:p w14:paraId="3B155D6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0.032</w:t>
            </w:r>
          </w:p>
        </w:tc>
        <w:tc>
          <w:tcPr>
            <w:tcW w:w="1065" w:type="dxa"/>
            <w:tcBorders>
              <w:top w:val="nil"/>
              <w:left w:val="nil"/>
              <w:bottom w:val="nil"/>
              <w:right w:val="nil"/>
            </w:tcBorders>
            <w:shd w:val="clear" w:color="auto" w:fill="auto"/>
            <w:noWrap/>
            <w:vAlign w:val="bottom"/>
            <w:hideMark/>
          </w:tcPr>
          <w:p w14:paraId="3DAC908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0.032</w:t>
            </w:r>
          </w:p>
        </w:tc>
        <w:tc>
          <w:tcPr>
            <w:tcW w:w="1065" w:type="dxa"/>
            <w:tcBorders>
              <w:top w:val="nil"/>
              <w:left w:val="nil"/>
              <w:bottom w:val="nil"/>
              <w:right w:val="nil"/>
            </w:tcBorders>
            <w:shd w:val="clear" w:color="auto" w:fill="auto"/>
            <w:noWrap/>
            <w:vAlign w:val="bottom"/>
            <w:hideMark/>
          </w:tcPr>
          <w:p w14:paraId="20327F8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0.004</w:t>
            </w:r>
          </w:p>
        </w:tc>
        <w:tc>
          <w:tcPr>
            <w:tcW w:w="1065" w:type="dxa"/>
            <w:tcBorders>
              <w:top w:val="nil"/>
              <w:left w:val="nil"/>
              <w:bottom w:val="nil"/>
              <w:right w:val="nil"/>
            </w:tcBorders>
            <w:shd w:val="clear" w:color="auto" w:fill="auto"/>
            <w:noWrap/>
            <w:vAlign w:val="bottom"/>
            <w:hideMark/>
          </w:tcPr>
          <w:p w14:paraId="4C529B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0.008</w:t>
            </w:r>
          </w:p>
        </w:tc>
        <w:tc>
          <w:tcPr>
            <w:tcW w:w="1068" w:type="dxa"/>
            <w:tcBorders>
              <w:top w:val="nil"/>
              <w:left w:val="nil"/>
              <w:bottom w:val="nil"/>
              <w:right w:val="nil"/>
            </w:tcBorders>
            <w:shd w:val="clear" w:color="auto" w:fill="auto"/>
            <w:noWrap/>
            <w:vAlign w:val="bottom"/>
            <w:hideMark/>
          </w:tcPr>
          <w:p w14:paraId="1835D7E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768" w:type="dxa"/>
            <w:tcBorders>
              <w:top w:val="nil"/>
              <w:left w:val="nil"/>
              <w:bottom w:val="nil"/>
              <w:right w:val="nil"/>
            </w:tcBorders>
            <w:shd w:val="clear" w:color="auto" w:fill="auto"/>
            <w:noWrap/>
            <w:vAlign w:val="bottom"/>
            <w:hideMark/>
          </w:tcPr>
          <w:p w14:paraId="64A880D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0.028</w:t>
            </w:r>
          </w:p>
        </w:tc>
        <w:tc>
          <w:tcPr>
            <w:tcW w:w="988" w:type="dxa"/>
            <w:tcBorders>
              <w:top w:val="nil"/>
              <w:left w:val="nil"/>
              <w:bottom w:val="nil"/>
              <w:right w:val="nil"/>
            </w:tcBorders>
            <w:shd w:val="clear" w:color="auto" w:fill="auto"/>
            <w:noWrap/>
            <w:vAlign w:val="bottom"/>
            <w:hideMark/>
          </w:tcPr>
          <w:p w14:paraId="2F63ED0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278A255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79C6C8E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5A171BE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1065" w:type="dxa"/>
            <w:tcBorders>
              <w:top w:val="nil"/>
              <w:left w:val="nil"/>
              <w:bottom w:val="nil"/>
              <w:right w:val="nil"/>
            </w:tcBorders>
            <w:shd w:val="clear" w:color="auto" w:fill="auto"/>
            <w:noWrap/>
            <w:vAlign w:val="bottom"/>
            <w:hideMark/>
          </w:tcPr>
          <w:p w14:paraId="4395D3F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0.009</w:t>
            </w:r>
          </w:p>
        </w:tc>
        <w:tc>
          <w:tcPr>
            <w:tcW w:w="988" w:type="dxa"/>
            <w:tcBorders>
              <w:top w:val="nil"/>
              <w:left w:val="nil"/>
              <w:bottom w:val="nil"/>
              <w:right w:val="nil"/>
            </w:tcBorders>
            <w:shd w:val="clear" w:color="auto" w:fill="auto"/>
            <w:noWrap/>
            <w:vAlign w:val="bottom"/>
            <w:hideMark/>
          </w:tcPr>
          <w:p w14:paraId="65F1984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0.017</w:t>
            </w:r>
          </w:p>
        </w:tc>
      </w:tr>
      <w:tr w:rsidR="006C78DE" w:rsidRPr="009B605C" w14:paraId="5E47A945" w14:textId="77777777" w:rsidTr="006C78DE">
        <w:trPr>
          <w:trHeight w:val="288"/>
        </w:trPr>
        <w:tc>
          <w:tcPr>
            <w:tcW w:w="1258" w:type="dxa"/>
            <w:tcBorders>
              <w:top w:val="nil"/>
              <w:left w:val="nil"/>
              <w:bottom w:val="nil"/>
              <w:right w:val="nil"/>
            </w:tcBorders>
            <w:shd w:val="clear" w:color="auto" w:fill="auto"/>
            <w:noWrap/>
            <w:vAlign w:val="bottom"/>
            <w:hideMark/>
          </w:tcPr>
          <w:p w14:paraId="3C9A36C0"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33347C9" w14:textId="2759604D"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6155956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B5170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6E60636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2D2297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38E1D0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DFCDBC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3889502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06D45AE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1BB04A5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52130E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55D7EA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ECFE4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288169A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07BFA5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477C8FA6" w14:textId="77777777" w:rsidTr="006C78DE">
        <w:trPr>
          <w:trHeight w:val="288"/>
        </w:trPr>
        <w:tc>
          <w:tcPr>
            <w:tcW w:w="1258" w:type="dxa"/>
            <w:tcBorders>
              <w:top w:val="nil"/>
              <w:left w:val="nil"/>
              <w:bottom w:val="nil"/>
              <w:right w:val="nil"/>
            </w:tcBorders>
            <w:shd w:val="clear" w:color="auto" w:fill="auto"/>
            <w:noWrap/>
            <w:vAlign w:val="bottom"/>
            <w:hideMark/>
          </w:tcPr>
          <w:p w14:paraId="7E359E12"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China</w:t>
            </w:r>
          </w:p>
        </w:tc>
        <w:tc>
          <w:tcPr>
            <w:tcW w:w="1011" w:type="dxa"/>
            <w:tcBorders>
              <w:top w:val="nil"/>
              <w:left w:val="nil"/>
              <w:bottom w:val="nil"/>
              <w:right w:val="nil"/>
            </w:tcBorders>
            <w:shd w:val="clear" w:color="auto" w:fill="auto"/>
            <w:noWrap/>
            <w:vAlign w:val="bottom"/>
            <w:hideMark/>
          </w:tcPr>
          <w:p w14:paraId="69FE08DB"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51A69E3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0.493</w:t>
            </w:r>
          </w:p>
        </w:tc>
        <w:tc>
          <w:tcPr>
            <w:tcW w:w="1068" w:type="dxa"/>
            <w:tcBorders>
              <w:top w:val="nil"/>
              <w:left w:val="nil"/>
              <w:bottom w:val="nil"/>
              <w:right w:val="nil"/>
            </w:tcBorders>
            <w:shd w:val="clear" w:color="auto" w:fill="auto"/>
            <w:noWrap/>
            <w:vAlign w:val="bottom"/>
            <w:hideMark/>
          </w:tcPr>
          <w:p w14:paraId="000F6F1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0.491</w:t>
            </w:r>
          </w:p>
        </w:tc>
        <w:tc>
          <w:tcPr>
            <w:tcW w:w="1080" w:type="dxa"/>
            <w:tcBorders>
              <w:top w:val="nil"/>
              <w:left w:val="nil"/>
              <w:bottom w:val="nil"/>
              <w:right w:val="nil"/>
            </w:tcBorders>
            <w:shd w:val="clear" w:color="auto" w:fill="auto"/>
            <w:noWrap/>
            <w:vAlign w:val="bottom"/>
            <w:hideMark/>
          </w:tcPr>
          <w:p w14:paraId="6B26263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w:t>
            </w:r>
          </w:p>
        </w:tc>
        <w:tc>
          <w:tcPr>
            <w:tcW w:w="1065" w:type="dxa"/>
            <w:tcBorders>
              <w:top w:val="nil"/>
              <w:left w:val="nil"/>
              <w:bottom w:val="nil"/>
              <w:right w:val="nil"/>
            </w:tcBorders>
            <w:shd w:val="clear" w:color="auto" w:fill="auto"/>
            <w:noWrap/>
            <w:vAlign w:val="bottom"/>
            <w:hideMark/>
          </w:tcPr>
          <w:p w14:paraId="3194E9C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w:t>
            </w:r>
          </w:p>
        </w:tc>
        <w:tc>
          <w:tcPr>
            <w:tcW w:w="1065" w:type="dxa"/>
            <w:tcBorders>
              <w:top w:val="nil"/>
              <w:left w:val="nil"/>
              <w:bottom w:val="nil"/>
              <w:right w:val="nil"/>
            </w:tcBorders>
            <w:shd w:val="clear" w:color="auto" w:fill="auto"/>
            <w:noWrap/>
            <w:vAlign w:val="bottom"/>
            <w:hideMark/>
          </w:tcPr>
          <w:p w14:paraId="38D9E1E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0.492</w:t>
            </w:r>
          </w:p>
        </w:tc>
        <w:tc>
          <w:tcPr>
            <w:tcW w:w="1065" w:type="dxa"/>
            <w:tcBorders>
              <w:top w:val="nil"/>
              <w:left w:val="nil"/>
              <w:bottom w:val="nil"/>
              <w:right w:val="nil"/>
            </w:tcBorders>
            <w:shd w:val="clear" w:color="auto" w:fill="auto"/>
            <w:noWrap/>
            <w:vAlign w:val="bottom"/>
            <w:hideMark/>
          </w:tcPr>
          <w:p w14:paraId="19BBDD2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0.493</w:t>
            </w:r>
          </w:p>
        </w:tc>
        <w:tc>
          <w:tcPr>
            <w:tcW w:w="1068" w:type="dxa"/>
            <w:tcBorders>
              <w:top w:val="nil"/>
              <w:left w:val="nil"/>
              <w:bottom w:val="nil"/>
              <w:right w:val="nil"/>
            </w:tcBorders>
            <w:shd w:val="clear" w:color="auto" w:fill="auto"/>
            <w:noWrap/>
            <w:vAlign w:val="bottom"/>
            <w:hideMark/>
          </w:tcPr>
          <w:p w14:paraId="57207F5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0.492</w:t>
            </w:r>
          </w:p>
        </w:tc>
        <w:tc>
          <w:tcPr>
            <w:tcW w:w="768" w:type="dxa"/>
            <w:tcBorders>
              <w:top w:val="nil"/>
              <w:left w:val="nil"/>
              <w:bottom w:val="nil"/>
              <w:right w:val="nil"/>
            </w:tcBorders>
            <w:shd w:val="clear" w:color="auto" w:fill="auto"/>
            <w:noWrap/>
            <w:vAlign w:val="bottom"/>
            <w:hideMark/>
          </w:tcPr>
          <w:p w14:paraId="14C1A90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988" w:type="dxa"/>
            <w:tcBorders>
              <w:top w:val="nil"/>
              <w:left w:val="nil"/>
              <w:bottom w:val="nil"/>
              <w:right w:val="nil"/>
            </w:tcBorders>
            <w:shd w:val="clear" w:color="auto" w:fill="auto"/>
            <w:noWrap/>
            <w:vAlign w:val="bottom"/>
            <w:hideMark/>
          </w:tcPr>
          <w:p w14:paraId="647D965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1065" w:type="dxa"/>
            <w:tcBorders>
              <w:top w:val="nil"/>
              <w:left w:val="nil"/>
              <w:bottom w:val="nil"/>
              <w:right w:val="nil"/>
            </w:tcBorders>
            <w:shd w:val="clear" w:color="auto" w:fill="auto"/>
            <w:noWrap/>
            <w:vAlign w:val="bottom"/>
            <w:hideMark/>
          </w:tcPr>
          <w:p w14:paraId="40FDF8B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1065" w:type="dxa"/>
            <w:tcBorders>
              <w:top w:val="nil"/>
              <w:left w:val="nil"/>
              <w:bottom w:val="nil"/>
              <w:right w:val="nil"/>
            </w:tcBorders>
            <w:shd w:val="clear" w:color="auto" w:fill="auto"/>
            <w:noWrap/>
            <w:vAlign w:val="bottom"/>
            <w:hideMark/>
          </w:tcPr>
          <w:p w14:paraId="6A3BBEF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1065" w:type="dxa"/>
            <w:tcBorders>
              <w:top w:val="nil"/>
              <w:left w:val="nil"/>
              <w:bottom w:val="nil"/>
              <w:right w:val="nil"/>
            </w:tcBorders>
            <w:shd w:val="clear" w:color="auto" w:fill="auto"/>
            <w:noWrap/>
            <w:vAlign w:val="bottom"/>
            <w:hideMark/>
          </w:tcPr>
          <w:p w14:paraId="111A5AA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1065" w:type="dxa"/>
            <w:tcBorders>
              <w:top w:val="nil"/>
              <w:left w:val="nil"/>
              <w:bottom w:val="nil"/>
              <w:right w:val="nil"/>
            </w:tcBorders>
            <w:shd w:val="clear" w:color="auto" w:fill="auto"/>
            <w:noWrap/>
            <w:vAlign w:val="bottom"/>
            <w:hideMark/>
          </w:tcPr>
          <w:p w14:paraId="3B13BC3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0.026</w:t>
            </w:r>
          </w:p>
        </w:tc>
        <w:tc>
          <w:tcPr>
            <w:tcW w:w="988" w:type="dxa"/>
            <w:tcBorders>
              <w:top w:val="nil"/>
              <w:left w:val="nil"/>
              <w:bottom w:val="nil"/>
              <w:right w:val="nil"/>
            </w:tcBorders>
            <w:shd w:val="clear" w:color="auto" w:fill="auto"/>
            <w:noWrap/>
            <w:vAlign w:val="bottom"/>
            <w:hideMark/>
          </w:tcPr>
          <w:p w14:paraId="7F2848C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0.027</w:t>
            </w:r>
          </w:p>
        </w:tc>
      </w:tr>
      <w:tr w:rsidR="006C78DE" w:rsidRPr="009B605C" w14:paraId="3E79D904" w14:textId="77777777" w:rsidTr="006C78DE">
        <w:trPr>
          <w:trHeight w:val="288"/>
        </w:trPr>
        <w:tc>
          <w:tcPr>
            <w:tcW w:w="1258" w:type="dxa"/>
            <w:tcBorders>
              <w:top w:val="nil"/>
              <w:left w:val="nil"/>
              <w:bottom w:val="nil"/>
              <w:right w:val="nil"/>
            </w:tcBorders>
            <w:shd w:val="clear" w:color="auto" w:fill="auto"/>
            <w:noWrap/>
            <w:vAlign w:val="bottom"/>
            <w:hideMark/>
          </w:tcPr>
          <w:p w14:paraId="109FA44E"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576F055F" w14:textId="0C7CF80E"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592E00D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54E28D6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1257475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959954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CC16EA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3BE178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E98F48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1CEA97A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0.684</w:t>
            </w:r>
          </w:p>
        </w:tc>
        <w:tc>
          <w:tcPr>
            <w:tcW w:w="988" w:type="dxa"/>
            <w:tcBorders>
              <w:top w:val="nil"/>
              <w:left w:val="nil"/>
              <w:bottom w:val="nil"/>
              <w:right w:val="nil"/>
            </w:tcBorders>
            <w:shd w:val="clear" w:color="auto" w:fill="auto"/>
            <w:noWrap/>
            <w:vAlign w:val="bottom"/>
            <w:hideMark/>
          </w:tcPr>
          <w:p w14:paraId="6EC8674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1065" w:type="dxa"/>
            <w:tcBorders>
              <w:top w:val="nil"/>
              <w:left w:val="nil"/>
              <w:bottom w:val="nil"/>
              <w:right w:val="nil"/>
            </w:tcBorders>
            <w:shd w:val="clear" w:color="auto" w:fill="auto"/>
            <w:noWrap/>
            <w:vAlign w:val="bottom"/>
            <w:hideMark/>
          </w:tcPr>
          <w:p w14:paraId="192F4D4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0.848</w:t>
            </w:r>
          </w:p>
        </w:tc>
        <w:tc>
          <w:tcPr>
            <w:tcW w:w="1065" w:type="dxa"/>
            <w:tcBorders>
              <w:top w:val="nil"/>
              <w:left w:val="nil"/>
              <w:bottom w:val="nil"/>
              <w:right w:val="nil"/>
            </w:tcBorders>
            <w:shd w:val="clear" w:color="auto" w:fill="auto"/>
            <w:noWrap/>
            <w:vAlign w:val="bottom"/>
            <w:hideMark/>
          </w:tcPr>
          <w:p w14:paraId="46B3D2F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0.847</w:t>
            </w:r>
          </w:p>
        </w:tc>
        <w:tc>
          <w:tcPr>
            <w:tcW w:w="1065" w:type="dxa"/>
            <w:tcBorders>
              <w:top w:val="nil"/>
              <w:left w:val="nil"/>
              <w:bottom w:val="nil"/>
              <w:right w:val="nil"/>
            </w:tcBorders>
            <w:shd w:val="clear" w:color="auto" w:fill="auto"/>
            <w:noWrap/>
            <w:vAlign w:val="bottom"/>
            <w:hideMark/>
          </w:tcPr>
          <w:p w14:paraId="7BB210F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0.903</w:t>
            </w:r>
          </w:p>
        </w:tc>
        <w:tc>
          <w:tcPr>
            <w:tcW w:w="1065" w:type="dxa"/>
            <w:tcBorders>
              <w:top w:val="nil"/>
              <w:left w:val="nil"/>
              <w:bottom w:val="nil"/>
              <w:right w:val="nil"/>
            </w:tcBorders>
            <w:shd w:val="clear" w:color="auto" w:fill="auto"/>
            <w:noWrap/>
            <w:vAlign w:val="bottom"/>
            <w:hideMark/>
          </w:tcPr>
          <w:p w14:paraId="7941EAD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0.914</w:t>
            </w:r>
          </w:p>
        </w:tc>
        <w:tc>
          <w:tcPr>
            <w:tcW w:w="988" w:type="dxa"/>
            <w:tcBorders>
              <w:top w:val="nil"/>
              <w:left w:val="nil"/>
              <w:bottom w:val="nil"/>
              <w:right w:val="nil"/>
            </w:tcBorders>
            <w:shd w:val="clear" w:color="auto" w:fill="auto"/>
            <w:noWrap/>
            <w:vAlign w:val="bottom"/>
            <w:hideMark/>
          </w:tcPr>
          <w:p w14:paraId="70DBE1F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0.835</w:t>
            </w:r>
          </w:p>
        </w:tc>
      </w:tr>
      <w:tr w:rsidR="006C78DE" w:rsidRPr="009B605C" w14:paraId="0533F15C" w14:textId="77777777" w:rsidTr="006C78DE">
        <w:trPr>
          <w:trHeight w:val="288"/>
        </w:trPr>
        <w:tc>
          <w:tcPr>
            <w:tcW w:w="1258" w:type="dxa"/>
            <w:tcBorders>
              <w:top w:val="nil"/>
              <w:left w:val="nil"/>
              <w:bottom w:val="nil"/>
              <w:right w:val="nil"/>
            </w:tcBorders>
            <w:shd w:val="clear" w:color="auto" w:fill="auto"/>
            <w:noWrap/>
            <w:vAlign w:val="bottom"/>
            <w:hideMark/>
          </w:tcPr>
          <w:p w14:paraId="63873F26"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568E86B2"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34D2381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0.062</w:t>
            </w:r>
          </w:p>
        </w:tc>
        <w:tc>
          <w:tcPr>
            <w:tcW w:w="1068" w:type="dxa"/>
            <w:tcBorders>
              <w:top w:val="nil"/>
              <w:left w:val="nil"/>
              <w:bottom w:val="nil"/>
              <w:right w:val="nil"/>
            </w:tcBorders>
            <w:shd w:val="clear" w:color="auto" w:fill="auto"/>
            <w:noWrap/>
            <w:vAlign w:val="bottom"/>
            <w:hideMark/>
          </w:tcPr>
          <w:p w14:paraId="7FBF045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0.036</w:t>
            </w:r>
          </w:p>
        </w:tc>
        <w:tc>
          <w:tcPr>
            <w:tcW w:w="1080" w:type="dxa"/>
            <w:tcBorders>
              <w:top w:val="nil"/>
              <w:left w:val="nil"/>
              <w:bottom w:val="nil"/>
              <w:right w:val="nil"/>
            </w:tcBorders>
            <w:shd w:val="clear" w:color="auto" w:fill="auto"/>
            <w:noWrap/>
            <w:vAlign w:val="bottom"/>
            <w:hideMark/>
          </w:tcPr>
          <w:p w14:paraId="5E15DDE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0.036</w:t>
            </w:r>
          </w:p>
        </w:tc>
        <w:tc>
          <w:tcPr>
            <w:tcW w:w="1065" w:type="dxa"/>
            <w:tcBorders>
              <w:top w:val="nil"/>
              <w:left w:val="nil"/>
              <w:bottom w:val="nil"/>
              <w:right w:val="nil"/>
            </w:tcBorders>
            <w:shd w:val="clear" w:color="auto" w:fill="auto"/>
            <w:noWrap/>
            <w:vAlign w:val="bottom"/>
            <w:hideMark/>
          </w:tcPr>
          <w:p w14:paraId="07EF13E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0.036</w:t>
            </w:r>
          </w:p>
        </w:tc>
        <w:tc>
          <w:tcPr>
            <w:tcW w:w="1065" w:type="dxa"/>
            <w:tcBorders>
              <w:top w:val="nil"/>
              <w:left w:val="nil"/>
              <w:bottom w:val="nil"/>
              <w:right w:val="nil"/>
            </w:tcBorders>
            <w:shd w:val="clear" w:color="auto" w:fill="auto"/>
            <w:noWrap/>
            <w:vAlign w:val="bottom"/>
            <w:hideMark/>
          </w:tcPr>
          <w:p w14:paraId="79DC54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0.013</w:t>
            </w:r>
          </w:p>
        </w:tc>
        <w:tc>
          <w:tcPr>
            <w:tcW w:w="1065" w:type="dxa"/>
            <w:tcBorders>
              <w:top w:val="nil"/>
              <w:left w:val="nil"/>
              <w:bottom w:val="nil"/>
              <w:right w:val="nil"/>
            </w:tcBorders>
            <w:shd w:val="clear" w:color="auto" w:fill="auto"/>
            <w:noWrap/>
            <w:vAlign w:val="bottom"/>
            <w:hideMark/>
          </w:tcPr>
          <w:p w14:paraId="14A641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0.002</w:t>
            </w:r>
          </w:p>
        </w:tc>
        <w:tc>
          <w:tcPr>
            <w:tcW w:w="1068" w:type="dxa"/>
            <w:tcBorders>
              <w:top w:val="nil"/>
              <w:left w:val="nil"/>
              <w:bottom w:val="nil"/>
              <w:right w:val="nil"/>
            </w:tcBorders>
            <w:shd w:val="clear" w:color="auto" w:fill="auto"/>
            <w:noWrap/>
            <w:vAlign w:val="bottom"/>
            <w:hideMark/>
          </w:tcPr>
          <w:p w14:paraId="4938508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0.028</w:t>
            </w:r>
          </w:p>
        </w:tc>
        <w:tc>
          <w:tcPr>
            <w:tcW w:w="768" w:type="dxa"/>
            <w:tcBorders>
              <w:top w:val="nil"/>
              <w:left w:val="nil"/>
              <w:bottom w:val="nil"/>
              <w:right w:val="nil"/>
            </w:tcBorders>
            <w:shd w:val="clear" w:color="auto" w:fill="auto"/>
            <w:noWrap/>
            <w:vAlign w:val="bottom"/>
            <w:hideMark/>
          </w:tcPr>
          <w:p w14:paraId="10766E8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988" w:type="dxa"/>
            <w:tcBorders>
              <w:top w:val="nil"/>
              <w:left w:val="nil"/>
              <w:bottom w:val="nil"/>
              <w:right w:val="nil"/>
            </w:tcBorders>
            <w:shd w:val="clear" w:color="auto" w:fill="auto"/>
            <w:noWrap/>
            <w:vAlign w:val="bottom"/>
            <w:hideMark/>
          </w:tcPr>
          <w:p w14:paraId="2A7B64A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0.006</w:t>
            </w:r>
          </w:p>
        </w:tc>
        <w:tc>
          <w:tcPr>
            <w:tcW w:w="1065" w:type="dxa"/>
            <w:tcBorders>
              <w:top w:val="nil"/>
              <w:left w:val="nil"/>
              <w:bottom w:val="nil"/>
              <w:right w:val="nil"/>
            </w:tcBorders>
            <w:shd w:val="clear" w:color="auto" w:fill="auto"/>
            <w:noWrap/>
            <w:vAlign w:val="bottom"/>
            <w:hideMark/>
          </w:tcPr>
          <w:p w14:paraId="5AD0F6D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0.006</w:t>
            </w:r>
          </w:p>
        </w:tc>
        <w:tc>
          <w:tcPr>
            <w:tcW w:w="1065" w:type="dxa"/>
            <w:tcBorders>
              <w:top w:val="nil"/>
              <w:left w:val="nil"/>
              <w:bottom w:val="nil"/>
              <w:right w:val="nil"/>
            </w:tcBorders>
            <w:shd w:val="clear" w:color="auto" w:fill="auto"/>
            <w:noWrap/>
            <w:vAlign w:val="bottom"/>
            <w:hideMark/>
          </w:tcPr>
          <w:p w14:paraId="1D9A7B5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4A7A54E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w:t>
            </w:r>
          </w:p>
        </w:tc>
        <w:tc>
          <w:tcPr>
            <w:tcW w:w="1065" w:type="dxa"/>
            <w:tcBorders>
              <w:top w:val="nil"/>
              <w:left w:val="nil"/>
              <w:bottom w:val="nil"/>
              <w:right w:val="nil"/>
            </w:tcBorders>
            <w:shd w:val="clear" w:color="auto" w:fill="auto"/>
            <w:noWrap/>
            <w:vAlign w:val="bottom"/>
            <w:hideMark/>
          </w:tcPr>
          <w:p w14:paraId="5218FB4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0.014</w:t>
            </w:r>
          </w:p>
        </w:tc>
        <w:tc>
          <w:tcPr>
            <w:tcW w:w="988" w:type="dxa"/>
            <w:tcBorders>
              <w:top w:val="nil"/>
              <w:left w:val="nil"/>
              <w:bottom w:val="nil"/>
              <w:right w:val="nil"/>
            </w:tcBorders>
            <w:shd w:val="clear" w:color="auto" w:fill="auto"/>
            <w:noWrap/>
            <w:vAlign w:val="bottom"/>
            <w:hideMark/>
          </w:tcPr>
          <w:p w14:paraId="236C1A2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0.022</w:t>
            </w:r>
          </w:p>
        </w:tc>
      </w:tr>
      <w:tr w:rsidR="006C78DE" w:rsidRPr="009B605C" w14:paraId="7F4D868F" w14:textId="77777777" w:rsidTr="006C78DE">
        <w:trPr>
          <w:trHeight w:val="288"/>
        </w:trPr>
        <w:tc>
          <w:tcPr>
            <w:tcW w:w="1258" w:type="dxa"/>
            <w:tcBorders>
              <w:top w:val="nil"/>
              <w:left w:val="nil"/>
              <w:bottom w:val="nil"/>
              <w:right w:val="nil"/>
            </w:tcBorders>
            <w:shd w:val="clear" w:color="auto" w:fill="auto"/>
            <w:noWrap/>
            <w:vAlign w:val="bottom"/>
            <w:hideMark/>
          </w:tcPr>
          <w:p w14:paraId="34BF09D3"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1FE8AE5C" w14:textId="7AED865D"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3C75B69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0AE9CCE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4666161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556AC40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7BEF1F8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1F9A4A5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7D23285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48CFCD6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6706BD3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895723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84BB19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3AEA147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11F6B0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nil"/>
              <w:right w:val="nil"/>
            </w:tcBorders>
            <w:shd w:val="clear" w:color="auto" w:fill="auto"/>
            <w:noWrap/>
            <w:vAlign w:val="bottom"/>
            <w:hideMark/>
          </w:tcPr>
          <w:p w14:paraId="6D58B61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r w:rsidR="006C78DE" w:rsidRPr="009B605C" w14:paraId="72FE7BFE" w14:textId="77777777" w:rsidTr="006C78DE">
        <w:trPr>
          <w:trHeight w:val="288"/>
        </w:trPr>
        <w:tc>
          <w:tcPr>
            <w:tcW w:w="1258" w:type="dxa"/>
            <w:tcBorders>
              <w:top w:val="nil"/>
              <w:left w:val="nil"/>
              <w:bottom w:val="nil"/>
              <w:right w:val="nil"/>
            </w:tcBorders>
            <w:shd w:val="clear" w:color="auto" w:fill="auto"/>
            <w:noWrap/>
            <w:vAlign w:val="bottom"/>
            <w:hideMark/>
          </w:tcPr>
          <w:p w14:paraId="5C301ACD" w14:textId="1A45E9C2" w:rsidR="00C33E7B" w:rsidRPr="009B605C" w:rsidRDefault="00C33E7B" w:rsidP="0087752F">
            <w:pPr>
              <w:rPr>
                <w:rFonts w:ascii="Cambria" w:hAnsi="Cambria"/>
                <w:color w:val="000000"/>
                <w:sz w:val="18"/>
                <w:szCs w:val="18"/>
              </w:rPr>
            </w:pPr>
            <w:r w:rsidRPr="009B605C">
              <w:rPr>
                <w:rFonts w:ascii="Cambria" w:hAnsi="Cambria"/>
                <w:color w:val="000000"/>
                <w:sz w:val="18"/>
                <w:szCs w:val="18"/>
              </w:rPr>
              <w:t>South</w:t>
            </w:r>
            <w:r w:rsidR="00B63A17" w:rsidRPr="009B605C">
              <w:rPr>
                <w:rFonts w:ascii="Cambria" w:hAnsi="Cambria"/>
                <w:color w:val="000000"/>
                <w:sz w:val="18"/>
                <w:szCs w:val="18"/>
              </w:rPr>
              <w:t xml:space="preserve"> </w:t>
            </w:r>
            <w:r w:rsidRPr="009B605C">
              <w:rPr>
                <w:rFonts w:ascii="Cambria" w:hAnsi="Cambria"/>
                <w:color w:val="000000"/>
                <w:sz w:val="18"/>
                <w:szCs w:val="18"/>
              </w:rPr>
              <w:t>Africa</w:t>
            </w:r>
          </w:p>
        </w:tc>
        <w:tc>
          <w:tcPr>
            <w:tcW w:w="1011" w:type="dxa"/>
            <w:tcBorders>
              <w:top w:val="nil"/>
              <w:left w:val="nil"/>
              <w:bottom w:val="nil"/>
              <w:right w:val="nil"/>
            </w:tcBorders>
            <w:shd w:val="clear" w:color="auto" w:fill="auto"/>
            <w:noWrap/>
            <w:vAlign w:val="bottom"/>
            <w:hideMark/>
          </w:tcPr>
          <w:p w14:paraId="3C81183E"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Gold</w:t>
            </w:r>
          </w:p>
        </w:tc>
        <w:tc>
          <w:tcPr>
            <w:tcW w:w="829" w:type="dxa"/>
            <w:tcBorders>
              <w:top w:val="nil"/>
              <w:left w:val="nil"/>
              <w:bottom w:val="nil"/>
              <w:right w:val="nil"/>
            </w:tcBorders>
            <w:shd w:val="clear" w:color="auto" w:fill="auto"/>
            <w:noWrap/>
            <w:vAlign w:val="bottom"/>
            <w:hideMark/>
          </w:tcPr>
          <w:p w14:paraId="3F8BE05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1068" w:type="dxa"/>
            <w:tcBorders>
              <w:top w:val="nil"/>
              <w:left w:val="nil"/>
              <w:bottom w:val="nil"/>
              <w:right w:val="nil"/>
            </w:tcBorders>
            <w:shd w:val="clear" w:color="auto" w:fill="auto"/>
            <w:noWrap/>
            <w:vAlign w:val="bottom"/>
            <w:hideMark/>
          </w:tcPr>
          <w:p w14:paraId="742A069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1080" w:type="dxa"/>
            <w:tcBorders>
              <w:top w:val="nil"/>
              <w:left w:val="nil"/>
              <w:bottom w:val="nil"/>
              <w:right w:val="nil"/>
            </w:tcBorders>
            <w:shd w:val="clear" w:color="auto" w:fill="auto"/>
            <w:noWrap/>
            <w:vAlign w:val="bottom"/>
            <w:hideMark/>
          </w:tcPr>
          <w:p w14:paraId="0B4C271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1065" w:type="dxa"/>
            <w:tcBorders>
              <w:top w:val="nil"/>
              <w:left w:val="nil"/>
              <w:bottom w:val="nil"/>
              <w:right w:val="nil"/>
            </w:tcBorders>
            <w:shd w:val="clear" w:color="auto" w:fill="auto"/>
            <w:noWrap/>
            <w:vAlign w:val="bottom"/>
            <w:hideMark/>
          </w:tcPr>
          <w:p w14:paraId="0384CC5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1065" w:type="dxa"/>
            <w:tcBorders>
              <w:top w:val="nil"/>
              <w:left w:val="nil"/>
              <w:bottom w:val="nil"/>
              <w:right w:val="nil"/>
            </w:tcBorders>
            <w:shd w:val="clear" w:color="auto" w:fill="auto"/>
            <w:noWrap/>
            <w:vAlign w:val="bottom"/>
            <w:hideMark/>
          </w:tcPr>
          <w:p w14:paraId="189EF7E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0.57</w:t>
            </w:r>
          </w:p>
        </w:tc>
        <w:tc>
          <w:tcPr>
            <w:tcW w:w="1065" w:type="dxa"/>
            <w:tcBorders>
              <w:top w:val="nil"/>
              <w:left w:val="nil"/>
              <w:bottom w:val="nil"/>
              <w:right w:val="nil"/>
            </w:tcBorders>
            <w:shd w:val="clear" w:color="auto" w:fill="auto"/>
            <w:noWrap/>
            <w:vAlign w:val="bottom"/>
            <w:hideMark/>
          </w:tcPr>
          <w:p w14:paraId="2599F0E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1068" w:type="dxa"/>
            <w:tcBorders>
              <w:top w:val="nil"/>
              <w:left w:val="nil"/>
              <w:bottom w:val="nil"/>
              <w:right w:val="nil"/>
            </w:tcBorders>
            <w:shd w:val="clear" w:color="auto" w:fill="auto"/>
            <w:noWrap/>
            <w:vAlign w:val="bottom"/>
            <w:hideMark/>
          </w:tcPr>
          <w:p w14:paraId="1DBC85E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0.569</w:t>
            </w:r>
          </w:p>
        </w:tc>
        <w:tc>
          <w:tcPr>
            <w:tcW w:w="768" w:type="dxa"/>
            <w:tcBorders>
              <w:top w:val="nil"/>
              <w:left w:val="nil"/>
              <w:bottom w:val="nil"/>
              <w:right w:val="nil"/>
            </w:tcBorders>
            <w:shd w:val="clear" w:color="auto" w:fill="auto"/>
            <w:noWrap/>
            <w:vAlign w:val="bottom"/>
            <w:hideMark/>
          </w:tcPr>
          <w:p w14:paraId="646A6FB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c>
          <w:tcPr>
            <w:tcW w:w="988" w:type="dxa"/>
            <w:tcBorders>
              <w:top w:val="nil"/>
              <w:left w:val="nil"/>
              <w:bottom w:val="nil"/>
              <w:right w:val="nil"/>
            </w:tcBorders>
            <w:shd w:val="clear" w:color="auto" w:fill="auto"/>
            <w:noWrap/>
            <w:vAlign w:val="bottom"/>
            <w:hideMark/>
          </w:tcPr>
          <w:p w14:paraId="624BEC0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c>
          <w:tcPr>
            <w:tcW w:w="1065" w:type="dxa"/>
            <w:tcBorders>
              <w:top w:val="nil"/>
              <w:left w:val="nil"/>
              <w:bottom w:val="nil"/>
              <w:right w:val="nil"/>
            </w:tcBorders>
            <w:shd w:val="clear" w:color="auto" w:fill="auto"/>
            <w:noWrap/>
            <w:vAlign w:val="bottom"/>
            <w:hideMark/>
          </w:tcPr>
          <w:p w14:paraId="15A9FB9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c>
          <w:tcPr>
            <w:tcW w:w="1065" w:type="dxa"/>
            <w:tcBorders>
              <w:top w:val="nil"/>
              <w:left w:val="nil"/>
              <w:bottom w:val="nil"/>
              <w:right w:val="nil"/>
            </w:tcBorders>
            <w:shd w:val="clear" w:color="auto" w:fill="auto"/>
            <w:noWrap/>
            <w:vAlign w:val="bottom"/>
            <w:hideMark/>
          </w:tcPr>
          <w:p w14:paraId="3525BB2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c>
          <w:tcPr>
            <w:tcW w:w="1065" w:type="dxa"/>
            <w:tcBorders>
              <w:top w:val="nil"/>
              <w:left w:val="nil"/>
              <w:bottom w:val="nil"/>
              <w:right w:val="nil"/>
            </w:tcBorders>
            <w:shd w:val="clear" w:color="auto" w:fill="auto"/>
            <w:noWrap/>
            <w:vAlign w:val="bottom"/>
            <w:hideMark/>
          </w:tcPr>
          <w:p w14:paraId="0389A53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0.075</w:t>
            </w:r>
          </w:p>
        </w:tc>
        <w:tc>
          <w:tcPr>
            <w:tcW w:w="1065" w:type="dxa"/>
            <w:tcBorders>
              <w:top w:val="nil"/>
              <w:left w:val="nil"/>
              <w:bottom w:val="nil"/>
              <w:right w:val="nil"/>
            </w:tcBorders>
            <w:shd w:val="clear" w:color="auto" w:fill="auto"/>
            <w:noWrap/>
            <w:vAlign w:val="bottom"/>
            <w:hideMark/>
          </w:tcPr>
          <w:p w14:paraId="5293942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c>
          <w:tcPr>
            <w:tcW w:w="988" w:type="dxa"/>
            <w:tcBorders>
              <w:top w:val="nil"/>
              <w:left w:val="nil"/>
              <w:bottom w:val="nil"/>
              <w:right w:val="nil"/>
            </w:tcBorders>
            <w:shd w:val="clear" w:color="auto" w:fill="auto"/>
            <w:noWrap/>
            <w:vAlign w:val="bottom"/>
            <w:hideMark/>
          </w:tcPr>
          <w:p w14:paraId="02A79B5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0.074</w:t>
            </w:r>
          </w:p>
        </w:tc>
      </w:tr>
      <w:tr w:rsidR="006C78DE" w:rsidRPr="009B605C" w14:paraId="7EA131D2" w14:textId="77777777" w:rsidTr="006C78DE">
        <w:trPr>
          <w:trHeight w:val="288"/>
        </w:trPr>
        <w:tc>
          <w:tcPr>
            <w:tcW w:w="1258" w:type="dxa"/>
            <w:tcBorders>
              <w:top w:val="nil"/>
              <w:left w:val="nil"/>
              <w:bottom w:val="nil"/>
              <w:right w:val="nil"/>
            </w:tcBorders>
            <w:shd w:val="clear" w:color="auto" w:fill="auto"/>
            <w:noWrap/>
            <w:vAlign w:val="bottom"/>
            <w:hideMark/>
          </w:tcPr>
          <w:p w14:paraId="27E7AC00"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7DBE359E" w14:textId="3C9228F8"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nil"/>
              <w:right w:val="nil"/>
            </w:tcBorders>
            <w:shd w:val="clear" w:color="auto" w:fill="auto"/>
            <w:noWrap/>
            <w:vAlign w:val="bottom"/>
            <w:hideMark/>
          </w:tcPr>
          <w:p w14:paraId="051BE26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19C8D0B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nil"/>
              <w:right w:val="nil"/>
            </w:tcBorders>
            <w:shd w:val="clear" w:color="auto" w:fill="auto"/>
            <w:noWrap/>
            <w:vAlign w:val="bottom"/>
            <w:hideMark/>
          </w:tcPr>
          <w:p w14:paraId="47FB299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0978239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60F8EF4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nil"/>
              <w:right w:val="nil"/>
            </w:tcBorders>
            <w:shd w:val="clear" w:color="auto" w:fill="auto"/>
            <w:noWrap/>
            <w:vAlign w:val="bottom"/>
            <w:hideMark/>
          </w:tcPr>
          <w:p w14:paraId="490057D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nil"/>
              <w:right w:val="nil"/>
            </w:tcBorders>
            <w:shd w:val="clear" w:color="auto" w:fill="auto"/>
            <w:noWrap/>
            <w:vAlign w:val="bottom"/>
            <w:hideMark/>
          </w:tcPr>
          <w:p w14:paraId="2D361C1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nil"/>
              <w:right w:val="nil"/>
            </w:tcBorders>
            <w:shd w:val="clear" w:color="auto" w:fill="auto"/>
            <w:noWrap/>
            <w:vAlign w:val="bottom"/>
            <w:hideMark/>
          </w:tcPr>
          <w:p w14:paraId="0FE12B93"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0.684</w:t>
            </w:r>
          </w:p>
        </w:tc>
        <w:tc>
          <w:tcPr>
            <w:tcW w:w="988" w:type="dxa"/>
            <w:tcBorders>
              <w:top w:val="nil"/>
              <w:left w:val="nil"/>
              <w:bottom w:val="nil"/>
              <w:right w:val="nil"/>
            </w:tcBorders>
            <w:shd w:val="clear" w:color="auto" w:fill="auto"/>
            <w:noWrap/>
            <w:vAlign w:val="bottom"/>
            <w:hideMark/>
          </w:tcPr>
          <w:p w14:paraId="4C51723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0.851</w:t>
            </w:r>
          </w:p>
        </w:tc>
        <w:tc>
          <w:tcPr>
            <w:tcW w:w="1065" w:type="dxa"/>
            <w:tcBorders>
              <w:top w:val="nil"/>
              <w:left w:val="nil"/>
              <w:bottom w:val="nil"/>
              <w:right w:val="nil"/>
            </w:tcBorders>
            <w:shd w:val="clear" w:color="auto" w:fill="auto"/>
            <w:noWrap/>
            <w:vAlign w:val="bottom"/>
            <w:hideMark/>
          </w:tcPr>
          <w:p w14:paraId="6B98146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0.848</w:t>
            </w:r>
          </w:p>
        </w:tc>
        <w:tc>
          <w:tcPr>
            <w:tcW w:w="1065" w:type="dxa"/>
            <w:tcBorders>
              <w:top w:val="nil"/>
              <w:left w:val="nil"/>
              <w:bottom w:val="nil"/>
              <w:right w:val="nil"/>
            </w:tcBorders>
            <w:shd w:val="clear" w:color="auto" w:fill="auto"/>
            <w:noWrap/>
            <w:vAlign w:val="bottom"/>
            <w:hideMark/>
          </w:tcPr>
          <w:p w14:paraId="4452AA00"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0.847</w:t>
            </w:r>
          </w:p>
        </w:tc>
        <w:tc>
          <w:tcPr>
            <w:tcW w:w="1065" w:type="dxa"/>
            <w:tcBorders>
              <w:top w:val="nil"/>
              <w:left w:val="nil"/>
              <w:bottom w:val="nil"/>
              <w:right w:val="nil"/>
            </w:tcBorders>
            <w:shd w:val="clear" w:color="auto" w:fill="auto"/>
            <w:noWrap/>
            <w:vAlign w:val="bottom"/>
            <w:hideMark/>
          </w:tcPr>
          <w:p w14:paraId="3250970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0.903</w:t>
            </w:r>
          </w:p>
        </w:tc>
        <w:tc>
          <w:tcPr>
            <w:tcW w:w="1065" w:type="dxa"/>
            <w:tcBorders>
              <w:top w:val="nil"/>
              <w:left w:val="nil"/>
              <w:bottom w:val="nil"/>
              <w:right w:val="nil"/>
            </w:tcBorders>
            <w:shd w:val="clear" w:color="auto" w:fill="auto"/>
            <w:noWrap/>
            <w:vAlign w:val="bottom"/>
            <w:hideMark/>
          </w:tcPr>
          <w:p w14:paraId="58BF610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0.914</w:t>
            </w:r>
          </w:p>
        </w:tc>
        <w:tc>
          <w:tcPr>
            <w:tcW w:w="988" w:type="dxa"/>
            <w:tcBorders>
              <w:top w:val="nil"/>
              <w:left w:val="nil"/>
              <w:bottom w:val="nil"/>
              <w:right w:val="nil"/>
            </w:tcBorders>
            <w:shd w:val="clear" w:color="auto" w:fill="auto"/>
            <w:noWrap/>
            <w:vAlign w:val="bottom"/>
            <w:hideMark/>
          </w:tcPr>
          <w:p w14:paraId="40FB2AA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0.835</w:t>
            </w:r>
          </w:p>
        </w:tc>
      </w:tr>
      <w:tr w:rsidR="006C78DE" w:rsidRPr="009B605C" w14:paraId="194BF09C" w14:textId="77777777" w:rsidTr="006C78DE">
        <w:trPr>
          <w:trHeight w:val="288"/>
        </w:trPr>
        <w:tc>
          <w:tcPr>
            <w:tcW w:w="1258" w:type="dxa"/>
            <w:tcBorders>
              <w:top w:val="nil"/>
              <w:left w:val="nil"/>
              <w:bottom w:val="nil"/>
              <w:right w:val="nil"/>
            </w:tcBorders>
            <w:shd w:val="clear" w:color="auto" w:fill="auto"/>
            <w:noWrap/>
            <w:vAlign w:val="bottom"/>
            <w:hideMark/>
          </w:tcPr>
          <w:p w14:paraId="0901329D"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nil"/>
              <w:right w:val="nil"/>
            </w:tcBorders>
            <w:shd w:val="clear" w:color="auto" w:fill="auto"/>
            <w:noWrap/>
            <w:vAlign w:val="bottom"/>
            <w:hideMark/>
          </w:tcPr>
          <w:p w14:paraId="0DFF651D" w14:textId="77777777" w:rsidR="00C33E7B" w:rsidRPr="009B605C" w:rsidRDefault="00C33E7B" w:rsidP="0087752F">
            <w:pPr>
              <w:rPr>
                <w:rFonts w:ascii="Cambria" w:hAnsi="Cambria"/>
                <w:color w:val="000000"/>
                <w:sz w:val="18"/>
                <w:szCs w:val="18"/>
              </w:rPr>
            </w:pPr>
            <w:r w:rsidRPr="009B605C">
              <w:rPr>
                <w:rFonts w:ascii="Cambria" w:hAnsi="Cambria"/>
                <w:color w:val="000000"/>
                <w:sz w:val="18"/>
                <w:szCs w:val="18"/>
              </w:rPr>
              <w:t>Crypto</w:t>
            </w:r>
          </w:p>
        </w:tc>
        <w:tc>
          <w:tcPr>
            <w:tcW w:w="829" w:type="dxa"/>
            <w:tcBorders>
              <w:top w:val="nil"/>
              <w:left w:val="nil"/>
              <w:bottom w:val="nil"/>
              <w:right w:val="nil"/>
            </w:tcBorders>
            <w:shd w:val="clear" w:color="auto" w:fill="auto"/>
            <w:noWrap/>
            <w:vAlign w:val="bottom"/>
            <w:hideMark/>
          </w:tcPr>
          <w:p w14:paraId="19D6C63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0.055</w:t>
            </w:r>
          </w:p>
        </w:tc>
        <w:tc>
          <w:tcPr>
            <w:tcW w:w="1068" w:type="dxa"/>
            <w:tcBorders>
              <w:top w:val="nil"/>
              <w:left w:val="nil"/>
              <w:bottom w:val="nil"/>
              <w:right w:val="nil"/>
            </w:tcBorders>
            <w:shd w:val="clear" w:color="auto" w:fill="auto"/>
            <w:noWrap/>
            <w:vAlign w:val="bottom"/>
            <w:hideMark/>
          </w:tcPr>
          <w:p w14:paraId="5F7F7DD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w:t>
            </w:r>
          </w:p>
        </w:tc>
        <w:tc>
          <w:tcPr>
            <w:tcW w:w="1080" w:type="dxa"/>
            <w:tcBorders>
              <w:top w:val="nil"/>
              <w:left w:val="nil"/>
              <w:bottom w:val="nil"/>
              <w:right w:val="nil"/>
            </w:tcBorders>
            <w:shd w:val="clear" w:color="auto" w:fill="auto"/>
            <w:noWrap/>
            <w:vAlign w:val="bottom"/>
            <w:hideMark/>
          </w:tcPr>
          <w:p w14:paraId="390C0BC8"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w:t>
            </w:r>
          </w:p>
        </w:tc>
        <w:tc>
          <w:tcPr>
            <w:tcW w:w="1065" w:type="dxa"/>
            <w:tcBorders>
              <w:top w:val="nil"/>
              <w:left w:val="nil"/>
              <w:bottom w:val="nil"/>
              <w:right w:val="nil"/>
            </w:tcBorders>
            <w:shd w:val="clear" w:color="auto" w:fill="auto"/>
            <w:noWrap/>
            <w:vAlign w:val="bottom"/>
            <w:hideMark/>
          </w:tcPr>
          <w:p w14:paraId="1E2CCD9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0.03</w:t>
            </w:r>
          </w:p>
        </w:tc>
        <w:tc>
          <w:tcPr>
            <w:tcW w:w="1065" w:type="dxa"/>
            <w:tcBorders>
              <w:top w:val="nil"/>
              <w:left w:val="nil"/>
              <w:bottom w:val="nil"/>
              <w:right w:val="nil"/>
            </w:tcBorders>
            <w:shd w:val="clear" w:color="auto" w:fill="auto"/>
            <w:noWrap/>
            <w:vAlign w:val="bottom"/>
            <w:hideMark/>
          </w:tcPr>
          <w:p w14:paraId="37D84D8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0.007</w:t>
            </w:r>
          </w:p>
        </w:tc>
        <w:tc>
          <w:tcPr>
            <w:tcW w:w="1065" w:type="dxa"/>
            <w:tcBorders>
              <w:top w:val="nil"/>
              <w:left w:val="nil"/>
              <w:bottom w:val="nil"/>
              <w:right w:val="nil"/>
            </w:tcBorders>
            <w:shd w:val="clear" w:color="auto" w:fill="auto"/>
            <w:noWrap/>
            <w:vAlign w:val="bottom"/>
            <w:hideMark/>
          </w:tcPr>
          <w:p w14:paraId="00234A4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0.003</w:t>
            </w:r>
          </w:p>
        </w:tc>
        <w:tc>
          <w:tcPr>
            <w:tcW w:w="1068" w:type="dxa"/>
            <w:tcBorders>
              <w:top w:val="nil"/>
              <w:left w:val="nil"/>
              <w:bottom w:val="nil"/>
              <w:right w:val="nil"/>
            </w:tcBorders>
            <w:shd w:val="clear" w:color="auto" w:fill="auto"/>
            <w:noWrap/>
            <w:vAlign w:val="bottom"/>
            <w:hideMark/>
          </w:tcPr>
          <w:p w14:paraId="64E54089"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0.009</w:t>
            </w:r>
          </w:p>
        </w:tc>
        <w:tc>
          <w:tcPr>
            <w:tcW w:w="768" w:type="dxa"/>
            <w:tcBorders>
              <w:top w:val="nil"/>
              <w:left w:val="nil"/>
              <w:bottom w:val="nil"/>
              <w:right w:val="nil"/>
            </w:tcBorders>
            <w:shd w:val="clear" w:color="auto" w:fill="auto"/>
            <w:noWrap/>
            <w:vAlign w:val="bottom"/>
            <w:hideMark/>
          </w:tcPr>
          <w:p w14:paraId="49E9B13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0.056</w:t>
            </w:r>
          </w:p>
        </w:tc>
        <w:tc>
          <w:tcPr>
            <w:tcW w:w="988" w:type="dxa"/>
            <w:tcBorders>
              <w:top w:val="nil"/>
              <w:left w:val="nil"/>
              <w:bottom w:val="nil"/>
              <w:right w:val="nil"/>
            </w:tcBorders>
            <w:shd w:val="clear" w:color="auto" w:fill="auto"/>
            <w:noWrap/>
            <w:vAlign w:val="bottom"/>
            <w:hideMark/>
          </w:tcPr>
          <w:p w14:paraId="253FA2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0.015</w:t>
            </w:r>
          </w:p>
        </w:tc>
        <w:tc>
          <w:tcPr>
            <w:tcW w:w="1065" w:type="dxa"/>
            <w:tcBorders>
              <w:top w:val="nil"/>
              <w:left w:val="nil"/>
              <w:bottom w:val="nil"/>
              <w:right w:val="nil"/>
            </w:tcBorders>
            <w:shd w:val="clear" w:color="auto" w:fill="auto"/>
            <w:noWrap/>
            <w:vAlign w:val="bottom"/>
            <w:hideMark/>
          </w:tcPr>
          <w:p w14:paraId="15568CC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3463D8D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0.016</w:t>
            </w:r>
          </w:p>
        </w:tc>
        <w:tc>
          <w:tcPr>
            <w:tcW w:w="1065" w:type="dxa"/>
            <w:tcBorders>
              <w:top w:val="nil"/>
              <w:left w:val="nil"/>
              <w:bottom w:val="nil"/>
              <w:right w:val="nil"/>
            </w:tcBorders>
            <w:shd w:val="clear" w:color="auto" w:fill="auto"/>
            <w:noWrap/>
            <w:vAlign w:val="bottom"/>
            <w:hideMark/>
          </w:tcPr>
          <w:p w14:paraId="758226B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0.009</w:t>
            </w:r>
          </w:p>
        </w:tc>
        <w:tc>
          <w:tcPr>
            <w:tcW w:w="1065" w:type="dxa"/>
            <w:tcBorders>
              <w:top w:val="nil"/>
              <w:left w:val="nil"/>
              <w:bottom w:val="nil"/>
              <w:right w:val="nil"/>
            </w:tcBorders>
            <w:shd w:val="clear" w:color="auto" w:fill="auto"/>
            <w:noWrap/>
            <w:vAlign w:val="bottom"/>
            <w:hideMark/>
          </w:tcPr>
          <w:p w14:paraId="1D1505D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0.005</w:t>
            </w:r>
          </w:p>
        </w:tc>
        <w:tc>
          <w:tcPr>
            <w:tcW w:w="988" w:type="dxa"/>
            <w:tcBorders>
              <w:top w:val="nil"/>
              <w:left w:val="nil"/>
              <w:bottom w:val="nil"/>
              <w:right w:val="nil"/>
            </w:tcBorders>
            <w:shd w:val="clear" w:color="auto" w:fill="auto"/>
            <w:noWrap/>
            <w:vAlign w:val="bottom"/>
            <w:hideMark/>
          </w:tcPr>
          <w:p w14:paraId="4A8CDEC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0.012</w:t>
            </w:r>
          </w:p>
        </w:tc>
      </w:tr>
      <w:tr w:rsidR="006C78DE" w:rsidRPr="009B605C" w14:paraId="323F332C" w14:textId="77777777" w:rsidTr="006C78DE">
        <w:trPr>
          <w:trHeight w:val="288"/>
        </w:trPr>
        <w:tc>
          <w:tcPr>
            <w:tcW w:w="1258" w:type="dxa"/>
            <w:tcBorders>
              <w:top w:val="nil"/>
              <w:left w:val="nil"/>
              <w:bottom w:val="double" w:sz="4" w:space="0" w:color="auto"/>
              <w:right w:val="nil"/>
            </w:tcBorders>
            <w:shd w:val="clear" w:color="auto" w:fill="auto"/>
            <w:noWrap/>
            <w:vAlign w:val="bottom"/>
            <w:hideMark/>
          </w:tcPr>
          <w:p w14:paraId="115A4281" w14:textId="77777777" w:rsidR="00C33E7B" w:rsidRPr="009B605C" w:rsidRDefault="00C33E7B" w:rsidP="0087752F">
            <w:pPr>
              <w:jc w:val="right"/>
              <w:rPr>
                <w:rFonts w:ascii="Cambria" w:hAnsi="Cambria"/>
                <w:color w:val="000000"/>
                <w:sz w:val="18"/>
                <w:szCs w:val="18"/>
              </w:rPr>
            </w:pPr>
          </w:p>
        </w:tc>
        <w:tc>
          <w:tcPr>
            <w:tcW w:w="1011" w:type="dxa"/>
            <w:tcBorders>
              <w:top w:val="nil"/>
              <w:left w:val="nil"/>
              <w:bottom w:val="double" w:sz="4" w:space="0" w:color="auto"/>
              <w:right w:val="nil"/>
            </w:tcBorders>
            <w:shd w:val="clear" w:color="auto" w:fill="auto"/>
            <w:noWrap/>
            <w:vAlign w:val="bottom"/>
            <w:hideMark/>
          </w:tcPr>
          <w:p w14:paraId="4EB5FA52" w14:textId="5063CAFF" w:rsidR="00C33E7B" w:rsidRPr="009B605C" w:rsidRDefault="00B63A17" w:rsidP="0087752F">
            <w:pPr>
              <w:rPr>
                <w:rFonts w:ascii="Cambria" w:hAnsi="Cambria"/>
                <w:sz w:val="18"/>
                <w:szCs w:val="18"/>
              </w:rPr>
            </w:pPr>
            <w:r w:rsidRPr="009B605C">
              <w:rPr>
                <w:rFonts w:ascii="Cambria" w:hAnsi="Cambria"/>
                <w:i/>
                <w:iCs/>
                <w:color w:val="000000"/>
                <w:sz w:val="18"/>
                <w:szCs w:val="18"/>
              </w:rPr>
              <w:t>p-value</w:t>
            </w:r>
          </w:p>
        </w:tc>
        <w:tc>
          <w:tcPr>
            <w:tcW w:w="829" w:type="dxa"/>
            <w:tcBorders>
              <w:top w:val="nil"/>
              <w:left w:val="nil"/>
              <w:bottom w:val="double" w:sz="4" w:space="0" w:color="auto"/>
              <w:right w:val="nil"/>
            </w:tcBorders>
            <w:shd w:val="clear" w:color="auto" w:fill="auto"/>
            <w:noWrap/>
            <w:vAlign w:val="bottom"/>
            <w:hideMark/>
          </w:tcPr>
          <w:p w14:paraId="3651031E"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double" w:sz="4" w:space="0" w:color="auto"/>
              <w:right w:val="nil"/>
            </w:tcBorders>
            <w:shd w:val="clear" w:color="auto" w:fill="auto"/>
            <w:noWrap/>
            <w:vAlign w:val="bottom"/>
            <w:hideMark/>
          </w:tcPr>
          <w:p w14:paraId="5CF15BE1"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80" w:type="dxa"/>
            <w:tcBorders>
              <w:top w:val="nil"/>
              <w:left w:val="nil"/>
              <w:bottom w:val="double" w:sz="4" w:space="0" w:color="auto"/>
              <w:right w:val="nil"/>
            </w:tcBorders>
            <w:shd w:val="clear" w:color="auto" w:fill="auto"/>
            <w:noWrap/>
            <w:vAlign w:val="bottom"/>
            <w:hideMark/>
          </w:tcPr>
          <w:p w14:paraId="325EB99B"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7703343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50F80C8F"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5706A24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8" w:type="dxa"/>
            <w:tcBorders>
              <w:top w:val="nil"/>
              <w:left w:val="nil"/>
              <w:bottom w:val="double" w:sz="4" w:space="0" w:color="auto"/>
              <w:right w:val="nil"/>
            </w:tcBorders>
            <w:shd w:val="clear" w:color="auto" w:fill="auto"/>
            <w:noWrap/>
            <w:vAlign w:val="bottom"/>
            <w:hideMark/>
          </w:tcPr>
          <w:p w14:paraId="348CD0A4"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768" w:type="dxa"/>
            <w:tcBorders>
              <w:top w:val="nil"/>
              <w:left w:val="nil"/>
              <w:bottom w:val="double" w:sz="4" w:space="0" w:color="auto"/>
              <w:right w:val="nil"/>
            </w:tcBorders>
            <w:shd w:val="clear" w:color="auto" w:fill="auto"/>
            <w:noWrap/>
            <w:vAlign w:val="bottom"/>
            <w:hideMark/>
          </w:tcPr>
          <w:p w14:paraId="192D02AA"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double" w:sz="4" w:space="0" w:color="auto"/>
              <w:right w:val="nil"/>
            </w:tcBorders>
            <w:shd w:val="clear" w:color="auto" w:fill="auto"/>
            <w:noWrap/>
            <w:vAlign w:val="bottom"/>
            <w:hideMark/>
          </w:tcPr>
          <w:p w14:paraId="6ECBFA7D"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2255793C"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4418B4F5"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02E303C2"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1065" w:type="dxa"/>
            <w:tcBorders>
              <w:top w:val="nil"/>
              <w:left w:val="nil"/>
              <w:bottom w:val="double" w:sz="4" w:space="0" w:color="auto"/>
              <w:right w:val="nil"/>
            </w:tcBorders>
            <w:shd w:val="clear" w:color="auto" w:fill="auto"/>
            <w:noWrap/>
            <w:vAlign w:val="bottom"/>
            <w:hideMark/>
          </w:tcPr>
          <w:p w14:paraId="5A13DA67"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c>
          <w:tcPr>
            <w:tcW w:w="988" w:type="dxa"/>
            <w:tcBorders>
              <w:top w:val="nil"/>
              <w:left w:val="nil"/>
              <w:bottom w:val="double" w:sz="4" w:space="0" w:color="auto"/>
              <w:right w:val="nil"/>
            </w:tcBorders>
            <w:shd w:val="clear" w:color="auto" w:fill="auto"/>
            <w:noWrap/>
            <w:vAlign w:val="bottom"/>
            <w:hideMark/>
          </w:tcPr>
          <w:p w14:paraId="46AE92B6" w14:textId="77777777" w:rsidR="00C33E7B" w:rsidRPr="009B605C" w:rsidRDefault="00C33E7B" w:rsidP="0087752F">
            <w:pPr>
              <w:jc w:val="right"/>
              <w:rPr>
                <w:rFonts w:ascii="Cambria" w:hAnsi="Cambria"/>
                <w:color w:val="000000"/>
                <w:sz w:val="18"/>
                <w:szCs w:val="18"/>
              </w:rPr>
            </w:pPr>
            <w:r w:rsidRPr="009B605C">
              <w:rPr>
                <w:rFonts w:ascii="Cambria" w:hAnsi="Cambria"/>
                <w:color w:val="000000"/>
                <w:sz w:val="18"/>
                <w:szCs w:val="18"/>
              </w:rPr>
              <w:t>0</w:t>
            </w:r>
          </w:p>
        </w:tc>
      </w:tr>
    </w:tbl>
    <w:p w14:paraId="2FA44522" w14:textId="77777777" w:rsidR="00C33E7B" w:rsidRPr="009B605C" w:rsidRDefault="00C33E7B" w:rsidP="0087752F">
      <w:pPr>
        <w:rPr>
          <w:rFonts w:ascii="Cambria" w:hAnsi="Cambria"/>
        </w:rPr>
      </w:pPr>
    </w:p>
    <w:p w14:paraId="1390D490" w14:textId="77777777" w:rsidR="0082061B" w:rsidRPr="009B605C" w:rsidRDefault="0082061B" w:rsidP="0087752F">
      <w:pPr>
        <w:rPr>
          <w:rFonts w:ascii="Cambria" w:hAnsi="Cambria"/>
        </w:rPr>
      </w:pPr>
    </w:p>
    <w:p w14:paraId="03F2E415" w14:textId="77777777" w:rsidR="0082061B" w:rsidRPr="009B605C" w:rsidRDefault="0082061B" w:rsidP="0087752F">
      <w:pPr>
        <w:rPr>
          <w:rFonts w:ascii="Cambria" w:hAnsi="Cambria"/>
        </w:rPr>
      </w:pPr>
    </w:p>
    <w:p w14:paraId="526512BB" w14:textId="77777777" w:rsidR="0082061B" w:rsidRPr="009B605C" w:rsidRDefault="0082061B" w:rsidP="0087752F">
      <w:pPr>
        <w:rPr>
          <w:rFonts w:ascii="Cambria" w:hAnsi="Cambria"/>
        </w:rPr>
      </w:pPr>
    </w:p>
    <w:p w14:paraId="4707CB02" w14:textId="77777777" w:rsidR="0082061B" w:rsidRPr="009B605C" w:rsidRDefault="0082061B" w:rsidP="0087752F">
      <w:pPr>
        <w:rPr>
          <w:rFonts w:ascii="Cambria" w:hAnsi="Cambria"/>
        </w:rPr>
      </w:pPr>
    </w:p>
    <w:p w14:paraId="5D5F9F49" w14:textId="77777777" w:rsidR="0082061B" w:rsidRPr="009B605C" w:rsidRDefault="0082061B" w:rsidP="0087752F">
      <w:pPr>
        <w:rPr>
          <w:rFonts w:ascii="Cambria" w:hAnsi="Cambria"/>
        </w:rPr>
      </w:pPr>
    </w:p>
    <w:p w14:paraId="07A44C65" w14:textId="77777777" w:rsidR="0082061B" w:rsidRPr="009B605C" w:rsidRDefault="0082061B" w:rsidP="0087752F">
      <w:pPr>
        <w:rPr>
          <w:rFonts w:ascii="Cambria" w:hAnsi="Cambria"/>
        </w:rPr>
      </w:pPr>
    </w:p>
    <w:p w14:paraId="161E0CA6" w14:textId="77777777" w:rsidR="0082061B" w:rsidRPr="009B605C" w:rsidRDefault="0082061B" w:rsidP="0087752F">
      <w:pPr>
        <w:rPr>
          <w:rFonts w:ascii="Cambria" w:hAnsi="Cambria"/>
        </w:rPr>
      </w:pPr>
    </w:p>
    <w:p w14:paraId="0EAE9F75" w14:textId="77777777" w:rsidR="0082061B" w:rsidRPr="009B605C" w:rsidRDefault="0082061B" w:rsidP="0087752F">
      <w:pPr>
        <w:rPr>
          <w:rFonts w:ascii="Cambria" w:hAnsi="Cambria"/>
        </w:rPr>
      </w:pPr>
    </w:p>
    <w:p w14:paraId="066D8959" w14:textId="77777777" w:rsidR="0082061B" w:rsidRPr="009B605C" w:rsidRDefault="0082061B" w:rsidP="0087752F">
      <w:pPr>
        <w:rPr>
          <w:rFonts w:ascii="Cambria" w:hAnsi="Cambria"/>
        </w:rPr>
      </w:pPr>
    </w:p>
    <w:p w14:paraId="7492308C" w14:textId="77777777" w:rsidR="0082061B" w:rsidRPr="009B605C" w:rsidRDefault="0082061B" w:rsidP="0087752F">
      <w:pPr>
        <w:rPr>
          <w:rFonts w:ascii="Cambria" w:hAnsi="Cambria"/>
        </w:rPr>
      </w:pPr>
    </w:p>
    <w:p w14:paraId="42CA9A0D" w14:textId="77777777" w:rsidR="0082061B" w:rsidRPr="009B605C" w:rsidRDefault="0082061B" w:rsidP="0087752F">
      <w:pPr>
        <w:rPr>
          <w:rFonts w:ascii="Cambria" w:hAnsi="Cambria"/>
        </w:rPr>
      </w:pPr>
    </w:p>
    <w:p w14:paraId="09DAAB28" w14:textId="77777777" w:rsidR="0082061B" w:rsidRPr="009B605C" w:rsidRDefault="0082061B" w:rsidP="0087752F">
      <w:pPr>
        <w:rPr>
          <w:rFonts w:ascii="Cambria" w:hAnsi="Cambria"/>
        </w:rPr>
      </w:pPr>
    </w:p>
    <w:p w14:paraId="7880D36A" w14:textId="77777777" w:rsidR="0082061B" w:rsidRPr="009B605C" w:rsidRDefault="0082061B" w:rsidP="0087752F">
      <w:pPr>
        <w:rPr>
          <w:rFonts w:ascii="Cambria" w:hAnsi="Cambria"/>
        </w:rPr>
      </w:pPr>
    </w:p>
    <w:p w14:paraId="62197424" w14:textId="77777777" w:rsidR="0082061B" w:rsidRPr="009B605C" w:rsidRDefault="0082061B" w:rsidP="0087752F">
      <w:pPr>
        <w:rPr>
          <w:rFonts w:ascii="Cambria" w:hAnsi="Cambria"/>
        </w:rPr>
      </w:pPr>
    </w:p>
    <w:p w14:paraId="058D2D04" w14:textId="77777777" w:rsidR="0082061B" w:rsidRPr="009B605C" w:rsidRDefault="0082061B" w:rsidP="0087752F">
      <w:pPr>
        <w:rPr>
          <w:rFonts w:ascii="Cambria" w:hAnsi="Cambria"/>
        </w:rPr>
      </w:pPr>
    </w:p>
    <w:p w14:paraId="626CC270" w14:textId="77777777" w:rsidR="00F05AA6" w:rsidRPr="009B605C" w:rsidRDefault="00F05AA6" w:rsidP="0087752F">
      <w:pPr>
        <w:rPr>
          <w:rFonts w:ascii="Cambria" w:hAnsi="Cambria"/>
        </w:rPr>
        <w:sectPr w:rsidR="00F05AA6" w:rsidRPr="009B605C" w:rsidSect="005836A1">
          <w:pgSz w:w="16838" w:h="11906" w:orient="landscape"/>
          <w:pgMar w:top="1440" w:right="1440" w:bottom="1440" w:left="1440" w:header="708" w:footer="708" w:gutter="0"/>
          <w:cols w:space="708"/>
          <w:docGrid w:linePitch="360"/>
        </w:sectPr>
      </w:pPr>
    </w:p>
    <w:p w14:paraId="3639C580" w14:textId="68B49AE0" w:rsidR="00040A1B" w:rsidRPr="009B605C" w:rsidRDefault="00040A1B" w:rsidP="0087752F">
      <w:pPr>
        <w:rPr>
          <w:rFonts w:ascii="Cambria" w:hAnsi="Cambria"/>
        </w:rPr>
      </w:pPr>
      <w:r w:rsidRPr="009B605C">
        <w:rPr>
          <w:rFonts w:ascii="Cambria" w:hAnsi="Cambria"/>
          <w:noProof/>
        </w:rPr>
        <w:lastRenderedPageBreak/>
        <w:drawing>
          <wp:inline distT="0" distB="0" distL="0" distR="0" wp14:anchorId="73A66B13" wp14:editId="23D5C179">
            <wp:extent cx="5731510" cy="5875655"/>
            <wp:effectExtent l="0" t="0" r="2540" b="0"/>
            <wp:docPr id="2" name="Picture 1">
              <a:extLst xmlns:a="http://schemas.openxmlformats.org/drawingml/2006/main">
                <a:ext uri="{FF2B5EF4-FFF2-40B4-BE49-F238E27FC236}">
                  <a16:creationId xmlns:a16="http://schemas.microsoft.com/office/drawing/2014/main" id="{603601D3-B02F-F53C-98AF-02DE5E41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3601D3-B02F-F53C-98AF-02DE5E4164C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875655"/>
                    </a:xfrm>
                    <a:prstGeom prst="rect">
                      <a:avLst/>
                    </a:prstGeom>
                    <a:noFill/>
                  </pic:spPr>
                </pic:pic>
              </a:graphicData>
            </a:graphic>
          </wp:inline>
        </w:drawing>
      </w:r>
    </w:p>
    <w:p w14:paraId="6B633428" w14:textId="3FC12CA4" w:rsidR="00040A1B" w:rsidRPr="009B605C" w:rsidRDefault="00040A1B" w:rsidP="0087752F">
      <w:pPr>
        <w:rPr>
          <w:rFonts w:ascii="Cambria" w:hAnsi="Cambria"/>
        </w:rPr>
      </w:pPr>
      <w:r w:rsidRPr="009B605C">
        <w:rPr>
          <w:rFonts w:ascii="Cambria" w:hAnsi="Cambria"/>
          <w:b/>
          <w:bCs/>
        </w:rPr>
        <w:t>Figure 1</w:t>
      </w:r>
      <w:r w:rsidRPr="009B605C">
        <w:rPr>
          <w:rFonts w:ascii="Cambria" w:hAnsi="Cambria"/>
        </w:rPr>
        <w:t>. Time-series graph of raw stock and gold series.</w:t>
      </w:r>
    </w:p>
    <w:p w14:paraId="661948F2" w14:textId="77777777" w:rsidR="009D63EC" w:rsidRPr="009B605C" w:rsidRDefault="009D63EC" w:rsidP="0087752F">
      <w:pPr>
        <w:rPr>
          <w:rFonts w:ascii="Cambria" w:hAnsi="Cambria"/>
        </w:rPr>
      </w:pPr>
    </w:p>
    <w:p w14:paraId="538FE06E" w14:textId="77777777" w:rsidR="009D63EC" w:rsidRPr="009B605C" w:rsidRDefault="009D63EC" w:rsidP="0087752F">
      <w:pPr>
        <w:rPr>
          <w:rFonts w:ascii="Cambria" w:hAnsi="Cambria"/>
        </w:rPr>
      </w:pPr>
    </w:p>
    <w:p w14:paraId="442A06BF" w14:textId="77777777" w:rsidR="009D63EC" w:rsidRPr="009B605C" w:rsidRDefault="009D63EC" w:rsidP="0087752F">
      <w:pPr>
        <w:rPr>
          <w:rFonts w:ascii="Cambria" w:hAnsi="Cambria"/>
        </w:rPr>
      </w:pPr>
    </w:p>
    <w:p w14:paraId="28779780" w14:textId="77777777" w:rsidR="009D63EC" w:rsidRPr="009B605C" w:rsidRDefault="009D63EC" w:rsidP="0087752F">
      <w:pPr>
        <w:rPr>
          <w:rFonts w:ascii="Cambria" w:hAnsi="Cambria"/>
        </w:rPr>
      </w:pPr>
    </w:p>
    <w:p w14:paraId="6D7EB29B" w14:textId="77777777" w:rsidR="009D63EC" w:rsidRPr="009B605C" w:rsidRDefault="009D63EC" w:rsidP="0087752F">
      <w:pPr>
        <w:rPr>
          <w:rFonts w:ascii="Cambria" w:hAnsi="Cambria"/>
        </w:rPr>
      </w:pPr>
    </w:p>
    <w:p w14:paraId="26E351AF" w14:textId="77777777" w:rsidR="009D63EC" w:rsidRPr="009B605C" w:rsidRDefault="009D63EC" w:rsidP="0087752F">
      <w:pPr>
        <w:rPr>
          <w:rFonts w:ascii="Cambria" w:hAnsi="Cambria"/>
        </w:rPr>
      </w:pPr>
    </w:p>
    <w:p w14:paraId="0E0C63D5" w14:textId="77777777" w:rsidR="009D63EC" w:rsidRPr="009B605C" w:rsidRDefault="009D63EC" w:rsidP="0087752F">
      <w:pPr>
        <w:rPr>
          <w:rFonts w:ascii="Cambria" w:hAnsi="Cambria"/>
        </w:rPr>
      </w:pPr>
    </w:p>
    <w:p w14:paraId="23968502" w14:textId="77777777" w:rsidR="009D63EC" w:rsidRPr="009B605C" w:rsidRDefault="009D63EC" w:rsidP="0087752F">
      <w:pPr>
        <w:rPr>
          <w:rFonts w:ascii="Cambria" w:hAnsi="Cambria"/>
        </w:rPr>
      </w:pPr>
    </w:p>
    <w:p w14:paraId="2CD05FAA" w14:textId="77777777" w:rsidR="009D63EC" w:rsidRPr="009B605C" w:rsidRDefault="009D63EC" w:rsidP="0087752F">
      <w:pPr>
        <w:rPr>
          <w:rFonts w:ascii="Cambria" w:hAnsi="Cambria"/>
        </w:rPr>
      </w:pPr>
    </w:p>
    <w:p w14:paraId="0A6DF351" w14:textId="77777777" w:rsidR="009D63EC" w:rsidRPr="009B605C" w:rsidRDefault="009D63EC" w:rsidP="0087752F">
      <w:pPr>
        <w:rPr>
          <w:rFonts w:ascii="Cambria" w:hAnsi="Cambria"/>
        </w:rPr>
      </w:pPr>
    </w:p>
    <w:p w14:paraId="4C12FFD5" w14:textId="77777777" w:rsidR="009D63EC" w:rsidRPr="009B605C" w:rsidRDefault="009D63EC" w:rsidP="0087752F">
      <w:pPr>
        <w:rPr>
          <w:rFonts w:ascii="Cambria" w:hAnsi="Cambria"/>
        </w:rPr>
      </w:pPr>
    </w:p>
    <w:p w14:paraId="21C9BDC2" w14:textId="77777777" w:rsidR="009D63EC" w:rsidRPr="009B605C" w:rsidRDefault="009D63EC" w:rsidP="0087752F">
      <w:pPr>
        <w:rPr>
          <w:rFonts w:ascii="Cambria" w:hAnsi="Cambria"/>
        </w:rPr>
      </w:pPr>
    </w:p>
    <w:p w14:paraId="2BFCA51A" w14:textId="77777777" w:rsidR="009D63EC" w:rsidRPr="009B605C" w:rsidRDefault="009D63EC" w:rsidP="0087752F">
      <w:pPr>
        <w:rPr>
          <w:rFonts w:ascii="Cambria" w:hAnsi="Cambria"/>
        </w:rPr>
      </w:pPr>
    </w:p>
    <w:p w14:paraId="138B16AA" w14:textId="77777777" w:rsidR="009D63EC" w:rsidRPr="009B605C" w:rsidRDefault="009D63EC" w:rsidP="0087752F">
      <w:pPr>
        <w:rPr>
          <w:rFonts w:ascii="Cambria" w:hAnsi="Cambria"/>
        </w:rPr>
      </w:pPr>
    </w:p>
    <w:p w14:paraId="15B25BD9" w14:textId="77777777" w:rsidR="009D63EC" w:rsidRPr="009B605C" w:rsidRDefault="009D63EC" w:rsidP="0087752F">
      <w:pPr>
        <w:rPr>
          <w:rFonts w:ascii="Cambria" w:hAnsi="Cambria"/>
        </w:rPr>
      </w:pPr>
    </w:p>
    <w:p w14:paraId="41B6C6E0" w14:textId="77777777" w:rsidR="009D63EC" w:rsidRPr="009B605C" w:rsidRDefault="009D63EC" w:rsidP="0087752F">
      <w:pPr>
        <w:rPr>
          <w:rFonts w:ascii="Cambria" w:hAnsi="Cambria"/>
        </w:rPr>
        <w:sectPr w:rsidR="009D63EC" w:rsidRPr="009B605C" w:rsidSect="00F05AA6">
          <w:pgSz w:w="11906" w:h="16838"/>
          <w:pgMar w:top="1440" w:right="1440" w:bottom="1440" w:left="1440" w:header="708" w:footer="708" w:gutter="0"/>
          <w:cols w:space="708"/>
          <w:docGrid w:linePitch="360"/>
        </w:sectPr>
      </w:pPr>
    </w:p>
    <w:p w14:paraId="4F0B10F8" w14:textId="77777777" w:rsidR="009D63EC" w:rsidRPr="009B605C" w:rsidRDefault="009D63EC" w:rsidP="0087752F">
      <w:pPr>
        <w:rPr>
          <w:rFonts w:ascii="Cambria" w:hAnsi="Cambria"/>
        </w:rPr>
      </w:pPr>
    </w:p>
    <w:p w14:paraId="5424C105" w14:textId="77777777" w:rsidR="000D7805" w:rsidRPr="009B605C" w:rsidRDefault="000D7805" w:rsidP="0087752F">
      <w:pPr>
        <w:rPr>
          <w:rFonts w:ascii="Cambria" w:hAnsi="Cambria"/>
        </w:rPr>
      </w:pPr>
      <w:r w:rsidRPr="009B605C">
        <w:rPr>
          <w:rFonts w:ascii="Cambria" w:hAnsi="Cambria"/>
          <w:noProof/>
        </w:rPr>
        <w:drawing>
          <wp:inline distT="0" distB="0" distL="0" distR="0" wp14:anchorId="210DCA37" wp14:editId="47561D9D">
            <wp:extent cx="3958327" cy="2880000"/>
            <wp:effectExtent l="0" t="0" r="4445" b="0"/>
            <wp:docPr id="1386568366" name="Picture 2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7137" name="Picture 22" descr="A graph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6694F43E" wp14:editId="268B4155">
            <wp:extent cx="3958327" cy="2880000"/>
            <wp:effectExtent l="0" t="0" r="4445" b="0"/>
            <wp:docPr id="989686177" name="Picture 21" descr="A graph with purple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10795" name="Picture 21" descr="A graph with purple lines and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15AEAE15" w14:textId="432F7746" w:rsidR="009D63EC" w:rsidRPr="009B605C" w:rsidRDefault="000D7805" w:rsidP="0087752F">
      <w:pPr>
        <w:rPr>
          <w:rFonts w:ascii="Cambria" w:hAnsi="Cambria"/>
        </w:rPr>
      </w:pPr>
      <w:r w:rsidRPr="009B605C">
        <w:rPr>
          <w:rFonts w:ascii="Cambria" w:hAnsi="Cambria"/>
          <w:noProof/>
        </w:rPr>
        <w:drawing>
          <wp:inline distT="0" distB="0" distL="0" distR="0" wp14:anchorId="0EFF9113" wp14:editId="6295C3F4">
            <wp:extent cx="3958327" cy="2880000"/>
            <wp:effectExtent l="0" t="0" r="4445" b="0"/>
            <wp:docPr id="1827863585" name="Picture 28" descr="A graph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3565" name="Picture 28" descr="A graph with purple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618FB7CC" wp14:editId="0527CAA5">
            <wp:extent cx="3958327" cy="2880000"/>
            <wp:effectExtent l="0" t="0" r="4445" b="0"/>
            <wp:docPr id="686219594" name="Picture 2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4779" name="Picture 27" descr="A graph of a grap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214F63C1" w14:textId="4C69402A" w:rsidR="000D7805" w:rsidRPr="009B605C" w:rsidRDefault="000D7805" w:rsidP="0087752F">
      <w:pPr>
        <w:rPr>
          <w:rFonts w:ascii="Cambria" w:hAnsi="Cambria"/>
        </w:rPr>
      </w:pPr>
      <w:r w:rsidRPr="009B605C">
        <w:rPr>
          <w:rFonts w:ascii="Cambria" w:hAnsi="Cambria"/>
          <w:noProof/>
        </w:rPr>
        <w:lastRenderedPageBreak/>
        <w:drawing>
          <wp:inline distT="0" distB="0" distL="0" distR="0" wp14:anchorId="7CCF5775" wp14:editId="5DA1041E">
            <wp:extent cx="3958327" cy="2880000"/>
            <wp:effectExtent l="0" t="0" r="4445" b="0"/>
            <wp:docPr id="398728469" name="Picture 26" descr="A graph with purple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71172" name="Picture 26" descr="A graph with purple lines and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76E61A66" wp14:editId="6DF7FC90">
            <wp:extent cx="3958327" cy="2880000"/>
            <wp:effectExtent l="0" t="0" r="4445" b="0"/>
            <wp:docPr id="1882676676" name="Picture 2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93504" name="Picture 25" descr="A graph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5064A73F" w14:textId="77777777" w:rsidR="000D7805" w:rsidRPr="009B605C" w:rsidRDefault="000D7805" w:rsidP="0087752F">
      <w:pPr>
        <w:rPr>
          <w:rFonts w:ascii="Cambria" w:hAnsi="Cambria"/>
        </w:rPr>
      </w:pPr>
      <w:r w:rsidRPr="009B605C">
        <w:rPr>
          <w:rFonts w:ascii="Cambria" w:hAnsi="Cambria"/>
          <w:noProof/>
        </w:rPr>
        <w:drawing>
          <wp:inline distT="0" distB="0" distL="0" distR="0" wp14:anchorId="407104C9" wp14:editId="1540B1F7">
            <wp:extent cx="3958327" cy="2880000"/>
            <wp:effectExtent l="0" t="0" r="4445" b="0"/>
            <wp:docPr id="321898121" name="Picture 24" descr="A graph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49453" name="Picture 24" descr="A graph with purple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60FEF1EF" wp14:editId="2B952F34">
            <wp:extent cx="3958327" cy="2880000"/>
            <wp:effectExtent l="0" t="0" r="4445" b="0"/>
            <wp:docPr id="1548762572" name="Picture 2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14303" name="Picture 23" descr="A graph with numbers and a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0E8CBF03" w14:textId="77777777" w:rsidR="000D7805" w:rsidRPr="009B605C" w:rsidRDefault="000D7805" w:rsidP="0087752F">
      <w:pPr>
        <w:rPr>
          <w:rFonts w:ascii="Cambria" w:hAnsi="Cambria"/>
        </w:rPr>
      </w:pPr>
    </w:p>
    <w:p w14:paraId="19E74200" w14:textId="471A3C7C" w:rsidR="009D63EC" w:rsidRPr="009B605C" w:rsidRDefault="000D7805" w:rsidP="0087752F">
      <w:pPr>
        <w:rPr>
          <w:rFonts w:ascii="Cambria" w:hAnsi="Cambria"/>
        </w:rPr>
      </w:pPr>
      <w:r w:rsidRPr="009B605C">
        <w:rPr>
          <w:rFonts w:ascii="Cambria" w:hAnsi="Cambria"/>
          <w:noProof/>
        </w:rPr>
        <w:lastRenderedPageBreak/>
        <w:drawing>
          <wp:inline distT="0" distB="0" distL="0" distR="0" wp14:anchorId="2D0C6D05" wp14:editId="172618E1">
            <wp:extent cx="3958327" cy="2880000"/>
            <wp:effectExtent l="0" t="0" r="4445" b="0"/>
            <wp:docPr id="1976307922" name="Picture 3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07922" name="Picture 30" descr="A graph with numbers an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50BF1A9B" wp14:editId="548F43BA">
            <wp:extent cx="3958327" cy="2880000"/>
            <wp:effectExtent l="0" t="0" r="4445" b="0"/>
            <wp:docPr id="245098363" name="Picture 29" descr="A graph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98363" name="Picture 29" descr="A graph with purple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06957668" w14:textId="4C62A1B0" w:rsidR="009D63EC" w:rsidRPr="009B605C" w:rsidRDefault="009D63EC" w:rsidP="0087752F">
      <w:pPr>
        <w:jc w:val="both"/>
        <w:rPr>
          <w:rFonts w:ascii="Cambria" w:hAnsi="Cambria"/>
          <w:sz w:val="18"/>
          <w:szCs w:val="18"/>
        </w:rPr>
      </w:pPr>
      <w:r w:rsidRPr="009B605C">
        <w:rPr>
          <w:rFonts w:ascii="Cambria" w:hAnsi="Cambria"/>
          <w:b/>
          <w:color w:val="323232"/>
        </w:rPr>
        <w:t>Figure 2</w:t>
      </w:r>
      <w:r w:rsidRPr="009B605C">
        <w:rPr>
          <w:rFonts w:ascii="Cambria" w:hAnsi="Cambria"/>
          <w:color w:val="323232"/>
        </w:rPr>
        <w:t>. Time-varying Wald test statistics: pre-conflict announcement</w:t>
      </w:r>
    </w:p>
    <w:p w14:paraId="70B9E9DD" w14:textId="77777777" w:rsidR="00A465FC" w:rsidRPr="009B605C" w:rsidRDefault="00A465FC" w:rsidP="0087752F">
      <w:pPr>
        <w:rPr>
          <w:rFonts w:ascii="Cambria" w:hAnsi="Cambria"/>
        </w:rPr>
      </w:pPr>
    </w:p>
    <w:p w14:paraId="6C688EB4" w14:textId="77777777" w:rsidR="00A465FC" w:rsidRPr="009B605C" w:rsidRDefault="00A465FC" w:rsidP="0087752F">
      <w:pPr>
        <w:rPr>
          <w:rFonts w:ascii="Cambria" w:hAnsi="Cambria"/>
        </w:rPr>
      </w:pPr>
    </w:p>
    <w:p w14:paraId="28DA288D" w14:textId="77777777" w:rsidR="00A465FC" w:rsidRPr="009B605C" w:rsidRDefault="00A465FC" w:rsidP="0087752F">
      <w:pPr>
        <w:rPr>
          <w:rFonts w:ascii="Cambria" w:hAnsi="Cambria"/>
        </w:rPr>
      </w:pPr>
    </w:p>
    <w:p w14:paraId="795329D3" w14:textId="77777777" w:rsidR="00A465FC" w:rsidRPr="009B605C" w:rsidRDefault="00A465FC" w:rsidP="0087752F">
      <w:pPr>
        <w:rPr>
          <w:rFonts w:ascii="Cambria" w:hAnsi="Cambria"/>
        </w:rPr>
      </w:pPr>
    </w:p>
    <w:p w14:paraId="64CFA139" w14:textId="77777777" w:rsidR="007B57C4" w:rsidRPr="009B605C" w:rsidRDefault="007B57C4" w:rsidP="0087752F">
      <w:pPr>
        <w:rPr>
          <w:rFonts w:ascii="Cambria" w:hAnsi="Cambria"/>
        </w:rPr>
      </w:pPr>
    </w:p>
    <w:p w14:paraId="0D0894D5" w14:textId="77777777" w:rsidR="0061216E" w:rsidRPr="009B605C" w:rsidRDefault="0061216E" w:rsidP="0087752F">
      <w:pPr>
        <w:rPr>
          <w:rFonts w:ascii="Cambria" w:hAnsi="Cambria"/>
        </w:rPr>
      </w:pPr>
    </w:p>
    <w:p w14:paraId="190D83C2" w14:textId="77777777" w:rsidR="0061216E" w:rsidRPr="009B605C" w:rsidRDefault="0061216E" w:rsidP="0087752F">
      <w:pPr>
        <w:rPr>
          <w:rFonts w:ascii="Cambria" w:hAnsi="Cambria"/>
        </w:rPr>
      </w:pPr>
    </w:p>
    <w:p w14:paraId="0DEEF9D3" w14:textId="77777777" w:rsidR="0061216E" w:rsidRPr="009B605C" w:rsidRDefault="0061216E" w:rsidP="0087752F">
      <w:pPr>
        <w:rPr>
          <w:rFonts w:ascii="Cambria" w:hAnsi="Cambria"/>
        </w:rPr>
      </w:pPr>
    </w:p>
    <w:p w14:paraId="36F5CA52" w14:textId="77777777" w:rsidR="0061216E" w:rsidRPr="009B605C" w:rsidRDefault="0061216E" w:rsidP="0087752F">
      <w:pPr>
        <w:rPr>
          <w:rFonts w:ascii="Cambria" w:hAnsi="Cambria"/>
        </w:rPr>
      </w:pPr>
    </w:p>
    <w:p w14:paraId="0073F03A" w14:textId="77777777" w:rsidR="0061216E" w:rsidRPr="009B605C" w:rsidRDefault="0061216E" w:rsidP="0087752F">
      <w:pPr>
        <w:rPr>
          <w:rFonts w:ascii="Cambria" w:hAnsi="Cambria"/>
        </w:rPr>
      </w:pPr>
    </w:p>
    <w:p w14:paraId="2107FB45" w14:textId="77777777" w:rsidR="0061216E" w:rsidRPr="009B605C" w:rsidRDefault="0061216E" w:rsidP="0087752F">
      <w:pPr>
        <w:rPr>
          <w:rFonts w:ascii="Cambria" w:hAnsi="Cambria"/>
        </w:rPr>
      </w:pPr>
    </w:p>
    <w:p w14:paraId="77C00D75" w14:textId="77777777" w:rsidR="0061216E" w:rsidRPr="009B605C" w:rsidRDefault="0061216E" w:rsidP="0087752F">
      <w:pPr>
        <w:rPr>
          <w:rFonts w:ascii="Cambria" w:hAnsi="Cambria"/>
        </w:rPr>
      </w:pPr>
    </w:p>
    <w:p w14:paraId="7D8828E1" w14:textId="77777777" w:rsidR="0061216E" w:rsidRPr="009B605C" w:rsidRDefault="0061216E" w:rsidP="0087752F">
      <w:pPr>
        <w:rPr>
          <w:rFonts w:ascii="Cambria" w:hAnsi="Cambria"/>
        </w:rPr>
      </w:pPr>
    </w:p>
    <w:p w14:paraId="583E6CCF" w14:textId="77777777" w:rsidR="0061216E" w:rsidRPr="009B605C" w:rsidRDefault="0061216E" w:rsidP="0087752F">
      <w:pPr>
        <w:rPr>
          <w:rFonts w:ascii="Cambria" w:hAnsi="Cambria"/>
        </w:rPr>
      </w:pPr>
    </w:p>
    <w:p w14:paraId="740FEFAD" w14:textId="77777777" w:rsidR="0061216E" w:rsidRPr="009B605C" w:rsidRDefault="0061216E" w:rsidP="0087752F">
      <w:pPr>
        <w:rPr>
          <w:rFonts w:ascii="Cambria" w:hAnsi="Cambria"/>
        </w:rPr>
      </w:pPr>
    </w:p>
    <w:p w14:paraId="720C1ED9" w14:textId="77777777" w:rsidR="0061216E" w:rsidRPr="009B605C" w:rsidRDefault="0061216E" w:rsidP="0087752F">
      <w:pPr>
        <w:rPr>
          <w:rFonts w:ascii="Cambria" w:hAnsi="Cambria"/>
        </w:rPr>
      </w:pPr>
    </w:p>
    <w:p w14:paraId="1C7AA488" w14:textId="77777777" w:rsidR="0061216E" w:rsidRPr="009B605C" w:rsidRDefault="0061216E" w:rsidP="0087752F">
      <w:pPr>
        <w:rPr>
          <w:rFonts w:ascii="Cambria" w:hAnsi="Cambria"/>
        </w:rPr>
      </w:pPr>
    </w:p>
    <w:p w14:paraId="6E929894" w14:textId="77777777" w:rsidR="0061216E" w:rsidRPr="009B605C" w:rsidRDefault="0061216E" w:rsidP="0087752F">
      <w:pPr>
        <w:rPr>
          <w:rFonts w:ascii="Cambria" w:hAnsi="Cambria"/>
        </w:rPr>
      </w:pPr>
    </w:p>
    <w:p w14:paraId="3B323699" w14:textId="77777777" w:rsidR="00277987" w:rsidRPr="009B605C" w:rsidRDefault="00277987" w:rsidP="0087752F">
      <w:pPr>
        <w:rPr>
          <w:rFonts w:ascii="Cambria" w:hAnsi="Cambria"/>
        </w:rPr>
      </w:pPr>
      <w:r w:rsidRPr="009B605C">
        <w:rPr>
          <w:rFonts w:ascii="Cambria" w:hAnsi="Cambria"/>
          <w:noProof/>
        </w:rPr>
        <w:lastRenderedPageBreak/>
        <w:drawing>
          <wp:inline distT="0" distB="0" distL="0" distR="0" wp14:anchorId="10655012" wp14:editId="511FD328">
            <wp:extent cx="3958327" cy="2880000"/>
            <wp:effectExtent l="0" t="0" r="4445" b="0"/>
            <wp:docPr id="78119128" name="Picture 32" descr="A graph with green line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3541" name="Picture 32" descr="A graph with green lines and red do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148207D6" wp14:editId="7D877852">
            <wp:extent cx="3958327" cy="2880000"/>
            <wp:effectExtent l="0" t="0" r="4445" b="0"/>
            <wp:docPr id="525020452" name="Picture 3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75386" name="Picture 31" descr="A graph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7255A5A6" w14:textId="77777777" w:rsidR="00277987" w:rsidRPr="009B605C" w:rsidRDefault="00277987" w:rsidP="0087752F">
      <w:pPr>
        <w:rPr>
          <w:rFonts w:ascii="Cambria" w:hAnsi="Cambria"/>
        </w:rPr>
      </w:pPr>
      <w:r w:rsidRPr="009B605C">
        <w:rPr>
          <w:rFonts w:ascii="Cambria" w:hAnsi="Cambria"/>
          <w:noProof/>
        </w:rPr>
        <w:drawing>
          <wp:inline distT="0" distB="0" distL="0" distR="0" wp14:anchorId="5AC0C212" wp14:editId="5F91F597">
            <wp:extent cx="3958327" cy="2880000"/>
            <wp:effectExtent l="0" t="0" r="4445" b="0"/>
            <wp:docPr id="81562016" name="Picture 3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41865" name="Picture 38" descr="A graph of a graph&#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0F3DB057" wp14:editId="6A948A7E">
            <wp:extent cx="3958327" cy="2880000"/>
            <wp:effectExtent l="0" t="0" r="4445" b="0"/>
            <wp:docPr id="2145734167" name="Picture 3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145" name="Picture 37" descr="A graph of a graph&#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05BCF5EE" w14:textId="77777777" w:rsidR="00277987" w:rsidRPr="009B605C" w:rsidRDefault="00277987" w:rsidP="0087752F">
      <w:pPr>
        <w:rPr>
          <w:rFonts w:ascii="Cambria" w:hAnsi="Cambria"/>
        </w:rPr>
      </w:pPr>
      <w:r w:rsidRPr="009B605C">
        <w:rPr>
          <w:rFonts w:ascii="Cambria" w:hAnsi="Cambria"/>
          <w:noProof/>
        </w:rPr>
        <w:lastRenderedPageBreak/>
        <w:drawing>
          <wp:inline distT="0" distB="0" distL="0" distR="0" wp14:anchorId="3D3360BC" wp14:editId="156BFB4E">
            <wp:extent cx="3958327" cy="2880000"/>
            <wp:effectExtent l="0" t="0" r="4445" b="0"/>
            <wp:docPr id="791534624" name="Picture 3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68918" name="Picture 36" descr="A graph with numbers and lin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2BEB34B0" wp14:editId="21500211">
            <wp:extent cx="3958327" cy="2880000"/>
            <wp:effectExtent l="0" t="0" r="4445" b="0"/>
            <wp:docPr id="1034534366" name="Picture 35" descr="A graph with green line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97532" name="Picture 35" descr="A graph with green lines and red dot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311635E0" w14:textId="77777777" w:rsidR="00277987" w:rsidRPr="009B605C" w:rsidRDefault="00277987" w:rsidP="0087752F">
      <w:pPr>
        <w:rPr>
          <w:rFonts w:ascii="Cambria" w:hAnsi="Cambria"/>
        </w:rPr>
      </w:pPr>
    </w:p>
    <w:p w14:paraId="52DA0001" w14:textId="77777777" w:rsidR="00277987" w:rsidRPr="009B605C" w:rsidRDefault="00277987" w:rsidP="0087752F">
      <w:pPr>
        <w:rPr>
          <w:rFonts w:ascii="Cambria" w:hAnsi="Cambria"/>
        </w:rPr>
      </w:pPr>
      <w:r w:rsidRPr="009B605C">
        <w:rPr>
          <w:rFonts w:ascii="Cambria" w:hAnsi="Cambria"/>
          <w:noProof/>
        </w:rPr>
        <w:drawing>
          <wp:inline distT="0" distB="0" distL="0" distR="0" wp14:anchorId="103F156A" wp14:editId="4B8DFDD7">
            <wp:extent cx="3958327" cy="2880000"/>
            <wp:effectExtent l="0" t="0" r="4445" b="0"/>
            <wp:docPr id="2090557114" name="Picture 3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14807" name="Picture 34" descr="A graph of a graph&#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3087A10F" wp14:editId="11177270">
            <wp:extent cx="3958327" cy="2880000"/>
            <wp:effectExtent l="0" t="0" r="4445" b="0"/>
            <wp:docPr id="875139766" name="Picture 3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14835" name="Picture 33" descr="A graph of a pric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4F62D5DA" w14:textId="77777777" w:rsidR="00277987" w:rsidRPr="009B605C" w:rsidRDefault="00277987" w:rsidP="0087752F">
      <w:pPr>
        <w:rPr>
          <w:rFonts w:ascii="Cambria" w:hAnsi="Cambria"/>
        </w:rPr>
      </w:pPr>
    </w:p>
    <w:p w14:paraId="106C4990" w14:textId="41B66856" w:rsidR="00277987" w:rsidRPr="009B605C" w:rsidRDefault="00277987" w:rsidP="0087752F">
      <w:pPr>
        <w:rPr>
          <w:rFonts w:ascii="Cambria" w:hAnsi="Cambria"/>
        </w:rPr>
      </w:pPr>
    </w:p>
    <w:p w14:paraId="77BC8BEF" w14:textId="77777777" w:rsidR="00277987" w:rsidRPr="009B605C" w:rsidRDefault="00277987" w:rsidP="0087752F">
      <w:pPr>
        <w:rPr>
          <w:rFonts w:ascii="Cambria" w:hAnsi="Cambria"/>
        </w:rPr>
      </w:pPr>
    </w:p>
    <w:p w14:paraId="26BFA747" w14:textId="646EBA4A" w:rsidR="0061216E" w:rsidRPr="009B605C" w:rsidRDefault="00277987" w:rsidP="0087752F">
      <w:pPr>
        <w:rPr>
          <w:rFonts w:ascii="Cambria" w:hAnsi="Cambria"/>
        </w:rPr>
      </w:pPr>
      <w:r w:rsidRPr="009B605C">
        <w:rPr>
          <w:rFonts w:ascii="Cambria" w:hAnsi="Cambria"/>
          <w:noProof/>
        </w:rPr>
        <w:drawing>
          <wp:inline distT="0" distB="0" distL="0" distR="0" wp14:anchorId="716A0B8F" wp14:editId="64183E35">
            <wp:extent cx="3958327" cy="2880000"/>
            <wp:effectExtent l="0" t="0" r="4445" b="0"/>
            <wp:docPr id="1751157612" name="Picture 40" descr="A graph showing a gree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7612" name="Picture 40" descr="A graph showing a green lin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r w:rsidRPr="009B605C">
        <w:rPr>
          <w:rFonts w:ascii="Cambria" w:hAnsi="Cambria"/>
          <w:noProof/>
        </w:rPr>
        <w:drawing>
          <wp:inline distT="0" distB="0" distL="0" distR="0" wp14:anchorId="0C4A655D" wp14:editId="06ED9921">
            <wp:extent cx="3958327" cy="2880000"/>
            <wp:effectExtent l="0" t="0" r="4445" b="0"/>
            <wp:docPr id="1550759613" name="Picture 39"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59613" name="Picture 39" descr="A graph of a pric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8327" cy="2880000"/>
                    </a:xfrm>
                    <a:prstGeom prst="rect">
                      <a:avLst/>
                    </a:prstGeom>
                    <a:noFill/>
                    <a:ln>
                      <a:noFill/>
                    </a:ln>
                  </pic:spPr>
                </pic:pic>
              </a:graphicData>
            </a:graphic>
          </wp:inline>
        </w:drawing>
      </w:r>
    </w:p>
    <w:p w14:paraId="714E940D" w14:textId="77777777" w:rsidR="0061216E" w:rsidRPr="009B605C" w:rsidRDefault="0061216E" w:rsidP="0087752F">
      <w:pPr>
        <w:rPr>
          <w:rFonts w:ascii="Cambria" w:hAnsi="Cambria"/>
        </w:rPr>
      </w:pPr>
    </w:p>
    <w:p w14:paraId="34306984" w14:textId="542E5B5F" w:rsidR="007B57C4" w:rsidRPr="009B605C" w:rsidRDefault="007B57C4" w:rsidP="0087752F">
      <w:pPr>
        <w:tabs>
          <w:tab w:val="left" w:pos="966"/>
        </w:tabs>
        <w:rPr>
          <w:rFonts w:ascii="Cambria" w:hAnsi="Cambria"/>
        </w:rPr>
      </w:pPr>
      <w:r w:rsidRPr="009B605C">
        <w:rPr>
          <w:rFonts w:ascii="Cambria" w:hAnsi="Cambria"/>
        </w:rPr>
        <w:tab/>
      </w:r>
    </w:p>
    <w:p w14:paraId="70DC6C89" w14:textId="181BE30C" w:rsidR="007C0A82" w:rsidRPr="009B605C" w:rsidRDefault="007C0A82" w:rsidP="0087752F">
      <w:pPr>
        <w:jc w:val="both"/>
        <w:rPr>
          <w:rFonts w:ascii="Cambria" w:hAnsi="Cambria"/>
          <w:sz w:val="18"/>
          <w:szCs w:val="18"/>
        </w:rPr>
      </w:pPr>
      <w:r w:rsidRPr="009B605C">
        <w:rPr>
          <w:rFonts w:ascii="Cambria" w:hAnsi="Cambria"/>
          <w:b/>
          <w:color w:val="323232"/>
        </w:rPr>
        <w:t xml:space="preserve">Figure </w:t>
      </w:r>
      <w:r w:rsidR="00E96520" w:rsidRPr="009B605C">
        <w:rPr>
          <w:rFonts w:ascii="Cambria" w:hAnsi="Cambria"/>
          <w:b/>
          <w:color w:val="323232"/>
        </w:rPr>
        <w:t>3</w:t>
      </w:r>
      <w:r w:rsidRPr="009B605C">
        <w:rPr>
          <w:rFonts w:ascii="Cambria" w:hAnsi="Cambria"/>
          <w:color w:val="323232"/>
        </w:rPr>
        <w:t>. Time-varying Wald test statistics: post-conflict announcement</w:t>
      </w:r>
    </w:p>
    <w:p w14:paraId="5B6217B4" w14:textId="77777777" w:rsidR="007B57C4" w:rsidRPr="009B605C" w:rsidRDefault="007B57C4" w:rsidP="0087752F">
      <w:pPr>
        <w:rPr>
          <w:rFonts w:ascii="Cambria" w:hAnsi="Cambria"/>
        </w:rPr>
      </w:pPr>
    </w:p>
    <w:p w14:paraId="36FAF24E" w14:textId="77777777" w:rsidR="007B57C4" w:rsidRPr="009B605C" w:rsidRDefault="007B57C4" w:rsidP="0087752F">
      <w:pPr>
        <w:rPr>
          <w:rFonts w:ascii="Cambria" w:hAnsi="Cambria"/>
        </w:rPr>
      </w:pPr>
    </w:p>
    <w:p w14:paraId="5146C747" w14:textId="77777777" w:rsidR="00D45D9E" w:rsidRPr="009B605C" w:rsidRDefault="00D45D9E" w:rsidP="0087752F">
      <w:pPr>
        <w:rPr>
          <w:rFonts w:ascii="Cambria" w:hAnsi="Cambria"/>
        </w:rPr>
      </w:pPr>
    </w:p>
    <w:p w14:paraId="78A7ACCE" w14:textId="77777777" w:rsidR="00D45D9E" w:rsidRPr="009B605C" w:rsidRDefault="00D45D9E" w:rsidP="0087752F">
      <w:pPr>
        <w:rPr>
          <w:rFonts w:ascii="Cambria" w:hAnsi="Cambria"/>
        </w:rPr>
      </w:pPr>
    </w:p>
    <w:p w14:paraId="57D6F3A6" w14:textId="77777777" w:rsidR="00D45D9E" w:rsidRPr="009B605C" w:rsidRDefault="00D45D9E" w:rsidP="0087752F">
      <w:pPr>
        <w:rPr>
          <w:rFonts w:ascii="Cambria" w:hAnsi="Cambria"/>
        </w:rPr>
      </w:pPr>
    </w:p>
    <w:p w14:paraId="09C4DD6A" w14:textId="77777777" w:rsidR="00C673AD" w:rsidRPr="009B605C" w:rsidRDefault="00C673AD" w:rsidP="0087752F">
      <w:pPr>
        <w:rPr>
          <w:rFonts w:ascii="Cambria" w:hAnsi="Cambria"/>
        </w:rPr>
        <w:sectPr w:rsidR="00C673AD" w:rsidRPr="009B605C" w:rsidSect="009D63EC">
          <w:pgSz w:w="16838" w:h="11906" w:orient="landscape"/>
          <w:pgMar w:top="568" w:right="1440" w:bottom="1440" w:left="1440" w:header="708" w:footer="708" w:gutter="0"/>
          <w:cols w:space="708"/>
          <w:docGrid w:linePitch="360"/>
        </w:sectPr>
      </w:pPr>
    </w:p>
    <w:p w14:paraId="0BADAAA7" w14:textId="77777777" w:rsidR="00D45D9E" w:rsidRPr="009B605C" w:rsidRDefault="00D45D9E" w:rsidP="0087752F">
      <w:pPr>
        <w:rPr>
          <w:rFonts w:ascii="Cambria" w:hAnsi="Cambria"/>
        </w:rPr>
      </w:pPr>
    </w:p>
    <w:p w14:paraId="4C81039C" w14:textId="252FE4A7" w:rsidR="00D45D9E" w:rsidRPr="009B605C" w:rsidRDefault="00D45D9E" w:rsidP="0087752F">
      <w:pPr>
        <w:rPr>
          <w:rFonts w:ascii="Cambria" w:hAnsi="Cambria"/>
        </w:rPr>
      </w:pPr>
      <w:r w:rsidRPr="009B605C">
        <w:rPr>
          <w:rFonts w:ascii="Cambria" w:hAnsi="Cambria"/>
          <w:noProof/>
          <w14:ligatures w14:val="standardContextual"/>
        </w:rPr>
        <w:drawing>
          <wp:inline distT="0" distB="0" distL="0" distR="0" wp14:anchorId="3963AB24" wp14:editId="7DE9FBFE">
            <wp:extent cx="4825532" cy="3240000"/>
            <wp:effectExtent l="0" t="0" r="0" b="0"/>
            <wp:docPr id="1822820198" name="Picture 1" descr="A graph of a graph&#10;&#10;Description automatically generated with medium confidence">
              <a:extLst xmlns:a="http://schemas.openxmlformats.org/drawingml/2006/main">
                <a:ext uri="{FF2B5EF4-FFF2-40B4-BE49-F238E27FC236}">
                  <a16:creationId xmlns:a16="http://schemas.microsoft.com/office/drawing/2014/main" id="{7E204B4A-86B3-72CE-D59E-8E4D10E7C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20198" name="Picture 1" descr="A graph of a graph&#10;&#10;Description automatically generated with medium confidence">
                      <a:extLst>
                        <a:ext uri="{FF2B5EF4-FFF2-40B4-BE49-F238E27FC236}">
                          <a16:creationId xmlns:a16="http://schemas.microsoft.com/office/drawing/2014/main" id="{7E204B4A-86B3-72CE-D59E-8E4D10E7C3CD}"/>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5532" cy="324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68AF5D" w14:textId="77777777" w:rsidR="00D45D9E" w:rsidRPr="009B605C" w:rsidRDefault="00D45D9E" w:rsidP="0087752F">
      <w:pPr>
        <w:rPr>
          <w:rFonts w:ascii="Cambria" w:hAnsi="Cambria"/>
        </w:rPr>
      </w:pPr>
    </w:p>
    <w:p w14:paraId="21B36A7F" w14:textId="5260AB42" w:rsidR="00D45D9E" w:rsidRPr="009B605C" w:rsidRDefault="00C673AD" w:rsidP="0087752F">
      <w:pPr>
        <w:rPr>
          <w:rFonts w:ascii="Cambria" w:hAnsi="Cambria"/>
        </w:rPr>
      </w:pPr>
      <w:r w:rsidRPr="009B605C">
        <w:rPr>
          <w:rFonts w:ascii="Cambria" w:hAnsi="Cambria"/>
          <w:b/>
          <w:bCs/>
        </w:rPr>
        <w:t>Panel A:</w:t>
      </w:r>
      <w:r w:rsidRPr="009B605C">
        <w:rPr>
          <w:rFonts w:ascii="Cambria" w:hAnsi="Cambria"/>
        </w:rPr>
        <w:t xml:space="preserve"> </w:t>
      </w:r>
      <w:r w:rsidR="00EA2016" w:rsidRPr="009B605C">
        <w:rPr>
          <w:rFonts w:ascii="Cambria" w:hAnsi="Cambria"/>
        </w:rPr>
        <w:t>P</w:t>
      </w:r>
      <w:r w:rsidRPr="009B605C">
        <w:rPr>
          <w:rFonts w:ascii="Cambria" w:hAnsi="Cambria"/>
        </w:rPr>
        <w:t>re-conflict announcement</w:t>
      </w:r>
    </w:p>
    <w:p w14:paraId="5033D753" w14:textId="77777777" w:rsidR="00D45D9E" w:rsidRPr="009B605C" w:rsidRDefault="00D45D9E" w:rsidP="0087752F">
      <w:pPr>
        <w:rPr>
          <w:rFonts w:ascii="Cambria" w:hAnsi="Cambria"/>
        </w:rPr>
      </w:pPr>
    </w:p>
    <w:p w14:paraId="144B890E" w14:textId="2163AABB" w:rsidR="00C673AD" w:rsidRPr="009B605C" w:rsidRDefault="00C673AD" w:rsidP="0087752F">
      <w:pPr>
        <w:rPr>
          <w:rFonts w:ascii="Cambria" w:hAnsi="Cambria"/>
        </w:rPr>
      </w:pPr>
      <w:r w:rsidRPr="009B605C">
        <w:rPr>
          <w:rFonts w:ascii="Cambria" w:hAnsi="Cambria"/>
          <w:noProof/>
        </w:rPr>
        <w:drawing>
          <wp:inline distT="0" distB="0" distL="0" distR="0" wp14:anchorId="62D158E1" wp14:editId="3503F7BE">
            <wp:extent cx="4825429" cy="3240000"/>
            <wp:effectExtent l="0" t="0" r="0" b="0"/>
            <wp:docPr id="802632006" name="Picture 4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32006" name="Picture 42" descr="A graph of a graph&#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5429" cy="3240000"/>
                    </a:xfrm>
                    <a:prstGeom prst="rect">
                      <a:avLst/>
                    </a:prstGeom>
                    <a:noFill/>
                    <a:ln>
                      <a:noFill/>
                    </a:ln>
                  </pic:spPr>
                </pic:pic>
              </a:graphicData>
            </a:graphic>
          </wp:inline>
        </w:drawing>
      </w:r>
    </w:p>
    <w:p w14:paraId="65CF39E9" w14:textId="3AE0D42B" w:rsidR="00C673AD" w:rsidRPr="009B605C" w:rsidRDefault="00C673AD" w:rsidP="0087752F">
      <w:pPr>
        <w:rPr>
          <w:rFonts w:ascii="Cambria" w:hAnsi="Cambria"/>
        </w:rPr>
      </w:pPr>
      <w:r w:rsidRPr="009B605C">
        <w:rPr>
          <w:rFonts w:ascii="Cambria" w:hAnsi="Cambria"/>
          <w:b/>
          <w:bCs/>
        </w:rPr>
        <w:t>Panel B:</w:t>
      </w:r>
      <w:r w:rsidRPr="009B605C">
        <w:rPr>
          <w:rFonts w:ascii="Cambria" w:hAnsi="Cambria"/>
        </w:rPr>
        <w:t xml:space="preserve"> </w:t>
      </w:r>
      <w:r w:rsidR="00EA2016" w:rsidRPr="009B605C">
        <w:rPr>
          <w:rFonts w:ascii="Cambria" w:hAnsi="Cambria"/>
        </w:rPr>
        <w:t>P</w:t>
      </w:r>
      <w:r w:rsidRPr="009B605C">
        <w:rPr>
          <w:rFonts w:ascii="Cambria" w:hAnsi="Cambria"/>
        </w:rPr>
        <w:t>ost-conflict announcement</w:t>
      </w:r>
    </w:p>
    <w:p w14:paraId="4B93BDED" w14:textId="49246E30" w:rsidR="00D45D9E" w:rsidRPr="009B605C" w:rsidRDefault="00146366" w:rsidP="0087752F">
      <w:pPr>
        <w:rPr>
          <w:rFonts w:ascii="Cambria" w:hAnsi="Cambria"/>
        </w:rPr>
      </w:pPr>
      <w:r w:rsidRPr="009B605C">
        <w:rPr>
          <w:rFonts w:ascii="Cambria" w:hAnsi="Cambria"/>
          <w:b/>
          <w:bCs/>
        </w:rPr>
        <w:t xml:space="preserve">Figure </w:t>
      </w:r>
      <w:r w:rsidR="003171C0" w:rsidRPr="009B605C">
        <w:rPr>
          <w:rFonts w:ascii="Cambria" w:hAnsi="Cambria"/>
          <w:b/>
          <w:bCs/>
        </w:rPr>
        <w:t>4</w:t>
      </w:r>
      <w:r w:rsidRPr="009B605C">
        <w:rPr>
          <w:rFonts w:ascii="Cambria" w:hAnsi="Cambria"/>
        </w:rPr>
        <w:t>. Total Connectedness Index (TCI) across different quantiles</w:t>
      </w:r>
    </w:p>
    <w:p w14:paraId="170E293F" w14:textId="77777777" w:rsidR="00141D17" w:rsidRPr="009B605C" w:rsidRDefault="00141D17" w:rsidP="0087752F">
      <w:pPr>
        <w:rPr>
          <w:rFonts w:ascii="Cambria" w:hAnsi="Cambria"/>
        </w:rPr>
      </w:pPr>
    </w:p>
    <w:p w14:paraId="6267F4DE" w14:textId="77777777" w:rsidR="00141D17" w:rsidRPr="009B605C" w:rsidRDefault="00141D17" w:rsidP="0087752F">
      <w:pPr>
        <w:rPr>
          <w:rFonts w:ascii="Cambria" w:hAnsi="Cambria"/>
        </w:rPr>
      </w:pPr>
    </w:p>
    <w:p w14:paraId="6444ADFE" w14:textId="77777777" w:rsidR="00141D17" w:rsidRPr="009B605C" w:rsidRDefault="00141D17" w:rsidP="0087752F">
      <w:pPr>
        <w:rPr>
          <w:rFonts w:ascii="Cambria" w:hAnsi="Cambria"/>
        </w:rPr>
      </w:pPr>
    </w:p>
    <w:p w14:paraId="0CCB7762" w14:textId="77777777" w:rsidR="00141D17" w:rsidRPr="009B605C" w:rsidRDefault="00141D17" w:rsidP="0087752F">
      <w:pPr>
        <w:rPr>
          <w:rFonts w:ascii="Cambria" w:hAnsi="Cambria"/>
        </w:rPr>
      </w:pPr>
    </w:p>
    <w:p w14:paraId="0F4D8295" w14:textId="77777777" w:rsidR="00141D17" w:rsidRPr="009B605C" w:rsidRDefault="00141D17" w:rsidP="0087752F">
      <w:pPr>
        <w:rPr>
          <w:rFonts w:ascii="Cambria" w:hAnsi="Cambria"/>
        </w:rPr>
      </w:pPr>
    </w:p>
    <w:p w14:paraId="62C2BFBD" w14:textId="77777777" w:rsidR="00141D17" w:rsidRPr="009B605C" w:rsidRDefault="00141D17" w:rsidP="0087752F">
      <w:pPr>
        <w:rPr>
          <w:rFonts w:ascii="Cambria" w:hAnsi="Cambria"/>
        </w:rPr>
      </w:pPr>
    </w:p>
    <w:p w14:paraId="6DAC77F0" w14:textId="77777777" w:rsidR="00141D17" w:rsidRPr="009B605C" w:rsidRDefault="00141D17" w:rsidP="0087752F">
      <w:pPr>
        <w:rPr>
          <w:rFonts w:ascii="Cambria" w:hAnsi="Cambria"/>
        </w:rPr>
      </w:pPr>
    </w:p>
    <w:p w14:paraId="789D860A" w14:textId="37C15D09" w:rsidR="00141D17" w:rsidRPr="009B605C" w:rsidRDefault="00263FD8" w:rsidP="0087752F">
      <w:pPr>
        <w:rPr>
          <w:rFonts w:ascii="Cambria" w:hAnsi="Cambria"/>
        </w:rPr>
      </w:pPr>
      <w:r w:rsidRPr="009B605C">
        <w:rPr>
          <w:rFonts w:ascii="Cambria" w:hAnsi="Cambria"/>
          <w:b/>
          <w:bCs/>
        </w:rPr>
        <w:lastRenderedPageBreak/>
        <w:t xml:space="preserve">Panel A: </w:t>
      </w:r>
      <w:r w:rsidRPr="009B605C">
        <w:rPr>
          <w:rFonts w:ascii="Cambria" w:hAnsi="Cambria"/>
        </w:rPr>
        <w:t xml:space="preserve">Pre-conflict announcement </w:t>
      </w:r>
      <w:r w:rsidRPr="009B605C">
        <w:rPr>
          <w:rFonts w:ascii="Cambria" w:hAnsi="Cambria"/>
        </w:rPr>
        <w:tab/>
      </w:r>
      <w:r w:rsidRPr="009B605C">
        <w:rPr>
          <w:rFonts w:ascii="Cambria" w:hAnsi="Cambria"/>
        </w:rPr>
        <w:tab/>
      </w:r>
      <w:r w:rsidRPr="009B605C">
        <w:rPr>
          <w:rFonts w:ascii="Cambria" w:hAnsi="Cambria"/>
        </w:rPr>
        <w:tab/>
      </w:r>
      <w:r w:rsidRPr="009B605C">
        <w:rPr>
          <w:rFonts w:ascii="Cambria" w:hAnsi="Cambria"/>
          <w:b/>
          <w:bCs/>
        </w:rPr>
        <w:t>Panel B:</w:t>
      </w:r>
      <w:r w:rsidRPr="009B605C">
        <w:rPr>
          <w:rFonts w:ascii="Cambria" w:hAnsi="Cambria"/>
        </w:rPr>
        <w:t xml:space="preserve"> Post-conflict announcement</w:t>
      </w:r>
    </w:p>
    <w:p w14:paraId="33ADEA32" w14:textId="77777777" w:rsidR="0073035A" w:rsidRPr="009B605C" w:rsidRDefault="0073035A" w:rsidP="0087752F">
      <w:pPr>
        <w:rPr>
          <w:rFonts w:ascii="Cambria" w:hAnsi="Cambria"/>
        </w:rPr>
      </w:pPr>
    </w:p>
    <w:p w14:paraId="4FD98624" w14:textId="77777777" w:rsidR="0073035A" w:rsidRPr="009B605C" w:rsidRDefault="0073035A" w:rsidP="0087752F">
      <w:pPr>
        <w:rPr>
          <w:rFonts w:ascii="Cambria" w:hAnsi="Cambria" w:cs="Calibri"/>
          <w:color w:val="000000"/>
          <w:sz w:val="22"/>
          <w:szCs w:val="22"/>
        </w:rPr>
      </w:pPr>
      <w:r w:rsidRPr="009B605C">
        <w:rPr>
          <w:rFonts w:ascii="Cambria" w:hAnsi="Cambria" w:cs="Calibri"/>
          <w:color w:val="000000"/>
          <w:sz w:val="22"/>
          <w:szCs w:val="22"/>
        </w:rPr>
        <w:t>Lower Quantile (</w:t>
      </w:r>
      <m:oMath>
        <m:r>
          <w:rPr>
            <w:rFonts w:ascii="Cambria Math" w:hAnsi="Cambria Math" w:cs="Calibri"/>
            <w:color w:val="000000"/>
            <w:sz w:val="22"/>
            <w:szCs w:val="22"/>
          </w:rPr>
          <m:t>τ=0.05</m:t>
        </m:r>
      </m:oMath>
      <w:r w:rsidRPr="009B605C">
        <w:rPr>
          <w:rFonts w:ascii="Cambria" w:hAnsi="Cambria" w:cs="Calibri"/>
          <w:color w:val="000000"/>
          <w:sz w:val="22"/>
          <w:szCs w:val="22"/>
        </w:rPr>
        <w:t>)</w:t>
      </w:r>
    </w:p>
    <w:p w14:paraId="185A665D" w14:textId="77777777" w:rsidR="00263FD8" w:rsidRPr="009B605C" w:rsidRDefault="00263FD8" w:rsidP="0087752F">
      <w:pPr>
        <w:rPr>
          <w:rFonts w:ascii="Cambria" w:hAnsi="Cambria"/>
        </w:rPr>
      </w:pPr>
    </w:p>
    <w:p w14:paraId="30CAB475" w14:textId="30D79318" w:rsidR="00826183" w:rsidRPr="009B605C" w:rsidRDefault="00826183" w:rsidP="0087752F">
      <w:pPr>
        <w:rPr>
          <w:rFonts w:ascii="Cambria" w:hAnsi="Cambria" w:cs="Calibri"/>
          <w:b/>
          <w:bCs/>
          <w:color w:val="000000"/>
          <w:sz w:val="22"/>
          <w:szCs w:val="22"/>
        </w:rPr>
      </w:pPr>
      <w:r w:rsidRPr="009B605C">
        <w:rPr>
          <w:rFonts w:ascii="Cambria" w:hAnsi="Cambria"/>
          <w:noProof/>
          <w14:ligatures w14:val="standardContextual"/>
        </w:rPr>
        <w:drawing>
          <wp:inline distT="0" distB="0" distL="0" distR="0" wp14:anchorId="77B43D22" wp14:editId="4C6D5AB8">
            <wp:extent cx="2761937" cy="2160000"/>
            <wp:effectExtent l="0" t="0" r="635" b="0"/>
            <wp:docPr id="8" name="Picture 7" descr="A network diagram of different countries/regions&#10;&#10;Description automatically generated">
              <a:extLst xmlns:a="http://schemas.openxmlformats.org/drawingml/2006/main">
                <a:ext uri="{FF2B5EF4-FFF2-40B4-BE49-F238E27FC236}">
                  <a16:creationId xmlns:a16="http://schemas.microsoft.com/office/drawing/2014/main" id="{EA9F617D-364B-E249-13A9-F40A1EAFA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network diagram of different countries/regions&#10;&#10;Description automatically generated">
                      <a:extLst>
                        <a:ext uri="{FF2B5EF4-FFF2-40B4-BE49-F238E27FC236}">
                          <a16:creationId xmlns:a16="http://schemas.microsoft.com/office/drawing/2014/main" id="{EA9F617D-364B-E249-13A9-F40A1EAFA479}"/>
                        </a:ext>
                      </a:extLst>
                    </pic:cNvPr>
                    <pic:cNvPicPr>
                      <a:picLocks noChangeAspect="1"/>
                    </pic:cNvPicPr>
                  </pic:nvPicPr>
                  <pic:blipFill>
                    <a:blip r:embed="rId34"/>
                    <a:stretch>
                      <a:fillRect/>
                    </a:stretch>
                  </pic:blipFill>
                  <pic:spPr>
                    <a:xfrm>
                      <a:off x="0" y="0"/>
                      <a:ext cx="2761937" cy="2160000"/>
                    </a:xfrm>
                    <a:prstGeom prst="rect">
                      <a:avLst/>
                    </a:prstGeom>
                  </pic:spPr>
                </pic:pic>
              </a:graphicData>
            </a:graphic>
          </wp:inline>
        </w:drawing>
      </w:r>
      <w:r w:rsidR="0073035A" w:rsidRPr="009B605C">
        <w:rPr>
          <w:rFonts w:ascii="Cambria" w:hAnsi="Cambria"/>
          <w14:ligatures w14:val="standardContextual"/>
        </w:rPr>
        <w:t xml:space="preserve"> </w:t>
      </w:r>
      <w:r w:rsidR="0073035A" w:rsidRPr="009B605C">
        <w:rPr>
          <w:rFonts w:ascii="Cambria" w:hAnsi="Cambria"/>
          <w:noProof/>
          <w14:ligatures w14:val="standardContextual"/>
        </w:rPr>
        <w:drawing>
          <wp:inline distT="0" distB="0" distL="0" distR="0" wp14:anchorId="0E3DDD8B" wp14:editId="0E5D1749">
            <wp:extent cx="2761937" cy="2160000"/>
            <wp:effectExtent l="0" t="0" r="635" b="0"/>
            <wp:docPr id="12" name="Picture 11" descr="A network of connections with names&#10;&#10;Description automatically generated with medium confidence">
              <a:extLst xmlns:a="http://schemas.openxmlformats.org/drawingml/2006/main">
                <a:ext uri="{FF2B5EF4-FFF2-40B4-BE49-F238E27FC236}">
                  <a16:creationId xmlns:a16="http://schemas.microsoft.com/office/drawing/2014/main" id="{C0923C8C-08E1-DD37-5445-0C5D47C92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network of connections with names&#10;&#10;Description automatically generated with medium confidence">
                      <a:extLst>
                        <a:ext uri="{FF2B5EF4-FFF2-40B4-BE49-F238E27FC236}">
                          <a16:creationId xmlns:a16="http://schemas.microsoft.com/office/drawing/2014/main" id="{C0923C8C-08E1-DD37-5445-0C5D47C924BC}"/>
                        </a:ext>
                      </a:extLst>
                    </pic:cNvPr>
                    <pic:cNvPicPr>
                      <a:picLocks noChangeAspect="1"/>
                    </pic:cNvPicPr>
                  </pic:nvPicPr>
                  <pic:blipFill>
                    <a:blip r:embed="rId35"/>
                    <a:stretch>
                      <a:fillRect/>
                    </a:stretch>
                  </pic:blipFill>
                  <pic:spPr>
                    <a:xfrm>
                      <a:off x="0" y="0"/>
                      <a:ext cx="2761937" cy="2160000"/>
                    </a:xfrm>
                    <a:prstGeom prst="rect">
                      <a:avLst/>
                    </a:prstGeom>
                  </pic:spPr>
                </pic:pic>
              </a:graphicData>
            </a:graphic>
          </wp:inline>
        </w:drawing>
      </w:r>
    </w:p>
    <w:p w14:paraId="2ACEB0E0" w14:textId="77777777" w:rsidR="00263FD8" w:rsidRPr="009B605C" w:rsidRDefault="00263FD8" w:rsidP="0087752F">
      <w:pPr>
        <w:rPr>
          <w:rFonts w:ascii="Cambria" w:hAnsi="Cambria" w:cs="Calibri"/>
          <w:b/>
          <w:bCs/>
          <w:color w:val="000000"/>
          <w:sz w:val="22"/>
          <w:szCs w:val="22"/>
        </w:rPr>
      </w:pPr>
    </w:p>
    <w:p w14:paraId="614BB2D3" w14:textId="203EC026" w:rsidR="00263FD8" w:rsidRPr="009B605C" w:rsidRDefault="00263FD8" w:rsidP="0087752F">
      <w:pPr>
        <w:rPr>
          <w:rFonts w:ascii="Cambria" w:hAnsi="Cambria" w:cs="Calibri"/>
          <w:color w:val="000000"/>
          <w:sz w:val="22"/>
          <w:szCs w:val="22"/>
        </w:rPr>
      </w:pPr>
      <w:r w:rsidRPr="009B605C">
        <w:rPr>
          <w:rFonts w:ascii="Cambria" w:hAnsi="Cambria" w:cs="Calibri"/>
          <w:color w:val="000000"/>
          <w:sz w:val="22"/>
          <w:szCs w:val="22"/>
        </w:rPr>
        <w:t xml:space="preserve">Median </w:t>
      </w:r>
      <w:r w:rsidR="00826183" w:rsidRPr="009B605C">
        <w:rPr>
          <w:rFonts w:ascii="Cambria" w:hAnsi="Cambria" w:cs="Calibri"/>
          <w:color w:val="000000"/>
          <w:sz w:val="22"/>
          <w:szCs w:val="22"/>
        </w:rPr>
        <w:t>Q</w:t>
      </w:r>
      <w:r w:rsidRPr="009B605C">
        <w:rPr>
          <w:rFonts w:ascii="Cambria" w:hAnsi="Cambria" w:cs="Calibri"/>
          <w:color w:val="000000"/>
          <w:sz w:val="22"/>
          <w:szCs w:val="22"/>
        </w:rPr>
        <w:t>uantile</w:t>
      </w:r>
      <w:r w:rsidR="00826183" w:rsidRPr="009B605C">
        <w:rPr>
          <w:rFonts w:ascii="Cambria" w:hAnsi="Cambria" w:cs="Calibri"/>
          <w:color w:val="000000"/>
          <w:sz w:val="22"/>
          <w:szCs w:val="22"/>
        </w:rPr>
        <w:t xml:space="preserve"> (</w:t>
      </w:r>
      <m:oMath>
        <m:r>
          <w:rPr>
            <w:rFonts w:ascii="Cambria Math" w:hAnsi="Cambria Math" w:cs="Calibri"/>
            <w:color w:val="000000"/>
            <w:sz w:val="22"/>
            <w:szCs w:val="22"/>
          </w:rPr>
          <m:t>τ=0.5</m:t>
        </m:r>
      </m:oMath>
      <w:r w:rsidR="00826183" w:rsidRPr="009B605C">
        <w:rPr>
          <w:rFonts w:ascii="Cambria" w:hAnsi="Cambria" w:cs="Calibri"/>
          <w:color w:val="000000"/>
          <w:sz w:val="22"/>
          <w:szCs w:val="22"/>
        </w:rPr>
        <w:t>)</w:t>
      </w:r>
    </w:p>
    <w:p w14:paraId="1195EA5D" w14:textId="16F05CA8" w:rsidR="0073035A" w:rsidRPr="009B605C" w:rsidRDefault="0073035A" w:rsidP="0087752F">
      <w:pPr>
        <w:rPr>
          <w:rFonts w:ascii="Cambria" w:hAnsi="Cambria" w:cs="Calibri"/>
          <w:b/>
          <w:bCs/>
          <w:color w:val="000000"/>
          <w:sz w:val="22"/>
          <w:szCs w:val="22"/>
        </w:rPr>
      </w:pPr>
      <w:r w:rsidRPr="009B605C">
        <w:rPr>
          <w:rFonts w:ascii="Cambria" w:hAnsi="Cambria"/>
          <w:noProof/>
          <w14:ligatures w14:val="standardContextual"/>
        </w:rPr>
        <w:drawing>
          <wp:inline distT="0" distB="0" distL="0" distR="0" wp14:anchorId="7A379DDB" wp14:editId="752E23D0">
            <wp:extent cx="2761937" cy="2160000"/>
            <wp:effectExtent l="0" t="0" r="635" b="0"/>
            <wp:docPr id="1098910733" name="Picture 1" descr="A network of lines and dots&#10;&#10;Description automatically generated">
              <a:extLst xmlns:a="http://schemas.openxmlformats.org/drawingml/2006/main">
                <a:ext uri="{FF2B5EF4-FFF2-40B4-BE49-F238E27FC236}">
                  <a16:creationId xmlns:a16="http://schemas.microsoft.com/office/drawing/2014/main" id="{D3908E1B-FFCB-CFEE-983D-9D9404595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0733" name="Picture 1" descr="A network of lines and dots&#10;&#10;Description automatically generated">
                      <a:extLst>
                        <a:ext uri="{FF2B5EF4-FFF2-40B4-BE49-F238E27FC236}">
                          <a16:creationId xmlns:a16="http://schemas.microsoft.com/office/drawing/2014/main" id="{D3908E1B-FFCB-CFEE-983D-9D9404595A1D}"/>
                        </a:ext>
                      </a:extLst>
                    </pic:cNvPr>
                    <pic:cNvPicPr>
                      <a:picLocks noChangeAspect="1"/>
                    </pic:cNvPicPr>
                  </pic:nvPicPr>
                  <pic:blipFill>
                    <a:blip r:embed="rId36"/>
                    <a:stretch>
                      <a:fillRect/>
                    </a:stretch>
                  </pic:blipFill>
                  <pic:spPr>
                    <a:xfrm>
                      <a:off x="0" y="0"/>
                      <a:ext cx="2761937" cy="2160000"/>
                    </a:xfrm>
                    <a:prstGeom prst="rect">
                      <a:avLst/>
                    </a:prstGeom>
                  </pic:spPr>
                </pic:pic>
              </a:graphicData>
            </a:graphic>
          </wp:inline>
        </w:drawing>
      </w:r>
      <w:r w:rsidRPr="009B605C">
        <w:rPr>
          <w:rFonts w:ascii="Cambria" w:hAnsi="Cambria"/>
          <w:noProof/>
          <w14:ligatures w14:val="standardContextual"/>
        </w:rPr>
        <w:drawing>
          <wp:inline distT="0" distB="0" distL="0" distR="0" wp14:anchorId="0B78FAD3" wp14:editId="4260CEF5">
            <wp:extent cx="2761937" cy="2160000"/>
            <wp:effectExtent l="0" t="0" r="635" b="0"/>
            <wp:docPr id="10" name="Picture 9" descr="A diagram of a network&#10;&#10;Description automatically generated">
              <a:extLst xmlns:a="http://schemas.openxmlformats.org/drawingml/2006/main">
                <a:ext uri="{FF2B5EF4-FFF2-40B4-BE49-F238E27FC236}">
                  <a16:creationId xmlns:a16="http://schemas.microsoft.com/office/drawing/2014/main" id="{1F8CB533-EA22-19B4-0900-B9A54CBE4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a network&#10;&#10;Description automatically generated">
                      <a:extLst>
                        <a:ext uri="{FF2B5EF4-FFF2-40B4-BE49-F238E27FC236}">
                          <a16:creationId xmlns:a16="http://schemas.microsoft.com/office/drawing/2014/main" id="{1F8CB533-EA22-19B4-0900-B9A54CBE426D}"/>
                        </a:ext>
                      </a:extLst>
                    </pic:cNvPr>
                    <pic:cNvPicPr>
                      <a:picLocks noChangeAspect="1"/>
                    </pic:cNvPicPr>
                  </pic:nvPicPr>
                  <pic:blipFill>
                    <a:blip r:embed="rId37"/>
                    <a:stretch>
                      <a:fillRect/>
                    </a:stretch>
                  </pic:blipFill>
                  <pic:spPr>
                    <a:xfrm>
                      <a:off x="0" y="0"/>
                      <a:ext cx="2761937" cy="2160000"/>
                    </a:xfrm>
                    <a:prstGeom prst="rect">
                      <a:avLst/>
                    </a:prstGeom>
                  </pic:spPr>
                </pic:pic>
              </a:graphicData>
            </a:graphic>
          </wp:inline>
        </w:drawing>
      </w:r>
    </w:p>
    <w:p w14:paraId="5B5B45A3" w14:textId="77777777" w:rsidR="00263FD8" w:rsidRPr="009B605C" w:rsidRDefault="00263FD8" w:rsidP="0087752F">
      <w:pPr>
        <w:rPr>
          <w:rFonts w:ascii="Cambria" w:hAnsi="Cambria" w:cs="Calibri"/>
          <w:b/>
          <w:bCs/>
          <w:color w:val="000000"/>
          <w:sz w:val="22"/>
          <w:szCs w:val="22"/>
        </w:rPr>
      </w:pPr>
    </w:p>
    <w:p w14:paraId="19E00A30" w14:textId="77777777" w:rsidR="00263FD8" w:rsidRPr="009B605C" w:rsidRDefault="00263FD8" w:rsidP="0087752F">
      <w:pPr>
        <w:rPr>
          <w:rFonts w:ascii="Cambria" w:hAnsi="Cambria" w:cs="Calibri"/>
          <w:b/>
          <w:bCs/>
          <w:color w:val="000000"/>
          <w:sz w:val="22"/>
          <w:szCs w:val="22"/>
        </w:rPr>
      </w:pPr>
    </w:p>
    <w:p w14:paraId="16DE6A67" w14:textId="2BEAD252" w:rsidR="00263FD8" w:rsidRPr="009B605C" w:rsidRDefault="00263FD8" w:rsidP="0087752F">
      <w:pPr>
        <w:rPr>
          <w:rFonts w:ascii="Cambria" w:hAnsi="Cambria" w:cs="Calibri"/>
          <w:color w:val="000000"/>
          <w:sz w:val="22"/>
          <w:szCs w:val="22"/>
        </w:rPr>
      </w:pPr>
      <w:r w:rsidRPr="009B605C">
        <w:rPr>
          <w:rFonts w:ascii="Cambria" w:hAnsi="Cambria" w:cs="Calibri"/>
          <w:color w:val="000000"/>
          <w:sz w:val="22"/>
          <w:szCs w:val="22"/>
        </w:rPr>
        <w:t>Upper Quantile (</w:t>
      </w:r>
      <m:oMath>
        <m:r>
          <w:rPr>
            <w:rFonts w:ascii="Cambria Math" w:hAnsi="Cambria Math" w:cs="Calibri"/>
            <w:color w:val="000000"/>
            <w:sz w:val="22"/>
            <w:szCs w:val="22"/>
          </w:rPr>
          <m:t>τ=0.95</m:t>
        </m:r>
      </m:oMath>
      <w:r w:rsidR="00826183" w:rsidRPr="009B605C">
        <w:rPr>
          <w:rFonts w:ascii="Cambria" w:hAnsi="Cambria" w:cs="Calibri"/>
          <w:color w:val="000000"/>
          <w:sz w:val="22"/>
          <w:szCs w:val="22"/>
        </w:rPr>
        <w:t>)</w:t>
      </w:r>
    </w:p>
    <w:p w14:paraId="5F075FF5" w14:textId="77777777" w:rsidR="00263FD8" w:rsidRPr="009B605C" w:rsidRDefault="00263FD8" w:rsidP="0087752F">
      <w:pPr>
        <w:rPr>
          <w:rFonts w:ascii="Cambria" w:hAnsi="Cambria"/>
        </w:rPr>
      </w:pPr>
    </w:p>
    <w:p w14:paraId="7307D537" w14:textId="5E10C3DA" w:rsidR="00263FD8" w:rsidRPr="009B605C" w:rsidRDefault="0073035A" w:rsidP="0087752F">
      <w:pPr>
        <w:rPr>
          <w:rFonts w:ascii="Cambria" w:hAnsi="Cambria"/>
        </w:rPr>
      </w:pPr>
      <w:r w:rsidRPr="009B605C">
        <w:rPr>
          <w:rFonts w:ascii="Cambria" w:hAnsi="Cambria"/>
          <w:noProof/>
          <w14:ligatures w14:val="standardContextual"/>
        </w:rPr>
        <w:drawing>
          <wp:inline distT="0" distB="0" distL="0" distR="0" wp14:anchorId="0F1167A9" wp14:editId="5666164B">
            <wp:extent cx="2761937" cy="2160000"/>
            <wp:effectExtent l="0" t="0" r="635" b="0"/>
            <wp:docPr id="9" name="Picture 8" descr="A diagram of a network&#10;&#10;Description automatically generated">
              <a:extLst xmlns:a="http://schemas.openxmlformats.org/drawingml/2006/main">
                <a:ext uri="{FF2B5EF4-FFF2-40B4-BE49-F238E27FC236}">
                  <a16:creationId xmlns:a16="http://schemas.microsoft.com/office/drawing/2014/main" id="{2DCD9272-CCEC-74E0-BDD0-6F2B22EA0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network&#10;&#10;Description automatically generated">
                      <a:extLst>
                        <a:ext uri="{FF2B5EF4-FFF2-40B4-BE49-F238E27FC236}">
                          <a16:creationId xmlns:a16="http://schemas.microsoft.com/office/drawing/2014/main" id="{2DCD9272-CCEC-74E0-BDD0-6F2B22EA0E8D}"/>
                        </a:ext>
                      </a:extLst>
                    </pic:cNvPr>
                    <pic:cNvPicPr>
                      <a:picLocks noChangeAspect="1"/>
                    </pic:cNvPicPr>
                  </pic:nvPicPr>
                  <pic:blipFill>
                    <a:blip r:embed="rId38"/>
                    <a:stretch>
                      <a:fillRect/>
                    </a:stretch>
                  </pic:blipFill>
                  <pic:spPr>
                    <a:xfrm>
                      <a:off x="0" y="0"/>
                      <a:ext cx="2761937" cy="2160000"/>
                    </a:xfrm>
                    <a:prstGeom prst="rect">
                      <a:avLst/>
                    </a:prstGeom>
                  </pic:spPr>
                </pic:pic>
              </a:graphicData>
            </a:graphic>
          </wp:inline>
        </w:drawing>
      </w:r>
      <w:r w:rsidRPr="009B605C">
        <w:rPr>
          <w:rFonts w:ascii="Cambria" w:hAnsi="Cambria"/>
          <w14:ligatures w14:val="standardContextual"/>
        </w:rPr>
        <w:t xml:space="preserve"> </w:t>
      </w:r>
      <w:r w:rsidRPr="009B605C">
        <w:rPr>
          <w:rFonts w:ascii="Cambria" w:hAnsi="Cambria"/>
          <w:noProof/>
          <w14:ligatures w14:val="standardContextual"/>
        </w:rPr>
        <w:drawing>
          <wp:inline distT="0" distB="0" distL="0" distR="0" wp14:anchorId="294F0639" wp14:editId="4EDDD004">
            <wp:extent cx="2761937" cy="2160000"/>
            <wp:effectExtent l="0" t="0" r="635" b="0"/>
            <wp:docPr id="13" name="Picture 12" descr="A network of connections with names&#10;&#10;Description automatically generated with medium confidence">
              <a:extLst xmlns:a="http://schemas.openxmlformats.org/drawingml/2006/main">
                <a:ext uri="{FF2B5EF4-FFF2-40B4-BE49-F238E27FC236}">
                  <a16:creationId xmlns:a16="http://schemas.microsoft.com/office/drawing/2014/main" id="{8B94F71D-2743-3712-1A6C-AC81CAE9D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network of connections with names&#10;&#10;Description automatically generated with medium confidence">
                      <a:extLst>
                        <a:ext uri="{FF2B5EF4-FFF2-40B4-BE49-F238E27FC236}">
                          <a16:creationId xmlns:a16="http://schemas.microsoft.com/office/drawing/2014/main" id="{8B94F71D-2743-3712-1A6C-AC81CAE9DCBD}"/>
                        </a:ext>
                      </a:extLst>
                    </pic:cNvPr>
                    <pic:cNvPicPr>
                      <a:picLocks noChangeAspect="1"/>
                    </pic:cNvPicPr>
                  </pic:nvPicPr>
                  <pic:blipFill>
                    <a:blip r:embed="rId39"/>
                    <a:stretch>
                      <a:fillRect/>
                    </a:stretch>
                  </pic:blipFill>
                  <pic:spPr>
                    <a:xfrm>
                      <a:off x="0" y="0"/>
                      <a:ext cx="2761937" cy="2160000"/>
                    </a:xfrm>
                    <a:prstGeom prst="rect">
                      <a:avLst/>
                    </a:prstGeom>
                  </pic:spPr>
                </pic:pic>
              </a:graphicData>
            </a:graphic>
          </wp:inline>
        </w:drawing>
      </w:r>
    </w:p>
    <w:p w14:paraId="1D977D8D" w14:textId="77777777" w:rsidR="00263FD8" w:rsidRPr="009B605C" w:rsidRDefault="00263FD8" w:rsidP="0087752F">
      <w:pPr>
        <w:rPr>
          <w:rFonts w:ascii="Cambria" w:hAnsi="Cambria"/>
        </w:rPr>
      </w:pPr>
    </w:p>
    <w:p w14:paraId="492CF81A" w14:textId="0B19D90A" w:rsidR="00263FD8" w:rsidRPr="009B605C" w:rsidRDefault="00263FD8" w:rsidP="0087752F">
      <w:pPr>
        <w:rPr>
          <w:rFonts w:ascii="Cambria" w:hAnsi="Cambria"/>
        </w:rPr>
      </w:pPr>
      <w:r w:rsidRPr="009B605C">
        <w:rPr>
          <w:rFonts w:ascii="Cambria" w:hAnsi="Cambria"/>
          <w:b/>
          <w:bCs/>
        </w:rPr>
        <w:t>Figure 5.</w:t>
      </w:r>
      <w:r w:rsidRPr="009B605C">
        <w:rPr>
          <w:rFonts w:ascii="Cambria" w:hAnsi="Cambria"/>
        </w:rPr>
        <w:t xml:space="preserve"> Spillover Network</w:t>
      </w:r>
    </w:p>
    <w:p w14:paraId="568BCD93" w14:textId="77777777" w:rsidR="00F81FB6" w:rsidRPr="009B605C" w:rsidRDefault="00F81FB6" w:rsidP="0087752F">
      <w:pPr>
        <w:rPr>
          <w:rFonts w:ascii="Cambria" w:hAnsi="Cambria"/>
        </w:rPr>
      </w:pPr>
    </w:p>
    <w:p w14:paraId="44E8244B" w14:textId="2F2D7296" w:rsidR="00F81FB6" w:rsidRPr="009B605C" w:rsidRDefault="00C50B25" w:rsidP="0087752F">
      <w:pPr>
        <w:rPr>
          <w:rFonts w:ascii="Cambria" w:hAnsi="Cambria"/>
          <w:b/>
          <w:bCs/>
          <w:sz w:val="28"/>
          <w:szCs w:val="28"/>
        </w:rPr>
      </w:pPr>
      <w:r w:rsidRPr="009B605C">
        <w:rPr>
          <w:rFonts w:ascii="Cambria" w:hAnsi="Cambria"/>
          <w:b/>
          <w:bCs/>
          <w:sz w:val="28"/>
          <w:szCs w:val="28"/>
        </w:rPr>
        <w:lastRenderedPageBreak/>
        <w:t>Appendix</w:t>
      </w:r>
    </w:p>
    <w:p w14:paraId="16936644" w14:textId="77777777" w:rsidR="00413E4D" w:rsidRPr="009B605C" w:rsidRDefault="00413E4D" w:rsidP="0087752F">
      <w:pPr>
        <w:jc w:val="center"/>
        <w:rPr>
          <w:rFonts w:ascii="Cambria" w:hAnsi="Cambria"/>
          <w:b/>
          <w:bCs/>
        </w:rPr>
      </w:pPr>
    </w:p>
    <w:p w14:paraId="1268A072" w14:textId="78D10DA1" w:rsidR="00C50B25" w:rsidRPr="009B605C" w:rsidRDefault="00C50B25" w:rsidP="0087752F">
      <w:pPr>
        <w:ind w:left="-426"/>
        <w:rPr>
          <w:rFonts w:ascii="Cambria" w:hAnsi="Cambria"/>
          <w:color w:val="000000"/>
        </w:rPr>
      </w:pPr>
      <w:r w:rsidRPr="009B605C">
        <w:rPr>
          <w:rFonts w:ascii="Cambria" w:hAnsi="Cambria"/>
          <w:b/>
          <w:bCs/>
        </w:rPr>
        <w:t>Table A.1.</w:t>
      </w:r>
      <w:r w:rsidRPr="009B605C">
        <w:rPr>
          <w:rFonts w:ascii="Cambria" w:hAnsi="Cambria"/>
        </w:rPr>
        <w:t xml:space="preserve"> </w:t>
      </w:r>
      <w:r w:rsidRPr="009B605C">
        <w:rPr>
          <w:rFonts w:ascii="Cambria" w:hAnsi="Cambria"/>
          <w:color w:val="000000"/>
        </w:rPr>
        <w:t>Results from time-varying parameter Granger causality tests</w:t>
      </w:r>
    </w:p>
    <w:tbl>
      <w:tblPr>
        <w:tblStyle w:val="TableGrid1"/>
        <w:tblW w:w="99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446"/>
        <w:gridCol w:w="1134"/>
        <w:gridCol w:w="1468"/>
        <w:gridCol w:w="1338"/>
        <w:gridCol w:w="1039"/>
        <w:gridCol w:w="1289"/>
      </w:tblGrid>
      <w:tr w:rsidR="00413E4D" w:rsidRPr="009B605C" w14:paraId="6CFFAB8F" w14:textId="77777777" w:rsidTr="00413E4D">
        <w:trPr>
          <w:trHeight w:val="397"/>
        </w:trPr>
        <w:tc>
          <w:tcPr>
            <w:tcW w:w="2269" w:type="dxa"/>
            <w:tcBorders>
              <w:top w:val="double" w:sz="4" w:space="0" w:color="auto"/>
              <w:left w:val="nil"/>
              <w:bottom w:val="nil"/>
              <w:right w:val="nil"/>
            </w:tcBorders>
            <w:noWrap/>
            <w:hideMark/>
          </w:tcPr>
          <w:p w14:paraId="20AB96D9" w14:textId="77777777" w:rsidR="00413E4D" w:rsidRPr="009B605C" w:rsidRDefault="00413E4D" w:rsidP="0087752F">
            <w:pPr>
              <w:rPr>
                <w:rFonts w:ascii="Cambria" w:hAnsi="Cambria"/>
                <w:sz w:val="20"/>
                <w:szCs w:val="20"/>
              </w:rPr>
            </w:pPr>
          </w:p>
        </w:tc>
        <w:tc>
          <w:tcPr>
            <w:tcW w:w="4048" w:type="dxa"/>
            <w:gridSpan w:val="3"/>
            <w:tcBorders>
              <w:top w:val="double" w:sz="4" w:space="0" w:color="auto"/>
              <w:left w:val="nil"/>
              <w:bottom w:val="single" w:sz="4" w:space="0" w:color="auto"/>
              <w:right w:val="nil"/>
            </w:tcBorders>
            <w:noWrap/>
            <w:vAlign w:val="center"/>
            <w:hideMark/>
          </w:tcPr>
          <w:p w14:paraId="71C6C717" w14:textId="77777777" w:rsidR="00413E4D" w:rsidRPr="009B605C" w:rsidRDefault="00413E4D" w:rsidP="0087752F">
            <w:pPr>
              <w:jc w:val="center"/>
              <w:rPr>
                <w:rFonts w:ascii="Cambria" w:hAnsi="Cambria"/>
                <w:b/>
                <w:bCs/>
                <w:kern w:val="2"/>
                <w:sz w:val="20"/>
                <w:szCs w:val="20"/>
                <w:lang w:eastAsia="en-US"/>
                <w14:ligatures w14:val="standardContextual"/>
              </w:rPr>
            </w:pPr>
            <w:r w:rsidRPr="009B605C">
              <w:rPr>
                <w:rFonts w:ascii="Cambria" w:hAnsi="Cambria"/>
                <w:b/>
                <w:bCs/>
                <w:color w:val="000000"/>
                <w:sz w:val="20"/>
                <w:szCs w:val="20"/>
                <w:lang w:eastAsia="en-US"/>
              </w:rPr>
              <w:t>Gold</w:t>
            </w:r>
          </w:p>
        </w:tc>
        <w:tc>
          <w:tcPr>
            <w:tcW w:w="3643" w:type="dxa"/>
            <w:gridSpan w:val="3"/>
            <w:tcBorders>
              <w:top w:val="double" w:sz="4" w:space="0" w:color="auto"/>
              <w:left w:val="nil"/>
              <w:bottom w:val="nil"/>
              <w:right w:val="nil"/>
            </w:tcBorders>
            <w:noWrap/>
            <w:vAlign w:val="center"/>
            <w:hideMark/>
          </w:tcPr>
          <w:p w14:paraId="71D0A966" w14:textId="77777777" w:rsidR="00413E4D" w:rsidRPr="009B605C" w:rsidRDefault="00413E4D" w:rsidP="0087752F">
            <w:pPr>
              <w:jc w:val="center"/>
              <w:rPr>
                <w:rFonts w:ascii="Cambria" w:hAnsi="Cambria"/>
                <w:b/>
                <w:bCs/>
                <w:sz w:val="20"/>
                <w:szCs w:val="20"/>
                <w:lang w:eastAsia="en-US"/>
              </w:rPr>
            </w:pPr>
            <w:r w:rsidRPr="009B605C">
              <w:rPr>
                <w:rFonts w:ascii="Cambria" w:hAnsi="Cambria"/>
                <w:b/>
                <w:bCs/>
                <w:color w:val="000000"/>
                <w:sz w:val="20"/>
                <w:szCs w:val="20"/>
                <w:lang w:eastAsia="en-US"/>
              </w:rPr>
              <w:t>Crypto</w:t>
            </w:r>
          </w:p>
        </w:tc>
      </w:tr>
      <w:tr w:rsidR="00413E4D" w:rsidRPr="009B605C" w14:paraId="2F26D707" w14:textId="77777777" w:rsidTr="00413E4D">
        <w:trPr>
          <w:trHeight w:val="397"/>
        </w:trPr>
        <w:tc>
          <w:tcPr>
            <w:tcW w:w="2269" w:type="dxa"/>
            <w:tcBorders>
              <w:top w:val="nil"/>
              <w:left w:val="nil"/>
              <w:bottom w:val="single" w:sz="4" w:space="0" w:color="auto"/>
              <w:right w:val="nil"/>
            </w:tcBorders>
            <w:noWrap/>
            <w:hideMark/>
          </w:tcPr>
          <w:p w14:paraId="27657062" w14:textId="77777777" w:rsidR="00413E4D" w:rsidRPr="009B605C" w:rsidRDefault="00413E4D" w:rsidP="0087752F">
            <w:pPr>
              <w:rPr>
                <w:rFonts w:ascii="Cambria" w:hAnsi="Cambria"/>
                <w:b/>
                <w:bCs/>
                <w:sz w:val="20"/>
                <w:szCs w:val="20"/>
                <w:lang w:eastAsia="en-US"/>
              </w:rPr>
            </w:pPr>
          </w:p>
        </w:tc>
        <w:tc>
          <w:tcPr>
            <w:tcW w:w="1446" w:type="dxa"/>
            <w:tcBorders>
              <w:top w:val="single" w:sz="4" w:space="0" w:color="auto"/>
              <w:left w:val="nil"/>
              <w:bottom w:val="single" w:sz="4" w:space="0" w:color="auto"/>
              <w:right w:val="nil"/>
            </w:tcBorders>
            <w:noWrap/>
            <w:vAlign w:val="center"/>
            <w:hideMark/>
          </w:tcPr>
          <w:p w14:paraId="79951493" w14:textId="77777777" w:rsidR="00413E4D" w:rsidRPr="009B605C" w:rsidRDefault="00413E4D" w:rsidP="0087752F">
            <w:pPr>
              <w:rPr>
                <w:rFonts w:ascii="Cambria" w:hAnsi="Cambria"/>
                <w:b/>
                <w:bCs/>
                <w:color w:val="000000"/>
                <w:kern w:val="2"/>
                <w:sz w:val="20"/>
                <w:szCs w:val="20"/>
                <w:lang w:eastAsia="en-US"/>
                <w14:ligatures w14:val="standardContextual"/>
              </w:rPr>
            </w:pPr>
            <w:r w:rsidRPr="009B605C">
              <w:rPr>
                <w:rFonts w:ascii="Cambria" w:hAnsi="Cambria"/>
                <w:b/>
                <w:bCs/>
                <w:color w:val="000000"/>
                <w:sz w:val="20"/>
                <w:szCs w:val="20"/>
                <w:lang w:eastAsia="en-US"/>
              </w:rPr>
              <w:t>MeanW</w:t>
            </w:r>
          </w:p>
        </w:tc>
        <w:tc>
          <w:tcPr>
            <w:tcW w:w="1134" w:type="dxa"/>
            <w:tcBorders>
              <w:top w:val="single" w:sz="4" w:space="0" w:color="auto"/>
              <w:left w:val="nil"/>
              <w:bottom w:val="single" w:sz="4" w:space="0" w:color="auto"/>
              <w:right w:val="nil"/>
            </w:tcBorders>
            <w:noWrap/>
            <w:vAlign w:val="center"/>
            <w:hideMark/>
          </w:tcPr>
          <w:p w14:paraId="67433559" w14:textId="77777777" w:rsidR="00413E4D" w:rsidRPr="009B605C" w:rsidRDefault="00413E4D" w:rsidP="0087752F">
            <w:pPr>
              <w:rPr>
                <w:rFonts w:ascii="Cambria" w:hAnsi="Cambria"/>
                <w:b/>
                <w:bCs/>
                <w:color w:val="000000"/>
                <w:sz w:val="20"/>
                <w:szCs w:val="20"/>
                <w:lang w:eastAsia="en-US"/>
              </w:rPr>
            </w:pPr>
            <w:r w:rsidRPr="009B605C">
              <w:rPr>
                <w:rFonts w:ascii="Cambria" w:hAnsi="Cambria"/>
                <w:b/>
                <w:bCs/>
                <w:color w:val="000000"/>
                <w:sz w:val="20"/>
                <w:szCs w:val="20"/>
                <w:lang w:eastAsia="en-US"/>
              </w:rPr>
              <w:t>Nyblom</w:t>
            </w:r>
          </w:p>
        </w:tc>
        <w:tc>
          <w:tcPr>
            <w:tcW w:w="1468" w:type="dxa"/>
            <w:tcBorders>
              <w:top w:val="single" w:sz="4" w:space="0" w:color="auto"/>
              <w:left w:val="nil"/>
              <w:bottom w:val="single" w:sz="4" w:space="0" w:color="auto"/>
              <w:right w:val="nil"/>
            </w:tcBorders>
            <w:noWrap/>
            <w:vAlign w:val="center"/>
            <w:hideMark/>
          </w:tcPr>
          <w:p w14:paraId="1862918B" w14:textId="77777777" w:rsidR="00413E4D" w:rsidRPr="009B605C" w:rsidRDefault="00413E4D" w:rsidP="0087752F">
            <w:pPr>
              <w:rPr>
                <w:rFonts w:ascii="Cambria" w:hAnsi="Cambria"/>
                <w:b/>
                <w:bCs/>
                <w:color w:val="000000"/>
                <w:sz w:val="20"/>
                <w:szCs w:val="20"/>
                <w:lang w:eastAsia="en-US"/>
              </w:rPr>
            </w:pPr>
            <w:proofErr w:type="spellStart"/>
            <w:r w:rsidRPr="009B605C">
              <w:rPr>
                <w:rFonts w:ascii="Cambria" w:hAnsi="Cambria"/>
                <w:b/>
                <w:bCs/>
                <w:color w:val="000000"/>
                <w:sz w:val="20"/>
                <w:szCs w:val="20"/>
                <w:lang w:eastAsia="en-US"/>
              </w:rPr>
              <w:t>SupLR</w:t>
            </w:r>
            <w:proofErr w:type="spellEnd"/>
          </w:p>
        </w:tc>
        <w:tc>
          <w:tcPr>
            <w:tcW w:w="1338" w:type="dxa"/>
            <w:tcBorders>
              <w:top w:val="single" w:sz="4" w:space="0" w:color="auto"/>
              <w:left w:val="nil"/>
              <w:bottom w:val="single" w:sz="4" w:space="0" w:color="auto"/>
              <w:right w:val="nil"/>
            </w:tcBorders>
            <w:noWrap/>
            <w:vAlign w:val="center"/>
            <w:hideMark/>
          </w:tcPr>
          <w:p w14:paraId="18763ECA" w14:textId="77777777" w:rsidR="00413E4D" w:rsidRPr="009B605C" w:rsidRDefault="00413E4D" w:rsidP="0087752F">
            <w:pPr>
              <w:rPr>
                <w:rFonts w:ascii="Cambria" w:hAnsi="Cambria"/>
                <w:b/>
                <w:bCs/>
                <w:color w:val="000000"/>
                <w:sz w:val="20"/>
                <w:szCs w:val="20"/>
                <w:lang w:eastAsia="en-US"/>
              </w:rPr>
            </w:pPr>
            <w:r w:rsidRPr="009B605C">
              <w:rPr>
                <w:rFonts w:ascii="Cambria" w:hAnsi="Cambria"/>
                <w:b/>
                <w:bCs/>
                <w:color w:val="000000"/>
                <w:sz w:val="20"/>
                <w:szCs w:val="20"/>
                <w:lang w:eastAsia="en-US"/>
              </w:rPr>
              <w:t>MeanW</w:t>
            </w:r>
          </w:p>
        </w:tc>
        <w:tc>
          <w:tcPr>
            <w:tcW w:w="1039" w:type="dxa"/>
            <w:tcBorders>
              <w:top w:val="single" w:sz="4" w:space="0" w:color="auto"/>
              <w:left w:val="nil"/>
              <w:bottom w:val="single" w:sz="4" w:space="0" w:color="auto"/>
              <w:right w:val="nil"/>
            </w:tcBorders>
            <w:noWrap/>
            <w:vAlign w:val="center"/>
            <w:hideMark/>
          </w:tcPr>
          <w:p w14:paraId="0B539531" w14:textId="77777777" w:rsidR="00413E4D" w:rsidRPr="009B605C" w:rsidRDefault="00413E4D" w:rsidP="0087752F">
            <w:pPr>
              <w:rPr>
                <w:rFonts w:ascii="Cambria" w:hAnsi="Cambria"/>
                <w:b/>
                <w:bCs/>
                <w:color w:val="000000"/>
                <w:sz w:val="20"/>
                <w:szCs w:val="20"/>
                <w:lang w:eastAsia="en-US"/>
              </w:rPr>
            </w:pPr>
            <w:r w:rsidRPr="009B605C">
              <w:rPr>
                <w:rFonts w:ascii="Cambria" w:hAnsi="Cambria"/>
                <w:b/>
                <w:bCs/>
                <w:color w:val="000000"/>
                <w:sz w:val="20"/>
                <w:szCs w:val="20"/>
                <w:lang w:eastAsia="en-US"/>
              </w:rPr>
              <w:t>Nyblom</w:t>
            </w:r>
          </w:p>
        </w:tc>
        <w:tc>
          <w:tcPr>
            <w:tcW w:w="1266" w:type="dxa"/>
            <w:tcBorders>
              <w:top w:val="single" w:sz="4" w:space="0" w:color="auto"/>
              <w:left w:val="nil"/>
              <w:bottom w:val="single" w:sz="4" w:space="0" w:color="auto"/>
              <w:right w:val="nil"/>
            </w:tcBorders>
            <w:noWrap/>
            <w:vAlign w:val="center"/>
            <w:hideMark/>
          </w:tcPr>
          <w:p w14:paraId="208F290F" w14:textId="77777777" w:rsidR="00413E4D" w:rsidRPr="009B605C" w:rsidRDefault="00413E4D" w:rsidP="0087752F">
            <w:pPr>
              <w:rPr>
                <w:rFonts w:ascii="Cambria" w:hAnsi="Cambria"/>
                <w:b/>
                <w:bCs/>
                <w:color w:val="000000"/>
                <w:sz w:val="20"/>
                <w:szCs w:val="20"/>
                <w:lang w:eastAsia="en-US"/>
              </w:rPr>
            </w:pPr>
            <w:proofErr w:type="spellStart"/>
            <w:r w:rsidRPr="009B605C">
              <w:rPr>
                <w:rFonts w:ascii="Cambria" w:hAnsi="Cambria"/>
                <w:b/>
                <w:bCs/>
                <w:color w:val="000000"/>
                <w:sz w:val="20"/>
                <w:szCs w:val="20"/>
                <w:lang w:eastAsia="en-US"/>
              </w:rPr>
              <w:t>SupLR</w:t>
            </w:r>
            <w:proofErr w:type="spellEnd"/>
          </w:p>
        </w:tc>
      </w:tr>
      <w:tr w:rsidR="00413E4D" w:rsidRPr="009B605C" w14:paraId="14994CC2" w14:textId="77777777" w:rsidTr="00413E4D">
        <w:trPr>
          <w:trHeight w:val="397"/>
        </w:trPr>
        <w:tc>
          <w:tcPr>
            <w:tcW w:w="3715" w:type="dxa"/>
            <w:gridSpan w:val="2"/>
            <w:tcBorders>
              <w:top w:val="single" w:sz="4" w:space="0" w:color="auto"/>
              <w:left w:val="nil"/>
              <w:bottom w:val="nil"/>
              <w:right w:val="nil"/>
            </w:tcBorders>
            <w:noWrap/>
            <w:vAlign w:val="center"/>
            <w:hideMark/>
          </w:tcPr>
          <w:p w14:paraId="0013F253" w14:textId="77777777" w:rsidR="00413E4D" w:rsidRPr="009B605C" w:rsidRDefault="00413E4D" w:rsidP="0087752F">
            <w:pPr>
              <w:rPr>
                <w:rFonts w:ascii="Cambria" w:hAnsi="Cambria"/>
                <w:b/>
                <w:bCs/>
                <w:color w:val="000000"/>
                <w:sz w:val="20"/>
                <w:szCs w:val="20"/>
                <w:lang w:eastAsia="en-US"/>
              </w:rPr>
            </w:pPr>
            <w:r w:rsidRPr="009B605C">
              <w:rPr>
                <w:rFonts w:ascii="Cambria" w:hAnsi="Cambria"/>
                <w:b/>
                <w:bCs/>
                <w:color w:val="000000"/>
                <w:sz w:val="20"/>
                <w:szCs w:val="20"/>
                <w:lang w:eastAsia="en-US"/>
              </w:rPr>
              <w:t xml:space="preserve">Panel A: </w:t>
            </w:r>
            <w:r w:rsidRPr="009B605C">
              <w:rPr>
                <w:rFonts w:ascii="Cambria" w:hAnsi="Cambria"/>
                <w:color w:val="000000"/>
                <w:sz w:val="20"/>
                <w:szCs w:val="20"/>
                <w:lang w:eastAsia="en-US"/>
              </w:rPr>
              <w:t>Pre-conflict announcement</w:t>
            </w:r>
          </w:p>
        </w:tc>
        <w:tc>
          <w:tcPr>
            <w:tcW w:w="1134" w:type="dxa"/>
            <w:tcBorders>
              <w:top w:val="single" w:sz="4" w:space="0" w:color="auto"/>
              <w:left w:val="nil"/>
              <w:bottom w:val="nil"/>
              <w:right w:val="nil"/>
            </w:tcBorders>
            <w:noWrap/>
            <w:hideMark/>
          </w:tcPr>
          <w:p w14:paraId="18441845" w14:textId="77777777" w:rsidR="00413E4D" w:rsidRPr="009B605C" w:rsidRDefault="00413E4D" w:rsidP="0087752F">
            <w:pPr>
              <w:rPr>
                <w:rFonts w:ascii="Cambria" w:hAnsi="Cambria"/>
                <w:b/>
                <w:bCs/>
                <w:color w:val="000000"/>
                <w:sz w:val="20"/>
                <w:szCs w:val="20"/>
                <w:lang w:eastAsia="en-US"/>
              </w:rPr>
            </w:pPr>
          </w:p>
        </w:tc>
        <w:tc>
          <w:tcPr>
            <w:tcW w:w="1468" w:type="dxa"/>
            <w:tcBorders>
              <w:top w:val="single" w:sz="4" w:space="0" w:color="auto"/>
              <w:left w:val="nil"/>
              <w:bottom w:val="nil"/>
              <w:right w:val="nil"/>
            </w:tcBorders>
            <w:noWrap/>
            <w:hideMark/>
          </w:tcPr>
          <w:p w14:paraId="0763D8CD" w14:textId="77777777" w:rsidR="00413E4D" w:rsidRPr="009B605C" w:rsidRDefault="00413E4D" w:rsidP="0087752F">
            <w:pPr>
              <w:rPr>
                <w:rFonts w:ascii="Cambria" w:eastAsia="Aptos" w:hAnsi="Cambria"/>
                <w:sz w:val="20"/>
                <w:szCs w:val="20"/>
              </w:rPr>
            </w:pPr>
          </w:p>
        </w:tc>
        <w:tc>
          <w:tcPr>
            <w:tcW w:w="1338" w:type="dxa"/>
            <w:tcBorders>
              <w:top w:val="single" w:sz="4" w:space="0" w:color="auto"/>
              <w:left w:val="nil"/>
              <w:bottom w:val="nil"/>
              <w:right w:val="nil"/>
            </w:tcBorders>
            <w:noWrap/>
            <w:hideMark/>
          </w:tcPr>
          <w:p w14:paraId="1C80E76B" w14:textId="77777777" w:rsidR="00413E4D" w:rsidRPr="009B605C" w:rsidRDefault="00413E4D" w:rsidP="0087752F">
            <w:pPr>
              <w:rPr>
                <w:rFonts w:ascii="Cambria" w:eastAsia="Aptos" w:hAnsi="Cambria"/>
                <w:sz w:val="20"/>
                <w:szCs w:val="20"/>
              </w:rPr>
            </w:pPr>
          </w:p>
        </w:tc>
        <w:tc>
          <w:tcPr>
            <w:tcW w:w="1039" w:type="dxa"/>
            <w:tcBorders>
              <w:top w:val="single" w:sz="4" w:space="0" w:color="auto"/>
              <w:left w:val="nil"/>
              <w:bottom w:val="nil"/>
              <w:right w:val="nil"/>
            </w:tcBorders>
            <w:noWrap/>
            <w:hideMark/>
          </w:tcPr>
          <w:p w14:paraId="183AA4F8" w14:textId="77777777" w:rsidR="00413E4D" w:rsidRPr="009B605C" w:rsidRDefault="00413E4D" w:rsidP="0087752F">
            <w:pPr>
              <w:rPr>
                <w:rFonts w:ascii="Cambria" w:eastAsia="Aptos" w:hAnsi="Cambria"/>
                <w:sz w:val="20"/>
                <w:szCs w:val="20"/>
              </w:rPr>
            </w:pPr>
          </w:p>
        </w:tc>
        <w:tc>
          <w:tcPr>
            <w:tcW w:w="1266" w:type="dxa"/>
            <w:tcBorders>
              <w:top w:val="single" w:sz="4" w:space="0" w:color="auto"/>
              <w:left w:val="nil"/>
              <w:bottom w:val="nil"/>
              <w:right w:val="nil"/>
            </w:tcBorders>
            <w:noWrap/>
            <w:hideMark/>
          </w:tcPr>
          <w:p w14:paraId="1CD78F18" w14:textId="77777777" w:rsidR="00413E4D" w:rsidRPr="009B605C" w:rsidRDefault="00413E4D" w:rsidP="0087752F">
            <w:pPr>
              <w:rPr>
                <w:rFonts w:ascii="Cambria" w:eastAsia="Aptos" w:hAnsi="Cambria"/>
                <w:sz w:val="20"/>
                <w:szCs w:val="20"/>
              </w:rPr>
            </w:pPr>
          </w:p>
        </w:tc>
      </w:tr>
      <w:tr w:rsidR="00413E4D" w:rsidRPr="009B605C" w14:paraId="5E14962A" w14:textId="77777777" w:rsidTr="00413E4D">
        <w:trPr>
          <w:trHeight w:val="397"/>
        </w:trPr>
        <w:tc>
          <w:tcPr>
            <w:tcW w:w="2269" w:type="dxa"/>
            <w:noWrap/>
            <w:vAlign w:val="center"/>
            <w:hideMark/>
          </w:tcPr>
          <w:p w14:paraId="58227B6D" w14:textId="77777777" w:rsidR="00413E4D" w:rsidRPr="009B605C" w:rsidRDefault="00413E4D" w:rsidP="0087752F">
            <w:pPr>
              <w:rPr>
                <w:rFonts w:ascii="Cambria" w:hAnsi="Cambria"/>
                <w:color w:val="000000"/>
                <w:kern w:val="2"/>
                <w:sz w:val="20"/>
                <w:szCs w:val="20"/>
                <w:lang w:eastAsia="en-US"/>
                <w14:ligatures w14:val="standardContextual"/>
              </w:rPr>
            </w:pPr>
            <w:r w:rsidRPr="009B605C">
              <w:rPr>
                <w:rFonts w:ascii="Cambria" w:hAnsi="Cambria"/>
                <w:color w:val="000000"/>
                <w:sz w:val="20"/>
                <w:szCs w:val="20"/>
                <w:lang w:eastAsia="en-US"/>
              </w:rPr>
              <w:t>Brazil</w:t>
            </w:r>
          </w:p>
        </w:tc>
        <w:tc>
          <w:tcPr>
            <w:tcW w:w="1446" w:type="dxa"/>
            <w:noWrap/>
            <w:vAlign w:val="center"/>
            <w:hideMark/>
          </w:tcPr>
          <w:p w14:paraId="3DE5F358"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23.332***</w:t>
            </w:r>
          </w:p>
        </w:tc>
        <w:tc>
          <w:tcPr>
            <w:tcW w:w="1134" w:type="dxa"/>
            <w:noWrap/>
            <w:vAlign w:val="center"/>
            <w:hideMark/>
          </w:tcPr>
          <w:p w14:paraId="39B53C47"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2.027</w:t>
            </w:r>
          </w:p>
        </w:tc>
        <w:tc>
          <w:tcPr>
            <w:tcW w:w="1468" w:type="dxa"/>
            <w:noWrap/>
            <w:vAlign w:val="center"/>
            <w:hideMark/>
          </w:tcPr>
          <w:p w14:paraId="78D64A4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128.579***</w:t>
            </w:r>
          </w:p>
        </w:tc>
        <w:tc>
          <w:tcPr>
            <w:tcW w:w="1338" w:type="dxa"/>
            <w:noWrap/>
            <w:vAlign w:val="center"/>
            <w:hideMark/>
          </w:tcPr>
          <w:p w14:paraId="4FED7C5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27.576***</w:t>
            </w:r>
          </w:p>
        </w:tc>
        <w:tc>
          <w:tcPr>
            <w:tcW w:w="1039" w:type="dxa"/>
            <w:noWrap/>
            <w:vAlign w:val="center"/>
            <w:hideMark/>
          </w:tcPr>
          <w:p w14:paraId="64C8B028"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1.112</w:t>
            </w:r>
          </w:p>
        </w:tc>
        <w:tc>
          <w:tcPr>
            <w:tcW w:w="1266" w:type="dxa"/>
            <w:noWrap/>
            <w:vAlign w:val="center"/>
            <w:hideMark/>
          </w:tcPr>
          <w:p w14:paraId="021AED77"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69.714***</w:t>
            </w:r>
          </w:p>
        </w:tc>
      </w:tr>
      <w:tr w:rsidR="00413E4D" w:rsidRPr="009B605C" w14:paraId="166261D0" w14:textId="77777777" w:rsidTr="00413E4D">
        <w:trPr>
          <w:trHeight w:val="397"/>
        </w:trPr>
        <w:tc>
          <w:tcPr>
            <w:tcW w:w="2269" w:type="dxa"/>
            <w:noWrap/>
            <w:vAlign w:val="center"/>
            <w:hideMark/>
          </w:tcPr>
          <w:p w14:paraId="56D1C258"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Russia</w:t>
            </w:r>
          </w:p>
        </w:tc>
        <w:tc>
          <w:tcPr>
            <w:tcW w:w="1446" w:type="dxa"/>
            <w:noWrap/>
            <w:vAlign w:val="center"/>
            <w:hideMark/>
          </w:tcPr>
          <w:p w14:paraId="481988D4"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73.173***</w:t>
            </w:r>
          </w:p>
        </w:tc>
        <w:tc>
          <w:tcPr>
            <w:tcW w:w="1134" w:type="dxa"/>
            <w:noWrap/>
            <w:vAlign w:val="center"/>
            <w:hideMark/>
          </w:tcPr>
          <w:p w14:paraId="16A30536"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1.854</w:t>
            </w:r>
          </w:p>
        </w:tc>
        <w:tc>
          <w:tcPr>
            <w:tcW w:w="1468" w:type="dxa"/>
            <w:noWrap/>
            <w:vAlign w:val="center"/>
            <w:hideMark/>
          </w:tcPr>
          <w:p w14:paraId="070B9414"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160.771***</w:t>
            </w:r>
          </w:p>
        </w:tc>
        <w:tc>
          <w:tcPr>
            <w:tcW w:w="1338" w:type="dxa"/>
            <w:noWrap/>
            <w:vAlign w:val="center"/>
            <w:hideMark/>
          </w:tcPr>
          <w:p w14:paraId="623C843A" w14:textId="1D18447B"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28.79</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c>
          <w:tcPr>
            <w:tcW w:w="1039" w:type="dxa"/>
            <w:noWrap/>
            <w:vAlign w:val="center"/>
            <w:hideMark/>
          </w:tcPr>
          <w:p w14:paraId="46A9916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0.687</w:t>
            </w:r>
          </w:p>
        </w:tc>
        <w:tc>
          <w:tcPr>
            <w:tcW w:w="1266" w:type="dxa"/>
            <w:noWrap/>
            <w:vAlign w:val="center"/>
            <w:hideMark/>
          </w:tcPr>
          <w:p w14:paraId="723C825F"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103.853***</w:t>
            </w:r>
          </w:p>
        </w:tc>
      </w:tr>
      <w:tr w:rsidR="00413E4D" w:rsidRPr="009B605C" w14:paraId="778263EB" w14:textId="77777777" w:rsidTr="00413E4D">
        <w:trPr>
          <w:trHeight w:val="397"/>
        </w:trPr>
        <w:tc>
          <w:tcPr>
            <w:tcW w:w="2269" w:type="dxa"/>
            <w:noWrap/>
            <w:vAlign w:val="center"/>
            <w:hideMark/>
          </w:tcPr>
          <w:p w14:paraId="574F203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India</w:t>
            </w:r>
          </w:p>
        </w:tc>
        <w:tc>
          <w:tcPr>
            <w:tcW w:w="1446" w:type="dxa"/>
            <w:noWrap/>
            <w:vAlign w:val="center"/>
            <w:hideMark/>
          </w:tcPr>
          <w:p w14:paraId="11947611" w14:textId="79CF5A03"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87.72</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c>
          <w:tcPr>
            <w:tcW w:w="1134" w:type="dxa"/>
            <w:noWrap/>
            <w:vAlign w:val="center"/>
            <w:hideMark/>
          </w:tcPr>
          <w:p w14:paraId="07821C9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1.039</w:t>
            </w:r>
          </w:p>
        </w:tc>
        <w:tc>
          <w:tcPr>
            <w:tcW w:w="1468" w:type="dxa"/>
            <w:noWrap/>
            <w:vAlign w:val="center"/>
            <w:hideMark/>
          </w:tcPr>
          <w:p w14:paraId="25902327"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206.874***</w:t>
            </w:r>
          </w:p>
        </w:tc>
        <w:tc>
          <w:tcPr>
            <w:tcW w:w="1338" w:type="dxa"/>
            <w:noWrap/>
            <w:vAlign w:val="center"/>
            <w:hideMark/>
          </w:tcPr>
          <w:p w14:paraId="25A15587" w14:textId="6D49F555"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55.41</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c>
          <w:tcPr>
            <w:tcW w:w="1039" w:type="dxa"/>
            <w:noWrap/>
            <w:vAlign w:val="center"/>
            <w:hideMark/>
          </w:tcPr>
          <w:p w14:paraId="395AE506"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1.382</w:t>
            </w:r>
          </w:p>
        </w:tc>
        <w:tc>
          <w:tcPr>
            <w:tcW w:w="1266" w:type="dxa"/>
            <w:noWrap/>
            <w:vAlign w:val="center"/>
            <w:hideMark/>
          </w:tcPr>
          <w:p w14:paraId="6F10EDDF"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475.787***</w:t>
            </w:r>
          </w:p>
        </w:tc>
      </w:tr>
      <w:tr w:rsidR="00413E4D" w:rsidRPr="009B605C" w14:paraId="4D7B304E" w14:textId="77777777" w:rsidTr="00413E4D">
        <w:trPr>
          <w:trHeight w:val="397"/>
        </w:trPr>
        <w:tc>
          <w:tcPr>
            <w:tcW w:w="2269" w:type="dxa"/>
            <w:noWrap/>
            <w:vAlign w:val="center"/>
            <w:hideMark/>
          </w:tcPr>
          <w:p w14:paraId="60401B64"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China</w:t>
            </w:r>
          </w:p>
        </w:tc>
        <w:tc>
          <w:tcPr>
            <w:tcW w:w="1446" w:type="dxa"/>
            <w:noWrap/>
            <w:vAlign w:val="center"/>
            <w:hideMark/>
          </w:tcPr>
          <w:p w14:paraId="1667B042"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37.857***</w:t>
            </w:r>
          </w:p>
        </w:tc>
        <w:tc>
          <w:tcPr>
            <w:tcW w:w="1134" w:type="dxa"/>
            <w:noWrap/>
            <w:vAlign w:val="center"/>
            <w:hideMark/>
          </w:tcPr>
          <w:p w14:paraId="22E1A128" w14:textId="6A4136CB"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0.72</w:t>
            </w:r>
            <w:r w:rsidR="00D521F8" w:rsidRPr="009B605C">
              <w:rPr>
                <w:rFonts w:ascii="Cambria" w:hAnsi="Cambria"/>
                <w:color w:val="000000"/>
                <w:sz w:val="20"/>
                <w:szCs w:val="20"/>
                <w:lang w:eastAsia="en-US"/>
              </w:rPr>
              <w:t>0</w:t>
            </w:r>
          </w:p>
        </w:tc>
        <w:tc>
          <w:tcPr>
            <w:tcW w:w="1468" w:type="dxa"/>
            <w:noWrap/>
            <w:vAlign w:val="center"/>
            <w:hideMark/>
          </w:tcPr>
          <w:p w14:paraId="44F03274"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267.264***</w:t>
            </w:r>
          </w:p>
        </w:tc>
        <w:tc>
          <w:tcPr>
            <w:tcW w:w="1338" w:type="dxa"/>
            <w:noWrap/>
            <w:vAlign w:val="center"/>
            <w:hideMark/>
          </w:tcPr>
          <w:p w14:paraId="4DCC6B73"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128.609***</w:t>
            </w:r>
          </w:p>
        </w:tc>
        <w:tc>
          <w:tcPr>
            <w:tcW w:w="1039" w:type="dxa"/>
            <w:noWrap/>
            <w:vAlign w:val="center"/>
            <w:hideMark/>
          </w:tcPr>
          <w:p w14:paraId="3642F66A"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1.263</w:t>
            </w:r>
          </w:p>
        </w:tc>
        <w:tc>
          <w:tcPr>
            <w:tcW w:w="1266" w:type="dxa"/>
            <w:noWrap/>
            <w:vAlign w:val="center"/>
            <w:hideMark/>
          </w:tcPr>
          <w:p w14:paraId="41F41FF7"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472.752***</w:t>
            </w:r>
          </w:p>
        </w:tc>
      </w:tr>
      <w:tr w:rsidR="00413E4D" w:rsidRPr="009B605C" w14:paraId="0C3841FF" w14:textId="77777777" w:rsidTr="00413E4D">
        <w:trPr>
          <w:trHeight w:val="397"/>
        </w:trPr>
        <w:tc>
          <w:tcPr>
            <w:tcW w:w="2269" w:type="dxa"/>
            <w:noWrap/>
            <w:vAlign w:val="center"/>
            <w:hideMark/>
          </w:tcPr>
          <w:p w14:paraId="09F8F78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South Africa</w:t>
            </w:r>
          </w:p>
        </w:tc>
        <w:tc>
          <w:tcPr>
            <w:tcW w:w="1446" w:type="dxa"/>
            <w:noWrap/>
            <w:vAlign w:val="center"/>
            <w:hideMark/>
          </w:tcPr>
          <w:p w14:paraId="2F3DC68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49.771***</w:t>
            </w:r>
          </w:p>
        </w:tc>
        <w:tc>
          <w:tcPr>
            <w:tcW w:w="1134" w:type="dxa"/>
            <w:noWrap/>
            <w:vAlign w:val="center"/>
            <w:hideMark/>
          </w:tcPr>
          <w:p w14:paraId="6FF6B908"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0.134</w:t>
            </w:r>
          </w:p>
        </w:tc>
        <w:tc>
          <w:tcPr>
            <w:tcW w:w="1468" w:type="dxa"/>
            <w:noWrap/>
            <w:vAlign w:val="center"/>
            <w:hideMark/>
          </w:tcPr>
          <w:p w14:paraId="67254F61"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682.413***</w:t>
            </w:r>
          </w:p>
        </w:tc>
        <w:tc>
          <w:tcPr>
            <w:tcW w:w="1338" w:type="dxa"/>
            <w:noWrap/>
            <w:vAlign w:val="center"/>
            <w:hideMark/>
          </w:tcPr>
          <w:p w14:paraId="1D633699"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91.762***</w:t>
            </w:r>
          </w:p>
        </w:tc>
        <w:tc>
          <w:tcPr>
            <w:tcW w:w="1039" w:type="dxa"/>
            <w:noWrap/>
            <w:vAlign w:val="center"/>
            <w:hideMark/>
          </w:tcPr>
          <w:p w14:paraId="023256D0"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0.146</w:t>
            </w:r>
          </w:p>
        </w:tc>
        <w:tc>
          <w:tcPr>
            <w:tcW w:w="1266" w:type="dxa"/>
            <w:noWrap/>
            <w:vAlign w:val="center"/>
            <w:hideMark/>
          </w:tcPr>
          <w:p w14:paraId="60392B20"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295.578***</w:t>
            </w:r>
          </w:p>
        </w:tc>
      </w:tr>
      <w:tr w:rsidR="00413E4D" w:rsidRPr="009B605C" w14:paraId="6F0BA91F" w14:textId="77777777" w:rsidTr="00413E4D">
        <w:trPr>
          <w:trHeight w:val="397"/>
        </w:trPr>
        <w:tc>
          <w:tcPr>
            <w:tcW w:w="3715" w:type="dxa"/>
            <w:gridSpan w:val="2"/>
            <w:noWrap/>
            <w:vAlign w:val="center"/>
            <w:hideMark/>
          </w:tcPr>
          <w:p w14:paraId="6548962C" w14:textId="77777777" w:rsidR="00413E4D" w:rsidRPr="009B605C" w:rsidRDefault="00413E4D" w:rsidP="0087752F">
            <w:pPr>
              <w:rPr>
                <w:rFonts w:ascii="Cambria" w:hAnsi="Cambria"/>
                <w:b/>
                <w:bCs/>
                <w:color w:val="000000"/>
                <w:sz w:val="20"/>
                <w:szCs w:val="20"/>
                <w:lang w:eastAsia="en-US"/>
              </w:rPr>
            </w:pPr>
            <w:r w:rsidRPr="009B605C">
              <w:rPr>
                <w:rFonts w:ascii="Cambria" w:hAnsi="Cambria"/>
                <w:b/>
                <w:bCs/>
                <w:color w:val="000000"/>
                <w:sz w:val="20"/>
                <w:szCs w:val="20"/>
                <w:lang w:eastAsia="en-US"/>
              </w:rPr>
              <w:t xml:space="preserve">Panel B: </w:t>
            </w:r>
            <w:r w:rsidRPr="009B605C">
              <w:rPr>
                <w:rFonts w:ascii="Cambria" w:hAnsi="Cambria"/>
                <w:color w:val="000000"/>
                <w:sz w:val="20"/>
                <w:szCs w:val="20"/>
                <w:lang w:eastAsia="en-US"/>
              </w:rPr>
              <w:t>Post-conflict announcement</w:t>
            </w:r>
          </w:p>
        </w:tc>
        <w:tc>
          <w:tcPr>
            <w:tcW w:w="1134" w:type="dxa"/>
            <w:noWrap/>
            <w:hideMark/>
          </w:tcPr>
          <w:p w14:paraId="2CB5FB37" w14:textId="77777777" w:rsidR="00413E4D" w:rsidRPr="009B605C" w:rsidRDefault="00413E4D" w:rsidP="0087752F">
            <w:pPr>
              <w:rPr>
                <w:rFonts w:ascii="Cambria" w:hAnsi="Cambria"/>
                <w:b/>
                <w:bCs/>
                <w:color w:val="000000"/>
                <w:sz w:val="20"/>
                <w:szCs w:val="20"/>
                <w:lang w:eastAsia="en-US"/>
              </w:rPr>
            </w:pPr>
          </w:p>
        </w:tc>
        <w:tc>
          <w:tcPr>
            <w:tcW w:w="1468" w:type="dxa"/>
            <w:noWrap/>
            <w:hideMark/>
          </w:tcPr>
          <w:p w14:paraId="5C732FAA" w14:textId="77777777" w:rsidR="00413E4D" w:rsidRPr="009B605C" w:rsidRDefault="00413E4D" w:rsidP="0087752F">
            <w:pPr>
              <w:rPr>
                <w:rFonts w:ascii="Cambria" w:eastAsia="Aptos" w:hAnsi="Cambria"/>
                <w:sz w:val="20"/>
                <w:szCs w:val="20"/>
              </w:rPr>
            </w:pPr>
          </w:p>
        </w:tc>
        <w:tc>
          <w:tcPr>
            <w:tcW w:w="1338" w:type="dxa"/>
            <w:noWrap/>
            <w:hideMark/>
          </w:tcPr>
          <w:p w14:paraId="49F87FEC" w14:textId="77777777" w:rsidR="00413E4D" w:rsidRPr="009B605C" w:rsidRDefault="00413E4D" w:rsidP="0087752F">
            <w:pPr>
              <w:rPr>
                <w:rFonts w:ascii="Cambria" w:eastAsia="Aptos" w:hAnsi="Cambria"/>
                <w:sz w:val="20"/>
                <w:szCs w:val="20"/>
              </w:rPr>
            </w:pPr>
          </w:p>
        </w:tc>
        <w:tc>
          <w:tcPr>
            <w:tcW w:w="1039" w:type="dxa"/>
            <w:noWrap/>
            <w:hideMark/>
          </w:tcPr>
          <w:p w14:paraId="5D50618A" w14:textId="77777777" w:rsidR="00413E4D" w:rsidRPr="009B605C" w:rsidRDefault="00413E4D" w:rsidP="0087752F">
            <w:pPr>
              <w:rPr>
                <w:rFonts w:ascii="Cambria" w:eastAsia="Aptos" w:hAnsi="Cambria"/>
                <w:sz w:val="20"/>
                <w:szCs w:val="20"/>
              </w:rPr>
            </w:pPr>
          </w:p>
        </w:tc>
        <w:tc>
          <w:tcPr>
            <w:tcW w:w="1266" w:type="dxa"/>
            <w:noWrap/>
            <w:hideMark/>
          </w:tcPr>
          <w:p w14:paraId="6FBADF0B" w14:textId="77777777" w:rsidR="00413E4D" w:rsidRPr="009B605C" w:rsidRDefault="00413E4D" w:rsidP="0087752F">
            <w:pPr>
              <w:rPr>
                <w:rFonts w:ascii="Cambria" w:eastAsia="Aptos" w:hAnsi="Cambria"/>
                <w:sz w:val="20"/>
                <w:szCs w:val="20"/>
              </w:rPr>
            </w:pPr>
          </w:p>
        </w:tc>
      </w:tr>
      <w:tr w:rsidR="00413E4D" w:rsidRPr="009B605C" w14:paraId="7D86CC17" w14:textId="77777777" w:rsidTr="00413E4D">
        <w:trPr>
          <w:trHeight w:val="397"/>
        </w:trPr>
        <w:tc>
          <w:tcPr>
            <w:tcW w:w="2269" w:type="dxa"/>
            <w:noWrap/>
            <w:vAlign w:val="center"/>
            <w:hideMark/>
          </w:tcPr>
          <w:p w14:paraId="2D63FB7B" w14:textId="77777777" w:rsidR="00413E4D" w:rsidRPr="009B605C" w:rsidRDefault="00413E4D" w:rsidP="0087752F">
            <w:pPr>
              <w:rPr>
                <w:rFonts w:ascii="Cambria" w:hAnsi="Cambria"/>
                <w:color w:val="000000"/>
                <w:kern w:val="2"/>
                <w:sz w:val="20"/>
                <w:szCs w:val="20"/>
                <w:lang w:eastAsia="en-US"/>
                <w14:ligatures w14:val="standardContextual"/>
              </w:rPr>
            </w:pPr>
            <w:r w:rsidRPr="009B605C">
              <w:rPr>
                <w:rFonts w:ascii="Cambria" w:hAnsi="Cambria"/>
                <w:color w:val="000000"/>
                <w:sz w:val="20"/>
                <w:szCs w:val="20"/>
                <w:lang w:eastAsia="en-US"/>
              </w:rPr>
              <w:t>Brazil</w:t>
            </w:r>
          </w:p>
        </w:tc>
        <w:tc>
          <w:tcPr>
            <w:tcW w:w="1446" w:type="dxa"/>
            <w:noWrap/>
            <w:vAlign w:val="center"/>
            <w:hideMark/>
          </w:tcPr>
          <w:p w14:paraId="6FB362D7"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2.766</w:t>
            </w:r>
          </w:p>
        </w:tc>
        <w:tc>
          <w:tcPr>
            <w:tcW w:w="1134" w:type="dxa"/>
            <w:noWrap/>
            <w:vAlign w:val="center"/>
            <w:hideMark/>
          </w:tcPr>
          <w:p w14:paraId="4FE3C50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0.767</w:t>
            </w:r>
          </w:p>
        </w:tc>
        <w:tc>
          <w:tcPr>
            <w:tcW w:w="1468" w:type="dxa"/>
            <w:noWrap/>
            <w:vAlign w:val="center"/>
            <w:hideMark/>
          </w:tcPr>
          <w:p w14:paraId="700B2969"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67.722***</w:t>
            </w:r>
          </w:p>
        </w:tc>
        <w:tc>
          <w:tcPr>
            <w:tcW w:w="1338" w:type="dxa"/>
            <w:noWrap/>
            <w:vAlign w:val="center"/>
            <w:hideMark/>
          </w:tcPr>
          <w:p w14:paraId="774088F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199.222***</w:t>
            </w:r>
          </w:p>
        </w:tc>
        <w:tc>
          <w:tcPr>
            <w:tcW w:w="1039" w:type="dxa"/>
            <w:noWrap/>
            <w:vAlign w:val="center"/>
            <w:hideMark/>
          </w:tcPr>
          <w:p w14:paraId="01D46F30"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0.661</w:t>
            </w:r>
          </w:p>
        </w:tc>
        <w:tc>
          <w:tcPr>
            <w:tcW w:w="1266" w:type="dxa"/>
            <w:noWrap/>
            <w:vAlign w:val="center"/>
            <w:hideMark/>
          </w:tcPr>
          <w:p w14:paraId="4DBA421A"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598.955***</w:t>
            </w:r>
          </w:p>
        </w:tc>
      </w:tr>
      <w:tr w:rsidR="00413E4D" w:rsidRPr="009B605C" w14:paraId="346071DB" w14:textId="77777777" w:rsidTr="00413E4D">
        <w:trPr>
          <w:trHeight w:val="397"/>
        </w:trPr>
        <w:tc>
          <w:tcPr>
            <w:tcW w:w="2269" w:type="dxa"/>
            <w:noWrap/>
            <w:vAlign w:val="center"/>
            <w:hideMark/>
          </w:tcPr>
          <w:p w14:paraId="37508DB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Russia</w:t>
            </w:r>
          </w:p>
        </w:tc>
        <w:tc>
          <w:tcPr>
            <w:tcW w:w="1446" w:type="dxa"/>
            <w:noWrap/>
            <w:vAlign w:val="center"/>
            <w:hideMark/>
          </w:tcPr>
          <w:p w14:paraId="285A370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32.487***</w:t>
            </w:r>
          </w:p>
        </w:tc>
        <w:tc>
          <w:tcPr>
            <w:tcW w:w="1134" w:type="dxa"/>
            <w:noWrap/>
            <w:vAlign w:val="center"/>
            <w:hideMark/>
          </w:tcPr>
          <w:p w14:paraId="27FE815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1.979</w:t>
            </w:r>
          </w:p>
        </w:tc>
        <w:tc>
          <w:tcPr>
            <w:tcW w:w="1468" w:type="dxa"/>
            <w:noWrap/>
            <w:vAlign w:val="center"/>
            <w:hideMark/>
          </w:tcPr>
          <w:p w14:paraId="69B54A29"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110.059***</w:t>
            </w:r>
          </w:p>
        </w:tc>
        <w:tc>
          <w:tcPr>
            <w:tcW w:w="1338" w:type="dxa"/>
            <w:noWrap/>
            <w:vAlign w:val="center"/>
            <w:hideMark/>
          </w:tcPr>
          <w:p w14:paraId="6AEAF962"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621.936***</w:t>
            </w:r>
          </w:p>
        </w:tc>
        <w:tc>
          <w:tcPr>
            <w:tcW w:w="1039" w:type="dxa"/>
            <w:noWrap/>
            <w:vAlign w:val="center"/>
            <w:hideMark/>
          </w:tcPr>
          <w:p w14:paraId="536E136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1.522</w:t>
            </w:r>
          </w:p>
        </w:tc>
        <w:tc>
          <w:tcPr>
            <w:tcW w:w="1266" w:type="dxa"/>
            <w:noWrap/>
            <w:vAlign w:val="center"/>
            <w:hideMark/>
          </w:tcPr>
          <w:p w14:paraId="40EBE296"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1454.539***</w:t>
            </w:r>
          </w:p>
        </w:tc>
      </w:tr>
      <w:tr w:rsidR="00413E4D" w:rsidRPr="009B605C" w14:paraId="5B631061" w14:textId="77777777" w:rsidTr="00413E4D">
        <w:trPr>
          <w:trHeight w:val="397"/>
        </w:trPr>
        <w:tc>
          <w:tcPr>
            <w:tcW w:w="2269" w:type="dxa"/>
            <w:noWrap/>
            <w:vAlign w:val="center"/>
            <w:hideMark/>
          </w:tcPr>
          <w:p w14:paraId="72FC9E78"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India</w:t>
            </w:r>
          </w:p>
        </w:tc>
        <w:tc>
          <w:tcPr>
            <w:tcW w:w="1446" w:type="dxa"/>
            <w:noWrap/>
            <w:vAlign w:val="center"/>
            <w:hideMark/>
          </w:tcPr>
          <w:p w14:paraId="60585F79"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19.173***</w:t>
            </w:r>
          </w:p>
        </w:tc>
        <w:tc>
          <w:tcPr>
            <w:tcW w:w="1134" w:type="dxa"/>
            <w:noWrap/>
            <w:vAlign w:val="center"/>
            <w:hideMark/>
          </w:tcPr>
          <w:p w14:paraId="395384C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0.474</w:t>
            </w:r>
          </w:p>
        </w:tc>
        <w:tc>
          <w:tcPr>
            <w:tcW w:w="1468" w:type="dxa"/>
            <w:noWrap/>
            <w:vAlign w:val="center"/>
            <w:hideMark/>
          </w:tcPr>
          <w:p w14:paraId="541A1F6F" w14:textId="318ED2A4"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208.33</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c>
          <w:tcPr>
            <w:tcW w:w="1338" w:type="dxa"/>
            <w:noWrap/>
            <w:vAlign w:val="center"/>
            <w:hideMark/>
          </w:tcPr>
          <w:p w14:paraId="0934CE4D"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256.859***</w:t>
            </w:r>
          </w:p>
        </w:tc>
        <w:tc>
          <w:tcPr>
            <w:tcW w:w="1039" w:type="dxa"/>
            <w:noWrap/>
            <w:vAlign w:val="center"/>
            <w:hideMark/>
          </w:tcPr>
          <w:p w14:paraId="49DB25C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5.145***</w:t>
            </w:r>
          </w:p>
        </w:tc>
        <w:tc>
          <w:tcPr>
            <w:tcW w:w="1266" w:type="dxa"/>
            <w:noWrap/>
            <w:vAlign w:val="center"/>
            <w:hideMark/>
          </w:tcPr>
          <w:p w14:paraId="774634C3" w14:textId="246C7CF5"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900.68</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r>
      <w:tr w:rsidR="00413E4D" w:rsidRPr="009B605C" w14:paraId="45EF106B" w14:textId="77777777" w:rsidTr="00413E4D">
        <w:trPr>
          <w:trHeight w:val="397"/>
        </w:trPr>
        <w:tc>
          <w:tcPr>
            <w:tcW w:w="2269" w:type="dxa"/>
            <w:noWrap/>
            <w:vAlign w:val="center"/>
            <w:hideMark/>
          </w:tcPr>
          <w:p w14:paraId="027836A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China</w:t>
            </w:r>
          </w:p>
        </w:tc>
        <w:tc>
          <w:tcPr>
            <w:tcW w:w="1446" w:type="dxa"/>
            <w:noWrap/>
            <w:vAlign w:val="center"/>
            <w:hideMark/>
          </w:tcPr>
          <w:p w14:paraId="58D651BB" w14:textId="1F1A6BE8"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67.73</w:t>
            </w:r>
            <w:r w:rsidR="00D521F8" w:rsidRPr="009B605C">
              <w:rPr>
                <w:rFonts w:ascii="Cambria" w:hAnsi="Cambria"/>
                <w:color w:val="000000"/>
                <w:sz w:val="20"/>
                <w:szCs w:val="20"/>
                <w:lang w:eastAsia="en-US"/>
              </w:rPr>
              <w:t>0</w:t>
            </w:r>
            <w:r w:rsidRPr="009B605C">
              <w:rPr>
                <w:rFonts w:ascii="Cambria" w:hAnsi="Cambria"/>
                <w:color w:val="000000"/>
                <w:sz w:val="20"/>
                <w:szCs w:val="20"/>
                <w:lang w:eastAsia="en-US"/>
              </w:rPr>
              <w:t>***</w:t>
            </w:r>
          </w:p>
        </w:tc>
        <w:tc>
          <w:tcPr>
            <w:tcW w:w="1134" w:type="dxa"/>
            <w:noWrap/>
            <w:vAlign w:val="center"/>
            <w:hideMark/>
          </w:tcPr>
          <w:p w14:paraId="310A4655"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0.711</w:t>
            </w:r>
          </w:p>
        </w:tc>
        <w:tc>
          <w:tcPr>
            <w:tcW w:w="1468" w:type="dxa"/>
            <w:noWrap/>
            <w:vAlign w:val="center"/>
            <w:hideMark/>
          </w:tcPr>
          <w:p w14:paraId="7238FBB9"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413.004***</w:t>
            </w:r>
          </w:p>
        </w:tc>
        <w:tc>
          <w:tcPr>
            <w:tcW w:w="1338" w:type="dxa"/>
            <w:noWrap/>
            <w:vAlign w:val="center"/>
            <w:hideMark/>
          </w:tcPr>
          <w:p w14:paraId="0F1DE80A"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195.843***</w:t>
            </w:r>
          </w:p>
        </w:tc>
        <w:tc>
          <w:tcPr>
            <w:tcW w:w="1039" w:type="dxa"/>
            <w:noWrap/>
            <w:vAlign w:val="center"/>
            <w:hideMark/>
          </w:tcPr>
          <w:p w14:paraId="095B769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0.816</w:t>
            </w:r>
          </w:p>
        </w:tc>
        <w:tc>
          <w:tcPr>
            <w:tcW w:w="1266" w:type="dxa"/>
            <w:noWrap/>
            <w:vAlign w:val="center"/>
            <w:hideMark/>
          </w:tcPr>
          <w:p w14:paraId="14E23A9B"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480.718***</w:t>
            </w:r>
          </w:p>
        </w:tc>
      </w:tr>
      <w:tr w:rsidR="00413E4D" w:rsidRPr="009B605C" w14:paraId="3E01C3EF" w14:textId="77777777" w:rsidTr="00C25061">
        <w:trPr>
          <w:trHeight w:val="397"/>
        </w:trPr>
        <w:tc>
          <w:tcPr>
            <w:tcW w:w="2269" w:type="dxa"/>
            <w:tcBorders>
              <w:top w:val="nil"/>
              <w:left w:val="nil"/>
              <w:bottom w:val="double" w:sz="4" w:space="0" w:color="auto"/>
              <w:right w:val="nil"/>
            </w:tcBorders>
            <w:noWrap/>
            <w:vAlign w:val="center"/>
            <w:hideMark/>
          </w:tcPr>
          <w:p w14:paraId="7F55B6FA"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South Africa</w:t>
            </w:r>
          </w:p>
        </w:tc>
        <w:tc>
          <w:tcPr>
            <w:tcW w:w="1446" w:type="dxa"/>
            <w:tcBorders>
              <w:top w:val="nil"/>
              <w:left w:val="nil"/>
              <w:bottom w:val="double" w:sz="4" w:space="0" w:color="auto"/>
              <w:right w:val="nil"/>
            </w:tcBorders>
            <w:noWrap/>
            <w:vAlign w:val="center"/>
            <w:hideMark/>
          </w:tcPr>
          <w:p w14:paraId="16599A6C"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47.985***</w:t>
            </w:r>
          </w:p>
        </w:tc>
        <w:tc>
          <w:tcPr>
            <w:tcW w:w="1134" w:type="dxa"/>
            <w:tcBorders>
              <w:top w:val="nil"/>
              <w:left w:val="nil"/>
              <w:bottom w:val="double" w:sz="4" w:space="0" w:color="auto"/>
              <w:right w:val="nil"/>
            </w:tcBorders>
            <w:noWrap/>
            <w:vAlign w:val="center"/>
            <w:hideMark/>
          </w:tcPr>
          <w:p w14:paraId="0685CF9E"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5.049***</w:t>
            </w:r>
          </w:p>
        </w:tc>
        <w:tc>
          <w:tcPr>
            <w:tcW w:w="1468" w:type="dxa"/>
            <w:tcBorders>
              <w:top w:val="nil"/>
              <w:left w:val="nil"/>
              <w:bottom w:val="double" w:sz="4" w:space="0" w:color="auto"/>
              <w:right w:val="nil"/>
            </w:tcBorders>
            <w:noWrap/>
            <w:vAlign w:val="center"/>
            <w:hideMark/>
          </w:tcPr>
          <w:p w14:paraId="567AA495"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338.735***</w:t>
            </w:r>
          </w:p>
        </w:tc>
        <w:tc>
          <w:tcPr>
            <w:tcW w:w="1338" w:type="dxa"/>
            <w:tcBorders>
              <w:top w:val="nil"/>
              <w:left w:val="nil"/>
              <w:bottom w:val="double" w:sz="4" w:space="0" w:color="auto"/>
              <w:right w:val="nil"/>
            </w:tcBorders>
            <w:noWrap/>
            <w:vAlign w:val="center"/>
            <w:hideMark/>
          </w:tcPr>
          <w:p w14:paraId="3A08CD35"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429.223***</w:t>
            </w:r>
          </w:p>
        </w:tc>
        <w:tc>
          <w:tcPr>
            <w:tcW w:w="1039" w:type="dxa"/>
            <w:tcBorders>
              <w:top w:val="nil"/>
              <w:left w:val="nil"/>
              <w:bottom w:val="double" w:sz="4" w:space="0" w:color="auto"/>
              <w:right w:val="nil"/>
            </w:tcBorders>
            <w:noWrap/>
            <w:vAlign w:val="center"/>
            <w:hideMark/>
          </w:tcPr>
          <w:p w14:paraId="7EB5455D"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1.005</w:t>
            </w:r>
          </w:p>
        </w:tc>
        <w:tc>
          <w:tcPr>
            <w:tcW w:w="1266" w:type="dxa"/>
            <w:tcBorders>
              <w:top w:val="nil"/>
              <w:left w:val="nil"/>
              <w:bottom w:val="double" w:sz="4" w:space="0" w:color="auto"/>
              <w:right w:val="nil"/>
            </w:tcBorders>
            <w:noWrap/>
            <w:vAlign w:val="center"/>
            <w:hideMark/>
          </w:tcPr>
          <w:p w14:paraId="0B32FC32" w14:textId="77777777" w:rsidR="00413E4D" w:rsidRPr="009B605C" w:rsidRDefault="00413E4D" w:rsidP="0087752F">
            <w:pPr>
              <w:rPr>
                <w:rFonts w:ascii="Cambria" w:hAnsi="Cambria"/>
                <w:color w:val="000000"/>
                <w:sz w:val="20"/>
                <w:szCs w:val="20"/>
                <w:lang w:eastAsia="en-US"/>
              </w:rPr>
            </w:pPr>
            <w:r w:rsidRPr="009B605C">
              <w:rPr>
                <w:rFonts w:ascii="Cambria" w:hAnsi="Cambria"/>
                <w:color w:val="000000"/>
                <w:sz w:val="20"/>
                <w:szCs w:val="20"/>
                <w:lang w:eastAsia="en-US"/>
              </w:rPr>
              <w:t>773.644***</w:t>
            </w:r>
          </w:p>
        </w:tc>
      </w:tr>
    </w:tbl>
    <w:p w14:paraId="4AB637BB" w14:textId="2FA1708E" w:rsidR="00C50B25" w:rsidRPr="009B605C" w:rsidRDefault="00C50B25" w:rsidP="0087752F">
      <w:pPr>
        <w:ind w:left="-426" w:right="259"/>
        <w:jc w:val="both"/>
        <w:rPr>
          <w:rFonts w:ascii="Cambria" w:hAnsi="Cambria"/>
          <w:sz w:val="20"/>
          <w:szCs w:val="20"/>
        </w:rPr>
      </w:pPr>
      <w:r w:rsidRPr="009B605C">
        <w:rPr>
          <w:rFonts w:ascii="Cambria" w:hAnsi="Cambria"/>
          <w:b/>
          <w:bCs/>
          <w:sz w:val="20"/>
          <w:szCs w:val="20"/>
        </w:rPr>
        <w:t>Note:</w:t>
      </w:r>
      <w:r w:rsidRPr="009B605C">
        <w:rPr>
          <w:rFonts w:ascii="Cambria" w:hAnsi="Cambria"/>
          <w:sz w:val="20"/>
          <w:szCs w:val="20"/>
        </w:rPr>
        <w:t xml:space="preserve"> Entries correspond to the mean Wald (MeanW), Nyblom (Nyblom), and Quandt Likelihood Ratio (</w:t>
      </w:r>
      <w:proofErr w:type="spellStart"/>
      <w:r w:rsidRPr="009B605C">
        <w:rPr>
          <w:rFonts w:ascii="Cambria" w:hAnsi="Cambria"/>
          <w:sz w:val="20"/>
          <w:szCs w:val="20"/>
        </w:rPr>
        <w:t>SupLR</w:t>
      </w:r>
      <w:proofErr w:type="spellEnd"/>
      <w:r w:rsidRPr="009B605C">
        <w:rPr>
          <w:rFonts w:ascii="Cambria" w:hAnsi="Cambria"/>
          <w:sz w:val="20"/>
          <w:szCs w:val="20"/>
        </w:rPr>
        <w:t>) test statistics from TVP-GC test of Rossi and Wang (2019).</w:t>
      </w:r>
      <w:r w:rsidRPr="009B605C">
        <w:rPr>
          <w:rFonts w:ascii="Cambria" w:hAnsi="Cambria"/>
        </w:rPr>
        <w:t xml:space="preserve"> </w:t>
      </w:r>
      <w:r w:rsidRPr="009B605C">
        <w:rPr>
          <w:rFonts w:ascii="Cambria" w:hAnsi="Cambria"/>
          <w:sz w:val="20"/>
          <w:szCs w:val="20"/>
        </w:rPr>
        <w:t>The null hypothesis is that potential safe haven (gold or Crypto) does not Granger cause stock returns. We assume heteroskedastic and serially correlated idiosyncratic shocks. ***, **, and * denote 1%, 5%, and 10% statistical significance levels, respectively.</w:t>
      </w:r>
    </w:p>
    <w:p w14:paraId="5C144AFB" w14:textId="790A122F" w:rsidR="00C50B25" w:rsidRPr="009B605C" w:rsidRDefault="00C50B25" w:rsidP="0087752F">
      <w:pPr>
        <w:rPr>
          <w:rFonts w:ascii="Cambria" w:hAnsi="Cambria"/>
        </w:rPr>
      </w:pPr>
    </w:p>
    <w:sectPr w:rsidR="00C50B25" w:rsidRPr="009B605C" w:rsidSect="00C673AD">
      <w:pgSz w:w="11906" w:h="16838"/>
      <w:pgMar w:top="1440" w:right="56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3BB35" w14:textId="77777777" w:rsidR="00F25F64" w:rsidRPr="009B605C" w:rsidRDefault="00F25F64" w:rsidP="002F3475">
      <w:r w:rsidRPr="009B605C">
        <w:separator/>
      </w:r>
    </w:p>
  </w:endnote>
  <w:endnote w:type="continuationSeparator" w:id="0">
    <w:p w14:paraId="4037579B" w14:textId="77777777" w:rsidR="00F25F64" w:rsidRPr="009B605C" w:rsidRDefault="00F25F64" w:rsidP="002F3475">
      <w:r w:rsidRPr="009B60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M Roman 12">
    <w:altName w:val="Calibri"/>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628447"/>
      <w:docPartObj>
        <w:docPartGallery w:val="Page Numbers (Bottom of Page)"/>
        <w:docPartUnique/>
      </w:docPartObj>
    </w:sdtPr>
    <w:sdtContent>
      <w:p w14:paraId="4C56A7E0" w14:textId="7E1712AA" w:rsidR="003A4E59" w:rsidRPr="009B605C" w:rsidRDefault="003A4E59">
        <w:pPr>
          <w:pStyle w:val="Footer"/>
          <w:jc w:val="right"/>
        </w:pPr>
        <w:r w:rsidRPr="009B605C">
          <w:fldChar w:fldCharType="begin"/>
        </w:r>
        <w:r w:rsidRPr="009B605C">
          <w:instrText xml:space="preserve"> PAGE   \* MERGEFORMAT </w:instrText>
        </w:r>
        <w:r w:rsidRPr="009B605C">
          <w:fldChar w:fldCharType="separate"/>
        </w:r>
        <w:r w:rsidRPr="009B605C">
          <w:t>2</w:t>
        </w:r>
        <w:r w:rsidRPr="009B605C">
          <w:fldChar w:fldCharType="end"/>
        </w:r>
      </w:p>
    </w:sdtContent>
  </w:sdt>
  <w:p w14:paraId="28B86643" w14:textId="77777777" w:rsidR="003A4E59" w:rsidRPr="009B605C" w:rsidRDefault="003A4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D6B5F" w14:textId="77777777" w:rsidR="004A0585" w:rsidRPr="009B605C" w:rsidRDefault="004A0585" w:rsidP="004A0585">
    <w:pPr>
      <w:pStyle w:val="Footer"/>
      <w:jc w:val="both"/>
      <w:rPr>
        <w:rFonts w:ascii="LM Roman 12" w:hAnsi="LM Roman 12"/>
        <w:sz w:val="20"/>
        <w:szCs w:val="20"/>
      </w:rPr>
    </w:pPr>
  </w:p>
  <w:p w14:paraId="03E5F31A" w14:textId="77777777" w:rsidR="004A0585" w:rsidRPr="009B605C" w:rsidRDefault="004A0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F5716" w14:textId="77777777" w:rsidR="00F25F64" w:rsidRPr="009B605C" w:rsidRDefault="00F25F64" w:rsidP="002F3475">
      <w:r w:rsidRPr="009B605C">
        <w:separator/>
      </w:r>
    </w:p>
  </w:footnote>
  <w:footnote w:type="continuationSeparator" w:id="0">
    <w:p w14:paraId="535F5ADA" w14:textId="77777777" w:rsidR="00F25F64" w:rsidRPr="009B605C" w:rsidRDefault="00F25F64" w:rsidP="002F3475">
      <w:r w:rsidRPr="009B605C">
        <w:continuationSeparator/>
      </w:r>
    </w:p>
  </w:footnote>
  <w:footnote w:id="1">
    <w:p w14:paraId="21FCB6D4" w14:textId="37F7C6D5" w:rsidR="002F3475" w:rsidRPr="009B605C" w:rsidRDefault="002F3475" w:rsidP="0087752F">
      <w:pPr>
        <w:pStyle w:val="FootnoteText"/>
        <w:jc w:val="both"/>
        <w:rPr>
          <w:rFonts w:ascii="Cambria" w:hAnsi="Cambria"/>
        </w:rPr>
      </w:pPr>
      <w:r w:rsidRPr="009B605C">
        <w:rPr>
          <w:rStyle w:val="FootnoteReference"/>
          <w:rFonts w:ascii="Cambria" w:hAnsi="Cambria"/>
        </w:rPr>
        <w:footnoteRef/>
      </w:r>
      <w:r w:rsidRPr="009B605C">
        <w:rPr>
          <w:rFonts w:ascii="Cambria" w:hAnsi="Cambria"/>
        </w:rPr>
        <w:t xml:space="preserve"> Our study employ</w:t>
      </w:r>
      <w:r w:rsidR="006F1B7A" w:rsidRPr="009B605C">
        <w:rPr>
          <w:rFonts w:ascii="Cambria" w:hAnsi="Cambria"/>
        </w:rPr>
        <w:t>s</w:t>
      </w:r>
      <w:r w:rsidRPr="009B605C">
        <w:rPr>
          <w:rFonts w:ascii="Cambria" w:hAnsi="Cambria"/>
        </w:rPr>
        <w:t xml:space="preserve"> Newey and West's (1987) kernel-based HAC covariance estimator with Newey and West's (1994) automatic bandwidth selection to handle possible heteroskedasticity and autocorrelation in the error term.</w:t>
      </w:r>
    </w:p>
  </w:footnote>
  <w:footnote w:id="2">
    <w:p w14:paraId="47446120" w14:textId="49662421" w:rsidR="0029178F" w:rsidRPr="008E212E" w:rsidRDefault="0029178F" w:rsidP="0029178F">
      <w:pPr>
        <w:pStyle w:val="FootnoteText"/>
        <w:rPr>
          <w:rFonts w:ascii="Cambria" w:hAnsi="Cambria"/>
        </w:rPr>
      </w:pPr>
      <w:r w:rsidRPr="009B605C">
        <w:rPr>
          <w:rStyle w:val="FootnoteReference"/>
          <w:rFonts w:ascii="Cambria" w:hAnsi="Cambria"/>
        </w:rPr>
        <w:footnoteRef/>
      </w:r>
      <w:r w:rsidRPr="009B605C">
        <w:rPr>
          <w:rFonts w:ascii="Cambria" w:hAnsi="Cambria"/>
        </w:rPr>
        <w:t xml:space="preserve"> The results for the reverse causality are available in Table A.1 </w:t>
      </w:r>
      <w:r w:rsidR="00B923A6" w:rsidRPr="009B605C">
        <w:rPr>
          <w:rFonts w:ascii="Cambria" w:hAnsi="Cambria"/>
        </w:rPr>
        <w:t xml:space="preserve">in </w:t>
      </w:r>
      <w:r w:rsidRPr="009B605C">
        <w:rPr>
          <w:rFonts w:ascii="Cambria" w:hAnsi="Cambria"/>
        </w:rPr>
        <w:t>the Appendix.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7BC"/>
    <w:multiLevelType w:val="hybridMultilevel"/>
    <w:tmpl w:val="0D5252E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975287"/>
    <w:multiLevelType w:val="hybridMultilevel"/>
    <w:tmpl w:val="A88C6D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7631EFA"/>
    <w:multiLevelType w:val="hybridMultilevel"/>
    <w:tmpl w:val="5810D274"/>
    <w:lvl w:ilvl="0" w:tplc="94168C0E">
      <w:start w:val="1"/>
      <w:numFmt w:val="decimal"/>
      <w:lvlText w:val="%1)"/>
      <w:lvlJc w:val="left"/>
      <w:pPr>
        <w:ind w:left="822" w:hanging="360"/>
      </w:pPr>
      <w:rPr>
        <w:rFonts w:hint="default"/>
      </w:rPr>
    </w:lvl>
    <w:lvl w:ilvl="1" w:tplc="08090019" w:tentative="1">
      <w:start w:val="1"/>
      <w:numFmt w:val="lowerLetter"/>
      <w:lvlText w:val="%2."/>
      <w:lvlJc w:val="left"/>
      <w:pPr>
        <w:ind w:left="1542" w:hanging="360"/>
      </w:pPr>
    </w:lvl>
    <w:lvl w:ilvl="2" w:tplc="0809001B" w:tentative="1">
      <w:start w:val="1"/>
      <w:numFmt w:val="lowerRoman"/>
      <w:lvlText w:val="%3."/>
      <w:lvlJc w:val="right"/>
      <w:pPr>
        <w:ind w:left="2262" w:hanging="180"/>
      </w:pPr>
    </w:lvl>
    <w:lvl w:ilvl="3" w:tplc="0809000F" w:tentative="1">
      <w:start w:val="1"/>
      <w:numFmt w:val="decimal"/>
      <w:lvlText w:val="%4."/>
      <w:lvlJc w:val="left"/>
      <w:pPr>
        <w:ind w:left="2982" w:hanging="360"/>
      </w:pPr>
    </w:lvl>
    <w:lvl w:ilvl="4" w:tplc="08090019" w:tentative="1">
      <w:start w:val="1"/>
      <w:numFmt w:val="lowerLetter"/>
      <w:lvlText w:val="%5."/>
      <w:lvlJc w:val="left"/>
      <w:pPr>
        <w:ind w:left="3702" w:hanging="360"/>
      </w:pPr>
    </w:lvl>
    <w:lvl w:ilvl="5" w:tplc="0809001B" w:tentative="1">
      <w:start w:val="1"/>
      <w:numFmt w:val="lowerRoman"/>
      <w:lvlText w:val="%6."/>
      <w:lvlJc w:val="right"/>
      <w:pPr>
        <w:ind w:left="4422" w:hanging="180"/>
      </w:pPr>
    </w:lvl>
    <w:lvl w:ilvl="6" w:tplc="0809000F" w:tentative="1">
      <w:start w:val="1"/>
      <w:numFmt w:val="decimal"/>
      <w:lvlText w:val="%7."/>
      <w:lvlJc w:val="left"/>
      <w:pPr>
        <w:ind w:left="5142" w:hanging="360"/>
      </w:pPr>
    </w:lvl>
    <w:lvl w:ilvl="7" w:tplc="08090019" w:tentative="1">
      <w:start w:val="1"/>
      <w:numFmt w:val="lowerLetter"/>
      <w:lvlText w:val="%8."/>
      <w:lvlJc w:val="left"/>
      <w:pPr>
        <w:ind w:left="5862" w:hanging="360"/>
      </w:pPr>
    </w:lvl>
    <w:lvl w:ilvl="8" w:tplc="0809001B" w:tentative="1">
      <w:start w:val="1"/>
      <w:numFmt w:val="lowerRoman"/>
      <w:lvlText w:val="%9."/>
      <w:lvlJc w:val="right"/>
      <w:pPr>
        <w:ind w:left="6582" w:hanging="180"/>
      </w:pPr>
    </w:lvl>
  </w:abstractNum>
  <w:abstractNum w:abstractNumId="3" w15:restartNumberingAfterBreak="0">
    <w:nsid w:val="52222A6C"/>
    <w:multiLevelType w:val="hybridMultilevel"/>
    <w:tmpl w:val="8834CCFA"/>
    <w:lvl w:ilvl="0" w:tplc="4472177E">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C6F79"/>
    <w:multiLevelType w:val="hybridMultilevel"/>
    <w:tmpl w:val="B5FC2468"/>
    <w:lvl w:ilvl="0" w:tplc="0040E14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C53BB0"/>
    <w:multiLevelType w:val="hybridMultilevel"/>
    <w:tmpl w:val="A88C6D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6659126">
    <w:abstractNumId w:val="0"/>
  </w:num>
  <w:num w:numId="2" w16cid:durableId="2075811288">
    <w:abstractNumId w:val="4"/>
  </w:num>
  <w:num w:numId="3" w16cid:durableId="1144812620">
    <w:abstractNumId w:val="5"/>
  </w:num>
  <w:num w:numId="4" w16cid:durableId="140663535">
    <w:abstractNumId w:val="2"/>
  </w:num>
  <w:num w:numId="5" w16cid:durableId="1087969532">
    <w:abstractNumId w:val="1"/>
  </w:num>
  <w:num w:numId="6" w16cid:durableId="697435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3E"/>
    <w:rsid w:val="0000168F"/>
    <w:rsid w:val="00013771"/>
    <w:rsid w:val="0001398D"/>
    <w:rsid w:val="00013B42"/>
    <w:rsid w:val="00014089"/>
    <w:rsid w:val="0001411E"/>
    <w:rsid w:val="00014D7F"/>
    <w:rsid w:val="00015F7B"/>
    <w:rsid w:val="00017175"/>
    <w:rsid w:val="000216D2"/>
    <w:rsid w:val="00021DF3"/>
    <w:rsid w:val="00025A1A"/>
    <w:rsid w:val="00040A1B"/>
    <w:rsid w:val="000420A6"/>
    <w:rsid w:val="000420CB"/>
    <w:rsid w:val="00043959"/>
    <w:rsid w:val="00045112"/>
    <w:rsid w:val="00046B92"/>
    <w:rsid w:val="00047754"/>
    <w:rsid w:val="00051658"/>
    <w:rsid w:val="000526C2"/>
    <w:rsid w:val="00056A44"/>
    <w:rsid w:val="000570D5"/>
    <w:rsid w:val="0006466A"/>
    <w:rsid w:val="000659B7"/>
    <w:rsid w:val="000745C2"/>
    <w:rsid w:val="00075508"/>
    <w:rsid w:val="00075A7F"/>
    <w:rsid w:val="00075EC7"/>
    <w:rsid w:val="00077E8A"/>
    <w:rsid w:val="00080B07"/>
    <w:rsid w:val="000818B6"/>
    <w:rsid w:val="000876FB"/>
    <w:rsid w:val="0008799A"/>
    <w:rsid w:val="00090BB6"/>
    <w:rsid w:val="00090F09"/>
    <w:rsid w:val="00093424"/>
    <w:rsid w:val="00095F15"/>
    <w:rsid w:val="00096720"/>
    <w:rsid w:val="000978E9"/>
    <w:rsid w:val="000A1E23"/>
    <w:rsid w:val="000A53F8"/>
    <w:rsid w:val="000B0D1D"/>
    <w:rsid w:val="000B3AB5"/>
    <w:rsid w:val="000B7586"/>
    <w:rsid w:val="000C16FD"/>
    <w:rsid w:val="000C2F14"/>
    <w:rsid w:val="000C4938"/>
    <w:rsid w:val="000C51DC"/>
    <w:rsid w:val="000C667A"/>
    <w:rsid w:val="000C7184"/>
    <w:rsid w:val="000C7320"/>
    <w:rsid w:val="000D0018"/>
    <w:rsid w:val="000D4ACE"/>
    <w:rsid w:val="000D68E4"/>
    <w:rsid w:val="000D70C0"/>
    <w:rsid w:val="000D7805"/>
    <w:rsid w:val="000E3AF7"/>
    <w:rsid w:val="000E45B7"/>
    <w:rsid w:val="000E7B89"/>
    <w:rsid w:val="00104E1E"/>
    <w:rsid w:val="00111ABA"/>
    <w:rsid w:val="00112A28"/>
    <w:rsid w:val="00114D16"/>
    <w:rsid w:val="00123D1D"/>
    <w:rsid w:val="00126380"/>
    <w:rsid w:val="00127B77"/>
    <w:rsid w:val="0013177C"/>
    <w:rsid w:val="00134CE3"/>
    <w:rsid w:val="001359F7"/>
    <w:rsid w:val="00136C00"/>
    <w:rsid w:val="001378F7"/>
    <w:rsid w:val="00140257"/>
    <w:rsid w:val="001414EA"/>
    <w:rsid w:val="00141D17"/>
    <w:rsid w:val="00146366"/>
    <w:rsid w:val="00154FCA"/>
    <w:rsid w:val="00156473"/>
    <w:rsid w:val="0016167C"/>
    <w:rsid w:val="0016239C"/>
    <w:rsid w:val="00162576"/>
    <w:rsid w:val="00171234"/>
    <w:rsid w:val="00180993"/>
    <w:rsid w:val="00180C4A"/>
    <w:rsid w:val="00183466"/>
    <w:rsid w:val="00187916"/>
    <w:rsid w:val="00187A8E"/>
    <w:rsid w:val="0019352E"/>
    <w:rsid w:val="00193854"/>
    <w:rsid w:val="001947CB"/>
    <w:rsid w:val="00195345"/>
    <w:rsid w:val="00197102"/>
    <w:rsid w:val="001A76A8"/>
    <w:rsid w:val="001B4813"/>
    <w:rsid w:val="001B5083"/>
    <w:rsid w:val="001B6CBB"/>
    <w:rsid w:val="001C378D"/>
    <w:rsid w:val="001C7314"/>
    <w:rsid w:val="001D116D"/>
    <w:rsid w:val="001D2A24"/>
    <w:rsid w:val="001D36B3"/>
    <w:rsid w:val="001D3BD0"/>
    <w:rsid w:val="001D7C9D"/>
    <w:rsid w:val="001E0BE8"/>
    <w:rsid w:val="001E1DAB"/>
    <w:rsid w:val="001E23CB"/>
    <w:rsid w:val="001E27BC"/>
    <w:rsid w:val="001E38A3"/>
    <w:rsid w:val="001E762F"/>
    <w:rsid w:val="001F03C2"/>
    <w:rsid w:val="001F0A77"/>
    <w:rsid w:val="001F6257"/>
    <w:rsid w:val="00201282"/>
    <w:rsid w:val="002050A2"/>
    <w:rsid w:val="00207019"/>
    <w:rsid w:val="0020746D"/>
    <w:rsid w:val="002110FE"/>
    <w:rsid w:val="002114E1"/>
    <w:rsid w:val="00211F75"/>
    <w:rsid w:val="00215E08"/>
    <w:rsid w:val="00216C69"/>
    <w:rsid w:val="0022067E"/>
    <w:rsid w:val="00222364"/>
    <w:rsid w:val="00223A61"/>
    <w:rsid w:val="002241B7"/>
    <w:rsid w:val="00225D96"/>
    <w:rsid w:val="00226362"/>
    <w:rsid w:val="002348D0"/>
    <w:rsid w:val="0023568C"/>
    <w:rsid w:val="002365D7"/>
    <w:rsid w:val="00251040"/>
    <w:rsid w:val="002518A4"/>
    <w:rsid w:val="00254C63"/>
    <w:rsid w:val="00255521"/>
    <w:rsid w:val="002574E6"/>
    <w:rsid w:val="00257FC5"/>
    <w:rsid w:val="002605E8"/>
    <w:rsid w:val="0026226B"/>
    <w:rsid w:val="00263030"/>
    <w:rsid w:val="00263FD8"/>
    <w:rsid w:val="0026602A"/>
    <w:rsid w:val="00266A00"/>
    <w:rsid w:val="00270739"/>
    <w:rsid w:val="00272551"/>
    <w:rsid w:val="002730C6"/>
    <w:rsid w:val="00273D25"/>
    <w:rsid w:val="00275B4F"/>
    <w:rsid w:val="002769C8"/>
    <w:rsid w:val="00277288"/>
    <w:rsid w:val="00277987"/>
    <w:rsid w:val="0029178F"/>
    <w:rsid w:val="00292750"/>
    <w:rsid w:val="002A31A5"/>
    <w:rsid w:val="002A387F"/>
    <w:rsid w:val="002A3948"/>
    <w:rsid w:val="002A49A8"/>
    <w:rsid w:val="002A672B"/>
    <w:rsid w:val="002A7094"/>
    <w:rsid w:val="002B1120"/>
    <w:rsid w:val="002B1DEF"/>
    <w:rsid w:val="002B3885"/>
    <w:rsid w:val="002B5716"/>
    <w:rsid w:val="002C3E17"/>
    <w:rsid w:val="002D1E02"/>
    <w:rsid w:val="002E31D6"/>
    <w:rsid w:val="002E7160"/>
    <w:rsid w:val="002E74E8"/>
    <w:rsid w:val="002F3475"/>
    <w:rsid w:val="002F3F02"/>
    <w:rsid w:val="002F7579"/>
    <w:rsid w:val="00303297"/>
    <w:rsid w:val="00303FED"/>
    <w:rsid w:val="00306074"/>
    <w:rsid w:val="00307D15"/>
    <w:rsid w:val="003121A8"/>
    <w:rsid w:val="00312762"/>
    <w:rsid w:val="00314F5D"/>
    <w:rsid w:val="003166D7"/>
    <w:rsid w:val="00316A2D"/>
    <w:rsid w:val="003171C0"/>
    <w:rsid w:val="00322869"/>
    <w:rsid w:val="00323399"/>
    <w:rsid w:val="003239B5"/>
    <w:rsid w:val="00326D93"/>
    <w:rsid w:val="0033031C"/>
    <w:rsid w:val="00331F10"/>
    <w:rsid w:val="00332F28"/>
    <w:rsid w:val="00333119"/>
    <w:rsid w:val="00334F3C"/>
    <w:rsid w:val="00335E39"/>
    <w:rsid w:val="0033688B"/>
    <w:rsid w:val="003446AA"/>
    <w:rsid w:val="00347EB4"/>
    <w:rsid w:val="00364A03"/>
    <w:rsid w:val="00364B01"/>
    <w:rsid w:val="003734E1"/>
    <w:rsid w:val="00373535"/>
    <w:rsid w:val="00374893"/>
    <w:rsid w:val="003767F4"/>
    <w:rsid w:val="00380D1B"/>
    <w:rsid w:val="00383EA1"/>
    <w:rsid w:val="0038799E"/>
    <w:rsid w:val="0039189B"/>
    <w:rsid w:val="00396412"/>
    <w:rsid w:val="003966F1"/>
    <w:rsid w:val="003A0CFD"/>
    <w:rsid w:val="003A1E8C"/>
    <w:rsid w:val="003A4E59"/>
    <w:rsid w:val="003A5421"/>
    <w:rsid w:val="003A5523"/>
    <w:rsid w:val="003A7B90"/>
    <w:rsid w:val="003B07A6"/>
    <w:rsid w:val="003B28D7"/>
    <w:rsid w:val="003B2B93"/>
    <w:rsid w:val="003B38C1"/>
    <w:rsid w:val="003B44CE"/>
    <w:rsid w:val="003B5737"/>
    <w:rsid w:val="003B775B"/>
    <w:rsid w:val="003C1565"/>
    <w:rsid w:val="003C5F7E"/>
    <w:rsid w:val="003D536D"/>
    <w:rsid w:val="003E3BCB"/>
    <w:rsid w:val="003E3FC8"/>
    <w:rsid w:val="003E56BF"/>
    <w:rsid w:val="003E5CE5"/>
    <w:rsid w:val="003E5D71"/>
    <w:rsid w:val="003E6CF1"/>
    <w:rsid w:val="003E7282"/>
    <w:rsid w:val="003E7C19"/>
    <w:rsid w:val="003F0377"/>
    <w:rsid w:val="003F3E2F"/>
    <w:rsid w:val="003F671D"/>
    <w:rsid w:val="00400822"/>
    <w:rsid w:val="0040175D"/>
    <w:rsid w:val="00412C3F"/>
    <w:rsid w:val="00413731"/>
    <w:rsid w:val="00413E4D"/>
    <w:rsid w:val="0041415E"/>
    <w:rsid w:val="00415498"/>
    <w:rsid w:val="004168D7"/>
    <w:rsid w:val="00417139"/>
    <w:rsid w:val="00420CB5"/>
    <w:rsid w:val="00424286"/>
    <w:rsid w:val="004245F5"/>
    <w:rsid w:val="00425711"/>
    <w:rsid w:val="00430E26"/>
    <w:rsid w:val="00430E3B"/>
    <w:rsid w:val="00433DD1"/>
    <w:rsid w:val="00442FCF"/>
    <w:rsid w:val="0044303F"/>
    <w:rsid w:val="0044383F"/>
    <w:rsid w:val="00444612"/>
    <w:rsid w:val="0044755F"/>
    <w:rsid w:val="00451350"/>
    <w:rsid w:val="00452609"/>
    <w:rsid w:val="0045264D"/>
    <w:rsid w:val="004540CB"/>
    <w:rsid w:val="00455B01"/>
    <w:rsid w:val="00457435"/>
    <w:rsid w:val="00460658"/>
    <w:rsid w:val="00463C66"/>
    <w:rsid w:val="0046481B"/>
    <w:rsid w:val="004679A7"/>
    <w:rsid w:val="00470545"/>
    <w:rsid w:val="00472950"/>
    <w:rsid w:val="0047332B"/>
    <w:rsid w:val="0047381E"/>
    <w:rsid w:val="00474121"/>
    <w:rsid w:val="00474972"/>
    <w:rsid w:val="0047530A"/>
    <w:rsid w:val="004820C0"/>
    <w:rsid w:val="00483E3B"/>
    <w:rsid w:val="00487646"/>
    <w:rsid w:val="0049249E"/>
    <w:rsid w:val="00492B2F"/>
    <w:rsid w:val="004A0585"/>
    <w:rsid w:val="004A315D"/>
    <w:rsid w:val="004A39A2"/>
    <w:rsid w:val="004A6049"/>
    <w:rsid w:val="004A604E"/>
    <w:rsid w:val="004A6254"/>
    <w:rsid w:val="004A6D3F"/>
    <w:rsid w:val="004A7BA7"/>
    <w:rsid w:val="004C187B"/>
    <w:rsid w:val="004C199B"/>
    <w:rsid w:val="004C1EE2"/>
    <w:rsid w:val="004C2C8A"/>
    <w:rsid w:val="004C369F"/>
    <w:rsid w:val="004C3C90"/>
    <w:rsid w:val="004C5948"/>
    <w:rsid w:val="004C723F"/>
    <w:rsid w:val="004C76BC"/>
    <w:rsid w:val="004D403D"/>
    <w:rsid w:val="004E307B"/>
    <w:rsid w:val="004E57FE"/>
    <w:rsid w:val="004F3987"/>
    <w:rsid w:val="004F57E7"/>
    <w:rsid w:val="004F69A4"/>
    <w:rsid w:val="00504C83"/>
    <w:rsid w:val="00505165"/>
    <w:rsid w:val="00520984"/>
    <w:rsid w:val="00523119"/>
    <w:rsid w:val="005238C4"/>
    <w:rsid w:val="005244BD"/>
    <w:rsid w:val="00524F8A"/>
    <w:rsid w:val="005302CC"/>
    <w:rsid w:val="005331C1"/>
    <w:rsid w:val="00533C82"/>
    <w:rsid w:val="00535042"/>
    <w:rsid w:val="00541760"/>
    <w:rsid w:val="00544099"/>
    <w:rsid w:val="00544B95"/>
    <w:rsid w:val="0054532C"/>
    <w:rsid w:val="00545CE3"/>
    <w:rsid w:val="00547084"/>
    <w:rsid w:val="005500C9"/>
    <w:rsid w:val="00554F77"/>
    <w:rsid w:val="0055640E"/>
    <w:rsid w:val="005568CF"/>
    <w:rsid w:val="00560DEB"/>
    <w:rsid w:val="00561026"/>
    <w:rsid w:val="00561A1A"/>
    <w:rsid w:val="00561ACC"/>
    <w:rsid w:val="00563EB5"/>
    <w:rsid w:val="00566450"/>
    <w:rsid w:val="00567BD8"/>
    <w:rsid w:val="00570E21"/>
    <w:rsid w:val="00572E11"/>
    <w:rsid w:val="00574DB9"/>
    <w:rsid w:val="005836A1"/>
    <w:rsid w:val="00586306"/>
    <w:rsid w:val="00593355"/>
    <w:rsid w:val="005945DC"/>
    <w:rsid w:val="00595897"/>
    <w:rsid w:val="005A110B"/>
    <w:rsid w:val="005A2F86"/>
    <w:rsid w:val="005A58A8"/>
    <w:rsid w:val="005B4778"/>
    <w:rsid w:val="005C24AD"/>
    <w:rsid w:val="005C5134"/>
    <w:rsid w:val="005C54F6"/>
    <w:rsid w:val="005D2950"/>
    <w:rsid w:val="005D35F0"/>
    <w:rsid w:val="005D5211"/>
    <w:rsid w:val="005D6594"/>
    <w:rsid w:val="005D76CC"/>
    <w:rsid w:val="005D7EC5"/>
    <w:rsid w:val="005E147B"/>
    <w:rsid w:val="005E4ADA"/>
    <w:rsid w:val="005E5FE5"/>
    <w:rsid w:val="005E7807"/>
    <w:rsid w:val="005F1BC1"/>
    <w:rsid w:val="005F2E20"/>
    <w:rsid w:val="005F536D"/>
    <w:rsid w:val="005F6A0F"/>
    <w:rsid w:val="005F6E30"/>
    <w:rsid w:val="005F7C83"/>
    <w:rsid w:val="0060279D"/>
    <w:rsid w:val="00604C9D"/>
    <w:rsid w:val="00606000"/>
    <w:rsid w:val="00606666"/>
    <w:rsid w:val="00607114"/>
    <w:rsid w:val="00607C9F"/>
    <w:rsid w:val="0061144F"/>
    <w:rsid w:val="0061186D"/>
    <w:rsid w:val="0061216E"/>
    <w:rsid w:val="00613FAB"/>
    <w:rsid w:val="006153CA"/>
    <w:rsid w:val="006210FC"/>
    <w:rsid w:val="00625D37"/>
    <w:rsid w:val="006260F4"/>
    <w:rsid w:val="006268C0"/>
    <w:rsid w:val="006277AC"/>
    <w:rsid w:val="00627C40"/>
    <w:rsid w:val="0063057B"/>
    <w:rsid w:val="00634AA5"/>
    <w:rsid w:val="00636A52"/>
    <w:rsid w:val="006412E1"/>
    <w:rsid w:val="00647E58"/>
    <w:rsid w:val="00652E4D"/>
    <w:rsid w:val="006549A0"/>
    <w:rsid w:val="00655DDD"/>
    <w:rsid w:val="00661AFC"/>
    <w:rsid w:val="006639C2"/>
    <w:rsid w:val="006721DA"/>
    <w:rsid w:val="00674245"/>
    <w:rsid w:val="00676C81"/>
    <w:rsid w:val="00681BBD"/>
    <w:rsid w:val="00681FFE"/>
    <w:rsid w:val="00683284"/>
    <w:rsid w:val="006862DF"/>
    <w:rsid w:val="00691892"/>
    <w:rsid w:val="00693838"/>
    <w:rsid w:val="0069692D"/>
    <w:rsid w:val="006A41D3"/>
    <w:rsid w:val="006A4B8E"/>
    <w:rsid w:val="006B6BF6"/>
    <w:rsid w:val="006B7718"/>
    <w:rsid w:val="006C1359"/>
    <w:rsid w:val="006C2310"/>
    <w:rsid w:val="006C561D"/>
    <w:rsid w:val="006C70C6"/>
    <w:rsid w:val="006C7530"/>
    <w:rsid w:val="006C75B6"/>
    <w:rsid w:val="006C78DE"/>
    <w:rsid w:val="006D2CBB"/>
    <w:rsid w:val="006D4530"/>
    <w:rsid w:val="006E30DF"/>
    <w:rsid w:val="006E46C7"/>
    <w:rsid w:val="006E4A49"/>
    <w:rsid w:val="006E58E5"/>
    <w:rsid w:val="006E67DB"/>
    <w:rsid w:val="006F1B7A"/>
    <w:rsid w:val="006F27D7"/>
    <w:rsid w:val="006F4655"/>
    <w:rsid w:val="006F6E1E"/>
    <w:rsid w:val="006F7442"/>
    <w:rsid w:val="006F791A"/>
    <w:rsid w:val="00700708"/>
    <w:rsid w:val="00700FA8"/>
    <w:rsid w:val="00701D71"/>
    <w:rsid w:val="0070466F"/>
    <w:rsid w:val="0070551A"/>
    <w:rsid w:val="00706EBF"/>
    <w:rsid w:val="00710643"/>
    <w:rsid w:val="00712326"/>
    <w:rsid w:val="007125AC"/>
    <w:rsid w:val="0071595F"/>
    <w:rsid w:val="00717DF2"/>
    <w:rsid w:val="00720CAD"/>
    <w:rsid w:val="00723A8B"/>
    <w:rsid w:val="00723ACC"/>
    <w:rsid w:val="00723F53"/>
    <w:rsid w:val="00727445"/>
    <w:rsid w:val="0073035A"/>
    <w:rsid w:val="007306AC"/>
    <w:rsid w:val="007315A6"/>
    <w:rsid w:val="00734FD3"/>
    <w:rsid w:val="00740BB2"/>
    <w:rsid w:val="007424C2"/>
    <w:rsid w:val="007424C3"/>
    <w:rsid w:val="0074359C"/>
    <w:rsid w:val="00743BA9"/>
    <w:rsid w:val="0075131C"/>
    <w:rsid w:val="00752827"/>
    <w:rsid w:val="007528F8"/>
    <w:rsid w:val="00760083"/>
    <w:rsid w:val="007652AD"/>
    <w:rsid w:val="007669F7"/>
    <w:rsid w:val="00767668"/>
    <w:rsid w:val="007679F6"/>
    <w:rsid w:val="00770536"/>
    <w:rsid w:val="0077105D"/>
    <w:rsid w:val="0077541B"/>
    <w:rsid w:val="00777432"/>
    <w:rsid w:val="00777837"/>
    <w:rsid w:val="007865F3"/>
    <w:rsid w:val="00786F60"/>
    <w:rsid w:val="007908B5"/>
    <w:rsid w:val="00790BB1"/>
    <w:rsid w:val="00790CAA"/>
    <w:rsid w:val="00793C75"/>
    <w:rsid w:val="00794710"/>
    <w:rsid w:val="00795711"/>
    <w:rsid w:val="00797BAC"/>
    <w:rsid w:val="00797C67"/>
    <w:rsid w:val="007A1F2A"/>
    <w:rsid w:val="007A3C74"/>
    <w:rsid w:val="007A7412"/>
    <w:rsid w:val="007A7FC0"/>
    <w:rsid w:val="007B57C4"/>
    <w:rsid w:val="007B6901"/>
    <w:rsid w:val="007B6E28"/>
    <w:rsid w:val="007C046F"/>
    <w:rsid w:val="007C0A82"/>
    <w:rsid w:val="007C2356"/>
    <w:rsid w:val="007C7F4B"/>
    <w:rsid w:val="007E0694"/>
    <w:rsid w:val="007E22A8"/>
    <w:rsid w:val="007E3595"/>
    <w:rsid w:val="007E3C18"/>
    <w:rsid w:val="007E66BC"/>
    <w:rsid w:val="007E6C08"/>
    <w:rsid w:val="007E780C"/>
    <w:rsid w:val="007E7C1D"/>
    <w:rsid w:val="007F582D"/>
    <w:rsid w:val="007F7BCC"/>
    <w:rsid w:val="0080386F"/>
    <w:rsid w:val="0080546A"/>
    <w:rsid w:val="0080710C"/>
    <w:rsid w:val="0081073D"/>
    <w:rsid w:val="0082061B"/>
    <w:rsid w:val="00821B8B"/>
    <w:rsid w:val="00826083"/>
    <w:rsid w:val="00826183"/>
    <w:rsid w:val="00833F2B"/>
    <w:rsid w:val="00837BD3"/>
    <w:rsid w:val="00845417"/>
    <w:rsid w:val="0084580E"/>
    <w:rsid w:val="00846754"/>
    <w:rsid w:val="008534A6"/>
    <w:rsid w:val="00853801"/>
    <w:rsid w:val="0086239B"/>
    <w:rsid w:val="008674C7"/>
    <w:rsid w:val="008703E7"/>
    <w:rsid w:val="00871A5F"/>
    <w:rsid w:val="008723DE"/>
    <w:rsid w:val="0087273C"/>
    <w:rsid w:val="00872BAC"/>
    <w:rsid w:val="00873BE7"/>
    <w:rsid w:val="0087752F"/>
    <w:rsid w:val="00881AA0"/>
    <w:rsid w:val="00882177"/>
    <w:rsid w:val="008822AE"/>
    <w:rsid w:val="0088263E"/>
    <w:rsid w:val="00892565"/>
    <w:rsid w:val="00893617"/>
    <w:rsid w:val="00895903"/>
    <w:rsid w:val="0089725B"/>
    <w:rsid w:val="008974AF"/>
    <w:rsid w:val="008A04ED"/>
    <w:rsid w:val="008A0F42"/>
    <w:rsid w:val="008A2181"/>
    <w:rsid w:val="008A4522"/>
    <w:rsid w:val="008A7E65"/>
    <w:rsid w:val="008B1BBA"/>
    <w:rsid w:val="008B2540"/>
    <w:rsid w:val="008B4BF2"/>
    <w:rsid w:val="008B5C95"/>
    <w:rsid w:val="008B63F3"/>
    <w:rsid w:val="008C0A2B"/>
    <w:rsid w:val="008C11ED"/>
    <w:rsid w:val="008C40E4"/>
    <w:rsid w:val="008C7E75"/>
    <w:rsid w:val="008D1944"/>
    <w:rsid w:val="008D22F5"/>
    <w:rsid w:val="008D4BA4"/>
    <w:rsid w:val="008E165A"/>
    <w:rsid w:val="008E212E"/>
    <w:rsid w:val="008E6509"/>
    <w:rsid w:val="008F05BE"/>
    <w:rsid w:val="008F07E5"/>
    <w:rsid w:val="008F3028"/>
    <w:rsid w:val="008F328D"/>
    <w:rsid w:val="008F5882"/>
    <w:rsid w:val="00903C31"/>
    <w:rsid w:val="00904645"/>
    <w:rsid w:val="00904836"/>
    <w:rsid w:val="009127CE"/>
    <w:rsid w:val="00913C1E"/>
    <w:rsid w:val="009154FA"/>
    <w:rsid w:val="00915FC6"/>
    <w:rsid w:val="00917F5A"/>
    <w:rsid w:val="00922D9B"/>
    <w:rsid w:val="00923F28"/>
    <w:rsid w:val="00924823"/>
    <w:rsid w:val="009261AD"/>
    <w:rsid w:val="00927C6B"/>
    <w:rsid w:val="009302D9"/>
    <w:rsid w:val="00931CA8"/>
    <w:rsid w:val="00933E72"/>
    <w:rsid w:val="00935B55"/>
    <w:rsid w:val="00941B8B"/>
    <w:rsid w:val="00942BC6"/>
    <w:rsid w:val="00943CF1"/>
    <w:rsid w:val="009526DE"/>
    <w:rsid w:val="009550A0"/>
    <w:rsid w:val="00955A46"/>
    <w:rsid w:val="00963EF3"/>
    <w:rsid w:val="00965B2D"/>
    <w:rsid w:val="00966271"/>
    <w:rsid w:val="00971B51"/>
    <w:rsid w:val="00971F62"/>
    <w:rsid w:val="009764DB"/>
    <w:rsid w:val="00983C0B"/>
    <w:rsid w:val="00985F69"/>
    <w:rsid w:val="009862E8"/>
    <w:rsid w:val="00987938"/>
    <w:rsid w:val="0098794B"/>
    <w:rsid w:val="009A1210"/>
    <w:rsid w:val="009A34D7"/>
    <w:rsid w:val="009A3FF8"/>
    <w:rsid w:val="009A41B7"/>
    <w:rsid w:val="009A53E5"/>
    <w:rsid w:val="009A7532"/>
    <w:rsid w:val="009B270F"/>
    <w:rsid w:val="009B4FAA"/>
    <w:rsid w:val="009B605C"/>
    <w:rsid w:val="009C221B"/>
    <w:rsid w:val="009C3C6B"/>
    <w:rsid w:val="009C5F3D"/>
    <w:rsid w:val="009C65EE"/>
    <w:rsid w:val="009D0CEF"/>
    <w:rsid w:val="009D0E23"/>
    <w:rsid w:val="009D3B28"/>
    <w:rsid w:val="009D63EC"/>
    <w:rsid w:val="009D664C"/>
    <w:rsid w:val="009D7F0B"/>
    <w:rsid w:val="009E2777"/>
    <w:rsid w:val="009E5575"/>
    <w:rsid w:val="009F08C1"/>
    <w:rsid w:val="009F1CC1"/>
    <w:rsid w:val="009F503A"/>
    <w:rsid w:val="009F5C98"/>
    <w:rsid w:val="009F6912"/>
    <w:rsid w:val="009F719F"/>
    <w:rsid w:val="00A03AC2"/>
    <w:rsid w:val="00A04325"/>
    <w:rsid w:val="00A0593B"/>
    <w:rsid w:val="00A13530"/>
    <w:rsid w:val="00A1466F"/>
    <w:rsid w:val="00A14D3B"/>
    <w:rsid w:val="00A20BF6"/>
    <w:rsid w:val="00A224A5"/>
    <w:rsid w:val="00A30185"/>
    <w:rsid w:val="00A367BE"/>
    <w:rsid w:val="00A42E6F"/>
    <w:rsid w:val="00A448FE"/>
    <w:rsid w:val="00A44904"/>
    <w:rsid w:val="00A465FC"/>
    <w:rsid w:val="00A55AB7"/>
    <w:rsid w:val="00A57F62"/>
    <w:rsid w:val="00A615EA"/>
    <w:rsid w:val="00A65F3A"/>
    <w:rsid w:val="00A73B01"/>
    <w:rsid w:val="00A75732"/>
    <w:rsid w:val="00A75EDB"/>
    <w:rsid w:val="00A76160"/>
    <w:rsid w:val="00A82921"/>
    <w:rsid w:val="00A84E95"/>
    <w:rsid w:val="00A85C99"/>
    <w:rsid w:val="00A91DA3"/>
    <w:rsid w:val="00A921C9"/>
    <w:rsid w:val="00A92707"/>
    <w:rsid w:val="00A92929"/>
    <w:rsid w:val="00AA1B35"/>
    <w:rsid w:val="00AA78CF"/>
    <w:rsid w:val="00AA7B59"/>
    <w:rsid w:val="00AB33B9"/>
    <w:rsid w:val="00AB7FED"/>
    <w:rsid w:val="00AC2945"/>
    <w:rsid w:val="00AC40A1"/>
    <w:rsid w:val="00AC4938"/>
    <w:rsid w:val="00AC575A"/>
    <w:rsid w:val="00AD1BAD"/>
    <w:rsid w:val="00AD2A41"/>
    <w:rsid w:val="00AD4527"/>
    <w:rsid w:val="00AE0CF7"/>
    <w:rsid w:val="00AE4950"/>
    <w:rsid w:val="00AE79CC"/>
    <w:rsid w:val="00AE7C22"/>
    <w:rsid w:val="00AF0BF3"/>
    <w:rsid w:val="00B01A16"/>
    <w:rsid w:val="00B02783"/>
    <w:rsid w:val="00B02E18"/>
    <w:rsid w:val="00B03630"/>
    <w:rsid w:val="00B05D14"/>
    <w:rsid w:val="00B05F0A"/>
    <w:rsid w:val="00B13619"/>
    <w:rsid w:val="00B1376B"/>
    <w:rsid w:val="00B23A3F"/>
    <w:rsid w:val="00B277A6"/>
    <w:rsid w:val="00B31679"/>
    <w:rsid w:val="00B348EF"/>
    <w:rsid w:val="00B35ADA"/>
    <w:rsid w:val="00B404F9"/>
    <w:rsid w:val="00B42A22"/>
    <w:rsid w:val="00B46D41"/>
    <w:rsid w:val="00B515F2"/>
    <w:rsid w:val="00B51EE5"/>
    <w:rsid w:val="00B52B4E"/>
    <w:rsid w:val="00B5591C"/>
    <w:rsid w:val="00B562BC"/>
    <w:rsid w:val="00B60F73"/>
    <w:rsid w:val="00B6350C"/>
    <w:rsid w:val="00B63A17"/>
    <w:rsid w:val="00B63FB5"/>
    <w:rsid w:val="00B72562"/>
    <w:rsid w:val="00B73769"/>
    <w:rsid w:val="00B758C3"/>
    <w:rsid w:val="00B75960"/>
    <w:rsid w:val="00B766F9"/>
    <w:rsid w:val="00B82236"/>
    <w:rsid w:val="00B82906"/>
    <w:rsid w:val="00B91233"/>
    <w:rsid w:val="00B92159"/>
    <w:rsid w:val="00B923A6"/>
    <w:rsid w:val="00B93583"/>
    <w:rsid w:val="00B93A89"/>
    <w:rsid w:val="00B97F11"/>
    <w:rsid w:val="00BA2730"/>
    <w:rsid w:val="00BA767F"/>
    <w:rsid w:val="00BA7A79"/>
    <w:rsid w:val="00BB15D3"/>
    <w:rsid w:val="00BB27D4"/>
    <w:rsid w:val="00BB3035"/>
    <w:rsid w:val="00BB32F8"/>
    <w:rsid w:val="00BC151D"/>
    <w:rsid w:val="00BC1BEB"/>
    <w:rsid w:val="00BC45DA"/>
    <w:rsid w:val="00BD2E73"/>
    <w:rsid w:val="00BD4B61"/>
    <w:rsid w:val="00BD6CA5"/>
    <w:rsid w:val="00BD7ED9"/>
    <w:rsid w:val="00BE1CE6"/>
    <w:rsid w:val="00BE1F23"/>
    <w:rsid w:val="00BE278C"/>
    <w:rsid w:val="00BE309D"/>
    <w:rsid w:val="00BE460B"/>
    <w:rsid w:val="00BE4631"/>
    <w:rsid w:val="00BE46C3"/>
    <w:rsid w:val="00BE5FA8"/>
    <w:rsid w:val="00BE66CA"/>
    <w:rsid w:val="00BF450A"/>
    <w:rsid w:val="00BF59B0"/>
    <w:rsid w:val="00BF64A1"/>
    <w:rsid w:val="00C02099"/>
    <w:rsid w:val="00C0247B"/>
    <w:rsid w:val="00C02FFD"/>
    <w:rsid w:val="00C03D4A"/>
    <w:rsid w:val="00C048DC"/>
    <w:rsid w:val="00C058FF"/>
    <w:rsid w:val="00C11C00"/>
    <w:rsid w:val="00C14587"/>
    <w:rsid w:val="00C22308"/>
    <w:rsid w:val="00C23389"/>
    <w:rsid w:val="00C2364F"/>
    <w:rsid w:val="00C23A85"/>
    <w:rsid w:val="00C23B00"/>
    <w:rsid w:val="00C25061"/>
    <w:rsid w:val="00C307DA"/>
    <w:rsid w:val="00C3080A"/>
    <w:rsid w:val="00C33E7B"/>
    <w:rsid w:val="00C36664"/>
    <w:rsid w:val="00C40EAE"/>
    <w:rsid w:val="00C42A7F"/>
    <w:rsid w:val="00C43248"/>
    <w:rsid w:val="00C448CF"/>
    <w:rsid w:val="00C47C1B"/>
    <w:rsid w:val="00C47D1F"/>
    <w:rsid w:val="00C50B25"/>
    <w:rsid w:val="00C512BD"/>
    <w:rsid w:val="00C519BF"/>
    <w:rsid w:val="00C539E5"/>
    <w:rsid w:val="00C56EA1"/>
    <w:rsid w:val="00C6133E"/>
    <w:rsid w:val="00C63467"/>
    <w:rsid w:val="00C673AD"/>
    <w:rsid w:val="00C7577F"/>
    <w:rsid w:val="00C81FCD"/>
    <w:rsid w:val="00C911B3"/>
    <w:rsid w:val="00C91503"/>
    <w:rsid w:val="00C92A1D"/>
    <w:rsid w:val="00C938E4"/>
    <w:rsid w:val="00CA06F6"/>
    <w:rsid w:val="00CA0F23"/>
    <w:rsid w:val="00CA38A5"/>
    <w:rsid w:val="00CA3EC7"/>
    <w:rsid w:val="00CB531C"/>
    <w:rsid w:val="00CB5576"/>
    <w:rsid w:val="00CB6E9C"/>
    <w:rsid w:val="00CB7F75"/>
    <w:rsid w:val="00CC0045"/>
    <w:rsid w:val="00CC067E"/>
    <w:rsid w:val="00CC2210"/>
    <w:rsid w:val="00CC5078"/>
    <w:rsid w:val="00CC5527"/>
    <w:rsid w:val="00CD06FE"/>
    <w:rsid w:val="00CD16C8"/>
    <w:rsid w:val="00CD4119"/>
    <w:rsid w:val="00CD59CD"/>
    <w:rsid w:val="00CE1228"/>
    <w:rsid w:val="00CE25BA"/>
    <w:rsid w:val="00CE4C7B"/>
    <w:rsid w:val="00CE6503"/>
    <w:rsid w:val="00CE72B0"/>
    <w:rsid w:val="00CF0BDE"/>
    <w:rsid w:val="00CF0DAB"/>
    <w:rsid w:val="00D06492"/>
    <w:rsid w:val="00D141FE"/>
    <w:rsid w:val="00D15FDF"/>
    <w:rsid w:val="00D17288"/>
    <w:rsid w:val="00D220D6"/>
    <w:rsid w:val="00D22197"/>
    <w:rsid w:val="00D24535"/>
    <w:rsid w:val="00D26568"/>
    <w:rsid w:val="00D2656A"/>
    <w:rsid w:val="00D27DDB"/>
    <w:rsid w:val="00D27E55"/>
    <w:rsid w:val="00D30296"/>
    <w:rsid w:val="00D32DA0"/>
    <w:rsid w:val="00D335B9"/>
    <w:rsid w:val="00D3382D"/>
    <w:rsid w:val="00D36B07"/>
    <w:rsid w:val="00D37963"/>
    <w:rsid w:val="00D44CE6"/>
    <w:rsid w:val="00D45D9E"/>
    <w:rsid w:val="00D47F4F"/>
    <w:rsid w:val="00D521F8"/>
    <w:rsid w:val="00D608F5"/>
    <w:rsid w:val="00D614EC"/>
    <w:rsid w:val="00D638CE"/>
    <w:rsid w:val="00D63AC3"/>
    <w:rsid w:val="00D65793"/>
    <w:rsid w:val="00D70ECC"/>
    <w:rsid w:val="00D736E6"/>
    <w:rsid w:val="00D74E3B"/>
    <w:rsid w:val="00D77E66"/>
    <w:rsid w:val="00D805FC"/>
    <w:rsid w:val="00D80BCA"/>
    <w:rsid w:val="00D81866"/>
    <w:rsid w:val="00D85713"/>
    <w:rsid w:val="00D87A8B"/>
    <w:rsid w:val="00D9004E"/>
    <w:rsid w:val="00D90DF9"/>
    <w:rsid w:val="00D9713C"/>
    <w:rsid w:val="00D97932"/>
    <w:rsid w:val="00D97DA1"/>
    <w:rsid w:val="00DA37A8"/>
    <w:rsid w:val="00DA419D"/>
    <w:rsid w:val="00DB177B"/>
    <w:rsid w:val="00DB1A70"/>
    <w:rsid w:val="00DB2FB9"/>
    <w:rsid w:val="00DC1B74"/>
    <w:rsid w:val="00DD06F8"/>
    <w:rsid w:val="00DD2213"/>
    <w:rsid w:val="00DD4782"/>
    <w:rsid w:val="00DD7817"/>
    <w:rsid w:val="00DD7CBD"/>
    <w:rsid w:val="00DE0B99"/>
    <w:rsid w:val="00DE3CE6"/>
    <w:rsid w:val="00DE6F5A"/>
    <w:rsid w:val="00E004E4"/>
    <w:rsid w:val="00E14552"/>
    <w:rsid w:val="00E1715D"/>
    <w:rsid w:val="00E21E44"/>
    <w:rsid w:val="00E22906"/>
    <w:rsid w:val="00E26BA0"/>
    <w:rsid w:val="00E30D25"/>
    <w:rsid w:val="00E32609"/>
    <w:rsid w:val="00E365E7"/>
    <w:rsid w:val="00E37900"/>
    <w:rsid w:val="00E45C2C"/>
    <w:rsid w:val="00E50CB4"/>
    <w:rsid w:val="00E54851"/>
    <w:rsid w:val="00E5631F"/>
    <w:rsid w:val="00E618A8"/>
    <w:rsid w:val="00E65C3E"/>
    <w:rsid w:val="00E663E5"/>
    <w:rsid w:val="00E66768"/>
    <w:rsid w:val="00E66D1D"/>
    <w:rsid w:val="00E81389"/>
    <w:rsid w:val="00E84B21"/>
    <w:rsid w:val="00E92651"/>
    <w:rsid w:val="00E94C52"/>
    <w:rsid w:val="00E95215"/>
    <w:rsid w:val="00E952AC"/>
    <w:rsid w:val="00E95705"/>
    <w:rsid w:val="00E96520"/>
    <w:rsid w:val="00EA2016"/>
    <w:rsid w:val="00EA329E"/>
    <w:rsid w:val="00EA710C"/>
    <w:rsid w:val="00EB4A70"/>
    <w:rsid w:val="00EB759D"/>
    <w:rsid w:val="00EB782A"/>
    <w:rsid w:val="00EB78C8"/>
    <w:rsid w:val="00EC503C"/>
    <w:rsid w:val="00EC6CF9"/>
    <w:rsid w:val="00ED36B9"/>
    <w:rsid w:val="00EE153B"/>
    <w:rsid w:val="00EE18E1"/>
    <w:rsid w:val="00EE214F"/>
    <w:rsid w:val="00EE3E3D"/>
    <w:rsid w:val="00EE75EC"/>
    <w:rsid w:val="00EF0443"/>
    <w:rsid w:val="00EF07B0"/>
    <w:rsid w:val="00EF1EAC"/>
    <w:rsid w:val="00EF23ED"/>
    <w:rsid w:val="00EF2B52"/>
    <w:rsid w:val="00EF32A6"/>
    <w:rsid w:val="00EF6257"/>
    <w:rsid w:val="00F00E06"/>
    <w:rsid w:val="00F03214"/>
    <w:rsid w:val="00F048C0"/>
    <w:rsid w:val="00F05AA6"/>
    <w:rsid w:val="00F07023"/>
    <w:rsid w:val="00F0703E"/>
    <w:rsid w:val="00F0773A"/>
    <w:rsid w:val="00F129C8"/>
    <w:rsid w:val="00F14D0A"/>
    <w:rsid w:val="00F24A6D"/>
    <w:rsid w:val="00F25F64"/>
    <w:rsid w:val="00F26A0A"/>
    <w:rsid w:val="00F26C86"/>
    <w:rsid w:val="00F31C7C"/>
    <w:rsid w:val="00F32DFD"/>
    <w:rsid w:val="00F35942"/>
    <w:rsid w:val="00F37E44"/>
    <w:rsid w:val="00F40F0F"/>
    <w:rsid w:val="00F40FBA"/>
    <w:rsid w:val="00F41820"/>
    <w:rsid w:val="00F42D00"/>
    <w:rsid w:val="00F44DF2"/>
    <w:rsid w:val="00F46FC5"/>
    <w:rsid w:val="00F55E33"/>
    <w:rsid w:val="00F561D1"/>
    <w:rsid w:val="00F56785"/>
    <w:rsid w:val="00F6411C"/>
    <w:rsid w:val="00F64AA9"/>
    <w:rsid w:val="00F64FDE"/>
    <w:rsid w:val="00F67A5F"/>
    <w:rsid w:val="00F700A4"/>
    <w:rsid w:val="00F712E5"/>
    <w:rsid w:val="00F73440"/>
    <w:rsid w:val="00F740F3"/>
    <w:rsid w:val="00F81FB6"/>
    <w:rsid w:val="00F8296C"/>
    <w:rsid w:val="00F83BAB"/>
    <w:rsid w:val="00F91117"/>
    <w:rsid w:val="00FA01C1"/>
    <w:rsid w:val="00FA046C"/>
    <w:rsid w:val="00FA0898"/>
    <w:rsid w:val="00FA20A2"/>
    <w:rsid w:val="00FA3043"/>
    <w:rsid w:val="00FA54A5"/>
    <w:rsid w:val="00FA70B0"/>
    <w:rsid w:val="00FA75F3"/>
    <w:rsid w:val="00FB0169"/>
    <w:rsid w:val="00FB076A"/>
    <w:rsid w:val="00FB296B"/>
    <w:rsid w:val="00FB2D22"/>
    <w:rsid w:val="00FB4D04"/>
    <w:rsid w:val="00FB507D"/>
    <w:rsid w:val="00FB54F1"/>
    <w:rsid w:val="00FC18AA"/>
    <w:rsid w:val="00FC2F1F"/>
    <w:rsid w:val="00FD3BAC"/>
    <w:rsid w:val="00FD54B8"/>
    <w:rsid w:val="00FE4E2F"/>
    <w:rsid w:val="00FE4E3F"/>
    <w:rsid w:val="00FF362A"/>
    <w:rsid w:val="00FF60B5"/>
    <w:rsid w:val="00FF7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ED3AE"/>
  <w15:chartTrackingRefBased/>
  <w15:docId w15:val="{5CC74382-B7C5-401E-AE26-3CE1CD1F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8C1"/>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F070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70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070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70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70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70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70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70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70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0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70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070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70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70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70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70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70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703E"/>
    <w:rPr>
      <w:rFonts w:eastAsiaTheme="majorEastAsia" w:cstheme="majorBidi"/>
      <w:color w:val="272727" w:themeColor="text1" w:themeTint="D8"/>
    </w:rPr>
  </w:style>
  <w:style w:type="paragraph" w:styleId="Title">
    <w:name w:val="Title"/>
    <w:basedOn w:val="Normal"/>
    <w:next w:val="Normal"/>
    <w:link w:val="TitleChar"/>
    <w:uiPriority w:val="10"/>
    <w:qFormat/>
    <w:rsid w:val="00F070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0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0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70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703E"/>
    <w:pPr>
      <w:spacing w:before="160"/>
      <w:jc w:val="center"/>
    </w:pPr>
    <w:rPr>
      <w:i/>
      <w:iCs/>
      <w:color w:val="404040" w:themeColor="text1" w:themeTint="BF"/>
    </w:rPr>
  </w:style>
  <w:style w:type="character" w:customStyle="1" w:styleId="QuoteChar">
    <w:name w:val="Quote Char"/>
    <w:basedOn w:val="DefaultParagraphFont"/>
    <w:link w:val="Quote"/>
    <w:uiPriority w:val="29"/>
    <w:rsid w:val="00F0703E"/>
    <w:rPr>
      <w:i/>
      <w:iCs/>
      <w:color w:val="404040" w:themeColor="text1" w:themeTint="BF"/>
    </w:rPr>
  </w:style>
  <w:style w:type="paragraph" w:styleId="ListParagraph">
    <w:name w:val="List Paragraph"/>
    <w:basedOn w:val="Normal"/>
    <w:uiPriority w:val="34"/>
    <w:qFormat/>
    <w:rsid w:val="00F0703E"/>
    <w:pPr>
      <w:ind w:left="720"/>
      <w:contextualSpacing/>
    </w:pPr>
  </w:style>
  <w:style w:type="character" w:styleId="IntenseEmphasis">
    <w:name w:val="Intense Emphasis"/>
    <w:basedOn w:val="DefaultParagraphFont"/>
    <w:uiPriority w:val="21"/>
    <w:qFormat/>
    <w:rsid w:val="00F0703E"/>
    <w:rPr>
      <w:i/>
      <w:iCs/>
      <w:color w:val="0F4761" w:themeColor="accent1" w:themeShade="BF"/>
    </w:rPr>
  </w:style>
  <w:style w:type="paragraph" w:styleId="IntenseQuote">
    <w:name w:val="Intense Quote"/>
    <w:basedOn w:val="Normal"/>
    <w:next w:val="Normal"/>
    <w:link w:val="IntenseQuoteChar"/>
    <w:uiPriority w:val="30"/>
    <w:qFormat/>
    <w:rsid w:val="00F070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703E"/>
    <w:rPr>
      <w:i/>
      <w:iCs/>
      <w:color w:val="0F4761" w:themeColor="accent1" w:themeShade="BF"/>
    </w:rPr>
  </w:style>
  <w:style w:type="character" w:styleId="IntenseReference">
    <w:name w:val="Intense Reference"/>
    <w:basedOn w:val="DefaultParagraphFont"/>
    <w:uiPriority w:val="32"/>
    <w:qFormat/>
    <w:rsid w:val="00F0703E"/>
    <w:rPr>
      <w:b/>
      <w:bCs/>
      <w:smallCaps/>
      <w:color w:val="0F4761" w:themeColor="accent1" w:themeShade="BF"/>
      <w:spacing w:val="5"/>
    </w:rPr>
  </w:style>
  <w:style w:type="character" w:styleId="Hyperlink">
    <w:name w:val="Hyperlink"/>
    <w:basedOn w:val="DefaultParagraphFont"/>
    <w:uiPriority w:val="99"/>
    <w:unhideWhenUsed/>
    <w:rsid w:val="00F740F3"/>
    <w:rPr>
      <w:color w:val="467886" w:themeColor="hyperlink"/>
      <w:u w:val="single"/>
    </w:rPr>
  </w:style>
  <w:style w:type="character" w:styleId="UnresolvedMention">
    <w:name w:val="Unresolved Mention"/>
    <w:basedOn w:val="DefaultParagraphFont"/>
    <w:uiPriority w:val="99"/>
    <w:semiHidden/>
    <w:unhideWhenUsed/>
    <w:rsid w:val="00F740F3"/>
    <w:rPr>
      <w:color w:val="605E5C"/>
      <w:shd w:val="clear" w:color="auto" w:fill="E1DFDD"/>
    </w:rPr>
  </w:style>
  <w:style w:type="paragraph" w:styleId="BodyText">
    <w:name w:val="Body Text"/>
    <w:basedOn w:val="Normal"/>
    <w:link w:val="BodyTextChar"/>
    <w:uiPriority w:val="1"/>
    <w:qFormat/>
    <w:rsid w:val="00B1376B"/>
    <w:pPr>
      <w:widowControl w:val="0"/>
      <w:autoSpaceDE w:val="0"/>
      <w:autoSpaceDN w:val="0"/>
      <w:jc w:val="both"/>
    </w:pPr>
    <w:rPr>
      <w:rFonts w:ascii="Arial" w:eastAsia="Arial" w:hAnsi="Arial" w:cs="Arial"/>
      <w:lang w:val="en-US"/>
    </w:rPr>
  </w:style>
  <w:style w:type="character" w:customStyle="1" w:styleId="BodyTextChar">
    <w:name w:val="Body Text Char"/>
    <w:basedOn w:val="DefaultParagraphFont"/>
    <w:link w:val="BodyText"/>
    <w:uiPriority w:val="1"/>
    <w:rsid w:val="00B1376B"/>
    <w:rPr>
      <w:rFonts w:ascii="Arial" w:eastAsia="Arial" w:hAnsi="Arial" w:cs="Arial"/>
      <w:kern w:val="0"/>
      <w:sz w:val="24"/>
      <w:szCs w:val="24"/>
      <w:lang w:val="en-US"/>
    </w:rPr>
  </w:style>
  <w:style w:type="paragraph" w:customStyle="1" w:styleId="FirstParagraph">
    <w:name w:val="First Paragraph"/>
    <w:basedOn w:val="BodyText"/>
    <w:next w:val="BodyText"/>
    <w:qFormat/>
    <w:rsid w:val="00B1376B"/>
    <w:pPr>
      <w:widowControl/>
      <w:autoSpaceDE/>
      <w:autoSpaceDN/>
      <w:spacing w:before="180" w:after="180"/>
      <w:jc w:val="left"/>
    </w:pPr>
    <w:rPr>
      <w:rFonts w:asciiTheme="minorHAnsi" w:eastAsiaTheme="minorEastAsia" w:hAnsiTheme="minorHAnsi" w:cstheme="minorBidi"/>
    </w:rPr>
  </w:style>
  <w:style w:type="paragraph" w:styleId="NormalWeb">
    <w:name w:val="Normal (Web)"/>
    <w:basedOn w:val="Normal"/>
    <w:uiPriority w:val="99"/>
    <w:unhideWhenUsed/>
    <w:rsid w:val="00B1376B"/>
    <w:pPr>
      <w:spacing w:before="100" w:beforeAutospacing="1" w:after="100" w:afterAutospacing="1"/>
    </w:pPr>
  </w:style>
  <w:style w:type="character" w:styleId="PlaceholderText">
    <w:name w:val="Placeholder Text"/>
    <w:basedOn w:val="DefaultParagraphFont"/>
    <w:uiPriority w:val="99"/>
    <w:semiHidden/>
    <w:rsid w:val="00255521"/>
    <w:rPr>
      <w:color w:val="666666"/>
    </w:rPr>
  </w:style>
  <w:style w:type="table" w:styleId="TableGrid">
    <w:name w:val="Table Grid"/>
    <w:basedOn w:val="TableNormal"/>
    <w:uiPriority w:val="39"/>
    <w:rsid w:val="0076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76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2F3475"/>
    <w:rPr>
      <w:sz w:val="20"/>
      <w:szCs w:val="20"/>
    </w:rPr>
  </w:style>
  <w:style w:type="character" w:customStyle="1" w:styleId="FootnoteTextChar">
    <w:name w:val="Footnote Text Char"/>
    <w:basedOn w:val="DefaultParagraphFont"/>
    <w:link w:val="FootnoteText"/>
    <w:uiPriority w:val="99"/>
    <w:semiHidden/>
    <w:rsid w:val="002F3475"/>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2F3475"/>
    <w:rPr>
      <w:vertAlign w:val="superscript"/>
    </w:rPr>
  </w:style>
  <w:style w:type="paragraph" w:styleId="Header">
    <w:name w:val="header"/>
    <w:basedOn w:val="Normal"/>
    <w:link w:val="HeaderChar"/>
    <w:uiPriority w:val="99"/>
    <w:unhideWhenUsed/>
    <w:rsid w:val="004A0585"/>
    <w:pPr>
      <w:tabs>
        <w:tab w:val="center" w:pos="4513"/>
        <w:tab w:val="right" w:pos="9026"/>
      </w:tabs>
    </w:pPr>
  </w:style>
  <w:style w:type="character" w:customStyle="1" w:styleId="HeaderChar">
    <w:name w:val="Header Char"/>
    <w:basedOn w:val="DefaultParagraphFont"/>
    <w:link w:val="Header"/>
    <w:uiPriority w:val="99"/>
    <w:rsid w:val="004A0585"/>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A0585"/>
    <w:pPr>
      <w:tabs>
        <w:tab w:val="center" w:pos="4513"/>
        <w:tab w:val="right" w:pos="9026"/>
      </w:tabs>
    </w:pPr>
  </w:style>
  <w:style w:type="character" w:customStyle="1" w:styleId="FooterChar">
    <w:name w:val="Footer Char"/>
    <w:basedOn w:val="DefaultParagraphFont"/>
    <w:link w:val="Footer"/>
    <w:uiPriority w:val="99"/>
    <w:rsid w:val="004A0585"/>
    <w:rPr>
      <w:rFonts w:ascii="Times New Roman" w:eastAsia="Times New Roman" w:hAnsi="Times New Roman" w:cs="Times New Roman"/>
      <w:kern w:val="0"/>
      <w:sz w:val="24"/>
      <w:szCs w:val="24"/>
      <w:lang w:eastAsia="en-GB"/>
      <w14:ligatures w14:val="none"/>
    </w:rPr>
  </w:style>
  <w:style w:type="table" w:customStyle="1" w:styleId="TableGrid1">
    <w:name w:val="Table Grid1"/>
    <w:basedOn w:val="TableNormal"/>
    <w:next w:val="TableGrid"/>
    <w:uiPriority w:val="39"/>
    <w:rsid w:val="00413E4D"/>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6A00"/>
    <w:rPr>
      <w:sz w:val="16"/>
      <w:szCs w:val="16"/>
    </w:rPr>
  </w:style>
  <w:style w:type="paragraph" w:styleId="CommentText">
    <w:name w:val="annotation text"/>
    <w:basedOn w:val="Normal"/>
    <w:link w:val="CommentTextChar"/>
    <w:uiPriority w:val="99"/>
    <w:unhideWhenUsed/>
    <w:rsid w:val="00266A00"/>
    <w:rPr>
      <w:sz w:val="20"/>
      <w:szCs w:val="20"/>
    </w:rPr>
  </w:style>
  <w:style w:type="character" w:customStyle="1" w:styleId="CommentTextChar">
    <w:name w:val="Comment Text Char"/>
    <w:basedOn w:val="DefaultParagraphFont"/>
    <w:link w:val="CommentText"/>
    <w:uiPriority w:val="99"/>
    <w:rsid w:val="00266A0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66A00"/>
    <w:rPr>
      <w:b/>
      <w:bCs/>
    </w:rPr>
  </w:style>
  <w:style w:type="character" w:customStyle="1" w:styleId="CommentSubjectChar">
    <w:name w:val="Comment Subject Char"/>
    <w:basedOn w:val="CommentTextChar"/>
    <w:link w:val="CommentSubject"/>
    <w:uiPriority w:val="99"/>
    <w:semiHidden/>
    <w:rsid w:val="00266A00"/>
    <w:rPr>
      <w:rFonts w:ascii="Times New Roman" w:eastAsia="Times New Roman" w:hAnsi="Times New Roman" w:cs="Times New Roman"/>
      <w:b/>
      <w:bCs/>
      <w:kern w:val="0"/>
      <w:sz w:val="20"/>
      <w:szCs w:val="20"/>
      <w:lang w:eastAsia="en-GB"/>
      <w14:ligatures w14:val="none"/>
    </w:rPr>
  </w:style>
  <w:style w:type="paragraph" w:styleId="Revision">
    <w:name w:val="Revision"/>
    <w:hidden/>
    <w:uiPriority w:val="99"/>
    <w:semiHidden/>
    <w:rsid w:val="0039189B"/>
    <w:pPr>
      <w:spacing w:after="0"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85">
      <w:bodyDiv w:val="1"/>
      <w:marLeft w:val="0"/>
      <w:marRight w:val="0"/>
      <w:marTop w:val="0"/>
      <w:marBottom w:val="0"/>
      <w:divBdr>
        <w:top w:val="none" w:sz="0" w:space="0" w:color="auto"/>
        <w:left w:val="none" w:sz="0" w:space="0" w:color="auto"/>
        <w:bottom w:val="none" w:sz="0" w:space="0" w:color="auto"/>
        <w:right w:val="none" w:sz="0" w:space="0" w:color="auto"/>
      </w:divBdr>
      <w:divsChild>
        <w:div w:id="855928419">
          <w:marLeft w:val="0"/>
          <w:marRight w:val="0"/>
          <w:marTop w:val="0"/>
          <w:marBottom w:val="0"/>
          <w:divBdr>
            <w:top w:val="none" w:sz="0" w:space="0" w:color="auto"/>
            <w:left w:val="none" w:sz="0" w:space="0" w:color="auto"/>
            <w:bottom w:val="none" w:sz="0" w:space="0" w:color="auto"/>
            <w:right w:val="none" w:sz="0" w:space="0" w:color="auto"/>
          </w:divBdr>
        </w:div>
      </w:divsChild>
    </w:div>
    <w:div w:id="662830">
      <w:bodyDiv w:val="1"/>
      <w:marLeft w:val="0"/>
      <w:marRight w:val="0"/>
      <w:marTop w:val="0"/>
      <w:marBottom w:val="0"/>
      <w:divBdr>
        <w:top w:val="none" w:sz="0" w:space="0" w:color="auto"/>
        <w:left w:val="none" w:sz="0" w:space="0" w:color="auto"/>
        <w:bottom w:val="none" w:sz="0" w:space="0" w:color="auto"/>
        <w:right w:val="none" w:sz="0" w:space="0" w:color="auto"/>
      </w:divBdr>
      <w:divsChild>
        <w:div w:id="1682199081">
          <w:marLeft w:val="0"/>
          <w:marRight w:val="0"/>
          <w:marTop w:val="0"/>
          <w:marBottom w:val="0"/>
          <w:divBdr>
            <w:top w:val="none" w:sz="0" w:space="0" w:color="auto"/>
            <w:left w:val="none" w:sz="0" w:space="0" w:color="auto"/>
            <w:bottom w:val="none" w:sz="0" w:space="0" w:color="auto"/>
            <w:right w:val="none" w:sz="0" w:space="0" w:color="auto"/>
          </w:divBdr>
        </w:div>
      </w:divsChild>
    </w:div>
    <w:div w:id="1322650">
      <w:bodyDiv w:val="1"/>
      <w:marLeft w:val="0"/>
      <w:marRight w:val="0"/>
      <w:marTop w:val="0"/>
      <w:marBottom w:val="0"/>
      <w:divBdr>
        <w:top w:val="none" w:sz="0" w:space="0" w:color="auto"/>
        <w:left w:val="none" w:sz="0" w:space="0" w:color="auto"/>
        <w:bottom w:val="none" w:sz="0" w:space="0" w:color="auto"/>
        <w:right w:val="none" w:sz="0" w:space="0" w:color="auto"/>
      </w:divBdr>
      <w:divsChild>
        <w:div w:id="378674425">
          <w:marLeft w:val="0"/>
          <w:marRight w:val="0"/>
          <w:marTop w:val="0"/>
          <w:marBottom w:val="0"/>
          <w:divBdr>
            <w:top w:val="none" w:sz="0" w:space="0" w:color="auto"/>
            <w:left w:val="none" w:sz="0" w:space="0" w:color="auto"/>
            <w:bottom w:val="none" w:sz="0" w:space="0" w:color="auto"/>
            <w:right w:val="none" w:sz="0" w:space="0" w:color="auto"/>
          </w:divBdr>
        </w:div>
      </w:divsChild>
    </w:div>
    <w:div w:id="2973656">
      <w:bodyDiv w:val="1"/>
      <w:marLeft w:val="0"/>
      <w:marRight w:val="0"/>
      <w:marTop w:val="0"/>
      <w:marBottom w:val="0"/>
      <w:divBdr>
        <w:top w:val="none" w:sz="0" w:space="0" w:color="auto"/>
        <w:left w:val="none" w:sz="0" w:space="0" w:color="auto"/>
        <w:bottom w:val="none" w:sz="0" w:space="0" w:color="auto"/>
        <w:right w:val="none" w:sz="0" w:space="0" w:color="auto"/>
      </w:divBdr>
      <w:divsChild>
        <w:div w:id="409931960">
          <w:marLeft w:val="0"/>
          <w:marRight w:val="0"/>
          <w:marTop w:val="0"/>
          <w:marBottom w:val="0"/>
          <w:divBdr>
            <w:top w:val="none" w:sz="0" w:space="0" w:color="auto"/>
            <w:left w:val="none" w:sz="0" w:space="0" w:color="auto"/>
            <w:bottom w:val="none" w:sz="0" w:space="0" w:color="auto"/>
            <w:right w:val="none" w:sz="0" w:space="0" w:color="auto"/>
          </w:divBdr>
        </w:div>
      </w:divsChild>
    </w:div>
    <w:div w:id="4329935">
      <w:bodyDiv w:val="1"/>
      <w:marLeft w:val="0"/>
      <w:marRight w:val="0"/>
      <w:marTop w:val="0"/>
      <w:marBottom w:val="0"/>
      <w:divBdr>
        <w:top w:val="none" w:sz="0" w:space="0" w:color="auto"/>
        <w:left w:val="none" w:sz="0" w:space="0" w:color="auto"/>
        <w:bottom w:val="none" w:sz="0" w:space="0" w:color="auto"/>
        <w:right w:val="none" w:sz="0" w:space="0" w:color="auto"/>
      </w:divBdr>
      <w:divsChild>
        <w:div w:id="178277538">
          <w:marLeft w:val="0"/>
          <w:marRight w:val="0"/>
          <w:marTop w:val="0"/>
          <w:marBottom w:val="0"/>
          <w:divBdr>
            <w:top w:val="none" w:sz="0" w:space="0" w:color="auto"/>
            <w:left w:val="none" w:sz="0" w:space="0" w:color="auto"/>
            <w:bottom w:val="none" w:sz="0" w:space="0" w:color="auto"/>
            <w:right w:val="none" w:sz="0" w:space="0" w:color="auto"/>
          </w:divBdr>
        </w:div>
      </w:divsChild>
    </w:div>
    <w:div w:id="18313426">
      <w:bodyDiv w:val="1"/>
      <w:marLeft w:val="0"/>
      <w:marRight w:val="0"/>
      <w:marTop w:val="0"/>
      <w:marBottom w:val="0"/>
      <w:divBdr>
        <w:top w:val="none" w:sz="0" w:space="0" w:color="auto"/>
        <w:left w:val="none" w:sz="0" w:space="0" w:color="auto"/>
        <w:bottom w:val="none" w:sz="0" w:space="0" w:color="auto"/>
        <w:right w:val="none" w:sz="0" w:space="0" w:color="auto"/>
      </w:divBdr>
      <w:divsChild>
        <w:div w:id="846407232">
          <w:marLeft w:val="0"/>
          <w:marRight w:val="0"/>
          <w:marTop w:val="0"/>
          <w:marBottom w:val="0"/>
          <w:divBdr>
            <w:top w:val="none" w:sz="0" w:space="0" w:color="auto"/>
            <w:left w:val="none" w:sz="0" w:space="0" w:color="auto"/>
            <w:bottom w:val="none" w:sz="0" w:space="0" w:color="auto"/>
            <w:right w:val="none" w:sz="0" w:space="0" w:color="auto"/>
          </w:divBdr>
        </w:div>
      </w:divsChild>
    </w:div>
    <w:div w:id="19358677">
      <w:bodyDiv w:val="1"/>
      <w:marLeft w:val="0"/>
      <w:marRight w:val="0"/>
      <w:marTop w:val="0"/>
      <w:marBottom w:val="0"/>
      <w:divBdr>
        <w:top w:val="none" w:sz="0" w:space="0" w:color="auto"/>
        <w:left w:val="none" w:sz="0" w:space="0" w:color="auto"/>
        <w:bottom w:val="none" w:sz="0" w:space="0" w:color="auto"/>
        <w:right w:val="none" w:sz="0" w:space="0" w:color="auto"/>
      </w:divBdr>
      <w:divsChild>
        <w:div w:id="987055189">
          <w:marLeft w:val="0"/>
          <w:marRight w:val="0"/>
          <w:marTop w:val="0"/>
          <w:marBottom w:val="0"/>
          <w:divBdr>
            <w:top w:val="none" w:sz="0" w:space="0" w:color="auto"/>
            <w:left w:val="none" w:sz="0" w:space="0" w:color="auto"/>
            <w:bottom w:val="none" w:sz="0" w:space="0" w:color="auto"/>
            <w:right w:val="none" w:sz="0" w:space="0" w:color="auto"/>
          </w:divBdr>
        </w:div>
      </w:divsChild>
    </w:div>
    <w:div w:id="23674625">
      <w:bodyDiv w:val="1"/>
      <w:marLeft w:val="0"/>
      <w:marRight w:val="0"/>
      <w:marTop w:val="0"/>
      <w:marBottom w:val="0"/>
      <w:divBdr>
        <w:top w:val="none" w:sz="0" w:space="0" w:color="auto"/>
        <w:left w:val="none" w:sz="0" w:space="0" w:color="auto"/>
        <w:bottom w:val="none" w:sz="0" w:space="0" w:color="auto"/>
        <w:right w:val="none" w:sz="0" w:space="0" w:color="auto"/>
      </w:divBdr>
      <w:divsChild>
        <w:div w:id="944651935">
          <w:marLeft w:val="0"/>
          <w:marRight w:val="0"/>
          <w:marTop w:val="0"/>
          <w:marBottom w:val="0"/>
          <w:divBdr>
            <w:top w:val="none" w:sz="0" w:space="0" w:color="auto"/>
            <w:left w:val="none" w:sz="0" w:space="0" w:color="auto"/>
            <w:bottom w:val="none" w:sz="0" w:space="0" w:color="auto"/>
            <w:right w:val="none" w:sz="0" w:space="0" w:color="auto"/>
          </w:divBdr>
        </w:div>
      </w:divsChild>
    </w:div>
    <w:div w:id="40322551">
      <w:bodyDiv w:val="1"/>
      <w:marLeft w:val="0"/>
      <w:marRight w:val="0"/>
      <w:marTop w:val="0"/>
      <w:marBottom w:val="0"/>
      <w:divBdr>
        <w:top w:val="none" w:sz="0" w:space="0" w:color="auto"/>
        <w:left w:val="none" w:sz="0" w:space="0" w:color="auto"/>
        <w:bottom w:val="none" w:sz="0" w:space="0" w:color="auto"/>
        <w:right w:val="none" w:sz="0" w:space="0" w:color="auto"/>
      </w:divBdr>
      <w:divsChild>
        <w:div w:id="1798065538">
          <w:marLeft w:val="0"/>
          <w:marRight w:val="0"/>
          <w:marTop w:val="0"/>
          <w:marBottom w:val="0"/>
          <w:divBdr>
            <w:top w:val="none" w:sz="0" w:space="0" w:color="auto"/>
            <w:left w:val="none" w:sz="0" w:space="0" w:color="auto"/>
            <w:bottom w:val="none" w:sz="0" w:space="0" w:color="auto"/>
            <w:right w:val="none" w:sz="0" w:space="0" w:color="auto"/>
          </w:divBdr>
        </w:div>
      </w:divsChild>
    </w:div>
    <w:div w:id="49767852">
      <w:bodyDiv w:val="1"/>
      <w:marLeft w:val="0"/>
      <w:marRight w:val="0"/>
      <w:marTop w:val="0"/>
      <w:marBottom w:val="0"/>
      <w:divBdr>
        <w:top w:val="none" w:sz="0" w:space="0" w:color="auto"/>
        <w:left w:val="none" w:sz="0" w:space="0" w:color="auto"/>
        <w:bottom w:val="none" w:sz="0" w:space="0" w:color="auto"/>
        <w:right w:val="none" w:sz="0" w:space="0" w:color="auto"/>
      </w:divBdr>
      <w:divsChild>
        <w:div w:id="110126521">
          <w:marLeft w:val="0"/>
          <w:marRight w:val="0"/>
          <w:marTop w:val="0"/>
          <w:marBottom w:val="0"/>
          <w:divBdr>
            <w:top w:val="none" w:sz="0" w:space="0" w:color="auto"/>
            <w:left w:val="none" w:sz="0" w:space="0" w:color="auto"/>
            <w:bottom w:val="none" w:sz="0" w:space="0" w:color="auto"/>
            <w:right w:val="none" w:sz="0" w:space="0" w:color="auto"/>
          </w:divBdr>
        </w:div>
      </w:divsChild>
    </w:div>
    <w:div w:id="53087914">
      <w:bodyDiv w:val="1"/>
      <w:marLeft w:val="0"/>
      <w:marRight w:val="0"/>
      <w:marTop w:val="0"/>
      <w:marBottom w:val="0"/>
      <w:divBdr>
        <w:top w:val="none" w:sz="0" w:space="0" w:color="auto"/>
        <w:left w:val="none" w:sz="0" w:space="0" w:color="auto"/>
        <w:bottom w:val="none" w:sz="0" w:space="0" w:color="auto"/>
        <w:right w:val="none" w:sz="0" w:space="0" w:color="auto"/>
      </w:divBdr>
      <w:divsChild>
        <w:div w:id="1255363723">
          <w:marLeft w:val="0"/>
          <w:marRight w:val="0"/>
          <w:marTop w:val="0"/>
          <w:marBottom w:val="0"/>
          <w:divBdr>
            <w:top w:val="none" w:sz="0" w:space="0" w:color="auto"/>
            <w:left w:val="none" w:sz="0" w:space="0" w:color="auto"/>
            <w:bottom w:val="none" w:sz="0" w:space="0" w:color="auto"/>
            <w:right w:val="none" w:sz="0" w:space="0" w:color="auto"/>
          </w:divBdr>
        </w:div>
      </w:divsChild>
    </w:div>
    <w:div w:id="58327768">
      <w:bodyDiv w:val="1"/>
      <w:marLeft w:val="0"/>
      <w:marRight w:val="0"/>
      <w:marTop w:val="0"/>
      <w:marBottom w:val="0"/>
      <w:divBdr>
        <w:top w:val="none" w:sz="0" w:space="0" w:color="auto"/>
        <w:left w:val="none" w:sz="0" w:space="0" w:color="auto"/>
        <w:bottom w:val="none" w:sz="0" w:space="0" w:color="auto"/>
        <w:right w:val="none" w:sz="0" w:space="0" w:color="auto"/>
      </w:divBdr>
    </w:div>
    <w:div w:id="67046802">
      <w:bodyDiv w:val="1"/>
      <w:marLeft w:val="0"/>
      <w:marRight w:val="0"/>
      <w:marTop w:val="0"/>
      <w:marBottom w:val="0"/>
      <w:divBdr>
        <w:top w:val="none" w:sz="0" w:space="0" w:color="auto"/>
        <w:left w:val="none" w:sz="0" w:space="0" w:color="auto"/>
        <w:bottom w:val="none" w:sz="0" w:space="0" w:color="auto"/>
        <w:right w:val="none" w:sz="0" w:space="0" w:color="auto"/>
      </w:divBdr>
      <w:divsChild>
        <w:div w:id="1880818895">
          <w:marLeft w:val="0"/>
          <w:marRight w:val="0"/>
          <w:marTop w:val="0"/>
          <w:marBottom w:val="0"/>
          <w:divBdr>
            <w:top w:val="none" w:sz="0" w:space="0" w:color="auto"/>
            <w:left w:val="none" w:sz="0" w:space="0" w:color="auto"/>
            <w:bottom w:val="none" w:sz="0" w:space="0" w:color="auto"/>
            <w:right w:val="none" w:sz="0" w:space="0" w:color="auto"/>
          </w:divBdr>
        </w:div>
      </w:divsChild>
    </w:div>
    <w:div w:id="69932725">
      <w:bodyDiv w:val="1"/>
      <w:marLeft w:val="0"/>
      <w:marRight w:val="0"/>
      <w:marTop w:val="0"/>
      <w:marBottom w:val="0"/>
      <w:divBdr>
        <w:top w:val="none" w:sz="0" w:space="0" w:color="auto"/>
        <w:left w:val="none" w:sz="0" w:space="0" w:color="auto"/>
        <w:bottom w:val="none" w:sz="0" w:space="0" w:color="auto"/>
        <w:right w:val="none" w:sz="0" w:space="0" w:color="auto"/>
      </w:divBdr>
      <w:divsChild>
        <w:div w:id="112214528">
          <w:marLeft w:val="0"/>
          <w:marRight w:val="0"/>
          <w:marTop w:val="0"/>
          <w:marBottom w:val="0"/>
          <w:divBdr>
            <w:top w:val="none" w:sz="0" w:space="0" w:color="auto"/>
            <w:left w:val="none" w:sz="0" w:space="0" w:color="auto"/>
            <w:bottom w:val="none" w:sz="0" w:space="0" w:color="auto"/>
            <w:right w:val="none" w:sz="0" w:space="0" w:color="auto"/>
          </w:divBdr>
        </w:div>
      </w:divsChild>
    </w:div>
    <w:div w:id="82843347">
      <w:bodyDiv w:val="1"/>
      <w:marLeft w:val="0"/>
      <w:marRight w:val="0"/>
      <w:marTop w:val="0"/>
      <w:marBottom w:val="0"/>
      <w:divBdr>
        <w:top w:val="none" w:sz="0" w:space="0" w:color="auto"/>
        <w:left w:val="none" w:sz="0" w:space="0" w:color="auto"/>
        <w:bottom w:val="none" w:sz="0" w:space="0" w:color="auto"/>
        <w:right w:val="none" w:sz="0" w:space="0" w:color="auto"/>
      </w:divBdr>
    </w:div>
    <w:div w:id="89930005">
      <w:bodyDiv w:val="1"/>
      <w:marLeft w:val="0"/>
      <w:marRight w:val="0"/>
      <w:marTop w:val="0"/>
      <w:marBottom w:val="0"/>
      <w:divBdr>
        <w:top w:val="none" w:sz="0" w:space="0" w:color="auto"/>
        <w:left w:val="none" w:sz="0" w:space="0" w:color="auto"/>
        <w:bottom w:val="none" w:sz="0" w:space="0" w:color="auto"/>
        <w:right w:val="none" w:sz="0" w:space="0" w:color="auto"/>
      </w:divBdr>
      <w:divsChild>
        <w:div w:id="1770007999">
          <w:marLeft w:val="0"/>
          <w:marRight w:val="0"/>
          <w:marTop w:val="0"/>
          <w:marBottom w:val="0"/>
          <w:divBdr>
            <w:top w:val="none" w:sz="0" w:space="0" w:color="auto"/>
            <w:left w:val="none" w:sz="0" w:space="0" w:color="auto"/>
            <w:bottom w:val="none" w:sz="0" w:space="0" w:color="auto"/>
            <w:right w:val="none" w:sz="0" w:space="0" w:color="auto"/>
          </w:divBdr>
        </w:div>
      </w:divsChild>
    </w:div>
    <w:div w:id="92479634">
      <w:bodyDiv w:val="1"/>
      <w:marLeft w:val="0"/>
      <w:marRight w:val="0"/>
      <w:marTop w:val="0"/>
      <w:marBottom w:val="0"/>
      <w:divBdr>
        <w:top w:val="none" w:sz="0" w:space="0" w:color="auto"/>
        <w:left w:val="none" w:sz="0" w:space="0" w:color="auto"/>
        <w:bottom w:val="none" w:sz="0" w:space="0" w:color="auto"/>
        <w:right w:val="none" w:sz="0" w:space="0" w:color="auto"/>
      </w:divBdr>
      <w:divsChild>
        <w:div w:id="1201668863">
          <w:marLeft w:val="0"/>
          <w:marRight w:val="0"/>
          <w:marTop w:val="0"/>
          <w:marBottom w:val="0"/>
          <w:divBdr>
            <w:top w:val="none" w:sz="0" w:space="0" w:color="auto"/>
            <w:left w:val="none" w:sz="0" w:space="0" w:color="auto"/>
            <w:bottom w:val="none" w:sz="0" w:space="0" w:color="auto"/>
            <w:right w:val="none" w:sz="0" w:space="0" w:color="auto"/>
          </w:divBdr>
        </w:div>
      </w:divsChild>
    </w:div>
    <w:div w:id="96491649">
      <w:bodyDiv w:val="1"/>
      <w:marLeft w:val="0"/>
      <w:marRight w:val="0"/>
      <w:marTop w:val="0"/>
      <w:marBottom w:val="0"/>
      <w:divBdr>
        <w:top w:val="none" w:sz="0" w:space="0" w:color="auto"/>
        <w:left w:val="none" w:sz="0" w:space="0" w:color="auto"/>
        <w:bottom w:val="none" w:sz="0" w:space="0" w:color="auto"/>
        <w:right w:val="none" w:sz="0" w:space="0" w:color="auto"/>
      </w:divBdr>
      <w:divsChild>
        <w:div w:id="305627118">
          <w:marLeft w:val="0"/>
          <w:marRight w:val="0"/>
          <w:marTop w:val="0"/>
          <w:marBottom w:val="0"/>
          <w:divBdr>
            <w:top w:val="none" w:sz="0" w:space="0" w:color="auto"/>
            <w:left w:val="none" w:sz="0" w:space="0" w:color="auto"/>
            <w:bottom w:val="none" w:sz="0" w:space="0" w:color="auto"/>
            <w:right w:val="none" w:sz="0" w:space="0" w:color="auto"/>
          </w:divBdr>
        </w:div>
      </w:divsChild>
    </w:div>
    <w:div w:id="101609845">
      <w:bodyDiv w:val="1"/>
      <w:marLeft w:val="0"/>
      <w:marRight w:val="0"/>
      <w:marTop w:val="0"/>
      <w:marBottom w:val="0"/>
      <w:divBdr>
        <w:top w:val="none" w:sz="0" w:space="0" w:color="auto"/>
        <w:left w:val="none" w:sz="0" w:space="0" w:color="auto"/>
        <w:bottom w:val="none" w:sz="0" w:space="0" w:color="auto"/>
        <w:right w:val="none" w:sz="0" w:space="0" w:color="auto"/>
      </w:divBdr>
      <w:divsChild>
        <w:div w:id="115103103">
          <w:marLeft w:val="0"/>
          <w:marRight w:val="0"/>
          <w:marTop w:val="0"/>
          <w:marBottom w:val="0"/>
          <w:divBdr>
            <w:top w:val="none" w:sz="0" w:space="0" w:color="auto"/>
            <w:left w:val="none" w:sz="0" w:space="0" w:color="auto"/>
            <w:bottom w:val="none" w:sz="0" w:space="0" w:color="auto"/>
            <w:right w:val="none" w:sz="0" w:space="0" w:color="auto"/>
          </w:divBdr>
        </w:div>
      </w:divsChild>
    </w:div>
    <w:div w:id="109594044">
      <w:bodyDiv w:val="1"/>
      <w:marLeft w:val="0"/>
      <w:marRight w:val="0"/>
      <w:marTop w:val="0"/>
      <w:marBottom w:val="0"/>
      <w:divBdr>
        <w:top w:val="none" w:sz="0" w:space="0" w:color="auto"/>
        <w:left w:val="none" w:sz="0" w:space="0" w:color="auto"/>
        <w:bottom w:val="none" w:sz="0" w:space="0" w:color="auto"/>
        <w:right w:val="none" w:sz="0" w:space="0" w:color="auto"/>
      </w:divBdr>
      <w:divsChild>
        <w:div w:id="862978325">
          <w:marLeft w:val="0"/>
          <w:marRight w:val="0"/>
          <w:marTop w:val="0"/>
          <w:marBottom w:val="0"/>
          <w:divBdr>
            <w:top w:val="none" w:sz="0" w:space="0" w:color="auto"/>
            <w:left w:val="none" w:sz="0" w:space="0" w:color="auto"/>
            <w:bottom w:val="none" w:sz="0" w:space="0" w:color="auto"/>
            <w:right w:val="none" w:sz="0" w:space="0" w:color="auto"/>
          </w:divBdr>
        </w:div>
        <w:div w:id="964966782">
          <w:marLeft w:val="0"/>
          <w:marRight w:val="0"/>
          <w:marTop w:val="0"/>
          <w:marBottom w:val="0"/>
          <w:divBdr>
            <w:top w:val="none" w:sz="0" w:space="0" w:color="auto"/>
            <w:left w:val="none" w:sz="0" w:space="0" w:color="auto"/>
            <w:bottom w:val="none" w:sz="0" w:space="0" w:color="auto"/>
            <w:right w:val="none" w:sz="0" w:space="0" w:color="auto"/>
          </w:divBdr>
        </w:div>
      </w:divsChild>
    </w:div>
    <w:div w:id="112094782">
      <w:bodyDiv w:val="1"/>
      <w:marLeft w:val="0"/>
      <w:marRight w:val="0"/>
      <w:marTop w:val="0"/>
      <w:marBottom w:val="0"/>
      <w:divBdr>
        <w:top w:val="none" w:sz="0" w:space="0" w:color="auto"/>
        <w:left w:val="none" w:sz="0" w:space="0" w:color="auto"/>
        <w:bottom w:val="none" w:sz="0" w:space="0" w:color="auto"/>
        <w:right w:val="none" w:sz="0" w:space="0" w:color="auto"/>
      </w:divBdr>
    </w:div>
    <w:div w:id="114830657">
      <w:bodyDiv w:val="1"/>
      <w:marLeft w:val="0"/>
      <w:marRight w:val="0"/>
      <w:marTop w:val="0"/>
      <w:marBottom w:val="0"/>
      <w:divBdr>
        <w:top w:val="none" w:sz="0" w:space="0" w:color="auto"/>
        <w:left w:val="none" w:sz="0" w:space="0" w:color="auto"/>
        <w:bottom w:val="none" w:sz="0" w:space="0" w:color="auto"/>
        <w:right w:val="none" w:sz="0" w:space="0" w:color="auto"/>
      </w:divBdr>
      <w:divsChild>
        <w:div w:id="1427850158">
          <w:marLeft w:val="0"/>
          <w:marRight w:val="0"/>
          <w:marTop w:val="0"/>
          <w:marBottom w:val="0"/>
          <w:divBdr>
            <w:top w:val="none" w:sz="0" w:space="0" w:color="auto"/>
            <w:left w:val="none" w:sz="0" w:space="0" w:color="auto"/>
            <w:bottom w:val="none" w:sz="0" w:space="0" w:color="auto"/>
            <w:right w:val="none" w:sz="0" w:space="0" w:color="auto"/>
          </w:divBdr>
        </w:div>
      </w:divsChild>
    </w:div>
    <w:div w:id="123041149">
      <w:bodyDiv w:val="1"/>
      <w:marLeft w:val="0"/>
      <w:marRight w:val="0"/>
      <w:marTop w:val="0"/>
      <w:marBottom w:val="0"/>
      <w:divBdr>
        <w:top w:val="none" w:sz="0" w:space="0" w:color="auto"/>
        <w:left w:val="none" w:sz="0" w:space="0" w:color="auto"/>
        <w:bottom w:val="none" w:sz="0" w:space="0" w:color="auto"/>
        <w:right w:val="none" w:sz="0" w:space="0" w:color="auto"/>
      </w:divBdr>
      <w:divsChild>
        <w:div w:id="512033469">
          <w:marLeft w:val="0"/>
          <w:marRight w:val="0"/>
          <w:marTop w:val="0"/>
          <w:marBottom w:val="0"/>
          <w:divBdr>
            <w:top w:val="none" w:sz="0" w:space="0" w:color="auto"/>
            <w:left w:val="none" w:sz="0" w:space="0" w:color="auto"/>
            <w:bottom w:val="none" w:sz="0" w:space="0" w:color="auto"/>
            <w:right w:val="none" w:sz="0" w:space="0" w:color="auto"/>
          </w:divBdr>
        </w:div>
      </w:divsChild>
    </w:div>
    <w:div w:id="124934032">
      <w:bodyDiv w:val="1"/>
      <w:marLeft w:val="0"/>
      <w:marRight w:val="0"/>
      <w:marTop w:val="0"/>
      <w:marBottom w:val="0"/>
      <w:divBdr>
        <w:top w:val="none" w:sz="0" w:space="0" w:color="auto"/>
        <w:left w:val="none" w:sz="0" w:space="0" w:color="auto"/>
        <w:bottom w:val="none" w:sz="0" w:space="0" w:color="auto"/>
        <w:right w:val="none" w:sz="0" w:space="0" w:color="auto"/>
      </w:divBdr>
    </w:div>
    <w:div w:id="126315815">
      <w:bodyDiv w:val="1"/>
      <w:marLeft w:val="0"/>
      <w:marRight w:val="0"/>
      <w:marTop w:val="0"/>
      <w:marBottom w:val="0"/>
      <w:divBdr>
        <w:top w:val="none" w:sz="0" w:space="0" w:color="auto"/>
        <w:left w:val="none" w:sz="0" w:space="0" w:color="auto"/>
        <w:bottom w:val="none" w:sz="0" w:space="0" w:color="auto"/>
        <w:right w:val="none" w:sz="0" w:space="0" w:color="auto"/>
      </w:divBdr>
      <w:divsChild>
        <w:div w:id="490027089">
          <w:marLeft w:val="0"/>
          <w:marRight w:val="0"/>
          <w:marTop w:val="0"/>
          <w:marBottom w:val="0"/>
          <w:divBdr>
            <w:top w:val="none" w:sz="0" w:space="0" w:color="auto"/>
            <w:left w:val="none" w:sz="0" w:space="0" w:color="auto"/>
            <w:bottom w:val="none" w:sz="0" w:space="0" w:color="auto"/>
            <w:right w:val="none" w:sz="0" w:space="0" w:color="auto"/>
          </w:divBdr>
        </w:div>
      </w:divsChild>
    </w:div>
    <w:div w:id="128062649">
      <w:bodyDiv w:val="1"/>
      <w:marLeft w:val="0"/>
      <w:marRight w:val="0"/>
      <w:marTop w:val="0"/>
      <w:marBottom w:val="0"/>
      <w:divBdr>
        <w:top w:val="none" w:sz="0" w:space="0" w:color="auto"/>
        <w:left w:val="none" w:sz="0" w:space="0" w:color="auto"/>
        <w:bottom w:val="none" w:sz="0" w:space="0" w:color="auto"/>
        <w:right w:val="none" w:sz="0" w:space="0" w:color="auto"/>
      </w:divBdr>
      <w:divsChild>
        <w:div w:id="657271714">
          <w:marLeft w:val="0"/>
          <w:marRight w:val="0"/>
          <w:marTop w:val="0"/>
          <w:marBottom w:val="0"/>
          <w:divBdr>
            <w:top w:val="none" w:sz="0" w:space="0" w:color="auto"/>
            <w:left w:val="none" w:sz="0" w:space="0" w:color="auto"/>
            <w:bottom w:val="none" w:sz="0" w:space="0" w:color="auto"/>
            <w:right w:val="none" w:sz="0" w:space="0" w:color="auto"/>
          </w:divBdr>
        </w:div>
      </w:divsChild>
    </w:div>
    <w:div w:id="151407132">
      <w:bodyDiv w:val="1"/>
      <w:marLeft w:val="0"/>
      <w:marRight w:val="0"/>
      <w:marTop w:val="0"/>
      <w:marBottom w:val="0"/>
      <w:divBdr>
        <w:top w:val="none" w:sz="0" w:space="0" w:color="auto"/>
        <w:left w:val="none" w:sz="0" w:space="0" w:color="auto"/>
        <w:bottom w:val="none" w:sz="0" w:space="0" w:color="auto"/>
        <w:right w:val="none" w:sz="0" w:space="0" w:color="auto"/>
      </w:divBdr>
    </w:div>
    <w:div w:id="164248653">
      <w:bodyDiv w:val="1"/>
      <w:marLeft w:val="0"/>
      <w:marRight w:val="0"/>
      <w:marTop w:val="0"/>
      <w:marBottom w:val="0"/>
      <w:divBdr>
        <w:top w:val="none" w:sz="0" w:space="0" w:color="auto"/>
        <w:left w:val="none" w:sz="0" w:space="0" w:color="auto"/>
        <w:bottom w:val="none" w:sz="0" w:space="0" w:color="auto"/>
        <w:right w:val="none" w:sz="0" w:space="0" w:color="auto"/>
      </w:divBdr>
      <w:divsChild>
        <w:div w:id="1670795376">
          <w:marLeft w:val="0"/>
          <w:marRight w:val="0"/>
          <w:marTop w:val="0"/>
          <w:marBottom w:val="0"/>
          <w:divBdr>
            <w:top w:val="none" w:sz="0" w:space="0" w:color="auto"/>
            <w:left w:val="none" w:sz="0" w:space="0" w:color="auto"/>
            <w:bottom w:val="none" w:sz="0" w:space="0" w:color="auto"/>
            <w:right w:val="none" w:sz="0" w:space="0" w:color="auto"/>
          </w:divBdr>
        </w:div>
      </w:divsChild>
    </w:div>
    <w:div w:id="173420491">
      <w:bodyDiv w:val="1"/>
      <w:marLeft w:val="0"/>
      <w:marRight w:val="0"/>
      <w:marTop w:val="0"/>
      <w:marBottom w:val="0"/>
      <w:divBdr>
        <w:top w:val="none" w:sz="0" w:space="0" w:color="auto"/>
        <w:left w:val="none" w:sz="0" w:space="0" w:color="auto"/>
        <w:bottom w:val="none" w:sz="0" w:space="0" w:color="auto"/>
        <w:right w:val="none" w:sz="0" w:space="0" w:color="auto"/>
      </w:divBdr>
      <w:divsChild>
        <w:div w:id="40713501">
          <w:marLeft w:val="0"/>
          <w:marRight w:val="0"/>
          <w:marTop w:val="0"/>
          <w:marBottom w:val="0"/>
          <w:divBdr>
            <w:top w:val="none" w:sz="0" w:space="0" w:color="auto"/>
            <w:left w:val="none" w:sz="0" w:space="0" w:color="auto"/>
            <w:bottom w:val="none" w:sz="0" w:space="0" w:color="auto"/>
            <w:right w:val="none" w:sz="0" w:space="0" w:color="auto"/>
          </w:divBdr>
        </w:div>
      </w:divsChild>
    </w:div>
    <w:div w:id="173888918">
      <w:bodyDiv w:val="1"/>
      <w:marLeft w:val="0"/>
      <w:marRight w:val="0"/>
      <w:marTop w:val="0"/>
      <w:marBottom w:val="0"/>
      <w:divBdr>
        <w:top w:val="none" w:sz="0" w:space="0" w:color="auto"/>
        <w:left w:val="none" w:sz="0" w:space="0" w:color="auto"/>
        <w:bottom w:val="none" w:sz="0" w:space="0" w:color="auto"/>
        <w:right w:val="none" w:sz="0" w:space="0" w:color="auto"/>
      </w:divBdr>
      <w:divsChild>
        <w:div w:id="178810671">
          <w:marLeft w:val="0"/>
          <w:marRight w:val="0"/>
          <w:marTop w:val="0"/>
          <w:marBottom w:val="0"/>
          <w:divBdr>
            <w:top w:val="none" w:sz="0" w:space="0" w:color="auto"/>
            <w:left w:val="none" w:sz="0" w:space="0" w:color="auto"/>
            <w:bottom w:val="none" w:sz="0" w:space="0" w:color="auto"/>
            <w:right w:val="none" w:sz="0" w:space="0" w:color="auto"/>
          </w:divBdr>
        </w:div>
      </w:divsChild>
    </w:div>
    <w:div w:id="183711697">
      <w:bodyDiv w:val="1"/>
      <w:marLeft w:val="0"/>
      <w:marRight w:val="0"/>
      <w:marTop w:val="0"/>
      <w:marBottom w:val="0"/>
      <w:divBdr>
        <w:top w:val="none" w:sz="0" w:space="0" w:color="auto"/>
        <w:left w:val="none" w:sz="0" w:space="0" w:color="auto"/>
        <w:bottom w:val="none" w:sz="0" w:space="0" w:color="auto"/>
        <w:right w:val="none" w:sz="0" w:space="0" w:color="auto"/>
      </w:divBdr>
      <w:divsChild>
        <w:div w:id="1369988490">
          <w:marLeft w:val="0"/>
          <w:marRight w:val="0"/>
          <w:marTop w:val="0"/>
          <w:marBottom w:val="0"/>
          <w:divBdr>
            <w:top w:val="none" w:sz="0" w:space="0" w:color="auto"/>
            <w:left w:val="none" w:sz="0" w:space="0" w:color="auto"/>
            <w:bottom w:val="none" w:sz="0" w:space="0" w:color="auto"/>
            <w:right w:val="none" w:sz="0" w:space="0" w:color="auto"/>
          </w:divBdr>
        </w:div>
      </w:divsChild>
    </w:div>
    <w:div w:id="184948189">
      <w:bodyDiv w:val="1"/>
      <w:marLeft w:val="0"/>
      <w:marRight w:val="0"/>
      <w:marTop w:val="0"/>
      <w:marBottom w:val="0"/>
      <w:divBdr>
        <w:top w:val="none" w:sz="0" w:space="0" w:color="auto"/>
        <w:left w:val="none" w:sz="0" w:space="0" w:color="auto"/>
        <w:bottom w:val="none" w:sz="0" w:space="0" w:color="auto"/>
        <w:right w:val="none" w:sz="0" w:space="0" w:color="auto"/>
      </w:divBdr>
      <w:divsChild>
        <w:div w:id="1971738994">
          <w:marLeft w:val="0"/>
          <w:marRight w:val="0"/>
          <w:marTop w:val="0"/>
          <w:marBottom w:val="0"/>
          <w:divBdr>
            <w:top w:val="none" w:sz="0" w:space="0" w:color="auto"/>
            <w:left w:val="none" w:sz="0" w:space="0" w:color="auto"/>
            <w:bottom w:val="none" w:sz="0" w:space="0" w:color="auto"/>
            <w:right w:val="none" w:sz="0" w:space="0" w:color="auto"/>
          </w:divBdr>
        </w:div>
      </w:divsChild>
    </w:div>
    <w:div w:id="185170792">
      <w:bodyDiv w:val="1"/>
      <w:marLeft w:val="0"/>
      <w:marRight w:val="0"/>
      <w:marTop w:val="0"/>
      <w:marBottom w:val="0"/>
      <w:divBdr>
        <w:top w:val="none" w:sz="0" w:space="0" w:color="auto"/>
        <w:left w:val="none" w:sz="0" w:space="0" w:color="auto"/>
        <w:bottom w:val="none" w:sz="0" w:space="0" w:color="auto"/>
        <w:right w:val="none" w:sz="0" w:space="0" w:color="auto"/>
      </w:divBdr>
      <w:divsChild>
        <w:div w:id="973868313">
          <w:marLeft w:val="0"/>
          <w:marRight w:val="0"/>
          <w:marTop w:val="0"/>
          <w:marBottom w:val="0"/>
          <w:divBdr>
            <w:top w:val="none" w:sz="0" w:space="0" w:color="auto"/>
            <w:left w:val="none" w:sz="0" w:space="0" w:color="auto"/>
            <w:bottom w:val="none" w:sz="0" w:space="0" w:color="auto"/>
            <w:right w:val="none" w:sz="0" w:space="0" w:color="auto"/>
          </w:divBdr>
        </w:div>
      </w:divsChild>
    </w:div>
    <w:div w:id="202838087">
      <w:bodyDiv w:val="1"/>
      <w:marLeft w:val="0"/>
      <w:marRight w:val="0"/>
      <w:marTop w:val="0"/>
      <w:marBottom w:val="0"/>
      <w:divBdr>
        <w:top w:val="none" w:sz="0" w:space="0" w:color="auto"/>
        <w:left w:val="none" w:sz="0" w:space="0" w:color="auto"/>
        <w:bottom w:val="none" w:sz="0" w:space="0" w:color="auto"/>
        <w:right w:val="none" w:sz="0" w:space="0" w:color="auto"/>
      </w:divBdr>
      <w:divsChild>
        <w:div w:id="2140950834">
          <w:marLeft w:val="0"/>
          <w:marRight w:val="0"/>
          <w:marTop w:val="0"/>
          <w:marBottom w:val="0"/>
          <w:divBdr>
            <w:top w:val="none" w:sz="0" w:space="0" w:color="auto"/>
            <w:left w:val="none" w:sz="0" w:space="0" w:color="auto"/>
            <w:bottom w:val="none" w:sz="0" w:space="0" w:color="auto"/>
            <w:right w:val="none" w:sz="0" w:space="0" w:color="auto"/>
          </w:divBdr>
        </w:div>
      </w:divsChild>
    </w:div>
    <w:div w:id="209653655">
      <w:bodyDiv w:val="1"/>
      <w:marLeft w:val="0"/>
      <w:marRight w:val="0"/>
      <w:marTop w:val="0"/>
      <w:marBottom w:val="0"/>
      <w:divBdr>
        <w:top w:val="none" w:sz="0" w:space="0" w:color="auto"/>
        <w:left w:val="none" w:sz="0" w:space="0" w:color="auto"/>
        <w:bottom w:val="none" w:sz="0" w:space="0" w:color="auto"/>
        <w:right w:val="none" w:sz="0" w:space="0" w:color="auto"/>
      </w:divBdr>
      <w:divsChild>
        <w:div w:id="1463110031">
          <w:marLeft w:val="0"/>
          <w:marRight w:val="0"/>
          <w:marTop w:val="0"/>
          <w:marBottom w:val="0"/>
          <w:divBdr>
            <w:top w:val="none" w:sz="0" w:space="0" w:color="auto"/>
            <w:left w:val="none" w:sz="0" w:space="0" w:color="auto"/>
            <w:bottom w:val="none" w:sz="0" w:space="0" w:color="auto"/>
            <w:right w:val="none" w:sz="0" w:space="0" w:color="auto"/>
          </w:divBdr>
        </w:div>
      </w:divsChild>
    </w:div>
    <w:div w:id="214243081">
      <w:bodyDiv w:val="1"/>
      <w:marLeft w:val="0"/>
      <w:marRight w:val="0"/>
      <w:marTop w:val="0"/>
      <w:marBottom w:val="0"/>
      <w:divBdr>
        <w:top w:val="none" w:sz="0" w:space="0" w:color="auto"/>
        <w:left w:val="none" w:sz="0" w:space="0" w:color="auto"/>
        <w:bottom w:val="none" w:sz="0" w:space="0" w:color="auto"/>
        <w:right w:val="none" w:sz="0" w:space="0" w:color="auto"/>
      </w:divBdr>
      <w:divsChild>
        <w:div w:id="1013265168">
          <w:marLeft w:val="0"/>
          <w:marRight w:val="0"/>
          <w:marTop w:val="0"/>
          <w:marBottom w:val="0"/>
          <w:divBdr>
            <w:top w:val="none" w:sz="0" w:space="0" w:color="auto"/>
            <w:left w:val="none" w:sz="0" w:space="0" w:color="auto"/>
            <w:bottom w:val="none" w:sz="0" w:space="0" w:color="auto"/>
            <w:right w:val="none" w:sz="0" w:space="0" w:color="auto"/>
          </w:divBdr>
        </w:div>
      </w:divsChild>
    </w:div>
    <w:div w:id="214974533">
      <w:bodyDiv w:val="1"/>
      <w:marLeft w:val="0"/>
      <w:marRight w:val="0"/>
      <w:marTop w:val="0"/>
      <w:marBottom w:val="0"/>
      <w:divBdr>
        <w:top w:val="none" w:sz="0" w:space="0" w:color="auto"/>
        <w:left w:val="none" w:sz="0" w:space="0" w:color="auto"/>
        <w:bottom w:val="none" w:sz="0" w:space="0" w:color="auto"/>
        <w:right w:val="none" w:sz="0" w:space="0" w:color="auto"/>
      </w:divBdr>
    </w:div>
    <w:div w:id="216430681">
      <w:bodyDiv w:val="1"/>
      <w:marLeft w:val="0"/>
      <w:marRight w:val="0"/>
      <w:marTop w:val="0"/>
      <w:marBottom w:val="0"/>
      <w:divBdr>
        <w:top w:val="none" w:sz="0" w:space="0" w:color="auto"/>
        <w:left w:val="none" w:sz="0" w:space="0" w:color="auto"/>
        <w:bottom w:val="none" w:sz="0" w:space="0" w:color="auto"/>
        <w:right w:val="none" w:sz="0" w:space="0" w:color="auto"/>
      </w:divBdr>
      <w:divsChild>
        <w:div w:id="578100343">
          <w:marLeft w:val="0"/>
          <w:marRight w:val="0"/>
          <w:marTop w:val="0"/>
          <w:marBottom w:val="0"/>
          <w:divBdr>
            <w:top w:val="none" w:sz="0" w:space="0" w:color="auto"/>
            <w:left w:val="none" w:sz="0" w:space="0" w:color="auto"/>
            <w:bottom w:val="none" w:sz="0" w:space="0" w:color="auto"/>
            <w:right w:val="none" w:sz="0" w:space="0" w:color="auto"/>
          </w:divBdr>
        </w:div>
      </w:divsChild>
    </w:div>
    <w:div w:id="230896828">
      <w:bodyDiv w:val="1"/>
      <w:marLeft w:val="0"/>
      <w:marRight w:val="0"/>
      <w:marTop w:val="0"/>
      <w:marBottom w:val="0"/>
      <w:divBdr>
        <w:top w:val="none" w:sz="0" w:space="0" w:color="auto"/>
        <w:left w:val="none" w:sz="0" w:space="0" w:color="auto"/>
        <w:bottom w:val="none" w:sz="0" w:space="0" w:color="auto"/>
        <w:right w:val="none" w:sz="0" w:space="0" w:color="auto"/>
      </w:divBdr>
      <w:divsChild>
        <w:div w:id="713702191">
          <w:marLeft w:val="0"/>
          <w:marRight w:val="0"/>
          <w:marTop w:val="0"/>
          <w:marBottom w:val="0"/>
          <w:divBdr>
            <w:top w:val="none" w:sz="0" w:space="0" w:color="auto"/>
            <w:left w:val="none" w:sz="0" w:space="0" w:color="auto"/>
            <w:bottom w:val="none" w:sz="0" w:space="0" w:color="auto"/>
            <w:right w:val="none" w:sz="0" w:space="0" w:color="auto"/>
          </w:divBdr>
        </w:div>
      </w:divsChild>
    </w:div>
    <w:div w:id="231819189">
      <w:bodyDiv w:val="1"/>
      <w:marLeft w:val="0"/>
      <w:marRight w:val="0"/>
      <w:marTop w:val="0"/>
      <w:marBottom w:val="0"/>
      <w:divBdr>
        <w:top w:val="none" w:sz="0" w:space="0" w:color="auto"/>
        <w:left w:val="none" w:sz="0" w:space="0" w:color="auto"/>
        <w:bottom w:val="none" w:sz="0" w:space="0" w:color="auto"/>
        <w:right w:val="none" w:sz="0" w:space="0" w:color="auto"/>
      </w:divBdr>
      <w:divsChild>
        <w:div w:id="592277265">
          <w:marLeft w:val="0"/>
          <w:marRight w:val="0"/>
          <w:marTop w:val="0"/>
          <w:marBottom w:val="0"/>
          <w:divBdr>
            <w:top w:val="none" w:sz="0" w:space="0" w:color="auto"/>
            <w:left w:val="none" w:sz="0" w:space="0" w:color="auto"/>
            <w:bottom w:val="none" w:sz="0" w:space="0" w:color="auto"/>
            <w:right w:val="none" w:sz="0" w:space="0" w:color="auto"/>
          </w:divBdr>
        </w:div>
      </w:divsChild>
    </w:div>
    <w:div w:id="234978808">
      <w:bodyDiv w:val="1"/>
      <w:marLeft w:val="0"/>
      <w:marRight w:val="0"/>
      <w:marTop w:val="0"/>
      <w:marBottom w:val="0"/>
      <w:divBdr>
        <w:top w:val="none" w:sz="0" w:space="0" w:color="auto"/>
        <w:left w:val="none" w:sz="0" w:space="0" w:color="auto"/>
        <w:bottom w:val="none" w:sz="0" w:space="0" w:color="auto"/>
        <w:right w:val="none" w:sz="0" w:space="0" w:color="auto"/>
      </w:divBdr>
      <w:divsChild>
        <w:div w:id="440150423">
          <w:marLeft w:val="0"/>
          <w:marRight w:val="0"/>
          <w:marTop w:val="0"/>
          <w:marBottom w:val="0"/>
          <w:divBdr>
            <w:top w:val="none" w:sz="0" w:space="0" w:color="auto"/>
            <w:left w:val="none" w:sz="0" w:space="0" w:color="auto"/>
            <w:bottom w:val="none" w:sz="0" w:space="0" w:color="auto"/>
            <w:right w:val="none" w:sz="0" w:space="0" w:color="auto"/>
          </w:divBdr>
        </w:div>
      </w:divsChild>
    </w:div>
    <w:div w:id="235286599">
      <w:bodyDiv w:val="1"/>
      <w:marLeft w:val="0"/>
      <w:marRight w:val="0"/>
      <w:marTop w:val="0"/>
      <w:marBottom w:val="0"/>
      <w:divBdr>
        <w:top w:val="none" w:sz="0" w:space="0" w:color="auto"/>
        <w:left w:val="none" w:sz="0" w:space="0" w:color="auto"/>
        <w:bottom w:val="none" w:sz="0" w:space="0" w:color="auto"/>
        <w:right w:val="none" w:sz="0" w:space="0" w:color="auto"/>
      </w:divBdr>
      <w:divsChild>
        <w:div w:id="1442335246">
          <w:marLeft w:val="0"/>
          <w:marRight w:val="0"/>
          <w:marTop w:val="0"/>
          <w:marBottom w:val="0"/>
          <w:divBdr>
            <w:top w:val="none" w:sz="0" w:space="0" w:color="auto"/>
            <w:left w:val="none" w:sz="0" w:space="0" w:color="auto"/>
            <w:bottom w:val="none" w:sz="0" w:space="0" w:color="auto"/>
            <w:right w:val="none" w:sz="0" w:space="0" w:color="auto"/>
          </w:divBdr>
        </w:div>
      </w:divsChild>
    </w:div>
    <w:div w:id="238562605">
      <w:bodyDiv w:val="1"/>
      <w:marLeft w:val="0"/>
      <w:marRight w:val="0"/>
      <w:marTop w:val="0"/>
      <w:marBottom w:val="0"/>
      <w:divBdr>
        <w:top w:val="none" w:sz="0" w:space="0" w:color="auto"/>
        <w:left w:val="none" w:sz="0" w:space="0" w:color="auto"/>
        <w:bottom w:val="none" w:sz="0" w:space="0" w:color="auto"/>
        <w:right w:val="none" w:sz="0" w:space="0" w:color="auto"/>
      </w:divBdr>
      <w:divsChild>
        <w:div w:id="1210728423">
          <w:marLeft w:val="0"/>
          <w:marRight w:val="0"/>
          <w:marTop w:val="0"/>
          <w:marBottom w:val="0"/>
          <w:divBdr>
            <w:top w:val="none" w:sz="0" w:space="0" w:color="auto"/>
            <w:left w:val="none" w:sz="0" w:space="0" w:color="auto"/>
            <w:bottom w:val="none" w:sz="0" w:space="0" w:color="auto"/>
            <w:right w:val="none" w:sz="0" w:space="0" w:color="auto"/>
          </w:divBdr>
        </w:div>
      </w:divsChild>
    </w:div>
    <w:div w:id="265622894">
      <w:bodyDiv w:val="1"/>
      <w:marLeft w:val="0"/>
      <w:marRight w:val="0"/>
      <w:marTop w:val="0"/>
      <w:marBottom w:val="0"/>
      <w:divBdr>
        <w:top w:val="none" w:sz="0" w:space="0" w:color="auto"/>
        <w:left w:val="none" w:sz="0" w:space="0" w:color="auto"/>
        <w:bottom w:val="none" w:sz="0" w:space="0" w:color="auto"/>
        <w:right w:val="none" w:sz="0" w:space="0" w:color="auto"/>
      </w:divBdr>
      <w:divsChild>
        <w:div w:id="1759983103">
          <w:marLeft w:val="0"/>
          <w:marRight w:val="0"/>
          <w:marTop w:val="0"/>
          <w:marBottom w:val="0"/>
          <w:divBdr>
            <w:top w:val="none" w:sz="0" w:space="0" w:color="auto"/>
            <w:left w:val="none" w:sz="0" w:space="0" w:color="auto"/>
            <w:bottom w:val="none" w:sz="0" w:space="0" w:color="auto"/>
            <w:right w:val="none" w:sz="0" w:space="0" w:color="auto"/>
          </w:divBdr>
        </w:div>
      </w:divsChild>
    </w:div>
    <w:div w:id="266625223">
      <w:bodyDiv w:val="1"/>
      <w:marLeft w:val="0"/>
      <w:marRight w:val="0"/>
      <w:marTop w:val="0"/>
      <w:marBottom w:val="0"/>
      <w:divBdr>
        <w:top w:val="none" w:sz="0" w:space="0" w:color="auto"/>
        <w:left w:val="none" w:sz="0" w:space="0" w:color="auto"/>
        <w:bottom w:val="none" w:sz="0" w:space="0" w:color="auto"/>
        <w:right w:val="none" w:sz="0" w:space="0" w:color="auto"/>
      </w:divBdr>
      <w:divsChild>
        <w:div w:id="1009213377">
          <w:marLeft w:val="0"/>
          <w:marRight w:val="0"/>
          <w:marTop w:val="0"/>
          <w:marBottom w:val="0"/>
          <w:divBdr>
            <w:top w:val="none" w:sz="0" w:space="0" w:color="auto"/>
            <w:left w:val="none" w:sz="0" w:space="0" w:color="auto"/>
            <w:bottom w:val="none" w:sz="0" w:space="0" w:color="auto"/>
            <w:right w:val="none" w:sz="0" w:space="0" w:color="auto"/>
          </w:divBdr>
        </w:div>
      </w:divsChild>
    </w:div>
    <w:div w:id="280191972">
      <w:bodyDiv w:val="1"/>
      <w:marLeft w:val="0"/>
      <w:marRight w:val="0"/>
      <w:marTop w:val="0"/>
      <w:marBottom w:val="0"/>
      <w:divBdr>
        <w:top w:val="none" w:sz="0" w:space="0" w:color="auto"/>
        <w:left w:val="none" w:sz="0" w:space="0" w:color="auto"/>
        <w:bottom w:val="none" w:sz="0" w:space="0" w:color="auto"/>
        <w:right w:val="none" w:sz="0" w:space="0" w:color="auto"/>
      </w:divBdr>
      <w:divsChild>
        <w:div w:id="1946111279">
          <w:marLeft w:val="0"/>
          <w:marRight w:val="0"/>
          <w:marTop w:val="0"/>
          <w:marBottom w:val="0"/>
          <w:divBdr>
            <w:top w:val="none" w:sz="0" w:space="0" w:color="auto"/>
            <w:left w:val="none" w:sz="0" w:space="0" w:color="auto"/>
            <w:bottom w:val="none" w:sz="0" w:space="0" w:color="auto"/>
            <w:right w:val="none" w:sz="0" w:space="0" w:color="auto"/>
          </w:divBdr>
        </w:div>
      </w:divsChild>
    </w:div>
    <w:div w:id="286743397">
      <w:bodyDiv w:val="1"/>
      <w:marLeft w:val="0"/>
      <w:marRight w:val="0"/>
      <w:marTop w:val="0"/>
      <w:marBottom w:val="0"/>
      <w:divBdr>
        <w:top w:val="none" w:sz="0" w:space="0" w:color="auto"/>
        <w:left w:val="none" w:sz="0" w:space="0" w:color="auto"/>
        <w:bottom w:val="none" w:sz="0" w:space="0" w:color="auto"/>
        <w:right w:val="none" w:sz="0" w:space="0" w:color="auto"/>
      </w:divBdr>
      <w:divsChild>
        <w:div w:id="316805639">
          <w:marLeft w:val="0"/>
          <w:marRight w:val="0"/>
          <w:marTop w:val="0"/>
          <w:marBottom w:val="0"/>
          <w:divBdr>
            <w:top w:val="none" w:sz="0" w:space="0" w:color="auto"/>
            <w:left w:val="none" w:sz="0" w:space="0" w:color="auto"/>
            <w:bottom w:val="none" w:sz="0" w:space="0" w:color="auto"/>
            <w:right w:val="none" w:sz="0" w:space="0" w:color="auto"/>
          </w:divBdr>
        </w:div>
      </w:divsChild>
    </w:div>
    <w:div w:id="288051408">
      <w:bodyDiv w:val="1"/>
      <w:marLeft w:val="0"/>
      <w:marRight w:val="0"/>
      <w:marTop w:val="0"/>
      <w:marBottom w:val="0"/>
      <w:divBdr>
        <w:top w:val="none" w:sz="0" w:space="0" w:color="auto"/>
        <w:left w:val="none" w:sz="0" w:space="0" w:color="auto"/>
        <w:bottom w:val="none" w:sz="0" w:space="0" w:color="auto"/>
        <w:right w:val="none" w:sz="0" w:space="0" w:color="auto"/>
      </w:divBdr>
      <w:divsChild>
        <w:div w:id="506137641">
          <w:marLeft w:val="0"/>
          <w:marRight w:val="0"/>
          <w:marTop w:val="0"/>
          <w:marBottom w:val="0"/>
          <w:divBdr>
            <w:top w:val="none" w:sz="0" w:space="0" w:color="auto"/>
            <w:left w:val="none" w:sz="0" w:space="0" w:color="auto"/>
            <w:bottom w:val="none" w:sz="0" w:space="0" w:color="auto"/>
            <w:right w:val="none" w:sz="0" w:space="0" w:color="auto"/>
          </w:divBdr>
        </w:div>
      </w:divsChild>
    </w:div>
    <w:div w:id="290551556">
      <w:bodyDiv w:val="1"/>
      <w:marLeft w:val="0"/>
      <w:marRight w:val="0"/>
      <w:marTop w:val="0"/>
      <w:marBottom w:val="0"/>
      <w:divBdr>
        <w:top w:val="none" w:sz="0" w:space="0" w:color="auto"/>
        <w:left w:val="none" w:sz="0" w:space="0" w:color="auto"/>
        <w:bottom w:val="none" w:sz="0" w:space="0" w:color="auto"/>
        <w:right w:val="none" w:sz="0" w:space="0" w:color="auto"/>
      </w:divBdr>
      <w:divsChild>
        <w:div w:id="1259412782">
          <w:marLeft w:val="0"/>
          <w:marRight w:val="0"/>
          <w:marTop w:val="0"/>
          <w:marBottom w:val="0"/>
          <w:divBdr>
            <w:top w:val="none" w:sz="0" w:space="0" w:color="auto"/>
            <w:left w:val="none" w:sz="0" w:space="0" w:color="auto"/>
            <w:bottom w:val="none" w:sz="0" w:space="0" w:color="auto"/>
            <w:right w:val="none" w:sz="0" w:space="0" w:color="auto"/>
          </w:divBdr>
        </w:div>
      </w:divsChild>
    </w:div>
    <w:div w:id="299462557">
      <w:bodyDiv w:val="1"/>
      <w:marLeft w:val="0"/>
      <w:marRight w:val="0"/>
      <w:marTop w:val="0"/>
      <w:marBottom w:val="0"/>
      <w:divBdr>
        <w:top w:val="none" w:sz="0" w:space="0" w:color="auto"/>
        <w:left w:val="none" w:sz="0" w:space="0" w:color="auto"/>
        <w:bottom w:val="none" w:sz="0" w:space="0" w:color="auto"/>
        <w:right w:val="none" w:sz="0" w:space="0" w:color="auto"/>
      </w:divBdr>
      <w:divsChild>
        <w:div w:id="51929806">
          <w:marLeft w:val="0"/>
          <w:marRight w:val="0"/>
          <w:marTop w:val="0"/>
          <w:marBottom w:val="0"/>
          <w:divBdr>
            <w:top w:val="none" w:sz="0" w:space="0" w:color="auto"/>
            <w:left w:val="none" w:sz="0" w:space="0" w:color="auto"/>
            <w:bottom w:val="none" w:sz="0" w:space="0" w:color="auto"/>
            <w:right w:val="none" w:sz="0" w:space="0" w:color="auto"/>
          </w:divBdr>
        </w:div>
      </w:divsChild>
    </w:div>
    <w:div w:id="302934110">
      <w:bodyDiv w:val="1"/>
      <w:marLeft w:val="0"/>
      <w:marRight w:val="0"/>
      <w:marTop w:val="0"/>
      <w:marBottom w:val="0"/>
      <w:divBdr>
        <w:top w:val="none" w:sz="0" w:space="0" w:color="auto"/>
        <w:left w:val="none" w:sz="0" w:space="0" w:color="auto"/>
        <w:bottom w:val="none" w:sz="0" w:space="0" w:color="auto"/>
        <w:right w:val="none" w:sz="0" w:space="0" w:color="auto"/>
      </w:divBdr>
      <w:divsChild>
        <w:div w:id="587689525">
          <w:marLeft w:val="0"/>
          <w:marRight w:val="0"/>
          <w:marTop w:val="0"/>
          <w:marBottom w:val="0"/>
          <w:divBdr>
            <w:top w:val="none" w:sz="0" w:space="0" w:color="auto"/>
            <w:left w:val="none" w:sz="0" w:space="0" w:color="auto"/>
            <w:bottom w:val="none" w:sz="0" w:space="0" w:color="auto"/>
            <w:right w:val="none" w:sz="0" w:space="0" w:color="auto"/>
          </w:divBdr>
        </w:div>
      </w:divsChild>
    </w:div>
    <w:div w:id="306666288">
      <w:bodyDiv w:val="1"/>
      <w:marLeft w:val="0"/>
      <w:marRight w:val="0"/>
      <w:marTop w:val="0"/>
      <w:marBottom w:val="0"/>
      <w:divBdr>
        <w:top w:val="none" w:sz="0" w:space="0" w:color="auto"/>
        <w:left w:val="none" w:sz="0" w:space="0" w:color="auto"/>
        <w:bottom w:val="none" w:sz="0" w:space="0" w:color="auto"/>
        <w:right w:val="none" w:sz="0" w:space="0" w:color="auto"/>
      </w:divBdr>
      <w:divsChild>
        <w:div w:id="248127167">
          <w:marLeft w:val="0"/>
          <w:marRight w:val="0"/>
          <w:marTop w:val="0"/>
          <w:marBottom w:val="0"/>
          <w:divBdr>
            <w:top w:val="none" w:sz="0" w:space="0" w:color="auto"/>
            <w:left w:val="none" w:sz="0" w:space="0" w:color="auto"/>
            <w:bottom w:val="none" w:sz="0" w:space="0" w:color="auto"/>
            <w:right w:val="none" w:sz="0" w:space="0" w:color="auto"/>
          </w:divBdr>
        </w:div>
      </w:divsChild>
    </w:div>
    <w:div w:id="309601177">
      <w:bodyDiv w:val="1"/>
      <w:marLeft w:val="0"/>
      <w:marRight w:val="0"/>
      <w:marTop w:val="0"/>
      <w:marBottom w:val="0"/>
      <w:divBdr>
        <w:top w:val="none" w:sz="0" w:space="0" w:color="auto"/>
        <w:left w:val="none" w:sz="0" w:space="0" w:color="auto"/>
        <w:bottom w:val="none" w:sz="0" w:space="0" w:color="auto"/>
        <w:right w:val="none" w:sz="0" w:space="0" w:color="auto"/>
      </w:divBdr>
      <w:divsChild>
        <w:div w:id="1043484491">
          <w:marLeft w:val="0"/>
          <w:marRight w:val="0"/>
          <w:marTop w:val="0"/>
          <w:marBottom w:val="0"/>
          <w:divBdr>
            <w:top w:val="none" w:sz="0" w:space="0" w:color="auto"/>
            <w:left w:val="none" w:sz="0" w:space="0" w:color="auto"/>
            <w:bottom w:val="none" w:sz="0" w:space="0" w:color="auto"/>
            <w:right w:val="none" w:sz="0" w:space="0" w:color="auto"/>
          </w:divBdr>
        </w:div>
      </w:divsChild>
    </w:div>
    <w:div w:id="310718528">
      <w:bodyDiv w:val="1"/>
      <w:marLeft w:val="0"/>
      <w:marRight w:val="0"/>
      <w:marTop w:val="0"/>
      <w:marBottom w:val="0"/>
      <w:divBdr>
        <w:top w:val="none" w:sz="0" w:space="0" w:color="auto"/>
        <w:left w:val="none" w:sz="0" w:space="0" w:color="auto"/>
        <w:bottom w:val="none" w:sz="0" w:space="0" w:color="auto"/>
        <w:right w:val="none" w:sz="0" w:space="0" w:color="auto"/>
      </w:divBdr>
      <w:divsChild>
        <w:div w:id="589319280">
          <w:marLeft w:val="0"/>
          <w:marRight w:val="0"/>
          <w:marTop w:val="0"/>
          <w:marBottom w:val="0"/>
          <w:divBdr>
            <w:top w:val="none" w:sz="0" w:space="0" w:color="auto"/>
            <w:left w:val="none" w:sz="0" w:space="0" w:color="auto"/>
            <w:bottom w:val="none" w:sz="0" w:space="0" w:color="auto"/>
            <w:right w:val="none" w:sz="0" w:space="0" w:color="auto"/>
          </w:divBdr>
        </w:div>
      </w:divsChild>
    </w:div>
    <w:div w:id="337733407">
      <w:bodyDiv w:val="1"/>
      <w:marLeft w:val="0"/>
      <w:marRight w:val="0"/>
      <w:marTop w:val="0"/>
      <w:marBottom w:val="0"/>
      <w:divBdr>
        <w:top w:val="none" w:sz="0" w:space="0" w:color="auto"/>
        <w:left w:val="none" w:sz="0" w:space="0" w:color="auto"/>
        <w:bottom w:val="none" w:sz="0" w:space="0" w:color="auto"/>
        <w:right w:val="none" w:sz="0" w:space="0" w:color="auto"/>
      </w:divBdr>
      <w:divsChild>
        <w:div w:id="2078623816">
          <w:marLeft w:val="0"/>
          <w:marRight w:val="0"/>
          <w:marTop w:val="0"/>
          <w:marBottom w:val="0"/>
          <w:divBdr>
            <w:top w:val="none" w:sz="0" w:space="0" w:color="auto"/>
            <w:left w:val="none" w:sz="0" w:space="0" w:color="auto"/>
            <w:bottom w:val="none" w:sz="0" w:space="0" w:color="auto"/>
            <w:right w:val="none" w:sz="0" w:space="0" w:color="auto"/>
          </w:divBdr>
        </w:div>
      </w:divsChild>
    </w:div>
    <w:div w:id="348483199">
      <w:bodyDiv w:val="1"/>
      <w:marLeft w:val="0"/>
      <w:marRight w:val="0"/>
      <w:marTop w:val="0"/>
      <w:marBottom w:val="0"/>
      <w:divBdr>
        <w:top w:val="none" w:sz="0" w:space="0" w:color="auto"/>
        <w:left w:val="none" w:sz="0" w:space="0" w:color="auto"/>
        <w:bottom w:val="none" w:sz="0" w:space="0" w:color="auto"/>
        <w:right w:val="none" w:sz="0" w:space="0" w:color="auto"/>
      </w:divBdr>
      <w:divsChild>
        <w:div w:id="746342646">
          <w:marLeft w:val="0"/>
          <w:marRight w:val="0"/>
          <w:marTop w:val="0"/>
          <w:marBottom w:val="0"/>
          <w:divBdr>
            <w:top w:val="none" w:sz="0" w:space="0" w:color="auto"/>
            <w:left w:val="none" w:sz="0" w:space="0" w:color="auto"/>
            <w:bottom w:val="none" w:sz="0" w:space="0" w:color="auto"/>
            <w:right w:val="none" w:sz="0" w:space="0" w:color="auto"/>
          </w:divBdr>
        </w:div>
      </w:divsChild>
    </w:div>
    <w:div w:id="360329350">
      <w:bodyDiv w:val="1"/>
      <w:marLeft w:val="0"/>
      <w:marRight w:val="0"/>
      <w:marTop w:val="0"/>
      <w:marBottom w:val="0"/>
      <w:divBdr>
        <w:top w:val="none" w:sz="0" w:space="0" w:color="auto"/>
        <w:left w:val="none" w:sz="0" w:space="0" w:color="auto"/>
        <w:bottom w:val="none" w:sz="0" w:space="0" w:color="auto"/>
        <w:right w:val="none" w:sz="0" w:space="0" w:color="auto"/>
      </w:divBdr>
      <w:divsChild>
        <w:div w:id="1671365559">
          <w:marLeft w:val="0"/>
          <w:marRight w:val="0"/>
          <w:marTop w:val="0"/>
          <w:marBottom w:val="0"/>
          <w:divBdr>
            <w:top w:val="none" w:sz="0" w:space="0" w:color="auto"/>
            <w:left w:val="none" w:sz="0" w:space="0" w:color="auto"/>
            <w:bottom w:val="none" w:sz="0" w:space="0" w:color="auto"/>
            <w:right w:val="none" w:sz="0" w:space="0" w:color="auto"/>
          </w:divBdr>
        </w:div>
      </w:divsChild>
    </w:div>
    <w:div w:id="360668657">
      <w:bodyDiv w:val="1"/>
      <w:marLeft w:val="0"/>
      <w:marRight w:val="0"/>
      <w:marTop w:val="0"/>
      <w:marBottom w:val="0"/>
      <w:divBdr>
        <w:top w:val="none" w:sz="0" w:space="0" w:color="auto"/>
        <w:left w:val="none" w:sz="0" w:space="0" w:color="auto"/>
        <w:bottom w:val="none" w:sz="0" w:space="0" w:color="auto"/>
        <w:right w:val="none" w:sz="0" w:space="0" w:color="auto"/>
      </w:divBdr>
      <w:divsChild>
        <w:div w:id="2078016476">
          <w:marLeft w:val="0"/>
          <w:marRight w:val="0"/>
          <w:marTop w:val="0"/>
          <w:marBottom w:val="0"/>
          <w:divBdr>
            <w:top w:val="none" w:sz="0" w:space="0" w:color="auto"/>
            <w:left w:val="none" w:sz="0" w:space="0" w:color="auto"/>
            <w:bottom w:val="none" w:sz="0" w:space="0" w:color="auto"/>
            <w:right w:val="none" w:sz="0" w:space="0" w:color="auto"/>
          </w:divBdr>
        </w:div>
      </w:divsChild>
    </w:div>
    <w:div w:id="364335108">
      <w:bodyDiv w:val="1"/>
      <w:marLeft w:val="0"/>
      <w:marRight w:val="0"/>
      <w:marTop w:val="0"/>
      <w:marBottom w:val="0"/>
      <w:divBdr>
        <w:top w:val="none" w:sz="0" w:space="0" w:color="auto"/>
        <w:left w:val="none" w:sz="0" w:space="0" w:color="auto"/>
        <w:bottom w:val="none" w:sz="0" w:space="0" w:color="auto"/>
        <w:right w:val="none" w:sz="0" w:space="0" w:color="auto"/>
      </w:divBdr>
      <w:divsChild>
        <w:div w:id="583606488">
          <w:marLeft w:val="0"/>
          <w:marRight w:val="0"/>
          <w:marTop w:val="0"/>
          <w:marBottom w:val="0"/>
          <w:divBdr>
            <w:top w:val="none" w:sz="0" w:space="0" w:color="auto"/>
            <w:left w:val="none" w:sz="0" w:space="0" w:color="auto"/>
            <w:bottom w:val="none" w:sz="0" w:space="0" w:color="auto"/>
            <w:right w:val="none" w:sz="0" w:space="0" w:color="auto"/>
          </w:divBdr>
        </w:div>
      </w:divsChild>
    </w:div>
    <w:div w:id="365372003">
      <w:bodyDiv w:val="1"/>
      <w:marLeft w:val="0"/>
      <w:marRight w:val="0"/>
      <w:marTop w:val="0"/>
      <w:marBottom w:val="0"/>
      <w:divBdr>
        <w:top w:val="none" w:sz="0" w:space="0" w:color="auto"/>
        <w:left w:val="none" w:sz="0" w:space="0" w:color="auto"/>
        <w:bottom w:val="none" w:sz="0" w:space="0" w:color="auto"/>
        <w:right w:val="none" w:sz="0" w:space="0" w:color="auto"/>
      </w:divBdr>
      <w:divsChild>
        <w:div w:id="929000529">
          <w:marLeft w:val="0"/>
          <w:marRight w:val="0"/>
          <w:marTop w:val="0"/>
          <w:marBottom w:val="0"/>
          <w:divBdr>
            <w:top w:val="none" w:sz="0" w:space="0" w:color="auto"/>
            <w:left w:val="none" w:sz="0" w:space="0" w:color="auto"/>
            <w:bottom w:val="none" w:sz="0" w:space="0" w:color="auto"/>
            <w:right w:val="none" w:sz="0" w:space="0" w:color="auto"/>
          </w:divBdr>
        </w:div>
      </w:divsChild>
    </w:div>
    <w:div w:id="368802376">
      <w:bodyDiv w:val="1"/>
      <w:marLeft w:val="0"/>
      <w:marRight w:val="0"/>
      <w:marTop w:val="0"/>
      <w:marBottom w:val="0"/>
      <w:divBdr>
        <w:top w:val="none" w:sz="0" w:space="0" w:color="auto"/>
        <w:left w:val="none" w:sz="0" w:space="0" w:color="auto"/>
        <w:bottom w:val="none" w:sz="0" w:space="0" w:color="auto"/>
        <w:right w:val="none" w:sz="0" w:space="0" w:color="auto"/>
      </w:divBdr>
      <w:divsChild>
        <w:div w:id="1488595318">
          <w:marLeft w:val="0"/>
          <w:marRight w:val="0"/>
          <w:marTop w:val="0"/>
          <w:marBottom w:val="0"/>
          <w:divBdr>
            <w:top w:val="none" w:sz="0" w:space="0" w:color="auto"/>
            <w:left w:val="none" w:sz="0" w:space="0" w:color="auto"/>
            <w:bottom w:val="none" w:sz="0" w:space="0" w:color="auto"/>
            <w:right w:val="none" w:sz="0" w:space="0" w:color="auto"/>
          </w:divBdr>
        </w:div>
      </w:divsChild>
    </w:div>
    <w:div w:id="376509264">
      <w:bodyDiv w:val="1"/>
      <w:marLeft w:val="0"/>
      <w:marRight w:val="0"/>
      <w:marTop w:val="0"/>
      <w:marBottom w:val="0"/>
      <w:divBdr>
        <w:top w:val="none" w:sz="0" w:space="0" w:color="auto"/>
        <w:left w:val="none" w:sz="0" w:space="0" w:color="auto"/>
        <w:bottom w:val="none" w:sz="0" w:space="0" w:color="auto"/>
        <w:right w:val="none" w:sz="0" w:space="0" w:color="auto"/>
      </w:divBdr>
      <w:divsChild>
        <w:div w:id="1060708321">
          <w:marLeft w:val="0"/>
          <w:marRight w:val="0"/>
          <w:marTop w:val="0"/>
          <w:marBottom w:val="0"/>
          <w:divBdr>
            <w:top w:val="none" w:sz="0" w:space="0" w:color="auto"/>
            <w:left w:val="none" w:sz="0" w:space="0" w:color="auto"/>
            <w:bottom w:val="none" w:sz="0" w:space="0" w:color="auto"/>
            <w:right w:val="none" w:sz="0" w:space="0" w:color="auto"/>
          </w:divBdr>
        </w:div>
      </w:divsChild>
    </w:div>
    <w:div w:id="381711778">
      <w:bodyDiv w:val="1"/>
      <w:marLeft w:val="0"/>
      <w:marRight w:val="0"/>
      <w:marTop w:val="0"/>
      <w:marBottom w:val="0"/>
      <w:divBdr>
        <w:top w:val="none" w:sz="0" w:space="0" w:color="auto"/>
        <w:left w:val="none" w:sz="0" w:space="0" w:color="auto"/>
        <w:bottom w:val="none" w:sz="0" w:space="0" w:color="auto"/>
        <w:right w:val="none" w:sz="0" w:space="0" w:color="auto"/>
      </w:divBdr>
      <w:divsChild>
        <w:div w:id="182786687">
          <w:marLeft w:val="0"/>
          <w:marRight w:val="0"/>
          <w:marTop w:val="0"/>
          <w:marBottom w:val="0"/>
          <w:divBdr>
            <w:top w:val="none" w:sz="0" w:space="0" w:color="auto"/>
            <w:left w:val="none" w:sz="0" w:space="0" w:color="auto"/>
            <w:bottom w:val="none" w:sz="0" w:space="0" w:color="auto"/>
            <w:right w:val="none" w:sz="0" w:space="0" w:color="auto"/>
          </w:divBdr>
        </w:div>
      </w:divsChild>
    </w:div>
    <w:div w:id="387998553">
      <w:bodyDiv w:val="1"/>
      <w:marLeft w:val="0"/>
      <w:marRight w:val="0"/>
      <w:marTop w:val="0"/>
      <w:marBottom w:val="0"/>
      <w:divBdr>
        <w:top w:val="none" w:sz="0" w:space="0" w:color="auto"/>
        <w:left w:val="none" w:sz="0" w:space="0" w:color="auto"/>
        <w:bottom w:val="none" w:sz="0" w:space="0" w:color="auto"/>
        <w:right w:val="none" w:sz="0" w:space="0" w:color="auto"/>
      </w:divBdr>
    </w:div>
    <w:div w:id="390353819">
      <w:bodyDiv w:val="1"/>
      <w:marLeft w:val="0"/>
      <w:marRight w:val="0"/>
      <w:marTop w:val="0"/>
      <w:marBottom w:val="0"/>
      <w:divBdr>
        <w:top w:val="none" w:sz="0" w:space="0" w:color="auto"/>
        <w:left w:val="none" w:sz="0" w:space="0" w:color="auto"/>
        <w:bottom w:val="none" w:sz="0" w:space="0" w:color="auto"/>
        <w:right w:val="none" w:sz="0" w:space="0" w:color="auto"/>
      </w:divBdr>
      <w:divsChild>
        <w:div w:id="1039623185">
          <w:marLeft w:val="0"/>
          <w:marRight w:val="0"/>
          <w:marTop w:val="0"/>
          <w:marBottom w:val="0"/>
          <w:divBdr>
            <w:top w:val="none" w:sz="0" w:space="0" w:color="auto"/>
            <w:left w:val="none" w:sz="0" w:space="0" w:color="auto"/>
            <w:bottom w:val="none" w:sz="0" w:space="0" w:color="auto"/>
            <w:right w:val="none" w:sz="0" w:space="0" w:color="auto"/>
          </w:divBdr>
        </w:div>
      </w:divsChild>
    </w:div>
    <w:div w:id="414209046">
      <w:bodyDiv w:val="1"/>
      <w:marLeft w:val="0"/>
      <w:marRight w:val="0"/>
      <w:marTop w:val="0"/>
      <w:marBottom w:val="0"/>
      <w:divBdr>
        <w:top w:val="none" w:sz="0" w:space="0" w:color="auto"/>
        <w:left w:val="none" w:sz="0" w:space="0" w:color="auto"/>
        <w:bottom w:val="none" w:sz="0" w:space="0" w:color="auto"/>
        <w:right w:val="none" w:sz="0" w:space="0" w:color="auto"/>
      </w:divBdr>
      <w:divsChild>
        <w:div w:id="711150648">
          <w:marLeft w:val="0"/>
          <w:marRight w:val="0"/>
          <w:marTop w:val="0"/>
          <w:marBottom w:val="0"/>
          <w:divBdr>
            <w:top w:val="none" w:sz="0" w:space="0" w:color="auto"/>
            <w:left w:val="none" w:sz="0" w:space="0" w:color="auto"/>
            <w:bottom w:val="none" w:sz="0" w:space="0" w:color="auto"/>
            <w:right w:val="none" w:sz="0" w:space="0" w:color="auto"/>
          </w:divBdr>
        </w:div>
      </w:divsChild>
    </w:div>
    <w:div w:id="427653860">
      <w:bodyDiv w:val="1"/>
      <w:marLeft w:val="0"/>
      <w:marRight w:val="0"/>
      <w:marTop w:val="0"/>
      <w:marBottom w:val="0"/>
      <w:divBdr>
        <w:top w:val="none" w:sz="0" w:space="0" w:color="auto"/>
        <w:left w:val="none" w:sz="0" w:space="0" w:color="auto"/>
        <w:bottom w:val="none" w:sz="0" w:space="0" w:color="auto"/>
        <w:right w:val="none" w:sz="0" w:space="0" w:color="auto"/>
      </w:divBdr>
    </w:div>
    <w:div w:id="430977732">
      <w:bodyDiv w:val="1"/>
      <w:marLeft w:val="0"/>
      <w:marRight w:val="0"/>
      <w:marTop w:val="0"/>
      <w:marBottom w:val="0"/>
      <w:divBdr>
        <w:top w:val="none" w:sz="0" w:space="0" w:color="auto"/>
        <w:left w:val="none" w:sz="0" w:space="0" w:color="auto"/>
        <w:bottom w:val="none" w:sz="0" w:space="0" w:color="auto"/>
        <w:right w:val="none" w:sz="0" w:space="0" w:color="auto"/>
      </w:divBdr>
    </w:div>
    <w:div w:id="430980549">
      <w:bodyDiv w:val="1"/>
      <w:marLeft w:val="0"/>
      <w:marRight w:val="0"/>
      <w:marTop w:val="0"/>
      <w:marBottom w:val="0"/>
      <w:divBdr>
        <w:top w:val="none" w:sz="0" w:space="0" w:color="auto"/>
        <w:left w:val="none" w:sz="0" w:space="0" w:color="auto"/>
        <w:bottom w:val="none" w:sz="0" w:space="0" w:color="auto"/>
        <w:right w:val="none" w:sz="0" w:space="0" w:color="auto"/>
      </w:divBdr>
      <w:divsChild>
        <w:div w:id="645355300">
          <w:marLeft w:val="0"/>
          <w:marRight w:val="0"/>
          <w:marTop w:val="0"/>
          <w:marBottom w:val="0"/>
          <w:divBdr>
            <w:top w:val="none" w:sz="0" w:space="0" w:color="auto"/>
            <w:left w:val="none" w:sz="0" w:space="0" w:color="auto"/>
            <w:bottom w:val="none" w:sz="0" w:space="0" w:color="auto"/>
            <w:right w:val="none" w:sz="0" w:space="0" w:color="auto"/>
          </w:divBdr>
        </w:div>
      </w:divsChild>
    </w:div>
    <w:div w:id="435642626">
      <w:bodyDiv w:val="1"/>
      <w:marLeft w:val="0"/>
      <w:marRight w:val="0"/>
      <w:marTop w:val="0"/>
      <w:marBottom w:val="0"/>
      <w:divBdr>
        <w:top w:val="none" w:sz="0" w:space="0" w:color="auto"/>
        <w:left w:val="none" w:sz="0" w:space="0" w:color="auto"/>
        <w:bottom w:val="none" w:sz="0" w:space="0" w:color="auto"/>
        <w:right w:val="none" w:sz="0" w:space="0" w:color="auto"/>
      </w:divBdr>
      <w:divsChild>
        <w:div w:id="1931502389">
          <w:marLeft w:val="0"/>
          <w:marRight w:val="0"/>
          <w:marTop w:val="0"/>
          <w:marBottom w:val="0"/>
          <w:divBdr>
            <w:top w:val="none" w:sz="0" w:space="0" w:color="auto"/>
            <w:left w:val="none" w:sz="0" w:space="0" w:color="auto"/>
            <w:bottom w:val="none" w:sz="0" w:space="0" w:color="auto"/>
            <w:right w:val="none" w:sz="0" w:space="0" w:color="auto"/>
          </w:divBdr>
        </w:div>
      </w:divsChild>
    </w:div>
    <w:div w:id="440540225">
      <w:bodyDiv w:val="1"/>
      <w:marLeft w:val="0"/>
      <w:marRight w:val="0"/>
      <w:marTop w:val="0"/>
      <w:marBottom w:val="0"/>
      <w:divBdr>
        <w:top w:val="none" w:sz="0" w:space="0" w:color="auto"/>
        <w:left w:val="none" w:sz="0" w:space="0" w:color="auto"/>
        <w:bottom w:val="none" w:sz="0" w:space="0" w:color="auto"/>
        <w:right w:val="none" w:sz="0" w:space="0" w:color="auto"/>
      </w:divBdr>
      <w:divsChild>
        <w:div w:id="63528470">
          <w:marLeft w:val="0"/>
          <w:marRight w:val="0"/>
          <w:marTop w:val="0"/>
          <w:marBottom w:val="0"/>
          <w:divBdr>
            <w:top w:val="none" w:sz="0" w:space="0" w:color="auto"/>
            <w:left w:val="none" w:sz="0" w:space="0" w:color="auto"/>
            <w:bottom w:val="none" w:sz="0" w:space="0" w:color="auto"/>
            <w:right w:val="none" w:sz="0" w:space="0" w:color="auto"/>
          </w:divBdr>
        </w:div>
      </w:divsChild>
    </w:div>
    <w:div w:id="447437276">
      <w:bodyDiv w:val="1"/>
      <w:marLeft w:val="0"/>
      <w:marRight w:val="0"/>
      <w:marTop w:val="0"/>
      <w:marBottom w:val="0"/>
      <w:divBdr>
        <w:top w:val="none" w:sz="0" w:space="0" w:color="auto"/>
        <w:left w:val="none" w:sz="0" w:space="0" w:color="auto"/>
        <w:bottom w:val="none" w:sz="0" w:space="0" w:color="auto"/>
        <w:right w:val="none" w:sz="0" w:space="0" w:color="auto"/>
      </w:divBdr>
      <w:divsChild>
        <w:div w:id="336617172">
          <w:marLeft w:val="0"/>
          <w:marRight w:val="0"/>
          <w:marTop w:val="0"/>
          <w:marBottom w:val="0"/>
          <w:divBdr>
            <w:top w:val="none" w:sz="0" w:space="0" w:color="auto"/>
            <w:left w:val="none" w:sz="0" w:space="0" w:color="auto"/>
            <w:bottom w:val="none" w:sz="0" w:space="0" w:color="auto"/>
            <w:right w:val="none" w:sz="0" w:space="0" w:color="auto"/>
          </w:divBdr>
        </w:div>
      </w:divsChild>
    </w:div>
    <w:div w:id="460075409">
      <w:bodyDiv w:val="1"/>
      <w:marLeft w:val="0"/>
      <w:marRight w:val="0"/>
      <w:marTop w:val="0"/>
      <w:marBottom w:val="0"/>
      <w:divBdr>
        <w:top w:val="none" w:sz="0" w:space="0" w:color="auto"/>
        <w:left w:val="none" w:sz="0" w:space="0" w:color="auto"/>
        <w:bottom w:val="none" w:sz="0" w:space="0" w:color="auto"/>
        <w:right w:val="none" w:sz="0" w:space="0" w:color="auto"/>
      </w:divBdr>
      <w:divsChild>
        <w:div w:id="708453352">
          <w:marLeft w:val="0"/>
          <w:marRight w:val="0"/>
          <w:marTop w:val="0"/>
          <w:marBottom w:val="0"/>
          <w:divBdr>
            <w:top w:val="none" w:sz="0" w:space="0" w:color="auto"/>
            <w:left w:val="none" w:sz="0" w:space="0" w:color="auto"/>
            <w:bottom w:val="none" w:sz="0" w:space="0" w:color="auto"/>
            <w:right w:val="none" w:sz="0" w:space="0" w:color="auto"/>
          </w:divBdr>
        </w:div>
      </w:divsChild>
    </w:div>
    <w:div w:id="461655653">
      <w:bodyDiv w:val="1"/>
      <w:marLeft w:val="0"/>
      <w:marRight w:val="0"/>
      <w:marTop w:val="0"/>
      <w:marBottom w:val="0"/>
      <w:divBdr>
        <w:top w:val="none" w:sz="0" w:space="0" w:color="auto"/>
        <w:left w:val="none" w:sz="0" w:space="0" w:color="auto"/>
        <w:bottom w:val="none" w:sz="0" w:space="0" w:color="auto"/>
        <w:right w:val="none" w:sz="0" w:space="0" w:color="auto"/>
      </w:divBdr>
      <w:divsChild>
        <w:div w:id="1843668068">
          <w:marLeft w:val="0"/>
          <w:marRight w:val="0"/>
          <w:marTop w:val="0"/>
          <w:marBottom w:val="0"/>
          <w:divBdr>
            <w:top w:val="none" w:sz="0" w:space="0" w:color="auto"/>
            <w:left w:val="none" w:sz="0" w:space="0" w:color="auto"/>
            <w:bottom w:val="none" w:sz="0" w:space="0" w:color="auto"/>
            <w:right w:val="none" w:sz="0" w:space="0" w:color="auto"/>
          </w:divBdr>
        </w:div>
      </w:divsChild>
    </w:div>
    <w:div w:id="461921386">
      <w:bodyDiv w:val="1"/>
      <w:marLeft w:val="0"/>
      <w:marRight w:val="0"/>
      <w:marTop w:val="0"/>
      <w:marBottom w:val="0"/>
      <w:divBdr>
        <w:top w:val="none" w:sz="0" w:space="0" w:color="auto"/>
        <w:left w:val="none" w:sz="0" w:space="0" w:color="auto"/>
        <w:bottom w:val="none" w:sz="0" w:space="0" w:color="auto"/>
        <w:right w:val="none" w:sz="0" w:space="0" w:color="auto"/>
      </w:divBdr>
    </w:div>
    <w:div w:id="462623009">
      <w:bodyDiv w:val="1"/>
      <w:marLeft w:val="0"/>
      <w:marRight w:val="0"/>
      <w:marTop w:val="0"/>
      <w:marBottom w:val="0"/>
      <w:divBdr>
        <w:top w:val="none" w:sz="0" w:space="0" w:color="auto"/>
        <w:left w:val="none" w:sz="0" w:space="0" w:color="auto"/>
        <w:bottom w:val="none" w:sz="0" w:space="0" w:color="auto"/>
        <w:right w:val="none" w:sz="0" w:space="0" w:color="auto"/>
      </w:divBdr>
      <w:divsChild>
        <w:div w:id="1994790767">
          <w:marLeft w:val="0"/>
          <w:marRight w:val="0"/>
          <w:marTop w:val="0"/>
          <w:marBottom w:val="0"/>
          <w:divBdr>
            <w:top w:val="none" w:sz="0" w:space="0" w:color="auto"/>
            <w:left w:val="none" w:sz="0" w:space="0" w:color="auto"/>
            <w:bottom w:val="none" w:sz="0" w:space="0" w:color="auto"/>
            <w:right w:val="none" w:sz="0" w:space="0" w:color="auto"/>
          </w:divBdr>
        </w:div>
      </w:divsChild>
    </w:div>
    <w:div w:id="463350829">
      <w:bodyDiv w:val="1"/>
      <w:marLeft w:val="0"/>
      <w:marRight w:val="0"/>
      <w:marTop w:val="0"/>
      <w:marBottom w:val="0"/>
      <w:divBdr>
        <w:top w:val="none" w:sz="0" w:space="0" w:color="auto"/>
        <w:left w:val="none" w:sz="0" w:space="0" w:color="auto"/>
        <w:bottom w:val="none" w:sz="0" w:space="0" w:color="auto"/>
        <w:right w:val="none" w:sz="0" w:space="0" w:color="auto"/>
      </w:divBdr>
    </w:div>
    <w:div w:id="466969473">
      <w:bodyDiv w:val="1"/>
      <w:marLeft w:val="0"/>
      <w:marRight w:val="0"/>
      <w:marTop w:val="0"/>
      <w:marBottom w:val="0"/>
      <w:divBdr>
        <w:top w:val="none" w:sz="0" w:space="0" w:color="auto"/>
        <w:left w:val="none" w:sz="0" w:space="0" w:color="auto"/>
        <w:bottom w:val="none" w:sz="0" w:space="0" w:color="auto"/>
        <w:right w:val="none" w:sz="0" w:space="0" w:color="auto"/>
      </w:divBdr>
      <w:divsChild>
        <w:div w:id="1724518051">
          <w:marLeft w:val="0"/>
          <w:marRight w:val="0"/>
          <w:marTop w:val="0"/>
          <w:marBottom w:val="0"/>
          <w:divBdr>
            <w:top w:val="none" w:sz="0" w:space="0" w:color="auto"/>
            <w:left w:val="none" w:sz="0" w:space="0" w:color="auto"/>
            <w:bottom w:val="none" w:sz="0" w:space="0" w:color="auto"/>
            <w:right w:val="none" w:sz="0" w:space="0" w:color="auto"/>
          </w:divBdr>
        </w:div>
      </w:divsChild>
    </w:div>
    <w:div w:id="473105593">
      <w:bodyDiv w:val="1"/>
      <w:marLeft w:val="0"/>
      <w:marRight w:val="0"/>
      <w:marTop w:val="0"/>
      <w:marBottom w:val="0"/>
      <w:divBdr>
        <w:top w:val="none" w:sz="0" w:space="0" w:color="auto"/>
        <w:left w:val="none" w:sz="0" w:space="0" w:color="auto"/>
        <w:bottom w:val="none" w:sz="0" w:space="0" w:color="auto"/>
        <w:right w:val="none" w:sz="0" w:space="0" w:color="auto"/>
      </w:divBdr>
      <w:divsChild>
        <w:div w:id="865207">
          <w:marLeft w:val="0"/>
          <w:marRight w:val="0"/>
          <w:marTop w:val="0"/>
          <w:marBottom w:val="0"/>
          <w:divBdr>
            <w:top w:val="none" w:sz="0" w:space="0" w:color="auto"/>
            <w:left w:val="none" w:sz="0" w:space="0" w:color="auto"/>
            <w:bottom w:val="none" w:sz="0" w:space="0" w:color="auto"/>
            <w:right w:val="none" w:sz="0" w:space="0" w:color="auto"/>
          </w:divBdr>
        </w:div>
      </w:divsChild>
    </w:div>
    <w:div w:id="484711881">
      <w:bodyDiv w:val="1"/>
      <w:marLeft w:val="0"/>
      <w:marRight w:val="0"/>
      <w:marTop w:val="0"/>
      <w:marBottom w:val="0"/>
      <w:divBdr>
        <w:top w:val="none" w:sz="0" w:space="0" w:color="auto"/>
        <w:left w:val="none" w:sz="0" w:space="0" w:color="auto"/>
        <w:bottom w:val="none" w:sz="0" w:space="0" w:color="auto"/>
        <w:right w:val="none" w:sz="0" w:space="0" w:color="auto"/>
      </w:divBdr>
      <w:divsChild>
        <w:div w:id="1261446017">
          <w:marLeft w:val="0"/>
          <w:marRight w:val="0"/>
          <w:marTop w:val="0"/>
          <w:marBottom w:val="0"/>
          <w:divBdr>
            <w:top w:val="none" w:sz="0" w:space="0" w:color="auto"/>
            <w:left w:val="none" w:sz="0" w:space="0" w:color="auto"/>
            <w:bottom w:val="none" w:sz="0" w:space="0" w:color="auto"/>
            <w:right w:val="none" w:sz="0" w:space="0" w:color="auto"/>
          </w:divBdr>
        </w:div>
      </w:divsChild>
    </w:div>
    <w:div w:id="489642950">
      <w:bodyDiv w:val="1"/>
      <w:marLeft w:val="0"/>
      <w:marRight w:val="0"/>
      <w:marTop w:val="0"/>
      <w:marBottom w:val="0"/>
      <w:divBdr>
        <w:top w:val="none" w:sz="0" w:space="0" w:color="auto"/>
        <w:left w:val="none" w:sz="0" w:space="0" w:color="auto"/>
        <w:bottom w:val="none" w:sz="0" w:space="0" w:color="auto"/>
        <w:right w:val="none" w:sz="0" w:space="0" w:color="auto"/>
      </w:divBdr>
      <w:divsChild>
        <w:div w:id="171771438">
          <w:marLeft w:val="0"/>
          <w:marRight w:val="0"/>
          <w:marTop w:val="0"/>
          <w:marBottom w:val="0"/>
          <w:divBdr>
            <w:top w:val="none" w:sz="0" w:space="0" w:color="auto"/>
            <w:left w:val="none" w:sz="0" w:space="0" w:color="auto"/>
            <w:bottom w:val="none" w:sz="0" w:space="0" w:color="auto"/>
            <w:right w:val="none" w:sz="0" w:space="0" w:color="auto"/>
          </w:divBdr>
        </w:div>
      </w:divsChild>
    </w:div>
    <w:div w:id="497381738">
      <w:bodyDiv w:val="1"/>
      <w:marLeft w:val="0"/>
      <w:marRight w:val="0"/>
      <w:marTop w:val="0"/>
      <w:marBottom w:val="0"/>
      <w:divBdr>
        <w:top w:val="none" w:sz="0" w:space="0" w:color="auto"/>
        <w:left w:val="none" w:sz="0" w:space="0" w:color="auto"/>
        <w:bottom w:val="none" w:sz="0" w:space="0" w:color="auto"/>
        <w:right w:val="none" w:sz="0" w:space="0" w:color="auto"/>
      </w:divBdr>
      <w:divsChild>
        <w:div w:id="2124688791">
          <w:marLeft w:val="0"/>
          <w:marRight w:val="0"/>
          <w:marTop w:val="0"/>
          <w:marBottom w:val="0"/>
          <w:divBdr>
            <w:top w:val="none" w:sz="0" w:space="0" w:color="auto"/>
            <w:left w:val="none" w:sz="0" w:space="0" w:color="auto"/>
            <w:bottom w:val="none" w:sz="0" w:space="0" w:color="auto"/>
            <w:right w:val="none" w:sz="0" w:space="0" w:color="auto"/>
          </w:divBdr>
        </w:div>
      </w:divsChild>
    </w:div>
    <w:div w:id="502012030">
      <w:bodyDiv w:val="1"/>
      <w:marLeft w:val="0"/>
      <w:marRight w:val="0"/>
      <w:marTop w:val="0"/>
      <w:marBottom w:val="0"/>
      <w:divBdr>
        <w:top w:val="none" w:sz="0" w:space="0" w:color="auto"/>
        <w:left w:val="none" w:sz="0" w:space="0" w:color="auto"/>
        <w:bottom w:val="none" w:sz="0" w:space="0" w:color="auto"/>
        <w:right w:val="none" w:sz="0" w:space="0" w:color="auto"/>
      </w:divBdr>
      <w:divsChild>
        <w:div w:id="1215240952">
          <w:marLeft w:val="0"/>
          <w:marRight w:val="0"/>
          <w:marTop w:val="0"/>
          <w:marBottom w:val="0"/>
          <w:divBdr>
            <w:top w:val="none" w:sz="0" w:space="0" w:color="auto"/>
            <w:left w:val="none" w:sz="0" w:space="0" w:color="auto"/>
            <w:bottom w:val="none" w:sz="0" w:space="0" w:color="auto"/>
            <w:right w:val="none" w:sz="0" w:space="0" w:color="auto"/>
          </w:divBdr>
        </w:div>
      </w:divsChild>
    </w:div>
    <w:div w:id="504982541">
      <w:bodyDiv w:val="1"/>
      <w:marLeft w:val="0"/>
      <w:marRight w:val="0"/>
      <w:marTop w:val="0"/>
      <w:marBottom w:val="0"/>
      <w:divBdr>
        <w:top w:val="none" w:sz="0" w:space="0" w:color="auto"/>
        <w:left w:val="none" w:sz="0" w:space="0" w:color="auto"/>
        <w:bottom w:val="none" w:sz="0" w:space="0" w:color="auto"/>
        <w:right w:val="none" w:sz="0" w:space="0" w:color="auto"/>
      </w:divBdr>
    </w:div>
    <w:div w:id="515659367">
      <w:bodyDiv w:val="1"/>
      <w:marLeft w:val="0"/>
      <w:marRight w:val="0"/>
      <w:marTop w:val="0"/>
      <w:marBottom w:val="0"/>
      <w:divBdr>
        <w:top w:val="none" w:sz="0" w:space="0" w:color="auto"/>
        <w:left w:val="none" w:sz="0" w:space="0" w:color="auto"/>
        <w:bottom w:val="none" w:sz="0" w:space="0" w:color="auto"/>
        <w:right w:val="none" w:sz="0" w:space="0" w:color="auto"/>
      </w:divBdr>
      <w:divsChild>
        <w:div w:id="1493061778">
          <w:marLeft w:val="0"/>
          <w:marRight w:val="0"/>
          <w:marTop w:val="0"/>
          <w:marBottom w:val="0"/>
          <w:divBdr>
            <w:top w:val="none" w:sz="0" w:space="0" w:color="auto"/>
            <w:left w:val="none" w:sz="0" w:space="0" w:color="auto"/>
            <w:bottom w:val="none" w:sz="0" w:space="0" w:color="auto"/>
            <w:right w:val="none" w:sz="0" w:space="0" w:color="auto"/>
          </w:divBdr>
        </w:div>
      </w:divsChild>
    </w:div>
    <w:div w:id="525287485">
      <w:bodyDiv w:val="1"/>
      <w:marLeft w:val="0"/>
      <w:marRight w:val="0"/>
      <w:marTop w:val="0"/>
      <w:marBottom w:val="0"/>
      <w:divBdr>
        <w:top w:val="none" w:sz="0" w:space="0" w:color="auto"/>
        <w:left w:val="none" w:sz="0" w:space="0" w:color="auto"/>
        <w:bottom w:val="none" w:sz="0" w:space="0" w:color="auto"/>
        <w:right w:val="none" w:sz="0" w:space="0" w:color="auto"/>
      </w:divBdr>
      <w:divsChild>
        <w:div w:id="1297636432">
          <w:marLeft w:val="0"/>
          <w:marRight w:val="0"/>
          <w:marTop w:val="0"/>
          <w:marBottom w:val="0"/>
          <w:divBdr>
            <w:top w:val="none" w:sz="0" w:space="0" w:color="auto"/>
            <w:left w:val="none" w:sz="0" w:space="0" w:color="auto"/>
            <w:bottom w:val="none" w:sz="0" w:space="0" w:color="auto"/>
            <w:right w:val="none" w:sz="0" w:space="0" w:color="auto"/>
          </w:divBdr>
        </w:div>
      </w:divsChild>
    </w:div>
    <w:div w:id="532503840">
      <w:bodyDiv w:val="1"/>
      <w:marLeft w:val="0"/>
      <w:marRight w:val="0"/>
      <w:marTop w:val="0"/>
      <w:marBottom w:val="0"/>
      <w:divBdr>
        <w:top w:val="none" w:sz="0" w:space="0" w:color="auto"/>
        <w:left w:val="none" w:sz="0" w:space="0" w:color="auto"/>
        <w:bottom w:val="none" w:sz="0" w:space="0" w:color="auto"/>
        <w:right w:val="none" w:sz="0" w:space="0" w:color="auto"/>
      </w:divBdr>
      <w:divsChild>
        <w:div w:id="2019306356">
          <w:marLeft w:val="0"/>
          <w:marRight w:val="0"/>
          <w:marTop w:val="0"/>
          <w:marBottom w:val="0"/>
          <w:divBdr>
            <w:top w:val="none" w:sz="0" w:space="0" w:color="auto"/>
            <w:left w:val="none" w:sz="0" w:space="0" w:color="auto"/>
            <w:bottom w:val="none" w:sz="0" w:space="0" w:color="auto"/>
            <w:right w:val="none" w:sz="0" w:space="0" w:color="auto"/>
          </w:divBdr>
        </w:div>
      </w:divsChild>
    </w:div>
    <w:div w:id="539361367">
      <w:bodyDiv w:val="1"/>
      <w:marLeft w:val="0"/>
      <w:marRight w:val="0"/>
      <w:marTop w:val="0"/>
      <w:marBottom w:val="0"/>
      <w:divBdr>
        <w:top w:val="none" w:sz="0" w:space="0" w:color="auto"/>
        <w:left w:val="none" w:sz="0" w:space="0" w:color="auto"/>
        <w:bottom w:val="none" w:sz="0" w:space="0" w:color="auto"/>
        <w:right w:val="none" w:sz="0" w:space="0" w:color="auto"/>
      </w:divBdr>
      <w:divsChild>
        <w:div w:id="269244383">
          <w:marLeft w:val="0"/>
          <w:marRight w:val="0"/>
          <w:marTop w:val="0"/>
          <w:marBottom w:val="0"/>
          <w:divBdr>
            <w:top w:val="none" w:sz="0" w:space="0" w:color="auto"/>
            <w:left w:val="none" w:sz="0" w:space="0" w:color="auto"/>
            <w:bottom w:val="none" w:sz="0" w:space="0" w:color="auto"/>
            <w:right w:val="none" w:sz="0" w:space="0" w:color="auto"/>
          </w:divBdr>
        </w:div>
      </w:divsChild>
    </w:div>
    <w:div w:id="542134633">
      <w:bodyDiv w:val="1"/>
      <w:marLeft w:val="0"/>
      <w:marRight w:val="0"/>
      <w:marTop w:val="0"/>
      <w:marBottom w:val="0"/>
      <w:divBdr>
        <w:top w:val="none" w:sz="0" w:space="0" w:color="auto"/>
        <w:left w:val="none" w:sz="0" w:space="0" w:color="auto"/>
        <w:bottom w:val="none" w:sz="0" w:space="0" w:color="auto"/>
        <w:right w:val="none" w:sz="0" w:space="0" w:color="auto"/>
      </w:divBdr>
      <w:divsChild>
        <w:div w:id="1044328869">
          <w:marLeft w:val="0"/>
          <w:marRight w:val="0"/>
          <w:marTop w:val="0"/>
          <w:marBottom w:val="0"/>
          <w:divBdr>
            <w:top w:val="none" w:sz="0" w:space="0" w:color="auto"/>
            <w:left w:val="none" w:sz="0" w:space="0" w:color="auto"/>
            <w:bottom w:val="none" w:sz="0" w:space="0" w:color="auto"/>
            <w:right w:val="none" w:sz="0" w:space="0" w:color="auto"/>
          </w:divBdr>
        </w:div>
      </w:divsChild>
    </w:div>
    <w:div w:id="550531411">
      <w:bodyDiv w:val="1"/>
      <w:marLeft w:val="0"/>
      <w:marRight w:val="0"/>
      <w:marTop w:val="0"/>
      <w:marBottom w:val="0"/>
      <w:divBdr>
        <w:top w:val="none" w:sz="0" w:space="0" w:color="auto"/>
        <w:left w:val="none" w:sz="0" w:space="0" w:color="auto"/>
        <w:bottom w:val="none" w:sz="0" w:space="0" w:color="auto"/>
        <w:right w:val="none" w:sz="0" w:space="0" w:color="auto"/>
      </w:divBdr>
      <w:divsChild>
        <w:div w:id="429741930">
          <w:marLeft w:val="0"/>
          <w:marRight w:val="0"/>
          <w:marTop w:val="0"/>
          <w:marBottom w:val="0"/>
          <w:divBdr>
            <w:top w:val="none" w:sz="0" w:space="0" w:color="auto"/>
            <w:left w:val="none" w:sz="0" w:space="0" w:color="auto"/>
            <w:bottom w:val="none" w:sz="0" w:space="0" w:color="auto"/>
            <w:right w:val="none" w:sz="0" w:space="0" w:color="auto"/>
          </w:divBdr>
        </w:div>
      </w:divsChild>
    </w:div>
    <w:div w:id="552473112">
      <w:bodyDiv w:val="1"/>
      <w:marLeft w:val="0"/>
      <w:marRight w:val="0"/>
      <w:marTop w:val="0"/>
      <w:marBottom w:val="0"/>
      <w:divBdr>
        <w:top w:val="none" w:sz="0" w:space="0" w:color="auto"/>
        <w:left w:val="none" w:sz="0" w:space="0" w:color="auto"/>
        <w:bottom w:val="none" w:sz="0" w:space="0" w:color="auto"/>
        <w:right w:val="none" w:sz="0" w:space="0" w:color="auto"/>
      </w:divBdr>
      <w:divsChild>
        <w:div w:id="821503063">
          <w:marLeft w:val="0"/>
          <w:marRight w:val="0"/>
          <w:marTop w:val="0"/>
          <w:marBottom w:val="0"/>
          <w:divBdr>
            <w:top w:val="none" w:sz="0" w:space="0" w:color="auto"/>
            <w:left w:val="none" w:sz="0" w:space="0" w:color="auto"/>
            <w:bottom w:val="none" w:sz="0" w:space="0" w:color="auto"/>
            <w:right w:val="none" w:sz="0" w:space="0" w:color="auto"/>
          </w:divBdr>
        </w:div>
      </w:divsChild>
    </w:div>
    <w:div w:id="554589428">
      <w:bodyDiv w:val="1"/>
      <w:marLeft w:val="0"/>
      <w:marRight w:val="0"/>
      <w:marTop w:val="0"/>
      <w:marBottom w:val="0"/>
      <w:divBdr>
        <w:top w:val="none" w:sz="0" w:space="0" w:color="auto"/>
        <w:left w:val="none" w:sz="0" w:space="0" w:color="auto"/>
        <w:bottom w:val="none" w:sz="0" w:space="0" w:color="auto"/>
        <w:right w:val="none" w:sz="0" w:space="0" w:color="auto"/>
      </w:divBdr>
      <w:divsChild>
        <w:div w:id="714700826">
          <w:marLeft w:val="0"/>
          <w:marRight w:val="0"/>
          <w:marTop w:val="0"/>
          <w:marBottom w:val="0"/>
          <w:divBdr>
            <w:top w:val="none" w:sz="0" w:space="0" w:color="auto"/>
            <w:left w:val="none" w:sz="0" w:space="0" w:color="auto"/>
            <w:bottom w:val="none" w:sz="0" w:space="0" w:color="auto"/>
            <w:right w:val="none" w:sz="0" w:space="0" w:color="auto"/>
          </w:divBdr>
        </w:div>
      </w:divsChild>
    </w:div>
    <w:div w:id="557131080">
      <w:bodyDiv w:val="1"/>
      <w:marLeft w:val="0"/>
      <w:marRight w:val="0"/>
      <w:marTop w:val="0"/>
      <w:marBottom w:val="0"/>
      <w:divBdr>
        <w:top w:val="none" w:sz="0" w:space="0" w:color="auto"/>
        <w:left w:val="none" w:sz="0" w:space="0" w:color="auto"/>
        <w:bottom w:val="none" w:sz="0" w:space="0" w:color="auto"/>
        <w:right w:val="none" w:sz="0" w:space="0" w:color="auto"/>
      </w:divBdr>
      <w:divsChild>
        <w:div w:id="1476681869">
          <w:marLeft w:val="0"/>
          <w:marRight w:val="0"/>
          <w:marTop w:val="0"/>
          <w:marBottom w:val="0"/>
          <w:divBdr>
            <w:top w:val="none" w:sz="0" w:space="0" w:color="auto"/>
            <w:left w:val="none" w:sz="0" w:space="0" w:color="auto"/>
            <w:bottom w:val="none" w:sz="0" w:space="0" w:color="auto"/>
            <w:right w:val="none" w:sz="0" w:space="0" w:color="auto"/>
          </w:divBdr>
        </w:div>
      </w:divsChild>
    </w:div>
    <w:div w:id="558055124">
      <w:bodyDiv w:val="1"/>
      <w:marLeft w:val="0"/>
      <w:marRight w:val="0"/>
      <w:marTop w:val="0"/>
      <w:marBottom w:val="0"/>
      <w:divBdr>
        <w:top w:val="none" w:sz="0" w:space="0" w:color="auto"/>
        <w:left w:val="none" w:sz="0" w:space="0" w:color="auto"/>
        <w:bottom w:val="none" w:sz="0" w:space="0" w:color="auto"/>
        <w:right w:val="none" w:sz="0" w:space="0" w:color="auto"/>
      </w:divBdr>
      <w:divsChild>
        <w:div w:id="245303808">
          <w:marLeft w:val="0"/>
          <w:marRight w:val="0"/>
          <w:marTop w:val="0"/>
          <w:marBottom w:val="0"/>
          <w:divBdr>
            <w:top w:val="none" w:sz="0" w:space="0" w:color="auto"/>
            <w:left w:val="none" w:sz="0" w:space="0" w:color="auto"/>
            <w:bottom w:val="none" w:sz="0" w:space="0" w:color="auto"/>
            <w:right w:val="none" w:sz="0" w:space="0" w:color="auto"/>
          </w:divBdr>
        </w:div>
      </w:divsChild>
    </w:div>
    <w:div w:id="558519353">
      <w:bodyDiv w:val="1"/>
      <w:marLeft w:val="0"/>
      <w:marRight w:val="0"/>
      <w:marTop w:val="0"/>
      <w:marBottom w:val="0"/>
      <w:divBdr>
        <w:top w:val="none" w:sz="0" w:space="0" w:color="auto"/>
        <w:left w:val="none" w:sz="0" w:space="0" w:color="auto"/>
        <w:bottom w:val="none" w:sz="0" w:space="0" w:color="auto"/>
        <w:right w:val="none" w:sz="0" w:space="0" w:color="auto"/>
      </w:divBdr>
      <w:divsChild>
        <w:div w:id="411855763">
          <w:marLeft w:val="0"/>
          <w:marRight w:val="0"/>
          <w:marTop w:val="0"/>
          <w:marBottom w:val="0"/>
          <w:divBdr>
            <w:top w:val="none" w:sz="0" w:space="0" w:color="auto"/>
            <w:left w:val="none" w:sz="0" w:space="0" w:color="auto"/>
            <w:bottom w:val="none" w:sz="0" w:space="0" w:color="auto"/>
            <w:right w:val="none" w:sz="0" w:space="0" w:color="auto"/>
          </w:divBdr>
        </w:div>
      </w:divsChild>
    </w:div>
    <w:div w:id="563370269">
      <w:bodyDiv w:val="1"/>
      <w:marLeft w:val="0"/>
      <w:marRight w:val="0"/>
      <w:marTop w:val="0"/>
      <w:marBottom w:val="0"/>
      <w:divBdr>
        <w:top w:val="none" w:sz="0" w:space="0" w:color="auto"/>
        <w:left w:val="none" w:sz="0" w:space="0" w:color="auto"/>
        <w:bottom w:val="none" w:sz="0" w:space="0" w:color="auto"/>
        <w:right w:val="none" w:sz="0" w:space="0" w:color="auto"/>
      </w:divBdr>
      <w:divsChild>
        <w:div w:id="2090884627">
          <w:marLeft w:val="0"/>
          <w:marRight w:val="0"/>
          <w:marTop w:val="0"/>
          <w:marBottom w:val="0"/>
          <w:divBdr>
            <w:top w:val="none" w:sz="0" w:space="0" w:color="auto"/>
            <w:left w:val="none" w:sz="0" w:space="0" w:color="auto"/>
            <w:bottom w:val="none" w:sz="0" w:space="0" w:color="auto"/>
            <w:right w:val="none" w:sz="0" w:space="0" w:color="auto"/>
          </w:divBdr>
        </w:div>
      </w:divsChild>
    </w:div>
    <w:div w:id="566651039">
      <w:bodyDiv w:val="1"/>
      <w:marLeft w:val="0"/>
      <w:marRight w:val="0"/>
      <w:marTop w:val="0"/>
      <w:marBottom w:val="0"/>
      <w:divBdr>
        <w:top w:val="none" w:sz="0" w:space="0" w:color="auto"/>
        <w:left w:val="none" w:sz="0" w:space="0" w:color="auto"/>
        <w:bottom w:val="none" w:sz="0" w:space="0" w:color="auto"/>
        <w:right w:val="none" w:sz="0" w:space="0" w:color="auto"/>
      </w:divBdr>
      <w:divsChild>
        <w:div w:id="30885860">
          <w:marLeft w:val="0"/>
          <w:marRight w:val="0"/>
          <w:marTop w:val="0"/>
          <w:marBottom w:val="0"/>
          <w:divBdr>
            <w:top w:val="none" w:sz="0" w:space="0" w:color="auto"/>
            <w:left w:val="none" w:sz="0" w:space="0" w:color="auto"/>
            <w:bottom w:val="none" w:sz="0" w:space="0" w:color="auto"/>
            <w:right w:val="none" w:sz="0" w:space="0" w:color="auto"/>
          </w:divBdr>
        </w:div>
      </w:divsChild>
    </w:div>
    <w:div w:id="572934720">
      <w:bodyDiv w:val="1"/>
      <w:marLeft w:val="0"/>
      <w:marRight w:val="0"/>
      <w:marTop w:val="0"/>
      <w:marBottom w:val="0"/>
      <w:divBdr>
        <w:top w:val="none" w:sz="0" w:space="0" w:color="auto"/>
        <w:left w:val="none" w:sz="0" w:space="0" w:color="auto"/>
        <w:bottom w:val="none" w:sz="0" w:space="0" w:color="auto"/>
        <w:right w:val="none" w:sz="0" w:space="0" w:color="auto"/>
      </w:divBdr>
      <w:divsChild>
        <w:div w:id="970987499">
          <w:marLeft w:val="0"/>
          <w:marRight w:val="0"/>
          <w:marTop w:val="0"/>
          <w:marBottom w:val="0"/>
          <w:divBdr>
            <w:top w:val="none" w:sz="0" w:space="0" w:color="auto"/>
            <w:left w:val="none" w:sz="0" w:space="0" w:color="auto"/>
            <w:bottom w:val="none" w:sz="0" w:space="0" w:color="auto"/>
            <w:right w:val="none" w:sz="0" w:space="0" w:color="auto"/>
          </w:divBdr>
        </w:div>
      </w:divsChild>
    </w:div>
    <w:div w:id="576480296">
      <w:bodyDiv w:val="1"/>
      <w:marLeft w:val="0"/>
      <w:marRight w:val="0"/>
      <w:marTop w:val="0"/>
      <w:marBottom w:val="0"/>
      <w:divBdr>
        <w:top w:val="none" w:sz="0" w:space="0" w:color="auto"/>
        <w:left w:val="none" w:sz="0" w:space="0" w:color="auto"/>
        <w:bottom w:val="none" w:sz="0" w:space="0" w:color="auto"/>
        <w:right w:val="none" w:sz="0" w:space="0" w:color="auto"/>
      </w:divBdr>
      <w:divsChild>
        <w:div w:id="22287596">
          <w:marLeft w:val="0"/>
          <w:marRight w:val="0"/>
          <w:marTop w:val="0"/>
          <w:marBottom w:val="0"/>
          <w:divBdr>
            <w:top w:val="none" w:sz="0" w:space="0" w:color="auto"/>
            <w:left w:val="none" w:sz="0" w:space="0" w:color="auto"/>
            <w:bottom w:val="none" w:sz="0" w:space="0" w:color="auto"/>
            <w:right w:val="none" w:sz="0" w:space="0" w:color="auto"/>
          </w:divBdr>
        </w:div>
      </w:divsChild>
    </w:div>
    <w:div w:id="584415460">
      <w:bodyDiv w:val="1"/>
      <w:marLeft w:val="0"/>
      <w:marRight w:val="0"/>
      <w:marTop w:val="0"/>
      <w:marBottom w:val="0"/>
      <w:divBdr>
        <w:top w:val="none" w:sz="0" w:space="0" w:color="auto"/>
        <w:left w:val="none" w:sz="0" w:space="0" w:color="auto"/>
        <w:bottom w:val="none" w:sz="0" w:space="0" w:color="auto"/>
        <w:right w:val="none" w:sz="0" w:space="0" w:color="auto"/>
      </w:divBdr>
      <w:divsChild>
        <w:div w:id="358823464">
          <w:marLeft w:val="0"/>
          <w:marRight w:val="0"/>
          <w:marTop w:val="0"/>
          <w:marBottom w:val="0"/>
          <w:divBdr>
            <w:top w:val="none" w:sz="0" w:space="0" w:color="auto"/>
            <w:left w:val="none" w:sz="0" w:space="0" w:color="auto"/>
            <w:bottom w:val="none" w:sz="0" w:space="0" w:color="auto"/>
            <w:right w:val="none" w:sz="0" w:space="0" w:color="auto"/>
          </w:divBdr>
        </w:div>
      </w:divsChild>
    </w:div>
    <w:div w:id="598371095">
      <w:bodyDiv w:val="1"/>
      <w:marLeft w:val="0"/>
      <w:marRight w:val="0"/>
      <w:marTop w:val="0"/>
      <w:marBottom w:val="0"/>
      <w:divBdr>
        <w:top w:val="none" w:sz="0" w:space="0" w:color="auto"/>
        <w:left w:val="none" w:sz="0" w:space="0" w:color="auto"/>
        <w:bottom w:val="none" w:sz="0" w:space="0" w:color="auto"/>
        <w:right w:val="none" w:sz="0" w:space="0" w:color="auto"/>
      </w:divBdr>
      <w:divsChild>
        <w:div w:id="1411931120">
          <w:marLeft w:val="0"/>
          <w:marRight w:val="0"/>
          <w:marTop w:val="0"/>
          <w:marBottom w:val="0"/>
          <w:divBdr>
            <w:top w:val="none" w:sz="0" w:space="0" w:color="auto"/>
            <w:left w:val="none" w:sz="0" w:space="0" w:color="auto"/>
            <w:bottom w:val="none" w:sz="0" w:space="0" w:color="auto"/>
            <w:right w:val="none" w:sz="0" w:space="0" w:color="auto"/>
          </w:divBdr>
        </w:div>
      </w:divsChild>
    </w:div>
    <w:div w:id="642009407">
      <w:bodyDiv w:val="1"/>
      <w:marLeft w:val="0"/>
      <w:marRight w:val="0"/>
      <w:marTop w:val="0"/>
      <w:marBottom w:val="0"/>
      <w:divBdr>
        <w:top w:val="none" w:sz="0" w:space="0" w:color="auto"/>
        <w:left w:val="none" w:sz="0" w:space="0" w:color="auto"/>
        <w:bottom w:val="none" w:sz="0" w:space="0" w:color="auto"/>
        <w:right w:val="none" w:sz="0" w:space="0" w:color="auto"/>
      </w:divBdr>
      <w:divsChild>
        <w:div w:id="644045101">
          <w:marLeft w:val="0"/>
          <w:marRight w:val="0"/>
          <w:marTop w:val="0"/>
          <w:marBottom w:val="0"/>
          <w:divBdr>
            <w:top w:val="none" w:sz="0" w:space="0" w:color="auto"/>
            <w:left w:val="none" w:sz="0" w:space="0" w:color="auto"/>
            <w:bottom w:val="none" w:sz="0" w:space="0" w:color="auto"/>
            <w:right w:val="none" w:sz="0" w:space="0" w:color="auto"/>
          </w:divBdr>
        </w:div>
      </w:divsChild>
    </w:div>
    <w:div w:id="654650396">
      <w:bodyDiv w:val="1"/>
      <w:marLeft w:val="0"/>
      <w:marRight w:val="0"/>
      <w:marTop w:val="0"/>
      <w:marBottom w:val="0"/>
      <w:divBdr>
        <w:top w:val="none" w:sz="0" w:space="0" w:color="auto"/>
        <w:left w:val="none" w:sz="0" w:space="0" w:color="auto"/>
        <w:bottom w:val="none" w:sz="0" w:space="0" w:color="auto"/>
        <w:right w:val="none" w:sz="0" w:space="0" w:color="auto"/>
      </w:divBdr>
      <w:divsChild>
        <w:div w:id="1080062311">
          <w:marLeft w:val="0"/>
          <w:marRight w:val="0"/>
          <w:marTop w:val="0"/>
          <w:marBottom w:val="0"/>
          <w:divBdr>
            <w:top w:val="none" w:sz="0" w:space="0" w:color="auto"/>
            <w:left w:val="none" w:sz="0" w:space="0" w:color="auto"/>
            <w:bottom w:val="none" w:sz="0" w:space="0" w:color="auto"/>
            <w:right w:val="none" w:sz="0" w:space="0" w:color="auto"/>
          </w:divBdr>
        </w:div>
      </w:divsChild>
    </w:div>
    <w:div w:id="655381247">
      <w:bodyDiv w:val="1"/>
      <w:marLeft w:val="0"/>
      <w:marRight w:val="0"/>
      <w:marTop w:val="0"/>
      <w:marBottom w:val="0"/>
      <w:divBdr>
        <w:top w:val="none" w:sz="0" w:space="0" w:color="auto"/>
        <w:left w:val="none" w:sz="0" w:space="0" w:color="auto"/>
        <w:bottom w:val="none" w:sz="0" w:space="0" w:color="auto"/>
        <w:right w:val="none" w:sz="0" w:space="0" w:color="auto"/>
      </w:divBdr>
      <w:divsChild>
        <w:div w:id="1587882171">
          <w:marLeft w:val="0"/>
          <w:marRight w:val="0"/>
          <w:marTop w:val="0"/>
          <w:marBottom w:val="0"/>
          <w:divBdr>
            <w:top w:val="none" w:sz="0" w:space="0" w:color="auto"/>
            <w:left w:val="none" w:sz="0" w:space="0" w:color="auto"/>
            <w:bottom w:val="none" w:sz="0" w:space="0" w:color="auto"/>
            <w:right w:val="none" w:sz="0" w:space="0" w:color="auto"/>
          </w:divBdr>
        </w:div>
      </w:divsChild>
    </w:div>
    <w:div w:id="659963368">
      <w:bodyDiv w:val="1"/>
      <w:marLeft w:val="0"/>
      <w:marRight w:val="0"/>
      <w:marTop w:val="0"/>
      <w:marBottom w:val="0"/>
      <w:divBdr>
        <w:top w:val="none" w:sz="0" w:space="0" w:color="auto"/>
        <w:left w:val="none" w:sz="0" w:space="0" w:color="auto"/>
        <w:bottom w:val="none" w:sz="0" w:space="0" w:color="auto"/>
        <w:right w:val="none" w:sz="0" w:space="0" w:color="auto"/>
      </w:divBdr>
      <w:divsChild>
        <w:div w:id="1073623985">
          <w:marLeft w:val="0"/>
          <w:marRight w:val="0"/>
          <w:marTop w:val="0"/>
          <w:marBottom w:val="0"/>
          <w:divBdr>
            <w:top w:val="none" w:sz="0" w:space="0" w:color="auto"/>
            <w:left w:val="none" w:sz="0" w:space="0" w:color="auto"/>
            <w:bottom w:val="none" w:sz="0" w:space="0" w:color="auto"/>
            <w:right w:val="none" w:sz="0" w:space="0" w:color="auto"/>
          </w:divBdr>
        </w:div>
      </w:divsChild>
    </w:div>
    <w:div w:id="665210959">
      <w:bodyDiv w:val="1"/>
      <w:marLeft w:val="0"/>
      <w:marRight w:val="0"/>
      <w:marTop w:val="0"/>
      <w:marBottom w:val="0"/>
      <w:divBdr>
        <w:top w:val="none" w:sz="0" w:space="0" w:color="auto"/>
        <w:left w:val="none" w:sz="0" w:space="0" w:color="auto"/>
        <w:bottom w:val="none" w:sz="0" w:space="0" w:color="auto"/>
        <w:right w:val="none" w:sz="0" w:space="0" w:color="auto"/>
      </w:divBdr>
    </w:div>
    <w:div w:id="671027493">
      <w:bodyDiv w:val="1"/>
      <w:marLeft w:val="0"/>
      <w:marRight w:val="0"/>
      <w:marTop w:val="0"/>
      <w:marBottom w:val="0"/>
      <w:divBdr>
        <w:top w:val="none" w:sz="0" w:space="0" w:color="auto"/>
        <w:left w:val="none" w:sz="0" w:space="0" w:color="auto"/>
        <w:bottom w:val="none" w:sz="0" w:space="0" w:color="auto"/>
        <w:right w:val="none" w:sz="0" w:space="0" w:color="auto"/>
      </w:divBdr>
      <w:divsChild>
        <w:div w:id="484859725">
          <w:marLeft w:val="0"/>
          <w:marRight w:val="0"/>
          <w:marTop w:val="0"/>
          <w:marBottom w:val="0"/>
          <w:divBdr>
            <w:top w:val="none" w:sz="0" w:space="0" w:color="auto"/>
            <w:left w:val="none" w:sz="0" w:space="0" w:color="auto"/>
            <w:bottom w:val="none" w:sz="0" w:space="0" w:color="auto"/>
            <w:right w:val="none" w:sz="0" w:space="0" w:color="auto"/>
          </w:divBdr>
        </w:div>
      </w:divsChild>
    </w:div>
    <w:div w:id="672949799">
      <w:bodyDiv w:val="1"/>
      <w:marLeft w:val="0"/>
      <w:marRight w:val="0"/>
      <w:marTop w:val="0"/>
      <w:marBottom w:val="0"/>
      <w:divBdr>
        <w:top w:val="none" w:sz="0" w:space="0" w:color="auto"/>
        <w:left w:val="none" w:sz="0" w:space="0" w:color="auto"/>
        <w:bottom w:val="none" w:sz="0" w:space="0" w:color="auto"/>
        <w:right w:val="none" w:sz="0" w:space="0" w:color="auto"/>
      </w:divBdr>
      <w:divsChild>
        <w:div w:id="351033047">
          <w:marLeft w:val="0"/>
          <w:marRight w:val="0"/>
          <w:marTop w:val="0"/>
          <w:marBottom w:val="0"/>
          <w:divBdr>
            <w:top w:val="none" w:sz="0" w:space="0" w:color="auto"/>
            <w:left w:val="none" w:sz="0" w:space="0" w:color="auto"/>
            <w:bottom w:val="none" w:sz="0" w:space="0" w:color="auto"/>
            <w:right w:val="none" w:sz="0" w:space="0" w:color="auto"/>
          </w:divBdr>
        </w:div>
      </w:divsChild>
    </w:div>
    <w:div w:id="675961385">
      <w:bodyDiv w:val="1"/>
      <w:marLeft w:val="0"/>
      <w:marRight w:val="0"/>
      <w:marTop w:val="0"/>
      <w:marBottom w:val="0"/>
      <w:divBdr>
        <w:top w:val="none" w:sz="0" w:space="0" w:color="auto"/>
        <w:left w:val="none" w:sz="0" w:space="0" w:color="auto"/>
        <w:bottom w:val="none" w:sz="0" w:space="0" w:color="auto"/>
        <w:right w:val="none" w:sz="0" w:space="0" w:color="auto"/>
      </w:divBdr>
      <w:divsChild>
        <w:div w:id="881093290">
          <w:marLeft w:val="0"/>
          <w:marRight w:val="0"/>
          <w:marTop w:val="0"/>
          <w:marBottom w:val="0"/>
          <w:divBdr>
            <w:top w:val="none" w:sz="0" w:space="0" w:color="auto"/>
            <w:left w:val="none" w:sz="0" w:space="0" w:color="auto"/>
            <w:bottom w:val="none" w:sz="0" w:space="0" w:color="auto"/>
            <w:right w:val="none" w:sz="0" w:space="0" w:color="auto"/>
          </w:divBdr>
        </w:div>
      </w:divsChild>
    </w:div>
    <w:div w:id="677194975">
      <w:bodyDiv w:val="1"/>
      <w:marLeft w:val="0"/>
      <w:marRight w:val="0"/>
      <w:marTop w:val="0"/>
      <w:marBottom w:val="0"/>
      <w:divBdr>
        <w:top w:val="none" w:sz="0" w:space="0" w:color="auto"/>
        <w:left w:val="none" w:sz="0" w:space="0" w:color="auto"/>
        <w:bottom w:val="none" w:sz="0" w:space="0" w:color="auto"/>
        <w:right w:val="none" w:sz="0" w:space="0" w:color="auto"/>
      </w:divBdr>
      <w:divsChild>
        <w:div w:id="1501771120">
          <w:marLeft w:val="0"/>
          <w:marRight w:val="0"/>
          <w:marTop w:val="0"/>
          <w:marBottom w:val="0"/>
          <w:divBdr>
            <w:top w:val="none" w:sz="0" w:space="0" w:color="auto"/>
            <w:left w:val="none" w:sz="0" w:space="0" w:color="auto"/>
            <w:bottom w:val="none" w:sz="0" w:space="0" w:color="auto"/>
            <w:right w:val="none" w:sz="0" w:space="0" w:color="auto"/>
          </w:divBdr>
        </w:div>
      </w:divsChild>
    </w:div>
    <w:div w:id="679041625">
      <w:bodyDiv w:val="1"/>
      <w:marLeft w:val="0"/>
      <w:marRight w:val="0"/>
      <w:marTop w:val="0"/>
      <w:marBottom w:val="0"/>
      <w:divBdr>
        <w:top w:val="none" w:sz="0" w:space="0" w:color="auto"/>
        <w:left w:val="none" w:sz="0" w:space="0" w:color="auto"/>
        <w:bottom w:val="none" w:sz="0" w:space="0" w:color="auto"/>
        <w:right w:val="none" w:sz="0" w:space="0" w:color="auto"/>
      </w:divBdr>
      <w:divsChild>
        <w:div w:id="1702628250">
          <w:marLeft w:val="0"/>
          <w:marRight w:val="0"/>
          <w:marTop w:val="0"/>
          <w:marBottom w:val="0"/>
          <w:divBdr>
            <w:top w:val="none" w:sz="0" w:space="0" w:color="auto"/>
            <w:left w:val="none" w:sz="0" w:space="0" w:color="auto"/>
            <w:bottom w:val="none" w:sz="0" w:space="0" w:color="auto"/>
            <w:right w:val="none" w:sz="0" w:space="0" w:color="auto"/>
          </w:divBdr>
        </w:div>
      </w:divsChild>
    </w:div>
    <w:div w:id="688265437">
      <w:bodyDiv w:val="1"/>
      <w:marLeft w:val="0"/>
      <w:marRight w:val="0"/>
      <w:marTop w:val="0"/>
      <w:marBottom w:val="0"/>
      <w:divBdr>
        <w:top w:val="none" w:sz="0" w:space="0" w:color="auto"/>
        <w:left w:val="none" w:sz="0" w:space="0" w:color="auto"/>
        <w:bottom w:val="none" w:sz="0" w:space="0" w:color="auto"/>
        <w:right w:val="none" w:sz="0" w:space="0" w:color="auto"/>
      </w:divBdr>
      <w:divsChild>
        <w:div w:id="782068211">
          <w:marLeft w:val="0"/>
          <w:marRight w:val="0"/>
          <w:marTop w:val="0"/>
          <w:marBottom w:val="0"/>
          <w:divBdr>
            <w:top w:val="none" w:sz="0" w:space="0" w:color="auto"/>
            <w:left w:val="none" w:sz="0" w:space="0" w:color="auto"/>
            <w:bottom w:val="none" w:sz="0" w:space="0" w:color="auto"/>
            <w:right w:val="none" w:sz="0" w:space="0" w:color="auto"/>
          </w:divBdr>
        </w:div>
      </w:divsChild>
    </w:div>
    <w:div w:id="692878510">
      <w:bodyDiv w:val="1"/>
      <w:marLeft w:val="0"/>
      <w:marRight w:val="0"/>
      <w:marTop w:val="0"/>
      <w:marBottom w:val="0"/>
      <w:divBdr>
        <w:top w:val="none" w:sz="0" w:space="0" w:color="auto"/>
        <w:left w:val="none" w:sz="0" w:space="0" w:color="auto"/>
        <w:bottom w:val="none" w:sz="0" w:space="0" w:color="auto"/>
        <w:right w:val="none" w:sz="0" w:space="0" w:color="auto"/>
      </w:divBdr>
      <w:divsChild>
        <w:div w:id="1084306537">
          <w:marLeft w:val="0"/>
          <w:marRight w:val="0"/>
          <w:marTop w:val="0"/>
          <w:marBottom w:val="0"/>
          <w:divBdr>
            <w:top w:val="none" w:sz="0" w:space="0" w:color="auto"/>
            <w:left w:val="none" w:sz="0" w:space="0" w:color="auto"/>
            <w:bottom w:val="none" w:sz="0" w:space="0" w:color="auto"/>
            <w:right w:val="none" w:sz="0" w:space="0" w:color="auto"/>
          </w:divBdr>
        </w:div>
      </w:divsChild>
    </w:div>
    <w:div w:id="700664640">
      <w:bodyDiv w:val="1"/>
      <w:marLeft w:val="0"/>
      <w:marRight w:val="0"/>
      <w:marTop w:val="0"/>
      <w:marBottom w:val="0"/>
      <w:divBdr>
        <w:top w:val="none" w:sz="0" w:space="0" w:color="auto"/>
        <w:left w:val="none" w:sz="0" w:space="0" w:color="auto"/>
        <w:bottom w:val="none" w:sz="0" w:space="0" w:color="auto"/>
        <w:right w:val="none" w:sz="0" w:space="0" w:color="auto"/>
      </w:divBdr>
      <w:divsChild>
        <w:div w:id="570891537">
          <w:marLeft w:val="0"/>
          <w:marRight w:val="0"/>
          <w:marTop w:val="0"/>
          <w:marBottom w:val="0"/>
          <w:divBdr>
            <w:top w:val="none" w:sz="0" w:space="0" w:color="auto"/>
            <w:left w:val="none" w:sz="0" w:space="0" w:color="auto"/>
            <w:bottom w:val="none" w:sz="0" w:space="0" w:color="auto"/>
            <w:right w:val="none" w:sz="0" w:space="0" w:color="auto"/>
          </w:divBdr>
        </w:div>
        <w:div w:id="703557257">
          <w:marLeft w:val="0"/>
          <w:marRight w:val="0"/>
          <w:marTop w:val="0"/>
          <w:marBottom w:val="0"/>
          <w:divBdr>
            <w:top w:val="none" w:sz="0" w:space="0" w:color="auto"/>
            <w:left w:val="none" w:sz="0" w:space="0" w:color="auto"/>
            <w:bottom w:val="none" w:sz="0" w:space="0" w:color="auto"/>
            <w:right w:val="none" w:sz="0" w:space="0" w:color="auto"/>
          </w:divBdr>
        </w:div>
      </w:divsChild>
    </w:div>
    <w:div w:id="701130756">
      <w:bodyDiv w:val="1"/>
      <w:marLeft w:val="0"/>
      <w:marRight w:val="0"/>
      <w:marTop w:val="0"/>
      <w:marBottom w:val="0"/>
      <w:divBdr>
        <w:top w:val="none" w:sz="0" w:space="0" w:color="auto"/>
        <w:left w:val="none" w:sz="0" w:space="0" w:color="auto"/>
        <w:bottom w:val="none" w:sz="0" w:space="0" w:color="auto"/>
        <w:right w:val="none" w:sz="0" w:space="0" w:color="auto"/>
      </w:divBdr>
      <w:divsChild>
        <w:div w:id="1308516713">
          <w:marLeft w:val="0"/>
          <w:marRight w:val="0"/>
          <w:marTop w:val="0"/>
          <w:marBottom w:val="0"/>
          <w:divBdr>
            <w:top w:val="none" w:sz="0" w:space="0" w:color="auto"/>
            <w:left w:val="none" w:sz="0" w:space="0" w:color="auto"/>
            <w:bottom w:val="none" w:sz="0" w:space="0" w:color="auto"/>
            <w:right w:val="none" w:sz="0" w:space="0" w:color="auto"/>
          </w:divBdr>
        </w:div>
      </w:divsChild>
    </w:div>
    <w:div w:id="703167059">
      <w:bodyDiv w:val="1"/>
      <w:marLeft w:val="0"/>
      <w:marRight w:val="0"/>
      <w:marTop w:val="0"/>
      <w:marBottom w:val="0"/>
      <w:divBdr>
        <w:top w:val="none" w:sz="0" w:space="0" w:color="auto"/>
        <w:left w:val="none" w:sz="0" w:space="0" w:color="auto"/>
        <w:bottom w:val="none" w:sz="0" w:space="0" w:color="auto"/>
        <w:right w:val="none" w:sz="0" w:space="0" w:color="auto"/>
      </w:divBdr>
      <w:divsChild>
        <w:div w:id="1342003744">
          <w:marLeft w:val="0"/>
          <w:marRight w:val="0"/>
          <w:marTop w:val="0"/>
          <w:marBottom w:val="0"/>
          <w:divBdr>
            <w:top w:val="none" w:sz="0" w:space="0" w:color="auto"/>
            <w:left w:val="none" w:sz="0" w:space="0" w:color="auto"/>
            <w:bottom w:val="none" w:sz="0" w:space="0" w:color="auto"/>
            <w:right w:val="none" w:sz="0" w:space="0" w:color="auto"/>
          </w:divBdr>
        </w:div>
      </w:divsChild>
    </w:div>
    <w:div w:id="704478203">
      <w:bodyDiv w:val="1"/>
      <w:marLeft w:val="0"/>
      <w:marRight w:val="0"/>
      <w:marTop w:val="0"/>
      <w:marBottom w:val="0"/>
      <w:divBdr>
        <w:top w:val="none" w:sz="0" w:space="0" w:color="auto"/>
        <w:left w:val="none" w:sz="0" w:space="0" w:color="auto"/>
        <w:bottom w:val="none" w:sz="0" w:space="0" w:color="auto"/>
        <w:right w:val="none" w:sz="0" w:space="0" w:color="auto"/>
      </w:divBdr>
      <w:divsChild>
        <w:div w:id="262811832">
          <w:marLeft w:val="0"/>
          <w:marRight w:val="0"/>
          <w:marTop w:val="0"/>
          <w:marBottom w:val="0"/>
          <w:divBdr>
            <w:top w:val="none" w:sz="0" w:space="0" w:color="auto"/>
            <w:left w:val="none" w:sz="0" w:space="0" w:color="auto"/>
            <w:bottom w:val="none" w:sz="0" w:space="0" w:color="auto"/>
            <w:right w:val="none" w:sz="0" w:space="0" w:color="auto"/>
          </w:divBdr>
        </w:div>
        <w:div w:id="388456311">
          <w:marLeft w:val="0"/>
          <w:marRight w:val="0"/>
          <w:marTop w:val="0"/>
          <w:marBottom w:val="0"/>
          <w:divBdr>
            <w:top w:val="none" w:sz="0" w:space="0" w:color="auto"/>
            <w:left w:val="none" w:sz="0" w:space="0" w:color="auto"/>
            <w:bottom w:val="none" w:sz="0" w:space="0" w:color="auto"/>
            <w:right w:val="none" w:sz="0" w:space="0" w:color="auto"/>
          </w:divBdr>
        </w:div>
        <w:div w:id="650983959">
          <w:marLeft w:val="0"/>
          <w:marRight w:val="0"/>
          <w:marTop w:val="0"/>
          <w:marBottom w:val="0"/>
          <w:divBdr>
            <w:top w:val="none" w:sz="0" w:space="0" w:color="auto"/>
            <w:left w:val="none" w:sz="0" w:space="0" w:color="auto"/>
            <w:bottom w:val="none" w:sz="0" w:space="0" w:color="auto"/>
            <w:right w:val="none" w:sz="0" w:space="0" w:color="auto"/>
          </w:divBdr>
        </w:div>
      </w:divsChild>
    </w:div>
    <w:div w:id="705639319">
      <w:bodyDiv w:val="1"/>
      <w:marLeft w:val="0"/>
      <w:marRight w:val="0"/>
      <w:marTop w:val="0"/>
      <w:marBottom w:val="0"/>
      <w:divBdr>
        <w:top w:val="none" w:sz="0" w:space="0" w:color="auto"/>
        <w:left w:val="none" w:sz="0" w:space="0" w:color="auto"/>
        <w:bottom w:val="none" w:sz="0" w:space="0" w:color="auto"/>
        <w:right w:val="none" w:sz="0" w:space="0" w:color="auto"/>
      </w:divBdr>
      <w:divsChild>
        <w:div w:id="90585023">
          <w:marLeft w:val="0"/>
          <w:marRight w:val="0"/>
          <w:marTop w:val="0"/>
          <w:marBottom w:val="0"/>
          <w:divBdr>
            <w:top w:val="none" w:sz="0" w:space="0" w:color="auto"/>
            <w:left w:val="none" w:sz="0" w:space="0" w:color="auto"/>
            <w:bottom w:val="none" w:sz="0" w:space="0" w:color="auto"/>
            <w:right w:val="none" w:sz="0" w:space="0" w:color="auto"/>
          </w:divBdr>
        </w:div>
      </w:divsChild>
    </w:div>
    <w:div w:id="706103388">
      <w:bodyDiv w:val="1"/>
      <w:marLeft w:val="0"/>
      <w:marRight w:val="0"/>
      <w:marTop w:val="0"/>
      <w:marBottom w:val="0"/>
      <w:divBdr>
        <w:top w:val="none" w:sz="0" w:space="0" w:color="auto"/>
        <w:left w:val="none" w:sz="0" w:space="0" w:color="auto"/>
        <w:bottom w:val="none" w:sz="0" w:space="0" w:color="auto"/>
        <w:right w:val="none" w:sz="0" w:space="0" w:color="auto"/>
      </w:divBdr>
      <w:divsChild>
        <w:div w:id="1075662451">
          <w:marLeft w:val="0"/>
          <w:marRight w:val="0"/>
          <w:marTop w:val="0"/>
          <w:marBottom w:val="0"/>
          <w:divBdr>
            <w:top w:val="none" w:sz="0" w:space="0" w:color="auto"/>
            <w:left w:val="none" w:sz="0" w:space="0" w:color="auto"/>
            <w:bottom w:val="none" w:sz="0" w:space="0" w:color="auto"/>
            <w:right w:val="none" w:sz="0" w:space="0" w:color="auto"/>
          </w:divBdr>
        </w:div>
      </w:divsChild>
    </w:div>
    <w:div w:id="706491935">
      <w:bodyDiv w:val="1"/>
      <w:marLeft w:val="0"/>
      <w:marRight w:val="0"/>
      <w:marTop w:val="0"/>
      <w:marBottom w:val="0"/>
      <w:divBdr>
        <w:top w:val="none" w:sz="0" w:space="0" w:color="auto"/>
        <w:left w:val="none" w:sz="0" w:space="0" w:color="auto"/>
        <w:bottom w:val="none" w:sz="0" w:space="0" w:color="auto"/>
        <w:right w:val="none" w:sz="0" w:space="0" w:color="auto"/>
      </w:divBdr>
      <w:divsChild>
        <w:div w:id="525600820">
          <w:marLeft w:val="0"/>
          <w:marRight w:val="0"/>
          <w:marTop w:val="0"/>
          <w:marBottom w:val="0"/>
          <w:divBdr>
            <w:top w:val="none" w:sz="0" w:space="0" w:color="auto"/>
            <w:left w:val="none" w:sz="0" w:space="0" w:color="auto"/>
            <w:bottom w:val="none" w:sz="0" w:space="0" w:color="auto"/>
            <w:right w:val="none" w:sz="0" w:space="0" w:color="auto"/>
          </w:divBdr>
        </w:div>
        <w:div w:id="1147431824">
          <w:marLeft w:val="0"/>
          <w:marRight w:val="0"/>
          <w:marTop w:val="0"/>
          <w:marBottom w:val="0"/>
          <w:divBdr>
            <w:top w:val="none" w:sz="0" w:space="0" w:color="auto"/>
            <w:left w:val="none" w:sz="0" w:space="0" w:color="auto"/>
            <w:bottom w:val="none" w:sz="0" w:space="0" w:color="auto"/>
            <w:right w:val="none" w:sz="0" w:space="0" w:color="auto"/>
          </w:divBdr>
        </w:div>
      </w:divsChild>
    </w:div>
    <w:div w:id="710813238">
      <w:bodyDiv w:val="1"/>
      <w:marLeft w:val="0"/>
      <w:marRight w:val="0"/>
      <w:marTop w:val="0"/>
      <w:marBottom w:val="0"/>
      <w:divBdr>
        <w:top w:val="none" w:sz="0" w:space="0" w:color="auto"/>
        <w:left w:val="none" w:sz="0" w:space="0" w:color="auto"/>
        <w:bottom w:val="none" w:sz="0" w:space="0" w:color="auto"/>
        <w:right w:val="none" w:sz="0" w:space="0" w:color="auto"/>
      </w:divBdr>
      <w:divsChild>
        <w:div w:id="260069817">
          <w:marLeft w:val="0"/>
          <w:marRight w:val="0"/>
          <w:marTop w:val="0"/>
          <w:marBottom w:val="0"/>
          <w:divBdr>
            <w:top w:val="none" w:sz="0" w:space="0" w:color="auto"/>
            <w:left w:val="none" w:sz="0" w:space="0" w:color="auto"/>
            <w:bottom w:val="none" w:sz="0" w:space="0" w:color="auto"/>
            <w:right w:val="none" w:sz="0" w:space="0" w:color="auto"/>
          </w:divBdr>
        </w:div>
      </w:divsChild>
    </w:div>
    <w:div w:id="730159496">
      <w:bodyDiv w:val="1"/>
      <w:marLeft w:val="0"/>
      <w:marRight w:val="0"/>
      <w:marTop w:val="0"/>
      <w:marBottom w:val="0"/>
      <w:divBdr>
        <w:top w:val="none" w:sz="0" w:space="0" w:color="auto"/>
        <w:left w:val="none" w:sz="0" w:space="0" w:color="auto"/>
        <w:bottom w:val="none" w:sz="0" w:space="0" w:color="auto"/>
        <w:right w:val="none" w:sz="0" w:space="0" w:color="auto"/>
      </w:divBdr>
      <w:divsChild>
        <w:div w:id="673189310">
          <w:marLeft w:val="0"/>
          <w:marRight w:val="0"/>
          <w:marTop w:val="0"/>
          <w:marBottom w:val="0"/>
          <w:divBdr>
            <w:top w:val="none" w:sz="0" w:space="0" w:color="auto"/>
            <w:left w:val="none" w:sz="0" w:space="0" w:color="auto"/>
            <w:bottom w:val="none" w:sz="0" w:space="0" w:color="auto"/>
            <w:right w:val="none" w:sz="0" w:space="0" w:color="auto"/>
          </w:divBdr>
        </w:div>
      </w:divsChild>
    </w:div>
    <w:div w:id="741412273">
      <w:bodyDiv w:val="1"/>
      <w:marLeft w:val="0"/>
      <w:marRight w:val="0"/>
      <w:marTop w:val="0"/>
      <w:marBottom w:val="0"/>
      <w:divBdr>
        <w:top w:val="none" w:sz="0" w:space="0" w:color="auto"/>
        <w:left w:val="none" w:sz="0" w:space="0" w:color="auto"/>
        <w:bottom w:val="none" w:sz="0" w:space="0" w:color="auto"/>
        <w:right w:val="none" w:sz="0" w:space="0" w:color="auto"/>
      </w:divBdr>
      <w:divsChild>
        <w:div w:id="311255728">
          <w:marLeft w:val="0"/>
          <w:marRight w:val="0"/>
          <w:marTop w:val="0"/>
          <w:marBottom w:val="0"/>
          <w:divBdr>
            <w:top w:val="none" w:sz="0" w:space="0" w:color="auto"/>
            <w:left w:val="none" w:sz="0" w:space="0" w:color="auto"/>
            <w:bottom w:val="none" w:sz="0" w:space="0" w:color="auto"/>
            <w:right w:val="none" w:sz="0" w:space="0" w:color="auto"/>
          </w:divBdr>
        </w:div>
      </w:divsChild>
    </w:div>
    <w:div w:id="746147649">
      <w:bodyDiv w:val="1"/>
      <w:marLeft w:val="0"/>
      <w:marRight w:val="0"/>
      <w:marTop w:val="0"/>
      <w:marBottom w:val="0"/>
      <w:divBdr>
        <w:top w:val="none" w:sz="0" w:space="0" w:color="auto"/>
        <w:left w:val="none" w:sz="0" w:space="0" w:color="auto"/>
        <w:bottom w:val="none" w:sz="0" w:space="0" w:color="auto"/>
        <w:right w:val="none" w:sz="0" w:space="0" w:color="auto"/>
      </w:divBdr>
      <w:divsChild>
        <w:div w:id="1090393331">
          <w:marLeft w:val="0"/>
          <w:marRight w:val="0"/>
          <w:marTop w:val="0"/>
          <w:marBottom w:val="0"/>
          <w:divBdr>
            <w:top w:val="none" w:sz="0" w:space="0" w:color="auto"/>
            <w:left w:val="none" w:sz="0" w:space="0" w:color="auto"/>
            <w:bottom w:val="none" w:sz="0" w:space="0" w:color="auto"/>
            <w:right w:val="none" w:sz="0" w:space="0" w:color="auto"/>
          </w:divBdr>
        </w:div>
      </w:divsChild>
    </w:div>
    <w:div w:id="747263371">
      <w:bodyDiv w:val="1"/>
      <w:marLeft w:val="0"/>
      <w:marRight w:val="0"/>
      <w:marTop w:val="0"/>
      <w:marBottom w:val="0"/>
      <w:divBdr>
        <w:top w:val="none" w:sz="0" w:space="0" w:color="auto"/>
        <w:left w:val="none" w:sz="0" w:space="0" w:color="auto"/>
        <w:bottom w:val="none" w:sz="0" w:space="0" w:color="auto"/>
        <w:right w:val="none" w:sz="0" w:space="0" w:color="auto"/>
      </w:divBdr>
      <w:divsChild>
        <w:div w:id="1145395231">
          <w:marLeft w:val="0"/>
          <w:marRight w:val="0"/>
          <w:marTop w:val="0"/>
          <w:marBottom w:val="0"/>
          <w:divBdr>
            <w:top w:val="none" w:sz="0" w:space="0" w:color="auto"/>
            <w:left w:val="none" w:sz="0" w:space="0" w:color="auto"/>
            <w:bottom w:val="none" w:sz="0" w:space="0" w:color="auto"/>
            <w:right w:val="none" w:sz="0" w:space="0" w:color="auto"/>
          </w:divBdr>
        </w:div>
      </w:divsChild>
    </w:div>
    <w:div w:id="761298700">
      <w:bodyDiv w:val="1"/>
      <w:marLeft w:val="0"/>
      <w:marRight w:val="0"/>
      <w:marTop w:val="0"/>
      <w:marBottom w:val="0"/>
      <w:divBdr>
        <w:top w:val="none" w:sz="0" w:space="0" w:color="auto"/>
        <w:left w:val="none" w:sz="0" w:space="0" w:color="auto"/>
        <w:bottom w:val="none" w:sz="0" w:space="0" w:color="auto"/>
        <w:right w:val="none" w:sz="0" w:space="0" w:color="auto"/>
      </w:divBdr>
      <w:divsChild>
        <w:div w:id="1037779367">
          <w:marLeft w:val="0"/>
          <w:marRight w:val="0"/>
          <w:marTop w:val="0"/>
          <w:marBottom w:val="0"/>
          <w:divBdr>
            <w:top w:val="none" w:sz="0" w:space="0" w:color="auto"/>
            <w:left w:val="none" w:sz="0" w:space="0" w:color="auto"/>
            <w:bottom w:val="none" w:sz="0" w:space="0" w:color="auto"/>
            <w:right w:val="none" w:sz="0" w:space="0" w:color="auto"/>
          </w:divBdr>
        </w:div>
      </w:divsChild>
    </w:div>
    <w:div w:id="765612895">
      <w:bodyDiv w:val="1"/>
      <w:marLeft w:val="0"/>
      <w:marRight w:val="0"/>
      <w:marTop w:val="0"/>
      <w:marBottom w:val="0"/>
      <w:divBdr>
        <w:top w:val="none" w:sz="0" w:space="0" w:color="auto"/>
        <w:left w:val="none" w:sz="0" w:space="0" w:color="auto"/>
        <w:bottom w:val="none" w:sz="0" w:space="0" w:color="auto"/>
        <w:right w:val="none" w:sz="0" w:space="0" w:color="auto"/>
      </w:divBdr>
      <w:divsChild>
        <w:div w:id="1171406420">
          <w:marLeft w:val="0"/>
          <w:marRight w:val="0"/>
          <w:marTop w:val="0"/>
          <w:marBottom w:val="0"/>
          <w:divBdr>
            <w:top w:val="none" w:sz="0" w:space="0" w:color="auto"/>
            <w:left w:val="none" w:sz="0" w:space="0" w:color="auto"/>
            <w:bottom w:val="none" w:sz="0" w:space="0" w:color="auto"/>
            <w:right w:val="none" w:sz="0" w:space="0" w:color="auto"/>
          </w:divBdr>
        </w:div>
      </w:divsChild>
    </w:div>
    <w:div w:id="780954159">
      <w:bodyDiv w:val="1"/>
      <w:marLeft w:val="0"/>
      <w:marRight w:val="0"/>
      <w:marTop w:val="0"/>
      <w:marBottom w:val="0"/>
      <w:divBdr>
        <w:top w:val="none" w:sz="0" w:space="0" w:color="auto"/>
        <w:left w:val="none" w:sz="0" w:space="0" w:color="auto"/>
        <w:bottom w:val="none" w:sz="0" w:space="0" w:color="auto"/>
        <w:right w:val="none" w:sz="0" w:space="0" w:color="auto"/>
      </w:divBdr>
      <w:divsChild>
        <w:div w:id="1471286097">
          <w:marLeft w:val="0"/>
          <w:marRight w:val="0"/>
          <w:marTop w:val="0"/>
          <w:marBottom w:val="0"/>
          <w:divBdr>
            <w:top w:val="none" w:sz="0" w:space="0" w:color="auto"/>
            <w:left w:val="none" w:sz="0" w:space="0" w:color="auto"/>
            <w:bottom w:val="none" w:sz="0" w:space="0" w:color="auto"/>
            <w:right w:val="none" w:sz="0" w:space="0" w:color="auto"/>
          </w:divBdr>
        </w:div>
      </w:divsChild>
    </w:div>
    <w:div w:id="782457871">
      <w:bodyDiv w:val="1"/>
      <w:marLeft w:val="0"/>
      <w:marRight w:val="0"/>
      <w:marTop w:val="0"/>
      <w:marBottom w:val="0"/>
      <w:divBdr>
        <w:top w:val="none" w:sz="0" w:space="0" w:color="auto"/>
        <w:left w:val="none" w:sz="0" w:space="0" w:color="auto"/>
        <w:bottom w:val="none" w:sz="0" w:space="0" w:color="auto"/>
        <w:right w:val="none" w:sz="0" w:space="0" w:color="auto"/>
      </w:divBdr>
      <w:divsChild>
        <w:div w:id="693044125">
          <w:marLeft w:val="0"/>
          <w:marRight w:val="0"/>
          <w:marTop w:val="0"/>
          <w:marBottom w:val="0"/>
          <w:divBdr>
            <w:top w:val="none" w:sz="0" w:space="0" w:color="auto"/>
            <w:left w:val="none" w:sz="0" w:space="0" w:color="auto"/>
            <w:bottom w:val="none" w:sz="0" w:space="0" w:color="auto"/>
            <w:right w:val="none" w:sz="0" w:space="0" w:color="auto"/>
          </w:divBdr>
        </w:div>
      </w:divsChild>
    </w:div>
    <w:div w:id="790326794">
      <w:bodyDiv w:val="1"/>
      <w:marLeft w:val="0"/>
      <w:marRight w:val="0"/>
      <w:marTop w:val="0"/>
      <w:marBottom w:val="0"/>
      <w:divBdr>
        <w:top w:val="none" w:sz="0" w:space="0" w:color="auto"/>
        <w:left w:val="none" w:sz="0" w:space="0" w:color="auto"/>
        <w:bottom w:val="none" w:sz="0" w:space="0" w:color="auto"/>
        <w:right w:val="none" w:sz="0" w:space="0" w:color="auto"/>
      </w:divBdr>
      <w:divsChild>
        <w:div w:id="202523831">
          <w:marLeft w:val="0"/>
          <w:marRight w:val="0"/>
          <w:marTop w:val="0"/>
          <w:marBottom w:val="0"/>
          <w:divBdr>
            <w:top w:val="none" w:sz="0" w:space="0" w:color="auto"/>
            <w:left w:val="none" w:sz="0" w:space="0" w:color="auto"/>
            <w:bottom w:val="none" w:sz="0" w:space="0" w:color="auto"/>
            <w:right w:val="none" w:sz="0" w:space="0" w:color="auto"/>
          </w:divBdr>
        </w:div>
      </w:divsChild>
    </w:div>
    <w:div w:id="794442949">
      <w:bodyDiv w:val="1"/>
      <w:marLeft w:val="0"/>
      <w:marRight w:val="0"/>
      <w:marTop w:val="0"/>
      <w:marBottom w:val="0"/>
      <w:divBdr>
        <w:top w:val="none" w:sz="0" w:space="0" w:color="auto"/>
        <w:left w:val="none" w:sz="0" w:space="0" w:color="auto"/>
        <w:bottom w:val="none" w:sz="0" w:space="0" w:color="auto"/>
        <w:right w:val="none" w:sz="0" w:space="0" w:color="auto"/>
      </w:divBdr>
      <w:divsChild>
        <w:div w:id="1899441587">
          <w:marLeft w:val="0"/>
          <w:marRight w:val="0"/>
          <w:marTop w:val="0"/>
          <w:marBottom w:val="0"/>
          <w:divBdr>
            <w:top w:val="none" w:sz="0" w:space="0" w:color="auto"/>
            <w:left w:val="none" w:sz="0" w:space="0" w:color="auto"/>
            <w:bottom w:val="none" w:sz="0" w:space="0" w:color="auto"/>
            <w:right w:val="none" w:sz="0" w:space="0" w:color="auto"/>
          </w:divBdr>
        </w:div>
      </w:divsChild>
    </w:div>
    <w:div w:id="801965663">
      <w:bodyDiv w:val="1"/>
      <w:marLeft w:val="0"/>
      <w:marRight w:val="0"/>
      <w:marTop w:val="0"/>
      <w:marBottom w:val="0"/>
      <w:divBdr>
        <w:top w:val="none" w:sz="0" w:space="0" w:color="auto"/>
        <w:left w:val="none" w:sz="0" w:space="0" w:color="auto"/>
        <w:bottom w:val="none" w:sz="0" w:space="0" w:color="auto"/>
        <w:right w:val="none" w:sz="0" w:space="0" w:color="auto"/>
      </w:divBdr>
      <w:divsChild>
        <w:div w:id="1791895853">
          <w:marLeft w:val="0"/>
          <w:marRight w:val="0"/>
          <w:marTop w:val="0"/>
          <w:marBottom w:val="0"/>
          <w:divBdr>
            <w:top w:val="none" w:sz="0" w:space="0" w:color="auto"/>
            <w:left w:val="none" w:sz="0" w:space="0" w:color="auto"/>
            <w:bottom w:val="none" w:sz="0" w:space="0" w:color="auto"/>
            <w:right w:val="none" w:sz="0" w:space="0" w:color="auto"/>
          </w:divBdr>
        </w:div>
      </w:divsChild>
    </w:div>
    <w:div w:id="802574286">
      <w:bodyDiv w:val="1"/>
      <w:marLeft w:val="0"/>
      <w:marRight w:val="0"/>
      <w:marTop w:val="0"/>
      <w:marBottom w:val="0"/>
      <w:divBdr>
        <w:top w:val="none" w:sz="0" w:space="0" w:color="auto"/>
        <w:left w:val="none" w:sz="0" w:space="0" w:color="auto"/>
        <w:bottom w:val="none" w:sz="0" w:space="0" w:color="auto"/>
        <w:right w:val="none" w:sz="0" w:space="0" w:color="auto"/>
      </w:divBdr>
      <w:divsChild>
        <w:div w:id="639773593">
          <w:marLeft w:val="0"/>
          <w:marRight w:val="0"/>
          <w:marTop w:val="0"/>
          <w:marBottom w:val="0"/>
          <w:divBdr>
            <w:top w:val="none" w:sz="0" w:space="0" w:color="auto"/>
            <w:left w:val="none" w:sz="0" w:space="0" w:color="auto"/>
            <w:bottom w:val="none" w:sz="0" w:space="0" w:color="auto"/>
            <w:right w:val="none" w:sz="0" w:space="0" w:color="auto"/>
          </w:divBdr>
        </w:div>
      </w:divsChild>
    </w:div>
    <w:div w:id="813833815">
      <w:bodyDiv w:val="1"/>
      <w:marLeft w:val="0"/>
      <w:marRight w:val="0"/>
      <w:marTop w:val="0"/>
      <w:marBottom w:val="0"/>
      <w:divBdr>
        <w:top w:val="none" w:sz="0" w:space="0" w:color="auto"/>
        <w:left w:val="none" w:sz="0" w:space="0" w:color="auto"/>
        <w:bottom w:val="none" w:sz="0" w:space="0" w:color="auto"/>
        <w:right w:val="none" w:sz="0" w:space="0" w:color="auto"/>
      </w:divBdr>
      <w:divsChild>
        <w:div w:id="1357583453">
          <w:marLeft w:val="0"/>
          <w:marRight w:val="0"/>
          <w:marTop w:val="0"/>
          <w:marBottom w:val="0"/>
          <w:divBdr>
            <w:top w:val="none" w:sz="0" w:space="0" w:color="auto"/>
            <w:left w:val="none" w:sz="0" w:space="0" w:color="auto"/>
            <w:bottom w:val="none" w:sz="0" w:space="0" w:color="auto"/>
            <w:right w:val="none" w:sz="0" w:space="0" w:color="auto"/>
          </w:divBdr>
        </w:div>
      </w:divsChild>
    </w:div>
    <w:div w:id="820196558">
      <w:bodyDiv w:val="1"/>
      <w:marLeft w:val="0"/>
      <w:marRight w:val="0"/>
      <w:marTop w:val="0"/>
      <w:marBottom w:val="0"/>
      <w:divBdr>
        <w:top w:val="none" w:sz="0" w:space="0" w:color="auto"/>
        <w:left w:val="none" w:sz="0" w:space="0" w:color="auto"/>
        <w:bottom w:val="none" w:sz="0" w:space="0" w:color="auto"/>
        <w:right w:val="none" w:sz="0" w:space="0" w:color="auto"/>
      </w:divBdr>
      <w:divsChild>
        <w:div w:id="430005226">
          <w:marLeft w:val="0"/>
          <w:marRight w:val="0"/>
          <w:marTop w:val="0"/>
          <w:marBottom w:val="0"/>
          <w:divBdr>
            <w:top w:val="none" w:sz="0" w:space="0" w:color="auto"/>
            <w:left w:val="none" w:sz="0" w:space="0" w:color="auto"/>
            <w:bottom w:val="none" w:sz="0" w:space="0" w:color="auto"/>
            <w:right w:val="none" w:sz="0" w:space="0" w:color="auto"/>
          </w:divBdr>
        </w:div>
      </w:divsChild>
    </w:div>
    <w:div w:id="821501419">
      <w:bodyDiv w:val="1"/>
      <w:marLeft w:val="0"/>
      <w:marRight w:val="0"/>
      <w:marTop w:val="0"/>
      <w:marBottom w:val="0"/>
      <w:divBdr>
        <w:top w:val="none" w:sz="0" w:space="0" w:color="auto"/>
        <w:left w:val="none" w:sz="0" w:space="0" w:color="auto"/>
        <w:bottom w:val="none" w:sz="0" w:space="0" w:color="auto"/>
        <w:right w:val="none" w:sz="0" w:space="0" w:color="auto"/>
      </w:divBdr>
      <w:divsChild>
        <w:div w:id="441068638">
          <w:marLeft w:val="0"/>
          <w:marRight w:val="0"/>
          <w:marTop w:val="0"/>
          <w:marBottom w:val="0"/>
          <w:divBdr>
            <w:top w:val="none" w:sz="0" w:space="0" w:color="auto"/>
            <w:left w:val="none" w:sz="0" w:space="0" w:color="auto"/>
            <w:bottom w:val="none" w:sz="0" w:space="0" w:color="auto"/>
            <w:right w:val="none" w:sz="0" w:space="0" w:color="auto"/>
          </w:divBdr>
        </w:div>
      </w:divsChild>
    </w:div>
    <w:div w:id="82636588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6">
          <w:marLeft w:val="0"/>
          <w:marRight w:val="0"/>
          <w:marTop w:val="0"/>
          <w:marBottom w:val="0"/>
          <w:divBdr>
            <w:top w:val="none" w:sz="0" w:space="0" w:color="auto"/>
            <w:left w:val="none" w:sz="0" w:space="0" w:color="auto"/>
            <w:bottom w:val="none" w:sz="0" w:space="0" w:color="auto"/>
            <w:right w:val="none" w:sz="0" w:space="0" w:color="auto"/>
          </w:divBdr>
        </w:div>
      </w:divsChild>
    </w:div>
    <w:div w:id="834689881">
      <w:bodyDiv w:val="1"/>
      <w:marLeft w:val="0"/>
      <w:marRight w:val="0"/>
      <w:marTop w:val="0"/>
      <w:marBottom w:val="0"/>
      <w:divBdr>
        <w:top w:val="none" w:sz="0" w:space="0" w:color="auto"/>
        <w:left w:val="none" w:sz="0" w:space="0" w:color="auto"/>
        <w:bottom w:val="none" w:sz="0" w:space="0" w:color="auto"/>
        <w:right w:val="none" w:sz="0" w:space="0" w:color="auto"/>
      </w:divBdr>
      <w:divsChild>
        <w:div w:id="53234778">
          <w:marLeft w:val="0"/>
          <w:marRight w:val="0"/>
          <w:marTop w:val="0"/>
          <w:marBottom w:val="0"/>
          <w:divBdr>
            <w:top w:val="none" w:sz="0" w:space="0" w:color="auto"/>
            <w:left w:val="none" w:sz="0" w:space="0" w:color="auto"/>
            <w:bottom w:val="none" w:sz="0" w:space="0" w:color="auto"/>
            <w:right w:val="none" w:sz="0" w:space="0" w:color="auto"/>
          </w:divBdr>
        </w:div>
      </w:divsChild>
    </w:div>
    <w:div w:id="836653680">
      <w:bodyDiv w:val="1"/>
      <w:marLeft w:val="0"/>
      <w:marRight w:val="0"/>
      <w:marTop w:val="0"/>
      <w:marBottom w:val="0"/>
      <w:divBdr>
        <w:top w:val="none" w:sz="0" w:space="0" w:color="auto"/>
        <w:left w:val="none" w:sz="0" w:space="0" w:color="auto"/>
        <w:bottom w:val="none" w:sz="0" w:space="0" w:color="auto"/>
        <w:right w:val="none" w:sz="0" w:space="0" w:color="auto"/>
      </w:divBdr>
      <w:divsChild>
        <w:div w:id="1561820931">
          <w:marLeft w:val="0"/>
          <w:marRight w:val="0"/>
          <w:marTop w:val="0"/>
          <w:marBottom w:val="0"/>
          <w:divBdr>
            <w:top w:val="none" w:sz="0" w:space="0" w:color="auto"/>
            <w:left w:val="none" w:sz="0" w:space="0" w:color="auto"/>
            <w:bottom w:val="none" w:sz="0" w:space="0" w:color="auto"/>
            <w:right w:val="none" w:sz="0" w:space="0" w:color="auto"/>
          </w:divBdr>
        </w:div>
      </w:divsChild>
    </w:div>
    <w:div w:id="857693909">
      <w:bodyDiv w:val="1"/>
      <w:marLeft w:val="0"/>
      <w:marRight w:val="0"/>
      <w:marTop w:val="0"/>
      <w:marBottom w:val="0"/>
      <w:divBdr>
        <w:top w:val="none" w:sz="0" w:space="0" w:color="auto"/>
        <w:left w:val="none" w:sz="0" w:space="0" w:color="auto"/>
        <w:bottom w:val="none" w:sz="0" w:space="0" w:color="auto"/>
        <w:right w:val="none" w:sz="0" w:space="0" w:color="auto"/>
      </w:divBdr>
      <w:divsChild>
        <w:div w:id="786778535">
          <w:marLeft w:val="0"/>
          <w:marRight w:val="0"/>
          <w:marTop w:val="0"/>
          <w:marBottom w:val="0"/>
          <w:divBdr>
            <w:top w:val="none" w:sz="0" w:space="0" w:color="auto"/>
            <w:left w:val="none" w:sz="0" w:space="0" w:color="auto"/>
            <w:bottom w:val="none" w:sz="0" w:space="0" w:color="auto"/>
            <w:right w:val="none" w:sz="0" w:space="0" w:color="auto"/>
          </w:divBdr>
        </w:div>
      </w:divsChild>
    </w:div>
    <w:div w:id="860629547">
      <w:bodyDiv w:val="1"/>
      <w:marLeft w:val="0"/>
      <w:marRight w:val="0"/>
      <w:marTop w:val="0"/>
      <w:marBottom w:val="0"/>
      <w:divBdr>
        <w:top w:val="none" w:sz="0" w:space="0" w:color="auto"/>
        <w:left w:val="none" w:sz="0" w:space="0" w:color="auto"/>
        <w:bottom w:val="none" w:sz="0" w:space="0" w:color="auto"/>
        <w:right w:val="none" w:sz="0" w:space="0" w:color="auto"/>
      </w:divBdr>
      <w:divsChild>
        <w:div w:id="950016473">
          <w:marLeft w:val="0"/>
          <w:marRight w:val="0"/>
          <w:marTop w:val="0"/>
          <w:marBottom w:val="0"/>
          <w:divBdr>
            <w:top w:val="none" w:sz="0" w:space="0" w:color="auto"/>
            <w:left w:val="none" w:sz="0" w:space="0" w:color="auto"/>
            <w:bottom w:val="none" w:sz="0" w:space="0" w:color="auto"/>
            <w:right w:val="none" w:sz="0" w:space="0" w:color="auto"/>
          </w:divBdr>
        </w:div>
      </w:divsChild>
    </w:div>
    <w:div w:id="866328989">
      <w:bodyDiv w:val="1"/>
      <w:marLeft w:val="0"/>
      <w:marRight w:val="0"/>
      <w:marTop w:val="0"/>
      <w:marBottom w:val="0"/>
      <w:divBdr>
        <w:top w:val="none" w:sz="0" w:space="0" w:color="auto"/>
        <w:left w:val="none" w:sz="0" w:space="0" w:color="auto"/>
        <w:bottom w:val="none" w:sz="0" w:space="0" w:color="auto"/>
        <w:right w:val="none" w:sz="0" w:space="0" w:color="auto"/>
      </w:divBdr>
      <w:divsChild>
        <w:div w:id="1065837793">
          <w:marLeft w:val="0"/>
          <w:marRight w:val="0"/>
          <w:marTop w:val="0"/>
          <w:marBottom w:val="0"/>
          <w:divBdr>
            <w:top w:val="none" w:sz="0" w:space="0" w:color="auto"/>
            <w:left w:val="none" w:sz="0" w:space="0" w:color="auto"/>
            <w:bottom w:val="none" w:sz="0" w:space="0" w:color="auto"/>
            <w:right w:val="none" w:sz="0" w:space="0" w:color="auto"/>
          </w:divBdr>
        </w:div>
      </w:divsChild>
    </w:div>
    <w:div w:id="878856945">
      <w:bodyDiv w:val="1"/>
      <w:marLeft w:val="0"/>
      <w:marRight w:val="0"/>
      <w:marTop w:val="0"/>
      <w:marBottom w:val="0"/>
      <w:divBdr>
        <w:top w:val="none" w:sz="0" w:space="0" w:color="auto"/>
        <w:left w:val="none" w:sz="0" w:space="0" w:color="auto"/>
        <w:bottom w:val="none" w:sz="0" w:space="0" w:color="auto"/>
        <w:right w:val="none" w:sz="0" w:space="0" w:color="auto"/>
      </w:divBdr>
    </w:div>
    <w:div w:id="884097216">
      <w:bodyDiv w:val="1"/>
      <w:marLeft w:val="0"/>
      <w:marRight w:val="0"/>
      <w:marTop w:val="0"/>
      <w:marBottom w:val="0"/>
      <w:divBdr>
        <w:top w:val="none" w:sz="0" w:space="0" w:color="auto"/>
        <w:left w:val="none" w:sz="0" w:space="0" w:color="auto"/>
        <w:bottom w:val="none" w:sz="0" w:space="0" w:color="auto"/>
        <w:right w:val="none" w:sz="0" w:space="0" w:color="auto"/>
      </w:divBdr>
      <w:divsChild>
        <w:div w:id="1476604019">
          <w:marLeft w:val="0"/>
          <w:marRight w:val="0"/>
          <w:marTop w:val="0"/>
          <w:marBottom w:val="0"/>
          <w:divBdr>
            <w:top w:val="none" w:sz="0" w:space="0" w:color="auto"/>
            <w:left w:val="none" w:sz="0" w:space="0" w:color="auto"/>
            <w:bottom w:val="none" w:sz="0" w:space="0" w:color="auto"/>
            <w:right w:val="none" w:sz="0" w:space="0" w:color="auto"/>
          </w:divBdr>
        </w:div>
      </w:divsChild>
    </w:div>
    <w:div w:id="905339009">
      <w:bodyDiv w:val="1"/>
      <w:marLeft w:val="0"/>
      <w:marRight w:val="0"/>
      <w:marTop w:val="0"/>
      <w:marBottom w:val="0"/>
      <w:divBdr>
        <w:top w:val="none" w:sz="0" w:space="0" w:color="auto"/>
        <w:left w:val="none" w:sz="0" w:space="0" w:color="auto"/>
        <w:bottom w:val="none" w:sz="0" w:space="0" w:color="auto"/>
        <w:right w:val="none" w:sz="0" w:space="0" w:color="auto"/>
      </w:divBdr>
      <w:divsChild>
        <w:div w:id="176119322">
          <w:marLeft w:val="0"/>
          <w:marRight w:val="0"/>
          <w:marTop w:val="0"/>
          <w:marBottom w:val="0"/>
          <w:divBdr>
            <w:top w:val="none" w:sz="0" w:space="0" w:color="auto"/>
            <w:left w:val="none" w:sz="0" w:space="0" w:color="auto"/>
            <w:bottom w:val="none" w:sz="0" w:space="0" w:color="auto"/>
            <w:right w:val="none" w:sz="0" w:space="0" w:color="auto"/>
          </w:divBdr>
        </w:div>
      </w:divsChild>
    </w:div>
    <w:div w:id="905988966">
      <w:bodyDiv w:val="1"/>
      <w:marLeft w:val="0"/>
      <w:marRight w:val="0"/>
      <w:marTop w:val="0"/>
      <w:marBottom w:val="0"/>
      <w:divBdr>
        <w:top w:val="none" w:sz="0" w:space="0" w:color="auto"/>
        <w:left w:val="none" w:sz="0" w:space="0" w:color="auto"/>
        <w:bottom w:val="none" w:sz="0" w:space="0" w:color="auto"/>
        <w:right w:val="none" w:sz="0" w:space="0" w:color="auto"/>
      </w:divBdr>
      <w:divsChild>
        <w:div w:id="719482252">
          <w:marLeft w:val="0"/>
          <w:marRight w:val="0"/>
          <w:marTop w:val="0"/>
          <w:marBottom w:val="0"/>
          <w:divBdr>
            <w:top w:val="none" w:sz="0" w:space="0" w:color="auto"/>
            <w:left w:val="none" w:sz="0" w:space="0" w:color="auto"/>
            <w:bottom w:val="none" w:sz="0" w:space="0" w:color="auto"/>
            <w:right w:val="none" w:sz="0" w:space="0" w:color="auto"/>
          </w:divBdr>
        </w:div>
      </w:divsChild>
    </w:div>
    <w:div w:id="906040137">
      <w:bodyDiv w:val="1"/>
      <w:marLeft w:val="0"/>
      <w:marRight w:val="0"/>
      <w:marTop w:val="0"/>
      <w:marBottom w:val="0"/>
      <w:divBdr>
        <w:top w:val="none" w:sz="0" w:space="0" w:color="auto"/>
        <w:left w:val="none" w:sz="0" w:space="0" w:color="auto"/>
        <w:bottom w:val="none" w:sz="0" w:space="0" w:color="auto"/>
        <w:right w:val="none" w:sz="0" w:space="0" w:color="auto"/>
      </w:divBdr>
      <w:divsChild>
        <w:div w:id="392394154">
          <w:marLeft w:val="0"/>
          <w:marRight w:val="0"/>
          <w:marTop w:val="0"/>
          <w:marBottom w:val="0"/>
          <w:divBdr>
            <w:top w:val="none" w:sz="0" w:space="0" w:color="auto"/>
            <w:left w:val="none" w:sz="0" w:space="0" w:color="auto"/>
            <w:bottom w:val="none" w:sz="0" w:space="0" w:color="auto"/>
            <w:right w:val="none" w:sz="0" w:space="0" w:color="auto"/>
          </w:divBdr>
        </w:div>
        <w:div w:id="713430712">
          <w:marLeft w:val="0"/>
          <w:marRight w:val="0"/>
          <w:marTop w:val="0"/>
          <w:marBottom w:val="0"/>
          <w:divBdr>
            <w:top w:val="none" w:sz="0" w:space="0" w:color="auto"/>
            <w:left w:val="none" w:sz="0" w:space="0" w:color="auto"/>
            <w:bottom w:val="none" w:sz="0" w:space="0" w:color="auto"/>
            <w:right w:val="none" w:sz="0" w:space="0" w:color="auto"/>
          </w:divBdr>
        </w:div>
      </w:divsChild>
    </w:div>
    <w:div w:id="909390903">
      <w:bodyDiv w:val="1"/>
      <w:marLeft w:val="0"/>
      <w:marRight w:val="0"/>
      <w:marTop w:val="0"/>
      <w:marBottom w:val="0"/>
      <w:divBdr>
        <w:top w:val="none" w:sz="0" w:space="0" w:color="auto"/>
        <w:left w:val="none" w:sz="0" w:space="0" w:color="auto"/>
        <w:bottom w:val="none" w:sz="0" w:space="0" w:color="auto"/>
        <w:right w:val="none" w:sz="0" w:space="0" w:color="auto"/>
      </w:divBdr>
      <w:divsChild>
        <w:div w:id="968586269">
          <w:marLeft w:val="0"/>
          <w:marRight w:val="0"/>
          <w:marTop w:val="0"/>
          <w:marBottom w:val="0"/>
          <w:divBdr>
            <w:top w:val="none" w:sz="0" w:space="0" w:color="auto"/>
            <w:left w:val="none" w:sz="0" w:space="0" w:color="auto"/>
            <w:bottom w:val="none" w:sz="0" w:space="0" w:color="auto"/>
            <w:right w:val="none" w:sz="0" w:space="0" w:color="auto"/>
          </w:divBdr>
        </w:div>
      </w:divsChild>
    </w:div>
    <w:div w:id="909998244">
      <w:bodyDiv w:val="1"/>
      <w:marLeft w:val="0"/>
      <w:marRight w:val="0"/>
      <w:marTop w:val="0"/>
      <w:marBottom w:val="0"/>
      <w:divBdr>
        <w:top w:val="none" w:sz="0" w:space="0" w:color="auto"/>
        <w:left w:val="none" w:sz="0" w:space="0" w:color="auto"/>
        <w:bottom w:val="none" w:sz="0" w:space="0" w:color="auto"/>
        <w:right w:val="none" w:sz="0" w:space="0" w:color="auto"/>
      </w:divBdr>
      <w:divsChild>
        <w:div w:id="697658794">
          <w:marLeft w:val="0"/>
          <w:marRight w:val="0"/>
          <w:marTop w:val="0"/>
          <w:marBottom w:val="0"/>
          <w:divBdr>
            <w:top w:val="none" w:sz="0" w:space="0" w:color="auto"/>
            <w:left w:val="none" w:sz="0" w:space="0" w:color="auto"/>
            <w:bottom w:val="none" w:sz="0" w:space="0" w:color="auto"/>
            <w:right w:val="none" w:sz="0" w:space="0" w:color="auto"/>
          </w:divBdr>
        </w:div>
      </w:divsChild>
    </w:div>
    <w:div w:id="913205495">
      <w:bodyDiv w:val="1"/>
      <w:marLeft w:val="0"/>
      <w:marRight w:val="0"/>
      <w:marTop w:val="0"/>
      <w:marBottom w:val="0"/>
      <w:divBdr>
        <w:top w:val="none" w:sz="0" w:space="0" w:color="auto"/>
        <w:left w:val="none" w:sz="0" w:space="0" w:color="auto"/>
        <w:bottom w:val="none" w:sz="0" w:space="0" w:color="auto"/>
        <w:right w:val="none" w:sz="0" w:space="0" w:color="auto"/>
      </w:divBdr>
      <w:divsChild>
        <w:div w:id="1827353154">
          <w:marLeft w:val="0"/>
          <w:marRight w:val="0"/>
          <w:marTop w:val="0"/>
          <w:marBottom w:val="0"/>
          <w:divBdr>
            <w:top w:val="none" w:sz="0" w:space="0" w:color="auto"/>
            <w:left w:val="none" w:sz="0" w:space="0" w:color="auto"/>
            <w:bottom w:val="none" w:sz="0" w:space="0" w:color="auto"/>
            <w:right w:val="none" w:sz="0" w:space="0" w:color="auto"/>
          </w:divBdr>
        </w:div>
      </w:divsChild>
    </w:div>
    <w:div w:id="917130766">
      <w:bodyDiv w:val="1"/>
      <w:marLeft w:val="0"/>
      <w:marRight w:val="0"/>
      <w:marTop w:val="0"/>
      <w:marBottom w:val="0"/>
      <w:divBdr>
        <w:top w:val="none" w:sz="0" w:space="0" w:color="auto"/>
        <w:left w:val="none" w:sz="0" w:space="0" w:color="auto"/>
        <w:bottom w:val="none" w:sz="0" w:space="0" w:color="auto"/>
        <w:right w:val="none" w:sz="0" w:space="0" w:color="auto"/>
      </w:divBdr>
      <w:divsChild>
        <w:div w:id="1772821474">
          <w:marLeft w:val="0"/>
          <w:marRight w:val="0"/>
          <w:marTop w:val="0"/>
          <w:marBottom w:val="0"/>
          <w:divBdr>
            <w:top w:val="none" w:sz="0" w:space="0" w:color="auto"/>
            <w:left w:val="none" w:sz="0" w:space="0" w:color="auto"/>
            <w:bottom w:val="none" w:sz="0" w:space="0" w:color="auto"/>
            <w:right w:val="none" w:sz="0" w:space="0" w:color="auto"/>
          </w:divBdr>
        </w:div>
      </w:divsChild>
    </w:div>
    <w:div w:id="937517470">
      <w:bodyDiv w:val="1"/>
      <w:marLeft w:val="0"/>
      <w:marRight w:val="0"/>
      <w:marTop w:val="0"/>
      <w:marBottom w:val="0"/>
      <w:divBdr>
        <w:top w:val="none" w:sz="0" w:space="0" w:color="auto"/>
        <w:left w:val="none" w:sz="0" w:space="0" w:color="auto"/>
        <w:bottom w:val="none" w:sz="0" w:space="0" w:color="auto"/>
        <w:right w:val="none" w:sz="0" w:space="0" w:color="auto"/>
      </w:divBdr>
      <w:divsChild>
        <w:div w:id="1950234312">
          <w:marLeft w:val="0"/>
          <w:marRight w:val="0"/>
          <w:marTop w:val="0"/>
          <w:marBottom w:val="0"/>
          <w:divBdr>
            <w:top w:val="none" w:sz="0" w:space="0" w:color="auto"/>
            <w:left w:val="none" w:sz="0" w:space="0" w:color="auto"/>
            <w:bottom w:val="none" w:sz="0" w:space="0" w:color="auto"/>
            <w:right w:val="none" w:sz="0" w:space="0" w:color="auto"/>
          </w:divBdr>
        </w:div>
      </w:divsChild>
    </w:div>
    <w:div w:id="942417999">
      <w:bodyDiv w:val="1"/>
      <w:marLeft w:val="0"/>
      <w:marRight w:val="0"/>
      <w:marTop w:val="0"/>
      <w:marBottom w:val="0"/>
      <w:divBdr>
        <w:top w:val="none" w:sz="0" w:space="0" w:color="auto"/>
        <w:left w:val="none" w:sz="0" w:space="0" w:color="auto"/>
        <w:bottom w:val="none" w:sz="0" w:space="0" w:color="auto"/>
        <w:right w:val="none" w:sz="0" w:space="0" w:color="auto"/>
      </w:divBdr>
      <w:divsChild>
        <w:div w:id="488134994">
          <w:marLeft w:val="0"/>
          <w:marRight w:val="0"/>
          <w:marTop w:val="0"/>
          <w:marBottom w:val="0"/>
          <w:divBdr>
            <w:top w:val="none" w:sz="0" w:space="0" w:color="auto"/>
            <w:left w:val="none" w:sz="0" w:space="0" w:color="auto"/>
            <w:bottom w:val="none" w:sz="0" w:space="0" w:color="auto"/>
            <w:right w:val="none" w:sz="0" w:space="0" w:color="auto"/>
          </w:divBdr>
        </w:div>
      </w:divsChild>
    </w:div>
    <w:div w:id="947010357">
      <w:bodyDiv w:val="1"/>
      <w:marLeft w:val="0"/>
      <w:marRight w:val="0"/>
      <w:marTop w:val="0"/>
      <w:marBottom w:val="0"/>
      <w:divBdr>
        <w:top w:val="none" w:sz="0" w:space="0" w:color="auto"/>
        <w:left w:val="none" w:sz="0" w:space="0" w:color="auto"/>
        <w:bottom w:val="none" w:sz="0" w:space="0" w:color="auto"/>
        <w:right w:val="none" w:sz="0" w:space="0" w:color="auto"/>
      </w:divBdr>
    </w:div>
    <w:div w:id="970206556">
      <w:bodyDiv w:val="1"/>
      <w:marLeft w:val="0"/>
      <w:marRight w:val="0"/>
      <w:marTop w:val="0"/>
      <w:marBottom w:val="0"/>
      <w:divBdr>
        <w:top w:val="none" w:sz="0" w:space="0" w:color="auto"/>
        <w:left w:val="none" w:sz="0" w:space="0" w:color="auto"/>
        <w:bottom w:val="none" w:sz="0" w:space="0" w:color="auto"/>
        <w:right w:val="none" w:sz="0" w:space="0" w:color="auto"/>
      </w:divBdr>
      <w:divsChild>
        <w:div w:id="810632929">
          <w:marLeft w:val="0"/>
          <w:marRight w:val="0"/>
          <w:marTop w:val="0"/>
          <w:marBottom w:val="0"/>
          <w:divBdr>
            <w:top w:val="none" w:sz="0" w:space="0" w:color="auto"/>
            <w:left w:val="none" w:sz="0" w:space="0" w:color="auto"/>
            <w:bottom w:val="none" w:sz="0" w:space="0" w:color="auto"/>
            <w:right w:val="none" w:sz="0" w:space="0" w:color="auto"/>
          </w:divBdr>
        </w:div>
      </w:divsChild>
    </w:div>
    <w:div w:id="975916079">
      <w:bodyDiv w:val="1"/>
      <w:marLeft w:val="0"/>
      <w:marRight w:val="0"/>
      <w:marTop w:val="0"/>
      <w:marBottom w:val="0"/>
      <w:divBdr>
        <w:top w:val="none" w:sz="0" w:space="0" w:color="auto"/>
        <w:left w:val="none" w:sz="0" w:space="0" w:color="auto"/>
        <w:bottom w:val="none" w:sz="0" w:space="0" w:color="auto"/>
        <w:right w:val="none" w:sz="0" w:space="0" w:color="auto"/>
      </w:divBdr>
      <w:divsChild>
        <w:div w:id="1103375204">
          <w:marLeft w:val="0"/>
          <w:marRight w:val="0"/>
          <w:marTop w:val="0"/>
          <w:marBottom w:val="0"/>
          <w:divBdr>
            <w:top w:val="none" w:sz="0" w:space="0" w:color="auto"/>
            <w:left w:val="none" w:sz="0" w:space="0" w:color="auto"/>
            <w:bottom w:val="none" w:sz="0" w:space="0" w:color="auto"/>
            <w:right w:val="none" w:sz="0" w:space="0" w:color="auto"/>
          </w:divBdr>
        </w:div>
      </w:divsChild>
    </w:div>
    <w:div w:id="987173892">
      <w:bodyDiv w:val="1"/>
      <w:marLeft w:val="0"/>
      <w:marRight w:val="0"/>
      <w:marTop w:val="0"/>
      <w:marBottom w:val="0"/>
      <w:divBdr>
        <w:top w:val="none" w:sz="0" w:space="0" w:color="auto"/>
        <w:left w:val="none" w:sz="0" w:space="0" w:color="auto"/>
        <w:bottom w:val="none" w:sz="0" w:space="0" w:color="auto"/>
        <w:right w:val="none" w:sz="0" w:space="0" w:color="auto"/>
      </w:divBdr>
      <w:divsChild>
        <w:div w:id="686640622">
          <w:marLeft w:val="0"/>
          <w:marRight w:val="0"/>
          <w:marTop w:val="0"/>
          <w:marBottom w:val="0"/>
          <w:divBdr>
            <w:top w:val="none" w:sz="0" w:space="0" w:color="auto"/>
            <w:left w:val="none" w:sz="0" w:space="0" w:color="auto"/>
            <w:bottom w:val="none" w:sz="0" w:space="0" w:color="auto"/>
            <w:right w:val="none" w:sz="0" w:space="0" w:color="auto"/>
          </w:divBdr>
        </w:div>
      </w:divsChild>
    </w:div>
    <w:div w:id="992639632">
      <w:bodyDiv w:val="1"/>
      <w:marLeft w:val="0"/>
      <w:marRight w:val="0"/>
      <w:marTop w:val="0"/>
      <w:marBottom w:val="0"/>
      <w:divBdr>
        <w:top w:val="none" w:sz="0" w:space="0" w:color="auto"/>
        <w:left w:val="none" w:sz="0" w:space="0" w:color="auto"/>
        <w:bottom w:val="none" w:sz="0" w:space="0" w:color="auto"/>
        <w:right w:val="none" w:sz="0" w:space="0" w:color="auto"/>
      </w:divBdr>
      <w:divsChild>
        <w:div w:id="234515228">
          <w:marLeft w:val="0"/>
          <w:marRight w:val="0"/>
          <w:marTop w:val="0"/>
          <w:marBottom w:val="0"/>
          <w:divBdr>
            <w:top w:val="none" w:sz="0" w:space="0" w:color="auto"/>
            <w:left w:val="none" w:sz="0" w:space="0" w:color="auto"/>
            <w:bottom w:val="none" w:sz="0" w:space="0" w:color="auto"/>
            <w:right w:val="none" w:sz="0" w:space="0" w:color="auto"/>
          </w:divBdr>
        </w:div>
      </w:divsChild>
    </w:div>
    <w:div w:id="996568239">
      <w:bodyDiv w:val="1"/>
      <w:marLeft w:val="0"/>
      <w:marRight w:val="0"/>
      <w:marTop w:val="0"/>
      <w:marBottom w:val="0"/>
      <w:divBdr>
        <w:top w:val="none" w:sz="0" w:space="0" w:color="auto"/>
        <w:left w:val="none" w:sz="0" w:space="0" w:color="auto"/>
        <w:bottom w:val="none" w:sz="0" w:space="0" w:color="auto"/>
        <w:right w:val="none" w:sz="0" w:space="0" w:color="auto"/>
      </w:divBdr>
      <w:divsChild>
        <w:div w:id="538707152">
          <w:marLeft w:val="0"/>
          <w:marRight w:val="0"/>
          <w:marTop w:val="0"/>
          <w:marBottom w:val="0"/>
          <w:divBdr>
            <w:top w:val="none" w:sz="0" w:space="0" w:color="auto"/>
            <w:left w:val="none" w:sz="0" w:space="0" w:color="auto"/>
            <w:bottom w:val="none" w:sz="0" w:space="0" w:color="auto"/>
            <w:right w:val="none" w:sz="0" w:space="0" w:color="auto"/>
          </w:divBdr>
        </w:div>
      </w:divsChild>
    </w:div>
    <w:div w:id="1010376370">
      <w:bodyDiv w:val="1"/>
      <w:marLeft w:val="0"/>
      <w:marRight w:val="0"/>
      <w:marTop w:val="0"/>
      <w:marBottom w:val="0"/>
      <w:divBdr>
        <w:top w:val="none" w:sz="0" w:space="0" w:color="auto"/>
        <w:left w:val="none" w:sz="0" w:space="0" w:color="auto"/>
        <w:bottom w:val="none" w:sz="0" w:space="0" w:color="auto"/>
        <w:right w:val="none" w:sz="0" w:space="0" w:color="auto"/>
      </w:divBdr>
    </w:div>
    <w:div w:id="1010644977">
      <w:bodyDiv w:val="1"/>
      <w:marLeft w:val="0"/>
      <w:marRight w:val="0"/>
      <w:marTop w:val="0"/>
      <w:marBottom w:val="0"/>
      <w:divBdr>
        <w:top w:val="none" w:sz="0" w:space="0" w:color="auto"/>
        <w:left w:val="none" w:sz="0" w:space="0" w:color="auto"/>
        <w:bottom w:val="none" w:sz="0" w:space="0" w:color="auto"/>
        <w:right w:val="none" w:sz="0" w:space="0" w:color="auto"/>
      </w:divBdr>
    </w:div>
    <w:div w:id="1025984783">
      <w:bodyDiv w:val="1"/>
      <w:marLeft w:val="0"/>
      <w:marRight w:val="0"/>
      <w:marTop w:val="0"/>
      <w:marBottom w:val="0"/>
      <w:divBdr>
        <w:top w:val="none" w:sz="0" w:space="0" w:color="auto"/>
        <w:left w:val="none" w:sz="0" w:space="0" w:color="auto"/>
        <w:bottom w:val="none" w:sz="0" w:space="0" w:color="auto"/>
        <w:right w:val="none" w:sz="0" w:space="0" w:color="auto"/>
      </w:divBdr>
      <w:divsChild>
        <w:div w:id="451486464">
          <w:marLeft w:val="0"/>
          <w:marRight w:val="0"/>
          <w:marTop w:val="0"/>
          <w:marBottom w:val="0"/>
          <w:divBdr>
            <w:top w:val="none" w:sz="0" w:space="0" w:color="auto"/>
            <w:left w:val="none" w:sz="0" w:space="0" w:color="auto"/>
            <w:bottom w:val="none" w:sz="0" w:space="0" w:color="auto"/>
            <w:right w:val="none" w:sz="0" w:space="0" w:color="auto"/>
          </w:divBdr>
        </w:div>
      </w:divsChild>
    </w:div>
    <w:div w:id="1040084236">
      <w:bodyDiv w:val="1"/>
      <w:marLeft w:val="0"/>
      <w:marRight w:val="0"/>
      <w:marTop w:val="0"/>
      <w:marBottom w:val="0"/>
      <w:divBdr>
        <w:top w:val="none" w:sz="0" w:space="0" w:color="auto"/>
        <w:left w:val="none" w:sz="0" w:space="0" w:color="auto"/>
        <w:bottom w:val="none" w:sz="0" w:space="0" w:color="auto"/>
        <w:right w:val="none" w:sz="0" w:space="0" w:color="auto"/>
      </w:divBdr>
      <w:divsChild>
        <w:div w:id="1306619083">
          <w:marLeft w:val="0"/>
          <w:marRight w:val="0"/>
          <w:marTop w:val="0"/>
          <w:marBottom w:val="0"/>
          <w:divBdr>
            <w:top w:val="none" w:sz="0" w:space="0" w:color="auto"/>
            <w:left w:val="none" w:sz="0" w:space="0" w:color="auto"/>
            <w:bottom w:val="none" w:sz="0" w:space="0" w:color="auto"/>
            <w:right w:val="none" w:sz="0" w:space="0" w:color="auto"/>
          </w:divBdr>
        </w:div>
      </w:divsChild>
    </w:div>
    <w:div w:id="1043864319">
      <w:bodyDiv w:val="1"/>
      <w:marLeft w:val="0"/>
      <w:marRight w:val="0"/>
      <w:marTop w:val="0"/>
      <w:marBottom w:val="0"/>
      <w:divBdr>
        <w:top w:val="none" w:sz="0" w:space="0" w:color="auto"/>
        <w:left w:val="none" w:sz="0" w:space="0" w:color="auto"/>
        <w:bottom w:val="none" w:sz="0" w:space="0" w:color="auto"/>
        <w:right w:val="none" w:sz="0" w:space="0" w:color="auto"/>
      </w:divBdr>
      <w:divsChild>
        <w:div w:id="1967083917">
          <w:marLeft w:val="0"/>
          <w:marRight w:val="0"/>
          <w:marTop w:val="0"/>
          <w:marBottom w:val="0"/>
          <w:divBdr>
            <w:top w:val="none" w:sz="0" w:space="0" w:color="auto"/>
            <w:left w:val="none" w:sz="0" w:space="0" w:color="auto"/>
            <w:bottom w:val="none" w:sz="0" w:space="0" w:color="auto"/>
            <w:right w:val="none" w:sz="0" w:space="0" w:color="auto"/>
          </w:divBdr>
        </w:div>
      </w:divsChild>
    </w:div>
    <w:div w:id="1055932994">
      <w:bodyDiv w:val="1"/>
      <w:marLeft w:val="0"/>
      <w:marRight w:val="0"/>
      <w:marTop w:val="0"/>
      <w:marBottom w:val="0"/>
      <w:divBdr>
        <w:top w:val="none" w:sz="0" w:space="0" w:color="auto"/>
        <w:left w:val="none" w:sz="0" w:space="0" w:color="auto"/>
        <w:bottom w:val="none" w:sz="0" w:space="0" w:color="auto"/>
        <w:right w:val="none" w:sz="0" w:space="0" w:color="auto"/>
      </w:divBdr>
    </w:div>
    <w:div w:id="1064836605">
      <w:bodyDiv w:val="1"/>
      <w:marLeft w:val="0"/>
      <w:marRight w:val="0"/>
      <w:marTop w:val="0"/>
      <w:marBottom w:val="0"/>
      <w:divBdr>
        <w:top w:val="none" w:sz="0" w:space="0" w:color="auto"/>
        <w:left w:val="none" w:sz="0" w:space="0" w:color="auto"/>
        <w:bottom w:val="none" w:sz="0" w:space="0" w:color="auto"/>
        <w:right w:val="none" w:sz="0" w:space="0" w:color="auto"/>
      </w:divBdr>
      <w:divsChild>
        <w:div w:id="1025328912">
          <w:marLeft w:val="0"/>
          <w:marRight w:val="0"/>
          <w:marTop w:val="0"/>
          <w:marBottom w:val="0"/>
          <w:divBdr>
            <w:top w:val="none" w:sz="0" w:space="0" w:color="auto"/>
            <w:left w:val="none" w:sz="0" w:space="0" w:color="auto"/>
            <w:bottom w:val="none" w:sz="0" w:space="0" w:color="auto"/>
            <w:right w:val="none" w:sz="0" w:space="0" w:color="auto"/>
          </w:divBdr>
        </w:div>
      </w:divsChild>
    </w:div>
    <w:div w:id="1065954344">
      <w:bodyDiv w:val="1"/>
      <w:marLeft w:val="0"/>
      <w:marRight w:val="0"/>
      <w:marTop w:val="0"/>
      <w:marBottom w:val="0"/>
      <w:divBdr>
        <w:top w:val="none" w:sz="0" w:space="0" w:color="auto"/>
        <w:left w:val="none" w:sz="0" w:space="0" w:color="auto"/>
        <w:bottom w:val="none" w:sz="0" w:space="0" w:color="auto"/>
        <w:right w:val="none" w:sz="0" w:space="0" w:color="auto"/>
      </w:divBdr>
      <w:divsChild>
        <w:div w:id="1423070746">
          <w:marLeft w:val="0"/>
          <w:marRight w:val="0"/>
          <w:marTop w:val="0"/>
          <w:marBottom w:val="0"/>
          <w:divBdr>
            <w:top w:val="none" w:sz="0" w:space="0" w:color="auto"/>
            <w:left w:val="none" w:sz="0" w:space="0" w:color="auto"/>
            <w:bottom w:val="none" w:sz="0" w:space="0" w:color="auto"/>
            <w:right w:val="none" w:sz="0" w:space="0" w:color="auto"/>
          </w:divBdr>
        </w:div>
      </w:divsChild>
    </w:div>
    <w:div w:id="1070300849">
      <w:bodyDiv w:val="1"/>
      <w:marLeft w:val="0"/>
      <w:marRight w:val="0"/>
      <w:marTop w:val="0"/>
      <w:marBottom w:val="0"/>
      <w:divBdr>
        <w:top w:val="none" w:sz="0" w:space="0" w:color="auto"/>
        <w:left w:val="none" w:sz="0" w:space="0" w:color="auto"/>
        <w:bottom w:val="none" w:sz="0" w:space="0" w:color="auto"/>
        <w:right w:val="none" w:sz="0" w:space="0" w:color="auto"/>
      </w:divBdr>
      <w:divsChild>
        <w:div w:id="32506158">
          <w:marLeft w:val="0"/>
          <w:marRight w:val="0"/>
          <w:marTop w:val="0"/>
          <w:marBottom w:val="0"/>
          <w:divBdr>
            <w:top w:val="none" w:sz="0" w:space="0" w:color="auto"/>
            <w:left w:val="none" w:sz="0" w:space="0" w:color="auto"/>
            <w:bottom w:val="none" w:sz="0" w:space="0" w:color="auto"/>
            <w:right w:val="none" w:sz="0" w:space="0" w:color="auto"/>
          </w:divBdr>
        </w:div>
      </w:divsChild>
    </w:div>
    <w:div w:id="1075905359">
      <w:bodyDiv w:val="1"/>
      <w:marLeft w:val="0"/>
      <w:marRight w:val="0"/>
      <w:marTop w:val="0"/>
      <w:marBottom w:val="0"/>
      <w:divBdr>
        <w:top w:val="none" w:sz="0" w:space="0" w:color="auto"/>
        <w:left w:val="none" w:sz="0" w:space="0" w:color="auto"/>
        <w:bottom w:val="none" w:sz="0" w:space="0" w:color="auto"/>
        <w:right w:val="none" w:sz="0" w:space="0" w:color="auto"/>
      </w:divBdr>
      <w:divsChild>
        <w:div w:id="1821919666">
          <w:marLeft w:val="0"/>
          <w:marRight w:val="0"/>
          <w:marTop w:val="0"/>
          <w:marBottom w:val="0"/>
          <w:divBdr>
            <w:top w:val="none" w:sz="0" w:space="0" w:color="auto"/>
            <w:left w:val="none" w:sz="0" w:space="0" w:color="auto"/>
            <w:bottom w:val="none" w:sz="0" w:space="0" w:color="auto"/>
            <w:right w:val="none" w:sz="0" w:space="0" w:color="auto"/>
          </w:divBdr>
        </w:div>
      </w:divsChild>
    </w:div>
    <w:div w:id="1077091915">
      <w:bodyDiv w:val="1"/>
      <w:marLeft w:val="0"/>
      <w:marRight w:val="0"/>
      <w:marTop w:val="0"/>
      <w:marBottom w:val="0"/>
      <w:divBdr>
        <w:top w:val="none" w:sz="0" w:space="0" w:color="auto"/>
        <w:left w:val="none" w:sz="0" w:space="0" w:color="auto"/>
        <w:bottom w:val="none" w:sz="0" w:space="0" w:color="auto"/>
        <w:right w:val="none" w:sz="0" w:space="0" w:color="auto"/>
      </w:divBdr>
      <w:divsChild>
        <w:div w:id="751202050">
          <w:marLeft w:val="0"/>
          <w:marRight w:val="0"/>
          <w:marTop w:val="0"/>
          <w:marBottom w:val="0"/>
          <w:divBdr>
            <w:top w:val="none" w:sz="0" w:space="0" w:color="auto"/>
            <w:left w:val="none" w:sz="0" w:space="0" w:color="auto"/>
            <w:bottom w:val="none" w:sz="0" w:space="0" w:color="auto"/>
            <w:right w:val="none" w:sz="0" w:space="0" w:color="auto"/>
          </w:divBdr>
        </w:div>
      </w:divsChild>
    </w:div>
    <w:div w:id="1086148174">
      <w:bodyDiv w:val="1"/>
      <w:marLeft w:val="0"/>
      <w:marRight w:val="0"/>
      <w:marTop w:val="0"/>
      <w:marBottom w:val="0"/>
      <w:divBdr>
        <w:top w:val="none" w:sz="0" w:space="0" w:color="auto"/>
        <w:left w:val="none" w:sz="0" w:space="0" w:color="auto"/>
        <w:bottom w:val="none" w:sz="0" w:space="0" w:color="auto"/>
        <w:right w:val="none" w:sz="0" w:space="0" w:color="auto"/>
      </w:divBdr>
      <w:divsChild>
        <w:div w:id="1422023935">
          <w:marLeft w:val="0"/>
          <w:marRight w:val="0"/>
          <w:marTop w:val="0"/>
          <w:marBottom w:val="0"/>
          <w:divBdr>
            <w:top w:val="none" w:sz="0" w:space="0" w:color="auto"/>
            <w:left w:val="none" w:sz="0" w:space="0" w:color="auto"/>
            <w:bottom w:val="none" w:sz="0" w:space="0" w:color="auto"/>
            <w:right w:val="none" w:sz="0" w:space="0" w:color="auto"/>
          </w:divBdr>
        </w:div>
      </w:divsChild>
    </w:div>
    <w:div w:id="1086536546">
      <w:bodyDiv w:val="1"/>
      <w:marLeft w:val="0"/>
      <w:marRight w:val="0"/>
      <w:marTop w:val="0"/>
      <w:marBottom w:val="0"/>
      <w:divBdr>
        <w:top w:val="none" w:sz="0" w:space="0" w:color="auto"/>
        <w:left w:val="none" w:sz="0" w:space="0" w:color="auto"/>
        <w:bottom w:val="none" w:sz="0" w:space="0" w:color="auto"/>
        <w:right w:val="none" w:sz="0" w:space="0" w:color="auto"/>
      </w:divBdr>
      <w:divsChild>
        <w:div w:id="1303460516">
          <w:marLeft w:val="0"/>
          <w:marRight w:val="0"/>
          <w:marTop w:val="0"/>
          <w:marBottom w:val="0"/>
          <w:divBdr>
            <w:top w:val="none" w:sz="0" w:space="0" w:color="auto"/>
            <w:left w:val="none" w:sz="0" w:space="0" w:color="auto"/>
            <w:bottom w:val="none" w:sz="0" w:space="0" w:color="auto"/>
            <w:right w:val="none" w:sz="0" w:space="0" w:color="auto"/>
          </w:divBdr>
        </w:div>
      </w:divsChild>
    </w:div>
    <w:div w:id="1095856770">
      <w:bodyDiv w:val="1"/>
      <w:marLeft w:val="0"/>
      <w:marRight w:val="0"/>
      <w:marTop w:val="0"/>
      <w:marBottom w:val="0"/>
      <w:divBdr>
        <w:top w:val="none" w:sz="0" w:space="0" w:color="auto"/>
        <w:left w:val="none" w:sz="0" w:space="0" w:color="auto"/>
        <w:bottom w:val="none" w:sz="0" w:space="0" w:color="auto"/>
        <w:right w:val="none" w:sz="0" w:space="0" w:color="auto"/>
      </w:divBdr>
      <w:divsChild>
        <w:div w:id="394789503">
          <w:marLeft w:val="0"/>
          <w:marRight w:val="0"/>
          <w:marTop w:val="0"/>
          <w:marBottom w:val="0"/>
          <w:divBdr>
            <w:top w:val="none" w:sz="0" w:space="0" w:color="auto"/>
            <w:left w:val="none" w:sz="0" w:space="0" w:color="auto"/>
            <w:bottom w:val="none" w:sz="0" w:space="0" w:color="auto"/>
            <w:right w:val="none" w:sz="0" w:space="0" w:color="auto"/>
          </w:divBdr>
        </w:div>
      </w:divsChild>
    </w:div>
    <w:div w:id="1104425211">
      <w:bodyDiv w:val="1"/>
      <w:marLeft w:val="0"/>
      <w:marRight w:val="0"/>
      <w:marTop w:val="0"/>
      <w:marBottom w:val="0"/>
      <w:divBdr>
        <w:top w:val="none" w:sz="0" w:space="0" w:color="auto"/>
        <w:left w:val="none" w:sz="0" w:space="0" w:color="auto"/>
        <w:bottom w:val="none" w:sz="0" w:space="0" w:color="auto"/>
        <w:right w:val="none" w:sz="0" w:space="0" w:color="auto"/>
      </w:divBdr>
      <w:divsChild>
        <w:div w:id="87313525">
          <w:marLeft w:val="0"/>
          <w:marRight w:val="0"/>
          <w:marTop w:val="0"/>
          <w:marBottom w:val="0"/>
          <w:divBdr>
            <w:top w:val="none" w:sz="0" w:space="0" w:color="auto"/>
            <w:left w:val="none" w:sz="0" w:space="0" w:color="auto"/>
            <w:bottom w:val="none" w:sz="0" w:space="0" w:color="auto"/>
            <w:right w:val="none" w:sz="0" w:space="0" w:color="auto"/>
          </w:divBdr>
        </w:div>
      </w:divsChild>
    </w:div>
    <w:div w:id="1105884257">
      <w:bodyDiv w:val="1"/>
      <w:marLeft w:val="0"/>
      <w:marRight w:val="0"/>
      <w:marTop w:val="0"/>
      <w:marBottom w:val="0"/>
      <w:divBdr>
        <w:top w:val="none" w:sz="0" w:space="0" w:color="auto"/>
        <w:left w:val="none" w:sz="0" w:space="0" w:color="auto"/>
        <w:bottom w:val="none" w:sz="0" w:space="0" w:color="auto"/>
        <w:right w:val="none" w:sz="0" w:space="0" w:color="auto"/>
      </w:divBdr>
      <w:divsChild>
        <w:div w:id="388455812">
          <w:marLeft w:val="0"/>
          <w:marRight w:val="0"/>
          <w:marTop w:val="0"/>
          <w:marBottom w:val="0"/>
          <w:divBdr>
            <w:top w:val="none" w:sz="0" w:space="0" w:color="auto"/>
            <w:left w:val="none" w:sz="0" w:space="0" w:color="auto"/>
            <w:bottom w:val="none" w:sz="0" w:space="0" w:color="auto"/>
            <w:right w:val="none" w:sz="0" w:space="0" w:color="auto"/>
          </w:divBdr>
        </w:div>
      </w:divsChild>
    </w:div>
    <w:div w:id="1108695103">
      <w:bodyDiv w:val="1"/>
      <w:marLeft w:val="0"/>
      <w:marRight w:val="0"/>
      <w:marTop w:val="0"/>
      <w:marBottom w:val="0"/>
      <w:divBdr>
        <w:top w:val="none" w:sz="0" w:space="0" w:color="auto"/>
        <w:left w:val="none" w:sz="0" w:space="0" w:color="auto"/>
        <w:bottom w:val="none" w:sz="0" w:space="0" w:color="auto"/>
        <w:right w:val="none" w:sz="0" w:space="0" w:color="auto"/>
      </w:divBdr>
      <w:divsChild>
        <w:div w:id="392851716">
          <w:marLeft w:val="0"/>
          <w:marRight w:val="0"/>
          <w:marTop w:val="0"/>
          <w:marBottom w:val="0"/>
          <w:divBdr>
            <w:top w:val="none" w:sz="0" w:space="0" w:color="auto"/>
            <w:left w:val="none" w:sz="0" w:space="0" w:color="auto"/>
            <w:bottom w:val="none" w:sz="0" w:space="0" w:color="auto"/>
            <w:right w:val="none" w:sz="0" w:space="0" w:color="auto"/>
          </w:divBdr>
        </w:div>
      </w:divsChild>
    </w:div>
    <w:div w:id="1116758890">
      <w:bodyDiv w:val="1"/>
      <w:marLeft w:val="0"/>
      <w:marRight w:val="0"/>
      <w:marTop w:val="0"/>
      <w:marBottom w:val="0"/>
      <w:divBdr>
        <w:top w:val="none" w:sz="0" w:space="0" w:color="auto"/>
        <w:left w:val="none" w:sz="0" w:space="0" w:color="auto"/>
        <w:bottom w:val="none" w:sz="0" w:space="0" w:color="auto"/>
        <w:right w:val="none" w:sz="0" w:space="0" w:color="auto"/>
      </w:divBdr>
      <w:divsChild>
        <w:div w:id="2036228978">
          <w:marLeft w:val="0"/>
          <w:marRight w:val="0"/>
          <w:marTop w:val="0"/>
          <w:marBottom w:val="0"/>
          <w:divBdr>
            <w:top w:val="none" w:sz="0" w:space="0" w:color="auto"/>
            <w:left w:val="none" w:sz="0" w:space="0" w:color="auto"/>
            <w:bottom w:val="none" w:sz="0" w:space="0" w:color="auto"/>
            <w:right w:val="none" w:sz="0" w:space="0" w:color="auto"/>
          </w:divBdr>
        </w:div>
      </w:divsChild>
    </w:div>
    <w:div w:id="1127045147">
      <w:bodyDiv w:val="1"/>
      <w:marLeft w:val="0"/>
      <w:marRight w:val="0"/>
      <w:marTop w:val="0"/>
      <w:marBottom w:val="0"/>
      <w:divBdr>
        <w:top w:val="none" w:sz="0" w:space="0" w:color="auto"/>
        <w:left w:val="none" w:sz="0" w:space="0" w:color="auto"/>
        <w:bottom w:val="none" w:sz="0" w:space="0" w:color="auto"/>
        <w:right w:val="none" w:sz="0" w:space="0" w:color="auto"/>
      </w:divBdr>
      <w:divsChild>
        <w:div w:id="1141070059">
          <w:marLeft w:val="0"/>
          <w:marRight w:val="0"/>
          <w:marTop w:val="0"/>
          <w:marBottom w:val="0"/>
          <w:divBdr>
            <w:top w:val="none" w:sz="0" w:space="0" w:color="auto"/>
            <w:left w:val="none" w:sz="0" w:space="0" w:color="auto"/>
            <w:bottom w:val="none" w:sz="0" w:space="0" w:color="auto"/>
            <w:right w:val="none" w:sz="0" w:space="0" w:color="auto"/>
          </w:divBdr>
        </w:div>
      </w:divsChild>
    </w:div>
    <w:div w:id="1130594265">
      <w:bodyDiv w:val="1"/>
      <w:marLeft w:val="0"/>
      <w:marRight w:val="0"/>
      <w:marTop w:val="0"/>
      <w:marBottom w:val="0"/>
      <w:divBdr>
        <w:top w:val="none" w:sz="0" w:space="0" w:color="auto"/>
        <w:left w:val="none" w:sz="0" w:space="0" w:color="auto"/>
        <w:bottom w:val="none" w:sz="0" w:space="0" w:color="auto"/>
        <w:right w:val="none" w:sz="0" w:space="0" w:color="auto"/>
      </w:divBdr>
      <w:divsChild>
        <w:div w:id="1325545000">
          <w:marLeft w:val="0"/>
          <w:marRight w:val="0"/>
          <w:marTop w:val="0"/>
          <w:marBottom w:val="0"/>
          <w:divBdr>
            <w:top w:val="none" w:sz="0" w:space="0" w:color="auto"/>
            <w:left w:val="none" w:sz="0" w:space="0" w:color="auto"/>
            <w:bottom w:val="none" w:sz="0" w:space="0" w:color="auto"/>
            <w:right w:val="none" w:sz="0" w:space="0" w:color="auto"/>
          </w:divBdr>
        </w:div>
      </w:divsChild>
    </w:div>
    <w:div w:id="1147090810">
      <w:bodyDiv w:val="1"/>
      <w:marLeft w:val="0"/>
      <w:marRight w:val="0"/>
      <w:marTop w:val="0"/>
      <w:marBottom w:val="0"/>
      <w:divBdr>
        <w:top w:val="none" w:sz="0" w:space="0" w:color="auto"/>
        <w:left w:val="none" w:sz="0" w:space="0" w:color="auto"/>
        <w:bottom w:val="none" w:sz="0" w:space="0" w:color="auto"/>
        <w:right w:val="none" w:sz="0" w:space="0" w:color="auto"/>
      </w:divBdr>
      <w:divsChild>
        <w:div w:id="526601550">
          <w:marLeft w:val="0"/>
          <w:marRight w:val="0"/>
          <w:marTop w:val="0"/>
          <w:marBottom w:val="0"/>
          <w:divBdr>
            <w:top w:val="none" w:sz="0" w:space="0" w:color="auto"/>
            <w:left w:val="none" w:sz="0" w:space="0" w:color="auto"/>
            <w:bottom w:val="none" w:sz="0" w:space="0" w:color="auto"/>
            <w:right w:val="none" w:sz="0" w:space="0" w:color="auto"/>
          </w:divBdr>
        </w:div>
      </w:divsChild>
    </w:div>
    <w:div w:id="1169178952">
      <w:bodyDiv w:val="1"/>
      <w:marLeft w:val="0"/>
      <w:marRight w:val="0"/>
      <w:marTop w:val="0"/>
      <w:marBottom w:val="0"/>
      <w:divBdr>
        <w:top w:val="none" w:sz="0" w:space="0" w:color="auto"/>
        <w:left w:val="none" w:sz="0" w:space="0" w:color="auto"/>
        <w:bottom w:val="none" w:sz="0" w:space="0" w:color="auto"/>
        <w:right w:val="none" w:sz="0" w:space="0" w:color="auto"/>
      </w:divBdr>
      <w:divsChild>
        <w:div w:id="114451531">
          <w:marLeft w:val="0"/>
          <w:marRight w:val="0"/>
          <w:marTop w:val="0"/>
          <w:marBottom w:val="0"/>
          <w:divBdr>
            <w:top w:val="none" w:sz="0" w:space="0" w:color="auto"/>
            <w:left w:val="none" w:sz="0" w:space="0" w:color="auto"/>
            <w:bottom w:val="none" w:sz="0" w:space="0" w:color="auto"/>
            <w:right w:val="none" w:sz="0" w:space="0" w:color="auto"/>
          </w:divBdr>
        </w:div>
      </w:divsChild>
    </w:div>
    <w:div w:id="1181891162">
      <w:bodyDiv w:val="1"/>
      <w:marLeft w:val="0"/>
      <w:marRight w:val="0"/>
      <w:marTop w:val="0"/>
      <w:marBottom w:val="0"/>
      <w:divBdr>
        <w:top w:val="none" w:sz="0" w:space="0" w:color="auto"/>
        <w:left w:val="none" w:sz="0" w:space="0" w:color="auto"/>
        <w:bottom w:val="none" w:sz="0" w:space="0" w:color="auto"/>
        <w:right w:val="none" w:sz="0" w:space="0" w:color="auto"/>
      </w:divBdr>
      <w:divsChild>
        <w:div w:id="419563596">
          <w:marLeft w:val="0"/>
          <w:marRight w:val="0"/>
          <w:marTop w:val="0"/>
          <w:marBottom w:val="0"/>
          <w:divBdr>
            <w:top w:val="none" w:sz="0" w:space="0" w:color="auto"/>
            <w:left w:val="none" w:sz="0" w:space="0" w:color="auto"/>
            <w:bottom w:val="none" w:sz="0" w:space="0" w:color="auto"/>
            <w:right w:val="none" w:sz="0" w:space="0" w:color="auto"/>
          </w:divBdr>
        </w:div>
      </w:divsChild>
    </w:div>
    <w:div w:id="1190800691">
      <w:bodyDiv w:val="1"/>
      <w:marLeft w:val="0"/>
      <w:marRight w:val="0"/>
      <w:marTop w:val="0"/>
      <w:marBottom w:val="0"/>
      <w:divBdr>
        <w:top w:val="none" w:sz="0" w:space="0" w:color="auto"/>
        <w:left w:val="none" w:sz="0" w:space="0" w:color="auto"/>
        <w:bottom w:val="none" w:sz="0" w:space="0" w:color="auto"/>
        <w:right w:val="none" w:sz="0" w:space="0" w:color="auto"/>
      </w:divBdr>
      <w:divsChild>
        <w:div w:id="1138912032">
          <w:marLeft w:val="0"/>
          <w:marRight w:val="0"/>
          <w:marTop w:val="0"/>
          <w:marBottom w:val="0"/>
          <w:divBdr>
            <w:top w:val="none" w:sz="0" w:space="0" w:color="auto"/>
            <w:left w:val="none" w:sz="0" w:space="0" w:color="auto"/>
            <w:bottom w:val="none" w:sz="0" w:space="0" w:color="auto"/>
            <w:right w:val="none" w:sz="0" w:space="0" w:color="auto"/>
          </w:divBdr>
        </w:div>
      </w:divsChild>
    </w:div>
    <w:div w:id="1199393709">
      <w:bodyDiv w:val="1"/>
      <w:marLeft w:val="0"/>
      <w:marRight w:val="0"/>
      <w:marTop w:val="0"/>
      <w:marBottom w:val="0"/>
      <w:divBdr>
        <w:top w:val="none" w:sz="0" w:space="0" w:color="auto"/>
        <w:left w:val="none" w:sz="0" w:space="0" w:color="auto"/>
        <w:bottom w:val="none" w:sz="0" w:space="0" w:color="auto"/>
        <w:right w:val="none" w:sz="0" w:space="0" w:color="auto"/>
      </w:divBdr>
      <w:divsChild>
        <w:div w:id="26028173">
          <w:marLeft w:val="0"/>
          <w:marRight w:val="0"/>
          <w:marTop w:val="0"/>
          <w:marBottom w:val="0"/>
          <w:divBdr>
            <w:top w:val="none" w:sz="0" w:space="0" w:color="auto"/>
            <w:left w:val="none" w:sz="0" w:space="0" w:color="auto"/>
            <w:bottom w:val="none" w:sz="0" w:space="0" w:color="auto"/>
            <w:right w:val="none" w:sz="0" w:space="0" w:color="auto"/>
          </w:divBdr>
        </w:div>
      </w:divsChild>
    </w:div>
    <w:div w:id="1220674325">
      <w:bodyDiv w:val="1"/>
      <w:marLeft w:val="0"/>
      <w:marRight w:val="0"/>
      <w:marTop w:val="0"/>
      <w:marBottom w:val="0"/>
      <w:divBdr>
        <w:top w:val="none" w:sz="0" w:space="0" w:color="auto"/>
        <w:left w:val="none" w:sz="0" w:space="0" w:color="auto"/>
        <w:bottom w:val="none" w:sz="0" w:space="0" w:color="auto"/>
        <w:right w:val="none" w:sz="0" w:space="0" w:color="auto"/>
      </w:divBdr>
      <w:divsChild>
        <w:div w:id="1932156906">
          <w:marLeft w:val="0"/>
          <w:marRight w:val="0"/>
          <w:marTop w:val="0"/>
          <w:marBottom w:val="0"/>
          <w:divBdr>
            <w:top w:val="none" w:sz="0" w:space="0" w:color="auto"/>
            <w:left w:val="none" w:sz="0" w:space="0" w:color="auto"/>
            <w:bottom w:val="none" w:sz="0" w:space="0" w:color="auto"/>
            <w:right w:val="none" w:sz="0" w:space="0" w:color="auto"/>
          </w:divBdr>
        </w:div>
      </w:divsChild>
    </w:div>
    <w:div w:id="1232275031">
      <w:bodyDiv w:val="1"/>
      <w:marLeft w:val="0"/>
      <w:marRight w:val="0"/>
      <w:marTop w:val="0"/>
      <w:marBottom w:val="0"/>
      <w:divBdr>
        <w:top w:val="none" w:sz="0" w:space="0" w:color="auto"/>
        <w:left w:val="none" w:sz="0" w:space="0" w:color="auto"/>
        <w:bottom w:val="none" w:sz="0" w:space="0" w:color="auto"/>
        <w:right w:val="none" w:sz="0" w:space="0" w:color="auto"/>
      </w:divBdr>
      <w:divsChild>
        <w:div w:id="1477378720">
          <w:marLeft w:val="0"/>
          <w:marRight w:val="0"/>
          <w:marTop w:val="0"/>
          <w:marBottom w:val="0"/>
          <w:divBdr>
            <w:top w:val="none" w:sz="0" w:space="0" w:color="auto"/>
            <w:left w:val="none" w:sz="0" w:space="0" w:color="auto"/>
            <w:bottom w:val="none" w:sz="0" w:space="0" w:color="auto"/>
            <w:right w:val="none" w:sz="0" w:space="0" w:color="auto"/>
          </w:divBdr>
        </w:div>
      </w:divsChild>
    </w:div>
    <w:div w:id="1235508691">
      <w:bodyDiv w:val="1"/>
      <w:marLeft w:val="0"/>
      <w:marRight w:val="0"/>
      <w:marTop w:val="0"/>
      <w:marBottom w:val="0"/>
      <w:divBdr>
        <w:top w:val="none" w:sz="0" w:space="0" w:color="auto"/>
        <w:left w:val="none" w:sz="0" w:space="0" w:color="auto"/>
        <w:bottom w:val="none" w:sz="0" w:space="0" w:color="auto"/>
        <w:right w:val="none" w:sz="0" w:space="0" w:color="auto"/>
      </w:divBdr>
      <w:divsChild>
        <w:div w:id="1877158673">
          <w:marLeft w:val="0"/>
          <w:marRight w:val="0"/>
          <w:marTop w:val="0"/>
          <w:marBottom w:val="0"/>
          <w:divBdr>
            <w:top w:val="none" w:sz="0" w:space="0" w:color="auto"/>
            <w:left w:val="none" w:sz="0" w:space="0" w:color="auto"/>
            <w:bottom w:val="none" w:sz="0" w:space="0" w:color="auto"/>
            <w:right w:val="none" w:sz="0" w:space="0" w:color="auto"/>
          </w:divBdr>
        </w:div>
      </w:divsChild>
    </w:div>
    <w:div w:id="1249651838">
      <w:bodyDiv w:val="1"/>
      <w:marLeft w:val="0"/>
      <w:marRight w:val="0"/>
      <w:marTop w:val="0"/>
      <w:marBottom w:val="0"/>
      <w:divBdr>
        <w:top w:val="none" w:sz="0" w:space="0" w:color="auto"/>
        <w:left w:val="none" w:sz="0" w:space="0" w:color="auto"/>
        <w:bottom w:val="none" w:sz="0" w:space="0" w:color="auto"/>
        <w:right w:val="none" w:sz="0" w:space="0" w:color="auto"/>
      </w:divBdr>
      <w:divsChild>
        <w:div w:id="95906959">
          <w:marLeft w:val="0"/>
          <w:marRight w:val="0"/>
          <w:marTop w:val="0"/>
          <w:marBottom w:val="0"/>
          <w:divBdr>
            <w:top w:val="none" w:sz="0" w:space="0" w:color="auto"/>
            <w:left w:val="none" w:sz="0" w:space="0" w:color="auto"/>
            <w:bottom w:val="none" w:sz="0" w:space="0" w:color="auto"/>
            <w:right w:val="none" w:sz="0" w:space="0" w:color="auto"/>
          </w:divBdr>
        </w:div>
      </w:divsChild>
    </w:div>
    <w:div w:id="1252616389">
      <w:bodyDiv w:val="1"/>
      <w:marLeft w:val="0"/>
      <w:marRight w:val="0"/>
      <w:marTop w:val="0"/>
      <w:marBottom w:val="0"/>
      <w:divBdr>
        <w:top w:val="none" w:sz="0" w:space="0" w:color="auto"/>
        <w:left w:val="none" w:sz="0" w:space="0" w:color="auto"/>
        <w:bottom w:val="none" w:sz="0" w:space="0" w:color="auto"/>
        <w:right w:val="none" w:sz="0" w:space="0" w:color="auto"/>
      </w:divBdr>
      <w:divsChild>
        <w:div w:id="245842527">
          <w:marLeft w:val="0"/>
          <w:marRight w:val="0"/>
          <w:marTop w:val="0"/>
          <w:marBottom w:val="0"/>
          <w:divBdr>
            <w:top w:val="none" w:sz="0" w:space="0" w:color="auto"/>
            <w:left w:val="none" w:sz="0" w:space="0" w:color="auto"/>
            <w:bottom w:val="none" w:sz="0" w:space="0" w:color="auto"/>
            <w:right w:val="none" w:sz="0" w:space="0" w:color="auto"/>
          </w:divBdr>
        </w:div>
      </w:divsChild>
    </w:div>
    <w:div w:id="1266764492">
      <w:bodyDiv w:val="1"/>
      <w:marLeft w:val="0"/>
      <w:marRight w:val="0"/>
      <w:marTop w:val="0"/>
      <w:marBottom w:val="0"/>
      <w:divBdr>
        <w:top w:val="none" w:sz="0" w:space="0" w:color="auto"/>
        <w:left w:val="none" w:sz="0" w:space="0" w:color="auto"/>
        <w:bottom w:val="none" w:sz="0" w:space="0" w:color="auto"/>
        <w:right w:val="none" w:sz="0" w:space="0" w:color="auto"/>
      </w:divBdr>
      <w:divsChild>
        <w:div w:id="683170287">
          <w:marLeft w:val="0"/>
          <w:marRight w:val="0"/>
          <w:marTop w:val="0"/>
          <w:marBottom w:val="0"/>
          <w:divBdr>
            <w:top w:val="none" w:sz="0" w:space="0" w:color="auto"/>
            <w:left w:val="none" w:sz="0" w:space="0" w:color="auto"/>
            <w:bottom w:val="none" w:sz="0" w:space="0" w:color="auto"/>
            <w:right w:val="none" w:sz="0" w:space="0" w:color="auto"/>
          </w:divBdr>
        </w:div>
      </w:divsChild>
    </w:div>
    <w:div w:id="1269967773">
      <w:bodyDiv w:val="1"/>
      <w:marLeft w:val="0"/>
      <w:marRight w:val="0"/>
      <w:marTop w:val="0"/>
      <w:marBottom w:val="0"/>
      <w:divBdr>
        <w:top w:val="none" w:sz="0" w:space="0" w:color="auto"/>
        <w:left w:val="none" w:sz="0" w:space="0" w:color="auto"/>
        <w:bottom w:val="none" w:sz="0" w:space="0" w:color="auto"/>
        <w:right w:val="none" w:sz="0" w:space="0" w:color="auto"/>
      </w:divBdr>
    </w:div>
    <w:div w:id="1272008135">
      <w:bodyDiv w:val="1"/>
      <w:marLeft w:val="0"/>
      <w:marRight w:val="0"/>
      <w:marTop w:val="0"/>
      <w:marBottom w:val="0"/>
      <w:divBdr>
        <w:top w:val="none" w:sz="0" w:space="0" w:color="auto"/>
        <w:left w:val="none" w:sz="0" w:space="0" w:color="auto"/>
        <w:bottom w:val="none" w:sz="0" w:space="0" w:color="auto"/>
        <w:right w:val="none" w:sz="0" w:space="0" w:color="auto"/>
      </w:divBdr>
      <w:divsChild>
        <w:div w:id="786237262">
          <w:marLeft w:val="0"/>
          <w:marRight w:val="0"/>
          <w:marTop w:val="0"/>
          <w:marBottom w:val="0"/>
          <w:divBdr>
            <w:top w:val="none" w:sz="0" w:space="0" w:color="auto"/>
            <w:left w:val="none" w:sz="0" w:space="0" w:color="auto"/>
            <w:bottom w:val="none" w:sz="0" w:space="0" w:color="auto"/>
            <w:right w:val="none" w:sz="0" w:space="0" w:color="auto"/>
          </w:divBdr>
        </w:div>
        <w:div w:id="2107993190">
          <w:marLeft w:val="0"/>
          <w:marRight w:val="0"/>
          <w:marTop w:val="0"/>
          <w:marBottom w:val="0"/>
          <w:divBdr>
            <w:top w:val="none" w:sz="0" w:space="0" w:color="auto"/>
            <w:left w:val="none" w:sz="0" w:space="0" w:color="auto"/>
            <w:bottom w:val="none" w:sz="0" w:space="0" w:color="auto"/>
            <w:right w:val="none" w:sz="0" w:space="0" w:color="auto"/>
          </w:divBdr>
        </w:div>
      </w:divsChild>
    </w:div>
    <w:div w:id="1276330661">
      <w:bodyDiv w:val="1"/>
      <w:marLeft w:val="0"/>
      <w:marRight w:val="0"/>
      <w:marTop w:val="0"/>
      <w:marBottom w:val="0"/>
      <w:divBdr>
        <w:top w:val="none" w:sz="0" w:space="0" w:color="auto"/>
        <w:left w:val="none" w:sz="0" w:space="0" w:color="auto"/>
        <w:bottom w:val="none" w:sz="0" w:space="0" w:color="auto"/>
        <w:right w:val="none" w:sz="0" w:space="0" w:color="auto"/>
      </w:divBdr>
      <w:divsChild>
        <w:div w:id="2050109088">
          <w:marLeft w:val="0"/>
          <w:marRight w:val="0"/>
          <w:marTop w:val="0"/>
          <w:marBottom w:val="0"/>
          <w:divBdr>
            <w:top w:val="none" w:sz="0" w:space="0" w:color="auto"/>
            <w:left w:val="none" w:sz="0" w:space="0" w:color="auto"/>
            <w:bottom w:val="none" w:sz="0" w:space="0" w:color="auto"/>
            <w:right w:val="none" w:sz="0" w:space="0" w:color="auto"/>
          </w:divBdr>
        </w:div>
      </w:divsChild>
    </w:div>
    <w:div w:id="1277370036">
      <w:bodyDiv w:val="1"/>
      <w:marLeft w:val="0"/>
      <w:marRight w:val="0"/>
      <w:marTop w:val="0"/>
      <w:marBottom w:val="0"/>
      <w:divBdr>
        <w:top w:val="none" w:sz="0" w:space="0" w:color="auto"/>
        <w:left w:val="none" w:sz="0" w:space="0" w:color="auto"/>
        <w:bottom w:val="none" w:sz="0" w:space="0" w:color="auto"/>
        <w:right w:val="none" w:sz="0" w:space="0" w:color="auto"/>
      </w:divBdr>
      <w:divsChild>
        <w:div w:id="1978603140">
          <w:marLeft w:val="0"/>
          <w:marRight w:val="0"/>
          <w:marTop w:val="0"/>
          <w:marBottom w:val="0"/>
          <w:divBdr>
            <w:top w:val="none" w:sz="0" w:space="0" w:color="auto"/>
            <w:left w:val="none" w:sz="0" w:space="0" w:color="auto"/>
            <w:bottom w:val="none" w:sz="0" w:space="0" w:color="auto"/>
            <w:right w:val="none" w:sz="0" w:space="0" w:color="auto"/>
          </w:divBdr>
        </w:div>
      </w:divsChild>
    </w:div>
    <w:div w:id="1278947030">
      <w:bodyDiv w:val="1"/>
      <w:marLeft w:val="0"/>
      <w:marRight w:val="0"/>
      <w:marTop w:val="0"/>
      <w:marBottom w:val="0"/>
      <w:divBdr>
        <w:top w:val="none" w:sz="0" w:space="0" w:color="auto"/>
        <w:left w:val="none" w:sz="0" w:space="0" w:color="auto"/>
        <w:bottom w:val="none" w:sz="0" w:space="0" w:color="auto"/>
        <w:right w:val="none" w:sz="0" w:space="0" w:color="auto"/>
      </w:divBdr>
      <w:divsChild>
        <w:div w:id="1292441497">
          <w:marLeft w:val="0"/>
          <w:marRight w:val="0"/>
          <w:marTop w:val="0"/>
          <w:marBottom w:val="0"/>
          <w:divBdr>
            <w:top w:val="none" w:sz="0" w:space="0" w:color="auto"/>
            <w:left w:val="none" w:sz="0" w:space="0" w:color="auto"/>
            <w:bottom w:val="none" w:sz="0" w:space="0" w:color="auto"/>
            <w:right w:val="none" w:sz="0" w:space="0" w:color="auto"/>
          </w:divBdr>
        </w:div>
      </w:divsChild>
    </w:div>
    <w:div w:id="1285576469">
      <w:bodyDiv w:val="1"/>
      <w:marLeft w:val="0"/>
      <w:marRight w:val="0"/>
      <w:marTop w:val="0"/>
      <w:marBottom w:val="0"/>
      <w:divBdr>
        <w:top w:val="none" w:sz="0" w:space="0" w:color="auto"/>
        <w:left w:val="none" w:sz="0" w:space="0" w:color="auto"/>
        <w:bottom w:val="none" w:sz="0" w:space="0" w:color="auto"/>
        <w:right w:val="none" w:sz="0" w:space="0" w:color="auto"/>
      </w:divBdr>
      <w:divsChild>
        <w:div w:id="1077944478">
          <w:marLeft w:val="0"/>
          <w:marRight w:val="0"/>
          <w:marTop w:val="0"/>
          <w:marBottom w:val="0"/>
          <w:divBdr>
            <w:top w:val="none" w:sz="0" w:space="0" w:color="auto"/>
            <w:left w:val="none" w:sz="0" w:space="0" w:color="auto"/>
            <w:bottom w:val="none" w:sz="0" w:space="0" w:color="auto"/>
            <w:right w:val="none" w:sz="0" w:space="0" w:color="auto"/>
          </w:divBdr>
        </w:div>
      </w:divsChild>
    </w:div>
    <w:div w:id="1285891125">
      <w:bodyDiv w:val="1"/>
      <w:marLeft w:val="0"/>
      <w:marRight w:val="0"/>
      <w:marTop w:val="0"/>
      <w:marBottom w:val="0"/>
      <w:divBdr>
        <w:top w:val="none" w:sz="0" w:space="0" w:color="auto"/>
        <w:left w:val="none" w:sz="0" w:space="0" w:color="auto"/>
        <w:bottom w:val="none" w:sz="0" w:space="0" w:color="auto"/>
        <w:right w:val="none" w:sz="0" w:space="0" w:color="auto"/>
      </w:divBdr>
    </w:div>
    <w:div w:id="1293438785">
      <w:bodyDiv w:val="1"/>
      <w:marLeft w:val="0"/>
      <w:marRight w:val="0"/>
      <w:marTop w:val="0"/>
      <w:marBottom w:val="0"/>
      <w:divBdr>
        <w:top w:val="none" w:sz="0" w:space="0" w:color="auto"/>
        <w:left w:val="none" w:sz="0" w:space="0" w:color="auto"/>
        <w:bottom w:val="none" w:sz="0" w:space="0" w:color="auto"/>
        <w:right w:val="none" w:sz="0" w:space="0" w:color="auto"/>
      </w:divBdr>
      <w:divsChild>
        <w:div w:id="1008827523">
          <w:marLeft w:val="0"/>
          <w:marRight w:val="0"/>
          <w:marTop w:val="0"/>
          <w:marBottom w:val="0"/>
          <w:divBdr>
            <w:top w:val="none" w:sz="0" w:space="0" w:color="auto"/>
            <w:left w:val="none" w:sz="0" w:space="0" w:color="auto"/>
            <w:bottom w:val="none" w:sz="0" w:space="0" w:color="auto"/>
            <w:right w:val="none" w:sz="0" w:space="0" w:color="auto"/>
          </w:divBdr>
        </w:div>
      </w:divsChild>
    </w:div>
    <w:div w:id="1296833063">
      <w:bodyDiv w:val="1"/>
      <w:marLeft w:val="0"/>
      <w:marRight w:val="0"/>
      <w:marTop w:val="0"/>
      <w:marBottom w:val="0"/>
      <w:divBdr>
        <w:top w:val="none" w:sz="0" w:space="0" w:color="auto"/>
        <w:left w:val="none" w:sz="0" w:space="0" w:color="auto"/>
        <w:bottom w:val="none" w:sz="0" w:space="0" w:color="auto"/>
        <w:right w:val="none" w:sz="0" w:space="0" w:color="auto"/>
      </w:divBdr>
      <w:divsChild>
        <w:div w:id="2003704022">
          <w:marLeft w:val="0"/>
          <w:marRight w:val="0"/>
          <w:marTop w:val="0"/>
          <w:marBottom w:val="0"/>
          <w:divBdr>
            <w:top w:val="none" w:sz="0" w:space="0" w:color="auto"/>
            <w:left w:val="none" w:sz="0" w:space="0" w:color="auto"/>
            <w:bottom w:val="none" w:sz="0" w:space="0" w:color="auto"/>
            <w:right w:val="none" w:sz="0" w:space="0" w:color="auto"/>
          </w:divBdr>
        </w:div>
      </w:divsChild>
    </w:div>
    <w:div w:id="1300568956">
      <w:bodyDiv w:val="1"/>
      <w:marLeft w:val="0"/>
      <w:marRight w:val="0"/>
      <w:marTop w:val="0"/>
      <w:marBottom w:val="0"/>
      <w:divBdr>
        <w:top w:val="none" w:sz="0" w:space="0" w:color="auto"/>
        <w:left w:val="none" w:sz="0" w:space="0" w:color="auto"/>
        <w:bottom w:val="none" w:sz="0" w:space="0" w:color="auto"/>
        <w:right w:val="none" w:sz="0" w:space="0" w:color="auto"/>
      </w:divBdr>
      <w:divsChild>
        <w:div w:id="614141381">
          <w:marLeft w:val="0"/>
          <w:marRight w:val="0"/>
          <w:marTop w:val="0"/>
          <w:marBottom w:val="0"/>
          <w:divBdr>
            <w:top w:val="none" w:sz="0" w:space="0" w:color="auto"/>
            <w:left w:val="none" w:sz="0" w:space="0" w:color="auto"/>
            <w:bottom w:val="none" w:sz="0" w:space="0" w:color="auto"/>
            <w:right w:val="none" w:sz="0" w:space="0" w:color="auto"/>
          </w:divBdr>
        </w:div>
      </w:divsChild>
    </w:div>
    <w:div w:id="1303317013">
      <w:bodyDiv w:val="1"/>
      <w:marLeft w:val="0"/>
      <w:marRight w:val="0"/>
      <w:marTop w:val="0"/>
      <w:marBottom w:val="0"/>
      <w:divBdr>
        <w:top w:val="none" w:sz="0" w:space="0" w:color="auto"/>
        <w:left w:val="none" w:sz="0" w:space="0" w:color="auto"/>
        <w:bottom w:val="none" w:sz="0" w:space="0" w:color="auto"/>
        <w:right w:val="none" w:sz="0" w:space="0" w:color="auto"/>
      </w:divBdr>
      <w:divsChild>
        <w:div w:id="1407916623">
          <w:marLeft w:val="0"/>
          <w:marRight w:val="0"/>
          <w:marTop w:val="0"/>
          <w:marBottom w:val="0"/>
          <w:divBdr>
            <w:top w:val="none" w:sz="0" w:space="0" w:color="auto"/>
            <w:left w:val="none" w:sz="0" w:space="0" w:color="auto"/>
            <w:bottom w:val="none" w:sz="0" w:space="0" w:color="auto"/>
            <w:right w:val="none" w:sz="0" w:space="0" w:color="auto"/>
          </w:divBdr>
        </w:div>
      </w:divsChild>
    </w:div>
    <w:div w:id="1308361126">
      <w:bodyDiv w:val="1"/>
      <w:marLeft w:val="0"/>
      <w:marRight w:val="0"/>
      <w:marTop w:val="0"/>
      <w:marBottom w:val="0"/>
      <w:divBdr>
        <w:top w:val="none" w:sz="0" w:space="0" w:color="auto"/>
        <w:left w:val="none" w:sz="0" w:space="0" w:color="auto"/>
        <w:bottom w:val="none" w:sz="0" w:space="0" w:color="auto"/>
        <w:right w:val="none" w:sz="0" w:space="0" w:color="auto"/>
      </w:divBdr>
      <w:divsChild>
        <w:div w:id="1910966812">
          <w:marLeft w:val="0"/>
          <w:marRight w:val="0"/>
          <w:marTop w:val="0"/>
          <w:marBottom w:val="0"/>
          <w:divBdr>
            <w:top w:val="none" w:sz="0" w:space="0" w:color="auto"/>
            <w:left w:val="none" w:sz="0" w:space="0" w:color="auto"/>
            <w:bottom w:val="none" w:sz="0" w:space="0" w:color="auto"/>
            <w:right w:val="none" w:sz="0" w:space="0" w:color="auto"/>
          </w:divBdr>
        </w:div>
      </w:divsChild>
    </w:div>
    <w:div w:id="1311981129">
      <w:bodyDiv w:val="1"/>
      <w:marLeft w:val="0"/>
      <w:marRight w:val="0"/>
      <w:marTop w:val="0"/>
      <w:marBottom w:val="0"/>
      <w:divBdr>
        <w:top w:val="none" w:sz="0" w:space="0" w:color="auto"/>
        <w:left w:val="none" w:sz="0" w:space="0" w:color="auto"/>
        <w:bottom w:val="none" w:sz="0" w:space="0" w:color="auto"/>
        <w:right w:val="none" w:sz="0" w:space="0" w:color="auto"/>
      </w:divBdr>
      <w:divsChild>
        <w:div w:id="1056775996">
          <w:marLeft w:val="0"/>
          <w:marRight w:val="0"/>
          <w:marTop w:val="0"/>
          <w:marBottom w:val="0"/>
          <w:divBdr>
            <w:top w:val="none" w:sz="0" w:space="0" w:color="auto"/>
            <w:left w:val="none" w:sz="0" w:space="0" w:color="auto"/>
            <w:bottom w:val="none" w:sz="0" w:space="0" w:color="auto"/>
            <w:right w:val="none" w:sz="0" w:space="0" w:color="auto"/>
          </w:divBdr>
        </w:div>
      </w:divsChild>
    </w:div>
    <w:div w:id="1327249355">
      <w:bodyDiv w:val="1"/>
      <w:marLeft w:val="0"/>
      <w:marRight w:val="0"/>
      <w:marTop w:val="0"/>
      <w:marBottom w:val="0"/>
      <w:divBdr>
        <w:top w:val="none" w:sz="0" w:space="0" w:color="auto"/>
        <w:left w:val="none" w:sz="0" w:space="0" w:color="auto"/>
        <w:bottom w:val="none" w:sz="0" w:space="0" w:color="auto"/>
        <w:right w:val="none" w:sz="0" w:space="0" w:color="auto"/>
      </w:divBdr>
      <w:divsChild>
        <w:div w:id="1107232267">
          <w:marLeft w:val="0"/>
          <w:marRight w:val="0"/>
          <w:marTop w:val="0"/>
          <w:marBottom w:val="0"/>
          <w:divBdr>
            <w:top w:val="none" w:sz="0" w:space="0" w:color="auto"/>
            <w:left w:val="none" w:sz="0" w:space="0" w:color="auto"/>
            <w:bottom w:val="none" w:sz="0" w:space="0" w:color="auto"/>
            <w:right w:val="none" w:sz="0" w:space="0" w:color="auto"/>
          </w:divBdr>
        </w:div>
      </w:divsChild>
    </w:div>
    <w:div w:id="1338459347">
      <w:bodyDiv w:val="1"/>
      <w:marLeft w:val="0"/>
      <w:marRight w:val="0"/>
      <w:marTop w:val="0"/>
      <w:marBottom w:val="0"/>
      <w:divBdr>
        <w:top w:val="none" w:sz="0" w:space="0" w:color="auto"/>
        <w:left w:val="none" w:sz="0" w:space="0" w:color="auto"/>
        <w:bottom w:val="none" w:sz="0" w:space="0" w:color="auto"/>
        <w:right w:val="none" w:sz="0" w:space="0" w:color="auto"/>
      </w:divBdr>
      <w:divsChild>
        <w:div w:id="215050086">
          <w:marLeft w:val="0"/>
          <w:marRight w:val="0"/>
          <w:marTop w:val="0"/>
          <w:marBottom w:val="0"/>
          <w:divBdr>
            <w:top w:val="none" w:sz="0" w:space="0" w:color="auto"/>
            <w:left w:val="none" w:sz="0" w:space="0" w:color="auto"/>
            <w:bottom w:val="none" w:sz="0" w:space="0" w:color="auto"/>
            <w:right w:val="none" w:sz="0" w:space="0" w:color="auto"/>
          </w:divBdr>
        </w:div>
      </w:divsChild>
    </w:div>
    <w:div w:id="1342125130">
      <w:bodyDiv w:val="1"/>
      <w:marLeft w:val="0"/>
      <w:marRight w:val="0"/>
      <w:marTop w:val="0"/>
      <w:marBottom w:val="0"/>
      <w:divBdr>
        <w:top w:val="none" w:sz="0" w:space="0" w:color="auto"/>
        <w:left w:val="none" w:sz="0" w:space="0" w:color="auto"/>
        <w:bottom w:val="none" w:sz="0" w:space="0" w:color="auto"/>
        <w:right w:val="none" w:sz="0" w:space="0" w:color="auto"/>
      </w:divBdr>
      <w:divsChild>
        <w:div w:id="728576976">
          <w:marLeft w:val="0"/>
          <w:marRight w:val="0"/>
          <w:marTop w:val="0"/>
          <w:marBottom w:val="0"/>
          <w:divBdr>
            <w:top w:val="none" w:sz="0" w:space="0" w:color="auto"/>
            <w:left w:val="none" w:sz="0" w:space="0" w:color="auto"/>
            <w:bottom w:val="none" w:sz="0" w:space="0" w:color="auto"/>
            <w:right w:val="none" w:sz="0" w:space="0" w:color="auto"/>
          </w:divBdr>
        </w:div>
      </w:divsChild>
    </w:div>
    <w:div w:id="1343049681">
      <w:bodyDiv w:val="1"/>
      <w:marLeft w:val="0"/>
      <w:marRight w:val="0"/>
      <w:marTop w:val="0"/>
      <w:marBottom w:val="0"/>
      <w:divBdr>
        <w:top w:val="none" w:sz="0" w:space="0" w:color="auto"/>
        <w:left w:val="none" w:sz="0" w:space="0" w:color="auto"/>
        <w:bottom w:val="none" w:sz="0" w:space="0" w:color="auto"/>
        <w:right w:val="none" w:sz="0" w:space="0" w:color="auto"/>
      </w:divBdr>
    </w:div>
    <w:div w:id="1347172105">
      <w:bodyDiv w:val="1"/>
      <w:marLeft w:val="0"/>
      <w:marRight w:val="0"/>
      <w:marTop w:val="0"/>
      <w:marBottom w:val="0"/>
      <w:divBdr>
        <w:top w:val="none" w:sz="0" w:space="0" w:color="auto"/>
        <w:left w:val="none" w:sz="0" w:space="0" w:color="auto"/>
        <w:bottom w:val="none" w:sz="0" w:space="0" w:color="auto"/>
        <w:right w:val="none" w:sz="0" w:space="0" w:color="auto"/>
      </w:divBdr>
      <w:divsChild>
        <w:div w:id="128013810">
          <w:marLeft w:val="0"/>
          <w:marRight w:val="0"/>
          <w:marTop w:val="0"/>
          <w:marBottom w:val="0"/>
          <w:divBdr>
            <w:top w:val="none" w:sz="0" w:space="0" w:color="auto"/>
            <w:left w:val="none" w:sz="0" w:space="0" w:color="auto"/>
            <w:bottom w:val="none" w:sz="0" w:space="0" w:color="auto"/>
            <w:right w:val="none" w:sz="0" w:space="0" w:color="auto"/>
          </w:divBdr>
        </w:div>
      </w:divsChild>
    </w:div>
    <w:div w:id="1350180550">
      <w:bodyDiv w:val="1"/>
      <w:marLeft w:val="0"/>
      <w:marRight w:val="0"/>
      <w:marTop w:val="0"/>
      <w:marBottom w:val="0"/>
      <w:divBdr>
        <w:top w:val="none" w:sz="0" w:space="0" w:color="auto"/>
        <w:left w:val="none" w:sz="0" w:space="0" w:color="auto"/>
        <w:bottom w:val="none" w:sz="0" w:space="0" w:color="auto"/>
        <w:right w:val="none" w:sz="0" w:space="0" w:color="auto"/>
      </w:divBdr>
      <w:divsChild>
        <w:div w:id="769468254">
          <w:marLeft w:val="0"/>
          <w:marRight w:val="0"/>
          <w:marTop w:val="0"/>
          <w:marBottom w:val="0"/>
          <w:divBdr>
            <w:top w:val="none" w:sz="0" w:space="0" w:color="auto"/>
            <w:left w:val="none" w:sz="0" w:space="0" w:color="auto"/>
            <w:bottom w:val="none" w:sz="0" w:space="0" w:color="auto"/>
            <w:right w:val="none" w:sz="0" w:space="0" w:color="auto"/>
          </w:divBdr>
        </w:div>
      </w:divsChild>
    </w:div>
    <w:div w:id="1371808290">
      <w:bodyDiv w:val="1"/>
      <w:marLeft w:val="0"/>
      <w:marRight w:val="0"/>
      <w:marTop w:val="0"/>
      <w:marBottom w:val="0"/>
      <w:divBdr>
        <w:top w:val="none" w:sz="0" w:space="0" w:color="auto"/>
        <w:left w:val="none" w:sz="0" w:space="0" w:color="auto"/>
        <w:bottom w:val="none" w:sz="0" w:space="0" w:color="auto"/>
        <w:right w:val="none" w:sz="0" w:space="0" w:color="auto"/>
      </w:divBdr>
      <w:divsChild>
        <w:div w:id="596475555">
          <w:marLeft w:val="0"/>
          <w:marRight w:val="0"/>
          <w:marTop w:val="0"/>
          <w:marBottom w:val="0"/>
          <w:divBdr>
            <w:top w:val="none" w:sz="0" w:space="0" w:color="auto"/>
            <w:left w:val="none" w:sz="0" w:space="0" w:color="auto"/>
            <w:bottom w:val="none" w:sz="0" w:space="0" w:color="auto"/>
            <w:right w:val="none" w:sz="0" w:space="0" w:color="auto"/>
          </w:divBdr>
        </w:div>
      </w:divsChild>
    </w:div>
    <w:div w:id="1376348423">
      <w:bodyDiv w:val="1"/>
      <w:marLeft w:val="0"/>
      <w:marRight w:val="0"/>
      <w:marTop w:val="0"/>
      <w:marBottom w:val="0"/>
      <w:divBdr>
        <w:top w:val="none" w:sz="0" w:space="0" w:color="auto"/>
        <w:left w:val="none" w:sz="0" w:space="0" w:color="auto"/>
        <w:bottom w:val="none" w:sz="0" w:space="0" w:color="auto"/>
        <w:right w:val="none" w:sz="0" w:space="0" w:color="auto"/>
      </w:divBdr>
      <w:divsChild>
        <w:div w:id="613680991">
          <w:marLeft w:val="0"/>
          <w:marRight w:val="0"/>
          <w:marTop w:val="0"/>
          <w:marBottom w:val="0"/>
          <w:divBdr>
            <w:top w:val="none" w:sz="0" w:space="0" w:color="auto"/>
            <w:left w:val="none" w:sz="0" w:space="0" w:color="auto"/>
            <w:bottom w:val="none" w:sz="0" w:space="0" w:color="auto"/>
            <w:right w:val="none" w:sz="0" w:space="0" w:color="auto"/>
          </w:divBdr>
        </w:div>
      </w:divsChild>
    </w:div>
    <w:div w:id="1381326431">
      <w:bodyDiv w:val="1"/>
      <w:marLeft w:val="0"/>
      <w:marRight w:val="0"/>
      <w:marTop w:val="0"/>
      <w:marBottom w:val="0"/>
      <w:divBdr>
        <w:top w:val="none" w:sz="0" w:space="0" w:color="auto"/>
        <w:left w:val="none" w:sz="0" w:space="0" w:color="auto"/>
        <w:bottom w:val="none" w:sz="0" w:space="0" w:color="auto"/>
        <w:right w:val="none" w:sz="0" w:space="0" w:color="auto"/>
      </w:divBdr>
      <w:divsChild>
        <w:div w:id="217939946">
          <w:marLeft w:val="0"/>
          <w:marRight w:val="0"/>
          <w:marTop w:val="0"/>
          <w:marBottom w:val="0"/>
          <w:divBdr>
            <w:top w:val="none" w:sz="0" w:space="0" w:color="auto"/>
            <w:left w:val="none" w:sz="0" w:space="0" w:color="auto"/>
            <w:bottom w:val="none" w:sz="0" w:space="0" w:color="auto"/>
            <w:right w:val="none" w:sz="0" w:space="0" w:color="auto"/>
          </w:divBdr>
          <w:divsChild>
            <w:div w:id="1200825500">
              <w:marLeft w:val="0"/>
              <w:marRight w:val="0"/>
              <w:marTop w:val="0"/>
              <w:marBottom w:val="0"/>
              <w:divBdr>
                <w:top w:val="none" w:sz="0" w:space="0" w:color="auto"/>
                <w:left w:val="none" w:sz="0" w:space="0" w:color="auto"/>
                <w:bottom w:val="none" w:sz="0" w:space="0" w:color="auto"/>
                <w:right w:val="none" w:sz="0" w:space="0" w:color="auto"/>
              </w:divBdr>
            </w:div>
          </w:divsChild>
        </w:div>
        <w:div w:id="322054624">
          <w:marLeft w:val="0"/>
          <w:marRight w:val="0"/>
          <w:marTop w:val="0"/>
          <w:marBottom w:val="0"/>
          <w:divBdr>
            <w:top w:val="none" w:sz="0" w:space="0" w:color="auto"/>
            <w:left w:val="none" w:sz="0" w:space="0" w:color="auto"/>
            <w:bottom w:val="none" w:sz="0" w:space="0" w:color="auto"/>
            <w:right w:val="none" w:sz="0" w:space="0" w:color="auto"/>
          </w:divBdr>
          <w:divsChild>
            <w:div w:id="989017586">
              <w:marLeft w:val="0"/>
              <w:marRight w:val="0"/>
              <w:marTop w:val="0"/>
              <w:marBottom w:val="0"/>
              <w:divBdr>
                <w:top w:val="none" w:sz="0" w:space="0" w:color="auto"/>
                <w:left w:val="none" w:sz="0" w:space="0" w:color="auto"/>
                <w:bottom w:val="none" w:sz="0" w:space="0" w:color="auto"/>
                <w:right w:val="none" w:sz="0" w:space="0" w:color="auto"/>
              </w:divBdr>
            </w:div>
          </w:divsChild>
        </w:div>
        <w:div w:id="745883608">
          <w:marLeft w:val="0"/>
          <w:marRight w:val="0"/>
          <w:marTop w:val="0"/>
          <w:marBottom w:val="0"/>
          <w:divBdr>
            <w:top w:val="none" w:sz="0" w:space="0" w:color="auto"/>
            <w:left w:val="none" w:sz="0" w:space="0" w:color="auto"/>
            <w:bottom w:val="none" w:sz="0" w:space="0" w:color="auto"/>
            <w:right w:val="none" w:sz="0" w:space="0" w:color="auto"/>
          </w:divBdr>
          <w:divsChild>
            <w:div w:id="222958478">
              <w:marLeft w:val="0"/>
              <w:marRight w:val="0"/>
              <w:marTop w:val="0"/>
              <w:marBottom w:val="0"/>
              <w:divBdr>
                <w:top w:val="none" w:sz="0" w:space="0" w:color="auto"/>
                <w:left w:val="none" w:sz="0" w:space="0" w:color="auto"/>
                <w:bottom w:val="none" w:sz="0" w:space="0" w:color="auto"/>
                <w:right w:val="none" w:sz="0" w:space="0" w:color="auto"/>
              </w:divBdr>
            </w:div>
          </w:divsChild>
        </w:div>
        <w:div w:id="2118021319">
          <w:marLeft w:val="0"/>
          <w:marRight w:val="0"/>
          <w:marTop w:val="0"/>
          <w:marBottom w:val="0"/>
          <w:divBdr>
            <w:top w:val="none" w:sz="0" w:space="0" w:color="auto"/>
            <w:left w:val="none" w:sz="0" w:space="0" w:color="auto"/>
            <w:bottom w:val="none" w:sz="0" w:space="0" w:color="auto"/>
            <w:right w:val="none" w:sz="0" w:space="0" w:color="auto"/>
          </w:divBdr>
          <w:divsChild>
            <w:div w:id="1755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3235">
      <w:bodyDiv w:val="1"/>
      <w:marLeft w:val="0"/>
      <w:marRight w:val="0"/>
      <w:marTop w:val="0"/>
      <w:marBottom w:val="0"/>
      <w:divBdr>
        <w:top w:val="none" w:sz="0" w:space="0" w:color="auto"/>
        <w:left w:val="none" w:sz="0" w:space="0" w:color="auto"/>
        <w:bottom w:val="none" w:sz="0" w:space="0" w:color="auto"/>
        <w:right w:val="none" w:sz="0" w:space="0" w:color="auto"/>
      </w:divBdr>
      <w:divsChild>
        <w:div w:id="811557333">
          <w:marLeft w:val="0"/>
          <w:marRight w:val="0"/>
          <w:marTop w:val="0"/>
          <w:marBottom w:val="0"/>
          <w:divBdr>
            <w:top w:val="none" w:sz="0" w:space="0" w:color="auto"/>
            <w:left w:val="none" w:sz="0" w:space="0" w:color="auto"/>
            <w:bottom w:val="none" w:sz="0" w:space="0" w:color="auto"/>
            <w:right w:val="none" w:sz="0" w:space="0" w:color="auto"/>
          </w:divBdr>
        </w:div>
      </w:divsChild>
    </w:div>
    <w:div w:id="1384017517">
      <w:bodyDiv w:val="1"/>
      <w:marLeft w:val="0"/>
      <w:marRight w:val="0"/>
      <w:marTop w:val="0"/>
      <w:marBottom w:val="0"/>
      <w:divBdr>
        <w:top w:val="none" w:sz="0" w:space="0" w:color="auto"/>
        <w:left w:val="none" w:sz="0" w:space="0" w:color="auto"/>
        <w:bottom w:val="none" w:sz="0" w:space="0" w:color="auto"/>
        <w:right w:val="none" w:sz="0" w:space="0" w:color="auto"/>
      </w:divBdr>
      <w:divsChild>
        <w:div w:id="2021807419">
          <w:marLeft w:val="0"/>
          <w:marRight w:val="0"/>
          <w:marTop w:val="0"/>
          <w:marBottom w:val="0"/>
          <w:divBdr>
            <w:top w:val="none" w:sz="0" w:space="0" w:color="auto"/>
            <w:left w:val="none" w:sz="0" w:space="0" w:color="auto"/>
            <w:bottom w:val="none" w:sz="0" w:space="0" w:color="auto"/>
            <w:right w:val="none" w:sz="0" w:space="0" w:color="auto"/>
          </w:divBdr>
        </w:div>
      </w:divsChild>
    </w:div>
    <w:div w:id="1403873215">
      <w:bodyDiv w:val="1"/>
      <w:marLeft w:val="0"/>
      <w:marRight w:val="0"/>
      <w:marTop w:val="0"/>
      <w:marBottom w:val="0"/>
      <w:divBdr>
        <w:top w:val="none" w:sz="0" w:space="0" w:color="auto"/>
        <w:left w:val="none" w:sz="0" w:space="0" w:color="auto"/>
        <w:bottom w:val="none" w:sz="0" w:space="0" w:color="auto"/>
        <w:right w:val="none" w:sz="0" w:space="0" w:color="auto"/>
      </w:divBdr>
      <w:divsChild>
        <w:div w:id="249823491">
          <w:marLeft w:val="0"/>
          <w:marRight w:val="0"/>
          <w:marTop w:val="0"/>
          <w:marBottom w:val="0"/>
          <w:divBdr>
            <w:top w:val="none" w:sz="0" w:space="0" w:color="auto"/>
            <w:left w:val="none" w:sz="0" w:space="0" w:color="auto"/>
            <w:bottom w:val="none" w:sz="0" w:space="0" w:color="auto"/>
            <w:right w:val="none" w:sz="0" w:space="0" w:color="auto"/>
          </w:divBdr>
        </w:div>
      </w:divsChild>
    </w:div>
    <w:div w:id="1409573069">
      <w:bodyDiv w:val="1"/>
      <w:marLeft w:val="0"/>
      <w:marRight w:val="0"/>
      <w:marTop w:val="0"/>
      <w:marBottom w:val="0"/>
      <w:divBdr>
        <w:top w:val="none" w:sz="0" w:space="0" w:color="auto"/>
        <w:left w:val="none" w:sz="0" w:space="0" w:color="auto"/>
        <w:bottom w:val="none" w:sz="0" w:space="0" w:color="auto"/>
        <w:right w:val="none" w:sz="0" w:space="0" w:color="auto"/>
      </w:divBdr>
    </w:div>
    <w:div w:id="1415783231">
      <w:bodyDiv w:val="1"/>
      <w:marLeft w:val="0"/>
      <w:marRight w:val="0"/>
      <w:marTop w:val="0"/>
      <w:marBottom w:val="0"/>
      <w:divBdr>
        <w:top w:val="none" w:sz="0" w:space="0" w:color="auto"/>
        <w:left w:val="none" w:sz="0" w:space="0" w:color="auto"/>
        <w:bottom w:val="none" w:sz="0" w:space="0" w:color="auto"/>
        <w:right w:val="none" w:sz="0" w:space="0" w:color="auto"/>
      </w:divBdr>
      <w:divsChild>
        <w:div w:id="746612552">
          <w:marLeft w:val="0"/>
          <w:marRight w:val="0"/>
          <w:marTop w:val="0"/>
          <w:marBottom w:val="0"/>
          <w:divBdr>
            <w:top w:val="none" w:sz="0" w:space="0" w:color="auto"/>
            <w:left w:val="none" w:sz="0" w:space="0" w:color="auto"/>
            <w:bottom w:val="none" w:sz="0" w:space="0" w:color="auto"/>
            <w:right w:val="none" w:sz="0" w:space="0" w:color="auto"/>
          </w:divBdr>
        </w:div>
      </w:divsChild>
    </w:div>
    <w:div w:id="1416171833">
      <w:bodyDiv w:val="1"/>
      <w:marLeft w:val="0"/>
      <w:marRight w:val="0"/>
      <w:marTop w:val="0"/>
      <w:marBottom w:val="0"/>
      <w:divBdr>
        <w:top w:val="none" w:sz="0" w:space="0" w:color="auto"/>
        <w:left w:val="none" w:sz="0" w:space="0" w:color="auto"/>
        <w:bottom w:val="none" w:sz="0" w:space="0" w:color="auto"/>
        <w:right w:val="none" w:sz="0" w:space="0" w:color="auto"/>
      </w:divBdr>
    </w:div>
    <w:div w:id="1419863718">
      <w:bodyDiv w:val="1"/>
      <w:marLeft w:val="0"/>
      <w:marRight w:val="0"/>
      <w:marTop w:val="0"/>
      <w:marBottom w:val="0"/>
      <w:divBdr>
        <w:top w:val="none" w:sz="0" w:space="0" w:color="auto"/>
        <w:left w:val="none" w:sz="0" w:space="0" w:color="auto"/>
        <w:bottom w:val="none" w:sz="0" w:space="0" w:color="auto"/>
        <w:right w:val="none" w:sz="0" w:space="0" w:color="auto"/>
      </w:divBdr>
      <w:divsChild>
        <w:div w:id="298612483">
          <w:marLeft w:val="0"/>
          <w:marRight w:val="0"/>
          <w:marTop w:val="0"/>
          <w:marBottom w:val="0"/>
          <w:divBdr>
            <w:top w:val="none" w:sz="0" w:space="0" w:color="auto"/>
            <w:left w:val="none" w:sz="0" w:space="0" w:color="auto"/>
            <w:bottom w:val="none" w:sz="0" w:space="0" w:color="auto"/>
            <w:right w:val="none" w:sz="0" w:space="0" w:color="auto"/>
          </w:divBdr>
        </w:div>
      </w:divsChild>
    </w:div>
    <w:div w:id="1423065154">
      <w:bodyDiv w:val="1"/>
      <w:marLeft w:val="0"/>
      <w:marRight w:val="0"/>
      <w:marTop w:val="0"/>
      <w:marBottom w:val="0"/>
      <w:divBdr>
        <w:top w:val="none" w:sz="0" w:space="0" w:color="auto"/>
        <w:left w:val="none" w:sz="0" w:space="0" w:color="auto"/>
        <w:bottom w:val="none" w:sz="0" w:space="0" w:color="auto"/>
        <w:right w:val="none" w:sz="0" w:space="0" w:color="auto"/>
      </w:divBdr>
    </w:div>
    <w:div w:id="1432704956">
      <w:bodyDiv w:val="1"/>
      <w:marLeft w:val="0"/>
      <w:marRight w:val="0"/>
      <w:marTop w:val="0"/>
      <w:marBottom w:val="0"/>
      <w:divBdr>
        <w:top w:val="none" w:sz="0" w:space="0" w:color="auto"/>
        <w:left w:val="none" w:sz="0" w:space="0" w:color="auto"/>
        <w:bottom w:val="none" w:sz="0" w:space="0" w:color="auto"/>
        <w:right w:val="none" w:sz="0" w:space="0" w:color="auto"/>
      </w:divBdr>
      <w:divsChild>
        <w:div w:id="561913163">
          <w:marLeft w:val="0"/>
          <w:marRight w:val="0"/>
          <w:marTop w:val="0"/>
          <w:marBottom w:val="0"/>
          <w:divBdr>
            <w:top w:val="none" w:sz="0" w:space="0" w:color="auto"/>
            <w:left w:val="none" w:sz="0" w:space="0" w:color="auto"/>
            <w:bottom w:val="none" w:sz="0" w:space="0" w:color="auto"/>
            <w:right w:val="none" w:sz="0" w:space="0" w:color="auto"/>
          </w:divBdr>
        </w:div>
      </w:divsChild>
    </w:div>
    <w:div w:id="1455714059">
      <w:bodyDiv w:val="1"/>
      <w:marLeft w:val="0"/>
      <w:marRight w:val="0"/>
      <w:marTop w:val="0"/>
      <w:marBottom w:val="0"/>
      <w:divBdr>
        <w:top w:val="none" w:sz="0" w:space="0" w:color="auto"/>
        <w:left w:val="none" w:sz="0" w:space="0" w:color="auto"/>
        <w:bottom w:val="none" w:sz="0" w:space="0" w:color="auto"/>
        <w:right w:val="none" w:sz="0" w:space="0" w:color="auto"/>
      </w:divBdr>
      <w:divsChild>
        <w:div w:id="2071805805">
          <w:marLeft w:val="0"/>
          <w:marRight w:val="0"/>
          <w:marTop w:val="0"/>
          <w:marBottom w:val="0"/>
          <w:divBdr>
            <w:top w:val="none" w:sz="0" w:space="0" w:color="auto"/>
            <w:left w:val="none" w:sz="0" w:space="0" w:color="auto"/>
            <w:bottom w:val="none" w:sz="0" w:space="0" w:color="auto"/>
            <w:right w:val="none" w:sz="0" w:space="0" w:color="auto"/>
          </w:divBdr>
        </w:div>
      </w:divsChild>
    </w:div>
    <w:div w:id="1464808945">
      <w:bodyDiv w:val="1"/>
      <w:marLeft w:val="0"/>
      <w:marRight w:val="0"/>
      <w:marTop w:val="0"/>
      <w:marBottom w:val="0"/>
      <w:divBdr>
        <w:top w:val="none" w:sz="0" w:space="0" w:color="auto"/>
        <w:left w:val="none" w:sz="0" w:space="0" w:color="auto"/>
        <w:bottom w:val="none" w:sz="0" w:space="0" w:color="auto"/>
        <w:right w:val="none" w:sz="0" w:space="0" w:color="auto"/>
      </w:divBdr>
      <w:divsChild>
        <w:div w:id="2032566120">
          <w:marLeft w:val="0"/>
          <w:marRight w:val="0"/>
          <w:marTop w:val="0"/>
          <w:marBottom w:val="0"/>
          <w:divBdr>
            <w:top w:val="none" w:sz="0" w:space="0" w:color="auto"/>
            <w:left w:val="none" w:sz="0" w:space="0" w:color="auto"/>
            <w:bottom w:val="none" w:sz="0" w:space="0" w:color="auto"/>
            <w:right w:val="none" w:sz="0" w:space="0" w:color="auto"/>
          </w:divBdr>
        </w:div>
      </w:divsChild>
    </w:div>
    <w:div w:id="1468934925">
      <w:bodyDiv w:val="1"/>
      <w:marLeft w:val="0"/>
      <w:marRight w:val="0"/>
      <w:marTop w:val="0"/>
      <w:marBottom w:val="0"/>
      <w:divBdr>
        <w:top w:val="none" w:sz="0" w:space="0" w:color="auto"/>
        <w:left w:val="none" w:sz="0" w:space="0" w:color="auto"/>
        <w:bottom w:val="none" w:sz="0" w:space="0" w:color="auto"/>
        <w:right w:val="none" w:sz="0" w:space="0" w:color="auto"/>
      </w:divBdr>
      <w:divsChild>
        <w:div w:id="812217074">
          <w:marLeft w:val="0"/>
          <w:marRight w:val="0"/>
          <w:marTop w:val="0"/>
          <w:marBottom w:val="0"/>
          <w:divBdr>
            <w:top w:val="none" w:sz="0" w:space="0" w:color="auto"/>
            <w:left w:val="none" w:sz="0" w:space="0" w:color="auto"/>
            <w:bottom w:val="none" w:sz="0" w:space="0" w:color="auto"/>
            <w:right w:val="none" w:sz="0" w:space="0" w:color="auto"/>
          </w:divBdr>
        </w:div>
      </w:divsChild>
    </w:div>
    <w:div w:id="1479763379">
      <w:bodyDiv w:val="1"/>
      <w:marLeft w:val="0"/>
      <w:marRight w:val="0"/>
      <w:marTop w:val="0"/>
      <w:marBottom w:val="0"/>
      <w:divBdr>
        <w:top w:val="none" w:sz="0" w:space="0" w:color="auto"/>
        <w:left w:val="none" w:sz="0" w:space="0" w:color="auto"/>
        <w:bottom w:val="none" w:sz="0" w:space="0" w:color="auto"/>
        <w:right w:val="none" w:sz="0" w:space="0" w:color="auto"/>
      </w:divBdr>
      <w:divsChild>
        <w:div w:id="228619771">
          <w:marLeft w:val="0"/>
          <w:marRight w:val="0"/>
          <w:marTop w:val="0"/>
          <w:marBottom w:val="0"/>
          <w:divBdr>
            <w:top w:val="none" w:sz="0" w:space="0" w:color="auto"/>
            <w:left w:val="none" w:sz="0" w:space="0" w:color="auto"/>
            <w:bottom w:val="none" w:sz="0" w:space="0" w:color="auto"/>
            <w:right w:val="none" w:sz="0" w:space="0" w:color="auto"/>
          </w:divBdr>
        </w:div>
      </w:divsChild>
    </w:div>
    <w:div w:id="1491746488">
      <w:bodyDiv w:val="1"/>
      <w:marLeft w:val="0"/>
      <w:marRight w:val="0"/>
      <w:marTop w:val="0"/>
      <w:marBottom w:val="0"/>
      <w:divBdr>
        <w:top w:val="none" w:sz="0" w:space="0" w:color="auto"/>
        <w:left w:val="none" w:sz="0" w:space="0" w:color="auto"/>
        <w:bottom w:val="none" w:sz="0" w:space="0" w:color="auto"/>
        <w:right w:val="none" w:sz="0" w:space="0" w:color="auto"/>
      </w:divBdr>
      <w:divsChild>
        <w:div w:id="1654792487">
          <w:marLeft w:val="0"/>
          <w:marRight w:val="0"/>
          <w:marTop w:val="0"/>
          <w:marBottom w:val="0"/>
          <w:divBdr>
            <w:top w:val="none" w:sz="0" w:space="0" w:color="auto"/>
            <w:left w:val="none" w:sz="0" w:space="0" w:color="auto"/>
            <w:bottom w:val="none" w:sz="0" w:space="0" w:color="auto"/>
            <w:right w:val="none" w:sz="0" w:space="0" w:color="auto"/>
          </w:divBdr>
        </w:div>
      </w:divsChild>
    </w:div>
    <w:div w:id="1493636963">
      <w:bodyDiv w:val="1"/>
      <w:marLeft w:val="0"/>
      <w:marRight w:val="0"/>
      <w:marTop w:val="0"/>
      <w:marBottom w:val="0"/>
      <w:divBdr>
        <w:top w:val="none" w:sz="0" w:space="0" w:color="auto"/>
        <w:left w:val="none" w:sz="0" w:space="0" w:color="auto"/>
        <w:bottom w:val="none" w:sz="0" w:space="0" w:color="auto"/>
        <w:right w:val="none" w:sz="0" w:space="0" w:color="auto"/>
      </w:divBdr>
      <w:divsChild>
        <w:div w:id="616520449">
          <w:marLeft w:val="0"/>
          <w:marRight w:val="0"/>
          <w:marTop w:val="0"/>
          <w:marBottom w:val="0"/>
          <w:divBdr>
            <w:top w:val="none" w:sz="0" w:space="0" w:color="auto"/>
            <w:left w:val="none" w:sz="0" w:space="0" w:color="auto"/>
            <w:bottom w:val="none" w:sz="0" w:space="0" w:color="auto"/>
            <w:right w:val="none" w:sz="0" w:space="0" w:color="auto"/>
          </w:divBdr>
        </w:div>
      </w:divsChild>
    </w:div>
    <w:div w:id="1500927387">
      <w:bodyDiv w:val="1"/>
      <w:marLeft w:val="0"/>
      <w:marRight w:val="0"/>
      <w:marTop w:val="0"/>
      <w:marBottom w:val="0"/>
      <w:divBdr>
        <w:top w:val="none" w:sz="0" w:space="0" w:color="auto"/>
        <w:left w:val="none" w:sz="0" w:space="0" w:color="auto"/>
        <w:bottom w:val="none" w:sz="0" w:space="0" w:color="auto"/>
        <w:right w:val="none" w:sz="0" w:space="0" w:color="auto"/>
      </w:divBdr>
      <w:divsChild>
        <w:div w:id="1499343540">
          <w:marLeft w:val="0"/>
          <w:marRight w:val="0"/>
          <w:marTop w:val="0"/>
          <w:marBottom w:val="0"/>
          <w:divBdr>
            <w:top w:val="none" w:sz="0" w:space="0" w:color="auto"/>
            <w:left w:val="none" w:sz="0" w:space="0" w:color="auto"/>
            <w:bottom w:val="none" w:sz="0" w:space="0" w:color="auto"/>
            <w:right w:val="none" w:sz="0" w:space="0" w:color="auto"/>
          </w:divBdr>
        </w:div>
      </w:divsChild>
    </w:div>
    <w:div w:id="1509254151">
      <w:bodyDiv w:val="1"/>
      <w:marLeft w:val="0"/>
      <w:marRight w:val="0"/>
      <w:marTop w:val="0"/>
      <w:marBottom w:val="0"/>
      <w:divBdr>
        <w:top w:val="none" w:sz="0" w:space="0" w:color="auto"/>
        <w:left w:val="none" w:sz="0" w:space="0" w:color="auto"/>
        <w:bottom w:val="none" w:sz="0" w:space="0" w:color="auto"/>
        <w:right w:val="none" w:sz="0" w:space="0" w:color="auto"/>
      </w:divBdr>
      <w:divsChild>
        <w:div w:id="577904441">
          <w:marLeft w:val="0"/>
          <w:marRight w:val="0"/>
          <w:marTop w:val="0"/>
          <w:marBottom w:val="0"/>
          <w:divBdr>
            <w:top w:val="none" w:sz="0" w:space="0" w:color="auto"/>
            <w:left w:val="none" w:sz="0" w:space="0" w:color="auto"/>
            <w:bottom w:val="none" w:sz="0" w:space="0" w:color="auto"/>
            <w:right w:val="none" w:sz="0" w:space="0" w:color="auto"/>
          </w:divBdr>
        </w:div>
      </w:divsChild>
    </w:div>
    <w:div w:id="1515874223">
      <w:bodyDiv w:val="1"/>
      <w:marLeft w:val="0"/>
      <w:marRight w:val="0"/>
      <w:marTop w:val="0"/>
      <w:marBottom w:val="0"/>
      <w:divBdr>
        <w:top w:val="none" w:sz="0" w:space="0" w:color="auto"/>
        <w:left w:val="none" w:sz="0" w:space="0" w:color="auto"/>
        <w:bottom w:val="none" w:sz="0" w:space="0" w:color="auto"/>
        <w:right w:val="none" w:sz="0" w:space="0" w:color="auto"/>
      </w:divBdr>
      <w:divsChild>
        <w:div w:id="2006936876">
          <w:marLeft w:val="0"/>
          <w:marRight w:val="0"/>
          <w:marTop w:val="0"/>
          <w:marBottom w:val="0"/>
          <w:divBdr>
            <w:top w:val="none" w:sz="0" w:space="0" w:color="auto"/>
            <w:left w:val="none" w:sz="0" w:space="0" w:color="auto"/>
            <w:bottom w:val="none" w:sz="0" w:space="0" w:color="auto"/>
            <w:right w:val="none" w:sz="0" w:space="0" w:color="auto"/>
          </w:divBdr>
        </w:div>
      </w:divsChild>
    </w:div>
    <w:div w:id="1521309224">
      <w:bodyDiv w:val="1"/>
      <w:marLeft w:val="0"/>
      <w:marRight w:val="0"/>
      <w:marTop w:val="0"/>
      <w:marBottom w:val="0"/>
      <w:divBdr>
        <w:top w:val="none" w:sz="0" w:space="0" w:color="auto"/>
        <w:left w:val="none" w:sz="0" w:space="0" w:color="auto"/>
        <w:bottom w:val="none" w:sz="0" w:space="0" w:color="auto"/>
        <w:right w:val="none" w:sz="0" w:space="0" w:color="auto"/>
      </w:divBdr>
    </w:div>
    <w:div w:id="1530796739">
      <w:bodyDiv w:val="1"/>
      <w:marLeft w:val="0"/>
      <w:marRight w:val="0"/>
      <w:marTop w:val="0"/>
      <w:marBottom w:val="0"/>
      <w:divBdr>
        <w:top w:val="none" w:sz="0" w:space="0" w:color="auto"/>
        <w:left w:val="none" w:sz="0" w:space="0" w:color="auto"/>
        <w:bottom w:val="none" w:sz="0" w:space="0" w:color="auto"/>
        <w:right w:val="none" w:sz="0" w:space="0" w:color="auto"/>
      </w:divBdr>
      <w:divsChild>
        <w:div w:id="580674983">
          <w:marLeft w:val="0"/>
          <w:marRight w:val="0"/>
          <w:marTop w:val="0"/>
          <w:marBottom w:val="0"/>
          <w:divBdr>
            <w:top w:val="none" w:sz="0" w:space="0" w:color="auto"/>
            <w:left w:val="none" w:sz="0" w:space="0" w:color="auto"/>
            <w:bottom w:val="none" w:sz="0" w:space="0" w:color="auto"/>
            <w:right w:val="none" w:sz="0" w:space="0" w:color="auto"/>
          </w:divBdr>
        </w:div>
      </w:divsChild>
    </w:div>
    <w:div w:id="1533879301">
      <w:bodyDiv w:val="1"/>
      <w:marLeft w:val="0"/>
      <w:marRight w:val="0"/>
      <w:marTop w:val="0"/>
      <w:marBottom w:val="0"/>
      <w:divBdr>
        <w:top w:val="none" w:sz="0" w:space="0" w:color="auto"/>
        <w:left w:val="none" w:sz="0" w:space="0" w:color="auto"/>
        <w:bottom w:val="none" w:sz="0" w:space="0" w:color="auto"/>
        <w:right w:val="none" w:sz="0" w:space="0" w:color="auto"/>
      </w:divBdr>
      <w:divsChild>
        <w:div w:id="1629431933">
          <w:marLeft w:val="0"/>
          <w:marRight w:val="0"/>
          <w:marTop w:val="0"/>
          <w:marBottom w:val="0"/>
          <w:divBdr>
            <w:top w:val="none" w:sz="0" w:space="0" w:color="auto"/>
            <w:left w:val="none" w:sz="0" w:space="0" w:color="auto"/>
            <w:bottom w:val="none" w:sz="0" w:space="0" w:color="auto"/>
            <w:right w:val="none" w:sz="0" w:space="0" w:color="auto"/>
          </w:divBdr>
        </w:div>
      </w:divsChild>
    </w:div>
    <w:div w:id="1540704365">
      <w:bodyDiv w:val="1"/>
      <w:marLeft w:val="0"/>
      <w:marRight w:val="0"/>
      <w:marTop w:val="0"/>
      <w:marBottom w:val="0"/>
      <w:divBdr>
        <w:top w:val="none" w:sz="0" w:space="0" w:color="auto"/>
        <w:left w:val="none" w:sz="0" w:space="0" w:color="auto"/>
        <w:bottom w:val="none" w:sz="0" w:space="0" w:color="auto"/>
        <w:right w:val="none" w:sz="0" w:space="0" w:color="auto"/>
      </w:divBdr>
    </w:div>
    <w:div w:id="1560554271">
      <w:bodyDiv w:val="1"/>
      <w:marLeft w:val="0"/>
      <w:marRight w:val="0"/>
      <w:marTop w:val="0"/>
      <w:marBottom w:val="0"/>
      <w:divBdr>
        <w:top w:val="none" w:sz="0" w:space="0" w:color="auto"/>
        <w:left w:val="none" w:sz="0" w:space="0" w:color="auto"/>
        <w:bottom w:val="none" w:sz="0" w:space="0" w:color="auto"/>
        <w:right w:val="none" w:sz="0" w:space="0" w:color="auto"/>
      </w:divBdr>
    </w:div>
    <w:div w:id="1570581281">
      <w:bodyDiv w:val="1"/>
      <w:marLeft w:val="0"/>
      <w:marRight w:val="0"/>
      <w:marTop w:val="0"/>
      <w:marBottom w:val="0"/>
      <w:divBdr>
        <w:top w:val="none" w:sz="0" w:space="0" w:color="auto"/>
        <w:left w:val="none" w:sz="0" w:space="0" w:color="auto"/>
        <w:bottom w:val="none" w:sz="0" w:space="0" w:color="auto"/>
        <w:right w:val="none" w:sz="0" w:space="0" w:color="auto"/>
      </w:divBdr>
      <w:divsChild>
        <w:div w:id="237060823">
          <w:marLeft w:val="0"/>
          <w:marRight w:val="0"/>
          <w:marTop w:val="0"/>
          <w:marBottom w:val="0"/>
          <w:divBdr>
            <w:top w:val="none" w:sz="0" w:space="0" w:color="auto"/>
            <w:left w:val="none" w:sz="0" w:space="0" w:color="auto"/>
            <w:bottom w:val="none" w:sz="0" w:space="0" w:color="auto"/>
            <w:right w:val="none" w:sz="0" w:space="0" w:color="auto"/>
          </w:divBdr>
        </w:div>
      </w:divsChild>
    </w:div>
    <w:div w:id="1571228593">
      <w:bodyDiv w:val="1"/>
      <w:marLeft w:val="0"/>
      <w:marRight w:val="0"/>
      <w:marTop w:val="0"/>
      <w:marBottom w:val="0"/>
      <w:divBdr>
        <w:top w:val="none" w:sz="0" w:space="0" w:color="auto"/>
        <w:left w:val="none" w:sz="0" w:space="0" w:color="auto"/>
        <w:bottom w:val="none" w:sz="0" w:space="0" w:color="auto"/>
        <w:right w:val="none" w:sz="0" w:space="0" w:color="auto"/>
      </w:divBdr>
      <w:divsChild>
        <w:div w:id="1546212337">
          <w:marLeft w:val="0"/>
          <w:marRight w:val="0"/>
          <w:marTop w:val="0"/>
          <w:marBottom w:val="0"/>
          <w:divBdr>
            <w:top w:val="none" w:sz="0" w:space="0" w:color="auto"/>
            <w:left w:val="none" w:sz="0" w:space="0" w:color="auto"/>
            <w:bottom w:val="none" w:sz="0" w:space="0" w:color="auto"/>
            <w:right w:val="none" w:sz="0" w:space="0" w:color="auto"/>
          </w:divBdr>
        </w:div>
      </w:divsChild>
    </w:div>
    <w:div w:id="1571378385">
      <w:bodyDiv w:val="1"/>
      <w:marLeft w:val="0"/>
      <w:marRight w:val="0"/>
      <w:marTop w:val="0"/>
      <w:marBottom w:val="0"/>
      <w:divBdr>
        <w:top w:val="none" w:sz="0" w:space="0" w:color="auto"/>
        <w:left w:val="none" w:sz="0" w:space="0" w:color="auto"/>
        <w:bottom w:val="none" w:sz="0" w:space="0" w:color="auto"/>
        <w:right w:val="none" w:sz="0" w:space="0" w:color="auto"/>
      </w:divBdr>
    </w:div>
    <w:div w:id="1591503296">
      <w:bodyDiv w:val="1"/>
      <w:marLeft w:val="0"/>
      <w:marRight w:val="0"/>
      <w:marTop w:val="0"/>
      <w:marBottom w:val="0"/>
      <w:divBdr>
        <w:top w:val="none" w:sz="0" w:space="0" w:color="auto"/>
        <w:left w:val="none" w:sz="0" w:space="0" w:color="auto"/>
        <w:bottom w:val="none" w:sz="0" w:space="0" w:color="auto"/>
        <w:right w:val="none" w:sz="0" w:space="0" w:color="auto"/>
      </w:divBdr>
      <w:divsChild>
        <w:div w:id="1824001124">
          <w:marLeft w:val="0"/>
          <w:marRight w:val="0"/>
          <w:marTop w:val="0"/>
          <w:marBottom w:val="0"/>
          <w:divBdr>
            <w:top w:val="none" w:sz="0" w:space="0" w:color="auto"/>
            <w:left w:val="none" w:sz="0" w:space="0" w:color="auto"/>
            <w:bottom w:val="none" w:sz="0" w:space="0" w:color="auto"/>
            <w:right w:val="none" w:sz="0" w:space="0" w:color="auto"/>
          </w:divBdr>
        </w:div>
      </w:divsChild>
    </w:div>
    <w:div w:id="1605457838">
      <w:bodyDiv w:val="1"/>
      <w:marLeft w:val="0"/>
      <w:marRight w:val="0"/>
      <w:marTop w:val="0"/>
      <w:marBottom w:val="0"/>
      <w:divBdr>
        <w:top w:val="none" w:sz="0" w:space="0" w:color="auto"/>
        <w:left w:val="none" w:sz="0" w:space="0" w:color="auto"/>
        <w:bottom w:val="none" w:sz="0" w:space="0" w:color="auto"/>
        <w:right w:val="none" w:sz="0" w:space="0" w:color="auto"/>
      </w:divBdr>
      <w:divsChild>
        <w:div w:id="1049695112">
          <w:marLeft w:val="0"/>
          <w:marRight w:val="0"/>
          <w:marTop w:val="0"/>
          <w:marBottom w:val="0"/>
          <w:divBdr>
            <w:top w:val="none" w:sz="0" w:space="0" w:color="auto"/>
            <w:left w:val="none" w:sz="0" w:space="0" w:color="auto"/>
            <w:bottom w:val="none" w:sz="0" w:space="0" w:color="auto"/>
            <w:right w:val="none" w:sz="0" w:space="0" w:color="auto"/>
          </w:divBdr>
        </w:div>
      </w:divsChild>
    </w:div>
    <w:div w:id="1610893253">
      <w:bodyDiv w:val="1"/>
      <w:marLeft w:val="0"/>
      <w:marRight w:val="0"/>
      <w:marTop w:val="0"/>
      <w:marBottom w:val="0"/>
      <w:divBdr>
        <w:top w:val="none" w:sz="0" w:space="0" w:color="auto"/>
        <w:left w:val="none" w:sz="0" w:space="0" w:color="auto"/>
        <w:bottom w:val="none" w:sz="0" w:space="0" w:color="auto"/>
        <w:right w:val="none" w:sz="0" w:space="0" w:color="auto"/>
      </w:divBdr>
      <w:divsChild>
        <w:div w:id="1904178560">
          <w:marLeft w:val="0"/>
          <w:marRight w:val="0"/>
          <w:marTop w:val="0"/>
          <w:marBottom w:val="0"/>
          <w:divBdr>
            <w:top w:val="none" w:sz="0" w:space="0" w:color="auto"/>
            <w:left w:val="none" w:sz="0" w:space="0" w:color="auto"/>
            <w:bottom w:val="none" w:sz="0" w:space="0" w:color="auto"/>
            <w:right w:val="none" w:sz="0" w:space="0" w:color="auto"/>
          </w:divBdr>
        </w:div>
      </w:divsChild>
    </w:div>
    <w:div w:id="1614821528">
      <w:bodyDiv w:val="1"/>
      <w:marLeft w:val="0"/>
      <w:marRight w:val="0"/>
      <w:marTop w:val="0"/>
      <w:marBottom w:val="0"/>
      <w:divBdr>
        <w:top w:val="none" w:sz="0" w:space="0" w:color="auto"/>
        <w:left w:val="none" w:sz="0" w:space="0" w:color="auto"/>
        <w:bottom w:val="none" w:sz="0" w:space="0" w:color="auto"/>
        <w:right w:val="none" w:sz="0" w:space="0" w:color="auto"/>
      </w:divBdr>
      <w:divsChild>
        <w:div w:id="900676274">
          <w:marLeft w:val="0"/>
          <w:marRight w:val="0"/>
          <w:marTop w:val="0"/>
          <w:marBottom w:val="0"/>
          <w:divBdr>
            <w:top w:val="none" w:sz="0" w:space="0" w:color="auto"/>
            <w:left w:val="none" w:sz="0" w:space="0" w:color="auto"/>
            <w:bottom w:val="none" w:sz="0" w:space="0" w:color="auto"/>
            <w:right w:val="none" w:sz="0" w:space="0" w:color="auto"/>
          </w:divBdr>
        </w:div>
      </w:divsChild>
    </w:div>
    <w:div w:id="1618216453">
      <w:bodyDiv w:val="1"/>
      <w:marLeft w:val="0"/>
      <w:marRight w:val="0"/>
      <w:marTop w:val="0"/>
      <w:marBottom w:val="0"/>
      <w:divBdr>
        <w:top w:val="none" w:sz="0" w:space="0" w:color="auto"/>
        <w:left w:val="none" w:sz="0" w:space="0" w:color="auto"/>
        <w:bottom w:val="none" w:sz="0" w:space="0" w:color="auto"/>
        <w:right w:val="none" w:sz="0" w:space="0" w:color="auto"/>
      </w:divBdr>
      <w:divsChild>
        <w:div w:id="1096635300">
          <w:marLeft w:val="0"/>
          <w:marRight w:val="0"/>
          <w:marTop w:val="0"/>
          <w:marBottom w:val="0"/>
          <w:divBdr>
            <w:top w:val="none" w:sz="0" w:space="0" w:color="auto"/>
            <w:left w:val="none" w:sz="0" w:space="0" w:color="auto"/>
            <w:bottom w:val="none" w:sz="0" w:space="0" w:color="auto"/>
            <w:right w:val="none" w:sz="0" w:space="0" w:color="auto"/>
          </w:divBdr>
        </w:div>
      </w:divsChild>
    </w:div>
    <w:div w:id="1624459425">
      <w:bodyDiv w:val="1"/>
      <w:marLeft w:val="0"/>
      <w:marRight w:val="0"/>
      <w:marTop w:val="0"/>
      <w:marBottom w:val="0"/>
      <w:divBdr>
        <w:top w:val="none" w:sz="0" w:space="0" w:color="auto"/>
        <w:left w:val="none" w:sz="0" w:space="0" w:color="auto"/>
        <w:bottom w:val="none" w:sz="0" w:space="0" w:color="auto"/>
        <w:right w:val="none" w:sz="0" w:space="0" w:color="auto"/>
      </w:divBdr>
      <w:divsChild>
        <w:div w:id="1936087335">
          <w:marLeft w:val="0"/>
          <w:marRight w:val="0"/>
          <w:marTop w:val="0"/>
          <w:marBottom w:val="0"/>
          <w:divBdr>
            <w:top w:val="none" w:sz="0" w:space="0" w:color="auto"/>
            <w:left w:val="none" w:sz="0" w:space="0" w:color="auto"/>
            <w:bottom w:val="none" w:sz="0" w:space="0" w:color="auto"/>
            <w:right w:val="none" w:sz="0" w:space="0" w:color="auto"/>
          </w:divBdr>
        </w:div>
      </w:divsChild>
    </w:div>
    <w:div w:id="1638219060">
      <w:bodyDiv w:val="1"/>
      <w:marLeft w:val="0"/>
      <w:marRight w:val="0"/>
      <w:marTop w:val="0"/>
      <w:marBottom w:val="0"/>
      <w:divBdr>
        <w:top w:val="none" w:sz="0" w:space="0" w:color="auto"/>
        <w:left w:val="none" w:sz="0" w:space="0" w:color="auto"/>
        <w:bottom w:val="none" w:sz="0" w:space="0" w:color="auto"/>
        <w:right w:val="none" w:sz="0" w:space="0" w:color="auto"/>
      </w:divBdr>
      <w:divsChild>
        <w:div w:id="614363226">
          <w:marLeft w:val="0"/>
          <w:marRight w:val="0"/>
          <w:marTop w:val="0"/>
          <w:marBottom w:val="0"/>
          <w:divBdr>
            <w:top w:val="none" w:sz="0" w:space="0" w:color="auto"/>
            <w:left w:val="none" w:sz="0" w:space="0" w:color="auto"/>
            <w:bottom w:val="none" w:sz="0" w:space="0" w:color="auto"/>
            <w:right w:val="none" w:sz="0" w:space="0" w:color="auto"/>
          </w:divBdr>
        </w:div>
      </w:divsChild>
    </w:div>
    <w:div w:id="1642692459">
      <w:bodyDiv w:val="1"/>
      <w:marLeft w:val="0"/>
      <w:marRight w:val="0"/>
      <w:marTop w:val="0"/>
      <w:marBottom w:val="0"/>
      <w:divBdr>
        <w:top w:val="none" w:sz="0" w:space="0" w:color="auto"/>
        <w:left w:val="none" w:sz="0" w:space="0" w:color="auto"/>
        <w:bottom w:val="none" w:sz="0" w:space="0" w:color="auto"/>
        <w:right w:val="none" w:sz="0" w:space="0" w:color="auto"/>
      </w:divBdr>
      <w:divsChild>
        <w:div w:id="91122518">
          <w:marLeft w:val="0"/>
          <w:marRight w:val="0"/>
          <w:marTop w:val="0"/>
          <w:marBottom w:val="0"/>
          <w:divBdr>
            <w:top w:val="none" w:sz="0" w:space="0" w:color="auto"/>
            <w:left w:val="none" w:sz="0" w:space="0" w:color="auto"/>
            <w:bottom w:val="none" w:sz="0" w:space="0" w:color="auto"/>
            <w:right w:val="none" w:sz="0" w:space="0" w:color="auto"/>
          </w:divBdr>
        </w:div>
        <w:div w:id="1619799403">
          <w:marLeft w:val="0"/>
          <w:marRight w:val="0"/>
          <w:marTop w:val="0"/>
          <w:marBottom w:val="0"/>
          <w:divBdr>
            <w:top w:val="none" w:sz="0" w:space="0" w:color="auto"/>
            <w:left w:val="none" w:sz="0" w:space="0" w:color="auto"/>
            <w:bottom w:val="none" w:sz="0" w:space="0" w:color="auto"/>
            <w:right w:val="none" w:sz="0" w:space="0" w:color="auto"/>
          </w:divBdr>
        </w:div>
      </w:divsChild>
    </w:div>
    <w:div w:id="1643653839">
      <w:bodyDiv w:val="1"/>
      <w:marLeft w:val="0"/>
      <w:marRight w:val="0"/>
      <w:marTop w:val="0"/>
      <w:marBottom w:val="0"/>
      <w:divBdr>
        <w:top w:val="none" w:sz="0" w:space="0" w:color="auto"/>
        <w:left w:val="none" w:sz="0" w:space="0" w:color="auto"/>
        <w:bottom w:val="none" w:sz="0" w:space="0" w:color="auto"/>
        <w:right w:val="none" w:sz="0" w:space="0" w:color="auto"/>
      </w:divBdr>
      <w:divsChild>
        <w:div w:id="1364474500">
          <w:marLeft w:val="0"/>
          <w:marRight w:val="0"/>
          <w:marTop w:val="0"/>
          <w:marBottom w:val="0"/>
          <w:divBdr>
            <w:top w:val="none" w:sz="0" w:space="0" w:color="auto"/>
            <w:left w:val="none" w:sz="0" w:space="0" w:color="auto"/>
            <w:bottom w:val="none" w:sz="0" w:space="0" w:color="auto"/>
            <w:right w:val="none" w:sz="0" w:space="0" w:color="auto"/>
          </w:divBdr>
          <w:divsChild>
            <w:div w:id="968895416">
              <w:marLeft w:val="0"/>
              <w:marRight w:val="0"/>
              <w:marTop w:val="0"/>
              <w:marBottom w:val="0"/>
              <w:divBdr>
                <w:top w:val="none" w:sz="0" w:space="0" w:color="auto"/>
                <w:left w:val="none" w:sz="0" w:space="0" w:color="auto"/>
                <w:bottom w:val="none" w:sz="0" w:space="0" w:color="auto"/>
                <w:right w:val="none" w:sz="0" w:space="0" w:color="auto"/>
              </w:divBdr>
            </w:div>
          </w:divsChild>
        </w:div>
        <w:div w:id="1661079217">
          <w:marLeft w:val="0"/>
          <w:marRight w:val="0"/>
          <w:marTop w:val="0"/>
          <w:marBottom w:val="0"/>
          <w:divBdr>
            <w:top w:val="none" w:sz="0" w:space="0" w:color="auto"/>
            <w:left w:val="none" w:sz="0" w:space="0" w:color="auto"/>
            <w:bottom w:val="none" w:sz="0" w:space="0" w:color="auto"/>
            <w:right w:val="none" w:sz="0" w:space="0" w:color="auto"/>
          </w:divBdr>
          <w:divsChild>
            <w:div w:id="744957166">
              <w:marLeft w:val="0"/>
              <w:marRight w:val="0"/>
              <w:marTop w:val="0"/>
              <w:marBottom w:val="0"/>
              <w:divBdr>
                <w:top w:val="none" w:sz="0" w:space="0" w:color="auto"/>
                <w:left w:val="none" w:sz="0" w:space="0" w:color="auto"/>
                <w:bottom w:val="none" w:sz="0" w:space="0" w:color="auto"/>
                <w:right w:val="none" w:sz="0" w:space="0" w:color="auto"/>
              </w:divBdr>
            </w:div>
          </w:divsChild>
        </w:div>
        <w:div w:id="1712919456">
          <w:marLeft w:val="0"/>
          <w:marRight w:val="0"/>
          <w:marTop w:val="0"/>
          <w:marBottom w:val="0"/>
          <w:divBdr>
            <w:top w:val="none" w:sz="0" w:space="0" w:color="auto"/>
            <w:left w:val="none" w:sz="0" w:space="0" w:color="auto"/>
            <w:bottom w:val="none" w:sz="0" w:space="0" w:color="auto"/>
            <w:right w:val="none" w:sz="0" w:space="0" w:color="auto"/>
          </w:divBdr>
          <w:divsChild>
            <w:div w:id="1153137108">
              <w:marLeft w:val="0"/>
              <w:marRight w:val="0"/>
              <w:marTop w:val="0"/>
              <w:marBottom w:val="0"/>
              <w:divBdr>
                <w:top w:val="none" w:sz="0" w:space="0" w:color="auto"/>
                <w:left w:val="none" w:sz="0" w:space="0" w:color="auto"/>
                <w:bottom w:val="none" w:sz="0" w:space="0" w:color="auto"/>
                <w:right w:val="none" w:sz="0" w:space="0" w:color="auto"/>
              </w:divBdr>
            </w:div>
          </w:divsChild>
        </w:div>
        <w:div w:id="2141920900">
          <w:marLeft w:val="0"/>
          <w:marRight w:val="0"/>
          <w:marTop w:val="0"/>
          <w:marBottom w:val="0"/>
          <w:divBdr>
            <w:top w:val="none" w:sz="0" w:space="0" w:color="auto"/>
            <w:left w:val="none" w:sz="0" w:space="0" w:color="auto"/>
            <w:bottom w:val="none" w:sz="0" w:space="0" w:color="auto"/>
            <w:right w:val="none" w:sz="0" w:space="0" w:color="auto"/>
          </w:divBdr>
          <w:divsChild>
            <w:div w:id="412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87384">
      <w:bodyDiv w:val="1"/>
      <w:marLeft w:val="0"/>
      <w:marRight w:val="0"/>
      <w:marTop w:val="0"/>
      <w:marBottom w:val="0"/>
      <w:divBdr>
        <w:top w:val="none" w:sz="0" w:space="0" w:color="auto"/>
        <w:left w:val="none" w:sz="0" w:space="0" w:color="auto"/>
        <w:bottom w:val="none" w:sz="0" w:space="0" w:color="auto"/>
        <w:right w:val="none" w:sz="0" w:space="0" w:color="auto"/>
      </w:divBdr>
      <w:divsChild>
        <w:div w:id="730731991">
          <w:marLeft w:val="0"/>
          <w:marRight w:val="0"/>
          <w:marTop w:val="0"/>
          <w:marBottom w:val="0"/>
          <w:divBdr>
            <w:top w:val="none" w:sz="0" w:space="0" w:color="auto"/>
            <w:left w:val="none" w:sz="0" w:space="0" w:color="auto"/>
            <w:bottom w:val="none" w:sz="0" w:space="0" w:color="auto"/>
            <w:right w:val="none" w:sz="0" w:space="0" w:color="auto"/>
          </w:divBdr>
        </w:div>
      </w:divsChild>
    </w:div>
    <w:div w:id="1650210462">
      <w:bodyDiv w:val="1"/>
      <w:marLeft w:val="0"/>
      <w:marRight w:val="0"/>
      <w:marTop w:val="0"/>
      <w:marBottom w:val="0"/>
      <w:divBdr>
        <w:top w:val="none" w:sz="0" w:space="0" w:color="auto"/>
        <w:left w:val="none" w:sz="0" w:space="0" w:color="auto"/>
        <w:bottom w:val="none" w:sz="0" w:space="0" w:color="auto"/>
        <w:right w:val="none" w:sz="0" w:space="0" w:color="auto"/>
      </w:divBdr>
      <w:divsChild>
        <w:div w:id="487986777">
          <w:marLeft w:val="0"/>
          <w:marRight w:val="0"/>
          <w:marTop w:val="0"/>
          <w:marBottom w:val="0"/>
          <w:divBdr>
            <w:top w:val="none" w:sz="0" w:space="0" w:color="auto"/>
            <w:left w:val="none" w:sz="0" w:space="0" w:color="auto"/>
            <w:bottom w:val="none" w:sz="0" w:space="0" w:color="auto"/>
            <w:right w:val="none" w:sz="0" w:space="0" w:color="auto"/>
          </w:divBdr>
        </w:div>
      </w:divsChild>
    </w:div>
    <w:div w:id="1658223582">
      <w:bodyDiv w:val="1"/>
      <w:marLeft w:val="0"/>
      <w:marRight w:val="0"/>
      <w:marTop w:val="0"/>
      <w:marBottom w:val="0"/>
      <w:divBdr>
        <w:top w:val="none" w:sz="0" w:space="0" w:color="auto"/>
        <w:left w:val="none" w:sz="0" w:space="0" w:color="auto"/>
        <w:bottom w:val="none" w:sz="0" w:space="0" w:color="auto"/>
        <w:right w:val="none" w:sz="0" w:space="0" w:color="auto"/>
      </w:divBdr>
      <w:divsChild>
        <w:div w:id="879056544">
          <w:marLeft w:val="0"/>
          <w:marRight w:val="0"/>
          <w:marTop w:val="0"/>
          <w:marBottom w:val="0"/>
          <w:divBdr>
            <w:top w:val="none" w:sz="0" w:space="0" w:color="auto"/>
            <w:left w:val="none" w:sz="0" w:space="0" w:color="auto"/>
            <w:bottom w:val="none" w:sz="0" w:space="0" w:color="auto"/>
            <w:right w:val="none" w:sz="0" w:space="0" w:color="auto"/>
          </w:divBdr>
        </w:div>
      </w:divsChild>
    </w:div>
    <w:div w:id="1658536337">
      <w:bodyDiv w:val="1"/>
      <w:marLeft w:val="0"/>
      <w:marRight w:val="0"/>
      <w:marTop w:val="0"/>
      <w:marBottom w:val="0"/>
      <w:divBdr>
        <w:top w:val="none" w:sz="0" w:space="0" w:color="auto"/>
        <w:left w:val="none" w:sz="0" w:space="0" w:color="auto"/>
        <w:bottom w:val="none" w:sz="0" w:space="0" w:color="auto"/>
        <w:right w:val="none" w:sz="0" w:space="0" w:color="auto"/>
      </w:divBdr>
      <w:divsChild>
        <w:div w:id="771122389">
          <w:marLeft w:val="0"/>
          <w:marRight w:val="0"/>
          <w:marTop w:val="0"/>
          <w:marBottom w:val="0"/>
          <w:divBdr>
            <w:top w:val="none" w:sz="0" w:space="0" w:color="auto"/>
            <w:left w:val="none" w:sz="0" w:space="0" w:color="auto"/>
            <w:bottom w:val="none" w:sz="0" w:space="0" w:color="auto"/>
            <w:right w:val="none" w:sz="0" w:space="0" w:color="auto"/>
          </w:divBdr>
        </w:div>
      </w:divsChild>
    </w:div>
    <w:div w:id="1663502414">
      <w:bodyDiv w:val="1"/>
      <w:marLeft w:val="0"/>
      <w:marRight w:val="0"/>
      <w:marTop w:val="0"/>
      <w:marBottom w:val="0"/>
      <w:divBdr>
        <w:top w:val="none" w:sz="0" w:space="0" w:color="auto"/>
        <w:left w:val="none" w:sz="0" w:space="0" w:color="auto"/>
        <w:bottom w:val="none" w:sz="0" w:space="0" w:color="auto"/>
        <w:right w:val="none" w:sz="0" w:space="0" w:color="auto"/>
      </w:divBdr>
      <w:divsChild>
        <w:div w:id="1275989075">
          <w:marLeft w:val="0"/>
          <w:marRight w:val="0"/>
          <w:marTop w:val="0"/>
          <w:marBottom w:val="0"/>
          <w:divBdr>
            <w:top w:val="none" w:sz="0" w:space="0" w:color="auto"/>
            <w:left w:val="none" w:sz="0" w:space="0" w:color="auto"/>
            <w:bottom w:val="none" w:sz="0" w:space="0" w:color="auto"/>
            <w:right w:val="none" w:sz="0" w:space="0" w:color="auto"/>
          </w:divBdr>
        </w:div>
      </w:divsChild>
    </w:div>
    <w:div w:id="1671369767">
      <w:bodyDiv w:val="1"/>
      <w:marLeft w:val="0"/>
      <w:marRight w:val="0"/>
      <w:marTop w:val="0"/>
      <w:marBottom w:val="0"/>
      <w:divBdr>
        <w:top w:val="none" w:sz="0" w:space="0" w:color="auto"/>
        <w:left w:val="none" w:sz="0" w:space="0" w:color="auto"/>
        <w:bottom w:val="none" w:sz="0" w:space="0" w:color="auto"/>
        <w:right w:val="none" w:sz="0" w:space="0" w:color="auto"/>
      </w:divBdr>
      <w:divsChild>
        <w:div w:id="1195460932">
          <w:marLeft w:val="0"/>
          <w:marRight w:val="0"/>
          <w:marTop w:val="0"/>
          <w:marBottom w:val="0"/>
          <w:divBdr>
            <w:top w:val="none" w:sz="0" w:space="0" w:color="auto"/>
            <w:left w:val="none" w:sz="0" w:space="0" w:color="auto"/>
            <w:bottom w:val="none" w:sz="0" w:space="0" w:color="auto"/>
            <w:right w:val="none" w:sz="0" w:space="0" w:color="auto"/>
          </w:divBdr>
        </w:div>
      </w:divsChild>
    </w:div>
    <w:div w:id="1672833679">
      <w:bodyDiv w:val="1"/>
      <w:marLeft w:val="0"/>
      <w:marRight w:val="0"/>
      <w:marTop w:val="0"/>
      <w:marBottom w:val="0"/>
      <w:divBdr>
        <w:top w:val="none" w:sz="0" w:space="0" w:color="auto"/>
        <w:left w:val="none" w:sz="0" w:space="0" w:color="auto"/>
        <w:bottom w:val="none" w:sz="0" w:space="0" w:color="auto"/>
        <w:right w:val="none" w:sz="0" w:space="0" w:color="auto"/>
      </w:divBdr>
      <w:divsChild>
        <w:div w:id="1429227411">
          <w:marLeft w:val="0"/>
          <w:marRight w:val="0"/>
          <w:marTop w:val="0"/>
          <w:marBottom w:val="0"/>
          <w:divBdr>
            <w:top w:val="none" w:sz="0" w:space="0" w:color="auto"/>
            <w:left w:val="none" w:sz="0" w:space="0" w:color="auto"/>
            <w:bottom w:val="none" w:sz="0" w:space="0" w:color="auto"/>
            <w:right w:val="none" w:sz="0" w:space="0" w:color="auto"/>
          </w:divBdr>
        </w:div>
      </w:divsChild>
    </w:div>
    <w:div w:id="1674870726">
      <w:bodyDiv w:val="1"/>
      <w:marLeft w:val="0"/>
      <w:marRight w:val="0"/>
      <w:marTop w:val="0"/>
      <w:marBottom w:val="0"/>
      <w:divBdr>
        <w:top w:val="none" w:sz="0" w:space="0" w:color="auto"/>
        <w:left w:val="none" w:sz="0" w:space="0" w:color="auto"/>
        <w:bottom w:val="none" w:sz="0" w:space="0" w:color="auto"/>
        <w:right w:val="none" w:sz="0" w:space="0" w:color="auto"/>
      </w:divBdr>
    </w:div>
    <w:div w:id="1701853634">
      <w:bodyDiv w:val="1"/>
      <w:marLeft w:val="0"/>
      <w:marRight w:val="0"/>
      <w:marTop w:val="0"/>
      <w:marBottom w:val="0"/>
      <w:divBdr>
        <w:top w:val="none" w:sz="0" w:space="0" w:color="auto"/>
        <w:left w:val="none" w:sz="0" w:space="0" w:color="auto"/>
        <w:bottom w:val="none" w:sz="0" w:space="0" w:color="auto"/>
        <w:right w:val="none" w:sz="0" w:space="0" w:color="auto"/>
      </w:divBdr>
      <w:divsChild>
        <w:div w:id="313217332">
          <w:marLeft w:val="0"/>
          <w:marRight w:val="0"/>
          <w:marTop w:val="0"/>
          <w:marBottom w:val="0"/>
          <w:divBdr>
            <w:top w:val="none" w:sz="0" w:space="0" w:color="auto"/>
            <w:left w:val="none" w:sz="0" w:space="0" w:color="auto"/>
            <w:bottom w:val="none" w:sz="0" w:space="0" w:color="auto"/>
            <w:right w:val="none" w:sz="0" w:space="0" w:color="auto"/>
          </w:divBdr>
        </w:div>
        <w:div w:id="894009096">
          <w:marLeft w:val="0"/>
          <w:marRight w:val="0"/>
          <w:marTop w:val="0"/>
          <w:marBottom w:val="0"/>
          <w:divBdr>
            <w:top w:val="none" w:sz="0" w:space="0" w:color="auto"/>
            <w:left w:val="none" w:sz="0" w:space="0" w:color="auto"/>
            <w:bottom w:val="none" w:sz="0" w:space="0" w:color="auto"/>
            <w:right w:val="none" w:sz="0" w:space="0" w:color="auto"/>
          </w:divBdr>
        </w:div>
        <w:div w:id="1082603542">
          <w:marLeft w:val="0"/>
          <w:marRight w:val="0"/>
          <w:marTop w:val="0"/>
          <w:marBottom w:val="0"/>
          <w:divBdr>
            <w:top w:val="none" w:sz="0" w:space="0" w:color="auto"/>
            <w:left w:val="none" w:sz="0" w:space="0" w:color="auto"/>
            <w:bottom w:val="none" w:sz="0" w:space="0" w:color="auto"/>
            <w:right w:val="none" w:sz="0" w:space="0" w:color="auto"/>
          </w:divBdr>
        </w:div>
      </w:divsChild>
    </w:div>
    <w:div w:id="1706327833">
      <w:bodyDiv w:val="1"/>
      <w:marLeft w:val="0"/>
      <w:marRight w:val="0"/>
      <w:marTop w:val="0"/>
      <w:marBottom w:val="0"/>
      <w:divBdr>
        <w:top w:val="none" w:sz="0" w:space="0" w:color="auto"/>
        <w:left w:val="none" w:sz="0" w:space="0" w:color="auto"/>
        <w:bottom w:val="none" w:sz="0" w:space="0" w:color="auto"/>
        <w:right w:val="none" w:sz="0" w:space="0" w:color="auto"/>
      </w:divBdr>
      <w:divsChild>
        <w:div w:id="2116709696">
          <w:marLeft w:val="0"/>
          <w:marRight w:val="0"/>
          <w:marTop w:val="0"/>
          <w:marBottom w:val="0"/>
          <w:divBdr>
            <w:top w:val="none" w:sz="0" w:space="0" w:color="auto"/>
            <w:left w:val="none" w:sz="0" w:space="0" w:color="auto"/>
            <w:bottom w:val="none" w:sz="0" w:space="0" w:color="auto"/>
            <w:right w:val="none" w:sz="0" w:space="0" w:color="auto"/>
          </w:divBdr>
        </w:div>
      </w:divsChild>
    </w:div>
    <w:div w:id="1721401320">
      <w:bodyDiv w:val="1"/>
      <w:marLeft w:val="0"/>
      <w:marRight w:val="0"/>
      <w:marTop w:val="0"/>
      <w:marBottom w:val="0"/>
      <w:divBdr>
        <w:top w:val="none" w:sz="0" w:space="0" w:color="auto"/>
        <w:left w:val="none" w:sz="0" w:space="0" w:color="auto"/>
        <w:bottom w:val="none" w:sz="0" w:space="0" w:color="auto"/>
        <w:right w:val="none" w:sz="0" w:space="0" w:color="auto"/>
      </w:divBdr>
    </w:div>
    <w:div w:id="1726100272">
      <w:bodyDiv w:val="1"/>
      <w:marLeft w:val="0"/>
      <w:marRight w:val="0"/>
      <w:marTop w:val="0"/>
      <w:marBottom w:val="0"/>
      <w:divBdr>
        <w:top w:val="none" w:sz="0" w:space="0" w:color="auto"/>
        <w:left w:val="none" w:sz="0" w:space="0" w:color="auto"/>
        <w:bottom w:val="none" w:sz="0" w:space="0" w:color="auto"/>
        <w:right w:val="none" w:sz="0" w:space="0" w:color="auto"/>
      </w:divBdr>
      <w:divsChild>
        <w:div w:id="1104110481">
          <w:marLeft w:val="0"/>
          <w:marRight w:val="0"/>
          <w:marTop w:val="0"/>
          <w:marBottom w:val="0"/>
          <w:divBdr>
            <w:top w:val="none" w:sz="0" w:space="0" w:color="auto"/>
            <w:left w:val="none" w:sz="0" w:space="0" w:color="auto"/>
            <w:bottom w:val="none" w:sz="0" w:space="0" w:color="auto"/>
            <w:right w:val="none" w:sz="0" w:space="0" w:color="auto"/>
          </w:divBdr>
        </w:div>
      </w:divsChild>
    </w:div>
    <w:div w:id="1735086390">
      <w:bodyDiv w:val="1"/>
      <w:marLeft w:val="0"/>
      <w:marRight w:val="0"/>
      <w:marTop w:val="0"/>
      <w:marBottom w:val="0"/>
      <w:divBdr>
        <w:top w:val="none" w:sz="0" w:space="0" w:color="auto"/>
        <w:left w:val="none" w:sz="0" w:space="0" w:color="auto"/>
        <w:bottom w:val="none" w:sz="0" w:space="0" w:color="auto"/>
        <w:right w:val="none" w:sz="0" w:space="0" w:color="auto"/>
      </w:divBdr>
      <w:divsChild>
        <w:div w:id="761493358">
          <w:marLeft w:val="0"/>
          <w:marRight w:val="0"/>
          <w:marTop w:val="0"/>
          <w:marBottom w:val="0"/>
          <w:divBdr>
            <w:top w:val="none" w:sz="0" w:space="0" w:color="auto"/>
            <w:left w:val="none" w:sz="0" w:space="0" w:color="auto"/>
            <w:bottom w:val="none" w:sz="0" w:space="0" w:color="auto"/>
            <w:right w:val="none" w:sz="0" w:space="0" w:color="auto"/>
          </w:divBdr>
        </w:div>
      </w:divsChild>
    </w:div>
    <w:div w:id="1736270947">
      <w:bodyDiv w:val="1"/>
      <w:marLeft w:val="0"/>
      <w:marRight w:val="0"/>
      <w:marTop w:val="0"/>
      <w:marBottom w:val="0"/>
      <w:divBdr>
        <w:top w:val="none" w:sz="0" w:space="0" w:color="auto"/>
        <w:left w:val="none" w:sz="0" w:space="0" w:color="auto"/>
        <w:bottom w:val="none" w:sz="0" w:space="0" w:color="auto"/>
        <w:right w:val="none" w:sz="0" w:space="0" w:color="auto"/>
      </w:divBdr>
      <w:divsChild>
        <w:div w:id="617689284">
          <w:marLeft w:val="0"/>
          <w:marRight w:val="0"/>
          <w:marTop w:val="0"/>
          <w:marBottom w:val="0"/>
          <w:divBdr>
            <w:top w:val="none" w:sz="0" w:space="0" w:color="auto"/>
            <w:left w:val="none" w:sz="0" w:space="0" w:color="auto"/>
            <w:bottom w:val="none" w:sz="0" w:space="0" w:color="auto"/>
            <w:right w:val="none" w:sz="0" w:space="0" w:color="auto"/>
          </w:divBdr>
        </w:div>
      </w:divsChild>
    </w:div>
    <w:div w:id="1748728206">
      <w:bodyDiv w:val="1"/>
      <w:marLeft w:val="0"/>
      <w:marRight w:val="0"/>
      <w:marTop w:val="0"/>
      <w:marBottom w:val="0"/>
      <w:divBdr>
        <w:top w:val="none" w:sz="0" w:space="0" w:color="auto"/>
        <w:left w:val="none" w:sz="0" w:space="0" w:color="auto"/>
        <w:bottom w:val="none" w:sz="0" w:space="0" w:color="auto"/>
        <w:right w:val="none" w:sz="0" w:space="0" w:color="auto"/>
      </w:divBdr>
      <w:divsChild>
        <w:div w:id="348410668">
          <w:marLeft w:val="0"/>
          <w:marRight w:val="0"/>
          <w:marTop w:val="0"/>
          <w:marBottom w:val="0"/>
          <w:divBdr>
            <w:top w:val="none" w:sz="0" w:space="0" w:color="auto"/>
            <w:left w:val="none" w:sz="0" w:space="0" w:color="auto"/>
            <w:bottom w:val="none" w:sz="0" w:space="0" w:color="auto"/>
            <w:right w:val="none" w:sz="0" w:space="0" w:color="auto"/>
          </w:divBdr>
        </w:div>
      </w:divsChild>
    </w:div>
    <w:div w:id="1750737518">
      <w:bodyDiv w:val="1"/>
      <w:marLeft w:val="0"/>
      <w:marRight w:val="0"/>
      <w:marTop w:val="0"/>
      <w:marBottom w:val="0"/>
      <w:divBdr>
        <w:top w:val="none" w:sz="0" w:space="0" w:color="auto"/>
        <w:left w:val="none" w:sz="0" w:space="0" w:color="auto"/>
        <w:bottom w:val="none" w:sz="0" w:space="0" w:color="auto"/>
        <w:right w:val="none" w:sz="0" w:space="0" w:color="auto"/>
      </w:divBdr>
      <w:divsChild>
        <w:div w:id="534389792">
          <w:marLeft w:val="0"/>
          <w:marRight w:val="0"/>
          <w:marTop w:val="0"/>
          <w:marBottom w:val="0"/>
          <w:divBdr>
            <w:top w:val="none" w:sz="0" w:space="0" w:color="auto"/>
            <w:left w:val="none" w:sz="0" w:space="0" w:color="auto"/>
            <w:bottom w:val="none" w:sz="0" w:space="0" w:color="auto"/>
            <w:right w:val="none" w:sz="0" w:space="0" w:color="auto"/>
          </w:divBdr>
        </w:div>
      </w:divsChild>
    </w:div>
    <w:div w:id="1753508061">
      <w:bodyDiv w:val="1"/>
      <w:marLeft w:val="0"/>
      <w:marRight w:val="0"/>
      <w:marTop w:val="0"/>
      <w:marBottom w:val="0"/>
      <w:divBdr>
        <w:top w:val="none" w:sz="0" w:space="0" w:color="auto"/>
        <w:left w:val="none" w:sz="0" w:space="0" w:color="auto"/>
        <w:bottom w:val="none" w:sz="0" w:space="0" w:color="auto"/>
        <w:right w:val="none" w:sz="0" w:space="0" w:color="auto"/>
      </w:divBdr>
      <w:divsChild>
        <w:div w:id="617486784">
          <w:marLeft w:val="0"/>
          <w:marRight w:val="0"/>
          <w:marTop w:val="0"/>
          <w:marBottom w:val="0"/>
          <w:divBdr>
            <w:top w:val="none" w:sz="0" w:space="0" w:color="auto"/>
            <w:left w:val="none" w:sz="0" w:space="0" w:color="auto"/>
            <w:bottom w:val="none" w:sz="0" w:space="0" w:color="auto"/>
            <w:right w:val="none" w:sz="0" w:space="0" w:color="auto"/>
          </w:divBdr>
        </w:div>
      </w:divsChild>
    </w:div>
    <w:div w:id="1754811457">
      <w:bodyDiv w:val="1"/>
      <w:marLeft w:val="0"/>
      <w:marRight w:val="0"/>
      <w:marTop w:val="0"/>
      <w:marBottom w:val="0"/>
      <w:divBdr>
        <w:top w:val="none" w:sz="0" w:space="0" w:color="auto"/>
        <w:left w:val="none" w:sz="0" w:space="0" w:color="auto"/>
        <w:bottom w:val="none" w:sz="0" w:space="0" w:color="auto"/>
        <w:right w:val="none" w:sz="0" w:space="0" w:color="auto"/>
      </w:divBdr>
      <w:divsChild>
        <w:div w:id="1261527143">
          <w:marLeft w:val="0"/>
          <w:marRight w:val="0"/>
          <w:marTop w:val="0"/>
          <w:marBottom w:val="0"/>
          <w:divBdr>
            <w:top w:val="none" w:sz="0" w:space="0" w:color="auto"/>
            <w:left w:val="none" w:sz="0" w:space="0" w:color="auto"/>
            <w:bottom w:val="none" w:sz="0" w:space="0" w:color="auto"/>
            <w:right w:val="none" w:sz="0" w:space="0" w:color="auto"/>
          </w:divBdr>
        </w:div>
      </w:divsChild>
    </w:div>
    <w:div w:id="1755392345">
      <w:bodyDiv w:val="1"/>
      <w:marLeft w:val="0"/>
      <w:marRight w:val="0"/>
      <w:marTop w:val="0"/>
      <w:marBottom w:val="0"/>
      <w:divBdr>
        <w:top w:val="none" w:sz="0" w:space="0" w:color="auto"/>
        <w:left w:val="none" w:sz="0" w:space="0" w:color="auto"/>
        <w:bottom w:val="none" w:sz="0" w:space="0" w:color="auto"/>
        <w:right w:val="none" w:sz="0" w:space="0" w:color="auto"/>
      </w:divBdr>
      <w:divsChild>
        <w:div w:id="934628463">
          <w:marLeft w:val="0"/>
          <w:marRight w:val="0"/>
          <w:marTop w:val="0"/>
          <w:marBottom w:val="0"/>
          <w:divBdr>
            <w:top w:val="none" w:sz="0" w:space="0" w:color="auto"/>
            <w:left w:val="none" w:sz="0" w:space="0" w:color="auto"/>
            <w:bottom w:val="none" w:sz="0" w:space="0" w:color="auto"/>
            <w:right w:val="none" w:sz="0" w:space="0" w:color="auto"/>
          </w:divBdr>
        </w:div>
      </w:divsChild>
    </w:div>
    <w:div w:id="1768575094">
      <w:bodyDiv w:val="1"/>
      <w:marLeft w:val="0"/>
      <w:marRight w:val="0"/>
      <w:marTop w:val="0"/>
      <w:marBottom w:val="0"/>
      <w:divBdr>
        <w:top w:val="none" w:sz="0" w:space="0" w:color="auto"/>
        <w:left w:val="none" w:sz="0" w:space="0" w:color="auto"/>
        <w:bottom w:val="none" w:sz="0" w:space="0" w:color="auto"/>
        <w:right w:val="none" w:sz="0" w:space="0" w:color="auto"/>
      </w:divBdr>
      <w:divsChild>
        <w:div w:id="243802370">
          <w:marLeft w:val="0"/>
          <w:marRight w:val="0"/>
          <w:marTop w:val="0"/>
          <w:marBottom w:val="0"/>
          <w:divBdr>
            <w:top w:val="none" w:sz="0" w:space="0" w:color="auto"/>
            <w:left w:val="none" w:sz="0" w:space="0" w:color="auto"/>
            <w:bottom w:val="none" w:sz="0" w:space="0" w:color="auto"/>
            <w:right w:val="none" w:sz="0" w:space="0" w:color="auto"/>
          </w:divBdr>
        </w:div>
      </w:divsChild>
    </w:div>
    <w:div w:id="1769882824">
      <w:bodyDiv w:val="1"/>
      <w:marLeft w:val="0"/>
      <w:marRight w:val="0"/>
      <w:marTop w:val="0"/>
      <w:marBottom w:val="0"/>
      <w:divBdr>
        <w:top w:val="none" w:sz="0" w:space="0" w:color="auto"/>
        <w:left w:val="none" w:sz="0" w:space="0" w:color="auto"/>
        <w:bottom w:val="none" w:sz="0" w:space="0" w:color="auto"/>
        <w:right w:val="none" w:sz="0" w:space="0" w:color="auto"/>
      </w:divBdr>
      <w:divsChild>
        <w:div w:id="1540052103">
          <w:marLeft w:val="0"/>
          <w:marRight w:val="0"/>
          <w:marTop w:val="0"/>
          <w:marBottom w:val="0"/>
          <w:divBdr>
            <w:top w:val="none" w:sz="0" w:space="0" w:color="auto"/>
            <w:left w:val="none" w:sz="0" w:space="0" w:color="auto"/>
            <w:bottom w:val="none" w:sz="0" w:space="0" w:color="auto"/>
            <w:right w:val="none" w:sz="0" w:space="0" w:color="auto"/>
          </w:divBdr>
        </w:div>
      </w:divsChild>
    </w:div>
    <w:div w:id="1780445805">
      <w:bodyDiv w:val="1"/>
      <w:marLeft w:val="0"/>
      <w:marRight w:val="0"/>
      <w:marTop w:val="0"/>
      <w:marBottom w:val="0"/>
      <w:divBdr>
        <w:top w:val="none" w:sz="0" w:space="0" w:color="auto"/>
        <w:left w:val="none" w:sz="0" w:space="0" w:color="auto"/>
        <w:bottom w:val="none" w:sz="0" w:space="0" w:color="auto"/>
        <w:right w:val="none" w:sz="0" w:space="0" w:color="auto"/>
      </w:divBdr>
      <w:divsChild>
        <w:div w:id="1752313331">
          <w:marLeft w:val="0"/>
          <w:marRight w:val="0"/>
          <w:marTop w:val="0"/>
          <w:marBottom w:val="0"/>
          <w:divBdr>
            <w:top w:val="none" w:sz="0" w:space="0" w:color="auto"/>
            <w:left w:val="none" w:sz="0" w:space="0" w:color="auto"/>
            <w:bottom w:val="none" w:sz="0" w:space="0" w:color="auto"/>
            <w:right w:val="none" w:sz="0" w:space="0" w:color="auto"/>
          </w:divBdr>
        </w:div>
      </w:divsChild>
    </w:div>
    <w:div w:id="1793481081">
      <w:bodyDiv w:val="1"/>
      <w:marLeft w:val="0"/>
      <w:marRight w:val="0"/>
      <w:marTop w:val="0"/>
      <w:marBottom w:val="0"/>
      <w:divBdr>
        <w:top w:val="none" w:sz="0" w:space="0" w:color="auto"/>
        <w:left w:val="none" w:sz="0" w:space="0" w:color="auto"/>
        <w:bottom w:val="none" w:sz="0" w:space="0" w:color="auto"/>
        <w:right w:val="none" w:sz="0" w:space="0" w:color="auto"/>
      </w:divBdr>
      <w:divsChild>
        <w:div w:id="813375136">
          <w:marLeft w:val="0"/>
          <w:marRight w:val="0"/>
          <w:marTop w:val="0"/>
          <w:marBottom w:val="0"/>
          <w:divBdr>
            <w:top w:val="none" w:sz="0" w:space="0" w:color="auto"/>
            <w:left w:val="none" w:sz="0" w:space="0" w:color="auto"/>
            <w:bottom w:val="none" w:sz="0" w:space="0" w:color="auto"/>
            <w:right w:val="none" w:sz="0" w:space="0" w:color="auto"/>
          </w:divBdr>
        </w:div>
      </w:divsChild>
    </w:div>
    <w:div w:id="1813213906">
      <w:bodyDiv w:val="1"/>
      <w:marLeft w:val="0"/>
      <w:marRight w:val="0"/>
      <w:marTop w:val="0"/>
      <w:marBottom w:val="0"/>
      <w:divBdr>
        <w:top w:val="none" w:sz="0" w:space="0" w:color="auto"/>
        <w:left w:val="none" w:sz="0" w:space="0" w:color="auto"/>
        <w:bottom w:val="none" w:sz="0" w:space="0" w:color="auto"/>
        <w:right w:val="none" w:sz="0" w:space="0" w:color="auto"/>
      </w:divBdr>
      <w:divsChild>
        <w:div w:id="564219902">
          <w:marLeft w:val="0"/>
          <w:marRight w:val="0"/>
          <w:marTop w:val="0"/>
          <w:marBottom w:val="0"/>
          <w:divBdr>
            <w:top w:val="none" w:sz="0" w:space="0" w:color="auto"/>
            <w:left w:val="none" w:sz="0" w:space="0" w:color="auto"/>
            <w:bottom w:val="none" w:sz="0" w:space="0" w:color="auto"/>
            <w:right w:val="none" w:sz="0" w:space="0" w:color="auto"/>
          </w:divBdr>
        </w:div>
      </w:divsChild>
    </w:div>
    <w:div w:id="1822186322">
      <w:bodyDiv w:val="1"/>
      <w:marLeft w:val="0"/>
      <w:marRight w:val="0"/>
      <w:marTop w:val="0"/>
      <w:marBottom w:val="0"/>
      <w:divBdr>
        <w:top w:val="none" w:sz="0" w:space="0" w:color="auto"/>
        <w:left w:val="none" w:sz="0" w:space="0" w:color="auto"/>
        <w:bottom w:val="none" w:sz="0" w:space="0" w:color="auto"/>
        <w:right w:val="none" w:sz="0" w:space="0" w:color="auto"/>
      </w:divBdr>
      <w:divsChild>
        <w:div w:id="1645741619">
          <w:marLeft w:val="0"/>
          <w:marRight w:val="0"/>
          <w:marTop w:val="0"/>
          <w:marBottom w:val="0"/>
          <w:divBdr>
            <w:top w:val="none" w:sz="0" w:space="0" w:color="auto"/>
            <w:left w:val="none" w:sz="0" w:space="0" w:color="auto"/>
            <w:bottom w:val="none" w:sz="0" w:space="0" w:color="auto"/>
            <w:right w:val="none" w:sz="0" w:space="0" w:color="auto"/>
          </w:divBdr>
        </w:div>
      </w:divsChild>
    </w:div>
    <w:div w:id="1829592425">
      <w:bodyDiv w:val="1"/>
      <w:marLeft w:val="0"/>
      <w:marRight w:val="0"/>
      <w:marTop w:val="0"/>
      <w:marBottom w:val="0"/>
      <w:divBdr>
        <w:top w:val="none" w:sz="0" w:space="0" w:color="auto"/>
        <w:left w:val="none" w:sz="0" w:space="0" w:color="auto"/>
        <w:bottom w:val="none" w:sz="0" w:space="0" w:color="auto"/>
        <w:right w:val="none" w:sz="0" w:space="0" w:color="auto"/>
      </w:divBdr>
      <w:divsChild>
        <w:div w:id="1436747699">
          <w:marLeft w:val="0"/>
          <w:marRight w:val="0"/>
          <w:marTop w:val="0"/>
          <w:marBottom w:val="0"/>
          <w:divBdr>
            <w:top w:val="none" w:sz="0" w:space="0" w:color="auto"/>
            <w:left w:val="none" w:sz="0" w:space="0" w:color="auto"/>
            <w:bottom w:val="none" w:sz="0" w:space="0" w:color="auto"/>
            <w:right w:val="none" w:sz="0" w:space="0" w:color="auto"/>
          </w:divBdr>
        </w:div>
      </w:divsChild>
    </w:div>
    <w:div w:id="1835797684">
      <w:bodyDiv w:val="1"/>
      <w:marLeft w:val="0"/>
      <w:marRight w:val="0"/>
      <w:marTop w:val="0"/>
      <w:marBottom w:val="0"/>
      <w:divBdr>
        <w:top w:val="none" w:sz="0" w:space="0" w:color="auto"/>
        <w:left w:val="none" w:sz="0" w:space="0" w:color="auto"/>
        <w:bottom w:val="none" w:sz="0" w:space="0" w:color="auto"/>
        <w:right w:val="none" w:sz="0" w:space="0" w:color="auto"/>
      </w:divBdr>
      <w:divsChild>
        <w:div w:id="1378581319">
          <w:marLeft w:val="0"/>
          <w:marRight w:val="0"/>
          <w:marTop w:val="0"/>
          <w:marBottom w:val="0"/>
          <w:divBdr>
            <w:top w:val="none" w:sz="0" w:space="0" w:color="auto"/>
            <w:left w:val="none" w:sz="0" w:space="0" w:color="auto"/>
            <w:bottom w:val="none" w:sz="0" w:space="0" w:color="auto"/>
            <w:right w:val="none" w:sz="0" w:space="0" w:color="auto"/>
          </w:divBdr>
        </w:div>
      </w:divsChild>
    </w:div>
    <w:div w:id="1836720876">
      <w:bodyDiv w:val="1"/>
      <w:marLeft w:val="0"/>
      <w:marRight w:val="0"/>
      <w:marTop w:val="0"/>
      <w:marBottom w:val="0"/>
      <w:divBdr>
        <w:top w:val="none" w:sz="0" w:space="0" w:color="auto"/>
        <w:left w:val="none" w:sz="0" w:space="0" w:color="auto"/>
        <w:bottom w:val="none" w:sz="0" w:space="0" w:color="auto"/>
        <w:right w:val="none" w:sz="0" w:space="0" w:color="auto"/>
      </w:divBdr>
      <w:divsChild>
        <w:div w:id="1777405322">
          <w:marLeft w:val="0"/>
          <w:marRight w:val="0"/>
          <w:marTop w:val="0"/>
          <w:marBottom w:val="0"/>
          <w:divBdr>
            <w:top w:val="none" w:sz="0" w:space="0" w:color="auto"/>
            <w:left w:val="none" w:sz="0" w:space="0" w:color="auto"/>
            <w:bottom w:val="none" w:sz="0" w:space="0" w:color="auto"/>
            <w:right w:val="none" w:sz="0" w:space="0" w:color="auto"/>
          </w:divBdr>
        </w:div>
      </w:divsChild>
    </w:div>
    <w:div w:id="1839811286">
      <w:bodyDiv w:val="1"/>
      <w:marLeft w:val="0"/>
      <w:marRight w:val="0"/>
      <w:marTop w:val="0"/>
      <w:marBottom w:val="0"/>
      <w:divBdr>
        <w:top w:val="none" w:sz="0" w:space="0" w:color="auto"/>
        <w:left w:val="none" w:sz="0" w:space="0" w:color="auto"/>
        <w:bottom w:val="none" w:sz="0" w:space="0" w:color="auto"/>
        <w:right w:val="none" w:sz="0" w:space="0" w:color="auto"/>
      </w:divBdr>
      <w:divsChild>
        <w:div w:id="2044281960">
          <w:marLeft w:val="0"/>
          <w:marRight w:val="0"/>
          <w:marTop w:val="0"/>
          <w:marBottom w:val="0"/>
          <w:divBdr>
            <w:top w:val="none" w:sz="0" w:space="0" w:color="auto"/>
            <w:left w:val="none" w:sz="0" w:space="0" w:color="auto"/>
            <w:bottom w:val="none" w:sz="0" w:space="0" w:color="auto"/>
            <w:right w:val="none" w:sz="0" w:space="0" w:color="auto"/>
          </w:divBdr>
        </w:div>
      </w:divsChild>
    </w:div>
    <w:div w:id="1841652286">
      <w:bodyDiv w:val="1"/>
      <w:marLeft w:val="0"/>
      <w:marRight w:val="0"/>
      <w:marTop w:val="0"/>
      <w:marBottom w:val="0"/>
      <w:divBdr>
        <w:top w:val="none" w:sz="0" w:space="0" w:color="auto"/>
        <w:left w:val="none" w:sz="0" w:space="0" w:color="auto"/>
        <w:bottom w:val="none" w:sz="0" w:space="0" w:color="auto"/>
        <w:right w:val="none" w:sz="0" w:space="0" w:color="auto"/>
      </w:divBdr>
      <w:divsChild>
        <w:div w:id="1574970867">
          <w:marLeft w:val="0"/>
          <w:marRight w:val="0"/>
          <w:marTop w:val="0"/>
          <w:marBottom w:val="0"/>
          <w:divBdr>
            <w:top w:val="none" w:sz="0" w:space="0" w:color="auto"/>
            <w:left w:val="none" w:sz="0" w:space="0" w:color="auto"/>
            <w:bottom w:val="none" w:sz="0" w:space="0" w:color="auto"/>
            <w:right w:val="none" w:sz="0" w:space="0" w:color="auto"/>
          </w:divBdr>
        </w:div>
      </w:divsChild>
    </w:div>
    <w:div w:id="1844584277">
      <w:bodyDiv w:val="1"/>
      <w:marLeft w:val="0"/>
      <w:marRight w:val="0"/>
      <w:marTop w:val="0"/>
      <w:marBottom w:val="0"/>
      <w:divBdr>
        <w:top w:val="none" w:sz="0" w:space="0" w:color="auto"/>
        <w:left w:val="none" w:sz="0" w:space="0" w:color="auto"/>
        <w:bottom w:val="none" w:sz="0" w:space="0" w:color="auto"/>
        <w:right w:val="none" w:sz="0" w:space="0" w:color="auto"/>
      </w:divBdr>
      <w:divsChild>
        <w:div w:id="228074605">
          <w:marLeft w:val="0"/>
          <w:marRight w:val="0"/>
          <w:marTop w:val="0"/>
          <w:marBottom w:val="0"/>
          <w:divBdr>
            <w:top w:val="none" w:sz="0" w:space="0" w:color="auto"/>
            <w:left w:val="none" w:sz="0" w:space="0" w:color="auto"/>
            <w:bottom w:val="none" w:sz="0" w:space="0" w:color="auto"/>
            <w:right w:val="none" w:sz="0" w:space="0" w:color="auto"/>
          </w:divBdr>
        </w:div>
      </w:divsChild>
    </w:div>
    <w:div w:id="1844779347">
      <w:bodyDiv w:val="1"/>
      <w:marLeft w:val="0"/>
      <w:marRight w:val="0"/>
      <w:marTop w:val="0"/>
      <w:marBottom w:val="0"/>
      <w:divBdr>
        <w:top w:val="none" w:sz="0" w:space="0" w:color="auto"/>
        <w:left w:val="none" w:sz="0" w:space="0" w:color="auto"/>
        <w:bottom w:val="none" w:sz="0" w:space="0" w:color="auto"/>
        <w:right w:val="none" w:sz="0" w:space="0" w:color="auto"/>
      </w:divBdr>
      <w:divsChild>
        <w:div w:id="157966068">
          <w:marLeft w:val="0"/>
          <w:marRight w:val="0"/>
          <w:marTop w:val="0"/>
          <w:marBottom w:val="0"/>
          <w:divBdr>
            <w:top w:val="none" w:sz="0" w:space="0" w:color="auto"/>
            <w:left w:val="none" w:sz="0" w:space="0" w:color="auto"/>
            <w:bottom w:val="none" w:sz="0" w:space="0" w:color="auto"/>
            <w:right w:val="none" w:sz="0" w:space="0" w:color="auto"/>
          </w:divBdr>
        </w:div>
      </w:divsChild>
    </w:div>
    <w:div w:id="1847744696">
      <w:bodyDiv w:val="1"/>
      <w:marLeft w:val="0"/>
      <w:marRight w:val="0"/>
      <w:marTop w:val="0"/>
      <w:marBottom w:val="0"/>
      <w:divBdr>
        <w:top w:val="none" w:sz="0" w:space="0" w:color="auto"/>
        <w:left w:val="none" w:sz="0" w:space="0" w:color="auto"/>
        <w:bottom w:val="none" w:sz="0" w:space="0" w:color="auto"/>
        <w:right w:val="none" w:sz="0" w:space="0" w:color="auto"/>
      </w:divBdr>
      <w:divsChild>
        <w:div w:id="804658941">
          <w:marLeft w:val="0"/>
          <w:marRight w:val="0"/>
          <w:marTop w:val="0"/>
          <w:marBottom w:val="0"/>
          <w:divBdr>
            <w:top w:val="none" w:sz="0" w:space="0" w:color="auto"/>
            <w:left w:val="none" w:sz="0" w:space="0" w:color="auto"/>
            <w:bottom w:val="none" w:sz="0" w:space="0" w:color="auto"/>
            <w:right w:val="none" w:sz="0" w:space="0" w:color="auto"/>
          </w:divBdr>
        </w:div>
      </w:divsChild>
    </w:div>
    <w:div w:id="1864593276">
      <w:bodyDiv w:val="1"/>
      <w:marLeft w:val="0"/>
      <w:marRight w:val="0"/>
      <w:marTop w:val="0"/>
      <w:marBottom w:val="0"/>
      <w:divBdr>
        <w:top w:val="none" w:sz="0" w:space="0" w:color="auto"/>
        <w:left w:val="none" w:sz="0" w:space="0" w:color="auto"/>
        <w:bottom w:val="none" w:sz="0" w:space="0" w:color="auto"/>
        <w:right w:val="none" w:sz="0" w:space="0" w:color="auto"/>
      </w:divBdr>
      <w:divsChild>
        <w:div w:id="874201289">
          <w:marLeft w:val="0"/>
          <w:marRight w:val="0"/>
          <w:marTop w:val="0"/>
          <w:marBottom w:val="0"/>
          <w:divBdr>
            <w:top w:val="none" w:sz="0" w:space="0" w:color="auto"/>
            <w:left w:val="none" w:sz="0" w:space="0" w:color="auto"/>
            <w:bottom w:val="none" w:sz="0" w:space="0" w:color="auto"/>
            <w:right w:val="none" w:sz="0" w:space="0" w:color="auto"/>
          </w:divBdr>
        </w:div>
      </w:divsChild>
    </w:div>
    <w:div w:id="1867253084">
      <w:bodyDiv w:val="1"/>
      <w:marLeft w:val="0"/>
      <w:marRight w:val="0"/>
      <w:marTop w:val="0"/>
      <w:marBottom w:val="0"/>
      <w:divBdr>
        <w:top w:val="none" w:sz="0" w:space="0" w:color="auto"/>
        <w:left w:val="none" w:sz="0" w:space="0" w:color="auto"/>
        <w:bottom w:val="none" w:sz="0" w:space="0" w:color="auto"/>
        <w:right w:val="none" w:sz="0" w:space="0" w:color="auto"/>
      </w:divBdr>
      <w:divsChild>
        <w:div w:id="1849758387">
          <w:marLeft w:val="0"/>
          <w:marRight w:val="0"/>
          <w:marTop w:val="0"/>
          <w:marBottom w:val="0"/>
          <w:divBdr>
            <w:top w:val="none" w:sz="0" w:space="0" w:color="auto"/>
            <w:left w:val="none" w:sz="0" w:space="0" w:color="auto"/>
            <w:bottom w:val="none" w:sz="0" w:space="0" w:color="auto"/>
            <w:right w:val="none" w:sz="0" w:space="0" w:color="auto"/>
          </w:divBdr>
        </w:div>
      </w:divsChild>
    </w:div>
    <w:div w:id="1872036614">
      <w:bodyDiv w:val="1"/>
      <w:marLeft w:val="0"/>
      <w:marRight w:val="0"/>
      <w:marTop w:val="0"/>
      <w:marBottom w:val="0"/>
      <w:divBdr>
        <w:top w:val="none" w:sz="0" w:space="0" w:color="auto"/>
        <w:left w:val="none" w:sz="0" w:space="0" w:color="auto"/>
        <w:bottom w:val="none" w:sz="0" w:space="0" w:color="auto"/>
        <w:right w:val="none" w:sz="0" w:space="0" w:color="auto"/>
      </w:divBdr>
    </w:div>
    <w:div w:id="1878421535">
      <w:bodyDiv w:val="1"/>
      <w:marLeft w:val="0"/>
      <w:marRight w:val="0"/>
      <w:marTop w:val="0"/>
      <w:marBottom w:val="0"/>
      <w:divBdr>
        <w:top w:val="none" w:sz="0" w:space="0" w:color="auto"/>
        <w:left w:val="none" w:sz="0" w:space="0" w:color="auto"/>
        <w:bottom w:val="none" w:sz="0" w:space="0" w:color="auto"/>
        <w:right w:val="none" w:sz="0" w:space="0" w:color="auto"/>
      </w:divBdr>
      <w:divsChild>
        <w:div w:id="302395091">
          <w:marLeft w:val="0"/>
          <w:marRight w:val="0"/>
          <w:marTop w:val="0"/>
          <w:marBottom w:val="0"/>
          <w:divBdr>
            <w:top w:val="none" w:sz="0" w:space="0" w:color="auto"/>
            <w:left w:val="none" w:sz="0" w:space="0" w:color="auto"/>
            <w:bottom w:val="none" w:sz="0" w:space="0" w:color="auto"/>
            <w:right w:val="none" w:sz="0" w:space="0" w:color="auto"/>
          </w:divBdr>
        </w:div>
      </w:divsChild>
    </w:div>
    <w:div w:id="1890338443">
      <w:bodyDiv w:val="1"/>
      <w:marLeft w:val="0"/>
      <w:marRight w:val="0"/>
      <w:marTop w:val="0"/>
      <w:marBottom w:val="0"/>
      <w:divBdr>
        <w:top w:val="none" w:sz="0" w:space="0" w:color="auto"/>
        <w:left w:val="none" w:sz="0" w:space="0" w:color="auto"/>
        <w:bottom w:val="none" w:sz="0" w:space="0" w:color="auto"/>
        <w:right w:val="none" w:sz="0" w:space="0" w:color="auto"/>
      </w:divBdr>
      <w:divsChild>
        <w:div w:id="542448364">
          <w:marLeft w:val="0"/>
          <w:marRight w:val="0"/>
          <w:marTop w:val="0"/>
          <w:marBottom w:val="0"/>
          <w:divBdr>
            <w:top w:val="none" w:sz="0" w:space="0" w:color="auto"/>
            <w:left w:val="none" w:sz="0" w:space="0" w:color="auto"/>
            <w:bottom w:val="none" w:sz="0" w:space="0" w:color="auto"/>
            <w:right w:val="none" w:sz="0" w:space="0" w:color="auto"/>
          </w:divBdr>
        </w:div>
      </w:divsChild>
    </w:div>
    <w:div w:id="1892840036">
      <w:bodyDiv w:val="1"/>
      <w:marLeft w:val="0"/>
      <w:marRight w:val="0"/>
      <w:marTop w:val="0"/>
      <w:marBottom w:val="0"/>
      <w:divBdr>
        <w:top w:val="none" w:sz="0" w:space="0" w:color="auto"/>
        <w:left w:val="none" w:sz="0" w:space="0" w:color="auto"/>
        <w:bottom w:val="none" w:sz="0" w:space="0" w:color="auto"/>
        <w:right w:val="none" w:sz="0" w:space="0" w:color="auto"/>
      </w:divBdr>
      <w:divsChild>
        <w:div w:id="1298029774">
          <w:marLeft w:val="0"/>
          <w:marRight w:val="0"/>
          <w:marTop w:val="0"/>
          <w:marBottom w:val="0"/>
          <w:divBdr>
            <w:top w:val="none" w:sz="0" w:space="0" w:color="auto"/>
            <w:left w:val="none" w:sz="0" w:space="0" w:color="auto"/>
            <w:bottom w:val="none" w:sz="0" w:space="0" w:color="auto"/>
            <w:right w:val="none" w:sz="0" w:space="0" w:color="auto"/>
          </w:divBdr>
        </w:div>
      </w:divsChild>
    </w:div>
    <w:div w:id="1894465110">
      <w:bodyDiv w:val="1"/>
      <w:marLeft w:val="0"/>
      <w:marRight w:val="0"/>
      <w:marTop w:val="0"/>
      <w:marBottom w:val="0"/>
      <w:divBdr>
        <w:top w:val="none" w:sz="0" w:space="0" w:color="auto"/>
        <w:left w:val="none" w:sz="0" w:space="0" w:color="auto"/>
        <w:bottom w:val="none" w:sz="0" w:space="0" w:color="auto"/>
        <w:right w:val="none" w:sz="0" w:space="0" w:color="auto"/>
      </w:divBdr>
    </w:div>
    <w:div w:id="1900940678">
      <w:bodyDiv w:val="1"/>
      <w:marLeft w:val="0"/>
      <w:marRight w:val="0"/>
      <w:marTop w:val="0"/>
      <w:marBottom w:val="0"/>
      <w:divBdr>
        <w:top w:val="none" w:sz="0" w:space="0" w:color="auto"/>
        <w:left w:val="none" w:sz="0" w:space="0" w:color="auto"/>
        <w:bottom w:val="none" w:sz="0" w:space="0" w:color="auto"/>
        <w:right w:val="none" w:sz="0" w:space="0" w:color="auto"/>
      </w:divBdr>
      <w:divsChild>
        <w:div w:id="464155022">
          <w:marLeft w:val="0"/>
          <w:marRight w:val="0"/>
          <w:marTop w:val="0"/>
          <w:marBottom w:val="0"/>
          <w:divBdr>
            <w:top w:val="none" w:sz="0" w:space="0" w:color="auto"/>
            <w:left w:val="none" w:sz="0" w:space="0" w:color="auto"/>
            <w:bottom w:val="none" w:sz="0" w:space="0" w:color="auto"/>
            <w:right w:val="none" w:sz="0" w:space="0" w:color="auto"/>
          </w:divBdr>
        </w:div>
      </w:divsChild>
    </w:div>
    <w:div w:id="1916275885">
      <w:bodyDiv w:val="1"/>
      <w:marLeft w:val="0"/>
      <w:marRight w:val="0"/>
      <w:marTop w:val="0"/>
      <w:marBottom w:val="0"/>
      <w:divBdr>
        <w:top w:val="none" w:sz="0" w:space="0" w:color="auto"/>
        <w:left w:val="none" w:sz="0" w:space="0" w:color="auto"/>
        <w:bottom w:val="none" w:sz="0" w:space="0" w:color="auto"/>
        <w:right w:val="none" w:sz="0" w:space="0" w:color="auto"/>
      </w:divBdr>
      <w:divsChild>
        <w:div w:id="1243029252">
          <w:marLeft w:val="0"/>
          <w:marRight w:val="0"/>
          <w:marTop w:val="0"/>
          <w:marBottom w:val="0"/>
          <w:divBdr>
            <w:top w:val="none" w:sz="0" w:space="0" w:color="auto"/>
            <w:left w:val="none" w:sz="0" w:space="0" w:color="auto"/>
            <w:bottom w:val="none" w:sz="0" w:space="0" w:color="auto"/>
            <w:right w:val="none" w:sz="0" w:space="0" w:color="auto"/>
          </w:divBdr>
        </w:div>
      </w:divsChild>
    </w:div>
    <w:div w:id="1938253221">
      <w:bodyDiv w:val="1"/>
      <w:marLeft w:val="0"/>
      <w:marRight w:val="0"/>
      <w:marTop w:val="0"/>
      <w:marBottom w:val="0"/>
      <w:divBdr>
        <w:top w:val="none" w:sz="0" w:space="0" w:color="auto"/>
        <w:left w:val="none" w:sz="0" w:space="0" w:color="auto"/>
        <w:bottom w:val="none" w:sz="0" w:space="0" w:color="auto"/>
        <w:right w:val="none" w:sz="0" w:space="0" w:color="auto"/>
      </w:divBdr>
      <w:divsChild>
        <w:div w:id="1129277163">
          <w:marLeft w:val="0"/>
          <w:marRight w:val="0"/>
          <w:marTop w:val="0"/>
          <w:marBottom w:val="0"/>
          <w:divBdr>
            <w:top w:val="none" w:sz="0" w:space="0" w:color="auto"/>
            <w:left w:val="none" w:sz="0" w:space="0" w:color="auto"/>
            <w:bottom w:val="none" w:sz="0" w:space="0" w:color="auto"/>
            <w:right w:val="none" w:sz="0" w:space="0" w:color="auto"/>
          </w:divBdr>
        </w:div>
      </w:divsChild>
    </w:div>
    <w:div w:id="1940596541">
      <w:bodyDiv w:val="1"/>
      <w:marLeft w:val="0"/>
      <w:marRight w:val="0"/>
      <w:marTop w:val="0"/>
      <w:marBottom w:val="0"/>
      <w:divBdr>
        <w:top w:val="none" w:sz="0" w:space="0" w:color="auto"/>
        <w:left w:val="none" w:sz="0" w:space="0" w:color="auto"/>
        <w:bottom w:val="none" w:sz="0" w:space="0" w:color="auto"/>
        <w:right w:val="none" w:sz="0" w:space="0" w:color="auto"/>
      </w:divBdr>
      <w:divsChild>
        <w:div w:id="2011135311">
          <w:marLeft w:val="0"/>
          <w:marRight w:val="0"/>
          <w:marTop w:val="0"/>
          <w:marBottom w:val="0"/>
          <w:divBdr>
            <w:top w:val="none" w:sz="0" w:space="0" w:color="auto"/>
            <w:left w:val="none" w:sz="0" w:space="0" w:color="auto"/>
            <w:bottom w:val="none" w:sz="0" w:space="0" w:color="auto"/>
            <w:right w:val="none" w:sz="0" w:space="0" w:color="auto"/>
          </w:divBdr>
        </w:div>
      </w:divsChild>
    </w:div>
    <w:div w:id="1965429537">
      <w:bodyDiv w:val="1"/>
      <w:marLeft w:val="0"/>
      <w:marRight w:val="0"/>
      <w:marTop w:val="0"/>
      <w:marBottom w:val="0"/>
      <w:divBdr>
        <w:top w:val="none" w:sz="0" w:space="0" w:color="auto"/>
        <w:left w:val="none" w:sz="0" w:space="0" w:color="auto"/>
        <w:bottom w:val="none" w:sz="0" w:space="0" w:color="auto"/>
        <w:right w:val="none" w:sz="0" w:space="0" w:color="auto"/>
      </w:divBdr>
    </w:div>
    <w:div w:id="1969360861">
      <w:bodyDiv w:val="1"/>
      <w:marLeft w:val="0"/>
      <w:marRight w:val="0"/>
      <w:marTop w:val="0"/>
      <w:marBottom w:val="0"/>
      <w:divBdr>
        <w:top w:val="none" w:sz="0" w:space="0" w:color="auto"/>
        <w:left w:val="none" w:sz="0" w:space="0" w:color="auto"/>
        <w:bottom w:val="none" w:sz="0" w:space="0" w:color="auto"/>
        <w:right w:val="none" w:sz="0" w:space="0" w:color="auto"/>
      </w:divBdr>
      <w:divsChild>
        <w:div w:id="689453206">
          <w:marLeft w:val="0"/>
          <w:marRight w:val="0"/>
          <w:marTop w:val="0"/>
          <w:marBottom w:val="0"/>
          <w:divBdr>
            <w:top w:val="none" w:sz="0" w:space="0" w:color="auto"/>
            <w:left w:val="none" w:sz="0" w:space="0" w:color="auto"/>
            <w:bottom w:val="none" w:sz="0" w:space="0" w:color="auto"/>
            <w:right w:val="none" w:sz="0" w:space="0" w:color="auto"/>
          </w:divBdr>
        </w:div>
      </w:divsChild>
    </w:div>
    <w:div w:id="1971668766">
      <w:bodyDiv w:val="1"/>
      <w:marLeft w:val="0"/>
      <w:marRight w:val="0"/>
      <w:marTop w:val="0"/>
      <w:marBottom w:val="0"/>
      <w:divBdr>
        <w:top w:val="none" w:sz="0" w:space="0" w:color="auto"/>
        <w:left w:val="none" w:sz="0" w:space="0" w:color="auto"/>
        <w:bottom w:val="none" w:sz="0" w:space="0" w:color="auto"/>
        <w:right w:val="none" w:sz="0" w:space="0" w:color="auto"/>
      </w:divBdr>
      <w:divsChild>
        <w:div w:id="1584410954">
          <w:marLeft w:val="0"/>
          <w:marRight w:val="0"/>
          <w:marTop w:val="0"/>
          <w:marBottom w:val="0"/>
          <w:divBdr>
            <w:top w:val="none" w:sz="0" w:space="0" w:color="auto"/>
            <w:left w:val="none" w:sz="0" w:space="0" w:color="auto"/>
            <w:bottom w:val="none" w:sz="0" w:space="0" w:color="auto"/>
            <w:right w:val="none" w:sz="0" w:space="0" w:color="auto"/>
          </w:divBdr>
        </w:div>
      </w:divsChild>
    </w:div>
    <w:div w:id="1987465209">
      <w:bodyDiv w:val="1"/>
      <w:marLeft w:val="0"/>
      <w:marRight w:val="0"/>
      <w:marTop w:val="0"/>
      <w:marBottom w:val="0"/>
      <w:divBdr>
        <w:top w:val="none" w:sz="0" w:space="0" w:color="auto"/>
        <w:left w:val="none" w:sz="0" w:space="0" w:color="auto"/>
        <w:bottom w:val="none" w:sz="0" w:space="0" w:color="auto"/>
        <w:right w:val="none" w:sz="0" w:space="0" w:color="auto"/>
      </w:divBdr>
      <w:divsChild>
        <w:div w:id="9264848">
          <w:marLeft w:val="0"/>
          <w:marRight w:val="0"/>
          <w:marTop w:val="0"/>
          <w:marBottom w:val="0"/>
          <w:divBdr>
            <w:top w:val="none" w:sz="0" w:space="0" w:color="auto"/>
            <w:left w:val="none" w:sz="0" w:space="0" w:color="auto"/>
            <w:bottom w:val="none" w:sz="0" w:space="0" w:color="auto"/>
            <w:right w:val="none" w:sz="0" w:space="0" w:color="auto"/>
          </w:divBdr>
        </w:div>
      </w:divsChild>
    </w:div>
    <w:div w:id="1989359126">
      <w:bodyDiv w:val="1"/>
      <w:marLeft w:val="0"/>
      <w:marRight w:val="0"/>
      <w:marTop w:val="0"/>
      <w:marBottom w:val="0"/>
      <w:divBdr>
        <w:top w:val="none" w:sz="0" w:space="0" w:color="auto"/>
        <w:left w:val="none" w:sz="0" w:space="0" w:color="auto"/>
        <w:bottom w:val="none" w:sz="0" w:space="0" w:color="auto"/>
        <w:right w:val="none" w:sz="0" w:space="0" w:color="auto"/>
      </w:divBdr>
      <w:divsChild>
        <w:div w:id="1588273060">
          <w:marLeft w:val="0"/>
          <w:marRight w:val="0"/>
          <w:marTop w:val="0"/>
          <w:marBottom w:val="0"/>
          <w:divBdr>
            <w:top w:val="none" w:sz="0" w:space="0" w:color="auto"/>
            <w:left w:val="none" w:sz="0" w:space="0" w:color="auto"/>
            <w:bottom w:val="none" w:sz="0" w:space="0" w:color="auto"/>
            <w:right w:val="none" w:sz="0" w:space="0" w:color="auto"/>
          </w:divBdr>
        </w:div>
      </w:divsChild>
    </w:div>
    <w:div w:id="1991015476">
      <w:bodyDiv w:val="1"/>
      <w:marLeft w:val="0"/>
      <w:marRight w:val="0"/>
      <w:marTop w:val="0"/>
      <w:marBottom w:val="0"/>
      <w:divBdr>
        <w:top w:val="none" w:sz="0" w:space="0" w:color="auto"/>
        <w:left w:val="none" w:sz="0" w:space="0" w:color="auto"/>
        <w:bottom w:val="none" w:sz="0" w:space="0" w:color="auto"/>
        <w:right w:val="none" w:sz="0" w:space="0" w:color="auto"/>
      </w:divBdr>
      <w:divsChild>
        <w:div w:id="1803229993">
          <w:marLeft w:val="0"/>
          <w:marRight w:val="0"/>
          <w:marTop w:val="0"/>
          <w:marBottom w:val="0"/>
          <w:divBdr>
            <w:top w:val="none" w:sz="0" w:space="0" w:color="auto"/>
            <w:left w:val="none" w:sz="0" w:space="0" w:color="auto"/>
            <w:bottom w:val="none" w:sz="0" w:space="0" w:color="auto"/>
            <w:right w:val="none" w:sz="0" w:space="0" w:color="auto"/>
          </w:divBdr>
        </w:div>
      </w:divsChild>
    </w:div>
    <w:div w:id="1996446655">
      <w:bodyDiv w:val="1"/>
      <w:marLeft w:val="0"/>
      <w:marRight w:val="0"/>
      <w:marTop w:val="0"/>
      <w:marBottom w:val="0"/>
      <w:divBdr>
        <w:top w:val="none" w:sz="0" w:space="0" w:color="auto"/>
        <w:left w:val="none" w:sz="0" w:space="0" w:color="auto"/>
        <w:bottom w:val="none" w:sz="0" w:space="0" w:color="auto"/>
        <w:right w:val="none" w:sz="0" w:space="0" w:color="auto"/>
      </w:divBdr>
    </w:div>
    <w:div w:id="1999652279">
      <w:bodyDiv w:val="1"/>
      <w:marLeft w:val="0"/>
      <w:marRight w:val="0"/>
      <w:marTop w:val="0"/>
      <w:marBottom w:val="0"/>
      <w:divBdr>
        <w:top w:val="none" w:sz="0" w:space="0" w:color="auto"/>
        <w:left w:val="none" w:sz="0" w:space="0" w:color="auto"/>
        <w:bottom w:val="none" w:sz="0" w:space="0" w:color="auto"/>
        <w:right w:val="none" w:sz="0" w:space="0" w:color="auto"/>
      </w:divBdr>
      <w:divsChild>
        <w:div w:id="1820534876">
          <w:marLeft w:val="0"/>
          <w:marRight w:val="0"/>
          <w:marTop w:val="0"/>
          <w:marBottom w:val="0"/>
          <w:divBdr>
            <w:top w:val="none" w:sz="0" w:space="0" w:color="auto"/>
            <w:left w:val="none" w:sz="0" w:space="0" w:color="auto"/>
            <w:bottom w:val="none" w:sz="0" w:space="0" w:color="auto"/>
            <w:right w:val="none" w:sz="0" w:space="0" w:color="auto"/>
          </w:divBdr>
        </w:div>
      </w:divsChild>
    </w:div>
    <w:div w:id="2001301810">
      <w:bodyDiv w:val="1"/>
      <w:marLeft w:val="0"/>
      <w:marRight w:val="0"/>
      <w:marTop w:val="0"/>
      <w:marBottom w:val="0"/>
      <w:divBdr>
        <w:top w:val="none" w:sz="0" w:space="0" w:color="auto"/>
        <w:left w:val="none" w:sz="0" w:space="0" w:color="auto"/>
        <w:bottom w:val="none" w:sz="0" w:space="0" w:color="auto"/>
        <w:right w:val="none" w:sz="0" w:space="0" w:color="auto"/>
      </w:divBdr>
      <w:divsChild>
        <w:div w:id="808396399">
          <w:marLeft w:val="0"/>
          <w:marRight w:val="0"/>
          <w:marTop w:val="0"/>
          <w:marBottom w:val="0"/>
          <w:divBdr>
            <w:top w:val="none" w:sz="0" w:space="0" w:color="auto"/>
            <w:left w:val="none" w:sz="0" w:space="0" w:color="auto"/>
            <w:bottom w:val="none" w:sz="0" w:space="0" w:color="auto"/>
            <w:right w:val="none" w:sz="0" w:space="0" w:color="auto"/>
          </w:divBdr>
        </w:div>
      </w:divsChild>
    </w:div>
    <w:div w:id="2002544900">
      <w:bodyDiv w:val="1"/>
      <w:marLeft w:val="0"/>
      <w:marRight w:val="0"/>
      <w:marTop w:val="0"/>
      <w:marBottom w:val="0"/>
      <w:divBdr>
        <w:top w:val="none" w:sz="0" w:space="0" w:color="auto"/>
        <w:left w:val="none" w:sz="0" w:space="0" w:color="auto"/>
        <w:bottom w:val="none" w:sz="0" w:space="0" w:color="auto"/>
        <w:right w:val="none" w:sz="0" w:space="0" w:color="auto"/>
      </w:divBdr>
    </w:div>
    <w:div w:id="2011372698">
      <w:bodyDiv w:val="1"/>
      <w:marLeft w:val="0"/>
      <w:marRight w:val="0"/>
      <w:marTop w:val="0"/>
      <w:marBottom w:val="0"/>
      <w:divBdr>
        <w:top w:val="none" w:sz="0" w:space="0" w:color="auto"/>
        <w:left w:val="none" w:sz="0" w:space="0" w:color="auto"/>
        <w:bottom w:val="none" w:sz="0" w:space="0" w:color="auto"/>
        <w:right w:val="none" w:sz="0" w:space="0" w:color="auto"/>
      </w:divBdr>
      <w:divsChild>
        <w:div w:id="798303261">
          <w:marLeft w:val="0"/>
          <w:marRight w:val="0"/>
          <w:marTop w:val="0"/>
          <w:marBottom w:val="0"/>
          <w:divBdr>
            <w:top w:val="none" w:sz="0" w:space="0" w:color="auto"/>
            <w:left w:val="none" w:sz="0" w:space="0" w:color="auto"/>
            <w:bottom w:val="none" w:sz="0" w:space="0" w:color="auto"/>
            <w:right w:val="none" w:sz="0" w:space="0" w:color="auto"/>
          </w:divBdr>
        </w:div>
      </w:divsChild>
    </w:div>
    <w:div w:id="2011831479">
      <w:bodyDiv w:val="1"/>
      <w:marLeft w:val="0"/>
      <w:marRight w:val="0"/>
      <w:marTop w:val="0"/>
      <w:marBottom w:val="0"/>
      <w:divBdr>
        <w:top w:val="none" w:sz="0" w:space="0" w:color="auto"/>
        <w:left w:val="none" w:sz="0" w:space="0" w:color="auto"/>
        <w:bottom w:val="none" w:sz="0" w:space="0" w:color="auto"/>
        <w:right w:val="none" w:sz="0" w:space="0" w:color="auto"/>
      </w:divBdr>
      <w:divsChild>
        <w:div w:id="602493974">
          <w:marLeft w:val="0"/>
          <w:marRight w:val="0"/>
          <w:marTop w:val="0"/>
          <w:marBottom w:val="0"/>
          <w:divBdr>
            <w:top w:val="none" w:sz="0" w:space="0" w:color="auto"/>
            <w:left w:val="none" w:sz="0" w:space="0" w:color="auto"/>
            <w:bottom w:val="none" w:sz="0" w:space="0" w:color="auto"/>
            <w:right w:val="none" w:sz="0" w:space="0" w:color="auto"/>
          </w:divBdr>
        </w:div>
      </w:divsChild>
    </w:div>
    <w:div w:id="2016223465">
      <w:bodyDiv w:val="1"/>
      <w:marLeft w:val="0"/>
      <w:marRight w:val="0"/>
      <w:marTop w:val="0"/>
      <w:marBottom w:val="0"/>
      <w:divBdr>
        <w:top w:val="none" w:sz="0" w:space="0" w:color="auto"/>
        <w:left w:val="none" w:sz="0" w:space="0" w:color="auto"/>
        <w:bottom w:val="none" w:sz="0" w:space="0" w:color="auto"/>
        <w:right w:val="none" w:sz="0" w:space="0" w:color="auto"/>
      </w:divBdr>
    </w:div>
    <w:div w:id="2019502921">
      <w:bodyDiv w:val="1"/>
      <w:marLeft w:val="0"/>
      <w:marRight w:val="0"/>
      <w:marTop w:val="0"/>
      <w:marBottom w:val="0"/>
      <w:divBdr>
        <w:top w:val="none" w:sz="0" w:space="0" w:color="auto"/>
        <w:left w:val="none" w:sz="0" w:space="0" w:color="auto"/>
        <w:bottom w:val="none" w:sz="0" w:space="0" w:color="auto"/>
        <w:right w:val="none" w:sz="0" w:space="0" w:color="auto"/>
      </w:divBdr>
      <w:divsChild>
        <w:div w:id="239487631">
          <w:marLeft w:val="0"/>
          <w:marRight w:val="0"/>
          <w:marTop w:val="0"/>
          <w:marBottom w:val="0"/>
          <w:divBdr>
            <w:top w:val="none" w:sz="0" w:space="0" w:color="auto"/>
            <w:left w:val="none" w:sz="0" w:space="0" w:color="auto"/>
            <w:bottom w:val="none" w:sz="0" w:space="0" w:color="auto"/>
            <w:right w:val="none" w:sz="0" w:space="0" w:color="auto"/>
          </w:divBdr>
        </w:div>
      </w:divsChild>
    </w:div>
    <w:div w:id="2025281486">
      <w:bodyDiv w:val="1"/>
      <w:marLeft w:val="0"/>
      <w:marRight w:val="0"/>
      <w:marTop w:val="0"/>
      <w:marBottom w:val="0"/>
      <w:divBdr>
        <w:top w:val="none" w:sz="0" w:space="0" w:color="auto"/>
        <w:left w:val="none" w:sz="0" w:space="0" w:color="auto"/>
        <w:bottom w:val="none" w:sz="0" w:space="0" w:color="auto"/>
        <w:right w:val="none" w:sz="0" w:space="0" w:color="auto"/>
      </w:divBdr>
      <w:divsChild>
        <w:div w:id="110907157">
          <w:marLeft w:val="0"/>
          <w:marRight w:val="0"/>
          <w:marTop w:val="0"/>
          <w:marBottom w:val="0"/>
          <w:divBdr>
            <w:top w:val="none" w:sz="0" w:space="0" w:color="auto"/>
            <w:left w:val="none" w:sz="0" w:space="0" w:color="auto"/>
            <w:bottom w:val="none" w:sz="0" w:space="0" w:color="auto"/>
            <w:right w:val="none" w:sz="0" w:space="0" w:color="auto"/>
          </w:divBdr>
        </w:div>
      </w:divsChild>
    </w:div>
    <w:div w:id="2040860842">
      <w:bodyDiv w:val="1"/>
      <w:marLeft w:val="0"/>
      <w:marRight w:val="0"/>
      <w:marTop w:val="0"/>
      <w:marBottom w:val="0"/>
      <w:divBdr>
        <w:top w:val="none" w:sz="0" w:space="0" w:color="auto"/>
        <w:left w:val="none" w:sz="0" w:space="0" w:color="auto"/>
        <w:bottom w:val="none" w:sz="0" w:space="0" w:color="auto"/>
        <w:right w:val="none" w:sz="0" w:space="0" w:color="auto"/>
      </w:divBdr>
      <w:divsChild>
        <w:div w:id="909119302">
          <w:marLeft w:val="0"/>
          <w:marRight w:val="0"/>
          <w:marTop w:val="0"/>
          <w:marBottom w:val="0"/>
          <w:divBdr>
            <w:top w:val="none" w:sz="0" w:space="0" w:color="auto"/>
            <w:left w:val="none" w:sz="0" w:space="0" w:color="auto"/>
            <w:bottom w:val="none" w:sz="0" w:space="0" w:color="auto"/>
            <w:right w:val="none" w:sz="0" w:space="0" w:color="auto"/>
          </w:divBdr>
        </w:div>
      </w:divsChild>
    </w:div>
    <w:div w:id="2055810315">
      <w:bodyDiv w:val="1"/>
      <w:marLeft w:val="0"/>
      <w:marRight w:val="0"/>
      <w:marTop w:val="0"/>
      <w:marBottom w:val="0"/>
      <w:divBdr>
        <w:top w:val="none" w:sz="0" w:space="0" w:color="auto"/>
        <w:left w:val="none" w:sz="0" w:space="0" w:color="auto"/>
        <w:bottom w:val="none" w:sz="0" w:space="0" w:color="auto"/>
        <w:right w:val="none" w:sz="0" w:space="0" w:color="auto"/>
      </w:divBdr>
      <w:divsChild>
        <w:div w:id="740568624">
          <w:marLeft w:val="0"/>
          <w:marRight w:val="0"/>
          <w:marTop w:val="0"/>
          <w:marBottom w:val="0"/>
          <w:divBdr>
            <w:top w:val="none" w:sz="0" w:space="0" w:color="auto"/>
            <w:left w:val="none" w:sz="0" w:space="0" w:color="auto"/>
            <w:bottom w:val="none" w:sz="0" w:space="0" w:color="auto"/>
            <w:right w:val="none" w:sz="0" w:space="0" w:color="auto"/>
          </w:divBdr>
        </w:div>
      </w:divsChild>
    </w:div>
    <w:div w:id="2059428673">
      <w:bodyDiv w:val="1"/>
      <w:marLeft w:val="0"/>
      <w:marRight w:val="0"/>
      <w:marTop w:val="0"/>
      <w:marBottom w:val="0"/>
      <w:divBdr>
        <w:top w:val="none" w:sz="0" w:space="0" w:color="auto"/>
        <w:left w:val="none" w:sz="0" w:space="0" w:color="auto"/>
        <w:bottom w:val="none" w:sz="0" w:space="0" w:color="auto"/>
        <w:right w:val="none" w:sz="0" w:space="0" w:color="auto"/>
      </w:divBdr>
      <w:divsChild>
        <w:div w:id="1739478465">
          <w:marLeft w:val="0"/>
          <w:marRight w:val="0"/>
          <w:marTop w:val="0"/>
          <w:marBottom w:val="0"/>
          <w:divBdr>
            <w:top w:val="none" w:sz="0" w:space="0" w:color="auto"/>
            <w:left w:val="none" w:sz="0" w:space="0" w:color="auto"/>
            <w:bottom w:val="none" w:sz="0" w:space="0" w:color="auto"/>
            <w:right w:val="none" w:sz="0" w:space="0" w:color="auto"/>
          </w:divBdr>
        </w:div>
      </w:divsChild>
    </w:div>
    <w:div w:id="2062241754">
      <w:bodyDiv w:val="1"/>
      <w:marLeft w:val="0"/>
      <w:marRight w:val="0"/>
      <w:marTop w:val="0"/>
      <w:marBottom w:val="0"/>
      <w:divBdr>
        <w:top w:val="none" w:sz="0" w:space="0" w:color="auto"/>
        <w:left w:val="none" w:sz="0" w:space="0" w:color="auto"/>
        <w:bottom w:val="none" w:sz="0" w:space="0" w:color="auto"/>
        <w:right w:val="none" w:sz="0" w:space="0" w:color="auto"/>
      </w:divBdr>
      <w:divsChild>
        <w:div w:id="230628037">
          <w:marLeft w:val="0"/>
          <w:marRight w:val="0"/>
          <w:marTop w:val="0"/>
          <w:marBottom w:val="0"/>
          <w:divBdr>
            <w:top w:val="none" w:sz="0" w:space="0" w:color="auto"/>
            <w:left w:val="none" w:sz="0" w:space="0" w:color="auto"/>
            <w:bottom w:val="none" w:sz="0" w:space="0" w:color="auto"/>
            <w:right w:val="none" w:sz="0" w:space="0" w:color="auto"/>
          </w:divBdr>
        </w:div>
      </w:divsChild>
    </w:div>
    <w:div w:id="2070422100">
      <w:bodyDiv w:val="1"/>
      <w:marLeft w:val="0"/>
      <w:marRight w:val="0"/>
      <w:marTop w:val="0"/>
      <w:marBottom w:val="0"/>
      <w:divBdr>
        <w:top w:val="none" w:sz="0" w:space="0" w:color="auto"/>
        <w:left w:val="none" w:sz="0" w:space="0" w:color="auto"/>
        <w:bottom w:val="none" w:sz="0" w:space="0" w:color="auto"/>
        <w:right w:val="none" w:sz="0" w:space="0" w:color="auto"/>
      </w:divBdr>
      <w:divsChild>
        <w:div w:id="1456676863">
          <w:marLeft w:val="0"/>
          <w:marRight w:val="0"/>
          <w:marTop w:val="0"/>
          <w:marBottom w:val="0"/>
          <w:divBdr>
            <w:top w:val="none" w:sz="0" w:space="0" w:color="auto"/>
            <w:left w:val="none" w:sz="0" w:space="0" w:color="auto"/>
            <w:bottom w:val="none" w:sz="0" w:space="0" w:color="auto"/>
            <w:right w:val="none" w:sz="0" w:space="0" w:color="auto"/>
          </w:divBdr>
        </w:div>
      </w:divsChild>
    </w:div>
    <w:div w:id="2073041464">
      <w:bodyDiv w:val="1"/>
      <w:marLeft w:val="0"/>
      <w:marRight w:val="0"/>
      <w:marTop w:val="0"/>
      <w:marBottom w:val="0"/>
      <w:divBdr>
        <w:top w:val="none" w:sz="0" w:space="0" w:color="auto"/>
        <w:left w:val="none" w:sz="0" w:space="0" w:color="auto"/>
        <w:bottom w:val="none" w:sz="0" w:space="0" w:color="auto"/>
        <w:right w:val="none" w:sz="0" w:space="0" w:color="auto"/>
      </w:divBdr>
      <w:divsChild>
        <w:div w:id="474033772">
          <w:marLeft w:val="0"/>
          <w:marRight w:val="0"/>
          <w:marTop w:val="0"/>
          <w:marBottom w:val="0"/>
          <w:divBdr>
            <w:top w:val="none" w:sz="0" w:space="0" w:color="auto"/>
            <w:left w:val="none" w:sz="0" w:space="0" w:color="auto"/>
            <w:bottom w:val="none" w:sz="0" w:space="0" w:color="auto"/>
            <w:right w:val="none" w:sz="0" w:space="0" w:color="auto"/>
          </w:divBdr>
        </w:div>
      </w:divsChild>
    </w:div>
    <w:div w:id="2073384005">
      <w:bodyDiv w:val="1"/>
      <w:marLeft w:val="0"/>
      <w:marRight w:val="0"/>
      <w:marTop w:val="0"/>
      <w:marBottom w:val="0"/>
      <w:divBdr>
        <w:top w:val="none" w:sz="0" w:space="0" w:color="auto"/>
        <w:left w:val="none" w:sz="0" w:space="0" w:color="auto"/>
        <w:bottom w:val="none" w:sz="0" w:space="0" w:color="auto"/>
        <w:right w:val="none" w:sz="0" w:space="0" w:color="auto"/>
      </w:divBdr>
      <w:divsChild>
        <w:div w:id="1680082300">
          <w:marLeft w:val="0"/>
          <w:marRight w:val="0"/>
          <w:marTop w:val="0"/>
          <w:marBottom w:val="0"/>
          <w:divBdr>
            <w:top w:val="none" w:sz="0" w:space="0" w:color="auto"/>
            <w:left w:val="none" w:sz="0" w:space="0" w:color="auto"/>
            <w:bottom w:val="none" w:sz="0" w:space="0" w:color="auto"/>
            <w:right w:val="none" w:sz="0" w:space="0" w:color="auto"/>
          </w:divBdr>
        </w:div>
      </w:divsChild>
    </w:div>
    <w:div w:id="2074042833">
      <w:bodyDiv w:val="1"/>
      <w:marLeft w:val="0"/>
      <w:marRight w:val="0"/>
      <w:marTop w:val="0"/>
      <w:marBottom w:val="0"/>
      <w:divBdr>
        <w:top w:val="none" w:sz="0" w:space="0" w:color="auto"/>
        <w:left w:val="none" w:sz="0" w:space="0" w:color="auto"/>
        <w:bottom w:val="none" w:sz="0" w:space="0" w:color="auto"/>
        <w:right w:val="none" w:sz="0" w:space="0" w:color="auto"/>
      </w:divBdr>
      <w:divsChild>
        <w:div w:id="606281390">
          <w:marLeft w:val="0"/>
          <w:marRight w:val="0"/>
          <w:marTop w:val="0"/>
          <w:marBottom w:val="0"/>
          <w:divBdr>
            <w:top w:val="none" w:sz="0" w:space="0" w:color="auto"/>
            <w:left w:val="none" w:sz="0" w:space="0" w:color="auto"/>
            <w:bottom w:val="none" w:sz="0" w:space="0" w:color="auto"/>
            <w:right w:val="none" w:sz="0" w:space="0" w:color="auto"/>
          </w:divBdr>
        </w:div>
      </w:divsChild>
    </w:div>
    <w:div w:id="2076078159">
      <w:bodyDiv w:val="1"/>
      <w:marLeft w:val="0"/>
      <w:marRight w:val="0"/>
      <w:marTop w:val="0"/>
      <w:marBottom w:val="0"/>
      <w:divBdr>
        <w:top w:val="none" w:sz="0" w:space="0" w:color="auto"/>
        <w:left w:val="none" w:sz="0" w:space="0" w:color="auto"/>
        <w:bottom w:val="none" w:sz="0" w:space="0" w:color="auto"/>
        <w:right w:val="none" w:sz="0" w:space="0" w:color="auto"/>
      </w:divBdr>
      <w:divsChild>
        <w:div w:id="1561021021">
          <w:marLeft w:val="0"/>
          <w:marRight w:val="0"/>
          <w:marTop w:val="0"/>
          <w:marBottom w:val="0"/>
          <w:divBdr>
            <w:top w:val="none" w:sz="0" w:space="0" w:color="auto"/>
            <w:left w:val="none" w:sz="0" w:space="0" w:color="auto"/>
            <w:bottom w:val="none" w:sz="0" w:space="0" w:color="auto"/>
            <w:right w:val="none" w:sz="0" w:space="0" w:color="auto"/>
          </w:divBdr>
        </w:div>
      </w:divsChild>
    </w:div>
    <w:div w:id="2082018574">
      <w:bodyDiv w:val="1"/>
      <w:marLeft w:val="0"/>
      <w:marRight w:val="0"/>
      <w:marTop w:val="0"/>
      <w:marBottom w:val="0"/>
      <w:divBdr>
        <w:top w:val="none" w:sz="0" w:space="0" w:color="auto"/>
        <w:left w:val="none" w:sz="0" w:space="0" w:color="auto"/>
        <w:bottom w:val="none" w:sz="0" w:space="0" w:color="auto"/>
        <w:right w:val="none" w:sz="0" w:space="0" w:color="auto"/>
      </w:divBdr>
    </w:div>
    <w:div w:id="2091730723">
      <w:bodyDiv w:val="1"/>
      <w:marLeft w:val="0"/>
      <w:marRight w:val="0"/>
      <w:marTop w:val="0"/>
      <w:marBottom w:val="0"/>
      <w:divBdr>
        <w:top w:val="none" w:sz="0" w:space="0" w:color="auto"/>
        <w:left w:val="none" w:sz="0" w:space="0" w:color="auto"/>
        <w:bottom w:val="none" w:sz="0" w:space="0" w:color="auto"/>
        <w:right w:val="none" w:sz="0" w:space="0" w:color="auto"/>
      </w:divBdr>
      <w:divsChild>
        <w:div w:id="5641250">
          <w:marLeft w:val="0"/>
          <w:marRight w:val="0"/>
          <w:marTop w:val="0"/>
          <w:marBottom w:val="0"/>
          <w:divBdr>
            <w:top w:val="none" w:sz="0" w:space="0" w:color="auto"/>
            <w:left w:val="none" w:sz="0" w:space="0" w:color="auto"/>
            <w:bottom w:val="none" w:sz="0" w:space="0" w:color="auto"/>
            <w:right w:val="none" w:sz="0" w:space="0" w:color="auto"/>
          </w:divBdr>
        </w:div>
      </w:divsChild>
    </w:div>
    <w:div w:id="2097048562">
      <w:bodyDiv w:val="1"/>
      <w:marLeft w:val="0"/>
      <w:marRight w:val="0"/>
      <w:marTop w:val="0"/>
      <w:marBottom w:val="0"/>
      <w:divBdr>
        <w:top w:val="none" w:sz="0" w:space="0" w:color="auto"/>
        <w:left w:val="none" w:sz="0" w:space="0" w:color="auto"/>
        <w:bottom w:val="none" w:sz="0" w:space="0" w:color="auto"/>
        <w:right w:val="none" w:sz="0" w:space="0" w:color="auto"/>
      </w:divBdr>
      <w:divsChild>
        <w:div w:id="1079332532">
          <w:marLeft w:val="0"/>
          <w:marRight w:val="0"/>
          <w:marTop w:val="0"/>
          <w:marBottom w:val="0"/>
          <w:divBdr>
            <w:top w:val="none" w:sz="0" w:space="0" w:color="auto"/>
            <w:left w:val="none" w:sz="0" w:space="0" w:color="auto"/>
            <w:bottom w:val="none" w:sz="0" w:space="0" w:color="auto"/>
            <w:right w:val="none" w:sz="0" w:space="0" w:color="auto"/>
          </w:divBdr>
        </w:div>
      </w:divsChild>
    </w:div>
    <w:div w:id="2108384461">
      <w:bodyDiv w:val="1"/>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
      </w:divsChild>
    </w:div>
    <w:div w:id="2115129479">
      <w:bodyDiv w:val="1"/>
      <w:marLeft w:val="0"/>
      <w:marRight w:val="0"/>
      <w:marTop w:val="0"/>
      <w:marBottom w:val="0"/>
      <w:divBdr>
        <w:top w:val="none" w:sz="0" w:space="0" w:color="auto"/>
        <w:left w:val="none" w:sz="0" w:space="0" w:color="auto"/>
        <w:bottom w:val="none" w:sz="0" w:space="0" w:color="auto"/>
        <w:right w:val="none" w:sz="0" w:space="0" w:color="auto"/>
      </w:divBdr>
      <w:divsChild>
        <w:div w:id="1590843488">
          <w:marLeft w:val="0"/>
          <w:marRight w:val="0"/>
          <w:marTop w:val="0"/>
          <w:marBottom w:val="0"/>
          <w:divBdr>
            <w:top w:val="none" w:sz="0" w:space="0" w:color="auto"/>
            <w:left w:val="none" w:sz="0" w:space="0" w:color="auto"/>
            <w:bottom w:val="none" w:sz="0" w:space="0" w:color="auto"/>
            <w:right w:val="none" w:sz="0" w:space="0" w:color="auto"/>
          </w:divBdr>
        </w:div>
      </w:divsChild>
    </w:div>
    <w:div w:id="2119248866">
      <w:bodyDiv w:val="1"/>
      <w:marLeft w:val="0"/>
      <w:marRight w:val="0"/>
      <w:marTop w:val="0"/>
      <w:marBottom w:val="0"/>
      <w:divBdr>
        <w:top w:val="none" w:sz="0" w:space="0" w:color="auto"/>
        <w:left w:val="none" w:sz="0" w:space="0" w:color="auto"/>
        <w:bottom w:val="none" w:sz="0" w:space="0" w:color="auto"/>
        <w:right w:val="none" w:sz="0" w:space="0" w:color="auto"/>
      </w:divBdr>
      <w:divsChild>
        <w:div w:id="1334213944">
          <w:marLeft w:val="0"/>
          <w:marRight w:val="0"/>
          <w:marTop w:val="0"/>
          <w:marBottom w:val="0"/>
          <w:divBdr>
            <w:top w:val="none" w:sz="0" w:space="0" w:color="auto"/>
            <w:left w:val="none" w:sz="0" w:space="0" w:color="auto"/>
            <w:bottom w:val="none" w:sz="0" w:space="0" w:color="auto"/>
            <w:right w:val="none" w:sz="0" w:space="0" w:color="auto"/>
          </w:divBdr>
        </w:div>
      </w:divsChild>
    </w:div>
    <w:div w:id="2125343908">
      <w:bodyDiv w:val="1"/>
      <w:marLeft w:val="0"/>
      <w:marRight w:val="0"/>
      <w:marTop w:val="0"/>
      <w:marBottom w:val="0"/>
      <w:divBdr>
        <w:top w:val="none" w:sz="0" w:space="0" w:color="auto"/>
        <w:left w:val="none" w:sz="0" w:space="0" w:color="auto"/>
        <w:bottom w:val="none" w:sz="0" w:space="0" w:color="auto"/>
        <w:right w:val="none" w:sz="0" w:space="0" w:color="auto"/>
      </w:divBdr>
      <w:divsChild>
        <w:div w:id="1435788048">
          <w:marLeft w:val="0"/>
          <w:marRight w:val="0"/>
          <w:marTop w:val="0"/>
          <w:marBottom w:val="0"/>
          <w:divBdr>
            <w:top w:val="none" w:sz="0" w:space="0" w:color="auto"/>
            <w:left w:val="none" w:sz="0" w:space="0" w:color="auto"/>
            <w:bottom w:val="none" w:sz="0" w:space="0" w:color="auto"/>
            <w:right w:val="none" w:sz="0" w:space="0" w:color="auto"/>
          </w:divBdr>
        </w:div>
      </w:divsChild>
    </w:div>
    <w:div w:id="2132508105">
      <w:bodyDiv w:val="1"/>
      <w:marLeft w:val="0"/>
      <w:marRight w:val="0"/>
      <w:marTop w:val="0"/>
      <w:marBottom w:val="0"/>
      <w:divBdr>
        <w:top w:val="none" w:sz="0" w:space="0" w:color="auto"/>
        <w:left w:val="none" w:sz="0" w:space="0" w:color="auto"/>
        <w:bottom w:val="none" w:sz="0" w:space="0" w:color="auto"/>
        <w:right w:val="none" w:sz="0" w:space="0" w:color="auto"/>
      </w:divBdr>
      <w:divsChild>
        <w:div w:id="1454135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www.sciencedirect.com/topics/economics-econometrics-and-finance/safe-have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4C002-CB49-452B-93D6-FC24E4C7C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17644</Words>
  <Characters>100573</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Enilov</dc:creator>
  <cp:keywords/>
  <dc:description/>
  <cp:lastModifiedBy>Martin Enilov</cp:lastModifiedBy>
  <cp:revision>15</cp:revision>
  <dcterms:created xsi:type="dcterms:W3CDTF">2025-04-21T13:11:00Z</dcterms:created>
  <dcterms:modified xsi:type="dcterms:W3CDTF">2025-04-22T14:32:00Z</dcterms:modified>
</cp:coreProperties>
</file>