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3CD" w14:textId="69B4BD0F" w:rsidR="005734E0" w:rsidRDefault="00BA77E7" w:rsidP="00C66FF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Maximum voluntary torque and rate o</w:t>
      </w:r>
      <w:r w:rsidR="00146D33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torque </w:t>
      </w:r>
      <w:r w:rsidR="000D44AC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337">
        <w:rPr>
          <w:rFonts w:ascii="Times New Roman" w:hAnsi="Times New Roman" w:cs="Times New Roman"/>
          <w:b/>
          <w:bCs/>
          <w:sz w:val="28"/>
          <w:szCs w:val="28"/>
        </w:rPr>
        <w:t xml:space="preserve">are </w:t>
      </w:r>
      <w:r w:rsidR="000D44AC">
        <w:rPr>
          <w:rFonts w:ascii="Times New Roman" w:hAnsi="Times New Roman" w:cs="Times New Roman"/>
          <w:b/>
          <w:bCs/>
          <w:sz w:val="28"/>
          <w:szCs w:val="28"/>
        </w:rPr>
        <w:t>not effected by whole-body hyperthermia or t</w:t>
      </w:r>
      <w:r w:rsidR="003E341C">
        <w:rPr>
          <w:rFonts w:ascii="Times New Roman" w:hAnsi="Times New Roman" w:cs="Times New Roman"/>
          <w:b/>
          <w:bCs/>
          <w:sz w:val="28"/>
          <w:szCs w:val="28"/>
        </w:rPr>
        <w:t xml:space="preserve">en consecutive days of </w:t>
      </w:r>
      <w:proofErr w:type="spellStart"/>
      <w:r w:rsidR="003E341C">
        <w:rPr>
          <w:rFonts w:ascii="Times New Roman" w:hAnsi="Times New Roman" w:cs="Times New Roman"/>
          <w:b/>
          <w:bCs/>
          <w:sz w:val="28"/>
          <w:szCs w:val="28"/>
        </w:rPr>
        <w:t>isothermic</w:t>
      </w:r>
      <w:proofErr w:type="spellEnd"/>
      <w:r w:rsidR="003E341C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="005734E0" w:rsidRPr="005734E0">
        <w:rPr>
          <w:rFonts w:ascii="Times New Roman" w:hAnsi="Times New Roman" w:cs="Times New Roman"/>
          <w:b/>
          <w:bCs/>
          <w:sz w:val="28"/>
          <w:szCs w:val="28"/>
        </w:rPr>
        <w:t xml:space="preserve">eat acclimation </w:t>
      </w:r>
    </w:p>
    <w:p w14:paraId="2F65BF99" w14:textId="3BBE9564" w:rsidR="0084454F" w:rsidRPr="00CC7B94" w:rsidRDefault="0084454F" w:rsidP="0084454F">
      <w:pPr>
        <w:pStyle w:val="BodyText"/>
        <w:tabs>
          <w:tab w:val="left" w:pos="0"/>
        </w:tabs>
        <w:ind w:right="142" w:firstLine="0"/>
        <w:rPr>
          <w:sz w:val="24"/>
          <w:szCs w:val="24"/>
          <w:lang w:val="nb-NO" w:eastAsia="nb-NO"/>
        </w:rPr>
      </w:pPr>
      <w:r w:rsidRPr="00CC7B94">
        <w:rPr>
          <w:sz w:val="24"/>
          <w:szCs w:val="24"/>
          <w:vertAlign w:val="superscript"/>
          <w:lang w:val="nb-NO" w:eastAsia="nb-NO"/>
        </w:rPr>
        <w:t>1</w:t>
      </w:r>
      <w:r w:rsidRPr="00CC7B94">
        <w:rPr>
          <w:sz w:val="24"/>
          <w:szCs w:val="24"/>
          <w:lang w:val="nb-NO" w:eastAsia="nb-NO"/>
        </w:rPr>
        <w:t xml:space="preserve">Gordon, R., </w:t>
      </w:r>
      <w:r w:rsidR="006B3598" w:rsidRPr="00CC7B94">
        <w:rPr>
          <w:sz w:val="24"/>
          <w:szCs w:val="24"/>
          <w:vertAlign w:val="superscript"/>
          <w:lang w:val="nb-NO" w:eastAsia="nb-NO"/>
        </w:rPr>
        <w:t>1</w:t>
      </w:r>
      <w:r w:rsidR="006B3598" w:rsidRPr="00CC7B94">
        <w:rPr>
          <w:sz w:val="24"/>
          <w:szCs w:val="24"/>
          <w:lang w:val="nb-NO" w:eastAsia="nb-NO"/>
        </w:rPr>
        <w:t>Tyler, C.J</w:t>
      </w:r>
      <w:r w:rsidR="00463936">
        <w:rPr>
          <w:sz w:val="24"/>
          <w:szCs w:val="24"/>
          <w:lang w:val="nb-NO" w:eastAsia="nb-NO"/>
        </w:rPr>
        <w:t>.,</w:t>
      </w:r>
      <w:r w:rsidR="006B3598" w:rsidRPr="00CC7B94">
        <w:rPr>
          <w:sz w:val="24"/>
          <w:szCs w:val="24"/>
          <w:vertAlign w:val="superscript"/>
          <w:lang w:val="nb-NO" w:eastAsia="nb-NO"/>
        </w:rPr>
        <w:t xml:space="preserve"> </w:t>
      </w:r>
      <w:r w:rsidRPr="00CC7B94">
        <w:rPr>
          <w:sz w:val="24"/>
          <w:szCs w:val="24"/>
          <w:vertAlign w:val="superscript"/>
          <w:lang w:val="nb-NO" w:eastAsia="nb-NO"/>
        </w:rPr>
        <w:t>1</w:t>
      </w:r>
      <w:r w:rsidRPr="00CC7B94">
        <w:rPr>
          <w:sz w:val="24"/>
          <w:szCs w:val="24"/>
          <w:lang w:val="nb-NO" w:eastAsia="nb-NO"/>
        </w:rPr>
        <w:t>Diss, C.</w:t>
      </w:r>
      <w:r w:rsidR="00463936">
        <w:rPr>
          <w:sz w:val="24"/>
          <w:szCs w:val="24"/>
          <w:lang w:val="nb-NO" w:eastAsia="nb-NO"/>
        </w:rPr>
        <w:t>,</w:t>
      </w:r>
      <w:r w:rsidR="006B3598" w:rsidRPr="006B3598">
        <w:rPr>
          <w:sz w:val="24"/>
          <w:szCs w:val="24"/>
          <w:vertAlign w:val="superscript"/>
          <w:lang w:val="nb-NO" w:eastAsia="nb-NO"/>
        </w:rPr>
        <w:t xml:space="preserve"> </w:t>
      </w:r>
      <w:r w:rsidR="006B3598" w:rsidRPr="00CC7B94">
        <w:rPr>
          <w:sz w:val="24"/>
          <w:szCs w:val="24"/>
          <w:vertAlign w:val="superscript"/>
          <w:lang w:val="nb-NO" w:eastAsia="nb-NO"/>
        </w:rPr>
        <w:t>1</w:t>
      </w:r>
      <w:r w:rsidR="006B3598" w:rsidRPr="00CC7B94">
        <w:rPr>
          <w:sz w:val="24"/>
          <w:szCs w:val="24"/>
          <w:lang w:val="nb-NO" w:eastAsia="nb-NO"/>
        </w:rPr>
        <w:t>Tillin, N.A</w:t>
      </w:r>
      <w:r w:rsidR="006B3598">
        <w:rPr>
          <w:sz w:val="24"/>
          <w:szCs w:val="24"/>
          <w:lang w:val="nb-NO" w:eastAsia="nb-NO"/>
        </w:rPr>
        <w:t>.</w:t>
      </w:r>
    </w:p>
    <w:p w14:paraId="6D741AFC" w14:textId="6F4657FA" w:rsidR="0084454F" w:rsidRPr="00CC7B94" w:rsidRDefault="0084454F" w:rsidP="0084454F">
      <w:pPr>
        <w:pStyle w:val="BodyText"/>
        <w:tabs>
          <w:tab w:val="left" w:pos="0"/>
        </w:tabs>
        <w:ind w:right="142" w:firstLine="0"/>
        <w:rPr>
          <w:sz w:val="24"/>
          <w:szCs w:val="24"/>
          <w:lang w:val="nb-NO" w:eastAsia="nb-NO"/>
        </w:rPr>
      </w:pPr>
      <w:r w:rsidRPr="00CC7B94">
        <w:rPr>
          <w:sz w:val="24"/>
          <w:szCs w:val="24"/>
          <w:vertAlign w:val="superscript"/>
          <w:lang w:val="nb-NO" w:eastAsia="nb-NO"/>
        </w:rPr>
        <w:t>1</w:t>
      </w:r>
      <w:r w:rsidRPr="00CC7B94">
        <w:rPr>
          <w:sz w:val="24"/>
          <w:szCs w:val="24"/>
          <w:lang w:val="nb-NO" w:eastAsia="nb-NO"/>
        </w:rPr>
        <w:t>University of Roehampton, London, UK.</w:t>
      </w:r>
    </w:p>
    <w:p w14:paraId="78A9FDCA" w14:textId="2C7A24D9" w:rsidR="00CC7B94" w:rsidRPr="00CC7B94" w:rsidRDefault="00CC7B94" w:rsidP="0084454F">
      <w:pPr>
        <w:pStyle w:val="BodyText"/>
        <w:tabs>
          <w:tab w:val="left" w:pos="0"/>
        </w:tabs>
        <w:ind w:right="142" w:firstLine="0"/>
        <w:rPr>
          <w:sz w:val="24"/>
          <w:szCs w:val="24"/>
          <w:lang w:val="nb-NO" w:eastAsia="nb-NO"/>
        </w:rPr>
      </w:pPr>
    </w:p>
    <w:p w14:paraId="745F2203" w14:textId="6D3A09C4" w:rsidR="001A7F8B" w:rsidRPr="004868BB" w:rsidRDefault="004868BB" w:rsidP="00486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8BB">
        <w:rPr>
          <w:rFonts w:ascii="Times New Roman" w:hAnsi="Times New Roman" w:cs="Times New Roman"/>
          <w:sz w:val="24"/>
          <w:szCs w:val="24"/>
        </w:rPr>
        <w:t xml:space="preserve">Maximal voluntary torque (MVT) </w:t>
      </w:r>
      <w:r w:rsidR="00624EBB">
        <w:rPr>
          <w:rFonts w:ascii="Times New Roman" w:hAnsi="Times New Roman" w:cs="Times New Roman"/>
          <w:sz w:val="24"/>
          <w:szCs w:val="24"/>
        </w:rPr>
        <w:t>can be</w:t>
      </w:r>
      <w:r w:rsidRPr="004868BB">
        <w:rPr>
          <w:rFonts w:ascii="Times New Roman" w:hAnsi="Times New Roman" w:cs="Times New Roman"/>
          <w:sz w:val="24"/>
          <w:szCs w:val="24"/>
        </w:rPr>
        <w:t xml:space="preserve"> impaired </w:t>
      </w:r>
      <w:r w:rsidR="00785DD7">
        <w:rPr>
          <w:rFonts w:ascii="Times New Roman" w:hAnsi="Times New Roman" w:cs="Times New Roman"/>
          <w:sz w:val="24"/>
          <w:szCs w:val="24"/>
        </w:rPr>
        <w:t>by</w:t>
      </w:r>
      <w:r w:rsidR="00785DD7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Pr="004868BB">
        <w:rPr>
          <w:rFonts w:ascii="Times New Roman" w:hAnsi="Times New Roman" w:cs="Times New Roman"/>
          <w:sz w:val="24"/>
          <w:szCs w:val="24"/>
        </w:rPr>
        <w:t>hyperthermi</w:t>
      </w:r>
      <w:r w:rsidR="00785DD7">
        <w:rPr>
          <w:rFonts w:ascii="Times New Roman" w:hAnsi="Times New Roman" w:cs="Times New Roman"/>
          <w:sz w:val="24"/>
          <w:szCs w:val="24"/>
        </w:rPr>
        <w:t>a</w:t>
      </w:r>
      <w:r w:rsidRPr="004868BB">
        <w:rPr>
          <w:rFonts w:ascii="Times New Roman" w:hAnsi="Times New Roman" w:cs="Times New Roman"/>
          <w:sz w:val="24"/>
          <w:szCs w:val="24"/>
        </w:rPr>
        <w:t xml:space="preserve"> due to a reduction in the</w:t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 central nervous system’s capacity to voluntarily </w:t>
      </w:r>
      <w:r w:rsidRPr="004868BB">
        <w:rPr>
          <w:rFonts w:ascii="Times New Roman" w:hAnsi="Times New Roman" w:cs="Times New Roman"/>
          <w:sz w:val="24"/>
          <w:szCs w:val="24"/>
        </w:rPr>
        <w:t>drive</w:t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 (neural drive) the available </w:t>
      </w:r>
      <w:r w:rsidRPr="004868BB">
        <w:rPr>
          <w:rFonts w:ascii="Times New Roman" w:hAnsi="Times New Roman" w:cs="Times New Roman"/>
          <w:sz w:val="24"/>
          <w:szCs w:val="24"/>
        </w:rPr>
        <w:t>force capacity of the muscle</w:t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begin"/>
      </w:r>
      <w:r w:rsidR="00D52643" w:rsidRPr="004868BB">
        <w:rPr>
          <w:rFonts w:ascii="Times New Roman" w:hAnsi="Times New Roman" w:cs="Times New Roman"/>
          <w:sz w:val="24"/>
          <w:szCs w:val="24"/>
        </w:rPr>
        <w:instrText>ADDIN RW.CITE{{16 Morrison,S. 2004}}</w:instrTex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separate"/>
      </w:r>
      <w:r w:rsidR="00556944">
        <w:rPr>
          <w:rFonts w:ascii="Times New Roman" w:hAnsi="Times New Roman" w:cs="Times New Roman"/>
          <w:sz w:val="24"/>
          <w:szCs w:val="24"/>
        </w:rPr>
        <w:t>(1)</w: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end"/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. Rate of torque development (RTD) is a functionally relevant measure of neuromuscular function, with neural drive and the intrinsic contractile properties of the muscle key determinants of </w:t>
      </w:r>
      <w:r w:rsidRPr="004868BB">
        <w:rPr>
          <w:rFonts w:ascii="Times New Roman" w:hAnsi="Times New Roman" w:cs="Times New Roman"/>
          <w:sz w:val="24"/>
          <w:szCs w:val="24"/>
        </w:rPr>
        <w:t>RTD</w:t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begin"/>
      </w:r>
      <w:r w:rsidR="00D52643" w:rsidRPr="004868BB">
        <w:rPr>
          <w:rFonts w:ascii="Times New Roman" w:hAnsi="Times New Roman" w:cs="Times New Roman"/>
          <w:sz w:val="24"/>
          <w:szCs w:val="24"/>
        </w:rPr>
        <w:instrText>ADDIN RW.CITE{{64 Folland, J,P 2014}}</w:instrTex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separate"/>
      </w:r>
      <w:r w:rsidR="00556944">
        <w:rPr>
          <w:rFonts w:ascii="Times New Roman" w:hAnsi="Times New Roman" w:cs="Times New Roman"/>
          <w:sz w:val="24"/>
          <w:szCs w:val="24"/>
        </w:rPr>
        <w:t>(2)</w:t>
      </w:r>
      <w:r w:rsidR="00D52643" w:rsidRPr="004868BB">
        <w:rPr>
          <w:rFonts w:ascii="Times New Roman" w:hAnsi="Times New Roman" w:cs="Times New Roman"/>
          <w:sz w:val="24"/>
          <w:szCs w:val="24"/>
        </w:rPr>
        <w:fldChar w:fldCharType="end"/>
      </w:r>
      <w:r w:rsidR="00461D0B" w:rsidRPr="004868BB">
        <w:rPr>
          <w:rFonts w:ascii="Times New Roman" w:hAnsi="Times New Roman" w:cs="Times New Roman"/>
          <w:sz w:val="24"/>
          <w:szCs w:val="24"/>
        </w:rPr>
        <w:t xml:space="preserve">. Heat acclimation (HA) can offer beneficial physiological and performance benefits </w:t>
      </w:r>
      <w:r w:rsidR="00785DD7" w:rsidRPr="004868BB">
        <w:rPr>
          <w:rFonts w:ascii="Times New Roman" w:hAnsi="Times New Roman" w:cs="Times New Roman"/>
          <w:sz w:val="24"/>
          <w:szCs w:val="24"/>
        </w:rPr>
        <w:fldChar w:fldCharType="begin"/>
      </w:r>
      <w:r w:rsidR="00785DD7" w:rsidRPr="004868BB">
        <w:rPr>
          <w:rFonts w:ascii="Times New Roman" w:hAnsi="Times New Roman" w:cs="Times New Roman"/>
          <w:sz w:val="24"/>
          <w:szCs w:val="24"/>
        </w:rPr>
        <w:instrText>ADDIN RW.CITE{{106 Tyler,C, 2016}}</w:instrText>
      </w:r>
      <w:r w:rsidR="00785DD7" w:rsidRPr="004868BB">
        <w:rPr>
          <w:rFonts w:ascii="Times New Roman" w:hAnsi="Times New Roman" w:cs="Times New Roman"/>
          <w:sz w:val="24"/>
          <w:szCs w:val="24"/>
        </w:rPr>
        <w:fldChar w:fldCharType="separate"/>
      </w:r>
      <w:r w:rsidR="00785DD7">
        <w:rPr>
          <w:rFonts w:ascii="Times New Roman" w:hAnsi="Times New Roman" w:cs="Times New Roman"/>
          <w:sz w:val="24"/>
          <w:szCs w:val="24"/>
        </w:rPr>
        <w:t>(3)</w:t>
      </w:r>
      <w:r w:rsidR="00785DD7" w:rsidRPr="004868BB">
        <w:rPr>
          <w:rFonts w:ascii="Times New Roman" w:hAnsi="Times New Roman" w:cs="Times New Roman"/>
          <w:sz w:val="24"/>
          <w:szCs w:val="24"/>
        </w:rPr>
        <w:fldChar w:fldCharType="end"/>
      </w:r>
      <w:r w:rsidR="00785DD7">
        <w:rPr>
          <w:rFonts w:ascii="Times New Roman" w:hAnsi="Times New Roman" w:cs="Times New Roman"/>
          <w:sz w:val="24"/>
          <w:szCs w:val="24"/>
        </w:rPr>
        <w:t>;</w:t>
      </w:r>
      <w:r w:rsidR="00785DD7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D52643" w:rsidRPr="004868BB">
        <w:rPr>
          <w:rFonts w:ascii="Times New Roman" w:hAnsi="Times New Roman" w:cs="Times New Roman"/>
          <w:sz w:val="24"/>
          <w:szCs w:val="24"/>
        </w:rPr>
        <w:t>however</w:t>
      </w:r>
      <w:r w:rsidR="00785DD7">
        <w:rPr>
          <w:rFonts w:ascii="Times New Roman" w:hAnsi="Times New Roman" w:cs="Times New Roman"/>
          <w:sz w:val="24"/>
          <w:szCs w:val="24"/>
        </w:rPr>
        <w:t>,</w:t>
      </w:r>
      <w:r w:rsidR="00785DD7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D52643" w:rsidRPr="004868BB">
        <w:rPr>
          <w:rFonts w:ascii="Times New Roman" w:hAnsi="Times New Roman" w:cs="Times New Roman"/>
          <w:sz w:val="24"/>
          <w:szCs w:val="24"/>
        </w:rPr>
        <w:t>it is unclear whe</w:t>
      </w:r>
      <w:r w:rsidRPr="004868BB">
        <w:rPr>
          <w:rFonts w:ascii="Times New Roman" w:hAnsi="Times New Roman" w:cs="Times New Roman"/>
          <w:sz w:val="24"/>
          <w:szCs w:val="24"/>
        </w:rPr>
        <w:t>ther</w:t>
      </w:r>
      <w:r w:rsidR="00D52643" w:rsidRPr="004868BB">
        <w:rPr>
          <w:rFonts w:ascii="Times New Roman" w:hAnsi="Times New Roman" w:cs="Times New Roman"/>
          <w:sz w:val="24"/>
          <w:szCs w:val="24"/>
        </w:rPr>
        <w:t xml:space="preserve"> these benefits are seen in the neuromuscular system, specifically the neural and contractile determinants of </w:t>
      </w:r>
      <w:r w:rsidRPr="004868BB">
        <w:rPr>
          <w:rFonts w:ascii="Times New Roman" w:hAnsi="Times New Roman" w:cs="Times New Roman"/>
          <w:sz w:val="24"/>
          <w:szCs w:val="24"/>
        </w:rPr>
        <w:t>RTD</w:t>
      </w:r>
      <w:r w:rsidR="00D52643" w:rsidRPr="004868BB">
        <w:rPr>
          <w:rFonts w:ascii="Times New Roman" w:hAnsi="Times New Roman" w:cs="Times New Roman"/>
          <w:sz w:val="24"/>
          <w:szCs w:val="24"/>
        </w:rPr>
        <w:t>.</w:t>
      </w:r>
    </w:p>
    <w:p w14:paraId="4162EA0F" w14:textId="0EAC2010" w:rsidR="00C66FF6" w:rsidRPr="004868BB" w:rsidRDefault="001859D3" w:rsidP="00486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A81">
        <w:rPr>
          <w:rFonts w:ascii="Times New Roman" w:hAnsi="Times New Roman" w:cs="Times New Roman"/>
          <w:sz w:val="24"/>
          <w:szCs w:val="24"/>
        </w:rPr>
        <w:t xml:space="preserve">Ten </w:t>
      </w:r>
      <w:r w:rsidRPr="001859D3">
        <w:rPr>
          <w:rFonts w:ascii="Times New Roman" w:hAnsi="Times New Roman" w:cs="Times New Roman"/>
          <w:sz w:val="24"/>
          <w:szCs w:val="24"/>
        </w:rPr>
        <w:t>participants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(5 </w:t>
      </w:r>
      <w:r w:rsidR="00777151">
        <w:rPr>
          <w:rFonts w:ascii="Times New Roman" w:hAnsi="Times New Roman" w:cs="Times New Roman"/>
          <w:sz w:val="24"/>
          <w:szCs w:val="24"/>
        </w:rPr>
        <w:t>males</w:t>
      </w:r>
      <w:r>
        <w:rPr>
          <w:rFonts w:ascii="Times New Roman" w:hAnsi="Times New Roman" w:cs="Times New Roman"/>
          <w:sz w:val="24"/>
          <w:szCs w:val="24"/>
        </w:rPr>
        <w:t xml:space="preserve">, 5 </w:t>
      </w:r>
      <w:r w:rsidR="00C66FF6" w:rsidRPr="004868BB">
        <w:rPr>
          <w:rFonts w:ascii="Times New Roman" w:hAnsi="Times New Roman" w:cs="Times New Roman"/>
          <w:sz w:val="24"/>
          <w:szCs w:val="24"/>
        </w:rPr>
        <w:t>female</w:t>
      </w:r>
      <w:r w:rsidR="00777151">
        <w:rPr>
          <w:rFonts w:ascii="Times New Roman" w:hAnsi="Times New Roman" w:cs="Times New Roman"/>
          <w:sz w:val="24"/>
          <w:szCs w:val="24"/>
        </w:rPr>
        <w:t>s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) visited the laboratory on </w:t>
      </w:r>
      <w:r w:rsidR="004868BB" w:rsidRPr="004868BB">
        <w:rPr>
          <w:rFonts w:ascii="Times New Roman" w:hAnsi="Times New Roman" w:cs="Times New Roman"/>
          <w:sz w:val="24"/>
          <w:szCs w:val="24"/>
        </w:rPr>
        <w:t>1</w:t>
      </w:r>
      <w:r w:rsidR="00556944">
        <w:rPr>
          <w:rFonts w:ascii="Times New Roman" w:hAnsi="Times New Roman" w:cs="Times New Roman"/>
          <w:sz w:val="24"/>
          <w:szCs w:val="24"/>
        </w:rPr>
        <w:t>3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556944">
        <w:rPr>
          <w:rFonts w:ascii="Times New Roman" w:hAnsi="Times New Roman" w:cs="Times New Roman"/>
          <w:sz w:val="24"/>
          <w:szCs w:val="24"/>
        </w:rPr>
        <w:t>consecutive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</w:t>
      </w:r>
      <w:r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to complete </w:t>
      </w:r>
      <w:r w:rsidR="00D44FA4">
        <w:rPr>
          <w:rFonts w:ascii="Times New Roman" w:hAnsi="Times New Roman" w:cs="Times New Roman"/>
          <w:sz w:val="24"/>
          <w:szCs w:val="24"/>
        </w:rPr>
        <w:t>two</w:t>
      </w:r>
      <w:r w:rsidR="00D44FA4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experimental trials </w:t>
      </w:r>
      <w:r w:rsidR="005B57E4">
        <w:rPr>
          <w:rFonts w:ascii="Times New Roman" w:hAnsi="Times New Roman" w:cs="Times New Roman"/>
          <w:sz w:val="24"/>
          <w:szCs w:val="24"/>
        </w:rPr>
        <w:t>pre- and post-</w:t>
      </w:r>
      <w:r w:rsidR="005B57E4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4868BB" w:rsidRPr="004868BB">
        <w:rPr>
          <w:rFonts w:ascii="Times New Roman" w:hAnsi="Times New Roman" w:cs="Times New Roman"/>
          <w:sz w:val="24"/>
          <w:szCs w:val="24"/>
        </w:rPr>
        <w:t>10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days of </w:t>
      </w:r>
      <w:proofErr w:type="spellStart"/>
      <w:r w:rsidR="00785DD7">
        <w:rPr>
          <w:rFonts w:ascii="Times New Roman" w:hAnsi="Times New Roman" w:cs="Times New Roman"/>
          <w:sz w:val="24"/>
          <w:szCs w:val="24"/>
        </w:rPr>
        <w:t>isothermic</w:t>
      </w:r>
      <w:proofErr w:type="spellEnd"/>
      <w:r w:rsidR="00785DD7">
        <w:rPr>
          <w:rFonts w:ascii="Times New Roman" w:hAnsi="Times New Roman" w:cs="Times New Roman"/>
          <w:sz w:val="24"/>
          <w:szCs w:val="24"/>
        </w:rPr>
        <w:t xml:space="preserve"> </w:t>
      </w:r>
      <w:r w:rsidR="00C66FF6" w:rsidRPr="004868BB">
        <w:rPr>
          <w:rFonts w:ascii="Times New Roman" w:hAnsi="Times New Roman" w:cs="Times New Roman"/>
          <w:sz w:val="24"/>
          <w:szCs w:val="24"/>
        </w:rPr>
        <w:t>HA</w:t>
      </w:r>
      <w:r w:rsidR="0013724B">
        <w:rPr>
          <w:rFonts w:ascii="Times New Roman" w:hAnsi="Times New Roman" w:cs="Times New Roman"/>
          <w:sz w:val="24"/>
          <w:szCs w:val="24"/>
        </w:rPr>
        <w:t>,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4868BB" w:rsidRPr="004868BB">
        <w:rPr>
          <w:rFonts w:ascii="Times New Roman" w:hAnsi="Times New Roman" w:cs="Times New Roman"/>
          <w:sz w:val="24"/>
          <w:szCs w:val="24"/>
        </w:rPr>
        <w:t>to a target T</w:t>
      </w:r>
      <w:r w:rsidR="004868BB" w:rsidRPr="004868BB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 of ~39</w:t>
      </w:r>
      <w:r w:rsidR="008D4023">
        <w:rPr>
          <w:rFonts w:ascii="Times New Roman" w:hAnsi="Times New Roman" w:cs="Times New Roman"/>
          <w:sz w:val="24"/>
          <w:szCs w:val="24"/>
        </w:rPr>
        <w:t xml:space="preserve"> 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°C. </w:t>
      </w:r>
      <w:r w:rsidR="00785DD7">
        <w:rPr>
          <w:rFonts w:ascii="Times New Roman" w:hAnsi="Times New Roman" w:cs="Times New Roman"/>
          <w:sz w:val="24"/>
          <w:szCs w:val="24"/>
        </w:rPr>
        <w:t>In each experimental trial p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articipants completed </w:t>
      </w:r>
      <w:r w:rsidR="00556944">
        <w:rPr>
          <w:rFonts w:ascii="Times New Roman" w:hAnsi="Times New Roman" w:cs="Times New Roman"/>
          <w:sz w:val="24"/>
          <w:szCs w:val="24"/>
        </w:rPr>
        <w:t xml:space="preserve">a 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neuromuscular protocol </w:t>
      </w:r>
      <w:r w:rsidR="00785DD7">
        <w:rPr>
          <w:rFonts w:ascii="Times New Roman" w:hAnsi="Times New Roman" w:cs="Times New Roman"/>
          <w:sz w:val="24"/>
          <w:szCs w:val="24"/>
        </w:rPr>
        <w:t xml:space="preserve">at </w:t>
      </w:r>
      <w:r w:rsidR="004868BB" w:rsidRPr="004868BB">
        <w:rPr>
          <w:rFonts w:ascii="Times New Roman" w:hAnsi="Times New Roman" w:cs="Times New Roman"/>
          <w:sz w:val="24"/>
          <w:szCs w:val="24"/>
        </w:rPr>
        <w:t>T</w:t>
      </w:r>
      <w:r w:rsidR="004868BB" w:rsidRPr="004868BB">
        <w:rPr>
          <w:rFonts w:ascii="Times New Roman" w:hAnsi="Times New Roman" w:cs="Times New Roman"/>
          <w:sz w:val="24"/>
          <w:szCs w:val="24"/>
          <w:vertAlign w:val="subscript"/>
        </w:rPr>
        <w:t xml:space="preserve">re </w:t>
      </w:r>
      <w:r w:rsidR="004868BB" w:rsidRPr="004868BB">
        <w:rPr>
          <w:rFonts w:ascii="Times New Roman" w:hAnsi="Times New Roman" w:cs="Times New Roman"/>
          <w:sz w:val="24"/>
          <w:szCs w:val="24"/>
        </w:rPr>
        <w:t>~37</w:t>
      </w:r>
      <w:r w:rsidR="008D4023">
        <w:rPr>
          <w:rFonts w:ascii="Times New Roman" w:hAnsi="Times New Roman" w:cs="Times New Roman"/>
          <w:sz w:val="24"/>
          <w:szCs w:val="24"/>
        </w:rPr>
        <w:t xml:space="preserve"> </w:t>
      </w:r>
      <w:r w:rsidR="004868BB" w:rsidRPr="004868BB">
        <w:rPr>
          <w:rFonts w:ascii="Times New Roman" w:hAnsi="Times New Roman" w:cs="Times New Roman"/>
          <w:sz w:val="24"/>
          <w:szCs w:val="24"/>
        </w:rPr>
        <w:t>°C and ~39</w:t>
      </w:r>
      <w:r w:rsidR="008D4023">
        <w:rPr>
          <w:rFonts w:ascii="Times New Roman" w:hAnsi="Times New Roman" w:cs="Times New Roman"/>
          <w:sz w:val="24"/>
          <w:szCs w:val="24"/>
        </w:rPr>
        <w:t xml:space="preserve"> 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°C. </w:t>
      </w:r>
      <w:r w:rsidR="00556944">
        <w:rPr>
          <w:rFonts w:ascii="Times New Roman" w:hAnsi="Times New Roman" w:cs="Times New Roman"/>
          <w:sz w:val="24"/>
          <w:szCs w:val="24"/>
        </w:rPr>
        <w:t>The n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euromuscular </w:t>
      </w:r>
      <w:r w:rsidR="00556944">
        <w:rPr>
          <w:rFonts w:ascii="Times New Roman" w:hAnsi="Times New Roman" w:cs="Times New Roman"/>
          <w:sz w:val="24"/>
          <w:szCs w:val="24"/>
        </w:rPr>
        <w:t>protocol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 assessed MVT</w:t>
      </w:r>
      <w:r w:rsidR="00902E77">
        <w:rPr>
          <w:rFonts w:ascii="Times New Roman" w:hAnsi="Times New Roman" w:cs="Times New Roman"/>
          <w:sz w:val="24"/>
          <w:szCs w:val="24"/>
        </w:rPr>
        <w:t xml:space="preserve"> and</w:t>
      </w:r>
      <w:r w:rsidR="00902E77" w:rsidRPr="004868BB" w:rsidDel="00902E77">
        <w:rPr>
          <w:rFonts w:ascii="Times New Roman" w:hAnsi="Times New Roman" w:cs="Times New Roman"/>
          <w:sz w:val="24"/>
          <w:szCs w:val="24"/>
        </w:rPr>
        <w:t xml:space="preserve"> </w:t>
      </w:r>
      <w:r w:rsidR="00902E77">
        <w:rPr>
          <w:rFonts w:ascii="Times New Roman" w:hAnsi="Times New Roman" w:cs="Times New Roman"/>
          <w:sz w:val="24"/>
          <w:szCs w:val="24"/>
        </w:rPr>
        <w:t>vol</w:t>
      </w:r>
      <w:r w:rsidR="004868BB" w:rsidRPr="004868BB">
        <w:rPr>
          <w:rFonts w:ascii="Times New Roman" w:hAnsi="Times New Roman" w:cs="Times New Roman"/>
          <w:sz w:val="24"/>
          <w:szCs w:val="24"/>
        </w:rPr>
        <w:t>untary RTD</w:t>
      </w:r>
      <w:r w:rsidR="0013724B">
        <w:rPr>
          <w:rFonts w:ascii="Times New Roman" w:hAnsi="Times New Roman" w:cs="Times New Roman"/>
          <w:sz w:val="24"/>
          <w:szCs w:val="24"/>
        </w:rPr>
        <w:t>. RTD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 was assessed </w:t>
      </w:r>
      <w:r w:rsidR="00EB4024">
        <w:rPr>
          <w:rFonts w:ascii="Times New Roman" w:hAnsi="Times New Roman" w:cs="Times New Roman"/>
          <w:sz w:val="24"/>
          <w:szCs w:val="24"/>
        </w:rPr>
        <w:t xml:space="preserve">at </w:t>
      </w:r>
      <w:r w:rsidR="00977C99">
        <w:rPr>
          <w:rFonts w:ascii="Times New Roman" w:hAnsi="Times New Roman" w:cs="Times New Roman"/>
          <w:sz w:val="24"/>
          <w:szCs w:val="24"/>
        </w:rPr>
        <w:t>50, 100 and 15</w:t>
      </w:r>
      <w:r w:rsidR="0063041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630413">
        <w:rPr>
          <w:rFonts w:ascii="Times New Roman" w:hAnsi="Times New Roman" w:cs="Times New Roman"/>
          <w:sz w:val="24"/>
          <w:szCs w:val="24"/>
        </w:rPr>
        <w:t>m</w:t>
      </w:r>
      <w:r w:rsidR="00977C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77C99">
        <w:rPr>
          <w:rFonts w:ascii="Times New Roman" w:hAnsi="Times New Roman" w:cs="Times New Roman"/>
          <w:sz w:val="24"/>
          <w:szCs w:val="24"/>
        </w:rPr>
        <w:t xml:space="preserve"> from </w:t>
      </w:r>
      <w:r w:rsidR="00630413">
        <w:rPr>
          <w:rFonts w:ascii="Times New Roman" w:hAnsi="Times New Roman" w:cs="Times New Roman"/>
          <w:sz w:val="24"/>
          <w:szCs w:val="24"/>
        </w:rPr>
        <w:t>contraction</w:t>
      </w:r>
      <w:r w:rsidR="00977C99">
        <w:rPr>
          <w:rFonts w:ascii="Times New Roman" w:hAnsi="Times New Roman" w:cs="Times New Roman"/>
          <w:sz w:val="24"/>
          <w:szCs w:val="24"/>
        </w:rPr>
        <w:t xml:space="preserve"> onset (T</w:t>
      </w:r>
      <w:r w:rsidR="00977C99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977C99">
        <w:rPr>
          <w:rFonts w:ascii="Times New Roman" w:hAnsi="Times New Roman" w:cs="Times New Roman"/>
          <w:sz w:val="24"/>
          <w:szCs w:val="24"/>
        </w:rPr>
        <w:t>, T</w:t>
      </w:r>
      <w:r w:rsidR="00977C99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="00977C99">
        <w:rPr>
          <w:rFonts w:ascii="Times New Roman" w:hAnsi="Times New Roman" w:cs="Times New Roman"/>
          <w:sz w:val="24"/>
          <w:szCs w:val="24"/>
        </w:rPr>
        <w:t xml:space="preserve"> and T</w:t>
      </w:r>
      <w:r w:rsidR="00977C99">
        <w:rPr>
          <w:rFonts w:ascii="Times New Roman" w:hAnsi="Times New Roman" w:cs="Times New Roman"/>
          <w:sz w:val="24"/>
          <w:szCs w:val="24"/>
          <w:vertAlign w:val="subscript"/>
        </w:rPr>
        <w:t>150</w:t>
      </w:r>
      <w:r w:rsidR="00977C99">
        <w:rPr>
          <w:rFonts w:ascii="Times New Roman" w:hAnsi="Times New Roman" w:cs="Times New Roman"/>
          <w:sz w:val="24"/>
          <w:szCs w:val="24"/>
        </w:rPr>
        <w:t xml:space="preserve">). </w:t>
      </w:r>
      <w:r w:rsidR="00630413">
        <w:rPr>
          <w:rFonts w:ascii="Times New Roman" w:hAnsi="Times New Roman" w:cs="Times New Roman"/>
          <w:sz w:val="24"/>
          <w:szCs w:val="24"/>
        </w:rPr>
        <w:t>T</w:t>
      </w:r>
      <w:r w:rsidR="00817EAC">
        <w:rPr>
          <w:rFonts w:ascii="Times New Roman" w:hAnsi="Times New Roman" w:cs="Times New Roman"/>
          <w:sz w:val="24"/>
          <w:szCs w:val="24"/>
        </w:rPr>
        <w:t>o quantify neural drive</w:t>
      </w:r>
      <w:r w:rsidR="00686B54">
        <w:rPr>
          <w:rFonts w:ascii="Times New Roman" w:hAnsi="Times New Roman" w:cs="Times New Roman"/>
          <w:sz w:val="24"/>
          <w:szCs w:val="24"/>
        </w:rPr>
        <w:t>, neural efficacy (NE), which is</w:t>
      </w:r>
      <w:r w:rsidR="00817EAC">
        <w:rPr>
          <w:rFonts w:ascii="Times New Roman" w:hAnsi="Times New Roman" w:cs="Times New Roman"/>
          <w:sz w:val="24"/>
          <w:szCs w:val="24"/>
        </w:rPr>
        <w:t xml:space="preserve"> the ratio between voluntary and evoked torque at 50</w:t>
      </w:r>
      <w:r w:rsidR="0063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41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686B54">
        <w:rPr>
          <w:rFonts w:ascii="Times New Roman" w:hAnsi="Times New Roman" w:cs="Times New Roman"/>
          <w:sz w:val="24"/>
          <w:szCs w:val="24"/>
        </w:rPr>
        <w:t>,</w:t>
      </w:r>
      <w:r w:rsidR="005A1B47">
        <w:rPr>
          <w:rFonts w:ascii="Times New Roman" w:hAnsi="Times New Roman" w:cs="Times New Roman"/>
          <w:sz w:val="24"/>
          <w:szCs w:val="24"/>
        </w:rPr>
        <w:t xml:space="preserve"> </w:t>
      </w:r>
      <w:r w:rsidR="00F0353E">
        <w:rPr>
          <w:rFonts w:ascii="Times New Roman" w:hAnsi="Times New Roman" w:cs="Times New Roman"/>
          <w:sz w:val="24"/>
          <w:szCs w:val="24"/>
        </w:rPr>
        <w:t xml:space="preserve">was compared. </w:t>
      </w:r>
      <w:r w:rsidR="004868BB" w:rsidRPr="004868BB">
        <w:rPr>
          <w:rFonts w:ascii="Times New Roman" w:hAnsi="Times New Roman" w:cs="Times New Roman"/>
          <w:sz w:val="24"/>
          <w:szCs w:val="24"/>
        </w:rPr>
        <w:t>Involuntary Octet</w:t>
      </w:r>
      <w:r w:rsidR="00556944">
        <w:rPr>
          <w:rFonts w:ascii="Times New Roman" w:hAnsi="Times New Roman" w:cs="Times New Roman"/>
          <w:sz w:val="24"/>
          <w:szCs w:val="24"/>
        </w:rPr>
        <w:t>s</w:t>
      </w:r>
      <w:r w:rsidR="004868BB" w:rsidRPr="004868BB">
        <w:rPr>
          <w:rFonts w:ascii="Times New Roman" w:hAnsi="Times New Roman" w:cs="Times New Roman"/>
          <w:sz w:val="24"/>
          <w:szCs w:val="24"/>
        </w:rPr>
        <w:t xml:space="preserve"> (300 Hz) were evoked at rest to assess peak torque (PT), peak RTD (</w:t>
      </w:r>
      <w:proofErr w:type="spellStart"/>
      <w:r w:rsidR="004868BB" w:rsidRPr="004868BB">
        <w:rPr>
          <w:rFonts w:ascii="Times New Roman" w:hAnsi="Times New Roman" w:cs="Times New Roman"/>
          <w:sz w:val="24"/>
          <w:szCs w:val="24"/>
        </w:rPr>
        <w:t>pRTD</w:t>
      </w:r>
      <w:proofErr w:type="spellEnd"/>
      <w:r w:rsidR="004868BB" w:rsidRPr="004868BB">
        <w:rPr>
          <w:rFonts w:ascii="Times New Roman" w:hAnsi="Times New Roman" w:cs="Times New Roman"/>
          <w:sz w:val="24"/>
          <w:szCs w:val="24"/>
        </w:rPr>
        <w:t>) and time to peak to tension (TPT).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 Both experimental trials and HA sessions were conducted in the same environmental conditions (50</w:t>
      </w:r>
      <w:r w:rsidR="008D4023">
        <w:rPr>
          <w:rFonts w:ascii="Times New Roman" w:hAnsi="Times New Roman" w:cs="Times New Roman"/>
          <w:sz w:val="24"/>
          <w:szCs w:val="24"/>
        </w:rPr>
        <w:t xml:space="preserve"> </w:t>
      </w:r>
      <w:r w:rsidR="00C66FF6" w:rsidRPr="004868BB">
        <w:rPr>
          <w:rFonts w:ascii="Times New Roman" w:hAnsi="Times New Roman" w:cs="Times New Roman"/>
          <w:sz w:val="24"/>
          <w:szCs w:val="24"/>
        </w:rPr>
        <w:t>°C, 50</w:t>
      </w:r>
      <w:r w:rsidR="00E90B6F">
        <w:rPr>
          <w:rFonts w:ascii="Times New Roman" w:hAnsi="Times New Roman" w:cs="Times New Roman"/>
          <w:sz w:val="24"/>
          <w:szCs w:val="24"/>
        </w:rPr>
        <w:t xml:space="preserve"> </w:t>
      </w:r>
      <w:r w:rsidR="00C66FF6" w:rsidRPr="004868BB">
        <w:rPr>
          <w:rFonts w:ascii="Times New Roman" w:hAnsi="Times New Roman" w:cs="Times New Roman"/>
          <w:sz w:val="24"/>
          <w:szCs w:val="24"/>
        </w:rPr>
        <w:t xml:space="preserve">% relative humidity). </w:t>
      </w:r>
      <w:r w:rsidR="00E90B6F">
        <w:rPr>
          <w:rFonts w:ascii="Times New Roman" w:hAnsi="Times New Roman" w:cs="Times New Roman"/>
          <w:sz w:val="24"/>
          <w:szCs w:val="24"/>
        </w:rPr>
        <w:t xml:space="preserve">The  </w:t>
      </w:r>
      <w:r w:rsidR="005734E0">
        <w:rPr>
          <w:rFonts w:ascii="Times New Roman" w:hAnsi="Times New Roman" w:cs="Times New Roman"/>
          <w:sz w:val="24"/>
          <w:szCs w:val="24"/>
        </w:rPr>
        <w:t>mean</w:t>
      </w:r>
      <w:r w:rsid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5734E0">
        <w:rPr>
          <w:rFonts w:ascii="Times New Roman" w:hAnsi="Times New Roman" w:cs="Times New Roman"/>
          <w:sz w:val="24"/>
          <w:szCs w:val="24"/>
        </w:rPr>
        <w:t>±</w:t>
      </w:r>
      <w:r w:rsidR="00510882">
        <w:rPr>
          <w:rFonts w:ascii="Times New Roman" w:hAnsi="Times New Roman" w:cs="Times New Roman"/>
          <w:sz w:val="24"/>
          <w:szCs w:val="24"/>
        </w:rPr>
        <w:t xml:space="preserve"> </w:t>
      </w:r>
      <w:r w:rsidR="005734E0">
        <w:rPr>
          <w:rFonts w:ascii="Times New Roman" w:hAnsi="Times New Roman" w:cs="Times New Roman"/>
          <w:sz w:val="24"/>
          <w:szCs w:val="24"/>
        </w:rPr>
        <w:t>SD</w:t>
      </w:r>
      <w:r w:rsidR="00E90B6F">
        <w:rPr>
          <w:rFonts w:ascii="Times New Roman" w:hAnsi="Times New Roman" w:cs="Times New Roman"/>
          <w:sz w:val="24"/>
          <w:szCs w:val="24"/>
        </w:rPr>
        <w:t xml:space="preserve"> of each data set were determined and</w:t>
      </w:r>
      <w:r w:rsidR="005734E0">
        <w:rPr>
          <w:rFonts w:ascii="Times New Roman" w:hAnsi="Times New Roman" w:cs="Times New Roman"/>
          <w:sz w:val="24"/>
          <w:szCs w:val="24"/>
        </w:rPr>
        <w:t xml:space="preserve"> compared by Two and One-way repeated measures ANOVA.</w:t>
      </w:r>
    </w:p>
    <w:p w14:paraId="2786C0CD" w14:textId="2FE57309" w:rsidR="007D2A71" w:rsidRPr="003404C7" w:rsidRDefault="005B5AF4" w:rsidP="00486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624EBB">
        <w:rPr>
          <w:rFonts w:ascii="Times New Roman" w:hAnsi="Times New Roman" w:cs="Times New Roman"/>
          <w:sz w:val="24"/>
          <w:szCs w:val="24"/>
        </w:rPr>
        <w:t>neuromuscular assessment</w:t>
      </w:r>
      <w:r>
        <w:rPr>
          <w:rFonts w:ascii="Times New Roman" w:hAnsi="Times New Roman" w:cs="Times New Roman"/>
          <w:sz w:val="24"/>
          <w:szCs w:val="24"/>
        </w:rPr>
        <w:t xml:space="preserve"> data are presented in Table 1. </w:t>
      </w:r>
      <w:r w:rsidR="00556944">
        <w:rPr>
          <w:rFonts w:ascii="Times New Roman" w:hAnsi="Times New Roman" w:cs="Times New Roman"/>
          <w:sz w:val="24"/>
          <w:szCs w:val="24"/>
        </w:rPr>
        <w:t>HA</w:t>
      </w:r>
      <w:r w:rsidR="007F5B6C" w:rsidRPr="004868BB">
        <w:rPr>
          <w:rFonts w:ascii="Times New Roman" w:hAnsi="Times New Roman" w:cs="Times New Roman"/>
          <w:sz w:val="24"/>
          <w:szCs w:val="24"/>
        </w:rPr>
        <w:t xml:space="preserve"> decreased resting T</w:t>
      </w:r>
      <w:r w:rsidR="007F5B6C" w:rsidRPr="004868BB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6A06BB" w:rsidRPr="004868BB">
        <w:rPr>
          <w:rFonts w:ascii="Times New Roman" w:hAnsi="Times New Roman" w:cs="Times New Roman"/>
          <w:sz w:val="24"/>
          <w:szCs w:val="24"/>
        </w:rPr>
        <w:t xml:space="preserve"> (-</w:t>
      </w:r>
      <w:r w:rsidR="007F5B6C" w:rsidRPr="004868BB">
        <w:rPr>
          <w:rFonts w:ascii="Times New Roman" w:hAnsi="Times New Roman" w:cs="Times New Roman"/>
          <w:sz w:val="24"/>
          <w:szCs w:val="24"/>
        </w:rPr>
        <w:t>0.5</w:t>
      </w:r>
      <w:r w:rsidR="008D4023">
        <w:rPr>
          <w:rFonts w:ascii="Times New Roman" w:hAnsi="Times New Roman" w:cs="Times New Roman"/>
          <w:sz w:val="24"/>
          <w:szCs w:val="24"/>
        </w:rPr>
        <w:t xml:space="preserve"> </w:t>
      </w:r>
      <w:r w:rsidR="007F5B6C" w:rsidRPr="004868BB">
        <w:rPr>
          <w:rFonts w:ascii="Times New Roman" w:hAnsi="Times New Roman" w:cs="Times New Roman"/>
          <w:sz w:val="24"/>
          <w:szCs w:val="24"/>
        </w:rPr>
        <w:t xml:space="preserve">°C; p&lt;0.005), mean HR (-6 </w:t>
      </w:r>
      <w:r w:rsidR="00E275E4" w:rsidRPr="004868BB">
        <w:rPr>
          <w:rFonts w:ascii="Times New Roman" w:hAnsi="Times New Roman" w:cs="Times New Roman"/>
          <w:sz w:val="24"/>
          <w:szCs w:val="24"/>
        </w:rPr>
        <w:t>b</w:t>
      </w:r>
      <w:r w:rsidR="007F5B6C" w:rsidRPr="004868BB">
        <w:rPr>
          <w:rFonts w:ascii="Times New Roman" w:hAnsi="Times New Roman" w:cs="Times New Roman"/>
          <w:sz w:val="24"/>
          <w:szCs w:val="24"/>
        </w:rPr>
        <w:t>eat</w:t>
      </w:r>
      <w:r w:rsidR="00F0353E">
        <w:rPr>
          <w:rFonts w:ascii="Times New Roman" w:hAnsi="Times New Roman" w:cs="Times New Roman"/>
          <w:sz w:val="24"/>
          <w:szCs w:val="24"/>
        </w:rPr>
        <w:t>/</w:t>
      </w:r>
      <w:r w:rsidR="007F5B6C" w:rsidRPr="004868BB">
        <w:rPr>
          <w:rFonts w:ascii="Times New Roman" w:hAnsi="Times New Roman" w:cs="Times New Roman"/>
          <w:sz w:val="24"/>
          <w:szCs w:val="24"/>
        </w:rPr>
        <w:t>min; p&lt;0.005) and increased sweat rate (+0.6 L/hr; p&lt;0.005</w:t>
      </w:r>
      <w:r w:rsidR="00BE4A2B" w:rsidRPr="004868BB">
        <w:rPr>
          <w:rFonts w:ascii="Times New Roman" w:hAnsi="Times New Roman" w:cs="Times New Roman"/>
          <w:sz w:val="24"/>
          <w:szCs w:val="24"/>
        </w:rPr>
        <w:t>) between HA 1 vs. 10</w:t>
      </w:r>
      <w:r w:rsidR="00E275E4" w:rsidRPr="004868BB">
        <w:rPr>
          <w:rFonts w:ascii="Times New Roman" w:hAnsi="Times New Roman" w:cs="Times New Roman"/>
          <w:sz w:val="24"/>
          <w:szCs w:val="24"/>
        </w:rPr>
        <w:t>.</w:t>
      </w:r>
      <w:r w:rsidR="009F374F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9E6CF7" w:rsidRPr="004868BB">
        <w:rPr>
          <w:rFonts w:ascii="Times New Roman" w:hAnsi="Times New Roman" w:cs="Times New Roman"/>
          <w:sz w:val="24"/>
          <w:szCs w:val="24"/>
        </w:rPr>
        <w:t xml:space="preserve">MVT was unaffected by </w:t>
      </w:r>
      <w:r w:rsidR="009F374F" w:rsidRPr="004868BB">
        <w:rPr>
          <w:rFonts w:ascii="Times New Roman" w:hAnsi="Times New Roman" w:cs="Times New Roman"/>
          <w:sz w:val="24"/>
          <w:szCs w:val="24"/>
        </w:rPr>
        <w:t>T</w:t>
      </w:r>
      <w:r w:rsidR="009F374F" w:rsidRPr="004868BB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9F374F" w:rsidRPr="004868BB">
        <w:rPr>
          <w:rFonts w:ascii="Times New Roman" w:hAnsi="Times New Roman" w:cs="Times New Roman"/>
          <w:sz w:val="24"/>
          <w:szCs w:val="24"/>
        </w:rPr>
        <w:t xml:space="preserve"> </w:t>
      </w:r>
      <w:r w:rsidR="00116545">
        <w:rPr>
          <w:rFonts w:ascii="Times New Roman" w:hAnsi="Times New Roman" w:cs="Times New Roman"/>
          <w:sz w:val="24"/>
          <w:szCs w:val="24"/>
        </w:rPr>
        <w:t>(p=0.69) or HA (p=0.84)</w:t>
      </w:r>
      <w:r w:rsidR="00DC0EB5">
        <w:rPr>
          <w:rFonts w:ascii="Times New Roman" w:hAnsi="Times New Roman" w:cs="Times New Roman"/>
          <w:sz w:val="24"/>
          <w:szCs w:val="24"/>
        </w:rPr>
        <w:t xml:space="preserve"> with no interaction</w:t>
      </w:r>
      <w:r w:rsidR="00DD650B">
        <w:rPr>
          <w:rFonts w:ascii="Times New Roman" w:hAnsi="Times New Roman" w:cs="Times New Roman"/>
          <w:sz w:val="24"/>
          <w:szCs w:val="24"/>
        </w:rPr>
        <w:t xml:space="preserve"> effect (p=0.82)</w:t>
      </w:r>
      <w:r w:rsidR="00502B6A">
        <w:rPr>
          <w:rFonts w:ascii="Times New Roman" w:hAnsi="Times New Roman" w:cs="Times New Roman"/>
          <w:sz w:val="24"/>
          <w:szCs w:val="24"/>
        </w:rPr>
        <w:t xml:space="preserve">. Similarly, voluntary RTD </w:t>
      </w:r>
      <w:r w:rsidR="00256992">
        <w:rPr>
          <w:rFonts w:ascii="Times New Roman" w:hAnsi="Times New Roman" w:cs="Times New Roman"/>
          <w:sz w:val="24"/>
          <w:szCs w:val="24"/>
        </w:rPr>
        <w:t xml:space="preserve">at all time-points was </w:t>
      </w:r>
      <w:r w:rsidR="001B5314">
        <w:rPr>
          <w:rFonts w:ascii="Times New Roman" w:hAnsi="Times New Roman" w:cs="Times New Roman"/>
          <w:sz w:val="24"/>
          <w:szCs w:val="24"/>
        </w:rPr>
        <w:t>not effected by T</w:t>
      </w:r>
      <w:r w:rsidR="001B5314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1B5314">
        <w:rPr>
          <w:rFonts w:ascii="Times New Roman" w:hAnsi="Times New Roman" w:cs="Times New Roman"/>
          <w:sz w:val="24"/>
          <w:szCs w:val="24"/>
        </w:rPr>
        <w:t xml:space="preserve"> (</w:t>
      </w:r>
      <w:r w:rsidR="00934DB7">
        <w:rPr>
          <w:rFonts w:ascii="Times New Roman" w:hAnsi="Times New Roman" w:cs="Times New Roman"/>
          <w:sz w:val="24"/>
          <w:szCs w:val="24"/>
        </w:rPr>
        <w:t>p&gt;0.05) or HA (p&gt;0.05)</w:t>
      </w:r>
      <w:r w:rsidR="00F419F6">
        <w:rPr>
          <w:rFonts w:ascii="Times New Roman" w:hAnsi="Times New Roman" w:cs="Times New Roman"/>
          <w:sz w:val="24"/>
          <w:szCs w:val="24"/>
        </w:rPr>
        <w:t xml:space="preserve"> </w:t>
      </w:r>
      <w:r w:rsidR="009C3564">
        <w:rPr>
          <w:rFonts w:ascii="Times New Roman" w:hAnsi="Times New Roman" w:cs="Times New Roman"/>
          <w:sz w:val="24"/>
          <w:szCs w:val="24"/>
        </w:rPr>
        <w:t xml:space="preserve">and </w:t>
      </w:r>
      <w:r w:rsidR="00492997">
        <w:rPr>
          <w:rFonts w:ascii="Times New Roman" w:hAnsi="Times New Roman" w:cs="Times New Roman"/>
          <w:sz w:val="24"/>
          <w:szCs w:val="24"/>
        </w:rPr>
        <w:t>did not have an interaction effect (p&gt;0.05).</w:t>
      </w:r>
      <w:r w:rsidR="00C60132">
        <w:rPr>
          <w:rFonts w:ascii="Times New Roman" w:hAnsi="Times New Roman" w:cs="Times New Roman"/>
          <w:sz w:val="24"/>
          <w:szCs w:val="24"/>
        </w:rPr>
        <w:t xml:space="preserve"> </w:t>
      </w:r>
      <w:r w:rsidR="009F257D">
        <w:rPr>
          <w:rFonts w:ascii="Times New Roman" w:hAnsi="Times New Roman" w:cs="Times New Roman"/>
          <w:sz w:val="24"/>
          <w:szCs w:val="24"/>
        </w:rPr>
        <w:t>Participants</w:t>
      </w:r>
      <w:r w:rsidR="00C60132">
        <w:rPr>
          <w:rFonts w:ascii="Times New Roman" w:hAnsi="Times New Roman" w:cs="Times New Roman"/>
          <w:sz w:val="24"/>
          <w:szCs w:val="24"/>
        </w:rPr>
        <w:t xml:space="preserve"> produced similar </w:t>
      </w:r>
      <w:r w:rsidR="003C3DD1">
        <w:rPr>
          <w:rFonts w:ascii="Times New Roman" w:hAnsi="Times New Roman" w:cs="Times New Roman"/>
          <w:sz w:val="24"/>
          <w:szCs w:val="24"/>
        </w:rPr>
        <w:t>neural drive, evidenced by NE,</w:t>
      </w:r>
      <w:r w:rsidR="003404C7">
        <w:rPr>
          <w:rFonts w:ascii="Times New Roman" w:hAnsi="Times New Roman" w:cs="Times New Roman"/>
          <w:sz w:val="24"/>
          <w:szCs w:val="24"/>
        </w:rPr>
        <w:t xml:space="preserve"> at both T</w:t>
      </w:r>
      <w:r w:rsidR="003404C7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3404C7">
        <w:rPr>
          <w:rFonts w:ascii="Times New Roman" w:hAnsi="Times New Roman" w:cs="Times New Roman"/>
          <w:sz w:val="24"/>
          <w:szCs w:val="24"/>
        </w:rPr>
        <w:t xml:space="preserve"> (p=</w:t>
      </w:r>
      <w:r w:rsidR="009F257D">
        <w:rPr>
          <w:rFonts w:ascii="Times New Roman" w:hAnsi="Times New Roman" w:cs="Times New Roman"/>
          <w:sz w:val="24"/>
          <w:szCs w:val="24"/>
        </w:rPr>
        <w:t>0.92) and this did not change following HA (p=</w:t>
      </w:r>
      <w:r w:rsidR="005F5FEE">
        <w:rPr>
          <w:rFonts w:ascii="Times New Roman" w:hAnsi="Times New Roman" w:cs="Times New Roman"/>
          <w:sz w:val="24"/>
          <w:szCs w:val="24"/>
        </w:rPr>
        <w:t>0.99)</w:t>
      </w:r>
      <w:r w:rsidR="0046472A">
        <w:rPr>
          <w:rFonts w:ascii="Times New Roman" w:hAnsi="Times New Roman" w:cs="Times New Roman"/>
          <w:sz w:val="24"/>
          <w:szCs w:val="24"/>
        </w:rPr>
        <w:t>, with no interaction effect</w:t>
      </w:r>
      <w:r w:rsidR="005E764C">
        <w:rPr>
          <w:rFonts w:ascii="Times New Roman" w:hAnsi="Times New Roman" w:cs="Times New Roman"/>
          <w:sz w:val="24"/>
          <w:szCs w:val="24"/>
        </w:rPr>
        <w:t xml:space="preserve"> (p=0.75)</w:t>
      </w:r>
      <w:r w:rsidR="0046472A">
        <w:rPr>
          <w:rFonts w:ascii="Times New Roman" w:hAnsi="Times New Roman" w:cs="Times New Roman"/>
          <w:sz w:val="24"/>
          <w:szCs w:val="24"/>
        </w:rPr>
        <w:t>.</w:t>
      </w:r>
      <w:r w:rsidR="00747FF8" w:rsidRPr="00747FF8">
        <w:rPr>
          <w:rFonts w:ascii="Times New Roman" w:hAnsi="Times New Roman" w:cs="Times New Roman"/>
          <w:sz w:val="24"/>
          <w:szCs w:val="24"/>
        </w:rPr>
        <w:t xml:space="preserve"> </w:t>
      </w:r>
      <w:r w:rsidR="00747FF8" w:rsidRPr="004868BB">
        <w:rPr>
          <w:rFonts w:ascii="Times New Roman" w:hAnsi="Times New Roman" w:cs="Times New Roman"/>
          <w:sz w:val="24"/>
          <w:szCs w:val="24"/>
        </w:rPr>
        <w:t>The</w:t>
      </w:r>
      <w:r w:rsidR="004B5091">
        <w:rPr>
          <w:rFonts w:ascii="Times New Roman" w:hAnsi="Times New Roman" w:cs="Times New Roman"/>
          <w:sz w:val="24"/>
          <w:szCs w:val="24"/>
        </w:rPr>
        <w:t>re</w:t>
      </w:r>
      <w:r w:rsidR="00D3353F">
        <w:rPr>
          <w:rFonts w:ascii="Times New Roman" w:hAnsi="Times New Roman" w:cs="Times New Roman"/>
          <w:sz w:val="24"/>
          <w:szCs w:val="24"/>
        </w:rPr>
        <w:t xml:space="preserve"> was a main effect of T</w:t>
      </w:r>
      <w:r w:rsidR="00D3353F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D3353F">
        <w:rPr>
          <w:rFonts w:ascii="Times New Roman" w:hAnsi="Times New Roman" w:cs="Times New Roman"/>
          <w:sz w:val="24"/>
          <w:szCs w:val="24"/>
        </w:rPr>
        <w:t xml:space="preserve"> (p&lt;</w:t>
      </w:r>
      <w:r w:rsidR="00DE0267">
        <w:rPr>
          <w:rFonts w:ascii="Times New Roman" w:hAnsi="Times New Roman" w:cs="Times New Roman"/>
          <w:sz w:val="24"/>
          <w:szCs w:val="24"/>
        </w:rPr>
        <w:t xml:space="preserve">0.005) </w:t>
      </w:r>
      <w:r w:rsidR="00D3353F">
        <w:rPr>
          <w:rFonts w:ascii="Times New Roman" w:hAnsi="Times New Roman" w:cs="Times New Roman"/>
          <w:sz w:val="24"/>
          <w:szCs w:val="24"/>
        </w:rPr>
        <w:t xml:space="preserve">for Octet </w:t>
      </w:r>
      <w:r w:rsidR="00747FF8" w:rsidRPr="004868BB">
        <w:rPr>
          <w:rFonts w:ascii="Times New Roman" w:hAnsi="Times New Roman" w:cs="Times New Roman"/>
          <w:sz w:val="24"/>
          <w:szCs w:val="24"/>
        </w:rPr>
        <w:t xml:space="preserve">PT, </w:t>
      </w:r>
      <w:proofErr w:type="spellStart"/>
      <w:r w:rsidR="00747FF8" w:rsidRPr="004868BB">
        <w:rPr>
          <w:rFonts w:ascii="Times New Roman" w:hAnsi="Times New Roman" w:cs="Times New Roman"/>
          <w:sz w:val="24"/>
          <w:szCs w:val="24"/>
        </w:rPr>
        <w:t>pRTD</w:t>
      </w:r>
      <w:proofErr w:type="spellEnd"/>
      <w:r w:rsidR="00747FF8" w:rsidRPr="004868BB">
        <w:rPr>
          <w:rFonts w:ascii="Times New Roman" w:hAnsi="Times New Roman" w:cs="Times New Roman"/>
          <w:sz w:val="24"/>
          <w:szCs w:val="24"/>
        </w:rPr>
        <w:t xml:space="preserve"> and TPT</w:t>
      </w:r>
      <w:r w:rsidR="00DE0267">
        <w:rPr>
          <w:rFonts w:ascii="Times New Roman" w:hAnsi="Times New Roman" w:cs="Times New Roman"/>
          <w:sz w:val="24"/>
          <w:szCs w:val="24"/>
        </w:rPr>
        <w:t xml:space="preserve">, </w:t>
      </w:r>
      <w:r w:rsidR="00747FF8" w:rsidRPr="004868BB">
        <w:rPr>
          <w:rFonts w:ascii="Times New Roman" w:hAnsi="Times New Roman" w:cs="Times New Roman"/>
          <w:sz w:val="24"/>
          <w:szCs w:val="24"/>
        </w:rPr>
        <w:t>but no effect of HA (p&gt;0.05)</w:t>
      </w:r>
      <w:r w:rsidR="00747FF8">
        <w:rPr>
          <w:rFonts w:ascii="Times New Roman" w:hAnsi="Times New Roman" w:cs="Times New Roman"/>
          <w:sz w:val="24"/>
          <w:szCs w:val="24"/>
        </w:rPr>
        <w:t xml:space="preserve"> or interaction effects (p&gt;0.05) were</w:t>
      </w:r>
      <w:r w:rsidR="00747FF8" w:rsidRPr="004868BB">
        <w:rPr>
          <w:rFonts w:ascii="Times New Roman" w:hAnsi="Times New Roman" w:cs="Times New Roman"/>
          <w:sz w:val="24"/>
          <w:szCs w:val="24"/>
        </w:rPr>
        <w:t xml:space="preserve"> observed.</w:t>
      </w:r>
    </w:p>
    <w:p w14:paraId="5DFF125C" w14:textId="2FBCB311" w:rsidR="005B5AF4" w:rsidRDefault="00556944" w:rsidP="00486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705BB" w:rsidRPr="004868BB">
        <w:rPr>
          <w:rFonts w:ascii="Times New Roman" w:hAnsi="Times New Roman" w:cs="Times New Roman"/>
          <w:sz w:val="24"/>
          <w:szCs w:val="24"/>
        </w:rPr>
        <w:t xml:space="preserve">hese data </w:t>
      </w:r>
      <w:r w:rsidR="005B5AF4">
        <w:rPr>
          <w:rFonts w:ascii="Times New Roman" w:hAnsi="Times New Roman" w:cs="Times New Roman"/>
          <w:sz w:val="24"/>
          <w:szCs w:val="24"/>
        </w:rPr>
        <w:t>show</w:t>
      </w:r>
      <w:r w:rsidR="008705BB" w:rsidRPr="004868BB">
        <w:rPr>
          <w:rFonts w:ascii="Times New Roman" w:hAnsi="Times New Roman" w:cs="Times New Roman"/>
          <w:sz w:val="24"/>
          <w:szCs w:val="24"/>
        </w:rPr>
        <w:t xml:space="preserve"> that HA </w:t>
      </w:r>
      <w:r w:rsidR="005B5AF4">
        <w:rPr>
          <w:rFonts w:ascii="Times New Roman" w:hAnsi="Times New Roman" w:cs="Times New Roman"/>
          <w:sz w:val="24"/>
          <w:szCs w:val="24"/>
        </w:rPr>
        <w:t xml:space="preserve">elicited physiological changes indicating successful adaptation to the heat. Maximal and rapid torque production were not effected by a rise in rectal temperature </w:t>
      </w:r>
      <w:r w:rsidR="00A85C7B">
        <w:rPr>
          <w:rFonts w:ascii="Times New Roman" w:hAnsi="Times New Roman" w:cs="Times New Roman"/>
          <w:sz w:val="24"/>
          <w:szCs w:val="24"/>
        </w:rPr>
        <w:t xml:space="preserve">and this was similar following 10 days of HA. The intrinsic contractile properties of the muscle were greater when participants were hotter but </w:t>
      </w:r>
      <w:r w:rsidR="00510882">
        <w:rPr>
          <w:rFonts w:ascii="Times New Roman" w:hAnsi="Times New Roman" w:cs="Times New Roman"/>
          <w:sz w:val="24"/>
          <w:szCs w:val="24"/>
        </w:rPr>
        <w:t xml:space="preserve">also </w:t>
      </w:r>
      <w:r w:rsidR="00A85C7B">
        <w:rPr>
          <w:rFonts w:ascii="Times New Roman" w:hAnsi="Times New Roman" w:cs="Times New Roman"/>
          <w:sz w:val="24"/>
          <w:szCs w:val="24"/>
        </w:rPr>
        <w:t>did not change following HA. These data suggest the beneficial physiological adaptations associated with HA do not confer any benefit to the neuromuscular system.</w:t>
      </w:r>
    </w:p>
    <w:p w14:paraId="261B5110" w14:textId="1B5E1966" w:rsidR="005734E0" w:rsidRPr="005734E0" w:rsidRDefault="005734E0" w:rsidP="005734E0">
      <w:pPr>
        <w:pStyle w:val="NormalWeb"/>
        <w:jc w:val="both"/>
        <w:divId w:val="1701583853"/>
        <w:rPr>
          <w:b/>
          <w:bCs/>
        </w:rPr>
      </w:pPr>
      <w:r w:rsidRPr="005734E0">
        <w:rPr>
          <w:b/>
          <w:bCs/>
        </w:rPr>
        <w:t>References</w:t>
      </w:r>
    </w:p>
    <w:p w14:paraId="695609A4" w14:textId="77777777" w:rsidR="00556944" w:rsidRDefault="00556944" w:rsidP="00556944">
      <w:pPr>
        <w:pStyle w:val="NormalWeb"/>
        <w:jc w:val="both"/>
        <w:divId w:val="1133907961"/>
      </w:pPr>
      <w:r>
        <w:fldChar w:fldCharType="begin"/>
      </w:r>
      <w:r>
        <w:instrText>ADDIN RW.BIB</w:instrText>
      </w:r>
      <w:r>
        <w:fldChar w:fldCharType="separate"/>
      </w:r>
      <w:r>
        <w:t xml:space="preserve">1. Morrison S, Sleivert GG, Cheung SS. Passive hyperthermia reduces voluntary activation and isometric force production. Eur J Appl Physiol. 2004;91:729-36. </w:t>
      </w:r>
    </w:p>
    <w:p w14:paraId="24BCBDBC" w14:textId="77777777" w:rsidR="00556944" w:rsidRDefault="00556944" w:rsidP="00556944">
      <w:pPr>
        <w:pStyle w:val="NormalWeb"/>
        <w:jc w:val="both"/>
        <w:divId w:val="1133907961"/>
      </w:pPr>
      <w:r>
        <w:t xml:space="preserve">2. Folland J,P, Buckthorpe M,W, Hannah R. Human capacity for explosive force production: Neural and contractile determinants. Scand J Med Sci Sports. 2014;24:894-906. </w:t>
      </w:r>
    </w:p>
    <w:p w14:paraId="77C79103" w14:textId="77777777" w:rsidR="00556944" w:rsidRDefault="00556944" w:rsidP="00556944">
      <w:pPr>
        <w:pStyle w:val="NormalWeb"/>
        <w:jc w:val="both"/>
        <w:divId w:val="1133907961"/>
      </w:pPr>
      <w:r>
        <w:lastRenderedPageBreak/>
        <w:t xml:space="preserve">3. Tyler C, Reeve T, Hodges G, Cheung S,S. The effects of heat adaptation on physiology, perception, and exercise performance in the heat: A meta-analysis. Sports Med. 2016;46(11):1699-724. </w:t>
      </w:r>
    </w:p>
    <w:p w14:paraId="60340F6E" w14:textId="24CF2CEC" w:rsidR="00556944" w:rsidRPr="004868BB" w:rsidRDefault="00556944" w:rsidP="005569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7447F6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B7A">
        <w:rPr>
          <w:rFonts w:ascii="Times New Roman" w:hAnsi="Times New Roman" w:cs="Times New Roman"/>
          <w:sz w:val="24"/>
          <w:szCs w:val="24"/>
        </w:rPr>
        <w:t xml:space="preserve">Maximal voluntary torque (MVT), voluntary </w:t>
      </w:r>
      <w:r w:rsidR="009E611F">
        <w:rPr>
          <w:rFonts w:ascii="Times New Roman" w:hAnsi="Times New Roman" w:cs="Times New Roman"/>
          <w:sz w:val="24"/>
          <w:szCs w:val="24"/>
        </w:rPr>
        <w:t>rate of torque development</w:t>
      </w:r>
      <w:r w:rsidR="00415B7A">
        <w:rPr>
          <w:rFonts w:ascii="Times New Roman" w:hAnsi="Times New Roman" w:cs="Times New Roman"/>
          <w:sz w:val="24"/>
          <w:szCs w:val="24"/>
        </w:rPr>
        <w:t xml:space="preserve"> </w:t>
      </w:r>
      <w:r w:rsidR="009E611F">
        <w:rPr>
          <w:rFonts w:ascii="Times New Roman" w:hAnsi="Times New Roman" w:cs="Times New Roman"/>
          <w:sz w:val="24"/>
          <w:szCs w:val="24"/>
        </w:rPr>
        <w:t xml:space="preserve">(RTD) </w:t>
      </w:r>
      <w:r w:rsidR="008850E4">
        <w:rPr>
          <w:rFonts w:ascii="Times New Roman" w:hAnsi="Times New Roman" w:cs="Times New Roman"/>
          <w:sz w:val="24"/>
          <w:szCs w:val="24"/>
        </w:rPr>
        <w:t xml:space="preserve">at </w:t>
      </w:r>
      <w:r w:rsidR="00415B7A">
        <w:rPr>
          <w:rFonts w:ascii="Times New Roman" w:hAnsi="Times New Roman" w:cs="Times New Roman"/>
          <w:sz w:val="24"/>
          <w:szCs w:val="24"/>
        </w:rPr>
        <w:t>50 (</w:t>
      </w:r>
      <w:r w:rsidR="00415B7A" w:rsidRPr="00415B7A">
        <w:rPr>
          <w:rFonts w:ascii="Times New Roman" w:hAnsi="Times New Roman" w:cs="Times New Roman"/>
          <w:sz w:val="24"/>
          <w:szCs w:val="24"/>
        </w:rPr>
        <w:t>T</w:t>
      </w:r>
      <w:r w:rsidR="00415B7A" w:rsidRPr="00415B7A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415B7A">
        <w:rPr>
          <w:rFonts w:ascii="Times New Roman" w:hAnsi="Times New Roman" w:cs="Times New Roman"/>
          <w:sz w:val="24"/>
          <w:szCs w:val="24"/>
        </w:rPr>
        <w:t>)</w:t>
      </w:r>
      <w:r w:rsidR="005F4CA4">
        <w:rPr>
          <w:rFonts w:ascii="Times New Roman" w:hAnsi="Times New Roman" w:cs="Times New Roman"/>
          <w:sz w:val="24"/>
          <w:szCs w:val="24"/>
        </w:rPr>
        <w:t>, 100 (T</w:t>
      </w:r>
      <w:r w:rsidR="005F4CA4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="005F4CA4">
        <w:rPr>
          <w:rFonts w:ascii="Times New Roman" w:hAnsi="Times New Roman" w:cs="Times New Roman"/>
          <w:sz w:val="24"/>
          <w:szCs w:val="24"/>
        </w:rPr>
        <w:t>) and 150 (T</w:t>
      </w:r>
      <w:r w:rsidR="005F4CA4">
        <w:rPr>
          <w:rFonts w:ascii="Times New Roman" w:hAnsi="Times New Roman" w:cs="Times New Roman"/>
          <w:sz w:val="24"/>
          <w:szCs w:val="24"/>
          <w:vertAlign w:val="subscript"/>
        </w:rPr>
        <w:t>150</w:t>
      </w:r>
      <w:r w:rsidR="005F4C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F4CA4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5F4CA4">
        <w:rPr>
          <w:rFonts w:ascii="Times New Roman" w:hAnsi="Times New Roman" w:cs="Times New Roman"/>
          <w:sz w:val="24"/>
          <w:szCs w:val="24"/>
        </w:rPr>
        <w:t xml:space="preserve"> from contraction onset</w:t>
      </w:r>
      <w:r w:rsidR="008850E4">
        <w:rPr>
          <w:rFonts w:ascii="Times New Roman" w:hAnsi="Times New Roman" w:cs="Times New Roman"/>
          <w:sz w:val="24"/>
          <w:szCs w:val="24"/>
        </w:rPr>
        <w:t>, neural efficacy (NE),</w:t>
      </w:r>
      <w:r w:rsidR="00415B7A">
        <w:rPr>
          <w:rFonts w:ascii="Times New Roman" w:hAnsi="Times New Roman" w:cs="Times New Roman"/>
          <w:sz w:val="24"/>
          <w:szCs w:val="24"/>
        </w:rPr>
        <w:t xml:space="preserve"> </w:t>
      </w:r>
      <w:r w:rsidR="008850E4">
        <w:rPr>
          <w:rFonts w:ascii="Times New Roman" w:hAnsi="Times New Roman" w:cs="Times New Roman"/>
          <w:sz w:val="24"/>
          <w:szCs w:val="24"/>
        </w:rPr>
        <w:t>p</w:t>
      </w:r>
      <w:r w:rsidRPr="00415B7A">
        <w:rPr>
          <w:rFonts w:ascii="Times New Roman" w:hAnsi="Times New Roman" w:cs="Times New Roman"/>
          <w:sz w:val="24"/>
          <w:szCs w:val="24"/>
        </w:rPr>
        <w:t>eak</w:t>
      </w:r>
      <w:r>
        <w:rPr>
          <w:rFonts w:ascii="Times New Roman" w:hAnsi="Times New Roman" w:cs="Times New Roman"/>
          <w:sz w:val="24"/>
          <w:szCs w:val="24"/>
        </w:rPr>
        <w:t xml:space="preserve"> torque (PT), peak </w:t>
      </w:r>
      <w:r w:rsidR="00510882">
        <w:rPr>
          <w:rFonts w:ascii="Times New Roman" w:hAnsi="Times New Roman" w:cs="Times New Roman"/>
          <w:sz w:val="24"/>
          <w:szCs w:val="24"/>
        </w:rPr>
        <w:t>RTD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pRTD</w:t>
      </w:r>
      <w:proofErr w:type="spellEnd"/>
      <w:r>
        <w:rPr>
          <w:rFonts w:ascii="Times New Roman" w:hAnsi="Times New Roman" w:cs="Times New Roman"/>
          <w:sz w:val="24"/>
          <w:szCs w:val="24"/>
        </w:rPr>
        <w:t>) and time to peak tension (TPT) in electrically evoked Octet contractions of the knee extensors, pre- and post- 10 days of heat acclimation, at two different rectal temperatures</w:t>
      </w:r>
      <w:r w:rsidR="009E611F">
        <w:rPr>
          <w:rFonts w:ascii="Times New Roman" w:hAnsi="Times New Roman" w:cs="Times New Roman"/>
          <w:sz w:val="24"/>
          <w:szCs w:val="24"/>
        </w:rPr>
        <w:t xml:space="preserve"> (T</w:t>
      </w:r>
      <w:r w:rsidR="009E611F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 w:rsidR="009E611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 Data are mean</w:t>
      </w:r>
      <w:r w:rsidR="0051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 w:rsidR="0051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SD. Significant differences are Bonferroni corrected paired comparisons.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1152"/>
        <w:gridCol w:w="2381"/>
        <w:gridCol w:w="2385"/>
      </w:tblGrid>
      <w:tr w:rsidR="005C6C96" w14:paraId="0D27EEB8" w14:textId="77777777" w:rsidTr="006F425D">
        <w:tc>
          <w:tcPr>
            <w:tcW w:w="1722" w:type="pct"/>
            <w:tcBorders>
              <w:top w:val="single" w:sz="4" w:space="0" w:color="auto"/>
              <w:bottom w:val="single" w:sz="4" w:space="0" w:color="auto"/>
            </w:tcBorders>
          </w:tcPr>
          <w:p w14:paraId="3A9C4B05" w14:textId="52846B3D" w:rsidR="00556944" w:rsidRPr="00556944" w:rsidRDefault="00686B54" w:rsidP="00AE51C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Dependant Variable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14:paraId="18F6C3E7" w14:textId="28E51548" w:rsidR="00556944" w:rsidRPr="00FA35C1" w:rsidRDefault="00686B54" w:rsidP="00FA35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FA3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A35C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re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</w:tcPr>
          <w:p w14:paraId="4DC63A87" w14:textId="1A435AB9" w:rsidR="00556944" w:rsidRPr="00556944" w:rsidRDefault="00153897" w:rsidP="00B0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</w:tcBorders>
          </w:tcPr>
          <w:p w14:paraId="48C01D11" w14:textId="79489930" w:rsidR="00556944" w:rsidRPr="00556944" w:rsidRDefault="00153897" w:rsidP="00B0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</w:tr>
      <w:tr w:rsidR="005E1F7C" w14:paraId="6DF25FC9" w14:textId="77777777" w:rsidTr="006F425D">
        <w:tc>
          <w:tcPr>
            <w:tcW w:w="1722" w:type="pct"/>
            <w:vMerge w:val="restart"/>
            <w:tcBorders>
              <w:top w:val="single" w:sz="4" w:space="0" w:color="auto"/>
            </w:tcBorders>
            <w:vAlign w:val="center"/>
          </w:tcPr>
          <w:p w14:paraId="3715C4E9" w14:textId="546BCB7D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MVT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</w:tcBorders>
            <w:vAlign w:val="center"/>
          </w:tcPr>
          <w:p w14:paraId="592FDD04" w14:textId="3818E9D2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1C3ED027" w14:textId="283611D5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203 ± 57</w:t>
            </w:r>
          </w:p>
        </w:tc>
        <w:tc>
          <w:tcPr>
            <w:tcW w:w="1321" w:type="pct"/>
            <w:tcBorders>
              <w:top w:val="single" w:sz="4" w:space="0" w:color="auto"/>
            </w:tcBorders>
            <w:vAlign w:val="center"/>
          </w:tcPr>
          <w:p w14:paraId="30C418A6" w14:textId="4A6D11F3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197 ± 53</w:t>
            </w:r>
          </w:p>
        </w:tc>
      </w:tr>
      <w:tr w:rsidR="005E1F7C" w14:paraId="36544B63" w14:textId="77777777" w:rsidTr="006F425D">
        <w:tc>
          <w:tcPr>
            <w:tcW w:w="1722" w:type="pct"/>
            <w:vMerge/>
            <w:vAlign w:val="center"/>
          </w:tcPr>
          <w:p w14:paraId="5629681E" w14:textId="77777777" w:rsidR="005E1F7C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0D8C2E14" w14:textId="2ECEEBD1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55D06D50" w14:textId="3D56E10F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200 ± 52</w:t>
            </w:r>
          </w:p>
        </w:tc>
        <w:tc>
          <w:tcPr>
            <w:tcW w:w="1321" w:type="pct"/>
            <w:vAlign w:val="center"/>
          </w:tcPr>
          <w:p w14:paraId="37FE6ACF" w14:textId="5556850C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202 ± 55</w:t>
            </w:r>
          </w:p>
        </w:tc>
      </w:tr>
      <w:tr w:rsidR="005E1F7C" w14:paraId="11EEE994" w14:textId="77777777" w:rsidTr="006F425D">
        <w:tc>
          <w:tcPr>
            <w:tcW w:w="1722" w:type="pct"/>
            <w:vMerge w:val="restart"/>
            <w:vAlign w:val="center"/>
          </w:tcPr>
          <w:p w14:paraId="5D115270" w14:textId="77BBF218" w:rsidR="005E1F7C" w:rsidRPr="002829FD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50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7C948CE4" w14:textId="53397230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69EE10D8" w14:textId="4904DDA2" w:rsidR="005E1F7C" w:rsidRPr="00A33A3C" w:rsidRDefault="00450921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48 ± 25</w:t>
            </w:r>
          </w:p>
        </w:tc>
        <w:tc>
          <w:tcPr>
            <w:tcW w:w="1321" w:type="pct"/>
            <w:vAlign w:val="center"/>
          </w:tcPr>
          <w:p w14:paraId="6D091EC9" w14:textId="733AFB2B" w:rsidR="005E1F7C" w:rsidRPr="00A33A3C" w:rsidRDefault="002066A8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52 ± 28</w:t>
            </w:r>
          </w:p>
        </w:tc>
      </w:tr>
      <w:tr w:rsidR="005E1F7C" w14:paraId="00BEB10A" w14:textId="77777777" w:rsidTr="006F425D">
        <w:tc>
          <w:tcPr>
            <w:tcW w:w="1722" w:type="pct"/>
            <w:vMerge/>
            <w:vAlign w:val="center"/>
          </w:tcPr>
          <w:p w14:paraId="64179B4D" w14:textId="77777777" w:rsidR="005E1F7C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78ADB595" w14:textId="5DDE7D4B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3B1C0273" w14:textId="6D5C94EE" w:rsidR="005E1F7C" w:rsidRPr="00A33A3C" w:rsidRDefault="00450921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55 ± 30</w:t>
            </w:r>
          </w:p>
        </w:tc>
        <w:tc>
          <w:tcPr>
            <w:tcW w:w="1321" w:type="pct"/>
            <w:vAlign w:val="center"/>
          </w:tcPr>
          <w:p w14:paraId="3C96D037" w14:textId="38C28A58" w:rsidR="005E1F7C" w:rsidRPr="00A33A3C" w:rsidRDefault="002066A8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62 ± 31</w:t>
            </w:r>
          </w:p>
        </w:tc>
      </w:tr>
      <w:tr w:rsidR="005E1F7C" w14:paraId="5583B1E2" w14:textId="77777777" w:rsidTr="006F425D">
        <w:tc>
          <w:tcPr>
            <w:tcW w:w="1722" w:type="pct"/>
            <w:vMerge w:val="restart"/>
            <w:vAlign w:val="center"/>
          </w:tcPr>
          <w:p w14:paraId="00A39BED" w14:textId="34E658D1" w:rsidR="005E1F7C" w:rsidRPr="002829FD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100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1FA195D3" w14:textId="3B7988A1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14FD7CC3" w14:textId="13CA5437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115 ± 39</w:t>
            </w:r>
          </w:p>
        </w:tc>
        <w:tc>
          <w:tcPr>
            <w:tcW w:w="1321" w:type="pct"/>
            <w:vAlign w:val="center"/>
          </w:tcPr>
          <w:p w14:paraId="5BA7F58B" w14:textId="2D08F271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115 ± 40</w:t>
            </w:r>
          </w:p>
        </w:tc>
      </w:tr>
      <w:tr w:rsidR="005E1F7C" w14:paraId="0886D0C3" w14:textId="77777777" w:rsidTr="006F425D">
        <w:tc>
          <w:tcPr>
            <w:tcW w:w="1722" w:type="pct"/>
            <w:vMerge/>
            <w:vAlign w:val="center"/>
          </w:tcPr>
          <w:p w14:paraId="5C367DEF" w14:textId="77777777" w:rsidR="005E1F7C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318A14B7" w14:textId="407B4EEC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1949709F" w14:textId="540D8F3B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121 ± 37</w:t>
            </w:r>
          </w:p>
        </w:tc>
        <w:tc>
          <w:tcPr>
            <w:tcW w:w="1321" w:type="pct"/>
            <w:vAlign w:val="center"/>
          </w:tcPr>
          <w:p w14:paraId="317249D2" w14:textId="4B49A1CE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121 ± 38</w:t>
            </w:r>
          </w:p>
        </w:tc>
      </w:tr>
      <w:tr w:rsidR="005E1F7C" w14:paraId="2171E141" w14:textId="77777777" w:rsidTr="006F425D">
        <w:tc>
          <w:tcPr>
            <w:tcW w:w="1722" w:type="pct"/>
            <w:vMerge w:val="restart"/>
            <w:vAlign w:val="center"/>
          </w:tcPr>
          <w:p w14:paraId="40C33392" w14:textId="4576F846" w:rsidR="005E1F7C" w:rsidRPr="002829FD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150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1B9E4374" w14:textId="558F83AF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218E83B2" w14:textId="763DC5F4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152 ± 51</w:t>
            </w:r>
          </w:p>
        </w:tc>
        <w:tc>
          <w:tcPr>
            <w:tcW w:w="1321" w:type="pct"/>
            <w:vAlign w:val="center"/>
          </w:tcPr>
          <w:p w14:paraId="735F133C" w14:textId="62D143FC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139 ± 27</w:t>
            </w:r>
          </w:p>
        </w:tc>
      </w:tr>
      <w:tr w:rsidR="005E1F7C" w14:paraId="6FE11360" w14:textId="77777777" w:rsidTr="006F425D">
        <w:tc>
          <w:tcPr>
            <w:tcW w:w="1722" w:type="pct"/>
            <w:vMerge/>
            <w:vAlign w:val="center"/>
          </w:tcPr>
          <w:p w14:paraId="57A72382" w14:textId="77777777" w:rsidR="005E1F7C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420A0D57" w14:textId="09657CC9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16AE97A7" w14:textId="6D90799D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149 ± 36</w:t>
            </w:r>
          </w:p>
        </w:tc>
        <w:tc>
          <w:tcPr>
            <w:tcW w:w="1321" w:type="pct"/>
            <w:vAlign w:val="center"/>
          </w:tcPr>
          <w:p w14:paraId="42FC9B5D" w14:textId="112A06D2" w:rsidR="005E1F7C" w:rsidRPr="00A33A3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3C">
              <w:rPr>
                <w:rFonts w:ascii="Times New Roman" w:hAnsi="Times New Roman" w:cs="Times New Roman"/>
                <w:sz w:val="24"/>
                <w:szCs w:val="24"/>
              </w:rPr>
              <w:t>136 ± 32</w:t>
            </w:r>
          </w:p>
        </w:tc>
      </w:tr>
      <w:tr w:rsidR="005E1F7C" w14:paraId="0BDE8D98" w14:textId="77777777" w:rsidTr="006F425D">
        <w:tc>
          <w:tcPr>
            <w:tcW w:w="1722" w:type="pct"/>
            <w:vMerge w:val="restart"/>
            <w:vAlign w:val="center"/>
          </w:tcPr>
          <w:p w14:paraId="77A86B34" w14:textId="238FF4D9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638" w:type="pct"/>
            <w:vAlign w:val="center"/>
          </w:tcPr>
          <w:p w14:paraId="1325A886" w14:textId="1570DBE0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26BECF42" w14:textId="7C077492" w:rsidR="005E1F7C" w:rsidRPr="00A33A3C" w:rsidRDefault="00450921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4D7A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0.67 ± 0.18</w:t>
            </w:r>
          </w:p>
        </w:tc>
        <w:tc>
          <w:tcPr>
            <w:tcW w:w="1321" w:type="pct"/>
            <w:vAlign w:val="center"/>
          </w:tcPr>
          <w:p w14:paraId="0121E1C2" w14:textId="14546BD3" w:rsidR="005E1F7C" w:rsidRPr="00A33A3C" w:rsidRDefault="002066A8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87099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0.69 ± 0.14</w:t>
            </w:r>
          </w:p>
        </w:tc>
      </w:tr>
      <w:tr w:rsidR="005E1F7C" w14:paraId="376DF3BB" w14:textId="77777777" w:rsidTr="006F425D">
        <w:tc>
          <w:tcPr>
            <w:tcW w:w="1722" w:type="pct"/>
            <w:vMerge/>
            <w:vAlign w:val="center"/>
          </w:tcPr>
          <w:p w14:paraId="13841752" w14:textId="10D38FA8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4D7F5DBC" w14:textId="25AFE456" w:rsidR="005E1F7C" w:rsidRPr="00556944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2A3BD0F0" w14:textId="450FFF3F" w:rsidR="005E1F7C" w:rsidRPr="00A33A3C" w:rsidDel="00153897" w:rsidRDefault="00450921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4D7A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0.65 ± 0.29</w:t>
            </w:r>
          </w:p>
        </w:tc>
        <w:tc>
          <w:tcPr>
            <w:tcW w:w="1321" w:type="pct"/>
            <w:vAlign w:val="center"/>
          </w:tcPr>
          <w:p w14:paraId="53CB4048" w14:textId="05B946B6" w:rsidR="005E1F7C" w:rsidRPr="00A33A3C" w:rsidDel="00153897" w:rsidRDefault="002066A8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87099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5E1F7C" w:rsidRPr="00A33A3C">
              <w:rPr>
                <w:rFonts w:ascii="Times New Roman" w:hAnsi="Times New Roman" w:cs="Times New Roman"/>
                <w:sz w:val="24"/>
                <w:szCs w:val="24"/>
              </w:rPr>
              <w:t>0.68 ± 0.17</w:t>
            </w:r>
          </w:p>
        </w:tc>
      </w:tr>
      <w:tr w:rsidR="005E1F7C" w14:paraId="35FA2028" w14:textId="77777777" w:rsidTr="006F425D">
        <w:tc>
          <w:tcPr>
            <w:tcW w:w="1722" w:type="pct"/>
            <w:vMerge w:val="restart"/>
            <w:vAlign w:val="center"/>
          </w:tcPr>
          <w:p w14:paraId="4FFDBEA4" w14:textId="57D8D35C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Octet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PT 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54878373" w14:textId="67D7876A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6DCAC5DD" w14:textId="5A96678E" w:rsidR="005E1F7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± 53</w:t>
            </w:r>
          </w:p>
        </w:tc>
        <w:tc>
          <w:tcPr>
            <w:tcW w:w="1321" w:type="pct"/>
            <w:vAlign w:val="center"/>
          </w:tcPr>
          <w:p w14:paraId="1715AF7E" w14:textId="2FDA6B6A" w:rsidR="005E1F7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± 57</w:t>
            </w:r>
          </w:p>
        </w:tc>
      </w:tr>
      <w:tr w:rsidR="005E1F7C" w14:paraId="1BDDFE5D" w14:textId="77777777" w:rsidTr="006F425D">
        <w:tc>
          <w:tcPr>
            <w:tcW w:w="1722" w:type="pct"/>
            <w:vMerge/>
            <w:vAlign w:val="center"/>
          </w:tcPr>
          <w:p w14:paraId="57B07EE3" w14:textId="77777777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2900BAEF" w14:textId="5272D4FC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1C102EF4" w14:textId="733CBC0F" w:rsidR="005E1F7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± 56</w:t>
            </w:r>
          </w:p>
        </w:tc>
        <w:tc>
          <w:tcPr>
            <w:tcW w:w="1321" w:type="pct"/>
            <w:vAlign w:val="center"/>
          </w:tcPr>
          <w:p w14:paraId="33E60F19" w14:textId="69579D4B" w:rsidR="005E1F7C" w:rsidRPr="00806CFE" w:rsidRDefault="005E1F7C" w:rsidP="006F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7099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Pr="008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 ± 66 *</w:t>
            </w:r>
          </w:p>
        </w:tc>
      </w:tr>
      <w:tr w:rsidR="005E1F7C" w14:paraId="10C9006D" w14:textId="77777777" w:rsidTr="006F425D">
        <w:tc>
          <w:tcPr>
            <w:tcW w:w="1722" w:type="pct"/>
            <w:vMerge w:val="restart"/>
            <w:vAlign w:val="center"/>
          </w:tcPr>
          <w:p w14:paraId="2E73E5D1" w14:textId="28510354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Octet 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pRTD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·s</w:t>
            </w:r>
            <w:proofErr w:type="spellEnd"/>
            <w:r w:rsidRPr="00556944">
              <w:rPr>
                <w:rStyle w:val="st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2F4446F6" w14:textId="1A619B78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69632282" w14:textId="11BFF79F" w:rsidR="005E1F7C" w:rsidRDefault="004D7A9E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>
              <w:rPr>
                <w:rFonts w:ascii="Times New Roman" w:hAnsi="Times New Roman" w:cs="Times New Roman"/>
                <w:sz w:val="24"/>
                <w:szCs w:val="24"/>
              </w:rPr>
              <w:t>2651 ± 1469</w:t>
            </w:r>
          </w:p>
        </w:tc>
        <w:tc>
          <w:tcPr>
            <w:tcW w:w="1321" w:type="pct"/>
            <w:vAlign w:val="center"/>
          </w:tcPr>
          <w:p w14:paraId="1B2FB896" w14:textId="613A33A4" w:rsidR="005E1F7C" w:rsidRDefault="00870990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9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5E1F7C">
              <w:rPr>
                <w:rFonts w:ascii="Times New Roman" w:hAnsi="Times New Roman" w:cs="Times New Roman"/>
                <w:sz w:val="24"/>
                <w:szCs w:val="24"/>
              </w:rPr>
              <w:t>2940 ± 1368</w:t>
            </w:r>
          </w:p>
        </w:tc>
      </w:tr>
      <w:tr w:rsidR="005E1F7C" w14:paraId="20D94486" w14:textId="77777777" w:rsidTr="006F425D">
        <w:tc>
          <w:tcPr>
            <w:tcW w:w="1722" w:type="pct"/>
            <w:vMerge/>
            <w:vAlign w:val="center"/>
          </w:tcPr>
          <w:p w14:paraId="0A221657" w14:textId="77777777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8" w:type="pct"/>
            <w:vAlign w:val="center"/>
          </w:tcPr>
          <w:p w14:paraId="58BFB8AF" w14:textId="2D960EDB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4E1CEA70" w14:textId="34221AC7" w:rsidR="005E1F7C" w:rsidRPr="00806CFE" w:rsidRDefault="004D7A9E" w:rsidP="006F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000</w:t>
            </w:r>
            <w:r w:rsidR="006F6E5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5E1F7C" w:rsidRPr="008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3326 ± 1373 *</w:t>
            </w:r>
            <w:r w:rsidR="005E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21" w:type="pct"/>
            <w:vAlign w:val="center"/>
          </w:tcPr>
          <w:p w14:paraId="465AB4DC" w14:textId="436CEDF7" w:rsidR="005E1F7C" w:rsidRPr="00806CFE" w:rsidRDefault="00870990" w:rsidP="006F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000.</w:t>
            </w:r>
            <w:r w:rsidR="005E1F7C" w:rsidRPr="008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3582 ± 1638 *</w:t>
            </w:r>
            <w:r w:rsidR="005E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5E1F7C" w14:paraId="0E296B1B" w14:textId="77777777" w:rsidTr="006F425D">
        <w:trPr>
          <w:trHeight w:val="70"/>
        </w:trPr>
        <w:tc>
          <w:tcPr>
            <w:tcW w:w="1722" w:type="pct"/>
            <w:vMerge w:val="restart"/>
            <w:vAlign w:val="center"/>
          </w:tcPr>
          <w:p w14:paraId="4A269209" w14:textId="042434D6" w:rsidR="005E1F7C" w:rsidRPr="00556944" w:rsidRDefault="005E1F7C" w:rsidP="0045092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Octet </w:t>
            </w:r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TPT (</w:t>
            </w:r>
            <w:proofErr w:type="spellStart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ms</w:t>
            </w:r>
            <w:proofErr w:type="spellEnd"/>
            <w:r w:rsidRPr="005569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8" w:type="pct"/>
            <w:vAlign w:val="center"/>
          </w:tcPr>
          <w:p w14:paraId="44BD3671" w14:textId="70C4AD3D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vAlign w:val="center"/>
          </w:tcPr>
          <w:p w14:paraId="29DE585B" w14:textId="1B6A0D6D" w:rsidR="005E1F7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 ± 10</w:t>
            </w:r>
          </w:p>
        </w:tc>
        <w:tc>
          <w:tcPr>
            <w:tcW w:w="1321" w:type="pct"/>
            <w:vAlign w:val="center"/>
          </w:tcPr>
          <w:p w14:paraId="51F06397" w14:textId="44F207F4" w:rsidR="005E1F7C" w:rsidRDefault="005E1F7C" w:rsidP="006F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± 11</w:t>
            </w:r>
          </w:p>
        </w:tc>
      </w:tr>
      <w:tr w:rsidR="005E1F7C" w14:paraId="7F0DEF06" w14:textId="77777777" w:rsidTr="006F425D">
        <w:tc>
          <w:tcPr>
            <w:tcW w:w="1722" w:type="pct"/>
            <w:vMerge/>
            <w:tcBorders>
              <w:bottom w:val="single" w:sz="4" w:space="0" w:color="auto"/>
            </w:tcBorders>
            <w:vAlign w:val="center"/>
          </w:tcPr>
          <w:p w14:paraId="65FE96B7" w14:textId="77777777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72E8D540" w14:textId="4436FA84" w:rsidR="005E1F7C" w:rsidRDefault="005E1F7C" w:rsidP="004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949F23B" w14:textId="4E91CCDD" w:rsidR="005E1F7C" w:rsidRPr="00806CFE" w:rsidRDefault="005E1F7C" w:rsidP="006F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6F6E5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Pr="008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 ± 7 **</w:t>
            </w:r>
          </w:p>
        </w:tc>
        <w:tc>
          <w:tcPr>
            <w:tcW w:w="1321" w:type="pct"/>
            <w:tcBorders>
              <w:bottom w:val="single" w:sz="4" w:space="0" w:color="auto"/>
            </w:tcBorders>
            <w:vAlign w:val="center"/>
          </w:tcPr>
          <w:p w14:paraId="54DEB68C" w14:textId="5B96E624" w:rsidR="005E1F7C" w:rsidRPr="00806CFE" w:rsidRDefault="005E1F7C" w:rsidP="006F42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 w:rsidR="0087099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0.</w:t>
            </w:r>
            <w:r w:rsidRPr="00806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 ± 11 **</w:t>
            </w:r>
          </w:p>
        </w:tc>
      </w:tr>
    </w:tbl>
    <w:p w14:paraId="5B08FDD9" w14:textId="0C356F73" w:rsidR="00556944" w:rsidRDefault="00113F3D" w:rsidP="00113F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56944" w:rsidRPr="007447F6">
        <w:rPr>
          <w:rFonts w:ascii="Times New Roman" w:hAnsi="Times New Roman" w:cs="Times New Roman"/>
        </w:rPr>
        <w:t>ignificant difference from 37</w:t>
      </w:r>
      <w:r w:rsidR="008D4023">
        <w:rPr>
          <w:rFonts w:ascii="Times New Roman" w:hAnsi="Times New Roman" w:cs="Times New Roman"/>
        </w:rPr>
        <w:t xml:space="preserve"> </w:t>
      </w:r>
      <w:r w:rsidR="00556944" w:rsidRPr="007447F6">
        <w:rPr>
          <w:rFonts w:ascii="Times New Roman" w:hAnsi="Times New Roman" w:cs="Times New Roman"/>
        </w:rPr>
        <w:t xml:space="preserve">°C </w:t>
      </w:r>
      <w:r>
        <w:rPr>
          <w:rFonts w:ascii="Times New Roman" w:hAnsi="Times New Roman" w:cs="Times New Roman"/>
        </w:rPr>
        <w:t xml:space="preserve">is denoted by * </w:t>
      </w:r>
      <w:r w:rsidR="00556944" w:rsidRPr="007447F6">
        <w:rPr>
          <w:rFonts w:ascii="Times New Roman" w:hAnsi="Times New Roman" w:cs="Times New Roman"/>
        </w:rPr>
        <w:t>(p&lt;0.05)</w:t>
      </w:r>
      <w:r>
        <w:rPr>
          <w:rFonts w:ascii="Times New Roman" w:hAnsi="Times New Roman" w:cs="Times New Roman"/>
        </w:rPr>
        <w:t xml:space="preserve"> or ** </w:t>
      </w:r>
      <w:r w:rsidR="00556944" w:rsidRPr="007447F6">
        <w:rPr>
          <w:rFonts w:ascii="Times New Roman" w:hAnsi="Times New Roman" w:cs="Times New Roman"/>
        </w:rPr>
        <w:t>(p&lt;0.005)</w:t>
      </w:r>
    </w:p>
    <w:p w14:paraId="6C860A1E" w14:textId="02FF5709" w:rsidR="00556944" w:rsidRDefault="00556944" w:rsidP="007447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85C0F"/>
    <w:multiLevelType w:val="hybridMultilevel"/>
    <w:tmpl w:val="F3E8C092"/>
    <w:lvl w:ilvl="0" w:tplc="A3E2A79E">
      <w:start w:val="1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8B1E77"/>
    <w:multiLevelType w:val="hybridMultilevel"/>
    <w:tmpl w:val="FFA8953C"/>
    <w:lvl w:ilvl="0" w:tplc="14DEE1F4">
      <w:start w:val="1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B"/>
    <w:rsid w:val="00000A3A"/>
    <w:rsid w:val="000031F6"/>
    <w:rsid w:val="000373FF"/>
    <w:rsid w:val="00066C4D"/>
    <w:rsid w:val="00090DC3"/>
    <w:rsid w:val="000B0CCF"/>
    <w:rsid w:val="000B239E"/>
    <w:rsid w:val="000B6AFC"/>
    <w:rsid w:val="000D2D9B"/>
    <w:rsid w:val="000D44AC"/>
    <w:rsid w:val="000F701A"/>
    <w:rsid w:val="00105153"/>
    <w:rsid w:val="0010691D"/>
    <w:rsid w:val="00113F3D"/>
    <w:rsid w:val="00116545"/>
    <w:rsid w:val="00133BA6"/>
    <w:rsid w:val="0013724B"/>
    <w:rsid w:val="00146D33"/>
    <w:rsid w:val="00146FEB"/>
    <w:rsid w:val="001513BA"/>
    <w:rsid w:val="00153897"/>
    <w:rsid w:val="001745BF"/>
    <w:rsid w:val="001859D3"/>
    <w:rsid w:val="00186F6F"/>
    <w:rsid w:val="0019283A"/>
    <w:rsid w:val="001A7F8B"/>
    <w:rsid w:val="001B173C"/>
    <w:rsid w:val="001B5314"/>
    <w:rsid w:val="001D0579"/>
    <w:rsid w:val="002066A8"/>
    <w:rsid w:val="00234000"/>
    <w:rsid w:val="00234AEF"/>
    <w:rsid w:val="00242B2A"/>
    <w:rsid w:val="00244F1D"/>
    <w:rsid w:val="00252E26"/>
    <w:rsid w:val="00254540"/>
    <w:rsid w:val="00256992"/>
    <w:rsid w:val="002829FD"/>
    <w:rsid w:val="00282C75"/>
    <w:rsid w:val="00293287"/>
    <w:rsid w:val="002A667E"/>
    <w:rsid w:val="002B092D"/>
    <w:rsid w:val="002C2D88"/>
    <w:rsid w:val="002D6242"/>
    <w:rsid w:val="002E4AC8"/>
    <w:rsid w:val="002E7EA9"/>
    <w:rsid w:val="002F0164"/>
    <w:rsid w:val="002F4A70"/>
    <w:rsid w:val="002F71E5"/>
    <w:rsid w:val="00314FDA"/>
    <w:rsid w:val="00326F28"/>
    <w:rsid w:val="003366F0"/>
    <w:rsid w:val="003404C7"/>
    <w:rsid w:val="00341337"/>
    <w:rsid w:val="00381EF5"/>
    <w:rsid w:val="00392C92"/>
    <w:rsid w:val="003A4E44"/>
    <w:rsid w:val="003C3DD1"/>
    <w:rsid w:val="003D3A62"/>
    <w:rsid w:val="003D45EA"/>
    <w:rsid w:val="003E341C"/>
    <w:rsid w:val="003F2AD6"/>
    <w:rsid w:val="003F4144"/>
    <w:rsid w:val="00415B7A"/>
    <w:rsid w:val="004254BC"/>
    <w:rsid w:val="004308E6"/>
    <w:rsid w:val="0043192C"/>
    <w:rsid w:val="00436226"/>
    <w:rsid w:val="00450921"/>
    <w:rsid w:val="00461D0B"/>
    <w:rsid w:val="00463936"/>
    <w:rsid w:val="0046472A"/>
    <w:rsid w:val="00467FE2"/>
    <w:rsid w:val="0047249C"/>
    <w:rsid w:val="00472A33"/>
    <w:rsid w:val="004868BB"/>
    <w:rsid w:val="00492997"/>
    <w:rsid w:val="004A6B23"/>
    <w:rsid w:val="004B5091"/>
    <w:rsid w:val="004C7A9B"/>
    <w:rsid w:val="004D3537"/>
    <w:rsid w:val="004D7A9E"/>
    <w:rsid w:val="004E550B"/>
    <w:rsid w:val="00502B6A"/>
    <w:rsid w:val="0050381C"/>
    <w:rsid w:val="00510882"/>
    <w:rsid w:val="00510AA8"/>
    <w:rsid w:val="005379DB"/>
    <w:rsid w:val="00556944"/>
    <w:rsid w:val="005734E0"/>
    <w:rsid w:val="005811CD"/>
    <w:rsid w:val="00587C71"/>
    <w:rsid w:val="00591DFE"/>
    <w:rsid w:val="00596906"/>
    <w:rsid w:val="005A1B47"/>
    <w:rsid w:val="005B57E4"/>
    <w:rsid w:val="005B5AF4"/>
    <w:rsid w:val="005C6C96"/>
    <w:rsid w:val="005E1F7C"/>
    <w:rsid w:val="005E3A5E"/>
    <w:rsid w:val="005E6CEB"/>
    <w:rsid w:val="005E764C"/>
    <w:rsid w:val="005F4CA4"/>
    <w:rsid w:val="005F5FEE"/>
    <w:rsid w:val="00605F73"/>
    <w:rsid w:val="00611F49"/>
    <w:rsid w:val="006140D5"/>
    <w:rsid w:val="00624EBB"/>
    <w:rsid w:val="00630413"/>
    <w:rsid w:val="00650EE5"/>
    <w:rsid w:val="00652E29"/>
    <w:rsid w:val="00662522"/>
    <w:rsid w:val="006706C7"/>
    <w:rsid w:val="006711F9"/>
    <w:rsid w:val="006867F8"/>
    <w:rsid w:val="00686B54"/>
    <w:rsid w:val="00693788"/>
    <w:rsid w:val="006A06BB"/>
    <w:rsid w:val="006B3598"/>
    <w:rsid w:val="006C17E4"/>
    <w:rsid w:val="006C749E"/>
    <w:rsid w:val="006F03E9"/>
    <w:rsid w:val="006F425D"/>
    <w:rsid w:val="006F6175"/>
    <w:rsid w:val="006F6E52"/>
    <w:rsid w:val="007045E0"/>
    <w:rsid w:val="007447F6"/>
    <w:rsid w:val="0074731D"/>
    <w:rsid w:val="00747FF8"/>
    <w:rsid w:val="00751321"/>
    <w:rsid w:val="00764970"/>
    <w:rsid w:val="0077442E"/>
    <w:rsid w:val="00777151"/>
    <w:rsid w:val="00785DD7"/>
    <w:rsid w:val="007A5CCA"/>
    <w:rsid w:val="007B18EC"/>
    <w:rsid w:val="007B5724"/>
    <w:rsid w:val="007C54CF"/>
    <w:rsid w:val="007D2A71"/>
    <w:rsid w:val="007F46AE"/>
    <w:rsid w:val="007F5B6C"/>
    <w:rsid w:val="00800FFE"/>
    <w:rsid w:val="008010FF"/>
    <w:rsid w:val="00802159"/>
    <w:rsid w:val="00806CFE"/>
    <w:rsid w:val="0081609E"/>
    <w:rsid w:val="00817EAC"/>
    <w:rsid w:val="008416B7"/>
    <w:rsid w:val="0084454F"/>
    <w:rsid w:val="008513E3"/>
    <w:rsid w:val="00853B10"/>
    <w:rsid w:val="00856CAD"/>
    <w:rsid w:val="00860729"/>
    <w:rsid w:val="008705BB"/>
    <w:rsid w:val="00870990"/>
    <w:rsid w:val="0087349B"/>
    <w:rsid w:val="00881389"/>
    <w:rsid w:val="00883EB3"/>
    <w:rsid w:val="008850E4"/>
    <w:rsid w:val="0088795E"/>
    <w:rsid w:val="0089315B"/>
    <w:rsid w:val="00894B73"/>
    <w:rsid w:val="008A5DF7"/>
    <w:rsid w:val="008C2CF7"/>
    <w:rsid w:val="008C2F07"/>
    <w:rsid w:val="008D4023"/>
    <w:rsid w:val="008E21DC"/>
    <w:rsid w:val="00902E77"/>
    <w:rsid w:val="0090512F"/>
    <w:rsid w:val="009051EE"/>
    <w:rsid w:val="00934DB7"/>
    <w:rsid w:val="00951AD1"/>
    <w:rsid w:val="00954D9C"/>
    <w:rsid w:val="00956890"/>
    <w:rsid w:val="00956951"/>
    <w:rsid w:val="009676AE"/>
    <w:rsid w:val="00977C99"/>
    <w:rsid w:val="00985F76"/>
    <w:rsid w:val="00987E28"/>
    <w:rsid w:val="009948FC"/>
    <w:rsid w:val="00994E02"/>
    <w:rsid w:val="009A1EE2"/>
    <w:rsid w:val="009C3564"/>
    <w:rsid w:val="009E611F"/>
    <w:rsid w:val="009E6CF7"/>
    <w:rsid w:val="009F257D"/>
    <w:rsid w:val="009F374F"/>
    <w:rsid w:val="00A05F48"/>
    <w:rsid w:val="00A1318E"/>
    <w:rsid w:val="00A20688"/>
    <w:rsid w:val="00A26DD4"/>
    <w:rsid w:val="00A33A3C"/>
    <w:rsid w:val="00A35693"/>
    <w:rsid w:val="00A775F8"/>
    <w:rsid w:val="00A85C7B"/>
    <w:rsid w:val="00A86636"/>
    <w:rsid w:val="00A92A31"/>
    <w:rsid w:val="00AA0D0E"/>
    <w:rsid w:val="00AA470B"/>
    <w:rsid w:val="00AB0932"/>
    <w:rsid w:val="00AD09CC"/>
    <w:rsid w:val="00AD0A81"/>
    <w:rsid w:val="00AD482A"/>
    <w:rsid w:val="00B03AF3"/>
    <w:rsid w:val="00B16D2A"/>
    <w:rsid w:val="00B508F9"/>
    <w:rsid w:val="00B51916"/>
    <w:rsid w:val="00B81341"/>
    <w:rsid w:val="00BA77E7"/>
    <w:rsid w:val="00BB7972"/>
    <w:rsid w:val="00BC1892"/>
    <w:rsid w:val="00BC5D63"/>
    <w:rsid w:val="00BD5F19"/>
    <w:rsid w:val="00BE4A2B"/>
    <w:rsid w:val="00BF5BEC"/>
    <w:rsid w:val="00C02391"/>
    <w:rsid w:val="00C60132"/>
    <w:rsid w:val="00C66FF6"/>
    <w:rsid w:val="00CC7B94"/>
    <w:rsid w:val="00CD2454"/>
    <w:rsid w:val="00CD35AB"/>
    <w:rsid w:val="00D13446"/>
    <w:rsid w:val="00D13E94"/>
    <w:rsid w:val="00D3353F"/>
    <w:rsid w:val="00D41A2E"/>
    <w:rsid w:val="00D44FA4"/>
    <w:rsid w:val="00D52643"/>
    <w:rsid w:val="00D569C0"/>
    <w:rsid w:val="00D66E31"/>
    <w:rsid w:val="00D859A6"/>
    <w:rsid w:val="00D91C22"/>
    <w:rsid w:val="00D92C86"/>
    <w:rsid w:val="00DC0EB5"/>
    <w:rsid w:val="00DD14B1"/>
    <w:rsid w:val="00DD5152"/>
    <w:rsid w:val="00DD650B"/>
    <w:rsid w:val="00DE0267"/>
    <w:rsid w:val="00DF46B5"/>
    <w:rsid w:val="00E03338"/>
    <w:rsid w:val="00E275E4"/>
    <w:rsid w:val="00E34DE2"/>
    <w:rsid w:val="00E3598A"/>
    <w:rsid w:val="00E65FA3"/>
    <w:rsid w:val="00E90B6F"/>
    <w:rsid w:val="00E9166C"/>
    <w:rsid w:val="00EB4024"/>
    <w:rsid w:val="00ED0443"/>
    <w:rsid w:val="00EE62E8"/>
    <w:rsid w:val="00EE7935"/>
    <w:rsid w:val="00F0144E"/>
    <w:rsid w:val="00F0353E"/>
    <w:rsid w:val="00F25D6D"/>
    <w:rsid w:val="00F419F6"/>
    <w:rsid w:val="00F41A02"/>
    <w:rsid w:val="00F42FEF"/>
    <w:rsid w:val="00F43A6B"/>
    <w:rsid w:val="00F50536"/>
    <w:rsid w:val="00F765A4"/>
    <w:rsid w:val="00FA35C1"/>
    <w:rsid w:val="00FB4B91"/>
    <w:rsid w:val="00F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4C"/>
  <w15:chartTrackingRefBased/>
  <w15:docId w15:val="{E61C5E0A-5833-447F-B043-64AE632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5EA"/>
    <w:pPr>
      <w:keepNext/>
      <w:keepLines/>
      <w:spacing w:before="600" w:after="360" w:line="480" w:lineRule="auto"/>
      <w:jc w:val="both"/>
      <w:outlineLvl w:val="0"/>
    </w:pPr>
    <w:rPr>
      <w:rFonts w:ascii="Times New Roman" w:eastAsiaTheme="majorEastAsia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5EA"/>
    <w:pPr>
      <w:keepNext/>
      <w:keepLines/>
      <w:spacing w:before="160" w:after="120" w:line="276" w:lineRule="auto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5EA"/>
    <w:pPr>
      <w:keepNext/>
      <w:keepLines/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5EA"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A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7A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45EA"/>
    <w:rPr>
      <w:rFonts w:ascii="Times New Roman" w:eastAsiaTheme="majorEastAsia" w:hAnsi="Times New Roman" w:cs="Times New Roman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45EA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45EA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5EA"/>
    <w:rPr>
      <w:rFonts w:ascii="Times New Roman" w:eastAsiaTheme="majorEastAsia" w:hAnsi="Times New Roman" w:cstheme="majorBidi"/>
      <w:b/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6FF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66FF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73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83EB3"/>
  </w:style>
  <w:style w:type="paragraph" w:styleId="ListParagraph">
    <w:name w:val="List Paragraph"/>
    <w:basedOn w:val="Normal"/>
    <w:uiPriority w:val="34"/>
    <w:qFormat/>
    <w:rsid w:val="007447F6"/>
    <w:pPr>
      <w:ind w:left="720"/>
      <w:contextualSpacing/>
    </w:pPr>
  </w:style>
  <w:style w:type="paragraph" w:styleId="BodyText">
    <w:name w:val="Body Text"/>
    <w:aliases w:val="Brödtext NES2017"/>
    <w:basedOn w:val="Normal"/>
    <w:link w:val="BodyTextChar"/>
    <w:semiHidden/>
    <w:rsid w:val="0084454F"/>
    <w:pPr>
      <w:spacing w:after="0" w:line="240" w:lineRule="auto"/>
      <w:ind w:firstLine="567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aliases w:val="Brödtext NES2017 Char"/>
    <w:basedOn w:val="DefaultParagraphFont"/>
    <w:link w:val="BodyText"/>
    <w:semiHidden/>
    <w:rsid w:val="0084454F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3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7772E167BFF40A303CE296AFC548F" ma:contentTypeVersion="13" ma:contentTypeDescription="Create a new document." ma:contentTypeScope="" ma:versionID="83bddf5eb53f047602474edcd882b6fb">
  <xsd:schema xmlns:xsd="http://www.w3.org/2001/XMLSchema" xmlns:xs="http://www.w3.org/2001/XMLSchema" xmlns:p="http://schemas.microsoft.com/office/2006/metadata/properties" xmlns:ns3="f79c4b74-2436-423a-b7b9-4cc9d1d89bf3" xmlns:ns4="3b521950-edf7-453b-8999-cb7177472014" targetNamespace="http://schemas.microsoft.com/office/2006/metadata/properties" ma:root="true" ma:fieldsID="b30d39e538257273ea5d7f0751c6323a" ns3:_="" ns4:_="">
    <xsd:import namespace="f79c4b74-2436-423a-b7b9-4cc9d1d89bf3"/>
    <xsd:import namespace="3b521950-edf7-453b-8999-cb7177472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4b74-2436-423a-b7b9-4cc9d1d89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1950-edf7-453b-8999-cb7177472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499A1-44F0-4F2B-8251-3DB8AD0FB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c4b74-2436-423a-b7b9-4cc9d1d89bf3"/>
    <ds:schemaRef ds:uri="3b521950-edf7-453b-8999-cb7177472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8276-05A4-403A-891D-06774D17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BA8BE-D225-450E-ADFC-3508A44B9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GordonR</dc:creator>
  <cp:keywords/>
  <dc:description/>
  <cp:lastModifiedBy>Ralph Gordon (Research Student)</cp:lastModifiedBy>
  <cp:revision>13</cp:revision>
  <dcterms:created xsi:type="dcterms:W3CDTF">2020-05-06T15:56:00Z</dcterms:created>
  <dcterms:modified xsi:type="dcterms:W3CDTF">2020-05-06T16:26:00Z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0x0101005E17772E167BFF40A303CE296AFC548F</vt:lpwstr>
  </property>
</Properties>
</file>