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2F2E" w14:textId="2D45A1F0" w:rsidR="00E05179" w:rsidRPr="00666534" w:rsidRDefault="00E05179" w:rsidP="002E7BF1">
      <w:pPr>
        <w:jc w:val="both"/>
        <w:rPr>
          <w:rFonts w:ascii="Verdana" w:hAnsi="Verdana"/>
          <w:b/>
          <w:sz w:val="32"/>
        </w:rPr>
      </w:pPr>
      <w:r w:rsidRPr="00666534">
        <w:rPr>
          <w:rFonts w:ascii="Verdana" w:hAnsi="Verdana"/>
          <w:b/>
          <w:sz w:val="28"/>
        </w:rPr>
        <w:t>Head and neck co</w:t>
      </w:r>
      <w:r w:rsidR="00C964DC">
        <w:rPr>
          <w:rFonts w:ascii="Verdana" w:hAnsi="Verdana"/>
          <w:b/>
          <w:sz w:val="28"/>
        </w:rPr>
        <w:t>o</w:t>
      </w:r>
      <w:r w:rsidRPr="00666534">
        <w:rPr>
          <w:rFonts w:ascii="Verdana" w:hAnsi="Verdana"/>
          <w:b/>
          <w:sz w:val="28"/>
        </w:rPr>
        <w:t>ling does not impr</w:t>
      </w:r>
      <w:r w:rsidR="00D811B8">
        <w:rPr>
          <w:rFonts w:ascii="Verdana" w:hAnsi="Verdana"/>
          <w:b/>
          <w:sz w:val="28"/>
        </w:rPr>
        <w:t>o</w:t>
      </w:r>
      <w:r w:rsidRPr="00666534">
        <w:rPr>
          <w:rFonts w:ascii="Verdana" w:hAnsi="Verdana"/>
          <w:b/>
          <w:sz w:val="28"/>
        </w:rPr>
        <w:t>ve maximal voluntary torque or rate or torque development during brief maximal voluntary contractions in the heat</w:t>
      </w:r>
    </w:p>
    <w:p w14:paraId="67767C85" w14:textId="5C1A7E8D" w:rsidR="005821DF" w:rsidRPr="001A1837" w:rsidRDefault="005821DF" w:rsidP="00084D49">
      <w:pPr>
        <w:jc w:val="both"/>
        <w:rPr>
          <w:rFonts w:ascii="Palatino Linotype" w:hAnsi="Palatino Linotype"/>
        </w:rPr>
      </w:pPr>
    </w:p>
    <w:p w14:paraId="4793DB93" w14:textId="77777777" w:rsidR="00CE1FBE" w:rsidRPr="001A1837" w:rsidRDefault="00CE1FBE" w:rsidP="002630EC">
      <w:pPr>
        <w:jc w:val="both"/>
        <w:rPr>
          <w:rFonts w:ascii="Palatino Linotype" w:hAnsi="Palatino Linotype"/>
        </w:rPr>
      </w:pPr>
    </w:p>
    <w:p w14:paraId="0E5B6767" w14:textId="057289C4" w:rsidR="006A3507" w:rsidRDefault="002E7BF1" w:rsidP="00E958AD">
      <w:pPr>
        <w:pStyle w:val="BodyText"/>
        <w:tabs>
          <w:tab w:val="left" w:pos="0"/>
        </w:tabs>
        <w:ind w:right="142" w:firstLine="0"/>
        <w:rPr>
          <w:rFonts w:ascii="Palatino Linotype" w:hAnsi="Palatino Linotype"/>
          <w:sz w:val="24"/>
          <w:szCs w:val="24"/>
          <w:lang w:val="nb-NO" w:eastAsia="nb-NO"/>
        </w:rPr>
      </w:pPr>
      <w:r>
        <w:rPr>
          <w:rFonts w:ascii="Palatino Linotype" w:hAnsi="Palatino Linotype"/>
          <w:sz w:val="24"/>
          <w:szCs w:val="24"/>
          <w:vertAlign w:val="superscript"/>
          <w:lang w:val="nb-NO" w:eastAsia="nb-NO"/>
        </w:rPr>
        <w:t>1</w:t>
      </w:r>
      <w:r w:rsidR="00E958AD">
        <w:rPr>
          <w:rFonts w:ascii="Palatino Linotype" w:hAnsi="Palatino Linotype"/>
          <w:sz w:val="24"/>
          <w:szCs w:val="24"/>
          <w:lang w:val="nb-NO" w:eastAsia="nb-NO"/>
        </w:rPr>
        <w:t xml:space="preserve">Gordon, R., </w:t>
      </w:r>
      <w:r>
        <w:rPr>
          <w:rFonts w:ascii="Palatino Linotype" w:hAnsi="Palatino Linotype"/>
          <w:sz w:val="24"/>
          <w:szCs w:val="24"/>
          <w:vertAlign w:val="superscript"/>
          <w:lang w:val="nb-NO" w:eastAsia="nb-NO"/>
        </w:rPr>
        <w:t>1</w:t>
      </w:r>
      <w:r w:rsidR="00E958AD">
        <w:rPr>
          <w:rFonts w:ascii="Palatino Linotype" w:hAnsi="Palatino Linotype"/>
          <w:sz w:val="24"/>
          <w:szCs w:val="24"/>
          <w:lang w:val="nb-NO" w:eastAsia="nb-NO"/>
        </w:rPr>
        <w:t>Tillin, N.A</w:t>
      </w:r>
      <w:r w:rsidR="007347D3">
        <w:rPr>
          <w:rFonts w:ascii="Palatino Linotype" w:hAnsi="Palatino Linotype"/>
          <w:sz w:val="24"/>
          <w:szCs w:val="24"/>
          <w:lang w:val="nb-NO" w:eastAsia="nb-NO"/>
        </w:rPr>
        <w:t>.</w:t>
      </w:r>
      <w:r w:rsidR="00AA11D2">
        <w:rPr>
          <w:rFonts w:ascii="Palatino Linotype" w:hAnsi="Palatino Linotype"/>
          <w:sz w:val="24"/>
          <w:szCs w:val="24"/>
          <w:lang w:val="nb-NO" w:eastAsia="nb-NO"/>
        </w:rPr>
        <w:t>,</w:t>
      </w:r>
      <w:r w:rsidR="00AA11D2" w:rsidRPr="00AA11D2">
        <w:rPr>
          <w:rFonts w:ascii="Palatino Linotype" w:hAnsi="Palatino Linotype"/>
          <w:sz w:val="24"/>
          <w:szCs w:val="24"/>
          <w:lang w:val="nb-NO" w:eastAsia="nb-NO"/>
        </w:rPr>
        <w:t xml:space="preserve"> </w:t>
      </w:r>
      <w:r>
        <w:rPr>
          <w:rFonts w:ascii="Palatino Linotype" w:hAnsi="Palatino Linotype"/>
          <w:sz w:val="24"/>
          <w:szCs w:val="24"/>
          <w:vertAlign w:val="superscript"/>
          <w:lang w:val="nb-NO" w:eastAsia="nb-NO"/>
        </w:rPr>
        <w:t>1</w:t>
      </w:r>
      <w:r w:rsidR="00AA11D2">
        <w:rPr>
          <w:rFonts w:ascii="Palatino Linotype" w:hAnsi="Palatino Linotype"/>
          <w:sz w:val="24"/>
          <w:szCs w:val="24"/>
          <w:lang w:val="nb-NO" w:eastAsia="nb-NO"/>
        </w:rPr>
        <w:t>Tyler,</w:t>
      </w:r>
      <w:r>
        <w:rPr>
          <w:rFonts w:ascii="Palatino Linotype" w:hAnsi="Palatino Linotype"/>
          <w:sz w:val="24"/>
          <w:szCs w:val="24"/>
          <w:lang w:val="nb-NO" w:eastAsia="nb-NO"/>
        </w:rPr>
        <w:t xml:space="preserve"> </w:t>
      </w:r>
      <w:r w:rsidR="00AA11D2">
        <w:rPr>
          <w:rFonts w:ascii="Palatino Linotype" w:hAnsi="Palatino Linotype"/>
          <w:sz w:val="24"/>
          <w:szCs w:val="24"/>
          <w:lang w:val="nb-NO" w:eastAsia="nb-NO"/>
        </w:rPr>
        <w:t>C.J.</w:t>
      </w:r>
    </w:p>
    <w:p w14:paraId="161BD044" w14:textId="5F9F2E8A" w:rsidR="002E7BF1" w:rsidRPr="002E7BF1" w:rsidRDefault="002E7BF1" w:rsidP="00E958AD">
      <w:pPr>
        <w:pStyle w:val="BodyText"/>
        <w:tabs>
          <w:tab w:val="left" w:pos="0"/>
        </w:tabs>
        <w:ind w:right="142" w:firstLine="0"/>
        <w:rPr>
          <w:rFonts w:ascii="Palatino Linotype" w:hAnsi="Palatino Linotype"/>
          <w:sz w:val="24"/>
          <w:szCs w:val="24"/>
          <w:lang w:val="nb-NO" w:eastAsia="nb-NO"/>
        </w:rPr>
      </w:pPr>
      <w:r>
        <w:rPr>
          <w:rFonts w:ascii="Palatino Linotype" w:hAnsi="Palatino Linotype"/>
          <w:sz w:val="24"/>
          <w:szCs w:val="24"/>
          <w:vertAlign w:val="superscript"/>
          <w:lang w:val="nb-NO" w:eastAsia="nb-NO"/>
        </w:rPr>
        <w:t>1</w:t>
      </w:r>
      <w:r>
        <w:rPr>
          <w:rFonts w:ascii="Palatino Linotype" w:hAnsi="Palatino Linotype"/>
          <w:sz w:val="24"/>
          <w:szCs w:val="24"/>
          <w:lang w:val="nb-NO" w:eastAsia="nb-NO"/>
        </w:rPr>
        <w:t>University of Roehampton, London, UK.</w:t>
      </w:r>
      <w:bookmarkStart w:id="0" w:name="_GoBack"/>
      <w:bookmarkEnd w:id="0"/>
    </w:p>
    <w:p w14:paraId="7393E4E2" w14:textId="77777777" w:rsidR="00FB6CBE" w:rsidRDefault="00FB6CBE" w:rsidP="004A6453">
      <w:pPr>
        <w:rPr>
          <w:rFonts w:ascii="Palatino Linotype" w:hAnsi="Palatino Linotype"/>
          <w:lang w:val="en-GB"/>
        </w:rPr>
      </w:pPr>
    </w:p>
    <w:p w14:paraId="0BC09DC7" w14:textId="5DA490F5" w:rsidR="006F5BFA" w:rsidRPr="00A02B39" w:rsidRDefault="004A49F3" w:rsidP="000D5310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Cs w:val="24"/>
        </w:rPr>
      </w:pPr>
      <w:r w:rsidRPr="004A49F3">
        <w:rPr>
          <w:rFonts w:ascii="Palatino Linotype" w:hAnsi="Palatino Linotype"/>
          <w:b/>
          <w:szCs w:val="22"/>
          <w:lang w:val="en-GB" w:eastAsia="nb-NO"/>
        </w:rPr>
        <w:t>Introduction</w:t>
      </w:r>
      <w:r w:rsidR="00285E65">
        <w:rPr>
          <w:rFonts w:ascii="Palatino Linotype" w:hAnsi="Palatino Linotype"/>
          <w:b/>
          <w:szCs w:val="22"/>
          <w:lang w:val="en-GB" w:eastAsia="nb-NO"/>
        </w:rPr>
        <w:t xml:space="preserve">: </w:t>
      </w:r>
      <w:r w:rsidR="00A02B39">
        <w:rPr>
          <w:rFonts w:ascii="Palatino Linotype" w:hAnsi="Palatino Linotype"/>
          <w:szCs w:val="22"/>
          <w:lang w:val="en-GB" w:eastAsia="nb-NO"/>
        </w:rPr>
        <w:t>Ma</w:t>
      </w:r>
      <w:r w:rsidR="00A02B39" w:rsidRPr="00167E4A">
        <w:rPr>
          <w:rFonts w:ascii="Palatino Linotype" w:hAnsi="Palatino Linotype"/>
          <w:szCs w:val="22"/>
          <w:lang w:val="en-GB" w:eastAsia="nb-NO"/>
        </w:rPr>
        <w:t xml:space="preserve">ximal voluntary </w:t>
      </w:r>
      <w:r w:rsidR="00A02B39">
        <w:rPr>
          <w:rFonts w:ascii="Palatino Linotype" w:hAnsi="Palatino Linotype"/>
          <w:szCs w:val="22"/>
          <w:lang w:val="en-GB" w:eastAsia="nb-NO"/>
        </w:rPr>
        <w:t>t</w:t>
      </w:r>
      <w:r w:rsidR="00A02B39" w:rsidRPr="00167E4A">
        <w:rPr>
          <w:rFonts w:ascii="Palatino Linotype" w:hAnsi="Palatino Linotype"/>
          <w:szCs w:val="22"/>
          <w:lang w:val="en-GB" w:eastAsia="nb-NO"/>
        </w:rPr>
        <w:t>orque (MVT)</w:t>
      </w:r>
      <w:r w:rsidR="00A02B39">
        <w:rPr>
          <w:rFonts w:ascii="Palatino Linotype" w:hAnsi="Palatino Linotype"/>
          <w:szCs w:val="22"/>
          <w:lang w:val="en-GB" w:eastAsia="nb-NO"/>
        </w:rPr>
        <w:t xml:space="preserve"> is impaired </w:t>
      </w:r>
      <w:r w:rsidR="001F6F7E">
        <w:rPr>
          <w:rFonts w:ascii="Palatino Linotype" w:hAnsi="Palatino Linotype"/>
          <w:szCs w:val="22"/>
          <w:lang w:val="en-GB" w:eastAsia="nb-NO"/>
        </w:rPr>
        <w:t>when hyperthermic due to</w:t>
      </w:r>
      <w:r w:rsidR="00A02B39">
        <w:rPr>
          <w:rFonts w:ascii="Palatino Linotype" w:hAnsi="Palatino Linotype"/>
          <w:szCs w:val="22"/>
          <w:lang w:val="en-GB" w:eastAsia="nb-NO"/>
        </w:rPr>
        <w:t xml:space="preserve"> a reduction in </w:t>
      </w:r>
      <w:r w:rsidR="001F6F7E">
        <w:rPr>
          <w:rFonts w:ascii="Palatino Linotype" w:hAnsi="Palatino Linotype"/>
          <w:szCs w:val="22"/>
          <w:lang w:val="en-GB" w:eastAsia="nb-NO"/>
        </w:rPr>
        <w:t xml:space="preserve">the </w:t>
      </w:r>
      <w:r w:rsidR="00A02B39" w:rsidRPr="00167E4A">
        <w:rPr>
          <w:rFonts w:ascii="Palatino Linotype" w:hAnsi="Palatino Linotype"/>
          <w:szCs w:val="22"/>
          <w:lang w:val="en-GB" w:eastAsia="nb-NO"/>
        </w:rPr>
        <w:t>central</w:t>
      </w:r>
      <w:r w:rsidR="00A02B39" w:rsidRPr="00167E4A">
        <w:rPr>
          <w:rFonts w:ascii="Palatino Linotype" w:hAnsi="Palatino Linotype"/>
          <w:szCs w:val="24"/>
        </w:rPr>
        <w:t xml:space="preserve"> nervous system’s capacity to voluntarily drive the available </w:t>
      </w:r>
      <w:r w:rsidR="00A02B39">
        <w:rPr>
          <w:rFonts w:ascii="Palatino Linotype" w:hAnsi="Palatino Linotype"/>
          <w:szCs w:val="24"/>
        </w:rPr>
        <w:t>force capacity of muscle.</w:t>
      </w:r>
      <w:r w:rsidR="00A02B39" w:rsidRPr="00A02B39">
        <w:rPr>
          <w:rFonts w:ascii="Palatino Linotype" w:hAnsi="Palatino Linotype"/>
          <w:szCs w:val="22"/>
          <w:lang w:val="en-GB" w:eastAsia="nb-NO"/>
        </w:rPr>
        <w:t xml:space="preserve"> </w:t>
      </w:r>
      <w:r w:rsidR="00A02B39">
        <w:rPr>
          <w:rFonts w:ascii="Palatino Linotype" w:hAnsi="Palatino Linotype"/>
          <w:szCs w:val="22"/>
          <w:lang w:val="en-GB" w:eastAsia="nb-NO"/>
        </w:rPr>
        <w:t>Rate of torque development (RTD) is considered more functionally relevant than MVT in some situations</w:t>
      </w:r>
      <w:r w:rsidR="00A02B39" w:rsidRPr="00A02B39">
        <w:rPr>
          <w:rFonts w:ascii="Palatino Linotype" w:hAnsi="Palatino Linotype"/>
          <w:szCs w:val="22"/>
          <w:lang w:val="en-GB" w:eastAsia="nb-NO"/>
        </w:rPr>
        <w:t xml:space="preserve"> </w:t>
      </w:r>
      <w:r w:rsidR="00A02B39">
        <w:rPr>
          <w:rFonts w:ascii="Palatino Linotype" w:hAnsi="Palatino Linotype"/>
          <w:szCs w:val="22"/>
          <w:lang w:val="en-GB" w:eastAsia="nb-NO"/>
        </w:rPr>
        <w:t>and neural drive is a key determinant of RTD.</w:t>
      </w:r>
      <w:r w:rsidR="00A02B39" w:rsidRPr="00A02B39">
        <w:rPr>
          <w:rFonts w:ascii="Palatino Linotype" w:hAnsi="Palatino Linotype"/>
          <w:szCs w:val="22"/>
          <w:lang w:val="en-GB" w:eastAsia="nb-NO"/>
        </w:rPr>
        <w:t xml:space="preserve"> </w:t>
      </w:r>
      <w:r w:rsidR="00FD1C31">
        <w:rPr>
          <w:rFonts w:ascii="Palatino Linotype" w:hAnsi="Palatino Linotype"/>
          <w:szCs w:val="22"/>
          <w:lang w:val="en-GB" w:eastAsia="nb-NO"/>
        </w:rPr>
        <w:t>H</w:t>
      </w:r>
      <w:r w:rsidR="00A02B39">
        <w:rPr>
          <w:rFonts w:ascii="Palatino Linotype" w:hAnsi="Palatino Linotype"/>
          <w:szCs w:val="22"/>
          <w:lang w:val="en-GB" w:eastAsia="nb-NO"/>
        </w:rPr>
        <w:t xml:space="preserve">ead and neck </w:t>
      </w:r>
      <w:r w:rsidR="00FD1C31">
        <w:rPr>
          <w:rFonts w:ascii="Palatino Linotype" w:hAnsi="Palatino Linotype"/>
          <w:szCs w:val="22"/>
          <w:lang w:val="en-GB" w:eastAsia="nb-NO"/>
        </w:rPr>
        <w:t>cooling</w:t>
      </w:r>
      <w:r w:rsidR="00A02B39">
        <w:rPr>
          <w:rFonts w:ascii="Palatino Linotype" w:hAnsi="Palatino Linotype"/>
          <w:szCs w:val="22"/>
          <w:lang w:val="en-GB" w:eastAsia="nb-NO"/>
        </w:rPr>
        <w:t xml:space="preserve"> can improve endurance performance when hyperthermic, but its effects on </w:t>
      </w:r>
      <w:r w:rsidR="001F6F7E">
        <w:rPr>
          <w:rFonts w:ascii="Palatino Linotype" w:hAnsi="Palatino Linotype"/>
          <w:szCs w:val="22"/>
          <w:lang w:val="en-GB" w:eastAsia="nb-NO"/>
        </w:rPr>
        <w:t xml:space="preserve">neural drive </w:t>
      </w:r>
      <w:r w:rsidR="00A02B39">
        <w:rPr>
          <w:rFonts w:ascii="Palatino Linotype" w:hAnsi="Palatino Linotype"/>
          <w:szCs w:val="22"/>
          <w:lang w:val="en-GB" w:eastAsia="nb-NO"/>
        </w:rPr>
        <w:t xml:space="preserve">are unclear. </w:t>
      </w:r>
      <w:r w:rsidR="006F5BFA">
        <w:rPr>
          <w:rFonts w:ascii="Palatino Linotype" w:hAnsi="Palatino Linotype"/>
          <w:szCs w:val="22"/>
          <w:lang w:val="en-GB" w:eastAsia="nb-NO"/>
        </w:rPr>
        <w:t xml:space="preserve">The purpose of </w:t>
      </w:r>
      <w:r w:rsidR="00FD1C31">
        <w:rPr>
          <w:rFonts w:ascii="Palatino Linotype" w:hAnsi="Palatino Linotype"/>
          <w:szCs w:val="22"/>
          <w:lang w:val="en-GB" w:eastAsia="nb-NO"/>
        </w:rPr>
        <w:t xml:space="preserve">this </w:t>
      </w:r>
      <w:r w:rsidR="006F5BFA">
        <w:rPr>
          <w:rFonts w:ascii="Palatino Linotype" w:hAnsi="Palatino Linotype"/>
          <w:szCs w:val="22"/>
          <w:lang w:val="en-GB" w:eastAsia="nb-NO"/>
        </w:rPr>
        <w:t>study w</w:t>
      </w:r>
      <w:r w:rsidR="00E05179">
        <w:rPr>
          <w:rFonts w:ascii="Palatino Linotype" w:hAnsi="Palatino Linotype"/>
          <w:szCs w:val="22"/>
          <w:lang w:val="en-GB" w:eastAsia="nb-NO"/>
        </w:rPr>
        <w:t xml:space="preserve">as to investigate head and neck cooling </w:t>
      </w:r>
      <w:r w:rsidR="00AA3215">
        <w:rPr>
          <w:rFonts w:ascii="Palatino Linotype" w:hAnsi="Palatino Linotype"/>
          <w:szCs w:val="22"/>
          <w:lang w:val="en-GB" w:eastAsia="nb-NO"/>
        </w:rPr>
        <w:t xml:space="preserve">on thermal perception </w:t>
      </w:r>
      <w:r w:rsidR="00E05179">
        <w:rPr>
          <w:rFonts w:ascii="Palatino Linotype" w:hAnsi="Palatino Linotype"/>
          <w:szCs w:val="22"/>
          <w:lang w:val="en-GB" w:eastAsia="nb-NO"/>
        </w:rPr>
        <w:t>during whole-body hyperthermia on MVT, RTD, neural drive and the contractile properties of the muscle.</w:t>
      </w:r>
    </w:p>
    <w:p w14:paraId="5A9BABF2" w14:textId="77777777" w:rsidR="00167E4A" w:rsidRDefault="00167E4A" w:rsidP="000D5310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Cs w:val="22"/>
          <w:lang w:val="en-GB" w:eastAsia="nb-NO"/>
        </w:rPr>
      </w:pPr>
    </w:p>
    <w:p w14:paraId="21203975" w14:textId="48767BAC" w:rsidR="00287D73" w:rsidRPr="00287D73" w:rsidRDefault="00FF3663" w:rsidP="00D11C2A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Cs w:val="22"/>
          <w:lang w:val="en-GB"/>
        </w:rPr>
      </w:pPr>
      <w:r w:rsidRPr="00FF3663">
        <w:rPr>
          <w:rFonts w:ascii="Palatino Linotype" w:hAnsi="Palatino Linotype"/>
          <w:b/>
          <w:szCs w:val="22"/>
          <w:lang w:val="en-GB" w:eastAsia="nb-NO"/>
        </w:rPr>
        <w:t>Method</w:t>
      </w:r>
      <w:r w:rsidR="00D11C2A">
        <w:rPr>
          <w:rFonts w:ascii="Palatino Linotype" w:hAnsi="Palatino Linotype"/>
          <w:b/>
          <w:szCs w:val="22"/>
          <w:lang w:val="en-GB" w:eastAsia="nb-NO"/>
        </w:rPr>
        <w:t xml:space="preserve">: </w:t>
      </w:r>
      <w:r w:rsidR="006D38CB">
        <w:rPr>
          <w:rFonts w:ascii="Palatino Linotype" w:hAnsi="Palatino Linotype"/>
          <w:szCs w:val="22"/>
          <w:lang w:val="en-GB"/>
        </w:rPr>
        <w:t>9</w:t>
      </w:r>
      <w:r w:rsidR="00AC2E39">
        <w:rPr>
          <w:rFonts w:ascii="Palatino Linotype" w:hAnsi="Palatino Linotype"/>
          <w:szCs w:val="22"/>
          <w:lang w:val="en-GB"/>
        </w:rPr>
        <w:t xml:space="preserve"> participants</w:t>
      </w:r>
      <w:r w:rsidR="006D2150">
        <w:rPr>
          <w:rFonts w:ascii="Palatino Linotype" w:hAnsi="Palatino Linotype"/>
          <w:szCs w:val="22"/>
          <w:lang w:val="en-GB"/>
        </w:rPr>
        <w:t xml:space="preserve"> </w:t>
      </w:r>
      <w:r w:rsidR="00AC2E39">
        <w:rPr>
          <w:rFonts w:ascii="Palatino Linotype" w:hAnsi="Palatino Linotype"/>
          <w:szCs w:val="22"/>
          <w:lang w:val="en-GB"/>
        </w:rPr>
        <w:t xml:space="preserve">completed </w:t>
      </w:r>
      <w:r w:rsidR="00857E83">
        <w:rPr>
          <w:rFonts w:ascii="Palatino Linotype" w:hAnsi="Palatino Linotype"/>
          <w:szCs w:val="22"/>
          <w:lang w:val="en-GB"/>
        </w:rPr>
        <w:t>two trials</w:t>
      </w:r>
      <w:r w:rsidR="00AC2E39">
        <w:rPr>
          <w:rFonts w:ascii="Palatino Linotype" w:hAnsi="Palatino Linotype"/>
          <w:szCs w:val="22"/>
          <w:lang w:val="en-GB"/>
        </w:rPr>
        <w:t xml:space="preserve"> in HOT conditions (50°C, 40% RH)</w:t>
      </w:r>
      <w:r w:rsidR="00902F7F">
        <w:rPr>
          <w:rFonts w:ascii="Palatino Linotype" w:hAnsi="Palatino Linotype"/>
          <w:szCs w:val="22"/>
          <w:lang w:val="en-GB"/>
        </w:rPr>
        <w:t>, involving</w:t>
      </w:r>
      <w:r w:rsidR="006F5BFA">
        <w:rPr>
          <w:rFonts w:ascii="Palatino Linotype" w:hAnsi="Palatino Linotype"/>
          <w:szCs w:val="22"/>
          <w:lang w:val="en-GB"/>
        </w:rPr>
        <w:t xml:space="preserve"> </w:t>
      </w:r>
      <w:r w:rsidR="00902F7F">
        <w:rPr>
          <w:rFonts w:ascii="Palatino Linotype" w:hAnsi="Palatino Linotype"/>
          <w:szCs w:val="22"/>
          <w:lang w:val="en-GB"/>
        </w:rPr>
        <w:t xml:space="preserve">light exercise </w:t>
      </w:r>
      <w:r w:rsidR="006F5BFA">
        <w:rPr>
          <w:rFonts w:ascii="Palatino Linotype" w:hAnsi="Palatino Linotype"/>
          <w:szCs w:val="22"/>
          <w:lang w:val="en-GB"/>
        </w:rPr>
        <w:t xml:space="preserve">before passive heating </w:t>
      </w:r>
      <w:r w:rsidR="00AA11D2">
        <w:rPr>
          <w:rFonts w:ascii="Palatino Linotype" w:hAnsi="Palatino Linotype"/>
          <w:szCs w:val="22"/>
          <w:lang w:val="en-GB"/>
        </w:rPr>
        <w:t>to</w:t>
      </w:r>
      <w:r w:rsidR="006F5BFA">
        <w:rPr>
          <w:rFonts w:ascii="Palatino Linotype" w:hAnsi="Palatino Linotype"/>
          <w:szCs w:val="22"/>
          <w:lang w:val="en-GB"/>
        </w:rPr>
        <w:t xml:space="preserve"> </w:t>
      </w:r>
      <w:r w:rsidR="00AA11D2">
        <w:rPr>
          <w:rFonts w:ascii="Palatino Linotype" w:hAnsi="Palatino Linotype"/>
          <w:szCs w:val="22"/>
          <w:lang w:val="en-GB"/>
        </w:rPr>
        <w:t>a</w:t>
      </w:r>
      <w:r w:rsidR="006F5BFA">
        <w:rPr>
          <w:rFonts w:ascii="Palatino Linotype" w:hAnsi="Palatino Linotype"/>
          <w:szCs w:val="22"/>
          <w:lang w:val="en-GB"/>
        </w:rPr>
        <w:t xml:space="preserve"> rectal temperature (T</w:t>
      </w:r>
      <w:r w:rsidR="006F5BFA">
        <w:rPr>
          <w:rFonts w:ascii="Palatino Linotype" w:hAnsi="Palatino Linotype"/>
          <w:szCs w:val="22"/>
          <w:vertAlign w:val="subscript"/>
          <w:lang w:val="en-GB"/>
        </w:rPr>
        <w:t>re</w:t>
      </w:r>
      <w:r w:rsidR="006F5BFA">
        <w:rPr>
          <w:rFonts w:ascii="Palatino Linotype" w:hAnsi="Palatino Linotype"/>
          <w:szCs w:val="22"/>
          <w:lang w:val="en-GB"/>
        </w:rPr>
        <w:t>) of 39.5°C.</w:t>
      </w:r>
      <w:r w:rsidR="00AC2E39">
        <w:rPr>
          <w:rFonts w:ascii="Palatino Linotype" w:hAnsi="Palatino Linotype"/>
          <w:szCs w:val="22"/>
          <w:lang w:val="en-GB"/>
        </w:rPr>
        <w:t xml:space="preserve"> During one trial, </w:t>
      </w:r>
      <w:r w:rsidR="00FD1C31">
        <w:rPr>
          <w:rFonts w:ascii="Palatino Linotype" w:hAnsi="Palatino Linotype"/>
          <w:szCs w:val="22"/>
          <w:lang w:val="en-GB"/>
        </w:rPr>
        <w:t>the</w:t>
      </w:r>
      <w:r w:rsidR="00AC2E39">
        <w:rPr>
          <w:rFonts w:ascii="Palatino Linotype" w:hAnsi="Palatino Linotype"/>
          <w:szCs w:val="22"/>
          <w:lang w:val="en-GB"/>
        </w:rPr>
        <w:t xml:space="preserve"> head and neck </w:t>
      </w:r>
      <w:r w:rsidR="00FD1C31">
        <w:rPr>
          <w:rFonts w:ascii="Palatino Linotype" w:hAnsi="Palatino Linotype"/>
          <w:szCs w:val="22"/>
          <w:lang w:val="en-GB"/>
        </w:rPr>
        <w:t xml:space="preserve">was </w:t>
      </w:r>
      <w:r w:rsidR="00AC2E39">
        <w:rPr>
          <w:rFonts w:ascii="Palatino Linotype" w:hAnsi="Palatino Linotype"/>
          <w:szCs w:val="22"/>
          <w:lang w:val="en-GB"/>
        </w:rPr>
        <w:t>continuously cooled (HOT</w:t>
      </w:r>
      <w:r w:rsidR="00AC2E39">
        <w:rPr>
          <w:rFonts w:ascii="Palatino Linotype" w:hAnsi="Palatino Linotype"/>
          <w:szCs w:val="22"/>
          <w:vertAlign w:val="subscript"/>
          <w:lang w:val="en-GB"/>
        </w:rPr>
        <w:t>cool</w:t>
      </w:r>
      <w:r w:rsidR="00AC2E39">
        <w:rPr>
          <w:rFonts w:ascii="Palatino Linotype" w:hAnsi="Palatino Linotype"/>
          <w:szCs w:val="22"/>
          <w:lang w:val="en-GB"/>
        </w:rPr>
        <w:t>)</w:t>
      </w:r>
      <w:r w:rsidR="00C964DC">
        <w:rPr>
          <w:rFonts w:ascii="Palatino Linotype" w:hAnsi="Palatino Linotype"/>
          <w:szCs w:val="22"/>
          <w:lang w:val="en-GB"/>
        </w:rPr>
        <w:t xml:space="preserve"> using a towel soaked in ice water</w:t>
      </w:r>
      <w:r w:rsidR="00AC2E39">
        <w:rPr>
          <w:rFonts w:ascii="Palatino Linotype" w:hAnsi="Palatino Linotype"/>
          <w:szCs w:val="22"/>
          <w:lang w:val="en-GB"/>
        </w:rPr>
        <w:t>.</w:t>
      </w:r>
      <w:r w:rsidR="00857E83">
        <w:rPr>
          <w:rFonts w:ascii="Palatino Linotype" w:hAnsi="Palatino Linotype"/>
          <w:szCs w:val="22"/>
          <w:lang w:val="en-GB"/>
        </w:rPr>
        <w:t xml:space="preserve"> </w:t>
      </w:r>
      <w:r w:rsidR="006F5BFA">
        <w:rPr>
          <w:rFonts w:ascii="Palatino Linotype" w:hAnsi="Palatino Linotype"/>
          <w:szCs w:val="22"/>
          <w:lang w:val="en-GB"/>
        </w:rPr>
        <w:t>At T</w:t>
      </w:r>
      <w:r w:rsidR="006F5BFA" w:rsidRPr="009748C5">
        <w:rPr>
          <w:rFonts w:ascii="Palatino Linotype" w:hAnsi="Palatino Linotype"/>
          <w:szCs w:val="22"/>
          <w:vertAlign w:val="subscript"/>
          <w:lang w:val="en-GB"/>
        </w:rPr>
        <w:t>re</w:t>
      </w:r>
      <w:r w:rsidR="006F5BFA">
        <w:rPr>
          <w:rFonts w:ascii="Palatino Linotype" w:hAnsi="Palatino Linotype"/>
          <w:szCs w:val="22"/>
          <w:lang w:val="en-GB"/>
        </w:rPr>
        <w:t>=39.5°C n</w:t>
      </w:r>
      <w:r w:rsidR="00287D73">
        <w:rPr>
          <w:rFonts w:ascii="Palatino Linotype" w:hAnsi="Palatino Linotype"/>
          <w:szCs w:val="22"/>
          <w:lang w:val="en-GB"/>
        </w:rPr>
        <w:t>euromuscular</w:t>
      </w:r>
      <w:r w:rsidR="00857E83">
        <w:rPr>
          <w:rFonts w:ascii="Palatino Linotype" w:hAnsi="Palatino Linotype"/>
          <w:szCs w:val="22"/>
          <w:lang w:val="en-GB"/>
        </w:rPr>
        <w:t xml:space="preserve"> </w:t>
      </w:r>
      <w:r w:rsidR="00287D73">
        <w:rPr>
          <w:rFonts w:ascii="Palatino Linotype" w:hAnsi="Palatino Linotype"/>
          <w:szCs w:val="22"/>
          <w:lang w:val="en-GB"/>
        </w:rPr>
        <w:t xml:space="preserve">measurements were </w:t>
      </w:r>
      <w:r w:rsidR="006F5BFA">
        <w:rPr>
          <w:rFonts w:ascii="Palatino Linotype" w:hAnsi="Palatino Linotype"/>
          <w:szCs w:val="22"/>
          <w:lang w:val="en-GB"/>
        </w:rPr>
        <w:t xml:space="preserve">completed </w:t>
      </w:r>
      <w:r w:rsidR="00287D73">
        <w:rPr>
          <w:rFonts w:ascii="Palatino Linotype" w:hAnsi="Palatino Linotype"/>
          <w:szCs w:val="22"/>
          <w:lang w:val="en-GB"/>
        </w:rPr>
        <w:t xml:space="preserve">to assess MVT, voluntary activation and EMG at MVT normalised to maximal M-wave. Voluntary RTD and normalised EMG were measured </w:t>
      </w:r>
      <w:r w:rsidR="002946C9">
        <w:rPr>
          <w:rFonts w:ascii="Palatino Linotype" w:hAnsi="Palatino Linotype"/>
          <w:szCs w:val="22"/>
          <w:lang w:val="en-GB"/>
        </w:rPr>
        <w:t>over 0-50, 0-100, 0-150 and 0-200 ms. Involuntary RTD</w:t>
      </w:r>
      <w:r w:rsidR="006F6F67">
        <w:rPr>
          <w:rFonts w:ascii="Palatino Linotype" w:hAnsi="Palatino Linotype"/>
          <w:szCs w:val="22"/>
          <w:lang w:val="en-GB"/>
        </w:rPr>
        <w:t xml:space="preserve"> at 0-50 ms</w:t>
      </w:r>
      <w:r w:rsidR="002946C9">
        <w:rPr>
          <w:rFonts w:ascii="Palatino Linotype" w:hAnsi="Palatino Linotype"/>
          <w:szCs w:val="22"/>
          <w:lang w:val="en-GB"/>
        </w:rPr>
        <w:t xml:space="preserve"> was measured during evoked octets at 300 Hz. </w:t>
      </w:r>
      <w:r w:rsidR="00D93B4C">
        <w:rPr>
          <w:rFonts w:ascii="Palatino Linotype" w:hAnsi="Palatino Linotype"/>
          <w:szCs w:val="22"/>
          <w:lang w:val="en-GB"/>
        </w:rPr>
        <w:t>Thermoregulatory and perceptual variables were measured throughout</w:t>
      </w:r>
      <w:r w:rsidR="00691D35">
        <w:rPr>
          <w:rFonts w:ascii="Palatino Linotype" w:hAnsi="Palatino Linotype"/>
          <w:szCs w:val="22"/>
          <w:lang w:val="en-GB"/>
        </w:rPr>
        <w:t>.</w:t>
      </w:r>
    </w:p>
    <w:p w14:paraId="6C490F79" w14:textId="77777777" w:rsidR="00287D73" w:rsidRDefault="00287D73" w:rsidP="00D11C2A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Cs w:val="22"/>
          <w:lang w:val="en-GB"/>
        </w:rPr>
      </w:pPr>
    </w:p>
    <w:p w14:paraId="16A76718" w14:textId="53304424" w:rsidR="002603DF" w:rsidRPr="00666534" w:rsidRDefault="00DB79A0" w:rsidP="00D11C2A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b/>
          <w:lang w:val="en-GB"/>
        </w:rPr>
        <w:t>R</w:t>
      </w:r>
      <w:r w:rsidR="00F60A07" w:rsidRPr="00F60A07">
        <w:rPr>
          <w:rFonts w:ascii="Palatino Linotype" w:hAnsi="Palatino Linotype"/>
          <w:b/>
          <w:lang w:val="en-GB"/>
        </w:rPr>
        <w:t>esults</w:t>
      </w:r>
      <w:r w:rsidR="0062591E">
        <w:rPr>
          <w:rFonts w:ascii="Palatino Linotype" w:hAnsi="Palatino Linotype"/>
          <w:b/>
          <w:lang w:val="en-GB"/>
        </w:rPr>
        <w:t>:</w:t>
      </w:r>
      <w:r w:rsidR="00934A07">
        <w:rPr>
          <w:rFonts w:ascii="Palatino Linotype" w:hAnsi="Palatino Linotype"/>
          <w:lang w:val="en-GB"/>
        </w:rPr>
        <w:t xml:space="preserve"> </w:t>
      </w:r>
      <w:r w:rsidR="007E2761">
        <w:rPr>
          <w:rFonts w:ascii="Palatino Linotype" w:hAnsi="Palatino Linotype"/>
          <w:lang w:val="en-GB"/>
        </w:rPr>
        <w:t xml:space="preserve">MVT and RTD, and </w:t>
      </w:r>
      <w:r w:rsidR="004A27D7">
        <w:rPr>
          <w:rFonts w:ascii="Palatino Linotype" w:hAnsi="Palatino Linotype"/>
          <w:lang w:val="en-GB"/>
        </w:rPr>
        <w:t>their neuromuscular</w:t>
      </w:r>
      <w:r w:rsidR="007E2761">
        <w:rPr>
          <w:rFonts w:ascii="Palatino Linotype" w:hAnsi="Palatino Linotype"/>
          <w:lang w:val="en-GB"/>
        </w:rPr>
        <w:t xml:space="preserve"> determinants were unaffected by cooling</w:t>
      </w:r>
      <w:r w:rsidR="006A0BCB">
        <w:rPr>
          <w:rFonts w:ascii="Palatino Linotype" w:hAnsi="Palatino Linotype"/>
          <w:lang w:val="en-GB"/>
        </w:rPr>
        <w:t xml:space="preserve"> (</w:t>
      </w:r>
      <w:r w:rsidR="006A0BCB">
        <w:rPr>
          <w:rFonts w:ascii="Palatino Linotype" w:hAnsi="Palatino Linotype"/>
          <w:i/>
          <w:lang w:val="en-GB"/>
        </w:rPr>
        <w:t>P</w:t>
      </w:r>
      <w:r w:rsidR="006A0BCB">
        <w:rPr>
          <w:rFonts w:ascii="Palatino Linotype" w:hAnsi="Palatino Linotype"/>
          <w:lang w:val="en-GB"/>
        </w:rPr>
        <w:t xml:space="preserve"> &gt; 0.05)</w:t>
      </w:r>
      <w:r w:rsidR="002946C9">
        <w:rPr>
          <w:rFonts w:ascii="Palatino Linotype" w:hAnsi="Palatino Linotype"/>
          <w:lang w:val="en-GB"/>
        </w:rPr>
        <w:t xml:space="preserve">. </w:t>
      </w:r>
      <w:r w:rsidR="00D93B4C">
        <w:rPr>
          <w:rFonts w:ascii="Palatino Linotype" w:hAnsi="Palatino Linotype"/>
          <w:lang w:val="en-GB"/>
        </w:rPr>
        <w:t xml:space="preserve">Neck </w:t>
      </w:r>
      <w:r w:rsidR="00156C05">
        <w:rPr>
          <w:rFonts w:ascii="Palatino Linotype" w:hAnsi="Palatino Linotype"/>
          <w:lang w:val="en-GB"/>
        </w:rPr>
        <w:t xml:space="preserve">(-20%) </w:t>
      </w:r>
      <w:r w:rsidR="00D93B4C">
        <w:rPr>
          <w:rFonts w:ascii="Palatino Linotype" w:hAnsi="Palatino Linotype"/>
          <w:lang w:val="en-GB"/>
        </w:rPr>
        <w:t>and head</w:t>
      </w:r>
      <w:r w:rsidR="00156C05">
        <w:rPr>
          <w:rFonts w:ascii="Palatino Linotype" w:hAnsi="Palatino Linotype"/>
          <w:lang w:val="en-GB"/>
        </w:rPr>
        <w:t xml:space="preserve"> (-12%)</w:t>
      </w:r>
      <w:r w:rsidR="00D93B4C">
        <w:rPr>
          <w:rFonts w:ascii="Palatino Linotype" w:hAnsi="Palatino Linotype"/>
          <w:lang w:val="en-GB"/>
        </w:rPr>
        <w:t xml:space="preserve"> </w:t>
      </w:r>
      <w:r w:rsidR="00691D35">
        <w:rPr>
          <w:rFonts w:ascii="Palatino Linotype" w:hAnsi="Palatino Linotype"/>
          <w:lang w:val="en-GB"/>
        </w:rPr>
        <w:t>temperature</w:t>
      </w:r>
      <w:r w:rsidR="00D93B4C">
        <w:rPr>
          <w:rFonts w:ascii="Palatino Linotype" w:hAnsi="Palatino Linotype"/>
          <w:lang w:val="en-GB"/>
        </w:rPr>
        <w:t xml:space="preserve"> were lower in HOT</w:t>
      </w:r>
      <w:r w:rsidR="00D93B4C">
        <w:rPr>
          <w:rFonts w:ascii="Palatino Linotype" w:hAnsi="Palatino Linotype"/>
          <w:vertAlign w:val="subscript"/>
          <w:lang w:val="en-GB"/>
        </w:rPr>
        <w:t>cool</w:t>
      </w:r>
      <w:r w:rsidR="00D93B4C">
        <w:rPr>
          <w:rFonts w:ascii="Palatino Linotype" w:hAnsi="Palatino Linotype"/>
          <w:lang w:val="en-GB"/>
        </w:rPr>
        <w:t xml:space="preserve">, as were </w:t>
      </w:r>
      <w:r w:rsidR="00691D35">
        <w:rPr>
          <w:rFonts w:ascii="Palatino Linotype" w:hAnsi="Palatino Linotype"/>
          <w:lang w:val="en-GB"/>
        </w:rPr>
        <w:t>thermal</w:t>
      </w:r>
      <w:r w:rsidR="00D93B4C">
        <w:rPr>
          <w:rFonts w:ascii="Palatino Linotype" w:hAnsi="Palatino Linotype"/>
          <w:lang w:val="en-GB"/>
        </w:rPr>
        <w:t xml:space="preserve"> sensation of the head</w:t>
      </w:r>
      <w:r w:rsidR="006E4239">
        <w:rPr>
          <w:rFonts w:ascii="Palatino Linotype" w:hAnsi="Palatino Linotype"/>
          <w:lang w:val="en-GB"/>
        </w:rPr>
        <w:t xml:space="preserve"> (-36%)</w:t>
      </w:r>
      <w:r w:rsidR="00FD1C31">
        <w:rPr>
          <w:rFonts w:ascii="Palatino Linotype" w:hAnsi="Palatino Linotype"/>
          <w:lang w:val="en-GB"/>
        </w:rPr>
        <w:t xml:space="preserve"> and</w:t>
      </w:r>
      <w:r w:rsidR="00691D35">
        <w:rPr>
          <w:rFonts w:ascii="Palatino Linotype" w:hAnsi="Palatino Linotype"/>
          <w:lang w:val="en-GB"/>
        </w:rPr>
        <w:t xml:space="preserve"> body </w:t>
      </w:r>
      <w:r w:rsidR="006E4239">
        <w:rPr>
          <w:rFonts w:ascii="Palatino Linotype" w:hAnsi="Palatino Linotype"/>
          <w:lang w:val="en-GB"/>
        </w:rPr>
        <w:t>(</w:t>
      </w:r>
      <w:r w:rsidR="002603DF">
        <w:rPr>
          <w:rFonts w:ascii="Palatino Linotype" w:hAnsi="Palatino Linotype"/>
          <w:lang w:val="en-GB"/>
        </w:rPr>
        <w:t>-</w:t>
      </w:r>
      <w:r w:rsidR="006E4239">
        <w:rPr>
          <w:rFonts w:ascii="Palatino Linotype" w:hAnsi="Palatino Linotype"/>
          <w:lang w:val="en-GB"/>
        </w:rPr>
        <w:t xml:space="preserve">12%) </w:t>
      </w:r>
      <w:r w:rsidR="00691D35">
        <w:rPr>
          <w:rFonts w:ascii="Palatino Linotype" w:hAnsi="Palatino Linotype"/>
          <w:lang w:val="en-GB"/>
        </w:rPr>
        <w:t>and thermal comfort</w:t>
      </w:r>
      <w:r w:rsidR="00FD1C31">
        <w:rPr>
          <w:rFonts w:ascii="Palatino Linotype" w:hAnsi="Palatino Linotype"/>
          <w:lang w:val="en-GB"/>
        </w:rPr>
        <w:t xml:space="preserve"> (body)</w:t>
      </w:r>
      <w:r w:rsidR="00691D35">
        <w:rPr>
          <w:rFonts w:ascii="Palatino Linotype" w:hAnsi="Palatino Linotype"/>
          <w:lang w:val="en-GB"/>
        </w:rPr>
        <w:t xml:space="preserve"> (</w:t>
      </w:r>
      <w:r w:rsidR="006E4239">
        <w:rPr>
          <w:rFonts w:ascii="Palatino Linotype" w:hAnsi="Palatino Linotype"/>
          <w:lang w:val="en-GB"/>
        </w:rPr>
        <w:t>-23%</w:t>
      </w:r>
      <w:r w:rsidR="00691D35">
        <w:rPr>
          <w:rFonts w:ascii="Palatino Linotype" w:hAnsi="Palatino Linotype"/>
          <w:lang w:val="en-GB"/>
        </w:rPr>
        <w:t>).</w:t>
      </w:r>
      <w:r w:rsidR="006E4239">
        <w:rPr>
          <w:rFonts w:ascii="Palatino Linotype" w:hAnsi="Palatino Linotype"/>
          <w:lang w:val="en-GB"/>
        </w:rPr>
        <w:t xml:space="preserve"> </w:t>
      </w:r>
      <w:r w:rsidR="00FD1C31">
        <w:rPr>
          <w:rFonts w:ascii="Palatino Linotype" w:hAnsi="Palatino Linotype"/>
          <w:lang w:val="en-GB"/>
        </w:rPr>
        <w:t>T</w:t>
      </w:r>
      <w:r w:rsidR="002603DF">
        <w:rPr>
          <w:rFonts w:ascii="Palatino Linotype" w:hAnsi="Palatino Linotype"/>
          <w:lang w:val="en-GB"/>
        </w:rPr>
        <w:t>ime to target T</w:t>
      </w:r>
      <w:r w:rsidR="002603DF">
        <w:rPr>
          <w:rFonts w:ascii="Palatino Linotype" w:hAnsi="Palatino Linotype"/>
          <w:vertAlign w:val="subscript"/>
          <w:lang w:val="en-GB"/>
        </w:rPr>
        <w:t>re</w:t>
      </w:r>
      <w:r w:rsidR="002603DF">
        <w:rPr>
          <w:rFonts w:ascii="Palatino Linotype" w:hAnsi="Palatino Linotype"/>
          <w:lang w:val="en-GB"/>
        </w:rPr>
        <w:t xml:space="preserve"> </w:t>
      </w:r>
      <w:r w:rsidR="006D2150">
        <w:rPr>
          <w:rFonts w:ascii="Palatino Linotype" w:hAnsi="Palatino Linotype"/>
          <w:lang w:val="en-GB"/>
        </w:rPr>
        <w:t>was increased (</w:t>
      </w:r>
      <w:r w:rsidR="002603DF">
        <w:rPr>
          <w:rFonts w:ascii="Palatino Linotype" w:hAnsi="Palatino Linotype"/>
          <w:lang w:val="en-GB"/>
        </w:rPr>
        <w:t>71%)</w:t>
      </w:r>
      <w:r w:rsidR="00FD1C31">
        <w:rPr>
          <w:rFonts w:ascii="Palatino Linotype" w:hAnsi="Palatino Linotype"/>
          <w:lang w:val="en-GB"/>
        </w:rPr>
        <w:t xml:space="preserve"> in HOT</w:t>
      </w:r>
      <w:r w:rsidR="00FD1C31" w:rsidRPr="00CA2BD2">
        <w:rPr>
          <w:rFonts w:ascii="Palatino Linotype" w:hAnsi="Palatino Linotype"/>
          <w:vertAlign w:val="subscript"/>
          <w:lang w:val="en-GB"/>
        </w:rPr>
        <w:t>cool</w:t>
      </w:r>
      <w:r w:rsidR="002603DF">
        <w:rPr>
          <w:rFonts w:ascii="Palatino Linotype" w:hAnsi="Palatino Linotype"/>
          <w:lang w:val="en-GB"/>
        </w:rPr>
        <w:t xml:space="preserve">, </w:t>
      </w:r>
      <w:r w:rsidR="00A02B39">
        <w:rPr>
          <w:rFonts w:ascii="Palatino Linotype" w:hAnsi="Palatino Linotype"/>
          <w:lang w:val="en-GB"/>
        </w:rPr>
        <w:t>and not</w:t>
      </w:r>
      <w:r w:rsidR="00F152DE">
        <w:rPr>
          <w:rFonts w:ascii="Palatino Linotype" w:hAnsi="Palatino Linotype"/>
          <w:lang w:val="en-GB"/>
        </w:rPr>
        <w:t xml:space="preserve"> all participants were </w:t>
      </w:r>
      <w:r w:rsidR="006D2150">
        <w:rPr>
          <w:rFonts w:ascii="Palatino Linotype" w:hAnsi="Palatino Linotype"/>
          <w:lang w:val="en-GB"/>
        </w:rPr>
        <w:t>able to reach</w:t>
      </w:r>
      <w:r w:rsidR="00F152DE">
        <w:rPr>
          <w:rFonts w:ascii="Palatino Linotype" w:hAnsi="Palatino Linotype"/>
          <w:lang w:val="en-GB"/>
        </w:rPr>
        <w:t xml:space="preserve"> </w:t>
      </w:r>
      <w:r w:rsidR="002603DF">
        <w:rPr>
          <w:rFonts w:ascii="Palatino Linotype" w:hAnsi="Palatino Linotype"/>
          <w:lang w:val="en-GB"/>
        </w:rPr>
        <w:t>39.5°C</w:t>
      </w:r>
      <w:r w:rsidR="006D2150">
        <w:rPr>
          <w:rFonts w:ascii="Palatino Linotype" w:hAnsi="Palatino Linotype"/>
          <w:lang w:val="en-GB"/>
        </w:rPr>
        <w:t>.</w:t>
      </w:r>
      <w:r w:rsidR="00F6360D">
        <w:rPr>
          <w:rFonts w:ascii="Palatino Linotype" w:hAnsi="Palatino Linotype"/>
          <w:lang w:val="en-GB"/>
        </w:rPr>
        <w:t xml:space="preserve"> </w:t>
      </w:r>
      <w:r w:rsidR="00F152DE">
        <w:rPr>
          <w:rFonts w:ascii="Palatino Linotype" w:hAnsi="Palatino Linotype"/>
          <w:lang w:val="en-GB"/>
        </w:rPr>
        <w:t>T</w:t>
      </w:r>
      <w:r w:rsidR="00F152DE">
        <w:rPr>
          <w:rFonts w:ascii="Palatino Linotype" w:hAnsi="Palatino Linotype"/>
          <w:vertAlign w:val="subscript"/>
          <w:lang w:val="en-GB"/>
        </w:rPr>
        <w:t>re</w:t>
      </w:r>
      <w:r w:rsidR="004D2D93">
        <w:rPr>
          <w:rFonts w:ascii="Palatino Linotype" w:hAnsi="Palatino Linotype"/>
          <w:vertAlign w:val="subscript"/>
          <w:lang w:val="en-GB"/>
        </w:rPr>
        <w:t xml:space="preserve">  </w:t>
      </w:r>
      <w:r w:rsidR="004D2D93" w:rsidRPr="004D2D93">
        <w:rPr>
          <w:rFonts w:ascii="Palatino Linotype" w:hAnsi="Palatino Linotype"/>
          <w:lang w:val="en-GB"/>
        </w:rPr>
        <w:t>(</w:t>
      </w:r>
      <w:r w:rsidR="002603DF" w:rsidRPr="00666534">
        <w:rPr>
          <w:rFonts w:ascii="Palatino Linotype" w:hAnsi="Palatino Linotype"/>
          <w:lang w:val="en-GB"/>
        </w:rPr>
        <w:t>-0.3%)</w:t>
      </w:r>
      <w:r w:rsidR="002603DF">
        <w:rPr>
          <w:rFonts w:ascii="Palatino Linotype" w:hAnsi="Palatino Linotype"/>
          <w:lang w:val="en-GB"/>
        </w:rPr>
        <w:t xml:space="preserve"> and skin temperature (-6%) were lower in HOT</w:t>
      </w:r>
      <w:r w:rsidR="002603DF">
        <w:rPr>
          <w:rFonts w:ascii="Palatino Linotype" w:hAnsi="Palatino Linotype"/>
          <w:vertAlign w:val="subscript"/>
          <w:lang w:val="en-GB"/>
        </w:rPr>
        <w:t xml:space="preserve">cool </w:t>
      </w:r>
      <w:r w:rsidR="002603DF">
        <w:rPr>
          <w:rFonts w:ascii="Palatino Linotype" w:hAnsi="Palatino Linotype"/>
          <w:lang w:val="en-GB"/>
        </w:rPr>
        <w:t>(</w:t>
      </w:r>
      <w:r w:rsidR="002603DF">
        <w:rPr>
          <w:rFonts w:ascii="Palatino Linotype" w:hAnsi="Palatino Linotype"/>
          <w:i/>
          <w:lang w:val="en-GB"/>
        </w:rPr>
        <w:t>P</w:t>
      </w:r>
      <w:r w:rsidR="002603DF">
        <w:rPr>
          <w:rFonts w:ascii="Palatino Linotype" w:hAnsi="Palatino Linotype"/>
          <w:lang w:val="en-GB"/>
        </w:rPr>
        <w:t xml:space="preserve"> &lt; 0.05), but heart rate </w:t>
      </w:r>
      <w:r w:rsidR="00FD1C31">
        <w:rPr>
          <w:rFonts w:ascii="Palatino Linotype" w:hAnsi="Palatino Linotype"/>
          <w:lang w:val="en-GB"/>
        </w:rPr>
        <w:t>was similar</w:t>
      </w:r>
      <w:r w:rsidR="002603DF">
        <w:rPr>
          <w:rFonts w:ascii="Palatino Linotype" w:hAnsi="Palatino Linotype"/>
          <w:lang w:val="en-GB"/>
        </w:rPr>
        <w:t xml:space="preserve"> (</w:t>
      </w:r>
      <w:r w:rsidR="002603DF">
        <w:rPr>
          <w:rFonts w:ascii="Palatino Linotype" w:hAnsi="Palatino Linotype"/>
          <w:i/>
          <w:lang w:val="en-GB"/>
        </w:rPr>
        <w:t>P</w:t>
      </w:r>
      <w:r w:rsidR="002603DF">
        <w:rPr>
          <w:rFonts w:ascii="Palatino Linotype" w:hAnsi="Palatino Linotype"/>
          <w:lang w:val="en-GB"/>
        </w:rPr>
        <w:t xml:space="preserve"> &gt; 0.05).</w:t>
      </w:r>
    </w:p>
    <w:p w14:paraId="393A6A86" w14:textId="77777777" w:rsidR="00285E65" w:rsidRPr="00691D35" w:rsidRDefault="00285E65" w:rsidP="00D11C2A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lang w:val="en-GB"/>
        </w:rPr>
      </w:pPr>
    </w:p>
    <w:p w14:paraId="11156AE7" w14:textId="04735C84" w:rsidR="00FB6CBE" w:rsidRDefault="00037DFF" w:rsidP="00FB6CBE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b/>
          <w:lang w:val="en-GB"/>
        </w:rPr>
        <w:t>C</w:t>
      </w:r>
      <w:r w:rsidR="00F60A07" w:rsidRPr="00F60A07">
        <w:rPr>
          <w:rFonts w:ascii="Palatino Linotype" w:hAnsi="Palatino Linotype"/>
          <w:b/>
          <w:lang w:val="en-GB"/>
        </w:rPr>
        <w:t>onclusions</w:t>
      </w:r>
      <w:r w:rsidR="00D11C2A">
        <w:rPr>
          <w:rFonts w:ascii="Palatino Linotype" w:hAnsi="Palatino Linotype"/>
          <w:b/>
          <w:lang w:val="en-GB"/>
        </w:rPr>
        <w:t xml:space="preserve">: </w:t>
      </w:r>
      <w:r w:rsidR="00FD1C31">
        <w:rPr>
          <w:rFonts w:ascii="Palatino Linotype" w:hAnsi="Palatino Linotype"/>
          <w:lang w:val="en-GB"/>
        </w:rPr>
        <w:t>H</w:t>
      </w:r>
      <w:r w:rsidR="00285E65" w:rsidRPr="00285E65">
        <w:rPr>
          <w:rFonts w:ascii="Palatino Linotype" w:hAnsi="Palatino Linotype"/>
          <w:lang w:val="en-GB"/>
        </w:rPr>
        <w:t>ead and n</w:t>
      </w:r>
      <w:r w:rsidR="00285E65">
        <w:rPr>
          <w:rFonts w:ascii="Palatino Linotype" w:hAnsi="Palatino Linotype"/>
          <w:lang w:val="en-GB"/>
        </w:rPr>
        <w:t xml:space="preserve">eck </w:t>
      </w:r>
      <w:r w:rsidR="00FD1C31">
        <w:rPr>
          <w:rFonts w:ascii="Palatino Linotype" w:hAnsi="Palatino Linotype"/>
          <w:lang w:val="en-GB"/>
        </w:rPr>
        <w:t xml:space="preserve">cooling </w:t>
      </w:r>
      <w:r w:rsidR="005B46CB">
        <w:rPr>
          <w:rFonts w:ascii="Palatino Linotype" w:hAnsi="Palatino Linotype"/>
          <w:lang w:val="en-GB"/>
        </w:rPr>
        <w:t xml:space="preserve">did not affect MVT, RTD, or the neuromuscular determinants of these functional variables despite </w:t>
      </w:r>
      <w:r w:rsidR="00285E65">
        <w:rPr>
          <w:rFonts w:ascii="Palatino Linotype" w:hAnsi="Palatino Linotype"/>
          <w:lang w:val="en-GB"/>
        </w:rPr>
        <w:t>improv</w:t>
      </w:r>
      <w:r w:rsidR="005B46CB">
        <w:rPr>
          <w:rFonts w:ascii="Palatino Linotype" w:hAnsi="Palatino Linotype"/>
          <w:lang w:val="en-GB"/>
        </w:rPr>
        <w:t>ing</w:t>
      </w:r>
      <w:r w:rsidR="00285E65">
        <w:rPr>
          <w:rFonts w:ascii="Palatino Linotype" w:hAnsi="Palatino Linotype"/>
          <w:lang w:val="en-GB"/>
        </w:rPr>
        <w:t xml:space="preserve"> perceptions of thermal strain</w:t>
      </w:r>
      <w:r w:rsidR="002603DF">
        <w:rPr>
          <w:rFonts w:ascii="Palatino Linotype" w:hAnsi="Palatino Linotype"/>
          <w:lang w:val="en-GB"/>
        </w:rPr>
        <w:t>.</w:t>
      </w:r>
    </w:p>
    <w:p w14:paraId="7DB2D9AF" w14:textId="77777777" w:rsidR="002630EC" w:rsidRDefault="002630EC" w:rsidP="00FB6CBE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 w:val="24"/>
          <w:szCs w:val="24"/>
          <w:lang w:val="en-GB"/>
        </w:rPr>
      </w:pPr>
    </w:p>
    <w:p w14:paraId="51561080" w14:textId="567725AC" w:rsidR="002630EC" w:rsidRDefault="002630EC" w:rsidP="00FB6CBE">
      <w:pPr>
        <w:pStyle w:val="BodyTextIndent2"/>
        <w:tabs>
          <w:tab w:val="left" w:pos="7938"/>
        </w:tabs>
        <w:ind w:firstLine="0"/>
        <w:jc w:val="both"/>
        <w:rPr>
          <w:rFonts w:ascii="Palatino Linotype" w:hAnsi="Palatino Linotype"/>
          <w:sz w:val="24"/>
          <w:szCs w:val="24"/>
          <w:lang w:val="en-GB"/>
        </w:rPr>
      </w:pPr>
    </w:p>
    <w:sectPr w:rsidR="002630EC" w:rsidSect="005821DF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D043" w14:textId="77777777" w:rsidR="00FD371B" w:rsidRDefault="00FD371B" w:rsidP="00091D9B">
      <w:r>
        <w:separator/>
      </w:r>
    </w:p>
  </w:endnote>
  <w:endnote w:type="continuationSeparator" w:id="0">
    <w:p w14:paraId="345EBF5F" w14:textId="77777777" w:rsidR="00FD371B" w:rsidRDefault="00FD371B" w:rsidP="0009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D350C" w14:textId="77777777" w:rsidR="00FD371B" w:rsidRDefault="00FD371B" w:rsidP="00091D9B">
      <w:r>
        <w:separator/>
      </w:r>
    </w:p>
  </w:footnote>
  <w:footnote w:type="continuationSeparator" w:id="0">
    <w:p w14:paraId="503CBA4A" w14:textId="77777777" w:rsidR="00FD371B" w:rsidRDefault="00FD371B" w:rsidP="0009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D04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1D58A2"/>
    <w:multiLevelType w:val="multilevel"/>
    <w:tmpl w:val="F2703B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CDD1DDD"/>
    <w:multiLevelType w:val="multilevel"/>
    <w:tmpl w:val="120E26CC"/>
    <w:lvl w:ilvl="0">
      <w:start w:val="1"/>
      <w:numFmt w:val="decimal"/>
      <w:pStyle w:val="Heading1-NES2007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-NES2007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-NES2007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8"/>
    <w:rsid w:val="00006699"/>
    <w:rsid w:val="00037DFF"/>
    <w:rsid w:val="00040FCD"/>
    <w:rsid w:val="000511C9"/>
    <w:rsid w:val="000848E3"/>
    <w:rsid w:val="00084D49"/>
    <w:rsid w:val="00091D9B"/>
    <w:rsid w:val="000B3500"/>
    <w:rsid w:val="000D5310"/>
    <w:rsid w:val="00104B27"/>
    <w:rsid w:val="001248F9"/>
    <w:rsid w:val="001372F1"/>
    <w:rsid w:val="00147AD8"/>
    <w:rsid w:val="00150A9F"/>
    <w:rsid w:val="00156C05"/>
    <w:rsid w:val="00167E4A"/>
    <w:rsid w:val="00170602"/>
    <w:rsid w:val="001919EE"/>
    <w:rsid w:val="00193585"/>
    <w:rsid w:val="001A1837"/>
    <w:rsid w:val="001D5206"/>
    <w:rsid w:val="001D78B9"/>
    <w:rsid w:val="001E374B"/>
    <w:rsid w:val="001E4FC3"/>
    <w:rsid w:val="001E5E5D"/>
    <w:rsid w:val="001F6F7E"/>
    <w:rsid w:val="001F7A37"/>
    <w:rsid w:val="002156BF"/>
    <w:rsid w:val="0021751C"/>
    <w:rsid w:val="002202B5"/>
    <w:rsid w:val="00226010"/>
    <w:rsid w:val="00226FBB"/>
    <w:rsid w:val="0023593C"/>
    <w:rsid w:val="00247F44"/>
    <w:rsid w:val="00255C2A"/>
    <w:rsid w:val="002603DF"/>
    <w:rsid w:val="002612E8"/>
    <w:rsid w:val="002630EC"/>
    <w:rsid w:val="00270052"/>
    <w:rsid w:val="00285E65"/>
    <w:rsid w:val="00287D73"/>
    <w:rsid w:val="002946C9"/>
    <w:rsid w:val="002C4007"/>
    <w:rsid w:val="002C4215"/>
    <w:rsid w:val="002C44A9"/>
    <w:rsid w:val="002D037C"/>
    <w:rsid w:val="002D2650"/>
    <w:rsid w:val="002E7BF1"/>
    <w:rsid w:val="002F399F"/>
    <w:rsid w:val="003067C1"/>
    <w:rsid w:val="00322269"/>
    <w:rsid w:val="003366F6"/>
    <w:rsid w:val="00363007"/>
    <w:rsid w:val="003710FF"/>
    <w:rsid w:val="00376C98"/>
    <w:rsid w:val="00380F2D"/>
    <w:rsid w:val="00390871"/>
    <w:rsid w:val="003B72F7"/>
    <w:rsid w:val="003C0B78"/>
    <w:rsid w:val="003C0C2E"/>
    <w:rsid w:val="003C19CD"/>
    <w:rsid w:val="003C47F5"/>
    <w:rsid w:val="00413DB5"/>
    <w:rsid w:val="00427C04"/>
    <w:rsid w:val="004307C1"/>
    <w:rsid w:val="004406C5"/>
    <w:rsid w:val="0045514C"/>
    <w:rsid w:val="00455204"/>
    <w:rsid w:val="00467AEB"/>
    <w:rsid w:val="00473100"/>
    <w:rsid w:val="004A27D7"/>
    <w:rsid w:val="004A49F3"/>
    <w:rsid w:val="004A6453"/>
    <w:rsid w:val="004A722D"/>
    <w:rsid w:val="004A77B5"/>
    <w:rsid w:val="004C74EB"/>
    <w:rsid w:val="004D2D93"/>
    <w:rsid w:val="004E62D4"/>
    <w:rsid w:val="004F5059"/>
    <w:rsid w:val="00502FC3"/>
    <w:rsid w:val="005170CB"/>
    <w:rsid w:val="005249B4"/>
    <w:rsid w:val="0053246A"/>
    <w:rsid w:val="00540CD8"/>
    <w:rsid w:val="00543E1F"/>
    <w:rsid w:val="0054585B"/>
    <w:rsid w:val="00567E1C"/>
    <w:rsid w:val="005821DF"/>
    <w:rsid w:val="005B46CB"/>
    <w:rsid w:val="005C4F8C"/>
    <w:rsid w:val="005E48E7"/>
    <w:rsid w:val="00602DDD"/>
    <w:rsid w:val="00616057"/>
    <w:rsid w:val="00617A16"/>
    <w:rsid w:val="0062591E"/>
    <w:rsid w:val="00632BF9"/>
    <w:rsid w:val="00657CE8"/>
    <w:rsid w:val="00666534"/>
    <w:rsid w:val="00671775"/>
    <w:rsid w:val="00690599"/>
    <w:rsid w:val="00691D35"/>
    <w:rsid w:val="006A0BCB"/>
    <w:rsid w:val="006A3507"/>
    <w:rsid w:val="006B1832"/>
    <w:rsid w:val="006C0BD4"/>
    <w:rsid w:val="006C0C84"/>
    <w:rsid w:val="006C28DC"/>
    <w:rsid w:val="006D0D1D"/>
    <w:rsid w:val="006D2150"/>
    <w:rsid w:val="006D38CB"/>
    <w:rsid w:val="006E4239"/>
    <w:rsid w:val="006F5BFA"/>
    <w:rsid w:val="006F6F67"/>
    <w:rsid w:val="007143DB"/>
    <w:rsid w:val="00724F49"/>
    <w:rsid w:val="007347D3"/>
    <w:rsid w:val="00740FC1"/>
    <w:rsid w:val="00761E6F"/>
    <w:rsid w:val="00780671"/>
    <w:rsid w:val="00780A18"/>
    <w:rsid w:val="007A517B"/>
    <w:rsid w:val="007A5BF1"/>
    <w:rsid w:val="007B2564"/>
    <w:rsid w:val="007E2761"/>
    <w:rsid w:val="007E66C2"/>
    <w:rsid w:val="008309A5"/>
    <w:rsid w:val="0084554F"/>
    <w:rsid w:val="00850EB1"/>
    <w:rsid w:val="00857E83"/>
    <w:rsid w:val="008626A0"/>
    <w:rsid w:val="00865658"/>
    <w:rsid w:val="00867EA4"/>
    <w:rsid w:val="00873894"/>
    <w:rsid w:val="00886192"/>
    <w:rsid w:val="008A08E9"/>
    <w:rsid w:val="008A16C0"/>
    <w:rsid w:val="008D1B1B"/>
    <w:rsid w:val="008D51C2"/>
    <w:rsid w:val="008E3840"/>
    <w:rsid w:val="00902F7F"/>
    <w:rsid w:val="00905893"/>
    <w:rsid w:val="00914DA7"/>
    <w:rsid w:val="00916BD9"/>
    <w:rsid w:val="00917170"/>
    <w:rsid w:val="00934A07"/>
    <w:rsid w:val="00934F72"/>
    <w:rsid w:val="0094419D"/>
    <w:rsid w:val="0094702A"/>
    <w:rsid w:val="009473B6"/>
    <w:rsid w:val="00947C3D"/>
    <w:rsid w:val="0099446C"/>
    <w:rsid w:val="009A78CE"/>
    <w:rsid w:val="009B2397"/>
    <w:rsid w:val="009B6A95"/>
    <w:rsid w:val="009C27EA"/>
    <w:rsid w:val="009C5CA3"/>
    <w:rsid w:val="009D121D"/>
    <w:rsid w:val="009F2509"/>
    <w:rsid w:val="00A02B39"/>
    <w:rsid w:val="00A1679B"/>
    <w:rsid w:val="00A4031E"/>
    <w:rsid w:val="00A60734"/>
    <w:rsid w:val="00A75E92"/>
    <w:rsid w:val="00AA11D2"/>
    <w:rsid w:val="00AA3215"/>
    <w:rsid w:val="00AB1DB8"/>
    <w:rsid w:val="00AC2E39"/>
    <w:rsid w:val="00AD65A0"/>
    <w:rsid w:val="00AE619F"/>
    <w:rsid w:val="00AF2107"/>
    <w:rsid w:val="00B014B8"/>
    <w:rsid w:val="00B2225E"/>
    <w:rsid w:val="00B3772D"/>
    <w:rsid w:val="00B37C16"/>
    <w:rsid w:val="00B4067A"/>
    <w:rsid w:val="00B541EF"/>
    <w:rsid w:val="00B76671"/>
    <w:rsid w:val="00B90898"/>
    <w:rsid w:val="00BB156F"/>
    <w:rsid w:val="00BD1A25"/>
    <w:rsid w:val="00BF5DF7"/>
    <w:rsid w:val="00C06D4A"/>
    <w:rsid w:val="00C1284C"/>
    <w:rsid w:val="00C21CFF"/>
    <w:rsid w:val="00C34AD7"/>
    <w:rsid w:val="00C661D7"/>
    <w:rsid w:val="00C72078"/>
    <w:rsid w:val="00C802D0"/>
    <w:rsid w:val="00C82F23"/>
    <w:rsid w:val="00C833EB"/>
    <w:rsid w:val="00C85057"/>
    <w:rsid w:val="00C964DC"/>
    <w:rsid w:val="00CA2BD2"/>
    <w:rsid w:val="00CA37B3"/>
    <w:rsid w:val="00CA4A28"/>
    <w:rsid w:val="00CA612C"/>
    <w:rsid w:val="00CB0797"/>
    <w:rsid w:val="00CE1FBE"/>
    <w:rsid w:val="00D101EA"/>
    <w:rsid w:val="00D11C2A"/>
    <w:rsid w:val="00D227DB"/>
    <w:rsid w:val="00D35DA7"/>
    <w:rsid w:val="00D551DF"/>
    <w:rsid w:val="00D561A7"/>
    <w:rsid w:val="00D6018F"/>
    <w:rsid w:val="00D62B48"/>
    <w:rsid w:val="00D730D9"/>
    <w:rsid w:val="00D811B8"/>
    <w:rsid w:val="00D93B4C"/>
    <w:rsid w:val="00DB79A0"/>
    <w:rsid w:val="00DC0325"/>
    <w:rsid w:val="00DC706F"/>
    <w:rsid w:val="00DD02E7"/>
    <w:rsid w:val="00DE46FD"/>
    <w:rsid w:val="00DE6980"/>
    <w:rsid w:val="00E04BF0"/>
    <w:rsid w:val="00E05179"/>
    <w:rsid w:val="00E0764E"/>
    <w:rsid w:val="00E14352"/>
    <w:rsid w:val="00E25B84"/>
    <w:rsid w:val="00E3351C"/>
    <w:rsid w:val="00E33A5A"/>
    <w:rsid w:val="00E52BB7"/>
    <w:rsid w:val="00E8301C"/>
    <w:rsid w:val="00E958AD"/>
    <w:rsid w:val="00EA1555"/>
    <w:rsid w:val="00EB4B0A"/>
    <w:rsid w:val="00EC2F0D"/>
    <w:rsid w:val="00EE0679"/>
    <w:rsid w:val="00EE17D1"/>
    <w:rsid w:val="00EE51B0"/>
    <w:rsid w:val="00EE5BCC"/>
    <w:rsid w:val="00EF1FAE"/>
    <w:rsid w:val="00EF25E4"/>
    <w:rsid w:val="00EF3BB9"/>
    <w:rsid w:val="00F06E90"/>
    <w:rsid w:val="00F108E4"/>
    <w:rsid w:val="00F1503B"/>
    <w:rsid w:val="00F152DE"/>
    <w:rsid w:val="00F20CD8"/>
    <w:rsid w:val="00F30BD0"/>
    <w:rsid w:val="00F4633A"/>
    <w:rsid w:val="00F5039C"/>
    <w:rsid w:val="00F52082"/>
    <w:rsid w:val="00F60A07"/>
    <w:rsid w:val="00F62922"/>
    <w:rsid w:val="00F6360D"/>
    <w:rsid w:val="00F63931"/>
    <w:rsid w:val="00FA2632"/>
    <w:rsid w:val="00FB6CBE"/>
    <w:rsid w:val="00FD1C31"/>
    <w:rsid w:val="00FD371B"/>
    <w:rsid w:val="00FE5ABA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76C67"/>
  <w15:docId w15:val="{9DE6FC0E-0ADB-4C39-B61B-B852715D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Cs w:val="20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rödtext NES2017"/>
    <w:basedOn w:val="Normal"/>
    <w:semiHidden/>
    <w:rsid w:val="00865658"/>
    <w:pPr>
      <w:ind w:firstLine="567"/>
    </w:pPr>
    <w:rPr>
      <w:sz w:val="22"/>
      <w:szCs w:val="20"/>
      <w:lang w:val="en-GB" w:eastAsia="en-US"/>
    </w:rPr>
  </w:style>
  <w:style w:type="paragraph" w:styleId="BodyTextIndent2">
    <w:name w:val="Body Text Indent 2"/>
    <w:basedOn w:val="Normal"/>
    <w:semiHidden/>
    <w:pPr>
      <w:ind w:firstLine="851"/>
    </w:pPr>
    <w:rPr>
      <w:sz w:val="22"/>
      <w:szCs w:val="20"/>
      <w:lang w:eastAsia="en-US"/>
    </w:rPr>
  </w:style>
  <w:style w:type="paragraph" w:styleId="BodyTextIndent3">
    <w:name w:val="Body Text Indent 3"/>
    <w:basedOn w:val="Normal"/>
    <w:semiHidden/>
    <w:pPr>
      <w:ind w:firstLine="567"/>
    </w:pPr>
    <w:rPr>
      <w:sz w:val="22"/>
      <w:szCs w:val="20"/>
      <w:lang w:eastAsia="en-US"/>
    </w:rPr>
  </w:style>
  <w:style w:type="paragraph" w:styleId="BodyTextIndent">
    <w:name w:val="Body Text Indent"/>
    <w:basedOn w:val="Normal"/>
    <w:semiHidden/>
    <w:pPr>
      <w:ind w:firstLine="170"/>
    </w:pPr>
    <w:rPr>
      <w:sz w:val="22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AB1DB8"/>
    <w:pPr>
      <w:spacing w:before="100" w:beforeAutospacing="1" w:after="100" w:afterAutospacing="1"/>
    </w:pPr>
    <w:rPr>
      <w:lang w:eastAsia="zh-CN"/>
    </w:rPr>
  </w:style>
  <w:style w:type="paragraph" w:customStyle="1" w:styleId="AbstractNES">
    <w:name w:val="Abstract NES"/>
    <w:basedOn w:val="Normal"/>
    <w:rsid w:val="00AB1DB8"/>
    <w:pPr>
      <w:ind w:left="567" w:right="567"/>
      <w:jc w:val="both"/>
    </w:pPr>
    <w:rPr>
      <w:i/>
      <w:lang w:val="sv-SE" w:eastAsia="sv-SE"/>
    </w:rPr>
  </w:style>
  <w:style w:type="character" w:customStyle="1" w:styleId="st1">
    <w:name w:val="st1"/>
    <w:rsid w:val="00AB1DB8"/>
  </w:style>
  <w:style w:type="paragraph" w:customStyle="1" w:styleId="Heading1-NES2007">
    <w:name w:val="Heading 1 - NES2007"/>
    <w:basedOn w:val="Normal"/>
    <w:rsid w:val="00040FCD"/>
    <w:pPr>
      <w:numPr>
        <w:numId w:val="1"/>
      </w:numPr>
    </w:pPr>
    <w:rPr>
      <w:b/>
      <w:lang w:val="en-US" w:eastAsia="sv-SE"/>
    </w:rPr>
  </w:style>
  <w:style w:type="paragraph" w:customStyle="1" w:styleId="Heading2-NES2007">
    <w:name w:val="Heading 2 - NES2007"/>
    <w:basedOn w:val="Heading1-NES2007"/>
    <w:rsid w:val="00040FCD"/>
    <w:pPr>
      <w:numPr>
        <w:ilvl w:val="1"/>
      </w:numPr>
    </w:pPr>
    <w:rPr>
      <w:b w:val="0"/>
      <w:i/>
    </w:rPr>
  </w:style>
  <w:style w:type="paragraph" w:customStyle="1" w:styleId="Heading3-NES2007">
    <w:name w:val="Heading 3 - NES2007"/>
    <w:basedOn w:val="Heading1-NES2007"/>
    <w:rsid w:val="00040FCD"/>
    <w:pPr>
      <w:numPr>
        <w:ilvl w:val="2"/>
      </w:numPr>
    </w:pPr>
    <w:rPr>
      <w:b w:val="0"/>
      <w:i/>
    </w:rPr>
  </w:style>
  <w:style w:type="character" w:styleId="Hyperlink">
    <w:name w:val="Hyperlink"/>
    <w:uiPriority w:val="99"/>
    <w:unhideWhenUsed/>
    <w:rsid w:val="0054585B"/>
    <w:rPr>
      <w:color w:val="0000FF"/>
      <w:u w:val="single"/>
    </w:rPr>
  </w:style>
  <w:style w:type="table" w:styleId="TableGrid">
    <w:name w:val="Table Grid"/>
    <w:basedOn w:val="TableNormal"/>
    <w:uiPriority w:val="59"/>
    <w:rsid w:val="006A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91D9B"/>
  </w:style>
  <w:style w:type="character" w:customStyle="1" w:styleId="FootnoteTextChar">
    <w:name w:val="Footnote Text Char"/>
    <w:link w:val="FootnoteText"/>
    <w:uiPriority w:val="99"/>
    <w:rsid w:val="00091D9B"/>
    <w:rPr>
      <w:sz w:val="24"/>
      <w:szCs w:val="24"/>
      <w:lang w:val="nb-NO" w:eastAsia="nb-NO"/>
    </w:rPr>
  </w:style>
  <w:style w:type="character" w:styleId="FootnoteReference">
    <w:name w:val="footnote reference"/>
    <w:uiPriority w:val="99"/>
    <w:unhideWhenUsed/>
    <w:rsid w:val="00091D9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84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D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4D49"/>
    <w:rPr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D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4D49"/>
    <w:rPr>
      <w:b/>
      <w:bCs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4D49"/>
    <w:rPr>
      <w:rFonts w:ascii="Segoe UI" w:hAnsi="Segoe UI" w:cs="Segoe UI"/>
      <w:sz w:val="18"/>
      <w:szCs w:val="18"/>
      <w:lang w:val="nb-NO" w:eastAsia="nb-NO"/>
    </w:rPr>
  </w:style>
  <w:style w:type="paragraph" w:styleId="Revision">
    <w:name w:val="Revision"/>
    <w:hidden/>
    <w:uiPriority w:val="99"/>
    <w:semiHidden/>
    <w:rsid w:val="009B6A95"/>
    <w:rPr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0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40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99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NES-2010 conference publications format</vt:lpstr>
    </vt:vector>
  </TitlesOfParts>
  <Company>Universitetet i Oslo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NES-2010 conference publications format</dc:title>
  <dc:creator>Knut Inge</dc:creator>
  <cp:lastModifiedBy>Ralph Gordon</cp:lastModifiedBy>
  <cp:revision>7</cp:revision>
  <cp:lastPrinted>2019-03-13T18:10:00Z</cp:lastPrinted>
  <dcterms:created xsi:type="dcterms:W3CDTF">2019-04-30T09:43:00Z</dcterms:created>
  <dcterms:modified xsi:type="dcterms:W3CDTF">2019-05-03T19:56:00Z</dcterms:modified>
</cp:coreProperties>
</file>