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68A2" w14:textId="770E125D" w:rsidR="009F0065" w:rsidRPr="00FE224D" w:rsidRDefault="00EC381A" w:rsidP="00F042E0">
      <w:pPr>
        <w:jc w:val="center"/>
        <w:rPr>
          <w:sz w:val="32"/>
          <w:szCs w:val="32"/>
        </w:rPr>
      </w:pPr>
      <w:r>
        <w:rPr>
          <w:rFonts w:ascii="Arial" w:hAnsi="Arial" w:cs="Arial"/>
          <w:b/>
          <w:bCs/>
          <w:sz w:val="32"/>
          <w:szCs w:val="32"/>
        </w:rPr>
        <w:t>Obesity and</w:t>
      </w:r>
      <w:r w:rsidR="001C70BD" w:rsidRPr="00FE224D">
        <w:rPr>
          <w:rFonts w:ascii="Arial" w:hAnsi="Arial" w:cs="Arial"/>
          <w:b/>
          <w:bCs/>
          <w:sz w:val="32"/>
          <w:szCs w:val="32"/>
        </w:rPr>
        <w:t xml:space="preserve"> Schizophrenia:</w:t>
      </w:r>
      <w:r w:rsidR="00114572">
        <w:rPr>
          <w:rFonts w:ascii="Arial" w:hAnsi="Arial" w:cs="Arial"/>
          <w:b/>
          <w:bCs/>
          <w:sz w:val="32"/>
          <w:szCs w:val="32"/>
        </w:rPr>
        <w:t xml:space="preserve"> </w:t>
      </w:r>
      <w:r w:rsidR="001C70BD" w:rsidRPr="00FE224D">
        <w:rPr>
          <w:rFonts w:ascii="Arial" w:hAnsi="Arial" w:cs="Arial"/>
          <w:b/>
          <w:bCs/>
          <w:sz w:val="32"/>
          <w:szCs w:val="32"/>
        </w:rPr>
        <w:t>Results</w:t>
      </w:r>
      <w:r w:rsidR="00E939D6" w:rsidRPr="00FE224D">
        <w:rPr>
          <w:rFonts w:ascii="Arial" w:hAnsi="Arial" w:cs="Arial"/>
          <w:b/>
          <w:bCs/>
          <w:sz w:val="32"/>
          <w:szCs w:val="32"/>
        </w:rPr>
        <w:t xml:space="preserve"> of</w:t>
      </w:r>
      <w:r w:rsidR="001C70BD" w:rsidRPr="00FE224D">
        <w:rPr>
          <w:rFonts w:ascii="Arial" w:hAnsi="Arial" w:cs="Arial"/>
          <w:b/>
          <w:bCs/>
          <w:sz w:val="32"/>
          <w:szCs w:val="32"/>
        </w:rPr>
        <w:t xml:space="preserve"> a </w:t>
      </w:r>
      <w:r w:rsidR="0048366D" w:rsidRPr="00FE224D">
        <w:rPr>
          <w:rFonts w:ascii="Arial" w:hAnsi="Arial" w:cs="Arial"/>
          <w:b/>
          <w:bCs/>
          <w:sz w:val="32"/>
          <w:szCs w:val="32"/>
        </w:rPr>
        <w:t>Feasibility</w:t>
      </w:r>
      <w:r w:rsidR="001C70BD" w:rsidRPr="00FE224D">
        <w:rPr>
          <w:rFonts w:ascii="Arial" w:hAnsi="Arial" w:cs="Arial"/>
          <w:b/>
          <w:bCs/>
          <w:sz w:val="32"/>
          <w:szCs w:val="32"/>
        </w:rPr>
        <w:t xml:space="preserve"> Study</w:t>
      </w:r>
      <w:r w:rsidR="00114572">
        <w:rPr>
          <w:rFonts w:ascii="Arial" w:hAnsi="Arial" w:cs="Arial"/>
          <w:b/>
          <w:bCs/>
          <w:sz w:val="32"/>
          <w:szCs w:val="32"/>
        </w:rPr>
        <w:t xml:space="preserve"> with </w:t>
      </w:r>
      <w:proofErr w:type="spellStart"/>
      <w:r w:rsidR="00114572">
        <w:rPr>
          <w:rFonts w:ascii="Arial" w:hAnsi="Arial" w:cs="Arial"/>
          <w:b/>
          <w:bCs/>
          <w:sz w:val="32"/>
          <w:szCs w:val="32"/>
        </w:rPr>
        <w:t>Semaglutide</w:t>
      </w:r>
      <w:proofErr w:type="spellEnd"/>
      <w:r w:rsidR="00114572">
        <w:rPr>
          <w:rFonts w:ascii="Arial" w:hAnsi="Arial" w:cs="Arial"/>
          <w:b/>
          <w:bCs/>
          <w:sz w:val="32"/>
          <w:szCs w:val="32"/>
        </w:rPr>
        <w:t xml:space="preserve"> to Assist Weight Loss</w:t>
      </w:r>
    </w:p>
    <w:p w14:paraId="13128A14" w14:textId="77777777" w:rsidR="00FC5606" w:rsidRPr="000D497D" w:rsidRDefault="00FC5606" w:rsidP="00FC5606">
      <w:pPr>
        <w:spacing w:after="0" w:line="480" w:lineRule="auto"/>
        <w:jc w:val="both"/>
        <w:rPr>
          <w:b/>
          <w:bCs/>
          <w:color w:val="000000" w:themeColor="text1"/>
        </w:rPr>
      </w:pPr>
    </w:p>
    <w:p w14:paraId="4947E680" w14:textId="42845580" w:rsidR="00FC5606" w:rsidRPr="00FC5606" w:rsidRDefault="00FC5606" w:rsidP="001E247E">
      <w:pPr>
        <w:spacing w:after="0" w:line="480" w:lineRule="auto"/>
        <w:jc w:val="center"/>
        <w:rPr>
          <w:rFonts w:ascii="Arial" w:hAnsi="Arial" w:cs="Arial"/>
          <w:color w:val="000000" w:themeColor="text1"/>
          <w:sz w:val="24"/>
          <w:szCs w:val="24"/>
        </w:rPr>
      </w:pPr>
      <w:r w:rsidRPr="00FC5606">
        <w:rPr>
          <w:rFonts w:ascii="Arial" w:hAnsi="Arial" w:cs="Arial"/>
          <w:b/>
          <w:bCs/>
          <w:caps/>
          <w:color w:val="000000" w:themeColor="text1"/>
          <w:sz w:val="24"/>
          <w:szCs w:val="24"/>
        </w:rPr>
        <w:t>Running title</w:t>
      </w:r>
      <w:r w:rsidRPr="00FC5606">
        <w:rPr>
          <w:rFonts w:ascii="Arial" w:hAnsi="Arial" w:cs="Arial"/>
          <w:color w:val="000000" w:themeColor="text1"/>
          <w:sz w:val="24"/>
          <w:szCs w:val="24"/>
        </w:rPr>
        <w:t xml:space="preserve">: </w:t>
      </w:r>
      <w:r w:rsidR="004C2440">
        <w:rPr>
          <w:rFonts w:ascii="Arial" w:hAnsi="Arial" w:cs="Arial"/>
          <w:b/>
          <w:bCs/>
          <w:sz w:val="24"/>
          <w:szCs w:val="24"/>
        </w:rPr>
        <w:t>GLP-1</w:t>
      </w:r>
      <w:r w:rsidRPr="00FC5606">
        <w:rPr>
          <w:rFonts w:ascii="Arial" w:hAnsi="Arial" w:cs="Arial"/>
          <w:b/>
          <w:bCs/>
          <w:sz w:val="24"/>
          <w:szCs w:val="24"/>
        </w:rPr>
        <w:t xml:space="preserve"> Therapy for Obesity in Schizophrenia</w:t>
      </w:r>
    </w:p>
    <w:p w14:paraId="0D70C413" w14:textId="77777777" w:rsidR="009F0065" w:rsidRPr="00FE224D" w:rsidRDefault="009F0065" w:rsidP="00F042E0">
      <w:pPr>
        <w:jc w:val="center"/>
        <w:rPr>
          <w:color w:val="000000" w:themeColor="text1"/>
          <w:sz w:val="32"/>
          <w:szCs w:val="32"/>
        </w:rPr>
      </w:pPr>
    </w:p>
    <w:p w14:paraId="498A921E" w14:textId="77777777" w:rsidR="009F0065" w:rsidRPr="00333E89" w:rsidRDefault="009F0065" w:rsidP="009F0065">
      <w:pPr>
        <w:jc w:val="center"/>
        <w:rPr>
          <w:color w:val="000000" w:themeColor="text1"/>
          <w:sz w:val="28"/>
          <w:szCs w:val="28"/>
        </w:rPr>
      </w:pPr>
    </w:p>
    <w:p w14:paraId="39DB2E35" w14:textId="77777777" w:rsidR="0048366D" w:rsidRDefault="0048366D" w:rsidP="009F0065">
      <w:pPr>
        <w:jc w:val="center"/>
        <w:rPr>
          <w:color w:val="000000" w:themeColor="text1"/>
          <w:sz w:val="28"/>
          <w:szCs w:val="28"/>
        </w:rPr>
      </w:pPr>
    </w:p>
    <w:p w14:paraId="0243F2EC" w14:textId="4B9CE6F4" w:rsidR="00BE0947" w:rsidRPr="0079776C" w:rsidRDefault="0048366D" w:rsidP="009F0065">
      <w:pPr>
        <w:jc w:val="center"/>
        <w:rPr>
          <w:color w:val="000000" w:themeColor="text1"/>
          <w:sz w:val="28"/>
          <w:szCs w:val="28"/>
          <w:vertAlign w:val="superscript"/>
        </w:rPr>
      </w:pPr>
      <w:r>
        <w:rPr>
          <w:color w:val="000000" w:themeColor="text1"/>
          <w:sz w:val="28"/>
          <w:szCs w:val="28"/>
        </w:rPr>
        <w:t xml:space="preserve">Adrian H. </w:t>
      </w:r>
      <w:r w:rsidR="00333E89" w:rsidRPr="00333E89">
        <w:rPr>
          <w:color w:val="000000" w:themeColor="text1"/>
          <w:sz w:val="28"/>
          <w:szCs w:val="28"/>
        </w:rPr>
        <w:t>Heald</w:t>
      </w:r>
      <w:r w:rsidR="00072CAB">
        <w:rPr>
          <w:color w:val="000000" w:themeColor="text1"/>
          <w:sz w:val="28"/>
          <w:szCs w:val="28"/>
          <w:vertAlign w:val="superscript"/>
        </w:rPr>
        <w:t>1,2</w:t>
      </w:r>
      <w:r w:rsidR="00333E89" w:rsidRPr="00333E89">
        <w:rPr>
          <w:color w:val="000000" w:themeColor="text1"/>
          <w:sz w:val="28"/>
          <w:szCs w:val="28"/>
        </w:rPr>
        <w:t xml:space="preserve">, </w:t>
      </w:r>
      <w:r w:rsidR="00F95C6C">
        <w:rPr>
          <w:color w:val="000000" w:themeColor="text1"/>
          <w:sz w:val="28"/>
          <w:szCs w:val="28"/>
        </w:rPr>
        <w:t>Gavin Reynolds</w:t>
      </w:r>
      <w:r w:rsidR="00F95C6C">
        <w:rPr>
          <w:color w:val="000000" w:themeColor="text1"/>
          <w:sz w:val="28"/>
          <w:szCs w:val="28"/>
          <w:vertAlign w:val="superscript"/>
        </w:rPr>
        <w:t>3</w:t>
      </w:r>
      <w:r w:rsidR="00F95C6C">
        <w:rPr>
          <w:color w:val="000000" w:themeColor="text1"/>
          <w:sz w:val="28"/>
          <w:szCs w:val="28"/>
        </w:rPr>
        <w:t xml:space="preserve">, </w:t>
      </w:r>
      <w:r>
        <w:rPr>
          <w:color w:val="000000" w:themeColor="text1"/>
          <w:sz w:val="28"/>
          <w:szCs w:val="28"/>
        </w:rPr>
        <w:t xml:space="preserve">Isabel </w:t>
      </w:r>
      <w:r w:rsidR="00333E89" w:rsidRPr="00333E89">
        <w:rPr>
          <w:color w:val="000000" w:themeColor="text1"/>
          <w:sz w:val="28"/>
          <w:szCs w:val="28"/>
        </w:rPr>
        <w:t>Nash</w:t>
      </w:r>
      <w:r w:rsidR="00F95C6C">
        <w:rPr>
          <w:color w:val="000000" w:themeColor="text1"/>
          <w:sz w:val="28"/>
          <w:szCs w:val="28"/>
          <w:vertAlign w:val="superscript"/>
        </w:rPr>
        <w:t>4</w:t>
      </w:r>
      <w:r w:rsidR="00333E89" w:rsidRPr="00333E89">
        <w:rPr>
          <w:color w:val="000000" w:themeColor="text1"/>
          <w:sz w:val="28"/>
          <w:szCs w:val="28"/>
        </w:rPr>
        <w:t xml:space="preserve">, </w:t>
      </w:r>
      <w:r w:rsidR="00C27B50">
        <w:rPr>
          <w:color w:val="000000" w:themeColor="text1"/>
          <w:sz w:val="28"/>
          <w:szCs w:val="28"/>
        </w:rPr>
        <w:t>Onagh</w:t>
      </w:r>
      <w:r w:rsidR="006B1E0C">
        <w:rPr>
          <w:color w:val="000000" w:themeColor="text1"/>
          <w:sz w:val="28"/>
          <w:szCs w:val="28"/>
        </w:rPr>
        <w:t xml:space="preserve"> Boyle</w:t>
      </w:r>
      <w:r w:rsidR="00F95C6C">
        <w:rPr>
          <w:color w:val="000000" w:themeColor="text1"/>
          <w:sz w:val="28"/>
          <w:szCs w:val="28"/>
          <w:vertAlign w:val="superscript"/>
        </w:rPr>
        <w:t>4</w:t>
      </w:r>
      <w:r w:rsidR="00C27B50">
        <w:rPr>
          <w:color w:val="000000" w:themeColor="text1"/>
          <w:sz w:val="28"/>
          <w:szCs w:val="28"/>
        </w:rPr>
        <w:t xml:space="preserve">, </w:t>
      </w:r>
      <w:r w:rsidR="00503614">
        <w:rPr>
          <w:color w:val="000000" w:themeColor="text1"/>
          <w:sz w:val="28"/>
          <w:szCs w:val="28"/>
        </w:rPr>
        <w:t>Chris Daly</w:t>
      </w:r>
      <w:r w:rsidR="00F95C6C">
        <w:rPr>
          <w:color w:val="000000" w:themeColor="text1"/>
          <w:sz w:val="28"/>
          <w:szCs w:val="28"/>
          <w:vertAlign w:val="superscript"/>
        </w:rPr>
        <w:t>4</w:t>
      </w:r>
      <w:r w:rsidR="00503614">
        <w:rPr>
          <w:color w:val="000000" w:themeColor="text1"/>
          <w:sz w:val="28"/>
          <w:szCs w:val="28"/>
        </w:rPr>
        <w:t xml:space="preserve">, </w:t>
      </w:r>
      <w:r w:rsidR="00907DC4">
        <w:rPr>
          <w:color w:val="000000" w:themeColor="text1"/>
          <w:sz w:val="28"/>
          <w:szCs w:val="28"/>
        </w:rPr>
        <w:t>Damien Longson</w:t>
      </w:r>
      <w:r w:rsidR="00F95C6C" w:rsidRPr="00F95C6C">
        <w:rPr>
          <w:color w:val="000000" w:themeColor="text1"/>
          <w:sz w:val="28"/>
          <w:szCs w:val="28"/>
          <w:vertAlign w:val="superscript"/>
        </w:rPr>
        <w:t>1,4</w:t>
      </w:r>
      <w:r w:rsidR="00907DC4">
        <w:rPr>
          <w:color w:val="000000" w:themeColor="text1"/>
          <w:sz w:val="28"/>
          <w:szCs w:val="28"/>
        </w:rPr>
        <w:t xml:space="preserve">, </w:t>
      </w:r>
      <w:r w:rsidR="00EC381A">
        <w:rPr>
          <w:color w:val="000000" w:themeColor="text1"/>
          <w:sz w:val="28"/>
          <w:szCs w:val="28"/>
        </w:rPr>
        <w:t>Donal O’Shea</w:t>
      </w:r>
      <w:r w:rsidR="0079776C">
        <w:rPr>
          <w:color w:val="000000" w:themeColor="text1"/>
          <w:sz w:val="28"/>
          <w:szCs w:val="28"/>
          <w:vertAlign w:val="superscript"/>
        </w:rPr>
        <w:t>5</w:t>
      </w:r>
      <w:r w:rsidR="00EC381A">
        <w:rPr>
          <w:color w:val="000000" w:themeColor="text1"/>
          <w:sz w:val="28"/>
          <w:szCs w:val="28"/>
        </w:rPr>
        <w:t xml:space="preserve">, </w:t>
      </w:r>
      <w:r w:rsidR="0079776C">
        <w:rPr>
          <w:color w:val="000000" w:themeColor="text1"/>
          <w:sz w:val="28"/>
          <w:szCs w:val="28"/>
        </w:rPr>
        <w:t>J</w:t>
      </w:r>
      <w:r w:rsidR="00700FE2">
        <w:rPr>
          <w:color w:val="000000" w:themeColor="text1"/>
          <w:sz w:val="28"/>
          <w:szCs w:val="28"/>
        </w:rPr>
        <w:t>oseph Ingram</w:t>
      </w:r>
      <w:r w:rsidR="0079776C">
        <w:rPr>
          <w:color w:val="000000" w:themeColor="text1"/>
          <w:sz w:val="28"/>
          <w:szCs w:val="28"/>
          <w:vertAlign w:val="superscript"/>
        </w:rPr>
        <w:t>4</w:t>
      </w:r>
      <w:r w:rsidR="00700FE2">
        <w:rPr>
          <w:color w:val="000000" w:themeColor="text1"/>
          <w:sz w:val="28"/>
          <w:szCs w:val="28"/>
        </w:rPr>
        <w:t xml:space="preserve">, </w:t>
      </w:r>
      <w:r w:rsidR="0079776C">
        <w:rPr>
          <w:color w:val="000000" w:themeColor="text1"/>
          <w:sz w:val="28"/>
          <w:szCs w:val="28"/>
        </w:rPr>
        <w:t>Richard Holt</w:t>
      </w:r>
      <w:r w:rsidR="0079776C">
        <w:rPr>
          <w:color w:val="000000" w:themeColor="text1"/>
          <w:sz w:val="28"/>
          <w:szCs w:val="28"/>
          <w:vertAlign w:val="superscript"/>
        </w:rPr>
        <w:t>6</w:t>
      </w:r>
      <w:r w:rsidR="0079776C">
        <w:rPr>
          <w:color w:val="000000" w:themeColor="text1"/>
          <w:sz w:val="28"/>
          <w:szCs w:val="28"/>
        </w:rPr>
        <w:t xml:space="preserve">, </w:t>
      </w:r>
      <w:r>
        <w:rPr>
          <w:color w:val="000000" w:themeColor="text1"/>
          <w:sz w:val="28"/>
          <w:szCs w:val="28"/>
        </w:rPr>
        <w:t xml:space="preserve">Joseph </w:t>
      </w:r>
      <w:r w:rsidR="00333E89" w:rsidRPr="00333E89">
        <w:rPr>
          <w:color w:val="000000" w:themeColor="text1"/>
          <w:sz w:val="28"/>
          <w:szCs w:val="28"/>
        </w:rPr>
        <w:t>Firth</w:t>
      </w:r>
      <w:r w:rsidR="00F95C6C">
        <w:rPr>
          <w:color w:val="000000" w:themeColor="text1"/>
          <w:sz w:val="28"/>
          <w:szCs w:val="28"/>
          <w:vertAlign w:val="superscript"/>
        </w:rPr>
        <w:t>4</w:t>
      </w:r>
      <w:r w:rsidR="00333E89" w:rsidRPr="00333E89">
        <w:rPr>
          <w:color w:val="000000" w:themeColor="text1"/>
          <w:sz w:val="28"/>
          <w:szCs w:val="28"/>
        </w:rPr>
        <w:t xml:space="preserve">, </w:t>
      </w:r>
      <w:r>
        <w:rPr>
          <w:color w:val="000000" w:themeColor="text1"/>
          <w:sz w:val="28"/>
          <w:szCs w:val="28"/>
        </w:rPr>
        <w:t xml:space="preserve">Mike </w:t>
      </w:r>
      <w:r w:rsidR="00333E89" w:rsidRPr="00333E89">
        <w:rPr>
          <w:color w:val="000000" w:themeColor="text1"/>
          <w:sz w:val="28"/>
          <w:szCs w:val="28"/>
        </w:rPr>
        <w:t>Stedman</w:t>
      </w:r>
      <w:r w:rsidR="0079776C">
        <w:rPr>
          <w:color w:val="000000" w:themeColor="text1"/>
          <w:sz w:val="28"/>
          <w:szCs w:val="28"/>
          <w:vertAlign w:val="superscript"/>
        </w:rPr>
        <w:t>7</w:t>
      </w:r>
      <w:r w:rsidR="00333E89" w:rsidRPr="00333E89">
        <w:rPr>
          <w:color w:val="000000" w:themeColor="text1"/>
          <w:sz w:val="28"/>
          <w:szCs w:val="28"/>
        </w:rPr>
        <w:t xml:space="preserve">, </w:t>
      </w:r>
      <w:r>
        <w:rPr>
          <w:color w:val="000000" w:themeColor="text1"/>
          <w:sz w:val="28"/>
          <w:szCs w:val="28"/>
        </w:rPr>
        <w:t xml:space="preserve">Akheel </w:t>
      </w:r>
      <w:r w:rsidR="00333E89" w:rsidRPr="00333E89">
        <w:rPr>
          <w:color w:val="000000" w:themeColor="text1"/>
          <w:sz w:val="28"/>
          <w:szCs w:val="28"/>
        </w:rPr>
        <w:t>Syed</w:t>
      </w:r>
      <w:r w:rsidR="00F95C6C">
        <w:rPr>
          <w:color w:val="000000" w:themeColor="text1"/>
          <w:sz w:val="28"/>
          <w:szCs w:val="28"/>
          <w:vertAlign w:val="superscript"/>
        </w:rPr>
        <w:t>1,2</w:t>
      </w:r>
      <w:r w:rsidR="00FA777D">
        <w:rPr>
          <w:color w:val="000000" w:themeColor="text1"/>
          <w:sz w:val="28"/>
          <w:szCs w:val="28"/>
        </w:rPr>
        <w:t xml:space="preserve">, </w:t>
      </w:r>
      <w:r>
        <w:rPr>
          <w:color w:val="000000" w:themeColor="text1"/>
          <w:sz w:val="28"/>
          <w:szCs w:val="28"/>
        </w:rPr>
        <w:t xml:space="preserve">Marc </w:t>
      </w:r>
      <w:r w:rsidR="00FA777D">
        <w:rPr>
          <w:color w:val="000000" w:themeColor="text1"/>
          <w:sz w:val="28"/>
          <w:szCs w:val="28"/>
        </w:rPr>
        <w:t>de Hert</w:t>
      </w:r>
      <w:r w:rsidR="0079776C">
        <w:rPr>
          <w:color w:val="000000" w:themeColor="text1"/>
          <w:sz w:val="28"/>
          <w:szCs w:val="28"/>
          <w:vertAlign w:val="superscript"/>
        </w:rPr>
        <w:t>8</w:t>
      </w:r>
    </w:p>
    <w:p w14:paraId="6D04461D" w14:textId="77777777" w:rsidR="009F0065" w:rsidRPr="000D497D" w:rsidRDefault="009F0065" w:rsidP="009F0065">
      <w:pPr>
        <w:jc w:val="center"/>
        <w:rPr>
          <w:color w:val="000000" w:themeColor="text1"/>
        </w:rPr>
      </w:pPr>
    </w:p>
    <w:p w14:paraId="7A9B1457" w14:textId="77777777" w:rsidR="009F0065" w:rsidRPr="000D497D" w:rsidRDefault="009F0065" w:rsidP="009F0065">
      <w:pPr>
        <w:jc w:val="center"/>
        <w:rPr>
          <w:color w:val="000000" w:themeColor="text1"/>
        </w:rPr>
      </w:pPr>
    </w:p>
    <w:p w14:paraId="7FDF601C" w14:textId="77777777" w:rsidR="009F0065" w:rsidRPr="000D497D" w:rsidRDefault="009F0065" w:rsidP="009F0065">
      <w:pPr>
        <w:jc w:val="center"/>
        <w:rPr>
          <w:color w:val="000000" w:themeColor="text1"/>
        </w:rPr>
      </w:pPr>
    </w:p>
    <w:p w14:paraId="03CAE689" w14:textId="14D0CD44" w:rsidR="00BE0947" w:rsidRPr="006172A3" w:rsidRDefault="00BE0947" w:rsidP="0079776C">
      <w:pPr>
        <w:jc w:val="center"/>
        <w:rPr>
          <w:rFonts w:ascii="Arial" w:hAnsi="Arial" w:cs="Arial"/>
          <w:color w:val="FF0000"/>
          <w:sz w:val="24"/>
          <w:szCs w:val="24"/>
        </w:rPr>
      </w:pPr>
      <w:r w:rsidRPr="006172A3">
        <w:rPr>
          <w:rFonts w:ascii="Arial" w:hAnsi="Arial" w:cs="Arial"/>
          <w:sz w:val="24"/>
          <w:szCs w:val="24"/>
          <w:vertAlign w:val="superscript"/>
        </w:rPr>
        <w:t>1</w:t>
      </w:r>
      <w:r w:rsidRPr="006172A3">
        <w:rPr>
          <w:rFonts w:ascii="Arial" w:hAnsi="Arial" w:cs="Arial"/>
          <w:sz w:val="24"/>
          <w:szCs w:val="24"/>
        </w:rPr>
        <w:t>University of Manchester, Manchester</w:t>
      </w:r>
      <w:r w:rsidR="00EC381A" w:rsidRPr="006172A3">
        <w:rPr>
          <w:rFonts w:ascii="Arial" w:hAnsi="Arial" w:cs="Arial"/>
          <w:sz w:val="24"/>
          <w:szCs w:val="24"/>
        </w:rPr>
        <w:t>, UK</w:t>
      </w:r>
      <w:r w:rsidR="009F0065" w:rsidRPr="006172A3">
        <w:rPr>
          <w:rFonts w:ascii="Arial" w:hAnsi="Arial" w:cs="Arial"/>
          <w:sz w:val="24"/>
          <w:szCs w:val="24"/>
        </w:rPr>
        <w:t xml:space="preserve">; </w:t>
      </w:r>
      <w:r w:rsidR="0048366D" w:rsidRPr="006172A3">
        <w:rPr>
          <w:rFonts w:ascii="Arial" w:hAnsi="Arial" w:cs="Arial"/>
          <w:sz w:val="24"/>
          <w:szCs w:val="24"/>
          <w:vertAlign w:val="superscript"/>
        </w:rPr>
        <w:t>2</w:t>
      </w:r>
      <w:r w:rsidR="009F0065" w:rsidRPr="006172A3">
        <w:rPr>
          <w:rFonts w:ascii="Arial" w:hAnsi="Arial" w:cs="Arial"/>
          <w:sz w:val="24"/>
          <w:szCs w:val="24"/>
        </w:rPr>
        <w:t>Salford Royal Hospital, Salford</w:t>
      </w:r>
      <w:r w:rsidR="00EC381A" w:rsidRPr="006172A3">
        <w:rPr>
          <w:rFonts w:ascii="Arial" w:hAnsi="Arial" w:cs="Arial"/>
          <w:sz w:val="24"/>
          <w:szCs w:val="24"/>
        </w:rPr>
        <w:t>, UK;</w:t>
      </w:r>
      <w:r w:rsidR="00F95C6C" w:rsidRPr="006172A3">
        <w:rPr>
          <w:rFonts w:ascii="Arial" w:hAnsi="Arial" w:cs="Arial"/>
          <w:sz w:val="24"/>
          <w:szCs w:val="24"/>
        </w:rPr>
        <w:t xml:space="preserve"> </w:t>
      </w:r>
      <w:r w:rsidR="00F95C6C" w:rsidRPr="006172A3">
        <w:rPr>
          <w:rFonts w:ascii="Arial" w:hAnsi="Arial" w:cs="Arial"/>
          <w:sz w:val="24"/>
          <w:szCs w:val="24"/>
          <w:vertAlign w:val="superscript"/>
        </w:rPr>
        <w:t>3</w:t>
      </w:r>
      <w:r w:rsidR="00F95C6C" w:rsidRPr="006172A3">
        <w:rPr>
          <w:rFonts w:ascii="Arial" w:hAnsi="Arial" w:cs="Arial"/>
          <w:sz w:val="24"/>
          <w:szCs w:val="24"/>
        </w:rPr>
        <w:t>University of Sheffield, Sheffield</w:t>
      </w:r>
      <w:r w:rsidR="00711197">
        <w:rPr>
          <w:rFonts w:ascii="Arial" w:hAnsi="Arial" w:cs="Arial"/>
          <w:sz w:val="24"/>
          <w:szCs w:val="24"/>
        </w:rPr>
        <w:t>, UK</w:t>
      </w:r>
      <w:r w:rsidR="00EC381A" w:rsidRPr="006172A3">
        <w:rPr>
          <w:rFonts w:ascii="Arial" w:hAnsi="Arial" w:cs="Arial"/>
          <w:sz w:val="24"/>
          <w:szCs w:val="24"/>
        </w:rPr>
        <w:t>;</w:t>
      </w:r>
      <w:r w:rsidR="00F95C6C" w:rsidRPr="006172A3">
        <w:rPr>
          <w:rFonts w:ascii="Arial" w:hAnsi="Arial" w:cs="Arial"/>
          <w:sz w:val="24"/>
          <w:szCs w:val="24"/>
        </w:rPr>
        <w:t xml:space="preserve"> </w:t>
      </w:r>
      <w:r w:rsidR="00F95C6C" w:rsidRPr="006172A3">
        <w:rPr>
          <w:rFonts w:ascii="Arial" w:hAnsi="Arial" w:cs="Arial"/>
          <w:sz w:val="24"/>
          <w:szCs w:val="24"/>
          <w:vertAlign w:val="superscript"/>
        </w:rPr>
        <w:t>4</w:t>
      </w:r>
      <w:r w:rsidR="00F95C6C" w:rsidRPr="006172A3">
        <w:rPr>
          <w:rFonts w:ascii="Arial" w:hAnsi="Arial" w:cs="Arial"/>
          <w:sz w:val="24"/>
          <w:szCs w:val="24"/>
        </w:rPr>
        <w:t>Greater Manchester Mental Health, Manchester,</w:t>
      </w:r>
      <w:r w:rsidR="00EC381A" w:rsidRPr="006172A3">
        <w:rPr>
          <w:rFonts w:ascii="Arial" w:hAnsi="Arial" w:cs="Arial"/>
          <w:sz w:val="24"/>
          <w:szCs w:val="24"/>
        </w:rPr>
        <w:t xml:space="preserve"> UK; </w:t>
      </w:r>
      <w:proofErr w:type="gramStart"/>
      <w:r w:rsidR="00EC381A" w:rsidRPr="006172A3">
        <w:rPr>
          <w:rFonts w:ascii="Arial" w:hAnsi="Arial" w:cs="Arial"/>
          <w:sz w:val="24"/>
          <w:szCs w:val="24"/>
          <w:vertAlign w:val="superscript"/>
        </w:rPr>
        <w:t>5</w:t>
      </w:r>
      <w:r w:rsidR="007D3786" w:rsidRPr="006172A3">
        <w:rPr>
          <w:rFonts w:ascii="Arial" w:hAnsi="Arial" w:cs="Arial"/>
          <w:sz w:val="24"/>
          <w:szCs w:val="24"/>
        </w:rPr>
        <w:t>St</w:t>
      </w:r>
      <w:proofErr w:type="gramEnd"/>
      <w:r w:rsidR="007D3786" w:rsidRPr="006172A3">
        <w:rPr>
          <w:rFonts w:ascii="Arial" w:hAnsi="Arial" w:cs="Arial"/>
          <w:sz w:val="24"/>
          <w:szCs w:val="24"/>
        </w:rPr>
        <w:t xml:space="preserve"> </w:t>
      </w:r>
      <w:proofErr w:type="spellStart"/>
      <w:r w:rsidR="007D3786" w:rsidRPr="006172A3">
        <w:rPr>
          <w:rFonts w:ascii="Arial" w:hAnsi="Arial" w:cs="Arial"/>
          <w:sz w:val="24"/>
          <w:szCs w:val="24"/>
        </w:rPr>
        <w:t>Vincents</w:t>
      </w:r>
      <w:proofErr w:type="spellEnd"/>
      <w:r w:rsidR="007D3786" w:rsidRPr="006172A3">
        <w:rPr>
          <w:rFonts w:ascii="Arial" w:hAnsi="Arial" w:cs="Arial"/>
          <w:sz w:val="24"/>
          <w:szCs w:val="24"/>
        </w:rPr>
        <w:t xml:space="preserve"> Hospital, Dublin</w:t>
      </w:r>
      <w:r w:rsidR="00EC381A" w:rsidRPr="006172A3">
        <w:rPr>
          <w:rFonts w:ascii="Arial" w:hAnsi="Arial" w:cs="Arial"/>
          <w:sz w:val="24"/>
          <w:szCs w:val="24"/>
        </w:rPr>
        <w:t>. Eire;</w:t>
      </w:r>
      <w:r w:rsidR="00F95C6C" w:rsidRPr="006172A3">
        <w:rPr>
          <w:rFonts w:ascii="Arial" w:hAnsi="Arial" w:cs="Arial"/>
          <w:sz w:val="24"/>
          <w:szCs w:val="24"/>
        </w:rPr>
        <w:t xml:space="preserve"> </w:t>
      </w:r>
      <w:r w:rsidR="006172A3" w:rsidRPr="00803D1B">
        <w:rPr>
          <w:rFonts w:ascii="Arial" w:hAnsi="Arial" w:cs="Arial"/>
          <w:color w:val="000000" w:themeColor="text1"/>
          <w:sz w:val="24"/>
          <w:szCs w:val="24"/>
          <w:vertAlign w:val="superscript"/>
        </w:rPr>
        <w:t>6</w:t>
      </w:r>
      <w:r w:rsidR="00803D1B" w:rsidRPr="00803D1B">
        <w:rPr>
          <w:rFonts w:ascii="Arial" w:hAnsi="Arial" w:cs="Arial"/>
          <w:color w:val="000000" w:themeColor="text1"/>
          <w:sz w:val="24"/>
          <w:szCs w:val="24"/>
        </w:rPr>
        <w:t>University of</w:t>
      </w:r>
      <w:r w:rsidR="006172A3" w:rsidRPr="00803D1B">
        <w:rPr>
          <w:rFonts w:ascii="Arial" w:hAnsi="Arial" w:cs="Arial"/>
          <w:color w:val="000000" w:themeColor="text1"/>
          <w:sz w:val="24"/>
          <w:szCs w:val="24"/>
        </w:rPr>
        <w:t xml:space="preserve"> Southampton</w:t>
      </w:r>
      <w:r w:rsidR="00803D1B">
        <w:rPr>
          <w:rFonts w:ascii="Arial" w:hAnsi="Arial" w:cs="Arial"/>
          <w:color w:val="000000" w:themeColor="text1"/>
          <w:sz w:val="24"/>
          <w:szCs w:val="24"/>
        </w:rPr>
        <w:t>, Southampton, UK</w:t>
      </w:r>
      <w:r w:rsidR="006172A3" w:rsidRPr="006172A3">
        <w:rPr>
          <w:rFonts w:ascii="Arial" w:hAnsi="Arial" w:cs="Arial"/>
          <w:color w:val="000000" w:themeColor="text1"/>
          <w:sz w:val="24"/>
          <w:szCs w:val="24"/>
        </w:rPr>
        <w:t xml:space="preserve">, </w:t>
      </w:r>
      <w:r w:rsidR="0079776C" w:rsidRPr="006172A3">
        <w:rPr>
          <w:rFonts w:ascii="Arial" w:hAnsi="Arial" w:cs="Arial"/>
          <w:color w:val="000000" w:themeColor="text1"/>
          <w:sz w:val="24"/>
          <w:szCs w:val="24"/>
          <w:vertAlign w:val="superscript"/>
        </w:rPr>
        <w:t>7</w:t>
      </w:r>
      <w:r w:rsidR="00F95C6C" w:rsidRPr="006172A3">
        <w:rPr>
          <w:rFonts w:ascii="Arial" w:hAnsi="Arial" w:cs="Arial"/>
          <w:sz w:val="24"/>
          <w:szCs w:val="24"/>
        </w:rPr>
        <w:t xml:space="preserve">Res Consortium, Andover, </w:t>
      </w:r>
      <w:r w:rsidR="00EC381A" w:rsidRPr="006172A3">
        <w:rPr>
          <w:rFonts w:ascii="Arial" w:hAnsi="Arial" w:cs="Arial"/>
          <w:sz w:val="24"/>
          <w:szCs w:val="24"/>
        </w:rPr>
        <w:t xml:space="preserve">UK; </w:t>
      </w:r>
      <w:r w:rsidR="0079776C" w:rsidRPr="006172A3">
        <w:rPr>
          <w:rFonts w:ascii="Arial" w:hAnsi="Arial" w:cs="Arial"/>
          <w:sz w:val="24"/>
          <w:szCs w:val="24"/>
          <w:vertAlign w:val="superscript"/>
        </w:rPr>
        <w:t>8</w:t>
      </w:r>
      <w:r w:rsidR="00700FE2" w:rsidRPr="006172A3">
        <w:rPr>
          <w:rFonts w:ascii="Arial" w:hAnsi="Arial" w:cs="Arial"/>
          <w:sz w:val="24"/>
          <w:szCs w:val="24"/>
          <w:bdr w:val="none" w:sz="0" w:space="0" w:color="auto" w:frame="1"/>
          <w:shd w:val="clear" w:color="auto" w:fill="FFFFFF"/>
        </w:rPr>
        <w:t>Psychiatry, Leuven Brain Institute, Leuven, Belgium</w:t>
      </w:r>
    </w:p>
    <w:p w14:paraId="19FABBFD" w14:textId="77777777" w:rsidR="00BE0947" w:rsidRDefault="00BE0947" w:rsidP="00BE0947">
      <w:pPr>
        <w:rPr>
          <w:color w:val="000000" w:themeColor="text1"/>
        </w:rPr>
      </w:pPr>
    </w:p>
    <w:p w14:paraId="700761D4" w14:textId="6B9D01B4" w:rsidR="000E24F4" w:rsidRPr="000D497D" w:rsidRDefault="000E24F4" w:rsidP="007774EE">
      <w:pPr>
        <w:jc w:val="center"/>
        <w:rPr>
          <w:color w:val="000000" w:themeColor="text1"/>
        </w:rPr>
      </w:pPr>
      <w:r>
        <w:rPr>
          <w:color w:val="000000" w:themeColor="text1"/>
        </w:rPr>
        <w:t xml:space="preserve">Key words: Obesity, </w:t>
      </w:r>
      <w:r w:rsidR="007774EE">
        <w:rPr>
          <w:color w:val="000000" w:themeColor="text1"/>
        </w:rPr>
        <w:t xml:space="preserve">Treatment, </w:t>
      </w:r>
      <w:r>
        <w:rPr>
          <w:color w:val="000000" w:themeColor="text1"/>
        </w:rPr>
        <w:t>Schizophrenia, GLP-1, Feasibility</w:t>
      </w:r>
    </w:p>
    <w:p w14:paraId="09180D59" w14:textId="77777777" w:rsidR="00BE0947" w:rsidRPr="000D497D" w:rsidRDefault="00BE0947" w:rsidP="00BE0947">
      <w:pPr>
        <w:spacing w:after="0" w:line="480" w:lineRule="auto"/>
        <w:jc w:val="both"/>
        <w:rPr>
          <w:color w:val="000000" w:themeColor="text1"/>
        </w:rPr>
      </w:pPr>
    </w:p>
    <w:p w14:paraId="7AC4C654" w14:textId="77777777" w:rsidR="00BE0947" w:rsidRPr="000D497D" w:rsidRDefault="00BE0947" w:rsidP="00BE0947">
      <w:pPr>
        <w:spacing w:after="0" w:line="480" w:lineRule="auto"/>
        <w:jc w:val="both"/>
        <w:rPr>
          <w:color w:val="000000" w:themeColor="text1"/>
        </w:rPr>
      </w:pPr>
      <w:r w:rsidRPr="000D497D">
        <w:rPr>
          <w:color w:val="000000" w:themeColor="text1"/>
        </w:rPr>
        <w:t xml:space="preserve">Corresponding author: </w:t>
      </w:r>
    </w:p>
    <w:p w14:paraId="69F9764B" w14:textId="7ACA775F" w:rsidR="00BE0947" w:rsidRPr="000D497D" w:rsidRDefault="00B9770D" w:rsidP="00BE0947">
      <w:pPr>
        <w:spacing w:after="0" w:line="480" w:lineRule="auto"/>
        <w:jc w:val="both"/>
        <w:rPr>
          <w:color w:val="000000" w:themeColor="text1"/>
        </w:rPr>
      </w:pPr>
      <w:r>
        <w:rPr>
          <w:color w:val="000000" w:themeColor="text1"/>
        </w:rPr>
        <w:t>Professor</w:t>
      </w:r>
      <w:r w:rsidR="00BE0947" w:rsidRPr="000D497D">
        <w:rPr>
          <w:color w:val="000000" w:themeColor="text1"/>
        </w:rPr>
        <w:t xml:space="preserve"> Adrian Heald</w:t>
      </w:r>
    </w:p>
    <w:p w14:paraId="223C0186" w14:textId="77777777" w:rsidR="00BE0947" w:rsidRPr="000D497D" w:rsidRDefault="00BE0947" w:rsidP="00BE0947">
      <w:pPr>
        <w:spacing w:after="0" w:line="480" w:lineRule="auto"/>
        <w:jc w:val="both"/>
        <w:rPr>
          <w:color w:val="000000" w:themeColor="text1"/>
        </w:rPr>
      </w:pPr>
      <w:r w:rsidRPr="000D497D">
        <w:rPr>
          <w:color w:val="000000" w:themeColor="text1"/>
        </w:rPr>
        <w:t>University of Manchester</w:t>
      </w:r>
    </w:p>
    <w:p w14:paraId="73134931" w14:textId="3DECD233" w:rsidR="00BE0947" w:rsidRPr="000D497D" w:rsidRDefault="00A24FE9" w:rsidP="00BE0947">
      <w:pPr>
        <w:spacing w:after="0" w:line="480" w:lineRule="auto"/>
        <w:jc w:val="both"/>
        <w:rPr>
          <w:color w:val="000000" w:themeColor="text1"/>
        </w:rPr>
      </w:pPr>
      <w:hyperlink r:id="rId7" w:history="1">
        <w:r w:rsidR="00EE1355" w:rsidRPr="0073729B">
          <w:rPr>
            <w:rStyle w:val="Hyperlink"/>
          </w:rPr>
          <w:t>adrian.heald@nca.nhs.uk</w:t>
        </w:r>
      </w:hyperlink>
    </w:p>
    <w:p w14:paraId="40C41CF5" w14:textId="1971E83D" w:rsidR="009F0065" w:rsidRPr="000D497D" w:rsidRDefault="00BE0947" w:rsidP="00BE0947">
      <w:pPr>
        <w:spacing w:after="0" w:line="480" w:lineRule="auto"/>
        <w:jc w:val="both"/>
        <w:rPr>
          <w:color w:val="000000" w:themeColor="text1"/>
        </w:rPr>
      </w:pPr>
      <w:r w:rsidRPr="000D497D">
        <w:rPr>
          <w:color w:val="000000" w:themeColor="text1"/>
        </w:rPr>
        <w:t xml:space="preserve">Telephone: + 44 </w:t>
      </w:r>
      <w:r w:rsidR="002633E2">
        <w:rPr>
          <w:color w:val="000000" w:themeColor="text1"/>
        </w:rPr>
        <w:t>7470 532162</w:t>
      </w:r>
    </w:p>
    <w:p w14:paraId="160F5AE7" w14:textId="156AA098" w:rsidR="009F0065" w:rsidRPr="00DB0EB2" w:rsidRDefault="009F0065" w:rsidP="00BE0947">
      <w:pPr>
        <w:spacing w:after="0" w:line="480" w:lineRule="auto"/>
        <w:jc w:val="both"/>
        <w:rPr>
          <w:rFonts w:ascii="Arial" w:hAnsi="Arial" w:cs="Arial"/>
          <w:color w:val="000000" w:themeColor="text1"/>
        </w:rPr>
      </w:pPr>
      <w:r w:rsidRPr="00DB0EB2">
        <w:rPr>
          <w:rFonts w:ascii="Arial" w:hAnsi="Arial" w:cs="Arial"/>
          <w:color w:val="000000" w:themeColor="text1"/>
        </w:rPr>
        <w:t>Word Count:</w:t>
      </w:r>
      <w:r w:rsidR="00F84B75" w:rsidRPr="00DB0EB2">
        <w:rPr>
          <w:rFonts w:ascii="Arial" w:hAnsi="Arial" w:cs="Arial"/>
          <w:color w:val="000000" w:themeColor="text1"/>
        </w:rPr>
        <w:t xml:space="preserve"> </w:t>
      </w:r>
      <w:r w:rsidR="00017F60" w:rsidRPr="00DB0EB2">
        <w:rPr>
          <w:rFonts w:ascii="Arial" w:hAnsi="Arial" w:cs="Arial"/>
          <w:color w:val="000000" w:themeColor="text1"/>
        </w:rPr>
        <w:t>2065</w:t>
      </w:r>
    </w:p>
    <w:p w14:paraId="1115942C" w14:textId="02939E34" w:rsidR="009F0065" w:rsidRPr="00DB0EB2" w:rsidRDefault="009F0065" w:rsidP="00BE0947">
      <w:pPr>
        <w:spacing w:after="0" w:line="480" w:lineRule="auto"/>
        <w:jc w:val="both"/>
        <w:rPr>
          <w:rFonts w:ascii="Arial" w:hAnsi="Arial" w:cs="Arial"/>
          <w:color w:val="000000" w:themeColor="text1"/>
        </w:rPr>
      </w:pPr>
      <w:r w:rsidRPr="00DB0EB2">
        <w:rPr>
          <w:rFonts w:ascii="Arial" w:hAnsi="Arial" w:cs="Arial"/>
          <w:color w:val="000000" w:themeColor="text1"/>
        </w:rPr>
        <w:t>Tables:</w:t>
      </w:r>
      <w:r w:rsidR="00F84B75" w:rsidRPr="00DB0EB2">
        <w:rPr>
          <w:rFonts w:ascii="Arial" w:hAnsi="Arial" w:cs="Arial"/>
          <w:color w:val="000000" w:themeColor="text1"/>
        </w:rPr>
        <w:t xml:space="preserve"> </w:t>
      </w:r>
      <w:r w:rsidR="00AA246E" w:rsidRPr="00DB0EB2">
        <w:rPr>
          <w:rFonts w:ascii="Arial" w:hAnsi="Arial" w:cs="Arial"/>
          <w:color w:val="000000" w:themeColor="text1"/>
        </w:rPr>
        <w:t>1</w:t>
      </w:r>
    </w:p>
    <w:p w14:paraId="0D3322F4" w14:textId="0D52AFD2" w:rsidR="009F0065" w:rsidRPr="00DB0EB2" w:rsidRDefault="009F0065" w:rsidP="00BE0947">
      <w:pPr>
        <w:spacing w:after="0" w:line="480" w:lineRule="auto"/>
        <w:jc w:val="both"/>
        <w:rPr>
          <w:rFonts w:ascii="Arial" w:hAnsi="Arial" w:cs="Arial"/>
          <w:color w:val="000000" w:themeColor="text1"/>
        </w:rPr>
      </w:pPr>
      <w:r w:rsidRPr="00DB0EB2">
        <w:rPr>
          <w:rFonts w:ascii="Arial" w:hAnsi="Arial" w:cs="Arial"/>
          <w:color w:val="000000" w:themeColor="text1"/>
        </w:rPr>
        <w:t>Figure</w:t>
      </w:r>
      <w:r w:rsidR="00F84B75" w:rsidRPr="00DB0EB2">
        <w:rPr>
          <w:rFonts w:ascii="Arial" w:hAnsi="Arial" w:cs="Arial"/>
          <w:color w:val="000000" w:themeColor="text1"/>
        </w:rPr>
        <w:t xml:space="preserve">s: </w:t>
      </w:r>
      <w:r w:rsidR="00FC5606" w:rsidRPr="00DB0EB2">
        <w:rPr>
          <w:rFonts w:ascii="Arial" w:hAnsi="Arial" w:cs="Arial"/>
          <w:color w:val="000000" w:themeColor="text1"/>
        </w:rPr>
        <w:t>3</w:t>
      </w:r>
    </w:p>
    <w:p w14:paraId="26F3ABF1" w14:textId="77777777" w:rsidR="001C4ACD" w:rsidRDefault="001C4ACD" w:rsidP="00FC5606">
      <w:pPr>
        <w:spacing w:after="0" w:line="360" w:lineRule="auto"/>
        <w:jc w:val="both"/>
        <w:rPr>
          <w:rFonts w:ascii="Arial" w:hAnsi="Arial" w:cs="Arial"/>
          <w:b/>
          <w:bCs/>
          <w:color w:val="000000" w:themeColor="text1"/>
          <w:sz w:val="24"/>
          <w:szCs w:val="24"/>
        </w:rPr>
      </w:pPr>
    </w:p>
    <w:p w14:paraId="75D06ECC" w14:textId="7AE10E6F" w:rsidR="00806BB3" w:rsidRDefault="00806BB3" w:rsidP="00FC5606">
      <w:pPr>
        <w:spacing w:after="0" w:line="360" w:lineRule="auto"/>
        <w:jc w:val="both"/>
        <w:rPr>
          <w:rFonts w:ascii="Arial" w:hAnsi="Arial" w:cs="Arial"/>
          <w:b/>
          <w:bCs/>
          <w:color w:val="000000" w:themeColor="text1"/>
          <w:sz w:val="24"/>
          <w:szCs w:val="24"/>
        </w:rPr>
      </w:pPr>
      <w:r w:rsidRPr="00FC5606">
        <w:rPr>
          <w:rFonts w:ascii="Arial" w:hAnsi="Arial" w:cs="Arial"/>
          <w:b/>
          <w:bCs/>
          <w:color w:val="000000" w:themeColor="text1"/>
          <w:sz w:val="24"/>
          <w:szCs w:val="24"/>
        </w:rPr>
        <w:lastRenderedPageBreak/>
        <w:t>Abstract</w:t>
      </w:r>
    </w:p>
    <w:p w14:paraId="7A8CAE31" w14:textId="77777777" w:rsidR="00AC5461" w:rsidRPr="00362624" w:rsidRDefault="00AC5461" w:rsidP="00AC5461">
      <w:pPr>
        <w:spacing w:after="0" w:line="360" w:lineRule="auto"/>
        <w:jc w:val="both"/>
        <w:rPr>
          <w:rFonts w:ascii="Arial" w:hAnsi="Arial" w:cs="Arial"/>
          <w:color w:val="000000" w:themeColor="text1"/>
          <w:sz w:val="24"/>
          <w:szCs w:val="24"/>
        </w:rPr>
      </w:pPr>
      <w:r w:rsidRPr="00362624">
        <w:rPr>
          <w:rFonts w:ascii="Arial" w:eastAsia="Times New Roman" w:hAnsi="Arial" w:cs="Arial"/>
          <w:color w:val="000000" w:themeColor="text1"/>
          <w:kern w:val="0"/>
          <w:sz w:val="24"/>
          <w:szCs w:val="24"/>
          <w:lang w:eastAsia="en-GB"/>
          <w14:ligatures w14:val="none"/>
        </w:rPr>
        <w:t>Introduction</w:t>
      </w:r>
    </w:p>
    <w:p w14:paraId="0203755B" w14:textId="77777777" w:rsidR="00AC5461" w:rsidRPr="00362624" w:rsidRDefault="00AC5461" w:rsidP="00AC5461">
      <w:pPr>
        <w:spacing w:after="0" w:line="360" w:lineRule="auto"/>
        <w:rPr>
          <w:rFonts w:ascii="Arial" w:eastAsia="Calibri" w:hAnsi="Arial" w:cs="Arial"/>
          <w:color w:val="000000" w:themeColor="text1"/>
          <w:kern w:val="24"/>
          <w:sz w:val="24"/>
          <w:szCs w:val="24"/>
        </w:rPr>
      </w:pPr>
      <w:r w:rsidRPr="00362624">
        <w:rPr>
          <w:rFonts w:ascii="Arial" w:eastAsia="Calibri" w:hAnsi="Arial" w:cs="Arial"/>
          <w:color w:val="000000" w:themeColor="text1"/>
          <w:sz w:val="24"/>
          <w:szCs w:val="24"/>
          <w:lang w:eastAsia="en-GB"/>
          <w14:ligatures w14:val="none"/>
        </w:rPr>
        <w:t xml:space="preserve">Weight gain has come to define the life experience of many </w:t>
      </w:r>
      <w:r>
        <w:rPr>
          <w:rFonts w:ascii="Arial" w:eastAsia="Calibri" w:hAnsi="Arial" w:cs="Arial"/>
          <w:color w:val="000000" w:themeColor="text1"/>
          <w:sz w:val="24"/>
          <w:szCs w:val="24"/>
          <w:lang w:eastAsia="en-GB"/>
          <w14:ligatures w14:val="none"/>
        </w:rPr>
        <w:t>individuals</w:t>
      </w:r>
      <w:r w:rsidRPr="00362624">
        <w:rPr>
          <w:rFonts w:ascii="Arial" w:eastAsia="Calibri" w:hAnsi="Arial" w:cs="Arial"/>
          <w:color w:val="000000" w:themeColor="text1"/>
          <w:sz w:val="24"/>
          <w:szCs w:val="24"/>
          <w:lang w:eastAsia="en-GB"/>
          <w14:ligatures w14:val="none"/>
        </w:rPr>
        <w:t xml:space="preserve"> with schizophrenia and other severe enduring mental illnesses (SMI)</w:t>
      </w:r>
      <w:r>
        <w:rPr>
          <w:rFonts w:ascii="Arial" w:eastAsia="Calibri" w:hAnsi="Arial" w:cs="Arial"/>
          <w:color w:val="000000" w:themeColor="text1"/>
          <w:sz w:val="24"/>
          <w:szCs w:val="24"/>
          <w:lang w:eastAsia="en-GB"/>
          <w14:ligatures w14:val="none"/>
        </w:rPr>
        <w:t xml:space="preserve">. </w:t>
      </w:r>
      <w:r w:rsidRPr="00362624">
        <w:rPr>
          <w:rFonts w:ascii="Arial" w:eastAsia="Calibri" w:hAnsi="Arial" w:cs="Arial"/>
          <w:color w:val="000000" w:themeColor="text1"/>
          <w:kern w:val="24"/>
          <w:sz w:val="24"/>
          <w:szCs w:val="24"/>
        </w:rPr>
        <w:t xml:space="preserve">In this clinical intervention study, we aimed to determine whether weekly treatment with </w:t>
      </w:r>
      <w:r>
        <w:rPr>
          <w:rFonts w:ascii="Arial" w:eastAsia="Calibri" w:hAnsi="Arial" w:cs="Arial"/>
          <w:color w:val="000000" w:themeColor="text1"/>
          <w:kern w:val="24"/>
          <w:sz w:val="24"/>
          <w:szCs w:val="24"/>
        </w:rPr>
        <w:t xml:space="preserve">the </w:t>
      </w:r>
      <w:r w:rsidRPr="00362624">
        <w:rPr>
          <w:rFonts w:ascii="Arial" w:eastAsia="Calibri" w:hAnsi="Arial" w:cs="Arial"/>
          <w:color w:val="000000" w:themeColor="text1"/>
          <w:kern w:val="24"/>
          <w:sz w:val="24"/>
          <w:szCs w:val="24"/>
          <w:lang w:eastAsia="en-GB"/>
          <w14:ligatures w14:val="none"/>
        </w:rPr>
        <w:t>glucagon-like peptide-1 (GLP-1) agonist,</w:t>
      </w:r>
      <w:r w:rsidRPr="00362624">
        <w:rPr>
          <w:rFonts w:ascii="Arial" w:eastAsia="Calibri" w:hAnsi="Arial" w:cs="Arial"/>
          <w:color w:val="000000" w:themeColor="text1"/>
          <w:kern w:val="24"/>
          <w:sz w:val="24"/>
          <w:szCs w:val="24"/>
        </w:rPr>
        <w:t xml:space="preserve"> </w:t>
      </w:r>
      <w:proofErr w:type="spellStart"/>
      <w:r w:rsidRPr="00362624">
        <w:rPr>
          <w:rFonts w:ascii="Arial" w:eastAsia="Calibri" w:hAnsi="Arial" w:cs="Arial"/>
          <w:color w:val="000000" w:themeColor="text1"/>
          <w:kern w:val="24"/>
          <w:sz w:val="24"/>
          <w:szCs w:val="24"/>
        </w:rPr>
        <w:t>semaglutide</w:t>
      </w:r>
      <w:proofErr w:type="spellEnd"/>
      <w:r w:rsidRPr="00362624">
        <w:rPr>
          <w:rFonts w:ascii="Arial" w:eastAsia="Calibri" w:hAnsi="Arial" w:cs="Arial"/>
          <w:color w:val="000000" w:themeColor="text1"/>
          <w:kern w:val="24"/>
          <w:sz w:val="24"/>
          <w:szCs w:val="24"/>
        </w:rPr>
        <w:t>,</w:t>
      </w:r>
      <w:r>
        <w:rPr>
          <w:rFonts w:ascii="Arial" w:eastAsia="Calibri" w:hAnsi="Arial" w:cs="Arial"/>
          <w:color w:val="000000" w:themeColor="text1"/>
          <w:kern w:val="24"/>
          <w:sz w:val="24"/>
          <w:szCs w:val="24"/>
        </w:rPr>
        <w:t xml:space="preserve"> as part of usual care,</w:t>
      </w:r>
      <w:r w:rsidRPr="00362624">
        <w:rPr>
          <w:rFonts w:ascii="Arial" w:eastAsia="Calibri" w:hAnsi="Arial" w:cs="Arial"/>
          <w:color w:val="000000" w:themeColor="text1"/>
          <w:kern w:val="24"/>
          <w:sz w:val="24"/>
          <w:szCs w:val="24"/>
        </w:rPr>
        <w:t xml:space="preserve"> is feasible and acceptable to individuals in a psychiatric inpatient setting.</w:t>
      </w:r>
    </w:p>
    <w:p w14:paraId="59B9D8BB" w14:textId="77777777" w:rsidR="00AC5461" w:rsidRPr="00362624" w:rsidRDefault="00AC5461" w:rsidP="00AC5461">
      <w:pPr>
        <w:shd w:val="clear" w:color="auto" w:fill="FFFFFF"/>
        <w:spacing w:after="0" w:line="360" w:lineRule="auto"/>
        <w:rPr>
          <w:rFonts w:ascii="Arial" w:eastAsia="Times New Roman" w:hAnsi="Arial" w:cs="Arial"/>
          <w:color w:val="000000" w:themeColor="text1"/>
          <w:kern w:val="0"/>
          <w:sz w:val="24"/>
          <w:szCs w:val="24"/>
          <w:lang w:eastAsia="en-GB"/>
          <w14:ligatures w14:val="none"/>
        </w:rPr>
      </w:pPr>
    </w:p>
    <w:p w14:paraId="49BC7260" w14:textId="77777777" w:rsidR="00AC5461" w:rsidRPr="00362624" w:rsidRDefault="00AC5461" w:rsidP="00AC5461">
      <w:pPr>
        <w:shd w:val="clear" w:color="auto" w:fill="FFFFFF"/>
        <w:spacing w:after="0" w:line="360" w:lineRule="auto"/>
        <w:rPr>
          <w:rFonts w:ascii="Arial" w:eastAsia="Times New Roman" w:hAnsi="Arial" w:cs="Arial"/>
          <w:color w:val="000000" w:themeColor="text1"/>
          <w:kern w:val="0"/>
          <w:sz w:val="24"/>
          <w:szCs w:val="24"/>
          <w:lang w:eastAsia="en-GB"/>
          <w14:ligatures w14:val="none"/>
        </w:rPr>
      </w:pPr>
      <w:r w:rsidRPr="00362624">
        <w:rPr>
          <w:rFonts w:ascii="Arial" w:eastAsia="Times New Roman" w:hAnsi="Arial" w:cs="Arial"/>
          <w:color w:val="000000" w:themeColor="text1"/>
          <w:kern w:val="0"/>
          <w:sz w:val="24"/>
          <w:szCs w:val="24"/>
          <w:lang w:eastAsia="en-GB"/>
          <w14:ligatures w14:val="none"/>
        </w:rPr>
        <w:t>Methods</w:t>
      </w:r>
    </w:p>
    <w:p w14:paraId="5D7CA1B1" w14:textId="7B0A4FF4" w:rsidR="00AC5461" w:rsidRPr="00362624" w:rsidRDefault="00AC5461" w:rsidP="00AC5461">
      <w:pPr>
        <w:kinsoku w:val="0"/>
        <w:overflowPunct w:val="0"/>
        <w:spacing w:after="0" w:line="360" w:lineRule="auto"/>
        <w:textAlignment w:val="baseline"/>
        <w:rPr>
          <w:rFonts w:ascii="Arial" w:eastAsia="Calibri" w:hAnsi="Arial" w:cs="Arial"/>
          <w:color w:val="000000" w:themeColor="text1"/>
          <w:kern w:val="24"/>
          <w:sz w:val="24"/>
          <w:szCs w:val="24"/>
          <w:lang w:eastAsia="en-GB"/>
          <w14:ligatures w14:val="none"/>
        </w:rPr>
      </w:pPr>
      <w:r w:rsidRPr="00362624">
        <w:rPr>
          <w:rFonts w:ascii="Arial" w:eastAsia="Calibri" w:hAnsi="Arial" w:cs="Arial"/>
          <w:color w:val="000000" w:themeColor="text1"/>
          <w:kern w:val="24"/>
          <w:sz w:val="24"/>
          <w:szCs w:val="24"/>
          <w:lang w:eastAsia="en-GB"/>
          <w14:ligatures w14:val="none"/>
        </w:rPr>
        <w:t>15 inpatients (11 men / 4 women)</w:t>
      </w:r>
      <w:r>
        <w:rPr>
          <w:rFonts w:ascii="Arial" w:eastAsia="Calibri" w:hAnsi="Arial" w:cs="Arial"/>
          <w:color w:val="000000" w:themeColor="text1"/>
          <w:kern w:val="24"/>
          <w:sz w:val="24"/>
          <w:szCs w:val="24"/>
          <w:lang w:eastAsia="en-GB"/>
          <w14:ligatures w14:val="none"/>
        </w:rPr>
        <w:t xml:space="preserve"> </w:t>
      </w:r>
      <w:r w:rsidRPr="00362624">
        <w:rPr>
          <w:rFonts w:ascii="Arial" w:eastAsia="Calibri" w:hAnsi="Arial" w:cs="Arial"/>
          <w:color w:val="000000" w:themeColor="text1"/>
          <w:kern w:val="24"/>
          <w:sz w:val="24"/>
          <w:szCs w:val="24"/>
          <w:lang w:eastAsia="en-GB"/>
          <w14:ligatures w14:val="none"/>
        </w:rPr>
        <w:t>in a secure care environment</w:t>
      </w:r>
      <w:r>
        <w:rPr>
          <w:rFonts w:ascii="Arial" w:eastAsia="Calibri" w:hAnsi="Arial" w:cs="Arial"/>
          <w:color w:val="000000" w:themeColor="text1"/>
          <w:kern w:val="24"/>
          <w:sz w:val="24"/>
          <w:szCs w:val="24"/>
          <w:lang w:eastAsia="en-GB"/>
          <w14:ligatures w14:val="none"/>
        </w:rPr>
        <w:t xml:space="preserve">, </w:t>
      </w:r>
      <w:r w:rsidRPr="00362624">
        <w:rPr>
          <w:rFonts w:ascii="Arial" w:eastAsia="Calibri" w:hAnsi="Arial" w:cs="Arial"/>
          <w:color w:val="000000" w:themeColor="text1"/>
          <w:kern w:val="24"/>
          <w:sz w:val="24"/>
          <w:szCs w:val="24"/>
          <w:lang w:eastAsia="en-GB"/>
          <w14:ligatures w14:val="none"/>
        </w:rPr>
        <w:t>diagnosed with schizophrenia or schizoaffective disorder</w:t>
      </w:r>
      <w:r>
        <w:rPr>
          <w:rFonts w:ascii="Arial" w:eastAsia="Calibri" w:hAnsi="Arial" w:cs="Arial"/>
          <w:color w:val="000000" w:themeColor="text1"/>
          <w:kern w:val="24"/>
          <w:sz w:val="24"/>
          <w:szCs w:val="24"/>
          <w:lang w:eastAsia="en-GB"/>
          <w14:ligatures w14:val="none"/>
        </w:rPr>
        <w:t xml:space="preserve"> and </w:t>
      </w:r>
      <w:r w:rsidRPr="00362624">
        <w:rPr>
          <w:rFonts w:ascii="Arial" w:eastAsia="Calibri" w:hAnsi="Arial" w:cs="Arial"/>
          <w:color w:val="000000" w:themeColor="text1"/>
          <w:kern w:val="24"/>
          <w:sz w:val="24"/>
          <w:szCs w:val="24"/>
          <w:lang w:eastAsia="en-GB"/>
          <w14:ligatures w14:val="none"/>
        </w:rPr>
        <w:t xml:space="preserve">with </w:t>
      </w:r>
      <w:r>
        <w:rPr>
          <w:rFonts w:ascii="Arial" w:eastAsia="Calibri" w:hAnsi="Arial" w:cs="Arial"/>
          <w:color w:val="000000" w:themeColor="text1"/>
          <w:kern w:val="24"/>
          <w:sz w:val="24"/>
          <w:szCs w:val="24"/>
          <w:lang w:eastAsia="en-GB"/>
          <w14:ligatures w14:val="none"/>
        </w:rPr>
        <w:t xml:space="preserve">body </w:t>
      </w:r>
      <w:r w:rsidRPr="00362624">
        <w:rPr>
          <w:rFonts w:ascii="Arial" w:eastAsia="Calibri" w:hAnsi="Arial" w:cs="Arial"/>
          <w:color w:val="000000" w:themeColor="text1"/>
          <w:kern w:val="24"/>
          <w:sz w:val="24"/>
          <w:szCs w:val="24"/>
          <w:lang w:eastAsia="en-GB"/>
          <w14:ligatures w14:val="none"/>
        </w:rPr>
        <w:t xml:space="preserve">mass index (BMI) of </w:t>
      </w:r>
      <w:r w:rsidR="00C41536">
        <w:rPr>
          <w:rFonts w:ascii="Arial" w:eastAsia="Calibri" w:hAnsi="Arial" w:cs="Arial"/>
          <w:color w:val="000000" w:themeColor="text1"/>
          <w:kern w:val="24"/>
          <w:sz w:val="24"/>
          <w:szCs w:val="24"/>
          <w:lang w:eastAsia="en-GB"/>
          <w14:ligatures w14:val="none"/>
        </w:rPr>
        <w:t xml:space="preserve">a least </w:t>
      </w:r>
      <w:r w:rsidRPr="00362624">
        <w:rPr>
          <w:rFonts w:ascii="Arial" w:eastAsia="Calibri" w:hAnsi="Arial" w:cs="Arial"/>
          <w:color w:val="000000" w:themeColor="text1"/>
          <w:kern w:val="24"/>
          <w:sz w:val="24"/>
          <w:szCs w:val="24"/>
          <w:lang w:eastAsia="en-GB"/>
          <w14:ligatures w14:val="none"/>
        </w:rPr>
        <w:t>30 kg/m</w:t>
      </w:r>
      <w:r w:rsidRPr="00362624">
        <w:rPr>
          <w:rFonts w:ascii="Arial" w:eastAsia="Calibri" w:hAnsi="Arial" w:cs="Arial"/>
          <w:color w:val="000000" w:themeColor="text1"/>
          <w:kern w:val="24"/>
          <w:sz w:val="24"/>
          <w:szCs w:val="24"/>
          <w:vertAlign w:val="superscript"/>
          <w:lang w:eastAsia="en-GB"/>
          <w14:ligatures w14:val="none"/>
        </w:rPr>
        <w:t>2</w:t>
      </w:r>
      <w:r w:rsidRPr="00362624">
        <w:rPr>
          <w:rFonts w:ascii="Arial" w:eastAsia="Calibri" w:hAnsi="Arial" w:cs="Arial"/>
          <w:color w:val="000000" w:themeColor="text1"/>
          <w:kern w:val="24"/>
          <w:sz w:val="24"/>
          <w:szCs w:val="24"/>
          <w:lang w:eastAsia="en-GB"/>
          <w14:ligatures w14:val="none"/>
        </w:rPr>
        <w:t xml:space="preserve"> were commenced on </w:t>
      </w:r>
      <w:r>
        <w:rPr>
          <w:rFonts w:ascii="Arial" w:eastAsia="Calibri" w:hAnsi="Arial" w:cs="Arial"/>
          <w:color w:val="000000" w:themeColor="text1"/>
          <w:kern w:val="24"/>
          <w:sz w:val="24"/>
          <w:szCs w:val="24"/>
          <w:lang w:eastAsia="en-GB"/>
          <w14:ligatures w14:val="none"/>
        </w:rPr>
        <w:t xml:space="preserve">weekly subcutaneous </w:t>
      </w:r>
      <w:proofErr w:type="spellStart"/>
      <w:r w:rsidRPr="00362624">
        <w:rPr>
          <w:rFonts w:ascii="Arial" w:eastAsia="Calibri" w:hAnsi="Arial" w:cs="Arial"/>
          <w:color w:val="000000" w:themeColor="text1"/>
          <w:kern w:val="24"/>
          <w:sz w:val="24"/>
          <w:szCs w:val="24"/>
          <w:lang w:eastAsia="en-GB"/>
          <w14:ligatures w14:val="none"/>
        </w:rPr>
        <w:t>semaglutide</w:t>
      </w:r>
      <w:proofErr w:type="spellEnd"/>
      <w:r>
        <w:rPr>
          <w:rFonts w:ascii="Arial" w:eastAsia="Calibri" w:hAnsi="Arial" w:cs="Arial"/>
          <w:color w:val="000000" w:themeColor="text1"/>
          <w:kern w:val="24"/>
          <w:sz w:val="24"/>
          <w:szCs w:val="24"/>
          <w:lang w:eastAsia="en-GB"/>
          <w14:ligatures w14:val="none"/>
        </w:rPr>
        <w:t xml:space="preserve"> as per standard of care</w:t>
      </w:r>
      <w:r w:rsidRPr="00362624">
        <w:rPr>
          <w:rFonts w:ascii="Arial" w:eastAsia="Calibri" w:hAnsi="Arial" w:cs="Arial"/>
          <w:color w:val="000000" w:themeColor="text1"/>
          <w:kern w:val="24"/>
          <w:sz w:val="24"/>
          <w:szCs w:val="24"/>
          <w:lang w:eastAsia="en-GB"/>
          <w14:ligatures w14:val="none"/>
        </w:rPr>
        <w:t>. BMI</w:t>
      </w:r>
      <w:r>
        <w:rPr>
          <w:rFonts w:ascii="Arial" w:eastAsia="Calibri" w:hAnsi="Arial" w:cs="Arial"/>
          <w:color w:val="000000" w:themeColor="text1"/>
          <w:kern w:val="24"/>
          <w:sz w:val="24"/>
          <w:szCs w:val="24"/>
          <w:lang w:eastAsia="en-GB"/>
          <w14:ligatures w14:val="none"/>
        </w:rPr>
        <w:t xml:space="preserve"> and </w:t>
      </w:r>
      <w:r w:rsidRPr="00362624">
        <w:rPr>
          <w:rFonts w:ascii="Arial" w:eastAsia="Calibri" w:hAnsi="Arial" w:cs="Arial"/>
          <w:color w:val="000000" w:themeColor="text1"/>
          <w:kern w:val="24"/>
          <w:sz w:val="24"/>
          <w:szCs w:val="24"/>
          <w:lang w:eastAsia="en-GB"/>
          <w14:ligatures w14:val="none"/>
        </w:rPr>
        <w:t>glycated haemoglobin (HbA1c) were measured</w:t>
      </w:r>
      <w:r>
        <w:rPr>
          <w:rFonts w:ascii="Arial" w:eastAsia="Calibri" w:hAnsi="Arial" w:cs="Arial"/>
          <w:color w:val="000000" w:themeColor="text1"/>
          <w:kern w:val="24"/>
          <w:sz w:val="24"/>
          <w:szCs w:val="24"/>
          <w:lang w:eastAsia="en-GB"/>
          <w14:ligatures w14:val="none"/>
        </w:rPr>
        <w:t xml:space="preserve"> </w:t>
      </w:r>
      <w:r w:rsidRPr="00362624">
        <w:rPr>
          <w:rFonts w:ascii="Arial" w:eastAsia="Calibri" w:hAnsi="Arial" w:cs="Arial"/>
          <w:color w:val="000000" w:themeColor="text1"/>
          <w:kern w:val="24"/>
          <w:sz w:val="24"/>
          <w:szCs w:val="24"/>
          <w:lang w:eastAsia="en-GB"/>
          <w14:ligatures w14:val="none"/>
        </w:rPr>
        <w:t>at baseline and</w:t>
      </w:r>
      <w:r>
        <w:rPr>
          <w:rFonts w:ascii="Arial" w:eastAsia="Calibri" w:hAnsi="Arial" w:cs="Arial"/>
          <w:color w:val="000000" w:themeColor="text1"/>
          <w:kern w:val="24"/>
          <w:sz w:val="24"/>
          <w:szCs w:val="24"/>
          <w:lang w:eastAsia="en-GB"/>
          <w14:ligatures w14:val="none"/>
        </w:rPr>
        <w:t xml:space="preserve"> monthly</w:t>
      </w:r>
      <w:r w:rsidRPr="00362624">
        <w:rPr>
          <w:rFonts w:ascii="Arial" w:eastAsia="Calibri" w:hAnsi="Arial" w:cs="Arial"/>
          <w:color w:val="000000" w:themeColor="text1"/>
          <w:kern w:val="24"/>
          <w:sz w:val="24"/>
          <w:szCs w:val="24"/>
          <w:lang w:eastAsia="en-GB"/>
          <w14:ligatures w14:val="none"/>
        </w:rPr>
        <w:t xml:space="preserve"> follow-up </w:t>
      </w:r>
      <w:r>
        <w:rPr>
          <w:rFonts w:ascii="Arial" w:eastAsia="Calibri" w:hAnsi="Arial" w:cs="Arial"/>
          <w:color w:val="000000" w:themeColor="text1"/>
          <w:kern w:val="24"/>
          <w:sz w:val="24"/>
          <w:szCs w:val="24"/>
          <w:lang w:eastAsia="en-GB"/>
          <w14:ligatures w14:val="none"/>
        </w:rPr>
        <w:t xml:space="preserve">to 6 months, and </w:t>
      </w:r>
      <w:r w:rsidRPr="00362624">
        <w:rPr>
          <w:rFonts w:ascii="Arial" w:eastAsia="Calibri" w:hAnsi="Arial" w:cs="Arial"/>
          <w:color w:val="000000" w:themeColor="text1"/>
          <w:kern w:val="24"/>
          <w:sz w:val="24"/>
          <w:szCs w:val="24"/>
          <w:lang w:eastAsia="en-GB"/>
          <w14:ligatures w14:val="none"/>
        </w:rPr>
        <w:t>quality of life</w:t>
      </w:r>
      <w:r>
        <w:rPr>
          <w:rFonts w:ascii="Arial" w:eastAsia="Calibri" w:hAnsi="Arial" w:cs="Arial"/>
          <w:color w:val="000000" w:themeColor="text1"/>
          <w:kern w:val="24"/>
          <w:sz w:val="24"/>
          <w:szCs w:val="24"/>
          <w:lang w:eastAsia="en-GB"/>
          <w14:ligatures w14:val="none"/>
        </w:rPr>
        <w:t xml:space="preserve"> (QOL) was surveyed at baseline and 6 months</w:t>
      </w:r>
      <w:r w:rsidRPr="00362624">
        <w:rPr>
          <w:rFonts w:ascii="Arial" w:eastAsia="Calibri" w:hAnsi="Arial" w:cs="Arial"/>
          <w:color w:val="000000" w:themeColor="text1"/>
          <w:kern w:val="24"/>
          <w:sz w:val="24"/>
          <w:szCs w:val="24"/>
          <w:lang w:eastAsia="en-GB"/>
          <w14:ligatures w14:val="none"/>
        </w:rPr>
        <w:t>. Analysis was based on intention</w:t>
      </w:r>
      <w:r>
        <w:rPr>
          <w:rFonts w:ascii="Arial" w:eastAsia="Calibri" w:hAnsi="Arial" w:cs="Arial"/>
          <w:color w:val="000000" w:themeColor="text1"/>
          <w:kern w:val="24"/>
          <w:sz w:val="24"/>
          <w:szCs w:val="24"/>
          <w:lang w:eastAsia="en-GB"/>
          <w14:ligatures w14:val="none"/>
        </w:rPr>
        <w:t>-</w:t>
      </w:r>
      <w:r w:rsidRPr="00362624">
        <w:rPr>
          <w:rFonts w:ascii="Arial" w:eastAsia="Calibri" w:hAnsi="Arial" w:cs="Arial"/>
          <w:color w:val="000000" w:themeColor="text1"/>
          <w:kern w:val="24"/>
          <w:sz w:val="24"/>
          <w:szCs w:val="24"/>
          <w:lang w:eastAsia="en-GB"/>
          <w14:ligatures w14:val="none"/>
        </w:rPr>
        <w:t>to</w:t>
      </w:r>
      <w:r>
        <w:rPr>
          <w:rFonts w:ascii="Arial" w:eastAsia="Calibri" w:hAnsi="Arial" w:cs="Arial"/>
          <w:color w:val="000000" w:themeColor="text1"/>
          <w:kern w:val="24"/>
          <w:sz w:val="24"/>
          <w:szCs w:val="24"/>
          <w:lang w:eastAsia="en-GB"/>
          <w14:ligatures w14:val="none"/>
        </w:rPr>
        <w:t>-</w:t>
      </w:r>
      <w:r w:rsidRPr="00362624">
        <w:rPr>
          <w:rFonts w:ascii="Arial" w:eastAsia="Calibri" w:hAnsi="Arial" w:cs="Arial"/>
          <w:color w:val="000000" w:themeColor="text1"/>
          <w:kern w:val="24"/>
          <w:sz w:val="24"/>
          <w:szCs w:val="24"/>
          <w:lang w:eastAsia="en-GB"/>
          <w14:ligatures w14:val="none"/>
        </w:rPr>
        <w:t>treat</w:t>
      </w:r>
      <w:r>
        <w:rPr>
          <w:rFonts w:ascii="Arial" w:eastAsia="Calibri" w:hAnsi="Arial" w:cs="Arial"/>
          <w:color w:val="000000" w:themeColor="text1"/>
          <w:kern w:val="24"/>
          <w:sz w:val="24"/>
          <w:szCs w:val="24"/>
          <w:lang w:eastAsia="en-GB"/>
          <w14:ligatures w14:val="none"/>
        </w:rPr>
        <w:t>.</w:t>
      </w:r>
    </w:p>
    <w:p w14:paraId="1153F4D2" w14:textId="77777777" w:rsidR="00AC5461" w:rsidRPr="00362624" w:rsidRDefault="00AC5461" w:rsidP="00AC5461">
      <w:pPr>
        <w:shd w:val="clear" w:color="auto" w:fill="FFFFFF"/>
        <w:spacing w:after="0" w:line="360" w:lineRule="auto"/>
        <w:rPr>
          <w:rFonts w:ascii="Arial" w:eastAsia="Calibri" w:hAnsi="Arial" w:cs="Arial"/>
          <w:color w:val="000000" w:themeColor="text1"/>
          <w:kern w:val="24"/>
          <w:sz w:val="24"/>
          <w:szCs w:val="24"/>
          <w:lang w:eastAsia="en-GB"/>
          <w14:ligatures w14:val="none"/>
        </w:rPr>
      </w:pPr>
    </w:p>
    <w:p w14:paraId="5CE3D6E2" w14:textId="77777777" w:rsidR="00AC5461" w:rsidRDefault="00AC5461" w:rsidP="00AC5461">
      <w:pPr>
        <w:shd w:val="clear" w:color="auto" w:fill="FFFFFF"/>
        <w:spacing w:after="0" w:line="360" w:lineRule="auto"/>
        <w:rPr>
          <w:rFonts w:ascii="Arial" w:eastAsia="Times New Roman" w:hAnsi="Arial" w:cs="Arial"/>
          <w:color w:val="000000" w:themeColor="text1"/>
          <w:kern w:val="0"/>
          <w:sz w:val="24"/>
          <w:szCs w:val="24"/>
          <w:lang w:eastAsia="en-GB"/>
          <w14:ligatures w14:val="none"/>
        </w:rPr>
      </w:pPr>
      <w:r w:rsidRPr="00362624">
        <w:rPr>
          <w:rFonts w:ascii="Arial" w:eastAsia="Times New Roman" w:hAnsi="Arial" w:cs="Arial"/>
          <w:color w:val="000000" w:themeColor="text1"/>
          <w:kern w:val="0"/>
          <w:sz w:val="24"/>
          <w:szCs w:val="24"/>
          <w:lang w:eastAsia="en-GB"/>
          <w14:ligatures w14:val="none"/>
        </w:rPr>
        <w:t>Results</w:t>
      </w:r>
    </w:p>
    <w:p w14:paraId="671D5540" w14:textId="1079A02C" w:rsidR="00DD33A3" w:rsidRDefault="00AC5461" w:rsidP="00AC5461">
      <w:pPr>
        <w:shd w:val="clear" w:color="auto" w:fill="FFFFFF"/>
        <w:spacing w:after="0" w:line="360" w:lineRule="auto"/>
        <w:rPr>
          <w:rFonts w:ascii="Arial" w:eastAsia="Calibri" w:hAnsi="Arial" w:cs="Arial"/>
          <w:color w:val="000000" w:themeColor="text1"/>
          <w:sz w:val="24"/>
          <w:szCs w:val="24"/>
        </w:rPr>
      </w:pPr>
      <w:r w:rsidRPr="00AD27A9">
        <w:rPr>
          <w:rFonts w:ascii="Arial" w:eastAsia="Times New Roman" w:hAnsi="Arial" w:cs="Arial"/>
          <w:color w:val="000000" w:themeColor="text1"/>
          <w:kern w:val="0"/>
          <w:sz w:val="24"/>
          <w:szCs w:val="24"/>
          <w:lang w:eastAsia="en-GB"/>
          <w14:ligatures w14:val="none"/>
        </w:rPr>
        <w:t>Mean age of patients was 37 years</w:t>
      </w:r>
      <w:r>
        <w:rPr>
          <w:rFonts w:ascii="Arial" w:eastAsia="Times New Roman" w:hAnsi="Arial" w:cs="Arial"/>
          <w:color w:val="000000" w:themeColor="text1"/>
          <w:kern w:val="0"/>
          <w:sz w:val="24"/>
          <w:szCs w:val="24"/>
          <w:lang w:eastAsia="en-GB"/>
          <w14:ligatures w14:val="none"/>
        </w:rPr>
        <w:t xml:space="preserve"> (</w:t>
      </w:r>
      <w:r w:rsidRPr="00AD27A9">
        <w:rPr>
          <w:rFonts w:ascii="Arial" w:eastAsia="Times New Roman" w:hAnsi="Arial" w:cs="Arial"/>
          <w:color w:val="000000" w:themeColor="text1"/>
          <w:kern w:val="0"/>
          <w:sz w:val="24"/>
          <w:szCs w:val="24"/>
          <w:lang w:eastAsia="en-GB"/>
          <w14:ligatures w14:val="none"/>
        </w:rPr>
        <w:t>range 23</w:t>
      </w:r>
      <w:r>
        <w:rPr>
          <w:rFonts w:ascii="Arial" w:eastAsia="Times New Roman" w:hAnsi="Arial" w:cs="Arial"/>
          <w:color w:val="000000" w:themeColor="text1"/>
          <w:kern w:val="0"/>
          <w:sz w:val="24"/>
          <w:szCs w:val="24"/>
          <w:lang w:eastAsia="en-GB"/>
          <w14:ligatures w14:val="none"/>
        </w:rPr>
        <w:t>–</w:t>
      </w:r>
      <w:r w:rsidRPr="00AD27A9">
        <w:rPr>
          <w:rFonts w:ascii="Arial" w:eastAsia="Times New Roman" w:hAnsi="Arial" w:cs="Arial"/>
          <w:color w:val="000000" w:themeColor="text1"/>
          <w:kern w:val="0"/>
          <w:sz w:val="24"/>
          <w:szCs w:val="24"/>
          <w:lang w:eastAsia="en-GB"/>
          <w14:ligatures w14:val="none"/>
        </w:rPr>
        <w:t>63). Time since diagnosis varied from 2 to 25 years.</w:t>
      </w:r>
      <w:r>
        <w:rPr>
          <w:rFonts w:ascii="Arial" w:eastAsia="Times New Roman" w:hAnsi="Arial" w:cs="Arial"/>
          <w:color w:val="000000" w:themeColor="text1"/>
          <w:kern w:val="0"/>
          <w:sz w:val="24"/>
          <w:szCs w:val="24"/>
          <w:lang w:eastAsia="en-GB"/>
          <w14:ligatures w14:val="none"/>
        </w:rPr>
        <w:t xml:space="preserve"> Mean initial BMI was 48.7 </w:t>
      </w:r>
      <w:r w:rsidRPr="00362624">
        <w:rPr>
          <w:rFonts w:ascii="Arial" w:eastAsia="Calibri" w:hAnsi="Arial" w:cs="Arial"/>
          <w:color w:val="000000" w:themeColor="text1"/>
          <w:kern w:val="24"/>
          <w:sz w:val="24"/>
          <w:szCs w:val="24"/>
          <w:lang w:eastAsia="en-GB"/>
          <w14:ligatures w14:val="none"/>
        </w:rPr>
        <w:t>kg/m</w:t>
      </w:r>
      <w:r w:rsidRPr="00362624">
        <w:rPr>
          <w:rFonts w:ascii="Arial" w:eastAsia="Calibri" w:hAnsi="Arial" w:cs="Arial"/>
          <w:color w:val="000000" w:themeColor="text1"/>
          <w:kern w:val="24"/>
          <w:sz w:val="24"/>
          <w:szCs w:val="24"/>
          <w:vertAlign w:val="superscript"/>
          <w:lang w:eastAsia="en-GB"/>
          <w14:ligatures w14:val="none"/>
        </w:rPr>
        <w:t>2</w:t>
      </w:r>
      <w:r>
        <w:rPr>
          <w:rFonts w:ascii="Arial" w:eastAsia="Times New Roman" w:hAnsi="Arial" w:cs="Arial"/>
          <w:color w:val="000000" w:themeColor="text1"/>
          <w:kern w:val="0"/>
          <w:sz w:val="24"/>
          <w:szCs w:val="24"/>
          <w:lang w:eastAsia="en-GB"/>
          <w14:ligatures w14:val="none"/>
        </w:rPr>
        <w:t xml:space="preserve"> for women and 37.2 </w:t>
      </w:r>
      <w:r w:rsidRPr="00362624">
        <w:rPr>
          <w:rFonts w:ascii="Arial" w:eastAsia="Calibri" w:hAnsi="Arial" w:cs="Arial"/>
          <w:color w:val="000000" w:themeColor="text1"/>
          <w:kern w:val="24"/>
          <w:sz w:val="24"/>
          <w:szCs w:val="24"/>
          <w:lang w:eastAsia="en-GB"/>
          <w14:ligatures w14:val="none"/>
        </w:rPr>
        <w:t>kg/m</w:t>
      </w:r>
      <w:r w:rsidRPr="00362624">
        <w:rPr>
          <w:rFonts w:ascii="Arial" w:eastAsia="Calibri" w:hAnsi="Arial" w:cs="Arial"/>
          <w:color w:val="000000" w:themeColor="text1"/>
          <w:kern w:val="24"/>
          <w:sz w:val="24"/>
          <w:szCs w:val="24"/>
          <w:vertAlign w:val="superscript"/>
          <w:lang w:eastAsia="en-GB"/>
          <w14:ligatures w14:val="none"/>
        </w:rPr>
        <w:t>2</w:t>
      </w:r>
      <w:r w:rsidRPr="00362624">
        <w:rPr>
          <w:rFonts w:ascii="Arial" w:eastAsia="Calibri" w:hAnsi="Arial" w:cs="Arial"/>
          <w:color w:val="000000" w:themeColor="text1"/>
          <w:kern w:val="24"/>
          <w:sz w:val="24"/>
          <w:szCs w:val="24"/>
          <w:lang w:eastAsia="en-GB"/>
          <w14:ligatures w14:val="none"/>
        </w:rPr>
        <w:t xml:space="preserve"> </w:t>
      </w:r>
      <w:r>
        <w:rPr>
          <w:rFonts w:ascii="Arial" w:eastAsia="Times New Roman" w:hAnsi="Arial" w:cs="Arial"/>
          <w:color w:val="000000" w:themeColor="text1"/>
          <w:kern w:val="0"/>
          <w:sz w:val="24"/>
          <w:szCs w:val="24"/>
          <w:lang w:eastAsia="en-GB"/>
          <w14:ligatures w14:val="none"/>
        </w:rPr>
        <w:t>for men. D</w:t>
      </w:r>
      <w:r w:rsidRPr="00AD27A9">
        <w:rPr>
          <w:rFonts w:ascii="Arial" w:eastAsia="Times New Roman" w:hAnsi="Arial" w:cs="Arial"/>
          <w:color w:val="000000" w:themeColor="text1"/>
          <w:kern w:val="0"/>
          <w:sz w:val="24"/>
          <w:szCs w:val="24"/>
          <w:lang w:eastAsia="en-GB"/>
          <w14:ligatures w14:val="none"/>
        </w:rPr>
        <w:t xml:space="preserve">uration of </w:t>
      </w:r>
      <w:proofErr w:type="spellStart"/>
      <w:r w:rsidRPr="00AD27A9">
        <w:rPr>
          <w:rFonts w:ascii="Arial" w:eastAsia="Times New Roman" w:hAnsi="Arial" w:cs="Arial"/>
          <w:color w:val="000000" w:themeColor="text1"/>
          <w:kern w:val="0"/>
          <w:sz w:val="24"/>
          <w:szCs w:val="24"/>
          <w:lang w:eastAsia="en-GB"/>
          <w14:ligatures w14:val="none"/>
        </w:rPr>
        <w:t>semaglutide</w:t>
      </w:r>
      <w:proofErr w:type="spellEnd"/>
      <w:r w:rsidRPr="00AD27A9">
        <w:rPr>
          <w:rFonts w:ascii="Arial" w:eastAsia="Times New Roman" w:hAnsi="Arial" w:cs="Arial"/>
          <w:color w:val="000000" w:themeColor="text1"/>
          <w:kern w:val="0"/>
          <w:sz w:val="24"/>
          <w:szCs w:val="24"/>
          <w:lang w:eastAsia="en-GB"/>
          <w14:ligatures w14:val="none"/>
        </w:rPr>
        <w:t xml:space="preserve"> treatment ranged from 2</w:t>
      </w:r>
      <w:r>
        <w:rPr>
          <w:rFonts w:ascii="Arial" w:eastAsia="Times New Roman" w:hAnsi="Arial" w:cs="Arial"/>
          <w:color w:val="000000" w:themeColor="text1"/>
          <w:kern w:val="0"/>
          <w:sz w:val="24"/>
          <w:szCs w:val="24"/>
          <w:lang w:eastAsia="en-GB"/>
          <w14:ligatures w14:val="none"/>
        </w:rPr>
        <w:t>–</w:t>
      </w:r>
      <w:r w:rsidRPr="00AD27A9">
        <w:rPr>
          <w:rFonts w:ascii="Arial" w:eastAsia="Times New Roman" w:hAnsi="Arial" w:cs="Arial"/>
          <w:color w:val="000000" w:themeColor="text1"/>
          <w:kern w:val="0"/>
          <w:sz w:val="24"/>
          <w:szCs w:val="24"/>
          <w:lang w:eastAsia="en-GB"/>
          <w14:ligatures w14:val="none"/>
        </w:rPr>
        <w:t>6</w:t>
      </w:r>
      <w:r>
        <w:rPr>
          <w:rFonts w:ascii="Arial" w:eastAsia="Times New Roman" w:hAnsi="Arial" w:cs="Arial"/>
          <w:color w:val="000000" w:themeColor="text1"/>
          <w:kern w:val="0"/>
          <w:sz w:val="24"/>
          <w:szCs w:val="24"/>
          <w:lang w:eastAsia="en-GB"/>
          <w14:ligatures w14:val="none"/>
        </w:rPr>
        <w:t xml:space="preserve"> </w:t>
      </w:r>
      <w:r w:rsidRPr="00AD27A9">
        <w:rPr>
          <w:rFonts w:ascii="Arial" w:eastAsia="Times New Roman" w:hAnsi="Arial" w:cs="Arial"/>
          <w:color w:val="000000" w:themeColor="text1"/>
          <w:kern w:val="0"/>
          <w:sz w:val="24"/>
          <w:szCs w:val="24"/>
          <w:lang w:eastAsia="en-GB"/>
          <w14:ligatures w14:val="none"/>
        </w:rPr>
        <w:t>months.</w:t>
      </w:r>
      <w:r>
        <w:rPr>
          <w:rFonts w:ascii="Arial" w:eastAsia="Times New Roman" w:hAnsi="Arial" w:cs="Arial"/>
          <w:color w:val="000000" w:themeColor="text1"/>
          <w:kern w:val="0"/>
          <w:sz w:val="24"/>
          <w:szCs w:val="24"/>
          <w:lang w:eastAsia="en-GB"/>
          <w14:ligatures w14:val="none"/>
        </w:rPr>
        <w:t xml:space="preserve"> </w:t>
      </w:r>
      <w:r w:rsidR="00DD33A3" w:rsidRPr="00362624">
        <w:rPr>
          <w:rFonts w:ascii="Arial" w:eastAsia="Calibri" w:hAnsi="Arial" w:cs="Arial"/>
          <w:color w:val="000000" w:themeColor="text1"/>
          <w:sz w:val="24"/>
          <w:szCs w:val="24"/>
        </w:rPr>
        <w:t xml:space="preserve">The </w:t>
      </w:r>
      <w:proofErr w:type="spellStart"/>
      <w:r w:rsidR="00664776" w:rsidRPr="00F300AA">
        <w:rPr>
          <w:rFonts w:ascii="Arial" w:hAnsi="Arial" w:cs="Arial"/>
          <w:color w:val="000000" w:themeColor="text1"/>
          <w:sz w:val="24"/>
          <w:szCs w:val="24"/>
        </w:rPr>
        <w:t>EuroQol</w:t>
      </w:r>
      <w:proofErr w:type="spellEnd"/>
      <w:r w:rsidR="00664776" w:rsidRPr="00F300AA">
        <w:rPr>
          <w:rFonts w:ascii="Arial" w:hAnsi="Arial" w:cs="Arial"/>
          <w:color w:val="000000" w:themeColor="text1"/>
          <w:sz w:val="24"/>
          <w:szCs w:val="24"/>
        </w:rPr>
        <w:t xml:space="preserve"> 5-Dimensional Questionnaire, 5-Level Version Visual Analogue Scale </w:t>
      </w:r>
      <w:r w:rsidR="0060037B">
        <w:rPr>
          <w:rFonts w:ascii="Arial" w:hAnsi="Arial" w:cs="Arial"/>
          <w:color w:val="000000" w:themeColor="text1"/>
          <w:sz w:val="24"/>
          <w:szCs w:val="24"/>
        </w:rPr>
        <w:t>(</w:t>
      </w:r>
      <w:r w:rsidR="00DD33A3" w:rsidRPr="00362624">
        <w:rPr>
          <w:rFonts w:ascii="Arial" w:eastAsia="Calibri" w:hAnsi="Arial" w:cs="Arial"/>
          <w:color w:val="000000" w:themeColor="text1"/>
          <w:sz w:val="24"/>
          <w:szCs w:val="24"/>
        </w:rPr>
        <w:t xml:space="preserve">EQ5D5L QOL </w:t>
      </w:r>
      <w:r w:rsidR="008C21A4">
        <w:rPr>
          <w:rFonts w:ascii="Arial" w:eastAsia="Calibri" w:hAnsi="Arial" w:cs="Arial"/>
          <w:color w:val="000000" w:themeColor="text1"/>
          <w:sz w:val="24"/>
          <w:szCs w:val="24"/>
        </w:rPr>
        <w:t>VAS</w:t>
      </w:r>
      <w:r w:rsidR="0060037B">
        <w:rPr>
          <w:rFonts w:ascii="Arial" w:eastAsia="Calibri" w:hAnsi="Arial" w:cs="Arial"/>
          <w:color w:val="000000" w:themeColor="text1"/>
          <w:sz w:val="24"/>
          <w:szCs w:val="24"/>
        </w:rPr>
        <w:t>)</w:t>
      </w:r>
      <w:r w:rsidR="008C21A4">
        <w:rPr>
          <w:rFonts w:ascii="Arial" w:eastAsia="Calibri" w:hAnsi="Arial" w:cs="Arial"/>
          <w:color w:val="000000" w:themeColor="text1"/>
          <w:sz w:val="24"/>
          <w:szCs w:val="24"/>
        </w:rPr>
        <w:t xml:space="preserve"> </w:t>
      </w:r>
      <w:r w:rsidR="00DD33A3" w:rsidRPr="00362624">
        <w:rPr>
          <w:rFonts w:ascii="Arial" w:eastAsia="Calibri" w:hAnsi="Arial" w:cs="Arial"/>
          <w:color w:val="000000" w:themeColor="text1"/>
          <w:sz w:val="24"/>
          <w:szCs w:val="24"/>
        </w:rPr>
        <w:t xml:space="preserve">showed </w:t>
      </w:r>
      <w:r w:rsidR="00DD33A3">
        <w:rPr>
          <w:rFonts w:ascii="Arial" w:eastAsia="Calibri" w:hAnsi="Arial" w:cs="Arial"/>
          <w:color w:val="000000" w:themeColor="text1"/>
          <w:sz w:val="24"/>
          <w:szCs w:val="24"/>
        </w:rPr>
        <w:t xml:space="preserve">a </w:t>
      </w:r>
      <w:r w:rsidR="00DD33A3" w:rsidRPr="00362624">
        <w:rPr>
          <w:rFonts w:ascii="Arial" w:eastAsia="Calibri" w:hAnsi="Arial" w:cs="Arial"/>
          <w:color w:val="000000" w:themeColor="text1"/>
          <w:sz w:val="24"/>
          <w:szCs w:val="24"/>
        </w:rPr>
        <w:t xml:space="preserve">mean improvement of </w:t>
      </w:r>
      <w:r w:rsidR="00DD33A3">
        <w:rPr>
          <w:rFonts w:ascii="Arial" w:eastAsia="Calibri" w:hAnsi="Arial" w:cs="Arial"/>
          <w:color w:val="000000" w:themeColor="text1"/>
          <w:sz w:val="24"/>
          <w:szCs w:val="24"/>
        </w:rPr>
        <w:t>+</w:t>
      </w:r>
      <w:r w:rsidR="00DD33A3" w:rsidRPr="00362624">
        <w:rPr>
          <w:rFonts w:ascii="Arial" w:eastAsia="Calibri" w:hAnsi="Arial" w:cs="Arial"/>
          <w:color w:val="000000" w:themeColor="text1"/>
          <w:sz w:val="24"/>
          <w:szCs w:val="24"/>
        </w:rPr>
        <w:t>7.5 (</w:t>
      </w:r>
      <w:r w:rsidR="00DD33A3">
        <w:rPr>
          <w:rFonts w:ascii="Arial" w:eastAsia="Calibri" w:hAnsi="Arial" w:cs="Arial"/>
          <w:color w:val="000000" w:themeColor="text1"/>
          <w:sz w:val="24"/>
          <w:szCs w:val="24"/>
        </w:rPr>
        <w:t xml:space="preserve">from </w:t>
      </w:r>
      <w:r w:rsidR="00DD33A3" w:rsidRPr="00362624">
        <w:rPr>
          <w:rFonts w:ascii="Arial" w:eastAsia="Calibri" w:hAnsi="Arial" w:cs="Arial"/>
          <w:color w:val="000000" w:themeColor="text1"/>
          <w:sz w:val="24"/>
          <w:szCs w:val="24"/>
        </w:rPr>
        <w:t>60 to 67.5)</w:t>
      </w:r>
      <w:r w:rsidR="00DD33A3">
        <w:rPr>
          <w:rFonts w:ascii="Arial" w:eastAsia="Calibri" w:hAnsi="Arial" w:cs="Arial"/>
          <w:color w:val="000000" w:themeColor="text1"/>
          <w:sz w:val="24"/>
          <w:szCs w:val="24"/>
        </w:rPr>
        <w:t xml:space="preserve"> points</w:t>
      </w:r>
      <w:r w:rsidR="00DD33A3" w:rsidRPr="00362624">
        <w:rPr>
          <w:rFonts w:ascii="Arial" w:eastAsia="Calibri" w:hAnsi="Arial" w:cs="Arial"/>
          <w:color w:val="000000" w:themeColor="text1"/>
          <w:sz w:val="24"/>
          <w:szCs w:val="24"/>
        </w:rPr>
        <w:t>. Improvement in QOL was</w:t>
      </w:r>
      <w:r w:rsidR="00DD33A3">
        <w:rPr>
          <w:rFonts w:ascii="Arial" w:eastAsia="Calibri" w:hAnsi="Arial" w:cs="Arial"/>
          <w:color w:val="000000" w:themeColor="text1"/>
          <w:sz w:val="24"/>
          <w:szCs w:val="24"/>
        </w:rPr>
        <w:t xml:space="preserve"> </w:t>
      </w:r>
      <w:r w:rsidR="00DD33A3" w:rsidRPr="00362624">
        <w:rPr>
          <w:rFonts w:ascii="Arial" w:eastAsia="Calibri" w:hAnsi="Arial" w:cs="Arial"/>
          <w:color w:val="000000" w:themeColor="text1"/>
          <w:sz w:val="24"/>
          <w:szCs w:val="24"/>
        </w:rPr>
        <w:t xml:space="preserve">overall </w:t>
      </w:r>
      <w:r w:rsidR="00DD33A3">
        <w:rPr>
          <w:rFonts w:ascii="Arial" w:eastAsia="Calibri" w:hAnsi="Arial" w:cs="Arial"/>
          <w:color w:val="000000" w:themeColor="text1"/>
          <w:sz w:val="24"/>
          <w:szCs w:val="24"/>
        </w:rPr>
        <w:t xml:space="preserve">significantly </w:t>
      </w:r>
      <w:r w:rsidR="00DD33A3" w:rsidRPr="00362624">
        <w:rPr>
          <w:rFonts w:ascii="Arial" w:eastAsia="Calibri" w:hAnsi="Arial" w:cs="Arial"/>
          <w:color w:val="000000" w:themeColor="text1"/>
          <w:sz w:val="24"/>
          <w:szCs w:val="24"/>
        </w:rPr>
        <w:t xml:space="preserve">greater in </w:t>
      </w:r>
      <w:r w:rsidR="00DD33A3">
        <w:rPr>
          <w:rFonts w:ascii="Arial" w:eastAsia="Calibri" w:hAnsi="Arial" w:cs="Arial"/>
          <w:color w:val="000000" w:themeColor="text1"/>
          <w:sz w:val="24"/>
          <w:szCs w:val="24"/>
        </w:rPr>
        <w:t>those</w:t>
      </w:r>
      <w:r w:rsidR="00DD33A3" w:rsidRPr="00362624">
        <w:rPr>
          <w:rFonts w:ascii="Arial" w:eastAsia="Calibri" w:hAnsi="Arial" w:cs="Arial"/>
          <w:color w:val="000000" w:themeColor="text1"/>
          <w:sz w:val="24"/>
          <w:szCs w:val="24"/>
        </w:rPr>
        <w:t xml:space="preserve"> who </w:t>
      </w:r>
      <w:r w:rsidR="00DD33A3">
        <w:rPr>
          <w:rFonts w:ascii="Arial" w:eastAsia="Calibri" w:hAnsi="Arial" w:cs="Arial"/>
          <w:color w:val="000000" w:themeColor="text1"/>
          <w:sz w:val="24"/>
          <w:szCs w:val="24"/>
        </w:rPr>
        <w:t xml:space="preserve">remained </w:t>
      </w:r>
      <w:r w:rsidR="00DD33A3" w:rsidRPr="00362624">
        <w:rPr>
          <w:rFonts w:ascii="Arial" w:eastAsia="Calibri" w:hAnsi="Arial" w:cs="Arial"/>
          <w:color w:val="000000" w:themeColor="text1"/>
          <w:sz w:val="24"/>
          <w:szCs w:val="24"/>
        </w:rPr>
        <w:t xml:space="preserve">on </w:t>
      </w:r>
      <w:proofErr w:type="spellStart"/>
      <w:r w:rsidR="00DD33A3" w:rsidRPr="00362624">
        <w:rPr>
          <w:rFonts w:ascii="Arial" w:eastAsia="Calibri" w:hAnsi="Arial" w:cs="Arial"/>
          <w:color w:val="000000" w:themeColor="text1"/>
          <w:sz w:val="24"/>
          <w:szCs w:val="24"/>
        </w:rPr>
        <w:t>semaglutide</w:t>
      </w:r>
      <w:proofErr w:type="spellEnd"/>
      <w:r w:rsidR="00DD33A3" w:rsidRPr="00362624">
        <w:rPr>
          <w:rFonts w:ascii="Arial" w:eastAsia="Calibri" w:hAnsi="Arial" w:cs="Arial"/>
          <w:color w:val="000000" w:themeColor="text1"/>
          <w:sz w:val="24"/>
          <w:szCs w:val="24"/>
        </w:rPr>
        <w:t xml:space="preserve"> </w:t>
      </w:r>
      <w:r w:rsidR="00DD33A3">
        <w:rPr>
          <w:rFonts w:ascii="Arial" w:eastAsia="Calibri" w:hAnsi="Arial" w:cs="Arial"/>
          <w:color w:val="000000" w:themeColor="text1"/>
          <w:sz w:val="24"/>
          <w:szCs w:val="24"/>
        </w:rPr>
        <w:t>(+9.5) than</w:t>
      </w:r>
      <w:r w:rsidR="00DD33A3" w:rsidRPr="00362624">
        <w:rPr>
          <w:rFonts w:ascii="Arial" w:eastAsia="Calibri" w:hAnsi="Arial" w:cs="Arial"/>
          <w:color w:val="000000" w:themeColor="text1"/>
          <w:sz w:val="24"/>
          <w:szCs w:val="24"/>
        </w:rPr>
        <w:t xml:space="preserve"> those who discontinued.</w:t>
      </w:r>
    </w:p>
    <w:p w14:paraId="1B69E15A" w14:textId="2B7CA046" w:rsidR="00DD33A3" w:rsidRDefault="00DD33A3" w:rsidP="00AC5461">
      <w:pPr>
        <w:shd w:val="clear" w:color="auto" w:fill="FFFFFF"/>
        <w:spacing w:after="0" w:line="360" w:lineRule="auto"/>
        <w:rPr>
          <w:rFonts w:ascii="Arial" w:hAnsi="Arial" w:cs="Arial"/>
          <w:sz w:val="24"/>
          <w:szCs w:val="24"/>
        </w:rPr>
      </w:pPr>
      <w:r>
        <w:rPr>
          <w:rFonts w:ascii="Arial" w:hAnsi="Arial" w:cs="Arial"/>
          <w:sz w:val="24"/>
          <w:szCs w:val="24"/>
        </w:rPr>
        <w:t xml:space="preserve"> </w:t>
      </w:r>
    </w:p>
    <w:p w14:paraId="5C6886A8" w14:textId="68275C2A" w:rsidR="00DD33A3" w:rsidRDefault="00DD33A3" w:rsidP="00AC5461">
      <w:pPr>
        <w:shd w:val="clear" w:color="auto" w:fill="FFFFFF"/>
        <w:spacing w:after="0" w:line="360" w:lineRule="auto"/>
        <w:rPr>
          <w:rFonts w:ascii="Arial" w:hAnsi="Arial" w:cs="Arial"/>
          <w:sz w:val="24"/>
          <w:szCs w:val="24"/>
        </w:rPr>
      </w:pPr>
      <w:r>
        <w:rPr>
          <w:rFonts w:ascii="Arial" w:eastAsia="Times New Roman" w:hAnsi="Arial" w:cs="Arial"/>
          <w:color w:val="000000" w:themeColor="text1"/>
          <w:kern w:val="0"/>
          <w:sz w:val="24"/>
          <w:szCs w:val="24"/>
          <w:lang w:eastAsia="en-GB"/>
          <w14:ligatures w14:val="none"/>
        </w:rPr>
        <w:t xml:space="preserve">Six patients discontinued </w:t>
      </w:r>
      <w:proofErr w:type="spellStart"/>
      <w:r>
        <w:rPr>
          <w:rFonts w:ascii="Arial" w:eastAsia="Times New Roman" w:hAnsi="Arial" w:cs="Arial"/>
          <w:color w:val="000000" w:themeColor="text1"/>
          <w:kern w:val="0"/>
          <w:sz w:val="24"/>
          <w:szCs w:val="24"/>
          <w:lang w:eastAsia="en-GB"/>
          <w14:ligatures w14:val="none"/>
        </w:rPr>
        <w:t>semaglutide</w:t>
      </w:r>
      <w:proofErr w:type="spellEnd"/>
      <w:r>
        <w:rPr>
          <w:rFonts w:ascii="Arial" w:eastAsia="Times New Roman" w:hAnsi="Arial" w:cs="Arial"/>
          <w:color w:val="000000" w:themeColor="text1"/>
          <w:kern w:val="0"/>
          <w:sz w:val="24"/>
          <w:szCs w:val="24"/>
          <w:lang w:eastAsia="en-GB"/>
          <w14:ligatures w14:val="none"/>
        </w:rPr>
        <w:t xml:space="preserve"> before the study end, including two who were discharged and </w:t>
      </w:r>
      <w:r w:rsidRPr="00362624">
        <w:rPr>
          <w:rFonts w:ascii="Arial" w:hAnsi="Arial" w:cs="Arial"/>
          <w:sz w:val="24"/>
          <w:szCs w:val="24"/>
        </w:rPr>
        <w:t xml:space="preserve">no longer able to receive </w:t>
      </w:r>
      <w:r>
        <w:rPr>
          <w:rFonts w:ascii="Arial" w:hAnsi="Arial" w:cs="Arial"/>
          <w:sz w:val="24"/>
          <w:szCs w:val="24"/>
        </w:rPr>
        <w:t>the intervention, and four who withdrew due to medical concerns</w:t>
      </w:r>
      <w:r w:rsidR="002D7D33">
        <w:rPr>
          <w:rFonts w:ascii="Arial" w:hAnsi="Arial" w:cs="Arial"/>
          <w:sz w:val="24"/>
          <w:szCs w:val="24"/>
        </w:rPr>
        <w:t xml:space="preserve"> or patient choice</w:t>
      </w:r>
      <w:r>
        <w:rPr>
          <w:rFonts w:ascii="Arial" w:hAnsi="Arial" w:cs="Arial"/>
          <w:sz w:val="24"/>
          <w:szCs w:val="24"/>
        </w:rPr>
        <w:t>.</w:t>
      </w:r>
    </w:p>
    <w:p w14:paraId="1A03DCAC" w14:textId="77777777" w:rsidR="00DD33A3" w:rsidRDefault="00DD33A3" w:rsidP="00AC5461">
      <w:pPr>
        <w:shd w:val="clear" w:color="auto" w:fill="FFFFFF"/>
        <w:spacing w:after="0" w:line="360" w:lineRule="auto"/>
        <w:rPr>
          <w:rFonts w:ascii="Arial" w:hAnsi="Arial" w:cs="Arial"/>
          <w:sz w:val="24"/>
          <w:szCs w:val="24"/>
        </w:rPr>
      </w:pPr>
    </w:p>
    <w:p w14:paraId="2BB77797" w14:textId="5024AA70" w:rsidR="00AC5461" w:rsidRPr="00DB0EB2" w:rsidRDefault="00DD33A3" w:rsidP="00DB0EB2">
      <w:pPr>
        <w:spacing w:after="0" w:line="360" w:lineRule="auto"/>
        <w:rPr>
          <w:rFonts w:ascii="Arial" w:eastAsia="Calibri" w:hAnsi="Arial" w:cs="Arial"/>
          <w:color w:val="000000" w:themeColor="text1"/>
          <w:sz w:val="24"/>
          <w:szCs w:val="24"/>
        </w:rPr>
      </w:pPr>
      <w:r w:rsidRPr="00915884">
        <w:rPr>
          <w:rFonts w:ascii="Arial" w:hAnsi="Arial" w:cs="Arial"/>
          <w:sz w:val="24"/>
          <w:szCs w:val="24"/>
        </w:rPr>
        <w:t>Individual percentage</w:t>
      </w:r>
      <w:r w:rsidRPr="002A2B4C">
        <w:rPr>
          <w:rFonts w:ascii="Arial" w:hAnsi="Arial" w:cs="Arial"/>
          <w:sz w:val="24"/>
          <w:szCs w:val="24"/>
        </w:rPr>
        <w:t xml:space="preserve"> weight change varied from +1% to -12% (median 5%),</w:t>
      </w:r>
      <w:r>
        <w:rPr>
          <w:rFonts w:ascii="Arial" w:hAnsi="Arial" w:cs="Arial"/>
          <w:sz w:val="24"/>
          <w:szCs w:val="24"/>
        </w:rPr>
        <w:t xml:space="preserve"> and weight reduction was seen in all except two patients.</w:t>
      </w:r>
      <w:r>
        <w:rPr>
          <w:rFonts w:ascii="Arial" w:eastAsia="Calibri" w:hAnsi="Arial" w:cs="Arial"/>
          <w:color w:val="000000" w:themeColor="text1"/>
          <w:sz w:val="24"/>
          <w:szCs w:val="24"/>
        </w:rPr>
        <w:t xml:space="preserve"> </w:t>
      </w:r>
      <w:r>
        <w:rPr>
          <w:rFonts w:ascii="Arial" w:hAnsi="Arial" w:cs="Arial"/>
          <w:sz w:val="24"/>
          <w:szCs w:val="24"/>
        </w:rPr>
        <w:t>A</w:t>
      </w:r>
      <w:r w:rsidRPr="00362624">
        <w:rPr>
          <w:rFonts w:ascii="Arial" w:hAnsi="Arial" w:cs="Arial"/>
          <w:sz w:val="24"/>
          <w:szCs w:val="24"/>
        </w:rPr>
        <w:t>ll but one patient</w:t>
      </w:r>
      <w:r>
        <w:rPr>
          <w:rFonts w:ascii="Arial" w:hAnsi="Arial" w:cs="Arial"/>
          <w:sz w:val="24"/>
          <w:szCs w:val="24"/>
        </w:rPr>
        <w:t xml:space="preserve"> demonstrated a reduction in</w:t>
      </w:r>
      <w:r w:rsidRPr="00362624">
        <w:rPr>
          <w:rFonts w:ascii="Arial" w:hAnsi="Arial" w:cs="Arial"/>
          <w:sz w:val="24"/>
          <w:szCs w:val="24"/>
        </w:rPr>
        <w:t xml:space="preserve"> HbA1c</w:t>
      </w:r>
      <w:r>
        <w:rPr>
          <w:rFonts w:ascii="Arial" w:hAnsi="Arial" w:cs="Arial"/>
          <w:sz w:val="24"/>
          <w:szCs w:val="24"/>
        </w:rPr>
        <w:t xml:space="preserve"> levels</w:t>
      </w:r>
      <w:r>
        <w:rPr>
          <w:rFonts w:ascii="Arial" w:eastAsia="Calibri" w:hAnsi="Arial" w:cs="Arial"/>
          <w:color w:val="000000" w:themeColor="text1"/>
          <w:sz w:val="24"/>
          <w:szCs w:val="24"/>
        </w:rPr>
        <w:t xml:space="preserve">. </w:t>
      </w:r>
    </w:p>
    <w:p w14:paraId="4F18B5C4" w14:textId="77777777" w:rsidR="00AC5461" w:rsidRDefault="00AC5461" w:rsidP="00AC5461">
      <w:pPr>
        <w:spacing w:after="0" w:line="360" w:lineRule="auto"/>
        <w:rPr>
          <w:rFonts w:ascii="Arial" w:eastAsia="Calibri" w:hAnsi="Arial" w:cs="Arial"/>
          <w:color w:val="000000" w:themeColor="text1"/>
          <w:sz w:val="24"/>
          <w:szCs w:val="24"/>
        </w:rPr>
      </w:pPr>
    </w:p>
    <w:p w14:paraId="02021193" w14:textId="05A93747" w:rsidR="00AC5461" w:rsidRPr="00362624" w:rsidRDefault="00AC5461" w:rsidP="00AC5461">
      <w:pPr>
        <w:spacing w:after="0" w:line="360" w:lineRule="auto"/>
        <w:rPr>
          <w:rFonts w:ascii="Arial" w:eastAsia="Calibri" w:hAnsi="Arial" w:cs="Arial"/>
          <w:color w:val="000000" w:themeColor="text1"/>
          <w:sz w:val="24"/>
          <w:szCs w:val="24"/>
        </w:rPr>
      </w:pPr>
      <w:r w:rsidRPr="00362624">
        <w:rPr>
          <w:rFonts w:ascii="Arial" w:eastAsia="Calibri" w:hAnsi="Arial" w:cs="Arial"/>
          <w:color w:val="000000" w:themeColor="text1"/>
          <w:sz w:val="24"/>
          <w:szCs w:val="24"/>
        </w:rPr>
        <w:lastRenderedPageBreak/>
        <w:t xml:space="preserve">Mean HbA1c fell </w:t>
      </w:r>
      <w:r>
        <w:rPr>
          <w:rFonts w:ascii="Arial" w:eastAsia="Calibri" w:hAnsi="Arial" w:cs="Arial"/>
          <w:color w:val="000000" w:themeColor="text1"/>
          <w:sz w:val="24"/>
          <w:szCs w:val="24"/>
        </w:rPr>
        <w:t xml:space="preserve">significantly </w:t>
      </w:r>
      <w:r w:rsidRPr="00362624">
        <w:rPr>
          <w:rFonts w:ascii="Arial" w:eastAsia="Calibri" w:hAnsi="Arial" w:cs="Arial"/>
          <w:color w:val="000000" w:themeColor="text1"/>
          <w:sz w:val="24"/>
          <w:szCs w:val="24"/>
        </w:rPr>
        <w:t>from 41 (range 34</w:t>
      </w:r>
      <w:r>
        <w:rPr>
          <w:rFonts w:ascii="Arial" w:eastAsia="Calibri" w:hAnsi="Arial" w:cs="Arial"/>
          <w:color w:val="000000" w:themeColor="text1"/>
          <w:sz w:val="24"/>
          <w:szCs w:val="24"/>
        </w:rPr>
        <w:t>–</w:t>
      </w:r>
      <w:r w:rsidRPr="00362624">
        <w:rPr>
          <w:rFonts w:ascii="Arial" w:eastAsia="Calibri" w:hAnsi="Arial" w:cs="Arial"/>
          <w:color w:val="000000" w:themeColor="text1"/>
          <w:sz w:val="24"/>
          <w:szCs w:val="24"/>
        </w:rPr>
        <w:t>47) mmol/mol to 35.3 (31</w:t>
      </w:r>
      <w:r>
        <w:rPr>
          <w:rFonts w:ascii="Arial" w:eastAsia="Calibri" w:hAnsi="Arial" w:cs="Arial"/>
          <w:color w:val="000000" w:themeColor="text1"/>
          <w:sz w:val="24"/>
          <w:szCs w:val="24"/>
        </w:rPr>
        <w:t>–</w:t>
      </w:r>
      <w:r w:rsidRPr="00362624">
        <w:rPr>
          <w:rFonts w:ascii="Arial" w:eastAsia="Calibri" w:hAnsi="Arial" w:cs="Arial"/>
          <w:color w:val="000000" w:themeColor="text1"/>
          <w:sz w:val="24"/>
          <w:szCs w:val="24"/>
        </w:rPr>
        <w:t>45) mmol/mol</w:t>
      </w:r>
      <w:r w:rsidR="008B31EF">
        <w:rPr>
          <w:rFonts w:ascii="Arial" w:eastAsia="Calibri" w:hAnsi="Arial" w:cs="Arial"/>
          <w:color w:val="000000" w:themeColor="text1"/>
          <w:sz w:val="24"/>
          <w:szCs w:val="24"/>
        </w:rPr>
        <w:t xml:space="preserve"> (5.9% to 5.4</w:t>
      </w:r>
      <w:r w:rsidR="00FE1DE3">
        <w:rPr>
          <w:rFonts w:ascii="Arial" w:eastAsia="Calibri" w:hAnsi="Arial" w:cs="Arial"/>
          <w:color w:val="000000" w:themeColor="text1"/>
          <w:sz w:val="24"/>
          <w:szCs w:val="24"/>
        </w:rPr>
        <w:t>%</w:t>
      </w:r>
      <w:r w:rsidR="008B31EF">
        <w:rPr>
          <w:rFonts w:ascii="Arial" w:eastAsia="Calibri" w:hAnsi="Arial" w:cs="Arial"/>
          <w:color w:val="000000" w:themeColor="text1"/>
          <w:sz w:val="24"/>
          <w:szCs w:val="24"/>
        </w:rPr>
        <w:t>)</w:t>
      </w:r>
      <w:r w:rsidRPr="00362624">
        <w:rPr>
          <w:rFonts w:ascii="Arial" w:hAnsi="Arial" w:cs="Arial"/>
          <w:sz w:val="24"/>
          <w:szCs w:val="24"/>
        </w:rPr>
        <w:t xml:space="preserve">. </w:t>
      </w:r>
      <w:r>
        <w:rPr>
          <w:rFonts w:ascii="Arial" w:hAnsi="Arial" w:cs="Arial"/>
          <w:sz w:val="24"/>
          <w:szCs w:val="24"/>
        </w:rPr>
        <w:t>Importantly, a</w:t>
      </w:r>
      <w:r w:rsidRPr="00362624">
        <w:rPr>
          <w:rFonts w:ascii="Arial" w:hAnsi="Arial" w:cs="Arial"/>
          <w:sz w:val="24"/>
          <w:szCs w:val="24"/>
        </w:rPr>
        <w:t xml:space="preserve">ll </w:t>
      </w:r>
      <w:r>
        <w:rPr>
          <w:rFonts w:ascii="Arial" w:hAnsi="Arial" w:cs="Arial"/>
          <w:sz w:val="24"/>
          <w:szCs w:val="24"/>
        </w:rPr>
        <w:t xml:space="preserve">patients </w:t>
      </w:r>
      <w:r w:rsidRPr="00362624">
        <w:rPr>
          <w:rFonts w:ascii="Arial" w:hAnsi="Arial" w:cs="Arial"/>
          <w:sz w:val="24"/>
          <w:szCs w:val="24"/>
        </w:rPr>
        <w:t xml:space="preserve">with baseline HbA1c in the </w:t>
      </w:r>
      <w:r>
        <w:rPr>
          <w:rFonts w:ascii="Arial" w:hAnsi="Arial" w:cs="Arial"/>
          <w:sz w:val="24"/>
          <w:szCs w:val="24"/>
        </w:rPr>
        <w:t xml:space="preserve">non-diabetic hyperglycaemia </w:t>
      </w:r>
      <w:r w:rsidRPr="00362624">
        <w:rPr>
          <w:rFonts w:ascii="Arial" w:hAnsi="Arial" w:cs="Arial"/>
          <w:sz w:val="24"/>
          <w:szCs w:val="24"/>
        </w:rPr>
        <w:t xml:space="preserve">range </w:t>
      </w:r>
      <w:r>
        <w:rPr>
          <w:rFonts w:ascii="Arial" w:hAnsi="Arial" w:cs="Arial"/>
          <w:sz w:val="24"/>
          <w:szCs w:val="24"/>
        </w:rPr>
        <w:t>(</w:t>
      </w:r>
      <w:r w:rsidRPr="00362624">
        <w:rPr>
          <w:rFonts w:ascii="Arial" w:hAnsi="Arial" w:cs="Arial"/>
          <w:sz w:val="24"/>
          <w:szCs w:val="24"/>
        </w:rPr>
        <w:t>42-47</w:t>
      </w:r>
      <w:r>
        <w:rPr>
          <w:rFonts w:ascii="Arial" w:hAnsi="Arial" w:cs="Arial"/>
          <w:sz w:val="24"/>
          <w:szCs w:val="24"/>
        </w:rPr>
        <w:t xml:space="preserve"> </w:t>
      </w:r>
      <w:r w:rsidRPr="00362624">
        <w:rPr>
          <w:rFonts w:ascii="Arial" w:hAnsi="Arial" w:cs="Arial"/>
          <w:sz w:val="24"/>
          <w:szCs w:val="24"/>
        </w:rPr>
        <w:t>mmol/mol</w:t>
      </w:r>
      <w:r>
        <w:rPr>
          <w:rFonts w:ascii="Arial" w:hAnsi="Arial" w:cs="Arial"/>
          <w:sz w:val="24"/>
          <w:szCs w:val="24"/>
        </w:rPr>
        <w:t>)</w:t>
      </w:r>
      <w:r w:rsidRPr="00362624">
        <w:rPr>
          <w:rFonts w:ascii="Arial" w:hAnsi="Arial" w:cs="Arial"/>
          <w:sz w:val="24"/>
          <w:szCs w:val="24"/>
        </w:rPr>
        <w:t xml:space="preserve"> </w:t>
      </w:r>
      <w:r w:rsidR="008B31EF">
        <w:rPr>
          <w:rFonts w:ascii="Arial" w:hAnsi="Arial" w:cs="Arial"/>
          <w:sz w:val="24"/>
          <w:szCs w:val="24"/>
        </w:rPr>
        <w:t xml:space="preserve">(6.0% to 6.5%) </w:t>
      </w:r>
      <w:r>
        <w:rPr>
          <w:rFonts w:ascii="Arial" w:hAnsi="Arial" w:cs="Arial"/>
          <w:sz w:val="24"/>
          <w:szCs w:val="24"/>
        </w:rPr>
        <w:t>demonstrated a</w:t>
      </w:r>
      <w:r w:rsidRPr="00362624">
        <w:rPr>
          <w:rFonts w:ascii="Arial" w:hAnsi="Arial" w:cs="Arial"/>
          <w:sz w:val="24"/>
          <w:szCs w:val="24"/>
        </w:rPr>
        <w:t xml:space="preserve"> reduction of HbA1c </w:t>
      </w:r>
      <w:r>
        <w:rPr>
          <w:rFonts w:ascii="Arial" w:hAnsi="Arial" w:cs="Arial"/>
          <w:sz w:val="24"/>
          <w:szCs w:val="24"/>
        </w:rPr>
        <w:t xml:space="preserve">to </w:t>
      </w:r>
      <w:r w:rsidRPr="00362624">
        <w:rPr>
          <w:rFonts w:ascii="Arial" w:hAnsi="Arial" w:cs="Arial"/>
          <w:sz w:val="24"/>
          <w:szCs w:val="24"/>
        </w:rPr>
        <w:t>below 42</w:t>
      </w:r>
      <w:r>
        <w:rPr>
          <w:rFonts w:ascii="Arial" w:hAnsi="Arial" w:cs="Arial"/>
          <w:sz w:val="24"/>
          <w:szCs w:val="24"/>
        </w:rPr>
        <w:t xml:space="preserve"> </w:t>
      </w:r>
      <w:r w:rsidRPr="00362624">
        <w:rPr>
          <w:rFonts w:ascii="Arial" w:hAnsi="Arial" w:cs="Arial"/>
          <w:sz w:val="24"/>
          <w:szCs w:val="24"/>
        </w:rPr>
        <w:t xml:space="preserve">mmol/mol </w:t>
      </w:r>
      <w:r w:rsidR="008B31EF">
        <w:rPr>
          <w:rFonts w:ascii="Arial" w:hAnsi="Arial" w:cs="Arial"/>
          <w:sz w:val="24"/>
          <w:szCs w:val="24"/>
        </w:rPr>
        <w:t xml:space="preserve">(6.0%) </w:t>
      </w:r>
      <w:r>
        <w:rPr>
          <w:rFonts w:ascii="Arial" w:hAnsi="Arial" w:cs="Arial"/>
          <w:sz w:val="24"/>
          <w:szCs w:val="24"/>
        </w:rPr>
        <w:t>by</w:t>
      </w:r>
      <w:r w:rsidRPr="00362624">
        <w:rPr>
          <w:rFonts w:ascii="Arial" w:hAnsi="Arial" w:cs="Arial"/>
          <w:sz w:val="24"/>
          <w:szCs w:val="24"/>
        </w:rPr>
        <w:t xml:space="preserve"> 3 months</w:t>
      </w:r>
      <w:r w:rsidR="00FE1DE3">
        <w:rPr>
          <w:rFonts w:ascii="Arial" w:hAnsi="Arial" w:cs="Arial"/>
          <w:sz w:val="24"/>
          <w:szCs w:val="24"/>
        </w:rPr>
        <w:t xml:space="preserve"> into </w:t>
      </w:r>
      <w:proofErr w:type="spellStart"/>
      <w:r w:rsidR="00FE1DE3">
        <w:rPr>
          <w:rFonts w:ascii="Arial" w:hAnsi="Arial" w:cs="Arial"/>
          <w:sz w:val="24"/>
          <w:szCs w:val="24"/>
        </w:rPr>
        <w:t>semaglutide</w:t>
      </w:r>
      <w:proofErr w:type="spellEnd"/>
      <w:r w:rsidR="00FE1DE3">
        <w:rPr>
          <w:rFonts w:ascii="Arial" w:hAnsi="Arial" w:cs="Arial"/>
          <w:sz w:val="24"/>
          <w:szCs w:val="24"/>
        </w:rPr>
        <w:t xml:space="preserve"> treatment</w:t>
      </w:r>
      <w:r w:rsidRPr="00362624">
        <w:rPr>
          <w:rFonts w:ascii="Arial" w:hAnsi="Arial" w:cs="Arial"/>
          <w:sz w:val="24"/>
          <w:szCs w:val="24"/>
        </w:rPr>
        <w:t xml:space="preserve">. </w:t>
      </w:r>
    </w:p>
    <w:p w14:paraId="2468E110" w14:textId="77777777" w:rsidR="00AC5461" w:rsidRPr="00362624" w:rsidRDefault="00AC5461" w:rsidP="00AC5461">
      <w:pPr>
        <w:spacing w:after="0" w:line="360" w:lineRule="auto"/>
        <w:rPr>
          <w:rFonts w:ascii="Arial" w:eastAsia="Calibri" w:hAnsi="Arial" w:cs="Arial"/>
          <w:color w:val="000000" w:themeColor="text1"/>
          <w:sz w:val="24"/>
          <w:szCs w:val="24"/>
        </w:rPr>
      </w:pPr>
    </w:p>
    <w:p w14:paraId="668EE02E" w14:textId="77777777" w:rsidR="00AC5461" w:rsidRPr="00362624" w:rsidRDefault="00AC5461" w:rsidP="00AC5461">
      <w:pPr>
        <w:spacing w:after="0" w:line="360" w:lineRule="auto"/>
      </w:pPr>
      <w:r w:rsidRPr="00362624">
        <w:rPr>
          <w:rFonts w:ascii="Arial" w:eastAsia="Calibri" w:hAnsi="Arial" w:cs="Arial"/>
          <w:color w:val="000000" w:themeColor="text1"/>
          <w:sz w:val="24"/>
          <w:szCs w:val="24"/>
        </w:rPr>
        <w:t>Prior to i</w:t>
      </w:r>
      <w:r>
        <w:rPr>
          <w:rFonts w:ascii="Arial" w:eastAsia="Calibri" w:hAnsi="Arial" w:cs="Arial"/>
          <w:color w:val="000000" w:themeColor="text1"/>
          <w:sz w:val="24"/>
          <w:szCs w:val="24"/>
        </w:rPr>
        <w:t>nitiation</w:t>
      </w:r>
      <w:r w:rsidRPr="00362624">
        <w:rPr>
          <w:rFonts w:ascii="Arial" w:eastAsia="Calibri" w:hAnsi="Arial" w:cs="Arial"/>
          <w:color w:val="000000" w:themeColor="text1"/>
          <w:sz w:val="24"/>
          <w:szCs w:val="24"/>
        </w:rPr>
        <w:t xml:space="preserve"> of </w:t>
      </w:r>
      <w:proofErr w:type="spellStart"/>
      <w:r w:rsidRPr="00362624">
        <w:rPr>
          <w:rFonts w:ascii="Arial" w:eastAsia="Calibri" w:hAnsi="Arial" w:cs="Arial"/>
          <w:color w:val="000000" w:themeColor="text1"/>
          <w:sz w:val="24"/>
          <w:szCs w:val="24"/>
        </w:rPr>
        <w:t>semaglutide</w:t>
      </w:r>
      <w:proofErr w:type="spellEnd"/>
      <w:r w:rsidRPr="00362624">
        <w:rPr>
          <w:rFonts w:ascii="Arial" w:eastAsia="Calibri" w:hAnsi="Arial" w:cs="Arial"/>
          <w:color w:val="000000" w:themeColor="text1"/>
          <w:sz w:val="24"/>
          <w:szCs w:val="24"/>
        </w:rPr>
        <w:t xml:space="preserve">, mean </w:t>
      </w:r>
      <w:r>
        <w:rPr>
          <w:rFonts w:ascii="Arial" w:eastAsia="Calibri" w:hAnsi="Arial" w:cs="Arial"/>
          <w:color w:val="000000" w:themeColor="text1"/>
          <w:sz w:val="24"/>
          <w:szCs w:val="24"/>
        </w:rPr>
        <w:t xml:space="preserve">blood pressure was </w:t>
      </w:r>
      <w:r w:rsidRPr="00362624">
        <w:rPr>
          <w:rFonts w:ascii="Arial" w:eastAsia="Calibri" w:hAnsi="Arial" w:cs="Arial"/>
          <w:color w:val="000000" w:themeColor="text1"/>
          <w:sz w:val="24"/>
          <w:szCs w:val="24"/>
        </w:rPr>
        <w:t>127 (range 117</w:t>
      </w:r>
      <w:r>
        <w:rPr>
          <w:rFonts w:ascii="Arial" w:eastAsia="Calibri" w:hAnsi="Arial" w:cs="Arial"/>
          <w:color w:val="000000" w:themeColor="text1"/>
          <w:sz w:val="24"/>
          <w:szCs w:val="24"/>
        </w:rPr>
        <w:t>–</w:t>
      </w:r>
      <w:r w:rsidRPr="00362624">
        <w:rPr>
          <w:rFonts w:ascii="Arial" w:eastAsia="Calibri" w:hAnsi="Arial" w:cs="Arial"/>
          <w:color w:val="000000" w:themeColor="text1"/>
          <w:sz w:val="24"/>
          <w:szCs w:val="24"/>
        </w:rPr>
        <w:t xml:space="preserve">145) mmHg </w:t>
      </w:r>
      <w:r>
        <w:rPr>
          <w:rFonts w:ascii="Arial" w:eastAsia="Calibri" w:hAnsi="Arial" w:cs="Arial"/>
          <w:color w:val="000000" w:themeColor="text1"/>
          <w:sz w:val="24"/>
          <w:szCs w:val="24"/>
        </w:rPr>
        <w:t xml:space="preserve">systolic </w:t>
      </w:r>
      <w:r w:rsidRPr="00362624">
        <w:rPr>
          <w:rFonts w:ascii="Arial" w:eastAsia="Calibri" w:hAnsi="Arial" w:cs="Arial"/>
          <w:color w:val="000000" w:themeColor="text1"/>
          <w:sz w:val="24"/>
          <w:szCs w:val="24"/>
        </w:rPr>
        <w:t>and 82 (62</w:t>
      </w:r>
      <w:r>
        <w:rPr>
          <w:rFonts w:ascii="Arial" w:eastAsia="Calibri" w:hAnsi="Arial" w:cs="Arial"/>
          <w:color w:val="000000" w:themeColor="text1"/>
          <w:sz w:val="24"/>
          <w:szCs w:val="24"/>
        </w:rPr>
        <w:t>–</w:t>
      </w:r>
      <w:r w:rsidRPr="00362624">
        <w:rPr>
          <w:rFonts w:ascii="Arial" w:eastAsia="Calibri" w:hAnsi="Arial" w:cs="Arial"/>
          <w:color w:val="000000" w:themeColor="text1"/>
          <w:sz w:val="24"/>
          <w:szCs w:val="24"/>
        </w:rPr>
        <w:t>99) mmHg</w:t>
      </w:r>
      <w:r>
        <w:rPr>
          <w:rFonts w:ascii="Arial" w:eastAsia="Calibri" w:hAnsi="Arial" w:cs="Arial"/>
          <w:color w:val="000000" w:themeColor="text1"/>
          <w:sz w:val="24"/>
          <w:szCs w:val="24"/>
        </w:rPr>
        <w:t xml:space="preserve"> diastolic</w:t>
      </w:r>
      <w:r w:rsidRPr="00362624">
        <w:rPr>
          <w:rFonts w:ascii="Arial" w:eastAsia="Calibri" w:hAnsi="Arial" w:cs="Arial"/>
          <w:color w:val="000000" w:themeColor="text1"/>
          <w:sz w:val="24"/>
          <w:szCs w:val="24"/>
        </w:rPr>
        <w:t>. At</w:t>
      </w:r>
      <w:r>
        <w:rPr>
          <w:rFonts w:ascii="Arial" w:eastAsia="Calibri" w:hAnsi="Arial" w:cs="Arial"/>
          <w:color w:val="000000" w:themeColor="text1"/>
          <w:sz w:val="24"/>
          <w:szCs w:val="24"/>
        </w:rPr>
        <w:t xml:space="preserve"> </w:t>
      </w:r>
      <w:r w:rsidRPr="00362624">
        <w:rPr>
          <w:rFonts w:ascii="Arial" w:eastAsia="Calibri" w:hAnsi="Arial" w:cs="Arial"/>
          <w:color w:val="000000" w:themeColor="text1"/>
          <w:sz w:val="24"/>
          <w:szCs w:val="24"/>
        </w:rPr>
        <w:t>last assessment</w:t>
      </w:r>
      <w:r>
        <w:rPr>
          <w:rFonts w:ascii="Arial" w:eastAsia="Calibri" w:hAnsi="Arial" w:cs="Arial"/>
          <w:color w:val="000000" w:themeColor="text1"/>
          <w:sz w:val="24"/>
          <w:szCs w:val="24"/>
        </w:rPr>
        <w:t>,</w:t>
      </w:r>
      <w:r w:rsidRPr="00362624">
        <w:rPr>
          <w:rFonts w:ascii="Arial" w:eastAsia="Calibri" w:hAnsi="Arial" w:cs="Arial"/>
          <w:color w:val="000000" w:themeColor="text1"/>
          <w:sz w:val="24"/>
          <w:szCs w:val="24"/>
        </w:rPr>
        <w:t xml:space="preserve"> average blood pressure </w:t>
      </w:r>
      <w:r>
        <w:rPr>
          <w:rFonts w:ascii="Arial" w:eastAsia="Calibri" w:hAnsi="Arial" w:cs="Arial"/>
          <w:color w:val="000000" w:themeColor="text1"/>
          <w:sz w:val="24"/>
          <w:szCs w:val="24"/>
        </w:rPr>
        <w:t>was</w:t>
      </w:r>
      <w:r w:rsidRPr="00362624">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reduced</w:t>
      </w:r>
      <w:r w:rsidRPr="00362624">
        <w:rPr>
          <w:rFonts w:ascii="Arial" w:eastAsia="Calibri" w:hAnsi="Arial" w:cs="Arial"/>
          <w:color w:val="000000" w:themeColor="text1"/>
          <w:sz w:val="24"/>
          <w:szCs w:val="24"/>
        </w:rPr>
        <w:t xml:space="preserve"> to 121 (107</w:t>
      </w:r>
      <w:r>
        <w:rPr>
          <w:rFonts w:ascii="Arial" w:eastAsia="Calibri" w:hAnsi="Arial" w:cs="Arial"/>
          <w:color w:val="000000" w:themeColor="text1"/>
          <w:sz w:val="24"/>
          <w:szCs w:val="24"/>
        </w:rPr>
        <w:t>–</w:t>
      </w:r>
      <w:r w:rsidRPr="00362624">
        <w:rPr>
          <w:rFonts w:ascii="Arial" w:eastAsia="Calibri" w:hAnsi="Arial" w:cs="Arial"/>
          <w:color w:val="000000" w:themeColor="text1"/>
          <w:sz w:val="24"/>
          <w:szCs w:val="24"/>
        </w:rPr>
        <w:t>136) mmHg</w:t>
      </w:r>
      <w:r>
        <w:rPr>
          <w:rFonts w:ascii="Arial" w:eastAsia="Calibri" w:hAnsi="Arial" w:cs="Arial"/>
          <w:color w:val="000000" w:themeColor="text1"/>
          <w:sz w:val="24"/>
          <w:szCs w:val="24"/>
        </w:rPr>
        <w:t xml:space="preserve"> systolic</w:t>
      </w:r>
      <w:r w:rsidRPr="00362624">
        <w:rPr>
          <w:rFonts w:ascii="Arial" w:eastAsia="Calibri" w:hAnsi="Arial" w:cs="Arial"/>
          <w:color w:val="000000" w:themeColor="text1"/>
          <w:sz w:val="24"/>
          <w:szCs w:val="24"/>
        </w:rPr>
        <w:t xml:space="preserve"> and 79 (65</w:t>
      </w:r>
      <w:r>
        <w:rPr>
          <w:rFonts w:ascii="Arial" w:eastAsia="Calibri" w:hAnsi="Arial" w:cs="Arial"/>
          <w:color w:val="000000" w:themeColor="text1"/>
          <w:sz w:val="24"/>
          <w:szCs w:val="24"/>
        </w:rPr>
        <w:t>–</w:t>
      </w:r>
      <w:r w:rsidRPr="00362624">
        <w:rPr>
          <w:rFonts w:ascii="Arial" w:eastAsia="Calibri" w:hAnsi="Arial" w:cs="Arial"/>
          <w:color w:val="000000" w:themeColor="text1"/>
          <w:sz w:val="24"/>
          <w:szCs w:val="24"/>
        </w:rPr>
        <w:t>96) mmHg</w:t>
      </w:r>
      <w:r>
        <w:rPr>
          <w:rFonts w:ascii="Arial" w:eastAsia="Calibri" w:hAnsi="Arial" w:cs="Arial"/>
          <w:color w:val="000000" w:themeColor="text1"/>
          <w:sz w:val="24"/>
          <w:szCs w:val="24"/>
        </w:rPr>
        <w:t xml:space="preserve"> diastolic</w:t>
      </w:r>
      <w:r w:rsidRPr="00362624">
        <w:rPr>
          <w:rFonts w:ascii="Arial" w:eastAsia="Calibri" w:hAnsi="Arial" w:cs="Arial"/>
          <w:color w:val="000000" w:themeColor="text1"/>
          <w:sz w:val="24"/>
          <w:szCs w:val="24"/>
        </w:rPr>
        <w:t>.</w:t>
      </w:r>
    </w:p>
    <w:p w14:paraId="123B2C7D" w14:textId="77777777" w:rsidR="00AC5461" w:rsidRPr="00362624" w:rsidRDefault="00AC5461" w:rsidP="00AC5461">
      <w:pPr>
        <w:pStyle w:val="NormalWeb"/>
        <w:shd w:val="clear" w:color="auto" w:fill="FFFFFF"/>
        <w:spacing w:before="0" w:beforeAutospacing="0" w:after="0" w:afterAutospacing="0" w:line="360" w:lineRule="auto"/>
        <w:rPr>
          <w:rFonts w:ascii="Arial" w:hAnsi="Arial" w:cs="Arial"/>
          <w:color w:val="000000" w:themeColor="text1"/>
          <w14:ligatures w14:val="none"/>
        </w:rPr>
      </w:pPr>
    </w:p>
    <w:p w14:paraId="032680D8" w14:textId="77777777" w:rsidR="00AC5461" w:rsidRPr="00362624" w:rsidRDefault="00AC5461" w:rsidP="00AC5461">
      <w:pPr>
        <w:pStyle w:val="NormalWeb"/>
        <w:shd w:val="clear" w:color="auto" w:fill="FFFFFF"/>
        <w:spacing w:before="0" w:beforeAutospacing="0" w:after="0" w:afterAutospacing="0" w:line="360" w:lineRule="auto"/>
        <w:rPr>
          <w:rFonts w:ascii="Arial" w:hAnsi="Arial" w:cs="Arial"/>
          <w:color w:val="000000" w:themeColor="text1"/>
          <w14:ligatures w14:val="none"/>
        </w:rPr>
      </w:pPr>
      <w:r w:rsidRPr="00362624">
        <w:rPr>
          <w:rFonts w:ascii="Arial" w:hAnsi="Arial" w:cs="Arial"/>
          <w:color w:val="000000" w:themeColor="text1"/>
          <w14:ligatures w14:val="none"/>
        </w:rPr>
        <w:t>Conclusion</w:t>
      </w:r>
    </w:p>
    <w:p w14:paraId="2F3B9FAD" w14:textId="77777777" w:rsidR="001F3BC4" w:rsidRDefault="00AC5461" w:rsidP="00AC5461">
      <w:pPr>
        <w:tabs>
          <w:tab w:val="left" w:pos="1202"/>
        </w:tabs>
        <w:kinsoku w:val="0"/>
        <w:overflowPunct w:val="0"/>
        <w:spacing w:after="0" w:line="360" w:lineRule="auto"/>
        <w:jc w:val="both"/>
        <w:textAlignment w:val="baseline"/>
        <w:rPr>
          <w:rFonts w:ascii="Arial" w:eastAsia="Times New Roman" w:hAnsi="Arial" w:cs="Arial"/>
          <w:kern w:val="0"/>
          <w:sz w:val="24"/>
          <w:szCs w:val="24"/>
          <w:lang w:eastAsia="en-GB"/>
          <w14:ligatures w14:val="none"/>
        </w:rPr>
      </w:pPr>
      <w:r w:rsidRPr="00362624">
        <w:rPr>
          <w:rFonts w:ascii="Arial" w:eastAsia="Times New Roman" w:hAnsi="Arial" w:cs="Arial"/>
          <w:kern w:val="24"/>
          <w:sz w:val="24"/>
          <w:szCs w:val="24"/>
          <w:highlight w:val="white"/>
          <w:lang w:eastAsia="en-GB"/>
          <w14:ligatures w14:val="none"/>
        </w:rPr>
        <w:t xml:space="preserve">In this feasibility study, </w:t>
      </w:r>
      <w:r>
        <w:rPr>
          <w:rFonts w:ascii="Arial" w:eastAsia="Times New Roman" w:hAnsi="Arial" w:cs="Arial"/>
          <w:kern w:val="24"/>
          <w:sz w:val="24"/>
          <w:szCs w:val="24"/>
          <w:highlight w:val="white"/>
          <w:lang w:eastAsia="en-GB"/>
          <w14:ligatures w14:val="none"/>
        </w:rPr>
        <w:t xml:space="preserve">weekly </w:t>
      </w:r>
      <w:proofErr w:type="spellStart"/>
      <w:r w:rsidRPr="00362624">
        <w:rPr>
          <w:rFonts w:ascii="Arial" w:eastAsia="Times New Roman" w:hAnsi="Arial" w:cs="Arial"/>
          <w:kern w:val="24"/>
          <w:sz w:val="24"/>
          <w:szCs w:val="24"/>
          <w:highlight w:val="white"/>
          <w:lang w:eastAsia="en-GB"/>
          <w14:ligatures w14:val="none"/>
        </w:rPr>
        <w:t>semaglutide</w:t>
      </w:r>
      <w:proofErr w:type="spellEnd"/>
      <w:r>
        <w:rPr>
          <w:rFonts w:ascii="Arial" w:eastAsia="Times New Roman" w:hAnsi="Arial" w:cs="Arial"/>
          <w:kern w:val="24"/>
          <w:sz w:val="24"/>
          <w:szCs w:val="24"/>
          <w:highlight w:val="white"/>
          <w:lang w:eastAsia="en-GB"/>
          <w14:ligatures w14:val="none"/>
        </w:rPr>
        <w:t xml:space="preserve"> treatment was associated with </w:t>
      </w:r>
      <w:r w:rsidRPr="00362624">
        <w:rPr>
          <w:rFonts w:ascii="Arial" w:eastAsia="Times New Roman" w:hAnsi="Arial" w:cs="Arial"/>
          <w:kern w:val="24"/>
          <w:sz w:val="24"/>
          <w:szCs w:val="24"/>
          <w:highlight w:val="white"/>
          <w:lang w:eastAsia="en-GB"/>
          <w14:ligatures w14:val="none"/>
        </w:rPr>
        <w:t xml:space="preserve">improvement in self-rated overall </w:t>
      </w:r>
      <w:r>
        <w:rPr>
          <w:rFonts w:ascii="Arial" w:eastAsia="Times New Roman" w:hAnsi="Arial" w:cs="Arial"/>
          <w:kern w:val="24"/>
          <w:sz w:val="24"/>
          <w:szCs w:val="24"/>
          <w:highlight w:val="white"/>
          <w:lang w:eastAsia="en-GB"/>
          <w14:ligatures w14:val="none"/>
        </w:rPr>
        <w:t>QOL and</w:t>
      </w:r>
      <w:r w:rsidRPr="00362624">
        <w:rPr>
          <w:rFonts w:ascii="Arial" w:eastAsia="Times New Roman" w:hAnsi="Arial" w:cs="Arial"/>
          <w:kern w:val="24"/>
          <w:sz w:val="24"/>
          <w:szCs w:val="24"/>
          <w:highlight w:val="white"/>
          <w:lang w:eastAsia="en-GB"/>
          <w14:ligatures w14:val="none"/>
        </w:rPr>
        <w:t xml:space="preserve"> reduction</w:t>
      </w:r>
      <w:r>
        <w:rPr>
          <w:rFonts w:ascii="Arial" w:eastAsia="Times New Roman" w:hAnsi="Arial" w:cs="Arial"/>
          <w:kern w:val="24"/>
          <w:sz w:val="24"/>
          <w:szCs w:val="24"/>
          <w:highlight w:val="white"/>
          <w:lang w:eastAsia="en-GB"/>
          <w14:ligatures w14:val="none"/>
        </w:rPr>
        <w:t>s</w:t>
      </w:r>
      <w:r w:rsidRPr="00362624">
        <w:rPr>
          <w:rFonts w:ascii="Arial" w:eastAsia="Times New Roman" w:hAnsi="Arial" w:cs="Arial"/>
          <w:kern w:val="24"/>
          <w:sz w:val="24"/>
          <w:szCs w:val="24"/>
          <w:highlight w:val="white"/>
          <w:lang w:eastAsia="en-GB"/>
          <w14:ligatures w14:val="none"/>
        </w:rPr>
        <w:t xml:space="preserve"> in BMI, HbA1c</w:t>
      </w:r>
      <w:r>
        <w:rPr>
          <w:rFonts w:ascii="Arial" w:eastAsia="Times New Roman" w:hAnsi="Arial" w:cs="Arial"/>
          <w:kern w:val="24"/>
          <w:sz w:val="24"/>
          <w:szCs w:val="24"/>
          <w:highlight w:val="white"/>
          <w:lang w:eastAsia="en-GB"/>
          <w14:ligatures w14:val="none"/>
        </w:rPr>
        <w:t xml:space="preserve"> and blood pressure</w:t>
      </w:r>
      <w:r>
        <w:rPr>
          <w:rFonts w:ascii="Arial" w:eastAsia="Times New Roman" w:hAnsi="Arial" w:cs="Arial"/>
          <w:kern w:val="24"/>
          <w:sz w:val="24"/>
          <w:szCs w:val="24"/>
          <w:lang w:eastAsia="en-GB"/>
          <w14:ligatures w14:val="none"/>
        </w:rPr>
        <w:t xml:space="preserve"> </w:t>
      </w:r>
      <w:r>
        <w:rPr>
          <w:rFonts w:ascii="Arial" w:eastAsia="Times New Roman" w:hAnsi="Arial" w:cs="Arial"/>
          <w:kern w:val="0"/>
          <w:sz w:val="24"/>
          <w:szCs w:val="24"/>
          <w:lang w:eastAsia="en-GB"/>
          <w14:ligatures w14:val="none"/>
        </w:rPr>
        <w:t>at up to 6 months follow-up</w:t>
      </w:r>
      <w:r w:rsidRPr="00362624">
        <w:rPr>
          <w:rFonts w:ascii="Arial" w:eastAsia="Times New Roman" w:hAnsi="Arial" w:cs="Arial"/>
          <w:kern w:val="0"/>
          <w:sz w:val="24"/>
          <w:szCs w:val="24"/>
          <w:lang w:eastAsia="en-GB"/>
          <w14:ligatures w14:val="none"/>
        </w:rPr>
        <w:t xml:space="preserve">. </w:t>
      </w:r>
      <w:r>
        <w:rPr>
          <w:rFonts w:ascii="Arial" w:eastAsia="Times New Roman" w:hAnsi="Arial" w:cs="Arial"/>
          <w:kern w:val="0"/>
          <w:sz w:val="24"/>
          <w:szCs w:val="24"/>
          <w:lang w:eastAsia="en-GB"/>
          <w14:ligatures w14:val="none"/>
        </w:rPr>
        <w:t>Even in patients who discontinued</w:t>
      </w:r>
    </w:p>
    <w:p w14:paraId="7729923E" w14:textId="7CF3C78E" w:rsidR="00AC5461" w:rsidRPr="00362624" w:rsidRDefault="00AC5461" w:rsidP="00AC5461">
      <w:pPr>
        <w:tabs>
          <w:tab w:val="left" w:pos="1202"/>
        </w:tabs>
        <w:kinsoku w:val="0"/>
        <w:overflowPunct w:val="0"/>
        <w:spacing w:after="0" w:line="36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kern w:val="0"/>
          <w:sz w:val="24"/>
          <w:szCs w:val="24"/>
          <w:lang w:eastAsia="en-GB"/>
          <w14:ligatures w14:val="none"/>
        </w:rPr>
        <w:t xml:space="preserve"> treatment before 6 months, initial </w:t>
      </w:r>
      <w:r w:rsidRPr="00362624">
        <w:rPr>
          <w:rFonts w:ascii="Arial" w:eastAsia="Times New Roman" w:hAnsi="Arial" w:cs="Arial"/>
          <w:kern w:val="0"/>
          <w:sz w:val="24"/>
          <w:szCs w:val="24"/>
          <w:lang w:eastAsia="en-GB"/>
          <w14:ligatures w14:val="none"/>
        </w:rPr>
        <w:t>benefit</w:t>
      </w:r>
      <w:r>
        <w:rPr>
          <w:rFonts w:ascii="Arial" w:eastAsia="Times New Roman" w:hAnsi="Arial" w:cs="Arial"/>
          <w:kern w:val="0"/>
          <w:sz w:val="24"/>
          <w:szCs w:val="24"/>
          <w:lang w:eastAsia="en-GB"/>
          <w14:ligatures w14:val="none"/>
        </w:rPr>
        <w:t>s</w:t>
      </w:r>
      <w:r w:rsidRPr="00362624">
        <w:rPr>
          <w:rFonts w:ascii="Arial" w:eastAsia="Times New Roman" w:hAnsi="Arial" w:cs="Arial"/>
          <w:kern w:val="0"/>
          <w:sz w:val="24"/>
          <w:szCs w:val="24"/>
          <w:lang w:eastAsia="en-GB"/>
          <w14:ligatures w14:val="none"/>
        </w:rPr>
        <w:t xml:space="preserve"> of weight reduction</w:t>
      </w:r>
      <w:r>
        <w:rPr>
          <w:rFonts w:ascii="Arial" w:eastAsia="Times New Roman" w:hAnsi="Arial" w:cs="Arial"/>
          <w:kern w:val="0"/>
          <w:sz w:val="24"/>
          <w:szCs w:val="24"/>
          <w:lang w:eastAsia="en-GB"/>
          <w14:ligatures w14:val="none"/>
        </w:rPr>
        <w:t xml:space="preserve"> and improved QOL were still demonstrated</w:t>
      </w:r>
      <w:r w:rsidRPr="00362624">
        <w:rPr>
          <w:rFonts w:ascii="Arial" w:eastAsia="Times New Roman" w:hAnsi="Arial" w:cs="Arial"/>
          <w:kern w:val="0"/>
          <w:sz w:val="24"/>
          <w:szCs w:val="24"/>
          <w:lang w:eastAsia="en-GB"/>
          <w14:ligatures w14:val="none"/>
        </w:rPr>
        <w:t xml:space="preserve">. </w:t>
      </w:r>
    </w:p>
    <w:p w14:paraId="10DC4213" w14:textId="77777777" w:rsidR="00AC5461" w:rsidRPr="00362624" w:rsidRDefault="00AC5461" w:rsidP="00AC5461">
      <w:pPr>
        <w:tabs>
          <w:tab w:val="left" w:pos="1202"/>
        </w:tabs>
        <w:kinsoku w:val="0"/>
        <w:overflowPunct w:val="0"/>
        <w:spacing w:after="0" w:line="360" w:lineRule="auto"/>
        <w:jc w:val="both"/>
        <w:textAlignment w:val="baseline"/>
        <w:rPr>
          <w:rFonts w:ascii="Arial" w:eastAsia="Times New Roman" w:hAnsi="Arial" w:cs="Arial"/>
          <w:kern w:val="0"/>
          <w:sz w:val="24"/>
          <w:szCs w:val="24"/>
          <w:lang w:eastAsia="en-GB"/>
          <w14:ligatures w14:val="none"/>
        </w:rPr>
      </w:pPr>
    </w:p>
    <w:p w14:paraId="6CDF8C85" w14:textId="77777777" w:rsidR="00AC5461" w:rsidRDefault="00AC5461" w:rsidP="00AC5461">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r w:rsidRPr="00362624">
        <w:rPr>
          <w:rFonts w:ascii="Arial" w:eastAsia="Times New Roman" w:hAnsi="Arial" w:cs="Arial"/>
          <w:kern w:val="24"/>
          <w:sz w:val="24"/>
          <w:szCs w:val="24"/>
          <w:highlight w:val="white"/>
          <w:lang w:eastAsia="en-GB"/>
          <w14:ligatures w14:val="none"/>
        </w:rPr>
        <w:t>Further evaluation, including health economic assessment</w:t>
      </w:r>
      <w:r>
        <w:rPr>
          <w:rFonts w:ascii="Arial" w:eastAsia="Times New Roman" w:hAnsi="Arial" w:cs="Arial"/>
          <w:kern w:val="24"/>
          <w:sz w:val="24"/>
          <w:szCs w:val="24"/>
          <w:highlight w:val="white"/>
          <w:lang w:eastAsia="en-GB"/>
          <w14:ligatures w14:val="none"/>
        </w:rPr>
        <w:t xml:space="preserve"> and longer-term follow up,</w:t>
      </w:r>
      <w:r w:rsidRPr="00362624">
        <w:rPr>
          <w:rFonts w:ascii="Arial" w:eastAsia="Times New Roman" w:hAnsi="Arial" w:cs="Arial"/>
          <w:kern w:val="24"/>
          <w:sz w:val="24"/>
          <w:szCs w:val="24"/>
          <w:highlight w:val="white"/>
          <w:lang w:eastAsia="en-GB"/>
          <w14:ligatures w14:val="none"/>
        </w:rPr>
        <w:t xml:space="preserve"> may support </w:t>
      </w:r>
      <w:r>
        <w:rPr>
          <w:rFonts w:ascii="Arial" w:eastAsia="Times New Roman" w:hAnsi="Arial" w:cs="Arial"/>
          <w:kern w:val="24"/>
          <w:sz w:val="24"/>
          <w:szCs w:val="24"/>
          <w:highlight w:val="white"/>
          <w:lang w:eastAsia="en-GB"/>
          <w14:ligatures w14:val="none"/>
        </w:rPr>
        <w:t>the expanded use of GLP-1 agonists</w:t>
      </w:r>
      <w:r w:rsidRPr="00362624">
        <w:rPr>
          <w:rFonts w:ascii="Arial" w:eastAsia="Times New Roman" w:hAnsi="Arial" w:cs="Arial"/>
          <w:kern w:val="24"/>
          <w:sz w:val="24"/>
          <w:szCs w:val="24"/>
          <w:highlight w:val="white"/>
          <w:lang w:eastAsia="en-GB"/>
          <w14:ligatures w14:val="none"/>
        </w:rPr>
        <w:t xml:space="preserve"> </w:t>
      </w:r>
      <w:r>
        <w:rPr>
          <w:rFonts w:ascii="Arial" w:eastAsia="Times New Roman" w:hAnsi="Arial" w:cs="Arial"/>
          <w:kern w:val="24"/>
          <w:sz w:val="24"/>
          <w:szCs w:val="24"/>
          <w:highlight w:val="white"/>
          <w:lang w:eastAsia="en-GB"/>
          <w14:ligatures w14:val="none"/>
        </w:rPr>
        <w:t xml:space="preserve">in </w:t>
      </w:r>
      <w:r w:rsidRPr="00362624">
        <w:rPr>
          <w:rFonts w:ascii="Arial" w:eastAsia="Times New Roman" w:hAnsi="Arial" w:cs="Arial"/>
          <w:kern w:val="24"/>
          <w:sz w:val="24"/>
          <w:szCs w:val="24"/>
          <w:highlight w:val="white"/>
          <w:lang w:eastAsia="en-GB"/>
          <w14:ligatures w14:val="none"/>
        </w:rPr>
        <w:t xml:space="preserve">improving </w:t>
      </w:r>
      <w:r>
        <w:rPr>
          <w:rFonts w:ascii="Arial" w:eastAsia="Times New Roman" w:hAnsi="Arial" w:cs="Arial"/>
          <w:kern w:val="24"/>
          <w:sz w:val="24"/>
          <w:szCs w:val="24"/>
          <w:highlight w:val="white"/>
          <w:lang w:eastAsia="en-GB"/>
          <w14:ligatures w14:val="none"/>
        </w:rPr>
        <w:t xml:space="preserve">the </w:t>
      </w:r>
      <w:r w:rsidRPr="00362624">
        <w:rPr>
          <w:rFonts w:ascii="Arial" w:eastAsia="Times New Roman" w:hAnsi="Arial" w:cs="Arial"/>
          <w:kern w:val="24"/>
          <w:sz w:val="24"/>
          <w:szCs w:val="24"/>
          <w:highlight w:val="white"/>
          <w:lang w:eastAsia="en-GB"/>
          <w14:ligatures w14:val="none"/>
        </w:rPr>
        <w:t xml:space="preserve">cardiometabolic profile </w:t>
      </w:r>
      <w:r>
        <w:rPr>
          <w:rFonts w:ascii="Arial" w:eastAsia="Times New Roman" w:hAnsi="Arial" w:cs="Arial"/>
          <w:kern w:val="24"/>
          <w:sz w:val="24"/>
          <w:szCs w:val="24"/>
          <w:highlight w:val="white"/>
          <w:lang w:eastAsia="en-GB"/>
          <w14:ligatures w14:val="none"/>
        </w:rPr>
        <w:t>and longitudinal</w:t>
      </w:r>
      <w:r w:rsidRPr="00362624">
        <w:rPr>
          <w:rFonts w:ascii="Arial" w:eastAsia="Times New Roman" w:hAnsi="Arial" w:cs="Arial"/>
          <w:kern w:val="24"/>
          <w:sz w:val="24"/>
          <w:szCs w:val="24"/>
          <w:highlight w:val="white"/>
          <w:lang w:eastAsia="en-GB"/>
          <w14:ligatures w14:val="none"/>
        </w:rPr>
        <w:t xml:space="preserve"> health outcomes in </w:t>
      </w:r>
      <w:r>
        <w:rPr>
          <w:rFonts w:ascii="Arial" w:eastAsia="Times New Roman" w:hAnsi="Arial" w:cs="Arial"/>
          <w:kern w:val="24"/>
          <w:sz w:val="24"/>
          <w:szCs w:val="24"/>
          <w:highlight w:val="white"/>
          <w:lang w:eastAsia="en-GB"/>
          <w14:ligatures w14:val="none"/>
        </w:rPr>
        <w:t>individuals</w:t>
      </w:r>
      <w:r w:rsidRPr="00362624">
        <w:rPr>
          <w:rFonts w:ascii="Arial" w:eastAsia="Times New Roman" w:hAnsi="Arial" w:cs="Arial"/>
          <w:kern w:val="24"/>
          <w:sz w:val="24"/>
          <w:szCs w:val="24"/>
          <w:highlight w:val="white"/>
          <w:lang w:eastAsia="en-GB"/>
          <w14:ligatures w14:val="none"/>
        </w:rPr>
        <w:t xml:space="preserve"> with SMI.</w:t>
      </w:r>
    </w:p>
    <w:p w14:paraId="155DACD6" w14:textId="77777777" w:rsidR="00A74B48" w:rsidRDefault="00A74B48" w:rsidP="00AC5461">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p>
    <w:p w14:paraId="02DFB289" w14:textId="7F870F73" w:rsidR="00A74B48" w:rsidRDefault="00FF243F" w:rsidP="00A74B48">
      <w:pPr>
        <w:tabs>
          <w:tab w:val="left" w:pos="1202"/>
        </w:tabs>
        <w:kinsoku w:val="0"/>
        <w:overflowPunct w:val="0"/>
        <w:spacing w:after="0" w:line="360" w:lineRule="auto"/>
        <w:jc w:val="both"/>
        <w:textAlignment w:val="baseline"/>
        <w:rPr>
          <w:rFonts w:ascii="Arial" w:eastAsia="Times New Roman" w:hAnsi="Arial" w:cs="Arial"/>
          <w:b/>
          <w:bCs/>
          <w:kern w:val="24"/>
          <w:sz w:val="24"/>
          <w:szCs w:val="24"/>
          <w:lang w:eastAsia="en-GB"/>
          <w14:ligatures w14:val="none"/>
        </w:rPr>
      </w:pPr>
      <w:r>
        <w:rPr>
          <w:rFonts w:ascii="Arial" w:eastAsia="Times New Roman" w:hAnsi="Arial" w:cs="Arial"/>
          <w:b/>
          <w:bCs/>
          <w:kern w:val="24"/>
          <w:sz w:val="24"/>
          <w:szCs w:val="24"/>
          <w:lang w:eastAsia="en-GB"/>
          <w14:ligatures w14:val="none"/>
        </w:rPr>
        <w:t>Why we carried out the study</w:t>
      </w:r>
    </w:p>
    <w:p w14:paraId="314890D7" w14:textId="77777777" w:rsidR="00FF243F" w:rsidRDefault="00FF243F" w:rsidP="00FF243F">
      <w:pPr>
        <w:spacing w:after="0" w:line="360" w:lineRule="auto"/>
        <w:rPr>
          <w:rFonts w:ascii="Arial" w:eastAsia="Calibri" w:hAnsi="Arial" w:cs="Arial"/>
          <w:color w:val="000000" w:themeColor="text1"/>
          <w:sz w:val="24"/>
          <w:szCs w:val="24"/>
          <w:lang w:eastAsia="en-GB"/>
          <w14:ligatures w14:val="none"/>
        </w:rPr>
      </w:pPr>
      <w:r w:rsidRPr="00362624">
        <w:rPr>
          <w:rFonts w:ascii="Arial" w:eastAsia="Calibri" w:hAnsi="Arial" w:cs="Arial"/>
          <w:color w:val="000000" w:themeColor="text1"/>
          <w:sz w:val="24"/>
          <w:szCs w:val="24"/>
          <w:lang w:eastAsia="en-GB"/>
          <w14:ligatures w14:val="none"/>
        </w:rPr>
        <w:t xml:space="preserve">Weight gain has come to define the life experience of many </w:t>
      </w:r>
      <w:r>
        <w:rPr>
          <w:rFonts w:ascii="Arial" w:eastAsia="Calibri" w:hAnsi="Arial" w:cs="Arial"/>
          <w:color w:val="000000" w:themeColor="text1"/>
          <w:sz w:val="24"/>
          <w:szCs w:val="24"/>
          <w:lang w:eastAsia="en-GB"/>
          <w14:ligatures w14:val="none"/>
        </w:rPr>
        <w:t>individuals</w:t>
      </w:r>
      <w:r w:rsidRPr="00362624">
        <w:rPr>
          <w:rFonts w:ascii="Arial" w:eastAsia="Calibri" w:hAnsi="Arial" w:cs="Arial"/>
          <w:color w:val="000000" w:themeColor="text1"/>
          <w:sz w:val="24"/>
          <w:szCs w:val="24"/>
          <w:lang w:eastAsia="en-GB"/>
          <w14:ligatures w14:val="none"/>
        </w:rPr>
        <w:t xml:space="preserve"> with schizophrenia and other severe enduring mental illnesses (SMI)</w:t>
      </w:r>
      <w:r>
        <w:rPr>
          <w:rFonts w:ascii="Arial" w:eastAsia="Calibri" w:hAnsi="Arial" w:cs="Arial"/>
          <w:color w:val="000000" w:themeColor="text1"/>
          <w:sz w:val="24"/>
          <w:szCs w:val="24"/>
          <w:lang w:eastAsia="en-GB"/>
          <w14:ligatures w14:val="none"/>
        </w:rPr>
        <w:t xml:space="preserve">. </w:t>
      </w:r>
    </w:p>
    <w:p w14:paraId="3570F1CF" w14:textId="77777777" w:rsidR="00FF243F" w:rsidRDefault="00FF243F" w:rsidP="00FF243F">
      <w:pPr>
        <w:spacing w:after="0" w:line="360" w:lineRule="auto"/>
        <w:rPr>
          <w:rFonts w:ascii="Arial" w:eastAsia="Calibri" w:hAnsi="Arial" w:cs="Arial"/>
          <w:color w:val="000000" w:themeColor="text1"/>
          <w:sz w:val="24"/>
          <w:szCs w:val="24"/>
          <w:lang w:eastAsia="en-GB"/>
          <w14:ligatures w14:val="none"/>
        </w:rPr>
      </w:pPr>
    </w:p>
    <w:p w14:paraId="7E62BF2A" w14:textId="508FBDCB" w:rsidR="00FF243F" w:rsidRPr="00362624" w:rsidRDefault="00FF243F" w:rsidP="00FF243F">
      <w:pPr>
        <w:spacing w:after="0" w:line="360" w:lineRule="auto"/>
        <w:rPr>
          <w:rFonts w:ascii="Arial" w:eastAsia="Calibri" w:hAnsi="Arial" w:cs="Arial"/>
          <w:color w:val="000000" w:themeColor="text1"/>
          <w:kern w:val="24"/>
          <w:sz w:val="24"/>
          <w:szCs w:val="24"/>
        </w:rPr>
      </w:pPr>
      <w:r w:rsidRPr="00362624">
        <w:rPr>
          <w:rFonts w:ascii="Arial" w:eastAsia="Calibri" w:hAnsi="Arial" w:cs="Arial"/>
          <w:color w:val="000000" w:themeColor="text1"/>
          <w:kern w:val="24"/>
          <w:sz w:val="24"/>
          <w:szCs w:val="24"/>
        </w:rPr>
        <w:t xml:space="preserve">In this clinical intervention study, we aimed to determine whether weekly treatment with </w:t>
      </w:r>
      <w:r>
        <w:rPr>
          <w:rFonts w:ascii="Arial" w:eastAsia="Calibri" w:hAnsi="Arial" w:cs="Arial"/>
          <w:color w:val="000000" w:themeColor="text1"/>
          <w:kern w:val="24"/>
          <w:sz w:val="24"/>
          <w:szCs w:val="24"/>
        </w:rPr>
        <w:t xml:space="preserve">the </w:t>
      </w:r>
      <w:r w:rsidRPr="00362624">
        <w:rPr>
          <w:rFonts w:ascii="Arial" w:eastAsia="Calibri" w:hAnsi="Arial" w:cs="Arial"/>
          <w:color w:val="000000" w:themeColor="text1"/>
          <w:kern w:val="24"/>
          <w:sz w:val="24"/>
          <w:szCs w:val="24"/>
          <w:lang w:eastAsia="en-GB"/>
          <w14:ligatures w14:val="none"/>
        </w:rPr>
        <w:t>glucagon-like peptide-1 (GLP-1) agonist,</w:t>
      </w:r>
      <w:r w:rsidRPr="00362624">
        <w:rPr>
          <w:rFonts w:ascii="Arial" w:eastAsia="Calibri" w:hAnsi="Arial" w:cs="Arial"/>
          <w:color w:val="000000" w:themeColor="text1"/>
          <w:kern w:val="24"/>
          <w:sz w:val="24"/>
          <w:szCs w:val="24"/>
        </w:rPr>
        <w:t xml:space="preserve"> </w:t>
      </w:r>
      <w:proofErr w:type="spellStart"/>
      <w:r w:rsidRPr="00362624">
        <w:rPr>
          <w:rFonts w:ascii="Arial" w:eastAsia="Calibri" w:hAnsi="Arial" w:cs="Arial"/>
          <w:color w:val="000000" w:themeColor="text1"/>
          <w:kern w:val="24"/>
          <w:sz w:val="24"/>
          <w:szCs w:val="24"/>
        </w:rPr>
        <w:t>semaglutide</w:t>
      </w:r>
      <w:proofErr w:type="spellEnd"/>
      <w:r w:rsidRPr="00362624">
        <w:rPr>
          <w:rFonts w:ascii="Arial" w:eastAsia="Calibri" w:hAnsi="Arial" w:cs="Arial"/>
          <w:color w:val="000000" w:themeColor="text1"/>
          <w:kern w:val="24"/>
          <w:sz w:val="24"/>
          <w:szCs w:val="24"/>
        </w:rPr>
        <w:t>,</w:t>
      </w:r>
      <w:r>
        <w:rPr>
          <w:rFonts w:ascii="Arial" w:eastAsia="Calibri" w:hAnsi="Arial" w:cs="Arial"/>
          <w:color w:val="000000" w:themeColor="text1"/>
          <w:kern w:val="24"/>
          <w:sz w:val="24"/>
          <w:szCs w:val="24"/>
        </w:rPr>
        <w:t xml:space="preserve"> as part of usual care,</w:t>
      </w:r>
      <w:r w:rsidRPr="00362624">
        <w:rPr>
          <w:rFonts w:ascii="Arial" w:eastAsia="Calibri" w:hAnsi="Arial" w:cs="Arial"/>
          <w:color w:val="000000" w:themeColor="text1"/>
          <w:kern w:val="24"/>
          <w:sz w:val="24"/>
          <w:szCs w:val="24"/>
        </w:rPr>
        <w:t xml:space="preserve"> is feasible and acceptable to individuals in a psychiatric inpatient setting.</w:t>
      </w:r>
    </w:p>
    <w:p w14:paraId="249E7624" w14:textId="77777777" w:rsidR="00FF243F" w:rsidRDefault="00FF243F" w:rsidP="00A74B48">
      <w:pPr>
        <w:tabs>
          <w:tab w:val="left" w:pos="1202"/>
        </w:tabs>
        <w:kinsoku w:val="0"/>
        <w:overflowPunct w:val="0"/>
        <w:spacing w:after="0" w:line="360" w:lineRule="auto"/>
        <w:jc w:val="both"/>
        <w:textAlignment w:val="baseline"/>
        <w:rPr>
          <w:rFonts w:ascii="Arial" w:eastAsia="Times New Roman" w:hAnsi="Arial" w:cs="Arial"/>
          <w:b/>
          <w:bCs/>
          <w:kern w:val="24"/>
          <w:sz w:val="24"/>
          <w:szCs w:val="24"/>
          <w:lang w:eastAsia="en-GB"/>
          <w14:ligatures w14:val="none"/>
        </w:rPr>
      </w:pPr>
    </w:p>
    <w:p w14:paraId="3DF208F4" w14:textId="6396C852" w:rsidR="00FF243F" w:rsidRPr="00C8190D" w:rsidRDefault="00FF243F" w:rsidP="00A74B48">
      <w:pPr>
        <w:tabs>
          <w:tab w:val="left" w:pos="1202"/>
        </w:tabs>
        <w:kinsoku w:val="0"/>
        <w:overflowPunct w:val="0"/>
        <w:spacing w:after="0" w:line="360" w:lineRule="auto"/>
        <w:jc w:val="both"/>
        <w:textAlignment w:val="baseline"/>
        <w:rPr>
          <w:rFonts w:ascii="Arial" w:eastAsia="Times New Roman" w:hAnsi="Arial" w:cs="Arial"/>
          <w:b/>
          <w:bCs/>
          <w:kern w:val="24"/>
          <w:sz w:val="24"/>
          <w:szCs w:val="24"/>
          <w:lang w:eastAsia="en-GB"/>
          <w14:ligatures w14:val="none"/>
        </w:rPr>
      </w:pPr>
      <w:r>
        <w:rPr>
          <w:rFonts w:ascii="Arial" w:eastAsia="Times New Roman" w:hAnsi="Arial" w:cs="Arial"/>
          <w:b/>
          <w:bCs/>
          <w:kern w:val="24"/>
          <w:sz w:val="24"/>
          <w:szCs w:val="24"/>
          <w:lang w:eastAsia="en-GB"/>
          <w14:ligatures w14:val="none"/>
        </w:rPr>
        <w:t>What was learnt from the study</w:t>
      </w:r>
    </w:p>
    <w:p w14:paraId="5AD0D0B7" w14:textId="2F23222A" w:rsidR="00A74B48" w:rsidRDefault="00A74B48" w:rsidP="00A74B48">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r w:rsidRPr="00FC5606">
        <w:rPr>
          <w:rFonts w:ascii="Arial" w:eastAsia="Times New Roman" w:hAnsi="Arial" w:cs="Arial"/>
          <w:kern w:val="24"/>
          <w:sz w:val="24"/>
          <w:szCs w:val="24"/>
          <w:highlight w:val="white"/>
          <w:lang w:eastAsia="en-GB"/>
          <w14:ligatures w14:val="none"/>
        </w:rPr>
        <w:t>In this open real</w:t>
      </w:r>
      <w:r>
        <w:rPr>
          <w:rFonts w:ascii="Arial" w:eastAsia="Times New Roman" w:hAnsi="Arial" w:cs="Arial"/>
          <w:kern w:val="24"/>
          <w:sz w:val="24"/>
          <w:szCs w:val="24"/>
          <w:highlight w:val="white"/>
          <w:lang w:eastAsia="en-GB"/>
          <w14:ligatures w14:val="none"/>
        </w:rPr>
        <w:t>-</w:t>
      </w:r>
      <w:r w:rsidRPr="00FC5606">
        <w:rPr>
          <w:rFonts w:ascii="Arial" w:eastAsia="Times New Roman" w:hAnsi="Arial" w:cs="Arial"/>
          <w:kern w:val="24"/>
          <w:sz w:val="24"/>
          <w:szCs w:val="24"/>
          <w:highlight w:val="white"/>
          <w:lang w:eastAsia="en-GB"/>
          <w14:ligatures w14:val="none"/>
        </w:rPr>
        <w:t xml:space="preserve">world evaluation of the feasibility of prescribing and administering </w:t>
      </w:r>
      <w:proofErr w:type="spellStart"/>
      <w:r>
        <w:rPr>
          <w:rFonts w:ascii="Arial" w:eastAsia="Times New Roman" w:hAnsi="Arial" w:cs="Arial"/>
          <w:kern w:val="24"/>
          <w:sz w:val="24"/>
          <w:szCs w:val="24"/>
          <w:highlight w:val="white"/>
          <w:lang w:eastAsia="en-GB"/>
          <w14:ligatures w14:val="none"/>
        </w:rPr>
        <w:t>semaglutide</w:t>
      </w:r>
      <w:proofErr w:type="spellEnd"/>
      <w:r w:rsidRPr="00FC5606">
        <w:rPr>
          <w:rFonts w:ascii="Arial" w:eastAsia="Times New Roman" w:hAnsi="Arial" w:cs="Arial"/>
          <w:kern w:val="24"/>
          <w:sz w:val="24"/>
          <w:szCs w:val="24"/>
          <w:highlight w:val="white"/>
          <w:lang w:eastAsia="en-GB"/>
          <w14:ligatures w14:val="none"/>
        </w:rPr>
        <w:t xml:space="preserve"> </w:t>
      </w:r>
      <w:r>
        <w:rPr>
          <w:rFonts w:ascii="Arial" w:eastAsia="Times New Roman" w:hAnsi="Arial" w:cs="Arial"/>
          <w:kern w:val="24"/>
          <w:sz w:val="24"/>
          <w:szCs w:val="24"/>
          <w:highlight w:val="white"/>
          <w:lang w:eastAsia="en-GB"/>
          <w14:ligatures w14:val="none"/>
        </w:rPr>
        <w:t xml:space="preserve">as part of standard care </w:t>
      </w:r>
      <w:r w:rsidRPr="00FC5606">
        <w:rPr>
          <w:rFonts w:ascii="Arial" w:eastAsia="Times New Roman" w:hAnsi="Arial" w:cs="Arial"/>
          <w:kern w:val="24"/>
          <w:sz w:val="24"/>
          <w:szCs w:val="24"/>
          <w:highlight w:val="white"/>
          <w:lang w:eastAsia="en-GB"/>
          <w14:ligatures w14:val="none"/>
        </w:rPr>
        <w:t xml:space="preserve">in a secure inpatient setting, we saw </w:t>
      </w:r>
      <w:r w:rsidR="00FF243F" w:rsidRPr="00FC5606">
        <w:rPr>
          <w:rFonts w:ascii="Arial" w:eastAsia="Times New Roman" w:hAnsi="Arial" w:cs="Arial"/>
          <w:kern w:val="24"/>
          <w:sz w:val="24"/>
          <w:szCs w:val="24"/>
          <w:highlight w:val="white"/>
          <w:lang w:eastAsia="en-GB"/>
          <w14:ligatures w14:val="none"/>
        </w:rPr>
        <w:t>an</w:t>
      </w:r>
      <w:r w:rsidR="00FF243F">
        <w:rPr>
          <w:rFonts w:ascii="Arial" w:eastAsia="Times New Roman" w:hAnsi="Arial" w:cs="Arial"/>
          <w:kern w:val="24"/>
          <w:sz w:val="24"/>
          <w:szCs w:val="24"/>
          <w:highlight w:val="white"/>
          <w:lang w:eastAsia="en-GB"/>
          <w14:ligatures w14:val="none"/>
        </w:rPr>
        <w:t xml:space="preserve"> </w:t>
      </w:r>
      <w:r w:rsidR="00FF243F" w:rsidRPr="00FC5606">
        <w:rPr>
          <w:rFonts w:ascii="Arial" w:eastAsia="Times New Roman" w:hAnsi="Arial" w:cs="Arial"/>
          <w:kern w:val="24"/>
          <w:sz w:val="24"/>
          <w:szCs w:val="24"/>
          <w:highlight w:val="white"/>
          <w:lang w:eastAsia="en-GB"/>
          <w14:ligatures w14:val="none"/>
        </w:rPr>
        <w:lastRenderedPageBreak/>
        <w:t>improvement in self-rated overall quality of life</w:t>
      </w:r>
      <w:r w:rsidR="00FF243F">
        <w:rPr>
          <w:rFonts w:ascii="Arial" w:eastAsia="Times New Roman" w:hAnsi="Arial" w:cs="Arial"/>
          <w:kern w:val="24"/>
          <w:sz w:val="24"/>
          <w:szCs w:val="24"/>
          <w:lang w:eastAsia="en-GB"/>
          <w14:ligatures w14:val="none"/>
        </w:rPr>
        <w:t xml:space="preserve">, </w:t>
      </w:r>
      <w:r w:rsidRPr="00FC5606">
        <w:rPr>
          <w:rFonts w:ascii="Arial" w:eastAsia="Times New Roman" w:hAnsi="Arial" w:cs="Arial"/>
          <w:kern w:val="24"/>
          <w:sz w:val="24"/>
          <w:szCs w:val="24"/>
          <w:highlight w:val="white"/>
          <w:lang w:eastAsia="en-GB"/>
          <w14:ligatures w14:val="none"/>
        </w:rPr>
        <w:t>a reduction in BMI</w:t>
      </w:r>
      <w:r w:rsidR="00FF243F">
        <w:rPr>
          <w:rFonts w:ascii="Arial" w:eastAsia="Times New Roman" w:hAnsi="Arial" w:cs="Arial"/>
          <w:kern w:val="24"/>
          <w:sz w:val="24"/>
          <w:szCs w:val="24"/>
          <w:highlight w:val="white"/>
          <w:lang w:eastAsia="en-GB"/>
          <w14:ligatures w14:val="none"/>
        </w:rPr>
        <w:t xml:space="preserve"> and </w:t>
      </w:r>
      <w:r w:rsidRPr="00FC5606">
        <w:rPr>
          <w:rFonts w:ascii="Arial" w:eastAsia="Times New Roman" w:hAnsi="Arial" w:cs="Arial"/>
          <w:kern w:val="24"/>
          <w:sz w:val="24"/>
          <w:szCs w:val="24"/>
          <w:highlight w:val="white"/>
          <w:lang w:eastAsia="en-GB"/>
          <w14:ligatures w14:val="none"/>
        </w:rPr>
        <w:t xml:space="preserve">clinically significant reduction in HbA1c </w:t>
      </w:r>
      <w:r>
        <w:rPr>
          <w:rFonts w:ascii="Arial" w:eastAsia="Times New Roman" w:hAnsi="Arial" w:cs="Arial"/>
          <w:kern w:val="24"/>
          <w:sz w:val="24"/>
          <w:szCs w:val="24"/>
          <w:highlight w:val="white"/>
          <w:lang w:eastAsia="en-GB"/>
          <w14:ligatures w14:val="none"/>
        </w:rPr>
        <w:t xml:space="preserve">(even in those who discontinued </w:t>
      </w:r>
      <w:proofErr w:type="spellStart"/>
      <w:r>
        <w:rPr>
          <w:rFonts w:ascii="Arial" w:eastAsia="Times New Roman" w:hAnsi="Arial" w:cs="Arial"/>
          <w:kern w:val="24"/>
          <w:sz w:val="24"/>
          <w:szCs w:val="24"/>
          <w:highlight w:val="white"/>
          <w:lang w:eastAsia="en-GB"/>
          <w14:ligatures w14:val="none"/>
        </w:rPr>
        <w:t>semaglutide</w:t>
      </w:r>
      <w:proofErr w:type="spellEnd"/>
      <w:r>
        <w:rPr>
          <w:rFonts w:ascii="Arial" w:eastAsia="Times New Roman" w:hAnsi="Arial" w:cs="Arial"/>
          <w:kern w:val="24"/>
          <w:sz w:val="24"/>
          <w:szCs w:val="24"/>
          <w:highlight w:val="white"/>
          <w:lang w:eastAsia="en-GB"/>
          <w14:ligatures w14:val="none"/>
        </w:rPr>
        <w:t xml:space="preserve">), </w:t>
      </w:r>
    </w:p>
    <w:p w14:paraId="17E3D700" w14:textId="77777777" w:rsidR="00A74B48" w:rsidRDefault="00A74B48" w:rsidP="00A74B48">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p>
    <w:p w14:paraId="1ABBCF4D" w14:textId="2970601D" w:rsidR="00A74B48" w:rsidRDefault="00A74B48" w:rsidP="00A74B48">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r>
        <w:rPr>
          <w:rFonts w:ascii="Arial" w:eastAsia="Times New Roman" w:hAnsi="Arial" w:cs="Arial"/>
          <w:kern w:val="24"/>
          <w:sz w:val="24"/>
          <w:szCs w:val="24"/>
          <w:lang w:eastAsia="en-GB"/>
          <w14:ligatures w14:val="none"/>
        </w:rPr>
        <w:t xml:space="preserve">Four out of 15 patients permanently discontinued </w:t>
      </w:r>
      <w:proofErr w:type="spellStart"/>
      <w:r>
        <w:rPr>
          <w:rFonts w:ascii="Arial" w:eastAsia="Times New Roman" w:hAnsi="Arial" w:cs="Arial"/>
          <w:kern w:val="24"/>
          <w:sz w:val="24"/>
          <w:szCs w:val="24"/>
          <w:lang w:eastAsia="en-GB"/>
          <w14:ligatures w14:val="none"/>
        </w:rPr>
        <w:t>semaglutide</w:t>
      </w:r>
      <w:proofErr w:type="spellEnd"/>
      <w:r>
        <w:rPr>
          <w:rFonts w:ascii="Arial" w:eastAsia="Times New Roman" w:hAnsi="Arial" w:cs="Arial"/>
          <w:kern w:val="24"/>
          <w:sz w:val="24"/>
          <w:szCs w:val="24"/>
          <w:lang w:eastAsia="en-GB"/>
          <w14:ligatures w14:val="none"/>
        </w:rPr>
        <w:t xml:space="preserve"> because of adverse effects</w:t>
      </w:r>
      <w:r w:rsidR="000015A8">
        <w:rPr>
          <w:rFonts w:ascii="Arial" w:eastAsia="Times New Roman" w:hAnsi="Arial" w:cs="Arial"/>
          <w:kern w:val="24"/>
          <w:sz w:val="24"/>
          <w:szCs w:val="24"/>
          <w:lang w:eastAsia="en-GB"/>
          <w14:ligatures w14:val="none"/>
        </w:rPr>
        <w:t xml:space="preserve"> / patient choice</w:t>
      </w:r>
      <w:r>
        <w:rPr>
          <w:rFonts w:ascii="Arial" w:eastAsia="Times New Roman" w:hAnsi="Arial" w:cs="Arial"/>
          <w:kern w:val="24"/>
          <w:sz w:val="24"/>
          <w:szCs w:val="24"/>
          <w:lang w:eastAsia="en-GB"/>
          <w14:ligatures w14:val="none"/>
        </w:rPr>
        <w:t xml:space="preserve">, with one </w:t>
      </w:r>
      <w:r w:rsidR="00FF243F">
        <w:rPr>
          <w:rFonts w:ascii="Arial" w:eastAsia="Times New Roman" w:hAnsi="Arial" w:cs="Arial"/>
          <w:kern w:val="24"/>
          <w:sz w:val="24"/>
          <w:szCs w:val="24"/>
          <w:lang w:eastAsia="en-GB"/>
          <w14:ligatures w14:val="none"/>
        </w:rPr>
        <w:t xml:space="preserve">other </w:t>
      </w:r>
      <w:r>
        <w:rPr>
          <w:rFonts w:ascii="Arial" w:eastAsia="Times New Roman" w:hAnsi="Arial" w:cs="Arial"/>
          <w:kern w:val="24"/>
          <w:sz w:val="24"/>
          <w:szCs w:val="24"/>
          <w:lang w:eastAsia="en-GB"/>
          <w14:ligatures w14:val="none"/>
        </w:rPr>
        <w:t xml:space="preserve">patient </w:t>
      </w:r>
      <w:r w:rsidR="00FF243F">
        <w:rPr>
          <w:rFonts w:ascii="Arial" w:eastAsia="Times New Roman" w:hAnsi="Arial" w:cs="Arial"/>
          <w:kern w:val="24"/>
          <w:sz w:val="24"/>
          <w:szCs w:val="24"/>
          <w:lang w:eastAsia="en-GB"/>
          <w14:ligatures w14:val="none"/>
        </w:rPr>
        <w:t xml:space="preserve">after a short break, </w:t>
      </w:r>
      <w:r>
        <w:rPr>
          <w:rFonts w:ascii="Arial" w:eastAsia="Times New Roman" w:hAnsi="Arial" w:cs="Arial"/>
          <w:kern w:val="24"/>
          <w:sz w:val="24"/>
          <w:szCs w:val="24"/>
          <w:lang w:eastAsia="en-GB"/>
          <w14:ligatures w14:val="none"/>
        </w:rPr>
        <w:t xml:space="preserve">restarting with close monitoring of liver enzymes. </w:t>
      </w:r>
      <w:r w:rsidR="000245FB">
        <w:rPr>
          <w:rFonts w:ascii="Arial" w:eastAsia="Times New Roman" w:hAnsi="Arial" w:cs="Arial"/>
          <w:kern w:val="24"/>
          <w:sz w:val="24"/>
          <w:szCs w:val="24"/>
          <w:lang w:eastAsia="en-GB"/>
          <w14:ligatures w14:val="none"/>
        </w:rPr>
        <w:t xml:space="preserve">2 patients were not able to continue because of no funding to continue the </w:t>
      </w:r>
      <w:proofErr w:type="spellStart"/>
      <w:r w:rsidR="000245FB">
        <w:rPr>
          <w:rFonts w:ascii="Arial" w:eastAsia="Times New Roman" w:hAnsi="Arial" w:cs="Arial"/>
          <w:kern w:val="24"/>
          <w:sz w:val="24"/>
          <w:szCs w:val="24"/>
          <w:lang w:eastAsia="en-GB"/>
          <w14:ligatures w14:val="none"/>
        </w:rPr>
        <w:t>semaglutide</w:t>
      </w:r>
      <w:proofErr w:type="spellEnd"/>
      <w:r w:rsidR="000245FB">
        <w:rPr>
          <w:rFonts w:ascii="Arial" w:eastAsia="Times New Roman" w:hAnsi="Arial" w:cs="Arial"/>
          <w:kern w:val="24"/>
          <w:sz w:val="24"/>
          <w:szCs w:val="24"/>
          <w:lang w:eastAsia="en-GB"/>
          <w14:ligatures w14:val="none"/>
        </w:rPr>
        <w:t xml:space="preserve"> on discharge.</w:t>
      </w:r>
    </w:p>
    <w:p w14:paraId="320C8E92" w14:textId="77777777" w:rsidR="00A74B48" w:rsidRDefault="00A74B48" w:rsidP="00A74B48">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p>
    <w:p w14:paraId="26C64976" w14:textId="77777777" w:rsidR="00A74B48" w:rsidRDefault="00A74B48" w:rsidP="00A74B48">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r>
        <w:rPr>
          <w:rFonts w:ascii="Arial" w:eastAsia="Times New Roman" w:hAnsi="Arial" w:cs="Arial"/>
          <w:kern w:val="24"/>
          <w:sz w:val="24"/>
          <w:szCs w:val="24"/>
          <w:highlight w:val="white"/>
          <w:lang w:eastAsia="en-GB"/>
          <w14:ligatures w14:val="none"/>
        </w:rPr>
        <w:t>F</w:t>
      </w:r>
      <w:r w:rsidRPr="00FC5606">
        <w:rPr>
          <w:rFonts w:ascii="Arial" w:eastAsia="Times New Roman" w:hAnsi="Arial" w:cs="Arial"/>
          <w:kern w:val="24"/>
          <w:sz w:val="24"/>
          <w:szCs w:val="24"/>
          <w:highlight w:val="white"/>
          <w:lang w:eastAsia="en-GB"/>
          <w14:ligatures w14:val="none"/>
        </w:rPr>
        <w:t xml:space="preserve">urther </w:t>
      </w:r>
      <w:r>
        <w:rPr>
          <w:rFonts w:ascii="Arial" w:eastAsia="Times New Roman" w:hAnsi="Arial" w:cs="Arial"/>
          <w:kern w:val="24"/>
          <w:sz w:val="24"/>
          <w:szCs w:val="24"/>
          <w:highlight w:val="white"/>
          <w:lang w:eastAsia="en-GB"/>
          <w14:ligatures w14:val="none"/>
        </w:rPr>
        <w:t>work</w:t>
      </w:r>
      <w:r w:rsidRPr="00FC5606">
        <w:rPr>
          <w:rFonts w:ascii="Arial" w:eastAsia="Times New Roman" w:hAnsi="Arial" w:cs="Arial"/>
          <w:kern w:val="24"/>
          <w:sz w:val="24"/>
          <w:szCs w:val="24"/>
          <w:highlight w:val="white"/>
          <w:lang w:eastAsia="en-GB"/>
          <w14:ligatures w14:val="none"/>
        </w:rPr>
        <w:t xml:space="preserve">, including health economic assessment </w:t>
      </w:r>
      <w:r>
        <w:rPr>
          <w:rFonts w:ascii="Arial" w:eastAsia="Times New Roman" w:hAnsi="Arial" w:cs="Arial"/>
          <w:kern w:val="24"/>
          <w:sz w:val="24"/>
          <w:szCs w:val="24"/>
          <w:highlight w:val="white"/>
          <w:lang w:eastAsia="en-GB"/>
          <w14:ligatures w14:val="none"/>
        </w:rPr>
        <w:t xml:space="preserve">and full evaluation of experienced side effects, </w:t>
      </w:r>
      <w:r w:rsidRPr="00FC5606">
        <w:rPr>
          <w:rFonts w:ascii="Arial" w:eastAsia="Times New Roman" w:hAnsi="Arial" w:cs="Arial"/>
          <w:kern w:val="24"/>
          <w:sz w:val="24"/>
          <w:szCs w:val="24"/>
          <w:highlight w:val="white"/>
          <w:lang w:eastAsia="en-GB"/>
          <w14:ligatures w14:val="none"/>
        </w:rPr>
        <w:t xml:space="preserve">may </w:t>
      </w:r>
      <w:r>
        <w:rPr>
          <w:rFonts w:ascii="Arial" w:eastAsia="Times New Roman" w:hAnsi="Arial" w:cs="Arial"/>
          <w:kern w:val="24"/>
          <w:sz w:val="24"/>
          <w:szCs w:val="24"/>
          <w:highlight w:val="white"/>
          <w:lang w:eastAsia="en-GB"/>
          <w14:ligatures w14:val="none"/>
        </w:rPr>
        <w:t xml:space="preserve">inform the opportunity of GLP-1 agonist therapy </w:t>
      </w:r>
      <w:r w:rsidRPr="00FC5606">
        <w:rPr>
          <w:rFonts w:ascii="Arial" w:eastAsia="Times New Roman" w:hAnsi="Arial" w:cs="Arial"/>
          <w:kern w:val="24"/>
          <w:sz w:val="24"/>
          <w:szCs w:val="24"/>
          <w:highlight w:val="white"/>
          <w:lang w:eastAsia="en-GB"/>
          <w14:ligatures w14:val="none"/>
        </w:rPr>
        <w:t xml:space="preserve">being offered more widely </w:t>
      </w:r>
      <w:r>
        <w:rPr>
          <w:rFonts w:ascii="Arial" w:eastAsia="Times New Roman" w:hAnsi="Arial" w:cs="Arial"/>
          <w:kern w:val="24"/>
          <w:sz w:val="24"/>
          <w:szCs w:val="24"/>
          <w:lang w:eastAsia="en-GB"/>
          <w14:ligatures w14:val="none"/>
        </w:rPr>
        <w:t>in this group of very vulnerable patients.</w:t>
      </w:r>
    </w:p>
    <w:p w14:paraId="0740E9B9" w14:textId="77777777" w:rsidR="00FF243F" w:rsidRDefault="00FF243F" w:rsidP="00A74B48">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p>
    <w:p w14:paraId="013ECF73" w14:textId="77777777" w:rsidR="00FF243F" w:rsidRPr="00FC5606" w:rsidRDefault="00FF243F" w:rsidP="00FF243F">
      <w:pPr>
        <w:tabs>
          <w:tab w:val="left" w:pos="1202"/>
        </w:tabs>
        <w:kinsoku w:val="0"/>
        <w:overflowPunct w:val="0"/>
        <w:spacing w:after="0" w:line="360" w:lineRule="auto"/>
        <w:jc w:val="both"/>
        <w:textAlignment w:val="baseline"/>
        <w:rPr>
          <w:rFonts w:ascii="Arial" w:eastAsia="Times New Roman" w:hAnsi="Arial" w:cs="Arial"/>
          <w:kern w:val="0"/>
          <w:sz w:val="24"/>
          <w:szCs w:val="24"/>
          <w:lang w:eastAsia="en-GB"/>
          <w14:ligatures w14:val="none"/>
        </w:rPr>
      </w:pPr>
      <w:r w:rsidRPr="00FC5606">
        <w:rPr>
          <w:rFonts w:ascii="Arial" w:eastAsia="Cambria" w:hAnsi="Arial" w:cs="Arial"/>
          <w:kern w:val="24"/>
          <w:sz w:val="24"/>
          <w:szCs w:val="24"/>
          <w:highlight w:val="white"/>
          <w:lang w:eastAsia="en-GB"/>
          <w14:ligatures w14:val="none"/>
        </w:rPr>
        <w:t xml:space="preserve">We hope that our findings will support the use of </w:t>
      </w:r>
      <w:proofErr w:type="spellStart"/>
      <w:r>
        <w:rPr>
          <w:rFonts w:ascii="Arial" w:eastAsia="Cambria" w:hAnsi="Arial" w:cs="Arial"/>
          <w:kern w:val="24"/>
          <w:sz w:val="24"/>
          <w:szCs w:val="24"/>
          <w:highlight w:val="white"/>
          <w:lang w:eastAsia="en-GB"/>
          <w14:ligatures w14:val="none"/>
        </w:rPr>
        <w:t>semaglutide</w:t>
      </w:r>
      <w:proofErr w:type="spellEnd"/>
      <w:r w:rsidRPr="00FC5606">
        <w:rPr>
          <w:rFonts w:ascii="Arial" w:eastAsia="Cambria" w:hAnsi="Arial" w:cs="Arial"/>
          <w:kern w:val="24"/>
          <w:sz w:val="24"/>
          <w:szCs w:val="24"/>
          <w:highlight w:val="white"/>
          <w:lang w:eastAsia="en-GB"/>
          <w14:ligatures w14:val="none"/>
        </w:rPr>
        <w:t xml:space="preserve"> and </w:t>
      </w:r>
      <w:proofErr w:type="gramStart"/>
      <w:r w:rsidRPr="00FC5606">
        <w:rPr>
          <w:rFonts w:ascii="Arial" w:eastAsia="Cambria" w:hAnsi="Arial" w:cs="Arial"/>
          <w:kern w:val="24"/>
          <w:sz w:val="24"/>
          <w:szCs w:val="24"/>
          <w:highlight w:val="white"/>
          <w:lang w:eastAsia="en-GB"/>
          <w14:ligatures w14:val="none"/>
        </w:rPr>
        <w:t>potentially  similar</w:t>
      </w:r>
      <w:proofErr w:type="gramEnd"/>
      <w:r w:rsidRPr="00FC5606">
        <w:rPr>
          <w:rFonts w:ascii="Arial" w:eastAsia="Cambria" w:hAnsi="Arial" w:cs="Arial"/>
          <w:kern w:val="24"/>
          <w:sz w:val="24"/>
          <w:szCs w:val="24"/>
          <w:highlight w:val="white"/>
          <w:lang w:eastAsia="en-GB"/>
          <w14:ligatures w14:val="none"/>
        </w:rPr>
        <w:t xml:space="preserve"> agents to help people with severe enduring mental illness</w:t>
      </w:r>
      <w:r>
        <w:rPr>
          <w:rFonts w:ascii="Arial" w:eastAsia="Cambria" w:hAnsi="Arial" w:cs="Arial"/>
          <w:kern w:val="24"/>
          <w:sz w:val="24"/>
          <w:szCs w:val="24"/>
          <w:highlight w:val="white"/>
          <w:lang w:eastAsia="en-GB"/>
          <w14:ligatures w14:val="none"/>
        </w:rPr>
        <w:t xml:space="preserve"> who are overweight</w:t>
      </w:r>
      <w:r w:rsidRPr="00FC5606">
        <w:rPr>
          <w:rFonts w:ascii="Arial" w:eastAsia="Cambria" w:hAnsi="Arial" w:cs="Arial"/>
          <w:kern w:val="24"/>
          <w:sz w:val="24"/>
          <w:szCs w:val="24"/>
          <w:highlight w:val="white"/>
          <w:lang w:eastAsia="en-GB"/>
          <w14:ligatures w14:val="none"/>
        </w:rPr>
        <w:t xml:space="preserve"> to achieve a healthier health profile.</w:t>
      </w:r>
    </w:p>
    <w:p w14:paraId="26E61C97" w14:textId="13B07A72" w:rsidR="00FC5606" w:rsidRDefault="00FC5606" w:rsidP="00FC5606">
      <w:pPr>
        <w:shd w:val="clear" w:color="auto" w:fill="FFFFFF"/>
        <w:spacing w:after="0" w:line="360" w:lineRule="auto"/>
        <w:rPr>
          <w:rFonts w:ascii="Arial" w:eastAsia="Times New Roman" w:hAnsi="Arial" w:cs="Arial"/>
          <w:kern w:val="24"/>
          <w:sz w:val="24"/>
          <w:szCs w:val="24"/>
          <w:lang w:eastAsia="en-GB"/>
          <w14:ligatures w14:val="none"/>
        </w:rPr>
      </w:pPr>
    </w:p>
    <w:p w14:paraId="6055DD6C" w14:textId="77777777" w:rsidR="00664776" w:rsidRPr="00FC5606" w:rsidRDefault="00664776" w:rsidP="00FC5606">
      <w:pPr>
        <w:shd w:val="clear" w:color="auto" w:fill="FFFFFF"/>
        <w:spacing w:after="0" w:line="360" w:lineRule="auto"/>
        <w:rPr>
          <w:rFonts w:ascii="Arial" w:eastAsia="Calibri" w:hAnsi="Arial" w:cs="Arial"/>
          <w:b/>
          <w:bCs/>
          <w:color w:val="000000" w:themeColor="text1"/>
          <w:sz w:val="24"/>
          <w:szCs w:val="24"/>
        </w:rPr>
      </w:pPr>
    </w:p>
    <w:p w14:paraId="75874975" w14:textId="6AF728D3" w:rsidR="00BE0947" w:rsidRPr="00FC5606" w:rsidRDefault="00BE0947" w:rsidP="00FC5606">
      <w:pPr>
        <w:shd w:val="clear" w:color="auto" w:fill="FFFFFF"/>
        <w:spacing w:after="0" w:line="360" w:lineRule="auto"/>
        <w:rPr>
          <w:rFonts w:ascii="Arial" w:eastAsia="Calibri" w:hAnsi="Arial" w:cs="Arial"/>
          <w:b/>
          <w:bCs/>
          <w:color w:val="000000" w:themeColor="text1"/>
          <w:sz w:val="24"/>
          <w:szCs w:val="24"/>
        </w:rPr>
      </w:pPr>
      <w:r w:rsidRPr="00FC5606">
        <w:rPr>
          <w:rFonts w:ascii="Arial" w:eastAsia="Calibri" w:hAnsi="Arial" w:cs="Arial"/>
          <w:b/>
          <w:bCs/>
          <w:color w:val="000000" w:themeColor="text1"/>
          <w:sz w:val="24"/>
          <w:szCs w:val="24"/>
        </w:rPr>
        <w:t>Introduction</w:t>
      </w:r>
    </w:p>
    <w:p w14:paraId="56F97CEF" w14:textId="529ACEE0" w:rsidR="00862B02" w:rsidRPr="00FC5606" w:rsidRDefault="0070436E" w:rsidP="00FC5606">
      <w:pPr>
        <w:kinsoku w:val="0"/>
        <w:overflowPunct w:val="0"/>
        <w:spacing w:after="0" w:line="360" w:lineRule="auto"/>
        <w:textAlignment w:val="baseline"/>
        <w:rPr>
          <w:rFonts w:ascii="Arial" w:eastAsia="Calibri" w:hAnsi="Arial" w:cs="Arial"/>
          <w:color w:val="000000" w:themeColor="text1"/>
          <w:sz w:val="24"/>
          <w:szCs w:val="24"/>
          <w:lang w:eastAsia="en-GB"/>
          <w14:ligatures w14:val="none"/>
        </w:rPr>
      </w:pPr>
      <w:bookmarkStart w:id="0" w:name="_Hlk188172875"/>
      <w:r w:rsidRPr="00FC5606">
        <w:rPr>
          <w:rFonts w:ascii="Arial" w:eastAsia="Calibri" w:hAnsi="Arial" w:cs="Arial"/>
          <w:color w:val="000000" w:themeColor="text1"/>
          <w:sz w:val="24"/>
          <w:szCs w:val="24"/>
          <w:lang w:eastAsia="en-GB"/>
          <w14:ligatures w14:val="none"/>
        </w:rPr>
        <w:t xml:space="preserve">Weight gain with all its adverse health consequences has come to define the life experience of many people with schizophrenia and other severe enduring mental illnesses (SMI). </w:t>
      </w:r>
      <w:bookmarkEnd w:id="0"/>
      <w:r w:rsidR="00862B02" w:rsidRPr="00FC5606">
        <w:rPr>
          <w:rFonts w:ascii="Arial" w:eastAsia="+mn-ea" w:hAnsi="Arial" w:cs="Arial"/>
          <w:color w:val="000000"/>
          <w:kern w:val="24"/>
          <w:sz w:val="24"/>
          <w:szCs w:val="24"/>
          <w:lang w:eastAsia="en-GB"/>
        </w:rPr>
        <w:t xml:space="preserve">Weight gain associated with treatment of serious mental illness (SMI) is a determinant of future diabetes, dysmetabolic profile and increased cardiometabolic risk in people treated with antipsychotic agents (1,2). </w:t>
      </w:r>
      <w:r w:rsidR="00862B02" w:rsidRPr="00FC5606">
        <w:rPr>
          <w:rFonts w:ascii="Arial" w:eastAsia="+mn-ea" w:hAnsi="Arial" w:cs="Arial"/>
          <w:color w:val="000000"/>
          <w:kern w:val="24"/>
          <w:position w:val="22"/>
          <w:sz w:val="24"/>
          <w:szCs w:val="24"/>
          <w:vertAlign w:val="superscript"/>
          <w:lang w:eastAsia="en-GB"/>
        </w:rPr>
        <w:t xml:space="preserve"> </w:t>
      </w:r>
      <w:bookmarkStart w:id="1" w:name="_Hlk127541168"/>
      <w:r w:rsidR="00862B02" w:rsidRPr="00FC5606">
        <w:rPr>
          <w:rFonts w:ascii="Arial" w:eastAsia="+mn-ea" w:hAnsi="Arial" w:cs="Arial"/>
          <w:color w:val="000000"/>
          <w:kern w:val="24"/>
          <w:sz w:val="24"/>
          <w:szCs w:val="24"/>
          <w:lang w:eastAsia="en-GB"/>
        </w:rPr>
        <w:t xml:space="preserve">Early weight gain predicts greater magnitude of longer-term weight gain, with the attendant long-term consequences including premature cardiovascular events and death (3). </w:t>
      </w:r>
    </w:p>
    <w:p w14:paraId="3C3AB29E" w14:textId="77777777" w:rsidR="00862B02" w:rsidRPr="00FC5606" w:rsidRDefault="00862B02" w:rsidP="00FC5606">
      <w:pPr>
        <w:kinsoku w:val="0"/>
        <w:overflowPunct w:val="0"/>
        <w:spacing w:after="0" w:line="360" w:lineRule="auto"/>
        <w:contextualSpacing/>
        <w:mirrorIndents/>
        <w:jc w:val="both"/>
        <w:textAlignment w:val="baseline"/>
        <w:rPr>
          <w:rFonts w:ascii="Arial" w:eastAsia="+mn-ea" w:hAnsi="Arial" w:cs="Arial"/>
          <w:color w:val="000000"/>
          <w:kern w:val="24"/>
          <w:sz w:val="24"/>
          <w:szCs w:val="24"/>
          <w:lang w:eastAsia="en-GB"/>
        </w:rPr>
      </w:pPr>
    </w:p>
    <w:bookmarkEnd w:id="1"/>
    <w:p w14:paraId="2C67ED3E" w14:textId="4DEF0739" w:rsidR="00940EB1" w:rsidRPr="00FC5606" w:rsidRDefault="00862B02" w:rsidP="00FC5606">
      <w:pPr>
        <w:pStyle w:val="Default"/>
        <w:spacing w:line="360" w:lineRule="auto"/>
        <w:rPr>
          <w:rFonts w:ascii="Arial" w:hAnsi="Arial" w:cs="Arial"/>
        </w:rPr>
      </w:pPr>
      <w:r w:rsidRPr="00FC5606">
        <w:rPr>
          <w:rFonts w:ascii="Arial" w:hAnsi="Arial" w:cs="Arial"/>
        </w:rPr>
        <w:t>Considerable variability in weight gain and metabolic effects exists between individuals in both the intermediate and longer term (4). Young and antipsychotic-naïve individuals as well as women are at particularly high risk of weight gain in the short to intermediate term (</w:t>
      </w:r>
      <w:r w:rsidR="00691EC7">
        <w:rPr>
          <w:rFonts w:ascii="Arial" w:hAnsi="Arial" w:cs="Arial"/>
        </w:rPr>
        <w:t>5,6,7</w:t>
      </w:r>
      <w:r w:rsidRPr="00FC5606">
        <w:rPr>
          <w:rFonts w:ascii="Arial" w:hAnsi="Arial" w:cs="Arial"/>
        </w:rPr>
        <w:t xml:space="preserve">). </w:t>
      </w:r>
      <w:r w:rsidRPr="00FC5606">
        <w:rPr>
          <w:rFonts w:ascii="Arial" w:eastAsia="+mn-ea" w:hAnsi="Arial" w:cs="Arial"/>
          <w:kern w:val="24"/>
          <w:lang w:eastAsia="en-GB"/>
        </w:rPr>
        <w:t>Genetic factors likely play a significant part in the degree to which weight gain occurs with antipsychotic treatment (</w:t>
      </w:r>
      <w:r w:rsidR="00691EC7">
        <w:rPr>
          <w:rFonts w:ascii="Arial" w:eastAsia="+mn-ea" w:hAnsi="Arial" w:cs="Arial"/>
          <w:kern w:val="24"/>
          <w:lang w:eastAsia="en-GB"/>
        </w:rPr>
        <w:t>8</w:t>
      </w:r>
      <w:r w:rsidRPr="00FC5606">
        <w:rPr>
          <w:rFonts w:ascii="Arial" w:eastAsia="+mn-ea" w:hAnsi="Arial" w:cs="Arial"/>
          <w:kern w:val="24"/>
          <w:lang w:eastAsia="en-GB"/>
        </w:rPr>
        <w:t>).</w:t>
      </w:r>
      <w:r w:rsidR="00940EB1" w:rsidRPr="00FC5606">
        <w:rPr>
          <w:rFonts w:ascii="Arial" w:eastAsia="+mn-ea" w:hAnsi="Arial" w:cs="Arial"/>
          <w:kern w:val="24"/>
          <w:lang w:eastAsia="en-GB"/>
        </w:rPr>
        <w:t xml:space="preserve"> </w:t>
      </w:r>
      <w:r w:rsidR="0048366D" w:rsidRPr="00FC5606">
        <w:rPr>
          <w:rFonts w:ascii="Arial" w:hAnsi="Arial" w:cs="Arial"/>
        </w:rPr>
        <w:t>It i</w:t>
      </w:r>
      <w:r w:rsidR="00940EB1" w:rsidRPr="00FC5606">
        <w:rPr>
          <w:rFonts w:ascii="Arial" w:hAnsi="Arial" w:cs="Arial"/>
        </w:rPr>
        <w:t xml:space="preserve">s well established that </w:t>
      </w:r>
      <w:r w:rsidR="0048366D" w:rsidRPr="00FC5606">
        <w:rPr>
          <w:rFonts w:ascii="Arial" w:hAnsi="Arial" w:cs="Arial"/>
        </w:rPr>
        <w:t>an</w:t>
      </w:r>
      <w:r w:rsidR="00D31662" w:rsidRPr="00FC5606">
        <w:rPr>
          <w:rFonts w:ascii="Arial" w:hAnsi="Arial" w:cs="Arial"/>
        </w:rPr>
        <w:t>ti</w:t>
      </w:r>
      <w:r w:rsidR="0048366D" w:rsidRPr="00FC5606">
        <w:rPr>
          <w:rFonts w:ascii="Arial" w:hAnsi="Arial" w:cs="Arial"/>
        </w:rPr>
        <w:t>ps</w:t>
      </w:r>
      <w:r w:rsidR="00554FC8" w:rsidRPr="00FC5606">
        <w:rPr>
          <w:rFonts w:ascii="Arial" w:hAnsi="Arial" w:cs="Arial"/>
        </w:rPr>
        <w:t>y</w:t>
      </w:r>
      <w:r w:rsidR="0048366D" w:rsidRPr="00FC5606">
        <w:rPr>
          <w:rFonts w:ascii="Arial" w:hAnsi="Arial" w:cs="Arial"/>
        </w:rPr>
        <w:t>chotic relate</w:t>
      </w:r>
      <w:r w:rsidR="00D31662" w:rsidRPr="00FC5606">
        <w:rPr>
          <w:rFonts w:ascii="Arial" w:hAnsi="Arial" w:cs="Arial"/>
        </w:rPr>
        <w:t>d</w:t>
      </w:r>
      <w:r w:rsidR="0048366D" w:rsidRPr="00FC5606">
        <w:rPr>
          <w:rFonts w:ascii="Arial" w:hAnsi="Arial" w:cs="Arial"/>
        </w:rPr>
        <w:t xml:space="preserve"> weight gain</w:t>
      </w:r>
      <w:r w:rsidR="00940EB1" w:rsidRPr="00FC5606">
        <w:rPr>
          <w:rFonts w:ascii="Arial" w:hAnsi="Arial" w:cs="Arial"/>
        </w:rPr>
        <w:t xml:space="preserve"> is a common reason for non-initiation, discontinuation, and dissatisfaction with psyc</w:t>
      </w:r>
      <w:r w:rsidR="0048366D" w:rsidRPr="00FC5606">
        <w:rPr>
          <w:rFonts w:ascii="Arial" w:hAnsi="Arial" w:cs="Arial"/>
        </w:rPr>
        <w:t>hotropic</w:t>
      </w:r>
      <w:r w:rsidR="00940EB1" w:rsidRPr="00FC5606">
        <w:rPr>
          <w:rFonts w:ascii="Arial" w:hAnsi="Arial" w:cs="Arial"/>
        </w:rPr>
        <w:t xml:space="preserve"> </w:t>
      </w:r>
      <w:r w:rsidR="0048366D" w:rsidRPr="00FC5606">
        <w:rPr>
          <w:rFonts w:ascii="Arial" w:hAnsi="Arial" w:cs="Arial"/>
        </w:rPr>
        <w:t>agents</w:t>
      </w:r>
      <w:r w:rsidR="00940EB1" w:rsidRPr="00FC5606">
        <w:rPr>
          <w:rFonts w:ascii="Arial" w:hAnsi="Arial" w:cs="Arial"/>
        </w:rPr>
        <w:t>, which may result in adverse health outcomes and increased cost of illness (</w:t>
      </w:r>
      <w:r w:rsidR="00691EC7">
        <w:rPr>
          <w:rFonts w:ascii="Arial" w:hAnsi="Arial" w:cs="Arial"/>
        </w:rPr>
        <w:t>9,10)</w:t>
      </w:r>
      <w:r w:rsidR="00940EB1" w:rsidRPr="00FC5606">
        <w:rPr>
          <w:rFonts w:ascii="Arial" w:hAnsi="Arial" w:cs="Arial"/>
        </w:rPr>
        <w:t xml:space="preserve">. </w:t>
      </w:r>
    </w:p>
    <w:p w14:paraId="2FC71129" w14:textId="77777777" w:rsidR="001B7EF9" w:rsidRPr="00FC5606" w:rsidRDefault="001B7EF9" w:rsidP="00FC5606">
      <w:pPr>
        <w:spacing w:after="0" w:line="360" w:lineRule="auto"/>
        <w:contextualSpacing/>
        <w:mirrorIndents/>
        <w:jc w:val="both"/>
        <w:rPr>
          <w:rFonts w:ascii="Arial" w:eastAsia="+mn-ea" w:hAnsi="Arial" w:cs="Arial"/>
          <w:color w:val="000000"/>
          <w:kern w:val="24"/>
          <w:sz w:val="24"/>
          <w:szCs w:val="24"/>
          <w:lang w:eastAsia="en-GB"/>
        </w:rPr>
      </w:pPr>
    </w:p>
    <w:p w14:paraId="1B808F00" w14:textId="38F590BB" w:rsidR="001B7EF9" w:rsidRPr="00FC5606" w:rsidRDefault="001E3BAF" w:rsidP="00FC5606">
      <w:pPr>
        <w:spacing w:after="0" w:line="360" w:lineRule="auto"/>
        <w:contextualSpacing/>
        <w:mirrorIndents/>
        <w:jc w:val="both"/>
        <w:rPr>
          <w:rFonts w:ascii="Arial" w:eastAsia="Arial" w:hAnsi="Arial" w:cs="Arial"/>
          <w:sz w:val="24"/>
          <w:szCs w:val="24"/>
        </w:rPr>
      </w:pPr>
      <w:r w:rsidRPr="00FC5606">
        <w:rPr>
          <w:rFonts w:ascii="Arial" w:eastAsia="Arial" w:hAnsi="Arial" w:cs="Arial"/>
          <w:sz w:val="24"/>
          <w:szCs w:val="24"/>
        </w:rPr>
        <w:t xml:space="preserve">Glucagon-like peptide-1 (GLP-1) receptor </w:t>
      </w:r>
      <w:bookmarkStart w:id="2" w:name="_Hlk187592084"/>
      <w:r w:rsidRPr="00FC5606">
        <w:rPr>
          <w:rFonts w:ascii="Arial" w:eastAsia="Arial" w:hAnsi="Arial" w:cs="Arial"/>
          <w:sz w:val="24"/>
          <w:szCs w:val="24"/>
        </w:rPr>
        <w:t xml:space="preserve">agonists and </w:t>
      </w:r>
      <w:r w:rsidRPr="00FC5606">
        <w:rPr>
          <w:rFonts w:ascii="Arial" w:eastAsia="Times New Roman" w:hAnsi="Arial" w:cs="Arial"/>
          <w:sz w:val="24"/>
          <w:szCs w:val="24"/>
          <w:bdr w:val="none" w:sz="0" w:space="0" w:color="auto" w:frame="1"/>
        </w:rPr>
        <w:t xml:space="preserve">other </w:t>
      </w:r>
      <w:proofErr w:type="gramStart"/>
      <w:r w:rsidRPr="00FC5606">
        <w:rPr>
          <w:rFonts w:ascii="Arial" w:eastAsia="Times New Roman" w:hAnsi="Arial" w:cs="Arial"/>
          <w:sz w:val="24"/>
          <w:szCs w:val="24"/>
          <w:bdr w:val="none" w:sz="0" w:space="0" w:color="auto" w:frame="1"/>
        </w:rPr>
        <w:t>incretin based</w:t>
      </w:r>
      <w:proofErr w:type="gramEnd"/>
      <w:r w:rsidRPr="00FC5606">
        <w:rPr>
          <w:rFonts w:ascii="Arial" w:eastAsia="Times New Roman" w:hAnsi="Arial" w:cs="Arial"/>
          <w:sz w:val="24"/>
          <w:szCs w:val="24"/>
          <w:bdr w:val="none" w:sz="0" w:space="0" w:color="auto" w:frame="1"/>
        </w:rPr>
        <w:t xml:space="preserve"> therapies or intensive weight reduction programmes</w:t>
      </w:r>
      <w:r w:rsidRPr="00FC5606">
        <w:rPr>
          <w:rFonts w:ascii="Arial" w:eastAsia="Arial" w:hAnsi="Arial" w:cs="Arial"/>
          <w:sz w:val="24"/>
          <w:szCs w:val="24"/>
        </w:rPr>
        <w:t xml:space="preserve"> </w:t>
      </w:r>
      <w:bookmarkEnd w:id="2"/>
      <w:r w:rsidRPr="00FC5606">
        <w:rPr>
          <w:rFonts w:ascii="Arial" w:eastAsia="Arial" w:hAnsi="Arial" w:cs="Arial"/>
          <w:sz w:val="24"/>
          <w:szCs w:val="24"/>
        </w:rPr>
        <w:t>have been shown to lower body weight, improve cardiovascular outcomes and lower blood glucose levels (</w:t>
      </w:r>
      <w:r w:rsidR="008F0FF9">
        <w:rPr>
          <w:rFonts w:ascii="Arial" w:eastAsia="Arial" w:hAnsi="Arial" w:cs="Arial"/>
          <w:sz w:val="24"/>
          <w:szCs w:val="24"/>
        </w:rPr>
        <w:t>11</w:t>
      </w:r>
      <w:r w:rsidRPr="00FC5606">
        <w:rPr>
          <w:rFonts w:ascii="Arial" w:eastAsia="Arial" w:hAnsi="Arial" w:cs="Arial"/>
          <w:sz w:val="24"/>
          <w:szCs w:val="24"/>
        </w:rPr>
        <w:t>).</w:t>
      </w:r>
    </w:p>
    <w:p w14:paraId="3213EC96" w14:textId="77777777" w:rsidR="00502F55" w:rsidRPr="00FC5606" w:rsidRDefault="00502F55" w:rsidP="00FC5606">
      <w:pPr>
        <w:spacing w:after="0" w:line="360" w:lineRule="auto"/>
        <w:contextualSpacing/>
        <w:mirrorIndents/>
        <w:jc w:val="both"/>
        <w:rPr>
          <w:rFonts w:ascii="Arial" w:eastAsia="Arial" w:hAnsi="Arial" w:cs="Arial"/>
          <w:sz w:val="24"/>
          <w:szCs w:val="24"/>
        </w:rPr>
      </w:pPr>
    </w:p>
    <w:p w14:paraId="54E48181" w14:textId="696B9BBB" w:rsidR="00AD37E0" w:rsidRPr="00FC5606" w:rsidRDefault="00AD37E0" w:rsidP="00FC5606">
      <w:pPr>
        <w:spacing w:after="0" w:line="360" w:lineRule="auto"/>
        <w:jc w:val="both"/>
        <w:rPr>
          <w:rFonts w:ascii="Arial" w:hAnsi="Arial" w:cs="Arial"/>
          <w:color w:val="212121"/>
          <w:sz w:val="24"/>
          <w:szCs w:val="24"/>
          <w:shd w:val="clear" w:color="auto" w:fill="FFFFFF"/>
        </w:rPr>
      </w:pPr>
      <w:r w:rsidRPr="00FC5606">
        <w:rPr>
          <w:rFonts w:ascii="Arial" w:eastAsia="Times New Roman" w:hAnsi="Arial" w:cs="Arial"/>
          <w:color w:val="242424"/>
          <w:sz w:val="24"/>
          <w:szCs w:val="24"/>
          <w:bdr w:val="none" w:sz="0" w:space="0" w:color="auto" w:frame="1"/>
        </w:rPr>
        <w:t>A host of randomized control trials have demonstrated the weight-loss efficacy of GLP-1 receptor agonists in both diabetes and non-diabetes cohorts</w:t>
      </w:r>
      <w:r w:rsidRPr="00FC5606">
        <w:rPr>
          <w:rFonts w:ascii="Arial" w:eastAsia="Arial" w:hAnsi="Arial" w:cs="Arial"/>
          <w:sz w:val="24"/>
          <w:szCs w:val="24"/>
        </w:rPr>
        <w:t xml:space="preserve">, In the STEP 1 trial of adults, without diabetes, after 68-weeks 86.4% of the GLP-1 </w:t>
      </w:r>
      <w:r w:rsidR="00D223F9">
        <w:rPr>
          <w:rFonts w:ascii="Arial" w:eastAsia="Arial" w:hAnsi="Arial" w:cs="Arial"/>
          <w:sz w:val="24"/>
          <w:szCs w:val="24"/>
        </w:rPr>
        <w:t xml:space="preserve">agonist </w:t>
      </w:r>
      <w:r w:rsidRPr="00FC5606">
        <w:rPr>
          <w:rFonts w:ascii="Arial" w:eastAsia="Arial" w:hAnsi="Arial" w:cs="Arial"/>
          <w:sz w:val="24"/>
          <w:szCs w:val="24"/>
        </w:rPr>
        <w:t>(</w:t>
      </w:r>
      <w:proofErr w:type="spellStart"/>
      <w:r w:rsidR="00D223F9">
        <w:rPr>
          <w:rFonts w:ascii="Arial" w:eastAsia="Arial" w:hAnsi="Arial" w:cs="Arial"/>
          <w:sz w:val="24"/>
          <w:szCs w:val="24"/>
        </w:rPr>
        <w:t>Wevoy</w:t>
      </w:r>
      <w:r w:rsidR="00C103B4">
        <w:rPr>
          <w:rFonts w:ascii="Arial" w:eastAsia="Arial" w:hAnsi="Arial" w:cs="Arial"/>
          <w:sz w:val="24"/>
          <w:szCs w:val="24"/>
        </w:rPr>
        <w:t>y</w:t>
      </w:r>
      <w:proofErr w:type="spellEnd"/>
      <w:r w:rsidRPr="00FC5606">
        <w:rPr>
          <w:rFonts w:ascii="Arial" w:eastAsia="Arial" w:hAnsi="Arial" w:cs="Arial"/>
          <w:sz w:val="24"/>
          <w:szCs w:val="24"/>
        </w:rPr>
        <w:t xml:space="preserve">) group lost at least 5% on baseline weight, compared with 31.5% for placebo. </w:t>
      </w:r>
      <w:proofErr w:type="spellStart"/>
      <w:r w:rsidR="007E6122">
        <w:rPr>
          <w:rFonts w:ascii="Arial" w:eastAsia="Arial" w:hAnsi="Arial" w:cs="Arial"/>
          <w:sz w:val="24"/>
          <w:szCs w:val="24"/>
        </w:rPr>
        <w:t>Semaglutide</w:t>
      </w:r>
      <w:proofErr w:type="spellEnd"/>
      <w:r w:rsidRPr="00FC5606">
        <w:rPr>
          <w:rFonts w:ascii="Arial" w:eastAsia="Arial" w:hAnsi="Arial" w:cs="Arial"/>
          <w:sz w:val="24"/>
          <w:szCs w:val="24"/>
        </w:rPr>
        <w:t xml:space="preserve"> led to 69.1% (vs 12.0%) losing ≥10% weight (69.1 vs 12.0%)</w:t>
      </w:r>
      <w:r w:rsidR="00F4006C" w:rsidRPr="00FC5606">
        <w:rPr>
          <w:rFonts w:ascii="Arial" w:eastAsia="Arial" w:hAnsi="Arial" w:cs="Arial"/>
          <w:sz w:val="24"/>
          <w:szCs w:val="24"/>
        </w:rPr>
        <w:t xml:space="preserve"> with</w:t>
      </w:r>
      <w:r w:rsidRPr="00FC5606">
        <w:rPr>
          <w:rFonts w:ascii="Arial" w:eastAsia="Arial" w:hAnsi="Arial" w:cs="Arial"/>
          <w:sz w:val="24"/>
          <w:szCs w:val="24"/>
        </w:rPr>
        <w:t xml:space="preserve"> ≥20% reduction of baseline weight achieved in 32.0</w:t>
      </w:r>
      <w:r w:rsidR="00F4006C" w:rsidRPr="00FC5606">
        <w:rPr>
          <w:rFonts w:ascii="Arial" w:eastAsia="Arial" w:hAnsi="Arial" w:cs="Arial"/>
          <w:sz w:val="24"/>
          <w:szCs w:val="24"/>
        </w:rPr>
        <w:t>%</w:t>
      </w:r>
      <w:r w:rsidRPr="00FC5606">
        <w:rPr>
          <w:rFonts w:ascii="Arial" w:eastAsia="Arial" w:hAnsi="Arial" w:cs="Arial"/>
          <w:sz w:val="24"/>
          <w:szCs w:val="24"/>
        </w:rPr>
        <w:t xml:space="preserve"> (vs 1.7%)</w:t>
      </w:r>
      <w:r w:rsidR="00554FC8" w:rsidRPr="00FC5606">
        <w:rPr>
          <w:rFonts w:ascii="Arial" w:eastAsia="Arial" w:hAnsi="Arial" w:cs="Arial"/>
          <w:sz w:val="24"/>
          <w:szCs w:val="24"/>
        </w:rPr>
        <w:t xml:space="preserve"> of participants</w:t>
      </w:r>
      <w:r w:rsidRPr="00FC5606">
        <w:rPr>
          <w:rFonts w:ascii="Arial" w:eastAsia="Arial" w:hAnsi="Arial" w:cs="Arial"/>
          <w:sz w:val="24"/>
          <w:szCs w:val="24"/>
        </w:rPr>
        <w:t xml:space="preserve"> (</w:t>
      </w:r>
      <w:r w:rsidR="008F0FF9">
        <w:rPr>
          <w:rFonts w:ascii="Arial" w:eastAsia="Arial" w:hAnsi="Arial" w:cs="Arial"/>
          <w:sz w:val="24"/>
          <w:szCs w:val="24"/>
        </w:rPr>
        <w:t>12</w:t>
      </w:r>
      <w:r w:rsidRPr="00FC5606">
        <w:rPr>
          <w:rFonts w:ascii="Arial" w:eastAsia="Arial" w:hAnsi="Arial" w:cs="Arial"/>
          <w:sz w:val="24"/>
          <w:szCs w:val="24"/>
        </w:rPr>
        <w:t xml:space="preserve">). The SURMOUNT-1 trial found that in people </w:t>
      </w:r>
      <w:r w:rsidR="0072157A">
        <w:rPr>
          <w:rFonts w:ascii="Arial" w:eastAsia="Arial" w:hAnsi="Arial" w:cs="Arial"/>
          <w:sz w:val="24"/>
          <w:szCs w:val="24"/>
        </w:rPr>
        <w:t xml:space="preserve">/ individuals with </w:t>
      </w:r>
      <w:r w:rsidRPr="00FC5606">
        <w:rPr>
          <w:rFonts w:ascii="Arial" w:eastAsia="Arial" w:hAnsi="Arial" w:cs="Arial"/>
          <w:sz w:val="24"/>
          <w:szCs w:val="24"/>
        </w:rPr>
        <w:t xml:space="preserve">overweight but without diabetes, 72 weeks of the combined </w:t>
      </w:r>
      <w:bookmarkStart w:id="3" w:name="_Hlk164208872"/>
      <w:r w:rsidRPr="00FC5606">
        <w:rPr>
          <w:rFonts w:ascii="Arial" w:eastAsia="Arial" w:hAnsi="Arial" w:cs="Arial"/>
          <w:sz w:val="24"/>
          <w:szCs w:val="24"/>
        </w:rPr>
        <w:t xml:space="preserve">GLP-1/GIP </w:t>
      </w:r>
      <w:bookmarkEnd w:id="3"/>
      <w:r w:rsidRPr="00FC5606">
        <w:rPr>
          <w:rFonts w:ascii="Arial" w:eastAsia="Arial" w:hAnsi="Arial" w:cs="Arial"/>
          <w:sz w:val="24"/>
          <w:szCs w:val="24"/>
        </w:rPr>
        <w:t xml:space="preserve">agonist, </w:t>
      </w:r>
      <w:proofErr w:type="spellStart"/>
      <w:r w:rsidRPr="00FC5606">
        <w:rPr>
          <w:rFonts w:ascii="Arial" w:eastAsia="Arial" w:hAnsi="Arial" w:cs="Arial"/>
          <w:sz w:val="24"/>
          <w:szCs w:val="24"/>
        </w:rPr>
        <w:t>tirzepatide</w:t>
      </w:r>
      <w:proofErr w:type="spellEnd"/>
      <w:r w:rsidRPr="00FC5606">
        <w:rPr>
          <w:rFonts w:ascii="Arial" w:eastAsia="Arial" w:hAnsi="Arial" w:cs="Arial"/>
          <w:sz w:val="24"/>
          <w:szCs w:val="24"/>
        </w:rPr>
        <w:t>, at doses of 5, 10, or 15 mg led to 15.0%, 19.5%, and 20.9% weight loss, respectively, compared with 3.1% in people taking placebo (</w:t>
      </w:r>
      <w:r w:rsidR="008F0FF9">
        <w:rPr>
          <w:rFonts w:ascii="Arial" w:eastAsia="Arial" w:hAnsi="Arial" w:cs="Arial"/>
          <w:sz w:val="24"/>
          <w:szCs w:val="24"/>
        </w:rPr>
        <w:t>13</w:t>
      </w:r>
      <w:r w:rsidRPr="00FC5606">
        <w:rPr>
          <w:rFonts w:ascii="Arial" w:eastAsia="Arial" w:hAnsi="Arial" w:cs="Arial"/>
          <w:sz w:val="24"/>
          <w:szCs w:val="24"/>
        </w:rPr>
        <w:t xml:space="preserve">). For the co-primary endpoint of the proportion of people attaining at least a 5% reduction in their baseline bodyweight, the corresponding values were 85%, 89%, and 91% versus 35%. </w:t>
      </w:r>
    </w:p>
    <w:p w14:paraId="527D163A" w14:textId="77777777" w:rsidR="00940EB1" w:rsidRPr="00FC5606" w:rsidRDefault="00940EB1" w:rsidP="00FC5606">
      <w:pPr>
        <w:spacing w:after="0" w:line="360" w:lineRule="auto"/>
        <w:jc w:val="both"/>
        <w:rPr>
          <w:rFonts w:ascii="Arial" w:eastAsia="Arial" w:hAnsi="Arial" w:cs="Arial"/>
          <w:sz w:val="24"/>
          <w:szCs w:val="24"/>
        </w:rPr>
      </w:pPr>
    </w:p>
    <w:p w14:paraId="5B63DA2C" w14:textId="51F4F1F0" w:rsidR="0070436E" w:rsidRPr="00FC5606" w:rsidRDefault="00753952" w:rsidP="00FC5606">
      <w:pPr>
        <w:kinsoku w:val="0"/>
        <w:overflowPunct w:val="0"/>
        <w:spacing w:after="0" w:line="360" w:lineRule="auto"/>
        <w:textAlignment w:val="baseline"/>
        <w:rPr>
          <w:rFonts w:ascii="Arial" w:eastAsia="Calibri" w:hAnsi="Arial" w:cs="Arial"/>
          <w:color w:val="000000" w:themeColor="text1"/>
          <w:sz w:val="24"/>
          <w:szCs w:val="24"/>
          <w:lang w:eastAsia="en-GB"/>
          <w14:ligatures w14:val="none"/>
        </w:rPr>
      </w:pPr>
      <w:r w:rsidRPr="00FC5606">
        <w:rPr>
          <w:rFonts w:ascii="Arial" w:hAnsi="Arial" w:cs="Arial"/>
          <w:sz w:val="24"/>
          <w:szCs w:val="24"/>
        </w:rPr>
        <w:t>It</w:t>
      </w:r>
      <w:r w:rsidR="0070436E" w:rsidRPr="00FC5606">
        <w:rPr>
          <w:rFonts w:ascii="Arial" w:eastAsia="Calibri" w:hAnsi="Arial" w:cs="Arial"/>
          <w:color w:val="000000" w:themeColor="text1"/>
          <w:sz w:val="24"/>
          <w:szCs w:val="24"/>
          <w:lang w:eastAsia="en-GB"/>
          <w14:ligatures w14:val="none"/>
        </w:rPr>
        <w:t xml:space="preserve"> </w:t>
      </w:r>
      <w:r w:rsidR="00862B02" w:rsidRPr="00FC5606">
        <w:rPr>
          <w:rFonts w:ascii="Arial" w:eastAsia="Calibri" w:hAnsi="Arial" w:cs="Arial"/>
          <w:color w:val="000000" w:themeColor="text1"/>
          <w:sz w:val="24"/>
          <w:szCs w:val="24"/>
          <w:lang w:eastAsia="en-GB"/>
          <w14:ligatures w14:val="none"/>
        </w:rPr>
        <w:t xml:space="preserve">therefore </w:t>
      </w:r>
      <w:r w:rsidR="0070436E" w:rsidRPr="00FC5606">
        <w:rPr>
          <w:rFonts w:ascii="Arial" w:eastAsia="Calibri" w:hAnsi="Arial" w:cs="Arial"/>
          <w:color w:val="000000" w:themeColor="text1"/>
          <w:sz w:val="24"/>
          <w:szCs w:val="24"/>
          <w:lang w:eastAsia="en-GB"/>
          <w14:ligatures w14:val="none"/>
        </w:rPr>
        <w:t xml:space="preserve">seems likely that GLP-1 receptor agonists </w:t>
      </w:r>
      <w:r w:rsidR="00940EB1" w:rsidRPr="00FC5606">
        <w:rPr>
          <w:rFonts w:ascii="Arial" w:eastAsia="Calibri" w:hAnsi="Arial" w:cs="Arial"/>
          <w:color w:val="000000" w:themeColor="text1"/>
          <w:sz w:val="24"/>
          <w:szCs w:val="24"/>
          <w:lang w:eastAsia="en-GB"/>
          <w14:ligatures w14:val="none"/>
        </w:rPr>
        <w:t xml:space="preserve">and other incretin therapies </w:t>
      </w:r>
      <w:r w:rsidR="0070436E" w:rsidRPr="00FC5606">
        <w:rPr>
          <w:rFonts w:ascii="Arial" w:eastAsia="Calibri" w:hAnsi="Arial" w:cs="Arial"/>
          <w:color w:val="000000" w:themeColor="text1"/>
          <w:sz w:val="24"/>
          <w:szCs w:val="24"/>
          <w:lang w:eastAsia="en-GB"/>
          <w14:ligatures w14:val="none"/>
        </w:rPr>
        <w:t xml:space="preserve">could be of substantial value in addressing </w:t>
      </w:r>
      <w:r w:rsidR="00D5044D">
        <w:rPr>
          <w:rFonts w:ascii="Arial" w:eastAsia="Calibri" w:hAnsi="Arial" w:cs="Arial"/>
          <w:color w:val="000000" w:themeColor="text1"/>
          <w:sz w:val="24"/>
          <w:szCs w:val="24"/>
          <w:lang w:eastAsia="en-GB"/>
          <w14:ligatures w14:val="none"/>
        </w:rPr>
        <w:t>the challenge of obesity in people with SMI</w:t>
      </w:r>
      <w:r w:rsidR="0070436E" w:rsidRPr="00FC5606">
        <w:rPr>
          <w:rFonts w:ascii="Arial" w:eastAsia="Calibri" w:hAnsi="Arial" w:cs="Arial"/>
          <w:color w:val="000000" w:themeColor="text1"/>
          <w:sz w:val="24"/>
          <w:szCs w:val="24"/>
          <w:lang w:eastAsia="en-GB"/>
          <w14:ligatures w14:val="none"/>
        </w:rPr>
        <w:t>, given the well-established evidence for their ability to reduce weight in individuals</w:t>
      </w:r>
      <w:r w:rsidR="008F0FF9">
        <w:rPr>
          <w:rFonts w:ascii="Arial" w:eastAsia="Calibri" w:hAnsi="Arial" w:cs="Arial"/>
          <w:color w:val="000000" w:themeColor="text1"/>
          <w:sz w:val="24"/>
          <w:szCs w:val="24"/>
          <w:lang w:eastAsia="en-GB"/>
          <w14:ligatures w14:val="none"/>
        </w:rPr>
        <w:t xml:space="preserve"> </w:t>
      </w:r>
      <w:r w:rsidR="0072157A">
        <w:rPr>
          <w:rFonts w:ascii="Arial" w:eastAsia="Calibri" w:hAnsi="Arial" w:cs="Arial"/>
          <w:color w:val="000000" w:themeColor="text1"/>
          <w:sz w:val="24"/>
          <w:szCs w:val="24"/>
          <w:lang w:eastAsia="en-GB"/>
          <w14:ligatures w14:val="none"/>
        </w:rPr>
        <w:t>with overweight</w:t>
      </w:r>
      <w:r w:rsidR="00936A3E">
        <w:rPr>
          <w:rFonts w:ascii="Arial" w:eastAsia="Calibri" w:hAnsi="Arial" w:cs="Arial"/>
          <w:color w:val="000000" w:themeColor="text1"/>
          <w:sz w:val="24"/>
          <w:szCs w:val="24"/>
          <w:lang w:eastAsia="en-GB"/>
          <w14:ligatures w14:val="none"/>
        </w:rPr>
        <w:t xml:space="preserve"> </w:t>
      </w:r>
      <w:r w:rsidR="008F0FF9">
        <w:rPr>
          <w:rFonts w:ascii="Arial" w:eastAsia="Calibri" w:hAnsi="Arial" w:cs="Arial"/>
          <w:color w:val="000000" w:themeColor="text1"/>
          <w:sz w:val="24"/>
          <w:szCs w:val="24"/>
          <w:lang w:eastAsia="en-GB"/>
          <w14:ligatures w14:val="none"/>
        </w:rPr>
        <w:t>(12,13)</w:t>
      </w:r>
    </w:p>
    <w:p w14:paraId="5B5133F5" w14:textId="77777777" w:rsidR="00DC453B" w:rsidRPr="00FC5606" w:rsidRDefault="00DC453B" w:rsidP="00FC5606">
      <w:pPr>
        <w:kinsoku w:val="0"/>
        <w:overflowPunct w:val="0"/>
        <w:spacing w:after="0" w:line="360" w:lineRule="auto"/>
        <w:textAlignment w:val="baseline"/>
        <w:rPr>
          <w:rFonts w:ascii="Arial" w:eastAsia="Times New Roman" w:hAnsi="Arial" w:cs="Arial"/>
          <w:kern w:val="0"/>
          <w:sz w:val="24"/>
          <w:szCs w:val="24"/>
          <w:lang w:eastAsia="en-GB"/>
          <w14:ligatures w14:val="none"/>
        </w:rPr>
      </w:pPr>
    </w:p>
    <w:p w14:paraId="71053BE3" w14:textId="14CD83A7" w:rsidR="0070436E" w:rsidRPr="00FC5606" w:rsidRDefault="00DC453B" w:rsidP="00FC5606">
      <w:pPr>
        <w:shd w:val="clear" w:color="auto" w:fill="FFFFFF"/>
        <w:spacing w:after="0" w:line="360" w:lineRule="auto"/>
        <w:rPr>
          <w:rFonts w:ascii="Arial" w:eastAsia="Calibri" w:hAnsi="Arial" w:cs="Arial"/>
          <w:color w:val="000000" w:themeColor="text1"/>
          <w:kern w:val="24"/>
          <w:sz w:val="24"/>
          <w:szCs w:val="24"/>
        </w:rPr>
      </w:pPr>
      <w:r w:rsidRPr="00FC5606">
        <w:rPr>
          <w:rFonts w:ascii="Arial" w:eastAsia="Calibri" w:hAnsi="Arial" w:cs="Arial"/>
          <w:color w:val="000000" w:themeColor="text1"/>
          <w:kern w:val="24"/>
          <w:sz w:val="24"/>
          <w:szCs w:val="24"/>
        </w:rPr>
        <w:t xml:space="preserve">In this </w:t>
      </w:r>
      <w:r w:rsidR="000C22AE" w:rsidRPr="00FC5606">
        <w:rPr>
          <w:rFonts w:ascii="Arial" w:eastAsia="Calibri" w:hAnsi="Arial" w:cs="Arial"/>
          <w:color w:val="000000" w:themeColor="text1"/>
          <w:kern w:val="24"/>
          <w:sz w:val="24"/>
          <w:szCs w:val="24"/>
        </w:rPr>
        <w:t>pragmatic</w:t>
      </w:r>
      <w:r w:rsidR="00EF188B">
        <w:rPr>
          <w:rFonts w:ascii="Arial" w:eastAsia="Calibri" w:hAnsi="Arial" w:cs="Arial"/>
          <w:color w:val="000000" w:themeColor="text1"/>
          <w:kern w:val="24"/>
          <w:sz w:val="24"/>
          <w:szCs w:val="24"/>
        </w:rPr>
        <w:t xml:space="preserve"> intervention</w:t>
      </w:r>
      <w:r w:rsidR="000C22AE" w:rsidRPr="00FC5606">
        <w:rPr>
          <w:rFonts w:ascii="Arial" w:eastAsia="Calibri" w:hAnsi="Arial" w:cs="Arial"/>
          <w:color w:val="000000" w:themeColor="text1"/>
          <w:kern w:val="24"/>
          <w:sz w:val="24"/>
          <w:szCs w:val="24"/>
        </w:rPr>
        <w:t>, w</w:t>
      </w:r>
      <w:r w:rsidRPr="00FC5606">
        <w:rPr>
          <w:rFonts w:ascii="Arial" w:eastAsia="Calibri" w:hAnsi="Arial" w:cs="Arial"/>
          <w:color w:val="000000" w:themeColor="text1"/>
          <w:kern w:val="24"/>
          <w:sz w:val="24"/>
          <w:szCs w:val="24"/>
        </w:rPr>
        <w:t xml:space="preserve">e aimed to determine whether </w:t>
      </w:r>
      <w:r w:rsidR="00F43AA6" w:rsidRPr="00FC5606">
        <w:rPr>
          <w:rFonts w:ascii="Arial" w:eastAsia="Calibri" w:hAnsi="Arial" w:cs="Arial"/>
          <w:color w:val="000000" w:themeColor="text1"/>
          <w:kern w:val="24"/>
          <w:sz w:val="24"/>
          <w:szCs w:val="24"/>
        </w:rPr>
        <w:t xml:space="preserve">weekly </w:t>
      </w:r>
      <w:proofErr w:type="spellStart"/>
      <w:r w:rsidR="007E6122">
        <w:rPr>
          <w:rFonts w:ascii="Arial" w:eastAsia="Calibri" w:hAnsi="Arial" w:cs="Arial"/>
          <w:color w:val="000000" w:themeColor="text1"/>
          <w:kern w:val="24"/>
          <w:sz w:val="24"/>
          <w:szCs w:val="24"/>
        </w:rPr>
        <w:t>semaglutide</w:t>
      </w:r>
      <w:proofErr w:type="spellEnd"/>
      <w:r w:rsidR="004F0C52" w:rsidRPr="00FC5606">
        <w:rPr>
          <w:rFonts w:ascii="Arial" w:eastAsia="Calibri" w:hAnsi="Arial" w:cs="Arial"/>
          <w:color w:val="000000" w:themeColor="text1"/>
          <w:kern w:val="24"/>
          <w:sz w:val="24"/>
          <w:szCs w:val="24"/>
        </w:rPr>
        <w:t xml:space="preserve"> </w:t>
      </w:r>
      <w:r w:rsidRPr="00FC5606">
        <w:rPr>
          <w:rFonts w:ascii="Arial" w:eastAsia="Calibri" w:hAnsi="Arial" w:cs="Arial"/>
          <w:color w:val="000000" w:themeColor="text1"/>
          <w:kern w:val="24"/>
          <w:sz w:val="24"/>
          <w:szCs w:val="24"/>
        </w:rPr>
        <w:t>treatment is feasible and acceptable to individuals in a</w:t>
      </w:r>
      <w:r w:rsidR="00A02367" w:rsidRPr="00FC5606">
        <w:rPr>
          <w:rFonts w:ascii="Arial" w:eastAsia="Calibri" w:hAnsi="Arial" w:cs="Arial"/>
          <w:color w:val="000000" w:themeColor="text1"/>
          <w:kern w:val="24"/>
          <w:sz w:val="24"/>
          <w:szCs w:val="24"/>
        </w:rPr>
        <w:t xml:space="preserve"> psychiatric i</w:t>
      </w:r>
      <w:r w:rsidRPr="00FC5606">
        <w:rPr>
          <w:rFonts w:ascii="Arial" w:eastAsia="Calibri" w:hAnsi="Arial" w:cs="Arial"/>
          <w:color w:val="000000" w:themeColor="text1"/>
          <w:kern w:val="24"/>
          <w:sz w:val="24"/>
          <w:szCs w:val="24"/>
        </w:rPr>
        <w:t xml:space="preserve">npatient setting </w:t>
      </w:r>
      <w:r w:rsidR="00A02367" w:rsidRPr="00FC5606">
        <w:rPr>
          <w:rFonts w:ascii="Arial" w:eastAsia="Calibri" w:hAnsi="Arial" w:cs="Arial"/>
          <w:color w:val="000000" w:themeColor="text1"/>
          <w:kern w:val="24"/>
          <w:sz w:val="24"/>
          <w:szCs w:val="24"/>
        </w:rPr>
        <w:t xml:space="preserve">and </w:t>
      </w:r>
      <w:r w:rsidR="000C22AE" w:rsidRPr="00FC5606">
        <w:rPr>
          <w:rFonts w:ascii="Arial" w:eastAsia="Calibri" w:hAnsi="Arial" w:cs="Arial"/>
          <w:color w:val="000000" w:themeColor="text1"/>
          <w:kern w:val="24"/>
          <w:sz w:val="24"/>
          <w:szCs w:val="24"/>
        </w:rPr>
        <w:t>can enable</w:t>
      </w:r>
      <w:r w:rsidRPr="00FC5606">
        <w:rPr>
          <w:rFonts w:ascii="Arial" w:eastAsia="Calibri" w:hAnsi="Arial" w:cs="Arial"/>
          <w:color w:val="000000" w:themeColor="text1"/>
          <w:kern w:val="24"/>
          <w:sz w:val="24"/>
          <w:szCs w:val="24"/>
        </w:rPr>
        <w:t xml:space="preserve"> weight reduction in </w:t>
      </w:r>
      <w:r w:rsidR="000C22AE" w:rsidRPr="00FC5606">
        <w:rPr>
          <w:rFonts w:ascii="Arial" w:eastAsia="Calibri" w:hAnsi="Arial" w:cs="Arial"/>
          <w:color w:val="000000" w:themeColor="text1"/>
          <w:kern w:val="24"/>
          <w:sz w:val="24"/>
          <w:szCs w:val="24"/>
        </w:rPr>
        <w:t xml:space="preserve">people </w:t>
      </w:r>
      <w:r w:rsidRPr="00FC5606">
        <w:rPr>
          <w:rFonts w:ascii="Arial" w:eastAsia="Calibri" w:hAnsi="Arial" w:cs="Arial"/>
          <w:color w:val="000000" w:themeColor="text1"/>
          <w:kern w:val="24"/>
          <w:sz w:val="24"/>
          <w:szCs w:val="24"/>
        </w:rPr>
        <w:t xml:space="preserve">with </w:t>
      </w:r>
      <w:r w:rsidR="00057A3A" w:rsidRPr="00FC5606">
        <w:rPr>
          <w:rFonts w:ascii="Arial" w:eastAsia="Calibri" w:hAnsi="Arial" w:cs="Arial"/>
          <w:color w:val="000000" w:themeColor="text1"/>
          <w:kern w:val="24"/>
          <w:sz w:val="24"/>
          <w:szCs w:val="24"/>
        </w:rPr>
        <w:t>a history of psychosis</w:t>
      </w:r>
      <w:r w:rsidR="000C22AE" w:rsidRPr="00FC5606">
        <w:rPr>
          <w:rFonts w:ascii="Arial" w:eastAsia="Calibri" w:hAnsi="Arial" w:cs="Arial"/>
          <w:color w:val="000000" w:themeColor="text1"/>
          <w:kern w:val="24"/>
          <w:sz w:val="24"/>
          <w:szCs w:val="24"/>
        </w:rPr>
        <w:t xml:space="preserve"> who are facing </w:t>
      </w:r>
      <w:r w:rsidR="00A02367" w:rsidRPr="00FC5606">
        <w:rPr>
          <w:rFonts w:ascii="Arial" w:eastAsia="Calibri" w:hAnsi="Arial" w:cs="Arial"/>
          <w:color w:val="000000" w:themeColor="text1"/>
          <w:kern w:val="24"/>
          <w:sz w:val="24"/>
          <w:szCs w:val="24"/>
        </w:rPr>
        <w:t xml:space="preserve">major </w:t>
      </w:r>
      <w:r w:rsidR="000C22AE" w:rsidRPr="00FC5606">
        <w:rPr>
          <w:rFonts w:ascii="Arial" w:eastAsia="Calibri" w:hAnsi="Arial" w:cs="Arial"/>
          <w:color w:val="000000" w:themeColor="text1"/>
          <w:kern w:val="24"/>
          <w:sz w:val="24"/>
          <w:szCs w:val="24"/>
        </w:rPr>
        <w:t xml:space="preserve">challenges in relation to </w:t>
      </w:r>
      <w:r w:rsidR="00A02367" w:rsidRPr="00FC5606">
        <w:rPr>
          <w:rFonts w:ascii="Arial" w:eastAsia="Calibri" w:hAnsi="Arial" w:cs="Arial"/>
          <w:color w:val="000000" w:themeColor="text1"/>
          <w:kern w:val="24"/>
          <w:sz w:val="24"/>
          <w:szCs w:val="24"/>
        </w:rPr>
        <w:t xml:space="preserve">their </w:t>
      </w:r>
      <w:r w:rsidR="000C22AE" w:rsidRPr="00FC5606">
        <w:rPr>
          <w:rFonts w:ascii="Arial" w:eastAsia="Calibri" w:hAnsi="Arial" w:cs="Arial"/>
          <w:color w:val="000000" w:themeColor="text1"/>
          <w:kern w:val="24"/>
          <w:sz w:val="24"/>
          <w:szCs w:val="24"/>
        </w:rPr>
        <w:t xml:space="preserve">weight management. </w:t>
      </w:r>
      <w:r w:rsidR="006F44DA" w:rsidRPr="00DB0EB2">
        <w:rPr>
          <w:rFonts w:ascii="Arial" w:hAnsi="Arial" w:cs="Arial"/>
          <w:sz w:val="24"/>
          <w:szCs w:val="24"/>
        </w:rPr>
        <w:t xml:space="preserve">No-one </w:t>
      </w:r>
      <w:r w:rsidR="006F44DA">
        <w:rPr>
          <w:rFonts w:ascii="Arial" w:hAnsi="Arial" w:cs="Arial"/>
          <w:sz w:val="24"/>
          <w:szCs w:val="24"/>
        </w:rPr>
        <w:t xml:space="preserve">in the study </w:t>
      </w:r>
      <w:r w:rsidR="006F44DA" w:rsidRPr="00DB0EB2">
        <w:rPr>
          <w:rFonts w:ascii="Arial" w:hAnsi="Arial" w:cs="Arial"/>
          <w:sz w:val="24"/>
          <w:szCs w:val="24"/>
        </w:rPr>
        <w:t>had a diagnosis of type 2 diabetes, hence the novelty of this study</w:t>
      </w:r>
      <w:r w:rsidR="00F676E2">
        <w:rPr>
          <w:rFonts w:ascii="Arial" w:hAnsi="Arial" w:cs="Arial"/>
          <w:sz w:val="24"/>
          <w:szCs w:val="24"/>
        </w:rPr>
        <w:t>.</w:t>
      </w:r>
    </w:p>
    <w:p w14:paraId="16B2801A" w14:textId="77777777" w:rsidR="00A02367" w:rsidRPr="00FC5606" w:rsidRDefault="00A02367" w:rsidP="00FC5606">
      <w:pPr>
        <w:shd w:val="clear" w:color="auto" w:fill="FFFFFF"/>
        <w:spacing w:after="0" w:line="360" w:lineRule="auto"/>
        <w:rPr>
          <w:rFonts w:ascii="Arial" w:eastAsia="Calibri" w:hAnsi="Arial" w:cs="Arial"/>
          <w:b/>
          <w:bCs/>
          <w:color w:val="000000" w:themeColor="text1"/>
          <w:sz w:val="24"/>
          <w:szCs w:val="24"/>
        </w:rPr>
      </w:pPr>
    </w:p>
    <w:p w14:paraId="408C06EB" w14:textId="08CE7F83" w:rsidR="00BE0947" w:rsidRPr="00FC5606" w:rsidRDefault="00BE0947" w:rsidP="00FC5606">
      <w:pPr>
        <w:spacing w:after="0" w:line="360" w:lineRule="auto"/>
        <w:outlineLvl w:val="0"/>
        <w:rPr>
          <w:rFonts w:ascii="Arial" w:eastAsia="Calibri" w:hAnsi="Arial" w:cs="Arial"/>
          <w:b/>
          <w:bCs/>
          <w:color w:val="000000" w:themeColor="text1"/>
          <w:sz w:val="24"/>
          <w:szCs w:val="24"/>
        </w:rPr>
      </w:pPr>
      <w:r w:rsidRPr="00FC5606">
        <w:rPr>
          <w:rFonts w:ascii="Arial" w:eastAsia="Calibri" w:hAnsi="Arial" w:cs="Arial"/>
          <w:b/>
          <w:bCs/>
          <w:color w:val="000000" w:themeColor="text1"/>
          <w:sz w:val="24"/>
          <w:szCs w:val="24"/>
        </w:rPr>
        <w:t>M</w:t>
      </w:r>
      <w:r w:rsidR="00A60F38" w:rsidRPr="00FC5606">
        <w:rPr>
          <w:rFonts w:ascii="Arial" w:eastAsia="Calibri" w:hAnsi="Arial" w:cs="Arial"/>
          <w:b/>
          <w:bCs/>
          <w:color w:val="000000" w:themeColor="text1"/>
          <w:sz w:val="24"/>
          <w:szCs w:val="24"/>
        </w:rPr>
        <w:t>ethods</w:t>
      </w:r>
    </w:p>
    <w:p w14:paraId="48B99ECC" w14:textId="050BCDAD" w:rsidR="002C7AAA" w:rsidRDefault="002C7AAA" w:rsidP="00FC5606">
      <w:pPr>
        <w:kinsoku w:val="0"/>
        <w:overflowPunct w:val="0"/>
        <w:spacing w:after="0" w:line="360" w:lineRule="auto"/>
        <w:textAlignment w:val="baseline"/>
        <w:rPr>
          <w:rFonts w:ascii="Arial" w:eastAsia="Calibri" w:hAnsi="Arial" w:cs="Arial"/>
          <w:color w:val="000000" w:themeColor="text1"/>
          <w:kern w:val="24"/>
          <w:sz w:val="24"/>
          <w:szCs w:val="24"/>
          <w:lang w:eastAsia="en-GB"/>
          <w14:ligatures w14:val="none"/>
        </w:rPr>
      </w:pPr>
      <w:r w:rsidRPr="00FC5606">
        <w:rPr>
          <w:rFonts w:ascii="Arial" w:eastAsia="Calibri" w:hAnsi="Arial" w:cs="Arial"/>
          <w:color w:val="000000" w:themeColor="text1"/>
          <w:kern w:val="24"/>
          <w:sz w:val="24"/>
          <w:szCs w:val="24"/>
          <w:lang w:eastAsia="en-GB"/>
          <w14:ligatures w14:val="none"/>
        </w:rPr>
        <w:t>15 people (</w:t>
      </w:r>
      <w:r w:rsidR="00753952" w:rsidRPr="00FC5606">
        <w:rPr>
          <w:rFonts w:ascii="Arial" w:eastAsia="Calibri" w:hAnsi="Arial" w:cs="Arial"/>
          <w:color w:val="000000" w:themeColor="text1"/>
          <w:kern w:val="24"/>
          <w:sz w:val="24"/>
          <w:szCs w:val="24"/>
          <w:lang w:eastAsia="en-GB"/>
          <w14:ligatures w14:val="none"/>
        </w:rPr>
        <w:t>1</w:t>
      </w:r>
      <w:r w:rsidR="00E504AF" w:rsidRPr="00FC5606">
        <w:rPr>
          <w:rFonts w:ascii="Arial" w:eastAsia="Calibri" w:hAnsi="Arial" w:cs="Arial"/>
          <w:color w:val="000000" w:themeColor="text1"/>
          <w:kern w:val="24"/>
          <w:sz w:val="24"/>
          <w:szCs w:val="24"/>
          <w:lang w:eastAsia="en-GB"/>
          <w14:ligatures w14:val="none"/>
        </w:rPr>
        <w:t>1</w:t>
      </w:r>
      <w:r w:rsidRPr="00FC5606">
        <w:rPr>
          <w:rFonts w:ascii="Arial" w:eastAsia="Calibri" w:hAnsi="Arial" w:cs="Arial"/>
          <w:color w:val="000000" w:themeColor="text1"/>
          <w:kern w:val="24"/>
          <w:sz w:val="24"/>
          <w:szCs w:val="24"/>
          <w:lang w:eastAsia="en-GB"/>
          <w14:ligatures w14:val="none"/>
        </w:rPr>
        <w:t xml:space="preserve"> men and </w:t>
      </w:r>
      <w:r w:rsidR="00E504AF" w:rsidRPr="00FC5606">
        <w:rPr>
          <w:rFonts w:ascii="Arial" w:eastAsia="Calibri" w:hAnsi="Arial" w:cs="Arial"/>
          <w:color w:val="000000" w:themeColor="text1"/>
          <w:kern w:val="24"/>
          <w:sz w:val="24"/>
          <w:szCs w:val="24"/>
          <w:lang w:eastAsia="en-GB"/>
          <w14:ligatures w14:val="none"/>
        </w:rPr>
        <w:t>4</w:t>
      </w:r>
      <w:r w:rsidRPr="00FC5606">
        <w:rPr>
          <w:rFonts w:ascii="Arial" w:eastAsia="Calibri" w:hAnsi="Arial" w:cs="Arial"/>
          <w:color w:val="000000" w:themeColor="text1"/>
          <w:kern w:val="24"/>
          <w:sz w:val="24"/>
          <w:szCs w:val="24"/>
          <w:lang w:eastAsia="en-GB"/>
          <w14:ligatures w14:val="none"/>
        </w:rPr>
        <w:t xml:space="preserve"> women) with a diagnosis of schizophrenia</w:t>
      </w:r>
      <w:r w:rsidR="00EF188B">
        <w:rPr>
          <w:rFonts w:ascii="Arial" w:eastAsia="Calibri" w:hAnsi="Arial" w:cs="Arial"/>
          <w:color w:val="000000" w:themeColor="text1"/>
          <w:kern w:val="24"/>
          <w:sz w:val="24"/>
          <w:szCs w:val="24"/>
          <w:lang w:eastAsia="en-GB"/>
          <w14:ligatures w14:val="none"/>
        </w:rPr>
        <w:t xml:space="preserve"> or </w:t>
      </w:r>
      <w:r w:rsidR="00B05C26" w:rsidRPr="00FC5606">
        <w:rPr>
          <w:rFonts w:ascii="Arial" w:eastAsia="Calibri" w:hAnsi="Arial" w:cs="Arial"/>
          <w:color w:val="000000" w:themeColor="text1"/>
          <w:kern w:val="24"/>
          <w:sz w:val="24"/>
          <w:szCs w:val="24"/>
          <w:lang w:eastAsia="en-GB"/>
          <w14:ligatures w14:val="none"/>
        </w:rPr>
        <w:t xml:space="preserve"> </w:t>
      </w:r>
      <w:r w:rsidRPr="00FC5606">
        <w:rPr>
          <w:rFonts w:ascii="Arial" w:eastAsia="Calibri" w:hAnsi="Arial" w:cs="Arial"/>
          <w:color w:val="000000" w:themeColor="text1"/>
          <w:kern w:val="24"/>
          <w:sz w:val="24"/>
          <w:szCs w:val="24"/>
          <w:lang w:eastAsia="en-GB"/>
          <w14:ligatures w14:val="none"/>
        </w:rPr>
        <w:t xml:space="preserve">schizoaffective disorder according to ICD-10 </w:t>
      </w:r>
      <w:r w:rsidR="00725449">
        <w:rPr>
          <w:rFonts w:ascii="Arial" w:eastAsia="Calibri" w:hAnsi="Arial" w:cs="Arial"/>
          <w:color w:val="000000" w:themeColor="text1"/>
          <w:kern w:val="24"/>
          <w:sz w:val="24"/>
          <w:szCs w:val="24"/>
          <w:lang w:eastAsia="en-GB"/>
          <w14:ligatures w14:val="none"/>
        </w:rPr>
        <w:t xml:space="preserve">(14) </w:t>
      </w:r>
      <w:r w:rsidRPr="00FC5606">
        <w:rPr>
          <w:rFonts w:ascii="Arial" w:eastAsia="Calibri" w:hAnsi="Arial" w:cs="Arial"/>
          <w:color w:val="000000" w:themeColor="text1"/>
          <w:kern w:val="24"/>
          <w:sz w:val="24"/>
          <w:szCs w:val="24"/>
          <w:lang w:eastAsia="en-GB"/>
          <w14:ligatures w14:val="none"/>
        </w:rPr>
        <w:t>with a body</w:t>
      </w:r>
      <w:r w:rsidR="00D168E0" w:rsidRPr="00FC5606">
        <w:rPr>
          <w:rFonts w:ascii="Arial" w:eastAsia="Calibri" w:hAnsi="Arial" w:cs="Arial"/>
          <w:color w:val="000000" w:themeColor="text1"/>
          <w:kern w:val="24"/>
          <w:sz w:val="24"/>
          <w:szCs w:val="24"/>
          <w:lang w:eastAsia="en-GB"/>
          <w14:ligatures w14:val="none"/>
        </w:rPr>
        <w:t xml:space="preserve"> </w:t>
      </w:r>
      <w:r w:rsidRPr="00FC5606">
        <w:rPr>
          <w:rFonts w:ascii="Arial" w:eastAsia="Calibri" w:hAnsi="Arial" w:cs="Arial"/>
          <w:color w:val="000000" w:themeColor="text1"/>
          <w:kern w:val="24"/>
          <w:sz w:val="24"/>
          <w:szCs w:val="24"/>
          <w:lang w:eastAsia="en-GB"/>
          <w14:ligatures w14:val="none"/>
        </w:rPr>
        <w:t>mass index (BMI) of at least 3</w:t>
      </w:r>
      <w:r w:rsidR="00F43AA6" w:rsidRPr="00FC5606">
        <w:rPr>
          <w:rFonts w:ascii="Arial" w:eastAsia="Calibri" w:hAnsi="Arial" w:cs="Arial"/>
          <w:color w:val="000000" w:themeColor="text1"/>
          <w:kern w:val="24"/>
          <w:sz w:val="24"/>
          <w:szCs w:val="24"/>
          <w:lang w:eastAsia="en-GB"/>
          <w14:ligatures w14:val="none"/>
        </w:rPr>
        <w:t>0</w:t>
      </w:r>
      <w:r w:rsidRPr="00FC5606">
        <w:rPr>
          <w:rFonts w:ascii="Arial" w:eastAsia="Calibri" w:hAnsi="Arial" w:cs="Arial"/>
          <w:color w:val="000000" w:themeColor="text1"/>
          <w:kern w:val="24"/>
          <w:sz w:val="24"/>
          <w:szCs w:val="24"/>
          <w:lang w:eastAsia="en-GB"/>
          <w14:ligatures w14:val="none"/>
        </w:rPr>
        <w:t xml:space="preserve"> kg/m</w:t>
      </w:r>
      <w:r w:rsidRPr="00A21DA8">
        <w:rPr>
          <w:rFonts w:ascii="Arial" w:eastAsia="Calibri" w:hAnsi="Arial" w:cs="Arial"/>
          <w:color w:val="000000" w:themeColor="text1"/>
          <w:kern w:val="24"/>
          <w:sz w:val="24"/>
          <w:szCs w:val="24"/>
          <w:vertAlign w:val="superscript"/>
          <w:lang w:eastAsia="en-GB"/>
          <w14:ligatures w14:val="none"/>
        </w:rPr>
        <w:t xml:space="preserve">2 </w:t>
      </w:r>
      <w:r w:rsidRPr="00FC5606">
        <w:rPr>
          <w:rFonts w:ascii="Arial" w:eastAsia="Calibri" w:hAnsi="Arial" w:cs="Arial"/>
          <w:color w:val="000000" w:themeColor="text1"/>
          <w:kern w:val="24"/>
          <w:sz w:val="24"/>
          <w:szCs w:val="24"/>
          <w:lang w:eastAsia="en-GB"/>
          <w14:ligatures w14:val="none"/>
        </w:rPr>
        <w:t xml:space="preserve">were commenced  on the </w:t>
      </w:r>
      <w:r w:rsidR="004F0C52" w:rsidRPr="00FC5606">
        <w:rPr>
          <w:rFonts w:ascii="Arial" w:eastAsia="Calibri" w:hAnsi="Arial" w:cs="Arial"/>
          <w:color w:val="000000" w:themeColor="text1"/>
          <w:kern w:val="24"/>
          <w:sz w:val="24"/>
          <w:szCs w:val="24"/>
          <w:lang w:eastAsia="en-GB"/>
          <w14:ligatures w14:val="none"/>
        </w:rPr>
        <w:t>GLP</w:t>
      </w:r>
      <w:r w:rsidR="00B05C26" w:rsidRPr="00FC5606">
        <w:rPr>
          <w:rFonts w:ascii="Arial" w:eastAsia="Calibri" w:hAnsi="Arial" w:cs="Arial"/>
          <w:color w:val="000000" w:themeColor="text1"/>
          <w:kern w:val="24"/>
          <w:sz w:val="24"/>
          <w:szCs w:val="24"/>
          <w:lang w:eastAsia="en-GB"/>
          <w14:ligatures w14:val="none"/>
        </w:rPr>
        <w:t xml:space="preserve">-1 </w:t>
      </w:r>
      <w:r w:rsidR="00946E87" w:rsidRPr="00FC5606">
        <w:rPr>
          <w:rFonts w:ascii="Arial" w:eastAsia="Calibri" w:hAnsi="Arial" w:cs="Arial"/>
          <w:color w:val="000000" w:themeColor="text1"/>
          <w:kern w:val="24"/>
          <w:sz w:val="24"/>
          <w:szCs w:val="24"/>
          <w:lang w:eastAsia="en-GB"/>
          <w14:ligatures w14:val="none"/>
        </w:rPr>
        <w:t xml:space="preserve">agonist </w:t>
      </w:r>
      <w:proofErr w:type="spellStart"/>
      <w:r w:rsidR="007E6122">
        <w:rPr>
          <w:rFonts w:ascii="Arial" w:eastAsia="Calibri" w:hAnsi="Arial" w:cs="Arial"/>
          <w:color w:val="000000" w:themeColor="text1"/>
          <w:kern w:val="24"/>
          <w:sz w:val="24"/>
          <w:szCs w:val="24"/>
          <w:lang w:eastAsia="en-GB"/>
          <w14:ligatures w14:val="none"/>
        </w:rPr>
        <w:t>semaglutide</w:t>
      </w:r>
      <w:proofErr w:type="spellEnd"/>
      <w:r w:rsidR="00FF243F">
        <w:rPr>
          <w:rFonts w:ascii="Arial" w:eastAsia="Calibri" w:hAnsi="Arial" w:cs="Arial"/>
          <w:color w:val="000000" w:themeColor="text1"/>
          <w:kern w:val="24"/>
          <w:sz w:val="24"/>
          <w:szCs w:val="24"/>
          <w:lang w:eastAsia="en-GB"/>
          <w14:ligatures w14:val="none"/>
        </w:rPr>
        <w:t xml:space="preserve"> (</w:t>
      </w:r>
      <w:proofErr w:type="spellStart"/>
      <w:r w:rsidR="00FF243F">
        <w:rPr>
          <w:rFonts w:ascii="Arial" w:eastAsia="Calibri" w:hAnsi="Arial" w:cs="Arial"/>
          <w:color w:val="000000" w:themeColor="text1"/>
          <w:kern w:val="24"/>
          <w:sz w:val="24"/>
          <w:szCs w:val="24"/>
          <w:lang w:eastAsia="en-GB"/>
          <w14:ligatures w14:val="none"/>
        </w:rPr>
        <w:t>Wegovy</w:t>
      </w:r>
      <w:proofErr w:type="spellEnd"/>
      <w:r w:rsidR="00FF243F">
        <w:rPr>
          <w:rFonts w:ascii="Arial" w:eastAsia="Calibri" w:hAnsi="Arial" w:cs="Arial"/>
          <w:color w:val="000000" w:themeColor="text1"/>
          <w:kern w:val="24"/>
          <w:sz w:val="24"/>
          <w:szCs w:val="24"/>
          <w:lang w:eastAsia="en-GB"/>
          <w14:ligatures w14:val="none"/>
        </w:rPr>
        <w:t>)</w:t>
      </w:r>
      <w:r w:rsidR="00506A3A">
        <w:rPr>
          <w:rFonts w:ascii="Arial" w:eastAsia="Calibri" w:hAnsi="Arial" w:cs="Arial"/>
          <w:color w:val="000000" w:themeColor="text1"/>
          <w:kern w:val="24"/>
          <w:sz w:val="24"/>
          <w:szCs w:val="24"/>
          <w:lang w:eastAsia="en-GB"/>
          <w14:ligatures w14:val="none"/>
        </w:rPr>
        <w:t>,</w:t>
      </w:r>
      <w:r w:rsidRPr="00FC5606">
        <w:rPr>
          <w:rFonts w:ascii="Arial" w:eastAsia="Calibri" w:hAnsi="Arial" w:cs="Arial"/>
          <w:color w:val="000000" w:themeColor="text1"/>
          <w:kern w:val="24"/>
          <w:sz w:val="24"/>
          <w:szCs w:val="24"/>
          <w:lang w:eastAsia="en-GB"/>
          <w14:ligatures w14:val="none"/>
        </w:rPr>
        <w:t xml:space="preserve"> administered </w:t>
      </w:r>
      <w:r w:rsidR="00F43AA6" w:rsidRPr="00FC5606">
        <w:rPr>
          <w:rFonts w:ascii="Arial" w:eastAsia="Calibri" w:hAnsi="Arial" w:cs="Arial"/>
          <w:color w:val="000000" w:themeColor="text1"/>
          <w:kern w:val="24"/>
          <w:sz w:val="24"/>
          <w:szCs w:val="24"/>
          <w:lang w:eastAsia="en-GB"/>
          <w14:ligatures w14:val="none"/>
        </w:rPr>
        <w:t xml:space="preserve">as a weekly subcutaneous injection </w:t>
      </w:r>
      <w:r w:rsidRPr="00FC5606">
        <w:rPr>
          <w:rFonts w:ascii="Arial" w:eastAsia="Calibri" w:hAnsi="Arial" w:cs="Arial"/>
          <w:color w:val="000000" w:themeColor="text1"/>
          <w:kern w:val="24"/>
          <w:sz w:val="24"/>
          <w:szCs w:val="24"/>
          <w:lang w:eastAsia="en-GB"/>
          <w14:ligatures w14:val="none"/>
        </w:rPr>
        <w:t xml:space="preserve">as per </w:t>
      </w:r>
      <w:r w:rsidR="00940EB1" w:rsidRPr="00FC5606">
        <w:rPr>
          <w:rFonts w:ascii="Arial" w:eastAsia="Calibri" w:hAnsi="Arial" w:cs="Arial"/>
          <w:color w:val="000000" w:themeColor="text1"/>
          <w:kern w:val="24"/>
          <w:sz w:val="24"/>
          <w:szCs w:val="24"/>
          <w:lang w:eastAsia="en-GB"/>
          <w14:ligatures w14:val="none"/>
        </w:rPr>
        <w:t xml:space="preserve">the British National </w:t>
      </w:r>
      <w:r w:rsidR="00940EB1" w:rsidRPr="00FC5606">
        <w:rPr>
          <w:rFonts w:ascii="Arial" w:eastAsia="Calibri" w:hAnsi="Arial" w:cs="Arial"/>
          <w:color w:val="000000" w:themeColor="text1"/>
          <w:kern w:val="24"/>
          <w:sz w:val="24"/>
          <w:szCs w:val="24"/>
          <w:lang w:eastAsia="en-GB"/>
          <w14:ligatures w14:val="none"/>
        </w:rPr>
        <w:lastRenderedPageBreak/>
        <w:t>Formulary (</w:t>
      </w:r>
      <w:r w:rsidRPr="00FC5606">
        <w:rPr>
          <w:rFonts w:ascii="Arial" w:eastAsia="Calibri" w:hAnsi="Arial" w:cs="Arial"/>
          <w:color w:val="000000" w:themeColor="text1"/>
          <w:kern w:val="24"/>
          <w:sz w:val="24"/>
          <w:szCs w:val="24"/>
          <w:lang w:eastAsia="en-GB"/>
          <w14:ligatures w14:val="none"/>
        </w:rPr>
        <w:t>BNF</w:t>
      </w:r>
      <w:r w:rsidR="00940EB1" w:rsidRPr="00FC5606">
        <w:rPr>
          <w:rFonts w:ascii="Arial" w:eastAsia="Calibri" w:hAnsi="Arial" w:cs="Arial"/>
          <w:color w:val="000000" w:themeColor="text1"/>
          <w:kern w:val="24"/>
          <w:sz w:val="24"/>
          <w:szCs w:val="24"/>
          <w:lang w:eastAsia="en-GB"/>
          <w14:ligatures w14:val="none"/>
        </w:rPr>
        <w:t>)</w:t>
      </w:r>
      <w:r w:rsidRPr="00FC5606">
        <w:rPr>
          <w:rFonts w:ascii="Arial" w:eastAsia="Calibri" w:hAnsi="Arial" w:cs="Arial"/>
          <w:color w:val="000000" w:themeColor="text1"/>
          <w:kern w:val="24"/>
          <w:sz w:val="24"/>
          <w:szCs w:val="24"/>
          <w:lang w:eastAsia="en-GB"/>
          <w14:ligatures w14:val="none"/>
        </w:rPr>
        <w:t xml:space="preserve"> in increasing dose increments </w:t>
      </w:r>
      <w:r w:rsidR="005F5439" w:rsidRPr="00FC5606">
        <w:rPr>
          <w:rFonts w:ascii="Arial" w:eastAsia="Calibri" w:hAnsi="Arial" w:cs="Arial"/>
          <w:color w:val="000000" w:themeColor="text1"/>
          <w:kern w:val="24"/>
          <w:sz w:val="24"/>
          <w:szCs w:val="24"/>
          <w:lang w:eastAsia="en-GB"/>
          <w14:ligatures w14:val="none"/>
        </w:rPr>
        <w:t xml:space="preserve"> and if tolerated </w:t>
      </w:r>
      <w:r w:rsidRPr="00FC5606">
        <w:rPr>
          <w:rFonts w:ascii="Arial" w:eastAsia="Calibri" w:hAnsi="Arial" w:cs="Arial"/>
          <w:color w:val="000000" w:themeColor="text1"/>
          <w:kern w:val="24"/>
          <w:sz w:val="24"/>
          <w:szCs w:val="24"/>
          <w:lang w:eastAsia="en-GB"/>
          <w14:ligatures w14:val="none"/>
        </w:rPr>
        <w:t>up to a maximum dose of 2.4mg / week</w:t>
      </w:r>
      <w:r w:rsidR="005F5439" w:rsidRPr="00FC5606">
        <w:rPr>
          <w:rFonts w:ascii="Arial" w:eastAsia="Calibri" w:hAnsi="Arial" w:cs="Arial"/>
          <w:color w:val="000000" w:themeColor="text1"/>
          <w:kern w:val="24"/>
          <w:sz w:val="24"/>
          <w:szCs w:val="24"/>
          <w:lang w:eastAsia="en-GB"/>
          <w14:ligatures w14:val="none"/>
        </w:rPr>
        <w:t xml:space="preserve"> </w:t>
      </w:r>
      <w:r w:rsidR="001574B7" w:rsidRPr="00FC5606">
        <w:rPr>
          <w:rFonts w:ascii="Arial" w:eastAsia="Calibri" w:hAnsi="Arial" w:cs="Arial"/>
          <w:color w:val="000000" w:themeColor="text1"/>
          <w:kern w:val="24"/>
          <w:sz w:val="24"/>
          <w:szCs w:val="24"/>
          <w:lang w:eastAsia="en-GB"/>
          <w14:ligatures w14:val="none"/>
        </w:rPr>
        <w:t>(</w:t>
      </w:r>
      <w:r w:rsidR="005F5439" w:rsidRPr="00FC5606">
        <w:rPr>
          <w:rFonts w:ascii="Arial" w:eastAsia="Calibri" w:hAnsi="Arial" w:cs="Arial"/>
          <w:color w:val="000000" w:themeColor="text1"/>
          <w:kern w:val="24"/>
          <w:sz w:val="24"/>
          <w:szCs w:val="24"/>
          <w:lang w:eastAsia="en-GB"/>
          <w14:ligatures w14:val="none"/>
        </w:rPr>
        <w:t>in monthly increments</w:t>
      </w:r>
      <w:r w:rsidRPr="00FC5606">
        <w:rPr>
          <w:rFonts w:ascii="Arial" w:eastAsia="Calibri" w:hAnsi="Arial" w:cs="Arial"/>
          <w:color w:val="000000" w:themeColor="text1"/>
          <w:kern w:val="24"/>
          <w:sz w:val="24"/>
          <w:szCs w:val="24"/>
          <w:lang w:eastAsia="en-GB"/>
          <w14:ligatures w14:val="none"/>
        </w:rPr>
        <w:t>).</w:t>
      </w:r>
    </w:p>
    <w:p w14:paraId="755CDDCD" w14:textId="77777777" w:rsidR="00EF188B" w:rsidRPr="00FC5606" w:rsidRDefault="00EF188B" w:rsidP="00FC5606">
      <w:pPr>
        <w:kinsoku w:val="0"/>
        <w:overflowPunct w:val="0"/>
        <w:spacing w:after="0" w:line="360" w:lineRule="auto"/>
        <w:textAlignment w:val="baseline"/>
        <w:rPr>
          <w:rFonts w:ascii="Arial" w:eastAsia="Calibri" w:hAnsi="Arial" w:cs="Arial"/>
          <w:color w:val="000000" w:themeColor="text1"/>
          <w:kern w:val="24"/>
          <w:sz w:val="24"/>
          <w:szCs w:val="24"/>
          <w:lang w:eastAsia="en-GB"/>
          <w14:ligatures w14:val="none"/>
        </w:rPr>
      </w:pPr>
    </w:p>
    <w:p w14:paraId="6E8485AE" w14:textId="10AF46DB" w:rsidR="00FC5606" w:rsidRPr="00B37FD1" w:rsidRDefault="00CD5FE8" w:rsidP="00B37FD1">
      <w:pPr>
        <w:pStyle w:val="pf0"/>
        <w:spacing w:line="360" w:lineRule="auto"/>
        <w:rPr>
          <w:rFonts w:ascii="Arial" w:hAnsi="Arial" w:cs="Arial"/>
        </w:rPr>
      </w:pPr>
      <w:r w:rsidRPr="00B37FD1">
        <w:rPr>
          <w:rFonts w:ascii="Arial" w:eastAsia="Calibri" w:hAnsi="Arial" w:cs="Arial"/>
          <w:color w:val="000000" w:themeColor="text1"/>
          <w:kern w:val="24"/>
        </w:rPr>
        <w:t xml:space="preserve">All participants were inpatients on a medium secure psychiatric unit in </w:t>
      </w:r>
      <w:r w:rsidR="00532A84" w:rsidRPr="00B37FD1">
        <w:rPr>
          <w:rFonts w:ascii="Arial" w:eastAsia="Calibri" w:hAnsi="Arial" w:cs="Arial"/>
          <w:color w:val="000000" w:themeColor="text1"/>
          <w:kern w:val="24"/>
        </w:rPr>
        <w:t>N</w:t>
      </w:r>
      <w:r w:rsidRPr="00B37FD1">
        <w:rPr>
          <w:rFonts w:ascii="Arial" w:eastAsia="Calibri" w:hAnsi="Arial" w:cs="Arial"/>
          <w:color w:val="000000" w:themeColor="text1"/>
          <w:kern w:val="24"/>
        </w:rPr>
        <w:t>orth-</w:t>
      </w:r>
      <w:r w:rsidR="00532A84" w:rsidRPr="00B37FD1">
        <w:rPr>
          <w:rFonts w:ascii="Arial" w:eastAsia="Calibri" w:hAnsi="Arial" w:cs="Arial"/>
          <w:color w:val="000000" w:themeColor="text1"/>
          <w:kern w:val="24"/>
        </w:rPr>
        <w:t>W</w:t>
      </w:r>
      <w:r w:rsidR="00026FC9" w:rsidRPr="00B37FD1">
        <w:rPr>
          <w:rFonts w:ascii="Arial" w:eastAsia="Calibri" w:hAnsi="Arial" w:cs="Arial"/>
          <w:color w:val="000000" w:themeColor="text1"/>
          <w:kern w:val="24"/>
        </w:rPr>
        <w:t>est</w:t>
      </w:r>
      <w:r w:rsidRPr="00B37FD1">
        <w:rPr>
          <w:rFonts w:ascii="Arial" w:eastAsia="Calibri" w:hAnsi="Arial" w:cs="Arial"/>
          <w:color w:val="000000" w:themeColor="text1"/>
          <w:kern w:val="24"/>
        </w:rPr>
        <w:t xml:space="preserve"> England</w:t>
      </w:r>
      <w:r w:rsidR="00DB1AE8" w:rsidRPr="00B37FD1">
        <w:rPr>
          <w:rFonts w:ascii="Arial" w:eastAsia="Calibri" w:hAnsi="Arial" w:cs="Arial"/>
          <w:color w:val="000000" w:themeColor="text1"/>
          <w:kern w:val="24"/>
        </w:rPr>
        <w:t xml:space="preserve"> and were detained under the Mental Health Act (1987</w:t>
      </w:r>
      <w:r w:rsidR="00B37FD1" w:rsidRPr="00B37FD1">
        <w:rPr>
          <w:rFonts w:ascii="Arial" w:eastAsia="Calibri" w:hAnsi="Arial" w:cs="Arial"/>
          <w:color w:val="000000" w:themeColor="text1"/>
          <w:kern w:val="24"/>
        </w:rPr>
        <w:t xml:space="preserve">) </w:t>
      </w:r>
      <w:r w:rsidR="00725449">
        <w:rPr>
          <w:rFonts w:ascii="Arial" w:eastAsia="Calibri" w:hAnsi="Arial" w:cs="Arial"/>
          <w:color w:val="000000" w:themeColor="text1"/>
          <w:kern w:val="24"/>
        </w:rPr>
        <w:t xml:space="preserve">(15) </w:t>
      </w:r>
      <w:r w:rsidR="00B37FD1" w:rsidRPr="00B37FD1">
        <w:rPr>
          <w:rFonts w:ascii="Arial" w:eastAsia="Calibri" w:hAnsi="Arial" w:cs="Arial"/>
          <w:color w:val="000000" w:themeColor="text1"/>
          <w:kern w:val="24"/>
        </w:rPr>
        <w:t xml:space="preserve">and had been treated with </w:t>
      </w:r>
      <w:r w:rsidR="00B37FD1" w:rsidRPr="00B37FD1">
        <w:rPr>
          <w:rStyle w:val="cf01"/>
          <w:rFonts w:ascii="Arial" w:eastAsiaTheme="majorEastAsia" w:hAnsi="Arial" w:cs="Arial"/>
          <w:sz w:val="24"/>
          <w:szCs w:val="24"/>
        </w:rPr>
        <w:t>high doses of antipsychotic medication.</w:t>
      </w:r>
      <w:r w:rsidR="006F44DA">
        <w:rPr>
          <w:rStyle w:val="cf01"/>
          <w:rFonts w:ascii="Arial" w:eastAsiaTheme="majorEastAsia" w:hAnsi="Arial" w:cs="Arial"/>
          <w:sz w:val="24"/>
          <w:szCs w:val="24"/>
        </w:rPr>
        <w:t xml:space="preserve"> </w:t>
      </w:r>
      <w:r w:rsidR="006F44DA" w:rsidRPr="00890A0C">
        <w:rPr>
          <w:rFonts w:ascii="Arial" w:hAnsi="Arial" w:cs="Arial"/>
        </w:rPr>
        <w:t>No-one had a diagnosis of type 2 diabetes</w:t>
      </w:r>
      <w:r w:rsidR="00F676E2">
        <w:rPr>
          <w:rFonts w:ascii="Arial" w:hAnsi="Arial" w:cs="Arial"/>
        </w:rPr>
        <w:t>.</w:t>
      </w:r>
    </w:p>
    <w:p w14:paraId="7B7FBCF3" w14:textId="77777777" w:rsidR="001C24D2" w:rsidRDefault="00EF741F" w:rsidP="00FC5606">
      <w:pPr>
        <w:kinsoku w:val="0"/>
        <w:overflowPunct w:val="0"/>
        <w:spacing w:after="0" w:line="360" w:lineRule="auto"/>
        <w:textAlignment w:val="baseline"/>
        <w:rPr>
          <w:rFonts w:ascii="Arial" w:eastAsia="Calibri" w:hAnsi="Arial" w:cs="Arial"/>
          <w:color w:val="000000" w:themeColor="text1"/>
          <w:kern w:val="24"/>
          <w:sz w:val="24"/>
          <w:szCs w:val="24"/>
          <w:lang w:eastAsia="en-GB"/>
          <w14:ligatures w14:val="none"/>
        </w:rPr>
      </w:pPr>
      <w:r w:rsidRPr="00FC5606">
        <w:rPr>
          <w:rFonts w:ascii="Arial" w:eastAsia="Calibri" w:hAnsi="Arial" w:cs="Arial"/>
          <w:color w:val="000000" w:themeColor="text1"/>
          <w:kern w:val="24"/>
          <w:sz w:val="24"/>
          <w:szCs w:val="24"/>
          <w:lang w:eastAsia="en-GB"/>
          <w14:ligatures w14:val="none"/>
        </w:rPr>
        <w:t xml:space="preserve">This was a clinical intervention </w:t>
      </w:r>
      <w:r w:rsidR="008A3A67" w:rsidRPr="00FC5606">
        <w:rPr>
          <w:rFonts w:ascii="Arial" w:eastAsia="Calibri" w:hAnsi="Arial" w:cs="Arial"/>
          <w:color w:val="000000" w:themeColor="text1"/>
          <w:kern w:val="24"/>
          <w:sz w:val="24"/>
          <w:szCs w:val="24"/>
          <w:lang w:eastAsia="en-GB"/>
          <w14:ligatures w14:val="none"/>
        </w:rPr>
        <w:t xml:space="preserve">as part of usual care, </w:t>
      </w:r>
      <w:r w:rsidRPr="00FC5606">
        <w:rPr>
          <w:rFonts w:ascii="Arial" w:eastAsia="Calibri" w:hAnsi="Arial" w:cs="Arial"/>
          <w:color w:val="000000" w:themeColor="text1"/>
          <w:kern w:val="24"/>
          <w:sz w:val="24"/>
          <w:szCs w:val="24"/>
          <w:lang w:eastAsia="en-GB"/>
          <w14:ligatures w14:val="none"/>
        </w:rPr>
        <w:t xml:space="preserve">according to </w:t>
      </w:r>
      <w:r w:rsidR="003076E3" w:rsidRPr="00FC5606">
        <w:rPr>
          <w:rFonts w:ascii="Arial" w:eastAsia="Calibri" w:hAnsi="Arial" w:cs="Arial"/>
          <w:color w:val="000000" w:themeColor="text1"/>
          <w:kern w:val="24"/>
          <w:sz w:val="24"/>
          <w:szCs w:val="24"/>
          <w:lang w:eastAsia="en-GB"/>
          <w14:ligatures w14:val="none"/>
        </w:rPr>
        <w:t xml:space="preserve">NICE guidance </w:t>
      </w:r>
      <w:r w:rsidR="00725449">
        <w:rPr>
          <w:rFonts w:ascii="Arial" w:eastAsia="Calibri" w:hAnsi="Arial" w:cs="Arial"/>
          <w:color w:val="000000" w:themeColor="text1"/>
          <w:kern w:val="24"/>
          <w:sz w:val="24"/>
          <w:szCs w:val="24"/>
          <w:lang w:eastAsia="en-GB"/>
          <w14:ligatures w14:val="none"/>
        </w:rPr>
        <w:t>(16) f</w:t>
      </w:r>
      <w:r w:rsidR="003076E3" w:rsidRPr="00FC5606">
        <w:rPr>
          <w:rFonts w:ascii="Arial" w:eastAsia="Calibri" w:hAnsi="Arial" w:cs="Arial"/>
          <w:color w:val="000000" w:themeColor="text1"/>
          <w:kern w:val="24"/>
          <w:sz w:val="24"/>
          <w:szCs w:val="24"/>
          <w:lang w:eastAsia="en-GB"/>
          <w14:ligatures w14:val="none"/>
        </w:rPr>
        <w:t>or</w:t>
      </w:r>
      <w:r w:rsidR="00940EB1" w:rsidRPr="00FC5606">
        <w:rPr>
          <w:rFonts w:ascii="Arial" w:eastAsia="Calibri" w:hAnsi="Arial" w:cs="Arial"/>
          <w:color w:val="000000" w:themeColor="text1"/>
          <w:kern w:val="24"/>
          <w:sz w:val="24"/>
          <w:szCs w:val="24"/>
          <w:lang w:eastAsia="en-GB"/>
          <w14:ligatures w14:val="none"/>
        </w:rPr>
        <w:t xml:space="preserve"> prescribing of </w:t>
      </w:r>
      <w:proofErr w:type="spellStart"/>
      <w:r w:rsidR="007E6122">
        <w:rPr>
          <w:rFonts w:ascii="Arial" w:eastAsia="Calibri" w:hAnsi="Arial" w:cs="Arial"/>
          <w:color w:val="000000" w:themeColor="text1"/>
          <w:kern w:val="24"/>
          <w:sz w:val="24"/>
          <w:szCs w:val="24"/>
          <w:lang w:eastAsia="en-GB"/>
          <w14:ligatures w14:val="none"/>
        </w:rPr>
        <w:t>semaglutide</w:t>
      </w:r>
      <w:proofErr w:type="spellEnd"/>
      <w:r w:rsidR="00940EB1" w:rsidRPr="00FC5606">
        <w:rPr>
          <w:rFonts w:ascii="Arial" w:eastAsia="Calibri" w:hAnsi="Arial" w:cs="Arial"/>
          <w:color w:val="000000" w:themeColor="text1"/>
          <w:kern w:val="24"/>
          <w:sz w:val="24"/>
          <w:szCs w:val="24"/>
          <w:lang w:eastAsia="en-GB"/>
          <w14:ligatures w14:val="none"/>
        </w:rPr>
        <w:t xml:space="preserve"> according to </w:t>
      </w:r>
      <w:r w:rsidR="00753952" w:rsidRPr="00FC5606">
        <w:rPr>
          <w:rFonts w:ascii="Arial" w:eastAsia="Calibri" w:hAnsi="Arial" w:cs="Arial"/>
          <w:color w:val="000000" w:themeColor="text1"/>
          <w:kern w:val="24"/>
          <w:sz w:val="24"/>
          <w:szCs w:val="24"/>
          <w:lang w:eastAsia="en-GB"/>
          <w14:ligatures w14:val="none"/>
        </w:rPr>
        <w:t>its</w:t>
      </w:r>
      <w:r w:rsidR="00940EB1" w:rsidRPr="00FC5606">
        <w:rPr>
          <w:rFonts w:ascii="Arial" w:eastAsia="Calibri" w:hAnsi="Arial" w:cs="Arial"/>
          <w:color w:val="000000" w:themeColor="text1"/>
          <w:kern w:val="24"/>
          <w:sz w:val="24"/>
          <w:szCs w:val="24"/>
          <w:lang w:eastAsia="en-GB"/>
          <w14:ligatures w14:val="none"/>
        </w:rPr>
        <w:t xml:space="preserve"> licence for treatment of obesity</w:t>
      </w:r>
      <w:r w:rsidR="004F0C52" w:rsidRPr="00FC5606">
        <w:rPr>
          <w:rFonts w:ascii="Arial" w:eastAsia="Calibri" w:hAnsi="Arial" w:cs="Arial"/>
          <w:color w:val="000000" w:themeColor="text1"/>
          <w:kern w:val="24"/>
          <w:sz w:val="24"/>
          <w:szCs w:val="24"/>
          <w:lang w:eastAsia="en-GB"/>
          <w14:ligatures w14:val="none"/>
        </w:rPr>
        <w:t>,</w:t>
      </w:r>
      <w:r w:rsidR="00940EB1" w:rsidRPr="00FC5606">
        <w:rPr>
          <w:rFonts w:ascii="Arial" w:eastAsia="Calibri" w:hAnsi="Arial" w:cs="Arial"/>
          <w:color w:val="000000" w:themeColor="text1"/>
          <w:kern w:val="24"/>
          <w:sz w:val="24"/>
          <w:szCs w:val="24"/>
          <w:lang w:eastAsia="en-GB"/>
          <w14:ligatures w14:val="none"/>
        </w:rPr>
        <w:t xml:space="preserve"> in collaboration with the local specialist weight management clinic. </w:t>
      </w:r>
      <w:r w:rsidR="00753952" w:rsidRPr="00FC5606">
        <w:rPr>
          <w:rFonts w:ascii="Arial" w:eastAsia="Calibri" w:hAnsi="Arial" w:cs="Arial"/>
          <w:color w:val="000000" w:themeColor="text1"/>
          <w:kern w:val="24"/>
          <w:sz w:val="24"/>
          <w:szCs w:val="24"/>
          <w:lang w:eastAsia="en-GB"/>
          <w14:ligatures w14:val="none"/>
        </w:rPr>
        <w:t xml:space="preserve">This was not a clinical trial, rather examination of the practicality of offering this medication to patients in an inpatient setting. </w:t>
      </w:r>
    </w:p>
    <w:p w14:paraId="574A7A3E" w14:textId="77777777" w:rsidR="001C24D2" w:rsidRDefault="001C24D2" w:rsidP="00FC5606">
      <w:pPr>
        <w:kinsoku w:val="0"/>
        <w:overflowPunct w:val="0"/>
        <w:spacing w:after="0" w:line="360" w:lineRule="auto"/>
        <w:textAlignment w:val="baseline"/>
        <w:rPr>
          <w:rFonts w:ascii="Arial" w:eastAsia="Calibri" w:hAnsi="Arial" w:cs="Arial"/>
          <w:color w:val="000000" w:themeColor="text1"/>
          <w:kern w:val="24"/>
          <w:sz w:val="24"/>
          <w:szCs w:val="24"/>
          <w:lang w:eastAsia="en-GB"/>
          <w14:ligatures w14:val="none"/>
        </w:rPr>
      </w:pPr>
    </w:p>
    <w:p w14:paraId="7AFC45A7" w14:textId="5CB44724" w:rsidR="000353A3" w:rsidRPr="000353A3" w:rsidRDefault="000353A3" w:rsidP="00FC5606">
      <w:pPr>
        <w:kinsoku w:val="0"/>
        <w:overflowPunct w:val="0"/>
        <w:spacing w:after="0" w:line="360" w:lineRule="auto"/>
        <w:textAlignment w:val="baseline"/>
        <w:rPr>
          <w:rFonts w:ascii="Arial" w:eastAsia="Calibri" w:hAnsi="Arial" w:cs="Arial"/>
          <w:b/>
          <w:bCs/>
          <w:color w:val="000000" w:themeColor="text1"/>
          <w:kern w:val="24"/>
          <w:sz w:val="24"/>
          <w:szCs w:val="24"/>
          <w:lang w:eastAsia="en-GB"/>
          <w14:ligatures w14:val="none"/>
        </w:rPr>
      </w:pPr>
      <w:r w:rsidRPr="00DB0EB2">
        <w:rPr>
          <w:rFonts w:ascii="Arial" w:hAnsi="Arial" w:cs="Arial"/>
          <w:sz w:val="24"/>
          <w:szCs w:val="24"/>
        </w:rPr>
        <w:t xml:space="preserve">This was a service improvement project. The UK Health Research Authority decision tool did not consider this study to be research and therefore NHS Research Ethics Committee review was not required. All patients who received </w:t>
      </w:r>
      <w:proofErr w:type="spellStart"/>
      <w:r w:rsidRPr="00DB0EB2">
        <w:rPr>
          <w:rFonts w:ascii="Arial" w:hAnsi="Arial" w:cs="Arial"/>
          <w:sz w:val="24"/>
          <w:szCs w:val="24"/>
        </w:rPr>
        <w:t>semaglutide</w:t>
      </w:r>
      <w:proofErr w:type="spellEnd"/>
      <w:r w:rsidRPr="00DB0EB2">
        <w:rPr>
          <w:rFonts w:ascii="Arial" w:hAnsi="Arial" w:cs="Arial"/>
          <w:sz w:val="24"/>
          <w:szCs w:val="24"/>
        </w:rPr>
        <w:t xml:space="preserve"> gave verbal consent to receiving this medication as part of their usual care. Their consent was recorded in the electronic patient hospital record.</w:t>
      </w:r>
    </w:p>
    <w:p w14:paraId="2E9B3BE0" w14:textId="77777777" w:rsidR="00FC5606" w:rsidRPr="00FC5606" w:rsidRDefault="00FC5606" w:rsidP="00FC5606">
      <w:pPr>
        <w:kinsoku w:val="0"/>
        <w:overflowPunct w:val="0"/>
        <w:spacing w:after="0" w:line="360" w:lineRule="auto"/>
        <w:textAlignment w:val="baseline"/>
        <w:rPr>
          <w:rFonts w:ascii="Arial" w:eastAsia="Times New Roman" w:hAnsi="Arial" w:cs="Arial"/>
          <w:kern w:val="0"/>
          <w:sz w:val="24"/>
          <w:szCs w:val="24"/>
          <w:lang w:eastAsia="en-GB"/>
          <w14:ligatures w14:val="none"/>
        </w:rPr>
      </w:pPr>
    </w:p>
    <w:p w14:paraId="140DDDCA" w14:textId="317F9D2F" w:rsidR="002C7AAA" w:rsidRDefault="002C7AAA" w:rsidP="00FC5606">
      <w:pPr>
        <w:kinsoku w:val="0"/>
        <w:overflowPunct w:val="0"/>
        <w:spacing w:after="0" w:line="360" w:lineRule="auto"/>
        <w:textAlignment w:val="baseline"/>
        <w:rPr>
          <w:rFonts w:ascii="Arial" w:eastAsia="Calibri" w:hAnsi="Arial" w:cs="Arial"/>
          <w:color w:val="000000" w:themeColor="text1"/>
          <w:kern w:val="24"/>
          <w:sz w:val="24"/>
          <w:szCs w:val="24"/>
          <w:lang w:eastAsia="en-GB"/>
          <w14:ligatures w14:val="none"/>
        </w:rPr>
      </w:pPr>
      <w:r w:rsidRPr="00FC5606">
        <w:rPr>
          <w:rFonts w:ascii="Arial" w:eastAsia="Calibri" w:hAnsi="Arial" w:cs="Arial"/>
          <w:color w:val="000000" w:themeColor="text1"/>
          <w:kern w:val="24"/>
          <w:sz w:val="24"/>
          <w:szCs w:val="24"/>
          <w:lang w:eastAsia="en-GB"/>
          <w14:ligatures w14:val="none"/>
        </w:rPr>
        <w:t xml:space="preserve">Body mass index (BMI) and glycated haemoglobin (HbA1c) were assessed at baseline </w:t>
      </w:r>
      <w:r w:rsidR="00F62BF9">
        <w:rPr>
          <w:rFonts w:ascii="Arial" w:eastAsia="Calibri" w:hAnsi="Arial" w:cs="Arial"/>
          <w:color w:val="000000" w:themeColor="text1"/>
          <w:kern w:val="24"/>
          <w:sz w:val="24"/>
          <w:szCs w:val="24"/>
          <w:lang w:eastAsia="en-GB"/>
          <w14:ligatures w14:val="none"/>
        </w:rPr>
        <w:t>and follow-up</w:t>
      </w:r>
      <w:r w:rsidR="008A3A67" w:rsidRPr="00FC5606">
        <w:rPr>
          <w:rFonts w:ascii="Arial" w:eastAsia="Calibri" w:hAnsi="Arial" w:cs="Arial"/>
          <w:color w:val="000000" w:themeColor="text1"/>
          <w:kern w:val="24"/>
          <w:sz w:val="24"/>
          <w:szCs w:val="24"/>
          <w:lang w:eastAsia="en-GB"/>
          <w14:ligatures w14:val="none"/>
        </w:rPr>
        <w:t xml:space="preserve">. All individuals receiving </w:t>
      </w:r>
      <w:proofErr w:type="spellStart"/>
      <w:r w:rsidR="007E6122">
        <w:rPr>
          <w:rFonts w:ascii="Arial" w:eastAsia="Calibri" w:hAnsi="Arial" w:cs="Arial"/>
          <w:color w:val="000000" w:themeColor="text1"/>
          <w:kern w:val="24"/>
          <w:sz w:val="24"/>
          <w:szCs w:val="24"/>
          <w:lang w:eastAsia="en-GB"/>
          <w14:ligatures w14:val="none"/>
        </w:rPr>
        <w:t>semaglutide</w:t>
      </w:r>
      <w:proofErr w:type="spellEnd"/>
      <w:r w:rsidR="008A3A67" w:rsidRPr="00FC5606">
        <w:rPr>
          <w:rFonts w:ascii="Arial" w:eastAsia="Calibri" w:hAnsi="Arial" w:cs="Arial"/>
          <w:color w:val="000000" w:themeColor="text1"/>
          <w:kern w:val="24"/>
          <w:sz w:val="24"/>
          <w:szCs w:val="24"/>
          <w:lang w:eastAsia="en-GB"/>
          <w14:ligatures w14:val="none"/>
        </w:rPr>
        <w:t xml:space="preserve"> </w:t>
      </w:r>
      <w:r w:rsidR="00075E0E" w:rsidRPr="00FC5606">
        <w:rPr>
          <w:rFonts w:ascii="Arial" w:eastAsia="Calibri" w:hAnsi="Arial" w:cs="Arial"/>
          <w:color w:val="000000" w:themeColor="text1"/>
          <w:kern w:val="24"/>
          <w:sz w:val="24"/>
          <w:szCs w:val="24"/>
          <w:lang w:eastAsia="en-GB"/>
          <w14:ligatures w14:val="none"/>
        </w:rPr>
        <w:t xml:space="preserve">underwent </w:t>
      </w:r>
      <w:r w:rsidR="008A3A67" w:rsidRPr="00FC5606">
        <w:rPr>
          <w:rFonts w:ascii="Arial" w:eastAsia="Calibri" w:hAnsi="Arial" w:cs="Arial"/>
          <w:color w:val="000000" w:themeColor="text1"/>
          <w:kern w:val="24"/>
          <w:sz w:val="24"/>
          <w:szCs w:val="24"/>
          <w:lang w:eastAsia="en-GB"/>
          <w14:ligatures w14:val="none"/>
        </w:rPr>
        <w:t xml:space="preserve">a dietetic assessment with advice given regarding healthy eating and avoidance of calorie excess. </w:t>
      </w:r>
    </w:p>
    <w:p w14:paraId="061CD67B" w14:textId="77777777" w:rsidR="00FC5606" w:rsidRPr="00FC5606" w:rsidRDefault="00FC5606" w:rsidP="00FC5606">
      <w:pPr>
        <w:kinsoku w:val="0"/>
        <w:overflowPunct w:val="0"/>
        <w:spacing w:after="0" w:line="360" w:lineRule="auto"/>
        <w:textAlignment w:val="baseline"/>
        <w:rPr>
          <w:rFonts w:ascii="Arial" w:eastAsia="Times New Roman" w:hAnsi="Arial" w:cs="Arial"/>
          <w:kern w:val="0"/>
          <w:sz w:val="24"/>
          <w:szCs w:val="24"/>
          <w:lang w:eastAsia="en-GB"/>
          <w14:ligatures w14:val="none"/>
        </w:rPr>
      </w:pPr>
    </w:p>
    <w:p w14:paraId="3C8DF0D4" w14:textId="76278BA9" w:rsidR="00B05C26" w:rsidRDefault="002C7AAA" w:rsidP="00FC5606">
      <w:pPr>
        <w:kinsoku w:val="0"/>
        <w:overflowPunct w:val="0"/>
        <w:spacing w:after="0" w:line="360" w:lineRule="auto"/>
        <w:textAlignment w:val="baseline"/>
        <w:rPr>
          <w:rFonts w:ascii="Arial" w:eastAsia="Calibri" w:hAnsi="Arial" w:cs="Arial"/>
          <w:color w:val="000000" w:themeColor="text1"/>
          <w:kern w:val="24"/>
          <w:sz w:val="24"/>
          <w:szCs w:val="24"/>
          <w:lang w:eastAsia="en-GB"/>
          <w14:ligatures w14:val="none"/>
        </w:rPr>
      </w:pPr>
      <w:r w:rsidRPr="00FC5606">
        <w:rPr>
          <w:rFonts w:ascii="Arial" w:eastAsia="Calibri" w:hAnsi="Arial" w:cs="Arial"/>
          <w:color w:val="000000" w:themeColor="text1"/>
          <w:kern w:val="24"/>
          <w:sz w:val="24"/>
          <w:szCs w:val="24"/>
          <w:lang w:eastAsia="en-GB"/>
          <w14:ligatures w14:val="none"/>
        </w:rPr>
        <w:t xml:space="preserve">In relation to a patient reported outcome measure (PROM), we assessed quality of life using </w:t>
      </w:r>
      <w:proofErr w:type="spellStart"/>
      <w:r w:rsidR="0060037B" w:rsidRPr="00F300AA">
        <w:rPr>
          <w:rFonts w:ascii="Arial" w:hAnsi="Arial" w:cs="Arial"/>
          <w:color w:val="000000" w:themeColor="text1"/>
          <w:sz w:val="24"/>
          <w:szCs w:val="24"/>
        </w:rPr>
        <w:t>EuroQol</w:t>
      </w:r>
      <w:proofErr w:type="spellEnd"/>
      <w:r w:rsidR="0060037B" w:rsidRPr="00F300AA">
        <w:rPr>
          <w:rFonts w:ascii="Arial" w:hAnsi="Arial" w:cs="Arial"/>
          <w:color w:val="000000" w:themeColor="text1"/>
          <w:sz w:val="24"/>
          <w:szCs w:val="24"/>
        </w:rPr>
        <w:t xml:space="preserve"> 5-Dimensional Questionnaire, 5-Level Version Visual Analogue Scale </w:t>
      </w:r>
      <w:r w:rsidR="0060037B">
        <w:rPr>
          <w:rFonts w:ascii="Arial" w:hAnsi="Arial" w:cs="Arial"/>
          <w:color w:val="000000" w:themeColor="text1"/>
          <w:sz w:val="24"/>
          <w:szCs w:val="24"/>
        </w:rPr>
        <w:t>(</w:t>
      </w:r>
      <w:r w:rsidR="0060037B" w:rsidRPr="00362624">
        <w:rPr>
          <w:rFonts w:ascii="Arial" w:eastAsia="Calibri" w:hAnsi="Arial" w:cs="Arial"/>
          <w:color w:val="000000" w:themeColor="text1"/>
          <w:sz w:val="24"/>
          <w:szCs w:val="24"/>
        </w:rPr>
        <w:t>EQ5D5L</w:t>
      </w:r>
      <w:r w:rsidR="0060037B">
        <w:rPr>
          <w:rFonts w:ascii="Arial" w:eastAsia="Calibri" w:hAnsi="Arial" w:cs="Arial"/>
          <w:color w:val="000000" w:themeColor="text1"/>
          <w:sz w:val="24"/>
          <w:szCs w:val="24"/>
        </w:rPr>
        <w:t xml:space="preserve">) </w:t>
      </w:r>
      <w:r w:rsidRPr="00FC5606">
        <w:rPr>
          <w:rFonts w:ascii="Arial" w:eastAsia="Calibri" w:hAnsi="Arial" w:cs="Arial"/>
          <w:color w:val="000000" w:themeColor="text1"/>
          <w:kern w:val="24"/>
          <w:sz w:val="24"/>
          <w:szCs w:val="24"/>
          <w:lang w:eastAsia="en-GB"/>
          <w14:ligatures w14:val="none"/>
        </w:rPr>
        <w:t>(</w:t>
      </w:r>
      <w:r w:rsidR="00725449">
        <w:rPr>
          <w:rFonts w:ascii="Arial" w:eastAsia="Calibri" w:hAnsi="Arial" w:cs="Arial"/>
          <w:color w:val="000000" w:themeColor="text1"/>
          <w:kern w:val="24"/>
          <w:sz w:val="24"/>
          <w:szCs w:val="24"/>
          <w:lang w:eastAsia="en-GB"/>
          <w14:ligatures w14:val="none"/>
        </w:rPr>
        <w:t>17</w:t>
      </w:r>
      <w:r w:rsidR="007E470C">
        <w:rPr>
          <w:rFonts w:ascii="Arial" w:eastAsia="Calibri" w:hAnsi="Arial" w:cs="Arial"/>
          <w:color w:val="000000" w:themeColor="text1"/>
          <w:kern w:val="24"/>
          <w:sz w:val="24"/>
          <w:szCs w:val="24"/>
          <w:lang w:eastAsia="en-GB"/>
          <w14:ligatures w14:val="none"/>
        </w:rPr>
        <w:t>)</w:t>
      </w:r>
      <w:r w:rsidR="00936A3E">
        <w:rPr>
          <w:rFonts w:ascii="Arial" w:eastAsia="Calibri" w:hAnsi="Arial" w:cs="Arial"/>
          <w:color w:val="000000" w:themeColor="text1"/>
          <w:kern w:val="24"/>
          <w:sz w:val="24"/>
          <w:szCs w:val="24"/>
          <w:lang w:eastAsia="en-GB"/>
          <w14:ligatures w14:val="none"/>
        </w:rPr>
        <w:t xml:space="preserve"> Licence Agreement number 155361</w:t>
      </w:r>
      <w:r w:rsidR="00075E0E" w:rsidRPr="00FC5606">
        <w:rPr>
          <w:rFonts w:ascii="Arial" w:eastAsia="Calibri" w:hAnsi="Arial" w:cs="Arial"/>
          <w:color w:val="000000" w:themeColor="text1"/>
          <w:kern w:val="24"/>
          <w:sz w:val="24"/>
          <w:szCs w:val="24"/>
          <w:lang w:eastAsia="en-GB"/>
          <w14:ligatures w14:val="none"/>
        </w:rPr>
        <w:t xml:space="preserve">. This </w:t>
      </w:r>
      <w:r w:rsidR="0076713C" w:rsidRPr="00FC5606">
        <w:rPr>
          <w:rFonts w:ascii="Arial" w:eastAsia="Calibri" w:hAnsi="Arial" w:cs="Arial"/>
          <w:color w:val="000000" w:themeColor="text1"/>
          <w:kern w:val="24"/>
          <w:sz w:val="24"/>
          <w:szCs w:val="24"/>
          <w:lang w:eastAsia="en-GB"/>
          <w14:ligatures w14:val="none"/>
        </w:rPr>
        <w:t xml:space="preserve">was </w:t>
      </w:r>
      <w:r w:rsidR="00075E0E" w:rsidRPr="00FC5606">
        <w:rPr>
          <w:rFonts w:ascii="Arial" w:eastAsia="Calibri" w:hAnsi="Arial" w:cs="Arial"/>
          <w:color w:val="000000" w:themeColor="text1"/>
          <w:kern w:val="24"/>
          <w:sz w:val="24"/>
          <w:szCs w:val="24"/>
          <w:lang w:eastAsia="en-GB"/>
          <w14:ligatures w14:val="none"/>
        </w:rPr>
        <w:t>completed at baselin</w:t>
      </w:r>
      <w:r w:rsidR="00F62BF9">
        <w:rPr>
          <w:rFonts w:ascii="Arial" w:eastAsia="Calibri" w:hAnsi="Arial" w:cs="Arial"/>
          <w:color w:val="000000" w:themeColor="text1"/>
          <w:kern w:val="24"/>
          <w:sz w:val="24"/>
          <w:szCs w:val="24"/>
          <w:lang w:eastAsia="en-GB"/>
          <w14:ligatures w14:val="none"/>
        </w:rPr>
        <w:t>e and</w:t>
      </w:r>
      <w:r w:rsidR="004932FE" w:rsidRPr="00FC5606">
        <w:rPr>
          <w:rFonts w:ascii="Arial" w:eastAsia="Calibri" w:hAnsi="Arial" w:cs="Arial"/>
          <w:color w:val="000000" w:themeColor="text1"/>
          <w:kern w:val="24"/>
          <w:sz w:val="24"/>
          <w:szCs w:val="24"/>
          <w:lang w:eastAsia="en-GB"/>
          <w14:ligatures w14:val="none"/>
        </w:rPr>
        <w:t xml:space="preserve"> </w:t>
      </w:r>
      <w:r w:rsidR="00075E0E" w:rsidRPr="00FC5606">
        <w:rPr>
          <w:rFonts w:ascii="Arial" w:eastAsia="Calibri" w:hAnsi="Arial" w:cs="Arial"/>
          <w:color w:val="000000" w:themeColor="text1"/>
          <w:kern w:val="24"/>
          <w:sz w:val="24"/>
          <w:szCs w:val="24"/>
          <w:lang w:eastAsia="en-GB"/>
          <w14:ligatures w14:val="none"/>
        </w:rPr>
        <w:t>follow-up.</w:t>
      </w:r>
      <w:r w:rsidR="00222472" w:rsidRPr="00FC5606">
        <w:rPr>
          <w:rFonts w:ascii="Arial" w:eastAsia="Calibri" w:hAnsi="Arial" w:cs="Arial"/>
          <w:color w:val="000000" w:themeColor="text1"/>
          <w:kern w:val="24"/>
          <w:sz w:val="24"/>
          <w:szCs w:val="24"/>
          <w:lang w:eastAsia="en-GB"/>
          <w14:ligatures w14:val="none"/>
        </w:rPr>
        <w:t xml:space="preserve"> </w:t>
      </w:r>
      <w:r w:rsidR="007E470C">
        <w:rPr>
          <w:rFonts w:ascii="Arial" w:eastAsia="Calibri" w:hAnsi="Arial" w:cs="Arial"/>
          <w:color w:val="000000" w:themeColor="text1"/>
          <w:kern w:val="24"/>
          <w:sz w:val="24"/>
          <w:szCs w:val="24"/>
          <w:lang w:eastAsia="en-GB"/>
          <w14:ligatures w14:val="none"/>
        </w:rPr>
        <w:t>The licence to use this is held by the Northern Care Alliance.</w:t>
      </w:r>
    </w:p>
    <w:p w14:paraId="5BABC92E" w14:textId="77777777" w:rsidR="00FC5606" w:rsidRPr="00FC5606" w:rsidRDefault="00FC5606" w:rsidP="00FC5606">
      <w:pPr>
        <w:kinsoku w:val="0"/>
        <w:overflowPunct w:val="0"/>
        <w:spacing w:after="0" w:line="360" w:lineRule="auto"/>
        <w:textAlignment w:val="baseline"/>
        <w:rPr>
          <w:rFonts w:ascii="Arial" w:eastAsia="Calibri" w:hAnsi="Arial" w:cs="Arial"/>
          <w:color w:val="000000" w:themeColor="text1"/>
          <w:kern w:val="24"/>
          <w:sz w:val="24"/>
          <w:szCs w:val="24"/>
          <w:lang w:eastAsia="en-GB"/>
          <w14:ligatures w14:val="none"/>
        </w:rPr>
      </w:pPr>
    </w:p>
    <w:p w14:paraId="70D847EE" w14:textId="286840AA" w:rsidR="006C2CAB" w:rsidRPr="00FC5606" w:rsidRDefault="006C2CAB" w:rsidP="00FC5606">
      <w:pPr>
        <w:kinsoku w:val="0"/>
        <w:overflowPunct w:val="0"/>
        <w:spacing w:after="0" w:line="360" w:lineRule="auto"/>
        <w:textAlignment w:val="baseline"/>
        <w:rPr>
          <w:rFonts w:ascii="Arial" w:eastAsia="Times New Roman" w:hAnsi="Arial" w:cs="Arial"/>
          <w:kern w:val="0"/>
          <w:sz w:val="24"/>
          <w:szCs w:val="24"/>
          <w:lang w:eastAsia="en-GB"/>
          <w14:ligatures w14:val="none"/>
        </w:rPr>
      </w:pPr>
      <w:r w:rsidRPr="00FC5606">
        <w:rPr>
          <w:rFonts w:ascii="Arial" w:eastAsia="Times New Roman" w:hAnsi="Arial" w:cs="Arial"/>
          <w:kern w:val="0"/>
          <w:sz w:val="24"/>
          <w:szCs w:val="24"/>
          <w:lang w:eastAsia="en-GB"/>
          <w14:ligatures w14:val="none"/>
        </w:rPr>
        <w:t>Statistics</w:t>
      </w:r>
    </w:p>
    <w:p w14:paraId="6CBFBC63" w14:textId="73B09B40" w:rsidR="00657AD5" w:rsidRPr="00AA385E" w:rsidRDefault="00C641BE" w:rsidP="00FC5606">
      <w:pPr>
        <w:kinsoku w:val="0"/>
        <w:overflowPunct w:val="0"/>
        <w:spacing w:after="0" w:line="360" w:lineRule="auto"/>
        <w:textAlignment w:val="baseline"/>
        <w:rPr>
          <w:rFonts w:ascii="Arial" w:eastAsia="Times New Roman" w:hAnsi="Arial" w:cs="Arial"/>
          <w:kern w:val="0"/>
          <w:sz w:val="24"/>
          <w:szCs w:val="24"/>
          <w:lang w:eastAsia="en-GB"/>
          <w14:ligatures w14:val="none"/>
        </w:rPr>
      </w:pPr>
      <w:r w:rsidRPr="00AA385E">
        <w:rPr>
          <w:rFonts w:ascii="Arial" w:eastAsia="Times New Roman" w:hAnsi="Arial" w:cs="Arial"/>
          <w:kern w:val="0"/>
          <w:sz w:val="24"/>
          <w:szCs w:val="24"/>
          <w:lang w:eastAsia="en-GB"/>
          <w14:ligatures w14:val="none"/>
        </w:rPr>
        <w:t xml:space="preserve">Data Collation, </w:t>
      </w:r>
      <w:r w:rsidR="00256D83" w:rsidRPr="00AA385E">
        <w:rPr>
          <w:rFonts w:ascii="Arial" w:eastAsia="Times New Roman" w:hAnsi="Arial" w:cs="Arial"/>
          <w:kern w:val="0"/>
          <w:sz w:val="24"/>
          <w:szCs w:val="24"/>
          <w:lang w:eastAsia="en-GB"/>
          <w14:ligatures w14:val="none"/>
        </w:rPr>
        <w:t>Cross</w:t>
      </w:r>
      <w:r w:rsidR="00264EEA" w:rsidRPr="00AA385E">
        <w:rPr>
          <w:rFonts w:ascii="Arial" w:eastAsia="Times New Roman" w:hAnsi="Arial" w:cs="Arial"/>
          <w:kern w:val="0"/>
          <w:sz w:val="24"/>
          <w:szCs w:val="24"/>
          <w:lang w:eastAsia="en-GB"/>
          <w14:ligatures w14:val="none"/>
        </w:rPr>
        <w:t>-s</w:t>
      </w:r>
      <w:r w:rsidR="00256D83" w:rsidRPr="00AA385E">
        <w:rPr>
          <w:rFonts w:ascii="Arial" w:eastAsia="Times New Roman" w:hAnsi="Arial" w:cs="Arial"/>
          <w:kern w:val="0"/>
          <w:sz w:val="24"/>
          <w:szCs w:val="24"/>
          <w:lang w:eastAsia="en-GB"/>
          <w14:ligatures w14:val="none"/>
        </w:rPr>
        <w:t>ectional and Longi</w:t>
      </w:r>
      <w:r w:rsidRPr="00AA385E">
        <w:rPr>
          <w:rFonts w:ascii="Arial" w:eastAsia="Times New Roman" w:hAnsi="Arial" w:cs="Arial"/>
          <w:kern w:val="0"/>
          <w:sz w:val="24"/>
          <w:szCs w:val="24"/>
          <w:lang w:eastAsia="en-GB"/>
          <w14:ligatures w14:val="none"/>
        </w:rPr>
        <w:t xml:space="preserve">tudinal </w:t>
      </w:r>
      <w:r w:rsidR="00256D83" w:rsidRPr="00AA385E">
        <w:rPr>
          <w:rFonts w:ascii="Arial" w:eastAsia="Times New Roman" w:hAnsi="Arial" w:cs="Arial"/>
          <w:kern w:val="0"/>
          <w:sz w:val="24"/>
          <w:szCs w:val="24"/>
          <w:lang w:eastAsia="en-GB"/>
          <w14:ligatures w14:val="none"/>
        </w:rPr>
        <w:t>Analysi</w:t>
      </w:r>
      <w:r w:rsidRPr="00AA385E">
        <w:rPr>
          <w:rFonts w:ascii="Arial" w:eastAsia="Times New Roman" w:hAnsi="Arial" w:cs="Arial"/>
          <w:kern w:val="0"/>
          <w:sz w:val="24"/>
          <w:szCs w:val="24"/>
          <w:lang w:eastAsia="en-GB"/>
          <w14:ligatures w14:val="none"/>
        </w:rPr>
        <w:t>s</w:t>
      </w:r>
      <w:r w:rsidR="00256D83" w:rsidRPr="00AA385E">
        <w:rPr>
          <w:rFonts w:ascii="Arial" w:eastAsia="Times New Roman" w:hAnsi="Arial" w:cs="Arial"/>
          <w:kern w:val="0"/>
          <w:sz w:val="24"/>
          <w:szCs w:val="24"/>
          <w:lang w:eastAsia="en-GB"/>
          <w14:ligatures w14:val="none"/>
        </w:rPr>
        <w:t xml:space="preserve"> was car</w:t>
      </w:r>
      <w:r w:rsidRPr="00AA385E">
        <w:rPr>
          <w:rFonts w:ascii="Arial" w:eastAsia="Times New Roman" w:hAnsi="Arial" w:cs="Arial"/>
          <w:kern w:val="0"/>
          <w:sz w:val="24"/>
          <w:szCs w:val="24"/>
          <w:lang w:eastAsia="en-GB"/>
          <w14:ligatures w14:val="none"/>
        </w:rPr>
        <w:t>r</w:t>
      </w:r>
      <w:r w:rsidR="00256D83" w:rsidRPr="00AA385E">
        <w:rPr>
          <w:rFonts w:ascii="Arial" w:eastAsia="Times New Roman" w:hAnsi="Arial" w:cs="Arial"/>
          <w:kern w:val="0"/>
          <w:sz w:val="24"/>
          <w:szCs w:val="24"/>
          <w:lang w:eastAsia="en-GB"/>
          <w14:ligatures w14:val="none"/>
        </w:rPr>
        <w:t xml:space="preserve">ied out </w:t>
      </w:r>
      <w:r w:rsidRPr="00AA385E">
        <w:rPr>
          <w:rFonts w:ascii="Arial" w:eastAsia="Times New Roman" w:hAnsi="Arial" w:cs="Arial"/>
          <w:kern w:val="0"/>
          <w:sz w:val="24"/>
          <w:szCs w:val="24"/>
          <w:lang w:eastAsia="en-GB"/>
          <w14:ligatures w14:val="none"/>
        </w:rPr>
        <w:t xml:space="preserve">in </w:t>
      </w:r>
      <w:r w:rsidR="006C2CAB" w:rsidRPr="00AA385E">
        <w:rPr>
          <w:rFonts w:ascii="Arial" w:eastAsia="Times New Roman" w:hAnsi="Arial" w:cs="Arial"/>
          <w:kern w:val="0"/>
          <w:sz w:val="24"/>
          <w:szCs w:val="24"/>
          <w:lang w:eastAsia="en-GB"/>
          <w14:ligatures w14:val="none"/>
        </w:rPr>
        <w:t>EXCEL</w:t>
      </w:r>
      <w:r w:rsidR="00D05B5C" w:rsidRPr="00AA385E">
        <w:rPr>
          <w:rFonts w:ascii="Arial" w:eastAsia="Times New Roman" w:hAnsi="Arial" w:cs="Arial"/>
          <w:kern w:val="0"/>
          <w:sz w:val="24"/>
          <w:szCs w:val="24"/>
          <w:lang w:eastAsia="en-GB"/>
          <w14:ligatures w14:val="none"/>
        </w:rPr>
        <w:t>. Data are shown as mean</w:t>
      </w:r>
      <w:r w:rsidR="00D3122E" w:rsidRPr="00AA385E">
        <w:rPr>
          <w:rFonts w:ascii="Arial" w:eastAsia="Times New Roman" w:hAnsi="Arial" w:cs="Arial"/>
          <w:kern w:val="0"/>
          <w:sz w:val="24"/>
          <w:szCs w:val="24"/>
          <w:lang w:eastAsia="en-GB"/>
          <w14:ligatures w14:val="none"/>
        </w:rPr>
        <w:t xml:space="preserve"> and range. </w:t>
      </w:r>
    </w:p>
    <w:p w14:paraId="1DAAC52E" w14:textId="77777777" w:rsidR="004471CC" w:rsidRPr="00FC5606" w:rsidRDefault="004471CC" w:rsidP="00FC5606">
      <w:pPr>
        <w:spacing w:after="0" w:line="360" w:lineRule="auto"/>
        <w:rPr>
          <w:rFonts w:ascii="Arial" w:eastAsia="Calibri" w:hAnsi="Arial" w:cs="Arial"/>
          <w:b/>
          <w:bCs/>
          <w:color w:val="000000" w:themeColor="text1"/>
          <w:sz w:val="24"/>
          <w:szCs w:val="24"/>
        </w:rPr>
      </w:pPr>
    </w:p>
    <w:p w14:paraId="58ECE17D" w14:textId="0EC7AFAA" w:rsidR="00BE0947" w:rsidRPr="00FC5606" w:rsidRDefault="00A60F38" w:rsidP="00FC5606">
      <w:pPr>
        <w:spacing w:after="0" w:line="360" w:lineRule="auto"/>
        <w:rPr>
          <w:rFonts w:ascii="Arial" w:eastAsia="Calibri" w:hAnsi="Arial" w:cs="Arial"/>
          <w:b/>
          <w:bCs/>
          <w:color w:val="000000" w:themeColor="text1"/>
          <w:sz w:val="24"/>
          <w:szCs w:val="24"/>
        </w:rPr>
      </w:pPr>
      <w:r w:rsidRPr="00FC5606">
        <w:rPr>
          <w:rFonts w:ascii="Arial" w:eastAsia="Calibri" w:hAnsi="Arial" w:cs="Arial"/>
          <w:b/>
          <w:bCs/>
          <w:color w:val="000000" w:themeColor="text1"/>
          <w:sz w:val="24"/>
          <w:szCs w:val="24"/>
        </w:rPr>
        <w:lastRenderedPageBreak/>
        <w:t>Results</w:t>
      </w:r>
    </w:p>
    <w:p w14:paraId="0778E415" w14:textId="46AD8A61" w:rsidR="00013228" w:rsidRDefault="00013228" w:rsidP="00FC5606">
      <w:pPr>
        <w:spacing w:after="0" w:line="360" w:lineRule="auto"/>
        <w:rPr>
          <w:rFonts w:ascii="Arial" w:eastAsia="Calibri" w:hAnsi="Arial" w:cs="Arial"/>
          <w:color w:val="000000" w:themeColor="text1"/>
          <w:sz w:val="24"/>
          <w:szCs w:val="24"/>
        </w:rPr>
      </w:pPr>
      <w:r w:rsidRPr="00FC5606">
        <w:rPr>
          <w:rFonts w:ascii="Arial" w:eastAsia="Calibri" w:hAnsi="Arial" w:cs="Arial"/>
          <w:color w:val="000000" w:themeColor="text1"/>
          <w:sz w:val="24"/>
          <w:szCs w:val="24"/>
        </w:rPr>
        <w:t xml:space="preserve">The group </w:t>
      </w:r>
      <w:r w:rsidR="000753BA" w:rsidRPr="00FC5606">
        <w:rPr>
          <w:rFonts w:ascii="Arial" w:eastAsia="Calibri" w:hAnsi="Arial" w:cs="Arial"/>
          <w:color w:val="000000" w:themeColor="text1"/>
          <w:sz w:val="24"/>
          <w:szCs w:val="24"/>
        </w:rPr>
        <w:t xml:space="preserve">who </w:t>
      </w:r>
      <w:proofErr w:type="gramStart"/>
      <w:r w:rsidR="000753BA" w:rsidRPr="00FC5606">
        <w:rPr>
          <w:rFonts w:ascii="Arial" w:eastAsia="Calibri" w:hAnsi="Arial" w:cs="Arial"/>
          <w:color w:val="000000" w:themeColor="text1"/>
          <w:sz w:val="24"/>
          <w:szCs w:val="24"/>
        </w:rPr>
        <w:t>were</w:t>
      </w:r>
      <w:proofErr w:type="gramEnd"/>
      <w:r w:rsidR="000753BA" w:rsidRPr="00FC5606">
        <w:rPr>
          <w:rFonts w:ascii="Arial" w:eastAsia="Calibri" w:hAnsi="Arial" w:cs="Arial"/>
          <w:color w:val="000000" w:themeColor="text1"/>
          <w:sz w:val="24"/>
          <w:szCs w:val="24"/>
        </w:rPr>
        <w:t xml:space="preserve"> treated with </w:t>
      </w:r>
      <w:proofErr w:type="spellStart"/>
      <w:r w:rsidR="007E6122">
        <w:rPr>
          <w:rFonts w:ascii="Arial" w:eastAsia="Calibri" w:hAnsi="Arial" w:cs="Arial"/>
          <w:color w:val="000000" w:themeColor="text1"/>
          <w:sz w:val="24"/>
          <w:szCs w:val="24"/>
        </w:rPr>
        <w:t>semaglutide</w:t>
      </w:r>
      <w:proofErr w:type="spellEnd"/>
      <w:r w:rsidR="000753BA" w:rsidRPr="00FC5606">
        <w:rPr>
          <w:rFonts w:ascii="Arial" w:eastAsia="Calibri" w:hAnsi="Arial" w:cs="Arial"/>
          <w:color w:val="000000" w:themeColor="text1"/>
          <w:sz w:val="24"/>
          <w:szCs w:val="24"/>
        </w:rPr>
        <w:t xml:space="preserve"> comprised</w:t>
      </w:r>
      <w:r w:rsidRPr="00FC5606">
        <w:rPr>
          <w:rFonts w:ascii="Arial" w:eastAsia="Calibri" w:hAnsi="Arial" w:cs="Arial"/>
          <w:color w:val="000000" w:themeColor="text1"/>
          <w:sz w:val="24"/>
          <w:szCs w:val="24"/>
        </w:rPr>
        <w:t xml:space="preserve"> 1</w:t>
      </w:r>
      <w:r w:rsidR="00E504AF" w:rsidRPr="00FC5606">
        <w:rPr>
          <w:rFonts w:ascii="Arial" w:eastAsia="Calibri" w:hAnsi="Arial" w:cs="Arial"/>
          <w:color w:val="000000" w:themeColor="text1"/>
          <w:sz w:val="24"/>
          <w:szCs w:val="24"/>
        </w:rPr>
        <w:t>1</w:t>
      </w:r>
      <w:r w:rsidRPr="00FC5606">
        <w:rPr>
          <w:rFonts w:ascii="Arial" w:eastAsia="Calibri" w:hAnsi="Arial" w:cs="Arial"/>
          <w:color w:val="000000" w:themeColor="text1"/>
          <w:sz w:val="24"/>
          <w:szCs w:val="24"/>
        </w:rPr>
        <w:t xml:space="preserve"> men and </w:t>
      </w:r>
      <w:r w:rsidR="00E504AF" w:rsidRPr="00FC5606">
        <w:rPr>
          <w:rFonts w:ascii="Arial" w:eastAsia="Calibri" w:hAnsi="Arial" w:cs="Arial"/>
          <w:color w:val="000000" w:themeColor="text1"/>
          <w:sz w:val="24"/>
          <w:szCs w:val="24"/>
        </w:rPr>
        <w:t>4</w:t>
      </w:r>
      <w:r w:rsidRPr="00FC5606">
        <w:rPr>
          <w:rFonts w:ascii="Arial" w:eastAsia="Calibri" w:hAnsi="Arial" w:cs="Arial"/>
          <w:color w:val="000000" w:themeColor="text1"/>
          <w:sz w:val="24"/>
          <w:szCs w:val="24"/>
        </w:rPr>
        <w:t xml:space="preserve"> women</w:t>
      </w:r>
      <w:r w:rsidR="00F91E85">
        <w:rPr>
          <w:rFonts w:ascii="Arial" w:eastAsia="Calibri" w:hAnsi="Arial" w:cs="Arial"/>
          <w:color w:val="000000" w:themeColor="text1"/>
          <w:sz w:val="24"/>
          <w:szCs w:val="24"/>
        </w:rPr>
        <w:t xml:space="preserve">. All had </w:t>
      </w:r>
      <w:r w:rsidR="007E6122">
        <w:rPr>
          <w:rFonts w:ascii="Arial" w:eastAsia="Calibri" w:hAnsi="Arial" w:cs="Arial"/>
          <w:color w:val="000000" w:themeColor="text1"/>
          <w:sz w:val="24"/>
          <w:szCs w:val="24"/>
        </w:rPr>
        <w:t xml:space="preserve">a </w:t>
      </w:r>
      <w:r w:rsidR="00F91E85">
        <w:rPr>
          <w:rFonts w:ascii="Arial" w:eastAsia="Calibri" w:hAnsi="Arial" w:cs="Arial"/>
          <w:color w:val="000000" w:themeColor="text1"/>
          <w:sz w:val="24"/>
          <w:szCs w:val="24"/>
        </w:rPr>
        <w:t xml:space="preserve">diagnosis of </w:t>
      </w:r>
      <w:r w:rsidR="00F91E85" w:rsidRPr="00FC5606">
        <w:rPr>
          <w:rFonts w:ascii="Arial" w:eastAsia="Calibri" w:hAnsi="Arial" w:cs="Arial"/>
          <w:color w:val="000000" w:themeColor="text1"/>
          <w:kern w:val="24"/>
          <w:sz w:val="24"/>
          <w:szCs w:val="24"/>
          <w:lang w:eastAsia="en-GB"/>
          <w14:ligatures w14:val="none"/>
        </w:rPr>
        <w:t>schizophrenia</w:t>
      </w:r>
      <w:r w:rsidR="00F91E85">
        <w:rPr>
          <w:rFonts w:ascii="Arial" w:eastAsia="Calibri" w:hAnsi="Arial" w:cs="Arial"/>
          <w:color w:val="000000" w:themeColor="text1"/>
          <w:kern w:val="24"/>
          <w:sz w:val="24"/>
          <w:szCs w:val="24"/>
          <w:lang w:eastAsia="en-GB"/>
          <w14:ligatures w14:val="none"/>
        </w:rPr>
        <w:t xml:space="preserve"> or </w:t>
      </w:r>
      <w:r w:rsidR="00F91E85" w:rsidRPr="00FC5606">
        <w:rPr>
          <w:rFonts w:ascii="Arial" w:eastAsia="Calibri" w:hAnsi="Arial" w:cs="Arial"/>
          <w:color w:val="000000" w:themeColor="text1"/>
          <w:kern w:val="24"/>
          <w:sz w:val="24"/>
          <w:szCs w:val="24"/>
          <w:lang w:eastAsia="en-GB"/>
          <w14:ligatures w14:val="none"/>
        </w:rPr>
        <w:t xml:space="preserve">schizoaffective disorder </w:t>
      </w:r>
      <w:r w:rsidR="00F43AA6" w:rsidRPr="00FC5606">
        <w:rPr>
          <w:rFonts w:ascii="Arial" w:eastAsia="Calibri" w:hAnsi="Arial" w:cs="Arial"/>
          <w:color w:val="000000" w:themeColor="text1"/>
          <w:sz w:val="24"/>
          <w:szCs w:val="24"/>
        </w:rPr>
        <w:t xml:space="preserve">The </w:t>
      </w:r>
      <w:r w:rsidR="00F91E85">
        <w:rPr>
          <w:rFonts w:ascii="Arial" w:eastAsia="Calibri" w:hAnsi="Arial" w:cs="Arial"/>
          <w:color w:val="000000" w:themeColor="text1"/>
          <w:sz w:val="24"/>
          <w:szCs w:val="24"/>
        </w:rPr>
        <w:t>mean</w:t>
      </w:r>
      <w:r w:rsidR="00240059" w:rsidRPr="00FC5606">
        <w:rPr>
          <w:rFonts w:ascii="Arial" w:eastAsia="Calibri" w:hAnsi="Arial" w:cs="Arial"/>
          <w:color w:val="000000" w:themeColor="text1"/>
          <w:sz w:val="24"/>
          <w:szCs w:val="24"/>
        </w:rPr>
        <w:t xml:space="preserve"> </w:t>
      </w:r>
      <w:r w:rsidR="00F43AA6" w:rsidRPr="00FC5606">
        <w:rPr>
          <w:rFonts w:ascii="Arial" w:eastAsia="Calibri" w:hAnsi="Arial" w:cs="Arial"/>
          <w:color w:val="000000" w:themeColor="text1"/>
          <w:sz w:val="24"/>
          <w:szCs w:val="24"/>
        </w:rPr>
        <w:t xml:space="preserve">age </w:t>
      </w:r>
      <w:r w:rsidR="0038528F" w:rsidRPr="00FC5606">
        <w:rPr>
          <w:rFonts w:ascii="Arial" w:eastAsia="Calibri" w:hAnsi="Arial" w:cs="Arial"/>
          <w:color w:val="000000" w:themeColor="text1"/>
          <w:sz w:val="24"/>
          <w:szCs w:val="24"/>
        </w:rPr>
        <w:t xml:space="preserve">of patients </w:t>
      </w:r>
      <w:r w:rsidR="00240059" w:rsidRPr="00FC5606">
        <w:rPr>
          <w:rFonts w:ascii="Arial" w:eastAsia="Calibri" w:hAnsi="Arial" w:cs="Arial"/>
          <w:color w:val="000000" w:themeColor="text1"/>
          <w:sz w:val="24"/>
          <w:szCs w:val="24"/>
        </w:rPr>
        <w:t xml:space="preserve">was 37 </w:t>
      </w:r>
      <w:r w:rsidR="00DC6C44">
        <w:rPr>
          <w:rFonts w:ascii="Arial" w:eastAsia="Calibri" w:hAnsi="Arial" w:cs="Arial"/>
          <w:color w:val="000000" w:themeColor="text1"/>
          <w:sz w:val="24"/>
          <w:szCs w:val="24"/>
        </w:rPr>
        <w:t>years (</w:t>
      </w:r>
      <w:r w:rsidR="00415490" w:rsidRPr="00FC5606">
        <w:rPr>
          <w:rFonts w:ascii="Arial" w:eastAsia="Calibri" w:hAnsi="Arial" w:cs="Arial"/>
          <w:color w:val="000000" w:themeColor="text1"/>
          <w:sz w:val="24"/>
          <w:szCs w:val="24"/>
        </w:rPr>
        <w:t>range</w:t>
      </w:r>
      <w:r w:rsidR="00415490">
        <w:rPr>
          <w:rFonts w:ascii="Arial" w:eastAsia="Calibri" w:hAnsi="Arial" w:cs="Arial"/>
          <w:color w:val="000000" w:themeColor="text1"/>
          <w:sz w:val="24"/>
          <w:szCs w:val="24"/>
        </w:rPr>
        <w:t xml:space="preserve"> </w:t>
      </w:r>
      <w:r w:rsidR="00DC6C44">
        <w:rPr>
          <w:rFonts w:ascii="Arial" w:eastAsia="Calibri" w:hAnsi="Arial" w:cs="Arial"/>
          <w:color w:val="000000" w:themeColor="text1"/>
          <w:sz w:val="24"/>
          <w:szCs w:val="24"/>
        </w:rPr>
        <w:t>23-63)</w:t>
      </w:r>
      <w:r w:rsidR="003D3C27" w:rsidRPr="00FC5606">
        <w:rPr>
          <w:rFonts w:ascii="Arial" w:eastAsia="Calibri" w:hAnsi="Arial" w:cs="Arial"/>
          <w:color w:val="000000" w:themeColor="text1"/>
          <w:sz w:val="24"/>
          <w:szCs w:val="24"/>
        </w:rPr>
        <w:t xml:space="preserve"> (Table 1)</w:t>
      </w:r>
      <w:r w:rsidRPr="00FC5606">
        <w:rPr>
          <w:rFonts w:ascii="Arial" w:eastAsia="Calibri" w:hAnsi="Arial" w:cs="Arial"/>
          <w:color w:val="000000" w:themeColor="text1"/>
          <w:sz w:val="24"/>
          <w:szCs w:val="24"/>
        </w:rPr>
        <w:t xml:space="preserve">. Time since diagnosis varied from </w:t>
      </w:r>
      <w:r w:rsidR="00B53FAA">
        <w:rPr>
          <w:rFonts w:ascii="Arial" w:eastAsia="Calibri" w:hAnsi="Arial" w:cs="Arial"/>
          <w:color w:val="000000" w:themeColor="text1"/>
          <w:sz w:val="24"/>
          <w:szCs w:val="24"/>
        </w:rPr>
        <w:t>2</w:t>
      </w:r>
      <w:r w:rsidRPr="00FC5606">
        <w:rPr>
          <w:rFonts w:ascii="Arial" w:eastAsia="Calibri" w:hAnsi="Arial" w:cs="Arial"/>
          <w:color w:val="000000" w:themeColor="text1"/>
          <w:sz w:val="24"/>
          <w:szCs w:val="24"/>
        </w:rPr>
        <w:t xml:space="preserve"> to</w:t>
      </w:r>
      <w:r w:rsidR="00B53FAA">
        <w:rPr>
          <w:rFonts w:ascii="Arial" w:eastAsia="Calibri" w:hAnsi="Arial" w:cs="Arial"/>
          <w:color w:val="000000" w:themeColor="text1"/>
          <w:sz w:val="24"/>
          <w:szCs w:val="24"/>
        </w:rPr>
        <w:t xml:space="preserve"> 25</w:t>
      </w:r>
      <w:r w:rsidRPr="00FC5606">
        <w:rPr>
          <w:rFonts w:ascii="Arial" w:eastAsia="Calibri" w:hAnsi="Arial" w:cs="Arial"/>
          <w:color w:val="000000" w:themeColor="text1"/>
          <w:sz w:val="24"/>
          <w:szCs w:val="24"/>
        </w:rPr>
        <w:t xml:space="preserve"> years</w:t>
      </w:r>
      <w:r w:rsidR="001A2D6D" w:rsidRPr="00FC5606">
        <w:rPr>
          <w:rFonts w:ascii="Arial" w:eastAsia="Calibri" w:hAnsi="Arial" w:cs="Arial"/>
          <w:color w:val="000000" w:themeColor="text1"/>
          <w:sz w:val="24"/>
          <w:szCs w:val="24"/>
        </w:rPr>
        <w:t xml:space="preserve"> </w:t>
      </w:r>
      <w:r w:rsidR="00B53FAA">
        <w:rPr>
          <w:rFonts w:ascii="Arial" w:eastAsia="Calibri" w:hAnsi="Arial" w:cs="Arial"/>
          <w:color w:val="000000" w:themeColor="text1"/>
          <w:sz w:val="24"/>
          <w:szCs w:val="24"/>
        </w:rPr>
        <w:t>12</w:t>
      </w:r>
      <w:r w:rsidR="00AA37CE" w:rsidRPr="00FC5606">
        <w:rPr>
          <w:rFonts w:ascii="Arial" w:eastAsia="Calibri" w:hAnsi="Arial" w:cs="Arial"/>
          <w:color w:val="000000" w:themeColor="text1"/>
          <w:sz w:val="24"/>
          <w:szCs w:val="24"/>
        </w:rPr>
        <w:t xml:space="preserve"> were of </w:t>
      </w:r>
      <w:r w:rsidR="00A34E75">
        <w:rPr>
          <w:rFonts w:ascii="Arial" w:eastAsia="Calibri" w:hAnsi="Arial" w:cs="Arial"/>
          <w:color w:val="000000" w:themeColor="text1"/>
          <w:sz w:val="24"/>
          <w:szCs w:val="24"/>
        </w:rPr>
        <w:t>white</w:t>
      </w:r>
      <w:r w:rsidR="00A34E75" w:rsidRPr="00FC5606">
        <w:rPr>
          <w:rFonts w:ascii="Arial" w:eastAsia="Calibri" w:hAnsi="Arial" w:cs="Arial"/>
          <w:color w:val="000000" w:themeColor="text1"/>
          <w:sz w:val="24"/>
          <w:szCs w:val="24"/>
        </w:rPr>
        <w:t xml:space="preserve"> </w:t>
      </w:r>
      <w:r w:rsidR="00AA37CE" w:rsidRPr="00FC5606">
        <w:rPr>
          <w:rFonts w:ascii="Arial" w:eastAsia="Calibri" w:hAnsi="Arial" w:cs="Arial"/>
          <w:color w:val="000000" w:themeColor="text1"/>
          <w:sz w:val="24"/>
          <w:szCs w:val="24"/>
        </w:rPr>
        <w:t xml:space="preserve">ethnicity and </w:t>
      </w:r>
      <w:r w:rsidR="00B53FAA">
        <w:rPr>
          <w:rFonts w:ascii="Arial" w:eastAsia="Calibri" w:hAnsi="Arial" w:cs="Arial"/>
          <w:color w:val="000000" w:themeColor="text1"/>
          <w:sz w:val="24"/>
          <w:szCs w:val="24"/>
        </w:rPr>
        <w:t>3</w:t>
      </w:r>
      <w:r w:rsidR="00AA37CE" w:rsidRPr="00FC5606">
        <w:rPr>
          <w:rFonts w:ascii="Arial" w:eastAsia="Calibri" w:hAnsi="Arial" w:cs="Arial"/>
          <w:color w:val="000000" w:themeColor="text1"/>
          <w:sz w:val="24"/>
          <w:szCs w:val="24"/>
        </w:rPr>
        <w:t xml:space="preserve"> were of</w:t>
      </w:r>
      <w:r w:rsidR="00B53FAA">
        <w:rPr>
          <w:rFonts w:ascii="Arial" w:eastAsia="Calibri" w:hAnsi="Arial" w:cs="Arial"/>
          <w:color w:val="000000" w:themeColor="text1"/>
          <w:sz w:val="24"/>
          <w:szCs w:val="24"/>
        </w:rPr>
        <w:t xml:space="preserve"> </w:t>
      </w:r>
      <w:r w:rsidR="00A34E75">
        <w:rPr>
          <w:rFonts w:ascii="Arial" w:eastAsia="Calibri" w:hAnsi="Arial" w:cs="Arial"/>
          <w:color w:val="000000" w:themeColor="text1"/>
          <w:sz w:val="24"/>
          <w:szCs w:val="24"/>
        </w:rPr>
        <w:t>Asian British or Black British ethnicity</w:t>
      </w:r>
      <w:r w:rsidR="00B53FAA">
        <w:rPr>
          <w:rFonts w:ascii="Arial" w:eastAsia="Calibri" w:hAnsi="Arial" w:cs="Arial"/>
          <w:color w:val="000000" w:themeColor="text1"/>
          <w:sz w:val="24"/>
          <w:szCs w:val="24"/>
        </w:rPr>
        <w:t>.</w:t>
      </w:r>
      <w:r w:rsidR="00C810E3">
        <w:rPr>
          <w:rFonts w:ascii="Arial" w:eastAsia="Calibri" w:hAnsi="Arial" w:cs="Arial"/>
          <w:color w:val="000000" w:themeColor="text1"/>
          <w:sz w:val="24"/>
          <w:szCs w:val="24"/>
        </w:rPr>
        <w:t xml:space="preserve"> </w:t>
      </w:r>
      <w:r w:rsidR="001A2D6D" w:rsidRPr="00FC5606">
        <w:rPr>
          <w:rFonts w:ascii="Arial" w:eastAsia="Calibri" w:hAnsi="Arial" w:cs="Arial"/>
          <w:color w:val="000000" w:themeColor="text1"/>
          <w:sz w:val="24"/>
          <w:szCs w:val="24"/>
        </w:rPr>
        <w:t xml:space="preserve">The minimum duration of treatment </w:t>
      </w:r>
      <w:r w:rsidR="00A21DA8">
        <w:rPr>
          <w:rFonts w:ascii="Arial" w:eastAsia="Calibri" w:hAnsi="Arial" w:cs="Arial"/>
          <w:color w:val="000000" w:themeColor="text1"/>
          <w:sz w:val="24"/>
          <w:szCs w:val="24"/>
        </w:rPr>
        <w:t>with</w:t>
      </w:r>
      <w:r w:rsidR="001A2D6D" w:rsidRPr="00FC5606">
        <w:rPr>
          <w:rFonts w:ascii="Arial" w:eastAsia="Calibri" w:hAnsi="Arial" w:cs="Arial"/>
          <w:color w:val="000000" w:themeColor="text1"/>
          <w:sz w:val="24"/>
          <w:szCs w:val="24"/>
        </w:rPr>
        <w:t xml:space="preserve"> </w:t>
      </w:r>
      <w:proofErr w:type="spellStart"/>
      <w:r w:rsidR="007E6122">
        <w:rPr>
          <w:rFonts w:ascii="Arial" w:eastAsia="Calibri" w:hAnsi="Arial" w:cs="Arial"/>
          <w:color w:val="000000" w:themeColor="text1"/>
          <w:sz w:val="24"/>
          <w:szCs w:val="24"/>
        </w:rPr>
        <w:t>semaglutide</w:t>
      </w:r>
      <w:proofErr w:type="spellEnd"/>
      <w:r w:rsidR="001A2D6D" w:rsidRPr="00FC5606">
        <w:rPr>
          <w:rFonts w:ascii="Arial" w:eastAsia="Calibri" w:hAnsi="Arial" w:cs="Arial"/>
          <w:color w:val="000000" w:themeColor="text1"/>
          <w:sz w:val="24"/>
          <w:szCs w:val="24"/>
        </w:rPr>
        <w:t xml:space="preserve"> was </w:t>
      </w:r>
      <w:r w:rsidR="00A21DA8">
        <w:rPr>
          <w:rFonts w:ascii="Arial" w:eastAsia="Calibri" w:hAnsi="Arial" w:cs="Arial"/>
          <w:color w:val="000000" w:themeColor="text1"/>
          <w:sz w:val="24"/>
          <w:szCs w:val="24"/>
        </w:rPr>
        <w:t>2</w:t>
      </w:r>
      <w:r w:rsidR="001A2D6D" w:rsidRPr="00FC5606">
        <w:rPr>
          <w:rFonts w:ascii="Arial" w:eastAsia="Calibri" w:hAnsi="Arial" w:cs="Arial"/>
          <w:color w:val="000000" w:themeColor="text1"/>
          <w:sz w:val="24"/>
          <w:szCs w:val="24"/>
        </w:rPr>
        <w:t xml:space="preserve"> months.</w:t>
      </w:r>
    </w:p>
    <w:p w14:paraId="63076FCD" w14:textId="77777777" w:rsidR="006A1E5B" w:rsidRDefault="006A1E5B" w:rsidP="00FC5606">
      <w:pPr>
        <w:spacing w:after="0" w:line="360" w:lineRule="auto"/>
        <w:rPr>
          <w:rFonts w:ascii="Arial" w:eastAsia="Calibri" w:hAnsi="Arial" w:cs="Arial"/>
          <w:color w:val="000000" w:themeColor="text1"/>
          <w:sz w:val="24"/>
          <w:szCs w:val="24"/>
        </w:rPr>
      </w:pPr>
    </w:p>
    <w:p w14:paraId="1E83BF10" w14:textId="600EBFA7" w:rsidR="006A1E5B" w:rsidRPr="00FC5606" w:rsidRDefault="006A1E5B" w:rsidP="006A1E5B">
      <w:pPr>
        <w:spacing w:after="0" w:line="36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Mean</w:t>
      </w:r>
      <w:r w:rsidRPr="00FC5606">
        <w:rPr>
          <w:rFonts w:ascii="Arial" w:eastAsia="Calibri" w:hAnsi="Arial" w:cs="Arial"/>
          <w:color w:val="000000" w:themeColor="text1"/>
          <w:sz w:val="24"/>
          <w:szCs w:val="24"/>
        </w:rPr>
        <w:t xml:space="preserve"> BMI at </w:t>
      </w:r>
      <w:r>
        <w:rPr>
          <w:rFonts w:ascii="Arial" w:eastAsia="Calibri" w:hAnsi="Arial" w:cs="Arial"/>
          <w:color w:val="000000" w:themeColor="text1"/>
          <w:sz w:val="24"/>
          <w:szCs w:val="24"/>
        </w:rPr>
        <w:t>b</w:t>
      </w:r>
      <w:r w:rsidRPr="00FC5606">
        <w:rPr>
          <w:rFonts w:ascii="Arial" w:eastAsia="Calibri" w:hAnsi="Arial" w:cs="Arial"/>
          <w:color w:val="000000" w:themeColor="text1"/>
          <w:sz w:val="24"/>
          <w:szCs w:val="24"/>
        </w:rPr>
        <w:t>aseline was 38.7 (</w:t>
      </w:r>
      <w:r>
        <w:rPr>
          <w:rFonts w:ascii="Arial" w:eastAsia="Calibri" w:hAnsi="Arial" w:cs="Arial"/>
          <w:color w:val="000000" w:themeColor="text1"/>
          <w:sz w:val="24"/>
          <w:szCs w:val="24"/>
        </w:rPr>
        <w:t xml:space="preserve">range </w:t>
      </w:r>
      <w:r w:rsidRPr="00FC5606">
        <w:rPr>
          <w:rFonts w:ascii="Arial" w:eastAsia="Calibri" w:hAnsi="Arial" w:cs="Arial"/>
          <w:color w:val="000000" w:themeColor="text1"/>
          <w:sz w:val="24"/>
          <w:szCs w:val="24"/>
        </w:rPr>
        <w:t>32.7-52.9) kg/m</w:t>
      </w:r>
      <w:r w:rsidRPr="00FC5606">
        <w:rPr>
          <w:rFonts w:ascii="Arial" w:eastAsia="Calibri" w:hAnsi="Arial" w:cs="Arial"/>
          <w:color w:val="000000" w:themeColor="text1"/>
          <w:sz w:val="24"/>
          <w:szCs w:val="24"/>
          <w:vertAlign w:val="superscript"/>
        </w:rPr>
        <w:t>2</w:t>
      </w:r>
      <w:r w:rsidRPr="00FC5606">
        <w:rPr>
          <w:rFonts w:ascii="Arial" w:eastAsia="Calibri" w:hAnsi="Arial" w:cs="Arial"/>
          <w:color w:val="000000" w:themeColor="text1"/>
          <w:sz w:val="24"/>
          <w:szCs w:val="24"/>
        </w:rPr>
        <w:t xml:space="preserve">. </w:t>
      </w:r>
    </w:p>
    <w:p w14:paraId="5C88A3DC" w14:textId="77777777" w:rsidR="00013228" w:rsidRDefault="00013228" w:rsidP="00FC5606">
      <w:pPr>
        <w:spacing w:after="0" w:line="360" w:lineRule="auto"/>
        <w:rPr>
          <w:rFonts w:ascii="Arial" w:eastAsia="Calibri" w:hAnsi="Arial" w:cs="Arial"/>
          <w:color w:val="000000" w:themeColor="text1"/>
          <w:sz w:val="24"/>
          <w:szCs w:val="24"/>
        </w:rPr>
      </w:pPr>
    </w:p>
    <w:p w14:paraId="738FFC13" w14:textId="48F376DD" w:rsidR="00902323" w:rsidRDefault="00902323" w:rsidP="006A1E5B">
      <w:pPr>
        <w:tabs>
          <w:tab w:val="left" w:pos="5883"/>
        </w:tabs>
        <w:spacing w:after="0" w:line="360" w:lineRule="auto"/>
        <w:rPr>
          <w:rFonts w:ascii="Arial" w:hAnsi="Arial" w:cs="Arial"/>
          <w:color w:val="000000" w:themeColor="text1"/>
          <w:sz w:val="24"/>
          <w:szCs w:val="24"/>
        </w:rPr>
      </w:pPr>
      <w:r>
        <w:rPr>
          <w:rFonts w:ascii="Arial" w:hAnsi="Arial" w:cs="Arial"/>
          <w:color w:val="000000" w:themeColor="text1"/>
          <w:sz w:val="24"/>
          <w:szCs w:val="24"/>
        </w:rPr>
        <w:t>Four</w:t>
      </w:r>
      <w:r w:rsidRPr="00FC5606">
        <w:rPr>
          <w:rFonts w:ascii="Arial" w:hAnsi="Arial" w:cs="Arial"/>
          <w:color w:val="000000" w:themeColor="text1"/>
          <w:sz w:val="24"/>
          <w:szCs w:val="24"/>
        </w:rPr>
        <w:t xml:space="preserve"> individuals elected to come off the </w:t>
      </w:r>
      <w:proofErr w:type="spellStart"/>
      <w:r>
        <w:rPr>
          <w:rFonts w:ascii="Arial" w:hAnsi="Arial" w:cs="Arial"/>
          <w:color w:val="000000" w:themeColor="text1"/>
          <w:sz w:val="24"/>
          <w:szCs w:val="24"/>
        </w:rPr>
        <w:t>semaglutide</w:t>
      </w:r>
      <w:proofErr w:type="spellEnd"/>
      <w:r w:rsidRPr="00FC5606">
        <w:rPr>
          <w:rFonts w:ascii="Arial" w:hAnsi="Arial" w:cs="Arial"/>
          <w:color w:val="000000" w:themeColor="text1"/>
          <w:sz w:val="24"/>
          <w:szCs w:val="24"/>
        </w:rPr>
        <w:t>. Reasons for discontinuation included unhappiness with the treatment and nausea</w:t>
      </w:r>
      <w:r>
        <w:rPr>
          <w:rFonts w:ascii="Arial" w:hAnsi="Arial" w:cs="Arial"/>
          <w:color w:val="000000" w:themeColor="text1"/>
          <w:sz w:val="24"/>
          <w:szCs w:val="24"/>
        </w:rPr>
        <w:t xml:space="preserve"> (likely compounded by gallstones)</w:t>
      </w:r>
      <w:r w:rsidRPr="00FC5606">
        <w:rPr>
          <w:rFonts w:ascii="Arial" w:hAnsi="Arial" w:cs="Arial"/>
          <w:color w:val="000000" w:themeColor="text1"/>
          <w:sz w:val="24"/>
          <w:szCs w:val="24"/>
        </w:rPr>
        <w:t xml:space="preserve">. </w:t>
      </w:r>
    </w:p>
    <w:p w14:paraId="66785140" w14:textId="77777777" w:rsidR="00902323" w:rsidRDefault="00902323" w:rsidP="006A1E5B">
      <w:pPr>
        <w:tabs>
          <w:tab w:val="left" w:pos="5883"/>
        </w:tabs>
        <w:spacing w:after="0" w:line="360" w:lineRule="auto"/>
        <w:rPr>
          <w:rFonts w:ascii="Arial" w:hAnsi="Arial" w:cs="Arial"/>
          <w:color w:val="000000" w:themeColor="text1"/>
          <w:sz w:val="24"/>
          <w:szCs w:val="24"/>
        </w:rPr>
      </w:pPr>
    </w:p>
    <w:p w14:paraId="16DBC9A8" w14:textId="585C42B7" w:rsidR="006A1E5B" w:rsidRDefault="006A1E5B" w:rsidP="006A1E5B">
      <w:pPr>
        <w:tabs>
          <w:tab w:val="left" w:pos="5883"/>
        </w:tabs>
        <w:spacing w:after="0" w:line="360" w:lineRule="auto"/>
        <w:rPr>
          <w:rFonts w:ascii="Arial" w:hAnsi="Arial" w:cs="Arial"/>
          <w:color w:val="000000" w:themeColor="text1"/>
          <w:sz w:val="24"/>
          <w:szCs w:val="24"/>
        </w:rPr>
      </w:pPr>
      <w:r w:rsidRPr="00FC5606">
        <w:rPr>
          <w:rFonts w:ascii="Arial" w:hAnsi="Arial" w:cs="Arial"/>
          <w:color w:val="000000" w:themeColor="text1"/>
          <w:sz w:val="24"/>
          <w:szCs w:val="24"/>
        </w:rPr>
        <w:t>The mean duration on the</w:t>
      </w:r>
      <w:r>
        <w:rPr>
          <w:rFonts w:ascii="Arial" w:hAnsi="Arial" w:cs="Arial"/>
          <w:color w:val="000000" w:themeColor="text1"/>
          <w:sz w:val="24"/>
          <w:szCs w:val="24"/>
        </w:rPr>
        <w:t xml:space="preserve"> intervention</w:t>
      </w:r>
      <w:r w:rsidRPr="00FC5606">
        <w:rPr>
          <w:rFonts w:ascii="Arial" w:hAnsi="Arial" w:cs="Arial"/>
          <w:color w:val="000000" w:themeColor="text1"/>
          <w:sz w:val="24"/>
          <w:szCs w:val="24"/>
        </w:rPr>
        <w:t xml:space="preserve"> was 20 weeks (range 8-27 weeks). The </w:t>
      </w:r>
      <w:r w:rsidR="00902323">
        <w:rPr>
          <w:rFonts w:ascii="Arial" w:hAnsi="Arial" w:cs="Arial"/>
          <w:color w:val="000000" w:themeColor="text1"/>
          <w:sz w:val="24"/>
          <w:szCs w:val="24"/>
        </w:rPr>
        <w:t>p</w:t>
      </w:r>
      <w:r w:rsidRPr="00FC5606">
        <w:rPr>
          <w:rFonts w:ascii="Arial" w:hAnsi="Arial" w:cs="Arial"/>
          <w:color w:val="000000" w:themeColor="text1"/>
          <w:sz w:val="24"/>
          <w:szCs w:val="24"/>
        </w:rPr>
        <w:t xml:space="preserve">atients stayed on </w:t>
      </w:r>
      <w:proofErr w:type="spellStart"/>
      <w:r w:rsidR="00AC5461">
        <w:rPr>
          <w:rFonts w:ascii="Arial" w:hAnsi="Arial" w:cs="Arial"/>
          <w:color w:val="000000" w:themeColor="text1"/>
          <w:sz w:val="24"/>
          <w:szCs w:val="24"/>
        </w:rPr>
        <w:t>semaglutide</w:t>
      </w:r>
      <w:proofErr w:type="spellEnd"/>
      <w:r w:rsidRPr="00FC5606">
        <w:rPr>
          <w:rFonts w:ascii="Arial" w:hAnsi="Arial" w:cs="Arial"/>
          <w:color w:val="000000" w:themeColor="text1"/>
          <w:sz w:val="24"/>
          <w:szCs w:val="24"/>
        </w:rPr>
        <w:t xml:space="preserve"> for average of 23 weeks</w:t>
      </w:r>
      <w:r w:rsidR="00902323">
        <w:rPr>
          <w:rFonts w:ascii="Arial" w:hAnsi="Arial" w:cs="Arial"/>
          <w:color w:val="000000" w:themeColor="text1"/>
          <w:sz w:val="24"/>
          <w:szCs w:val="24"/>
        </w:rPr>
        <w:t xml:space="preserve">. </w:t>
      </w:r>
      <w:r w:rsidRPr="00FC5606">
        <w:rPr>
          <w:rFonts w:ascii="Arial" w:hAnsi="Arial" w:cs="Arial"/>
          <w:color w:val="000000" w:themeColor="text1"/>
          <w:sz w:val="24"/>
          <w:szCs w:val="24"/>
        </w:rPr>
        <w:t xml:space="preserve">In 1 patient </w:t>
      </w:r>
      <w:r w:rsidR="006C4935">
        <w:rPr>
          <w:rFonts w:ascii="Arial" w:hAnsi="Arial" w:cs="Arial"/>
          <w:color w:val="000000" w:themeColor="text1"/>
          <w:sz w:val="24"/>
          <w:szCs w:val="24"/>
        </w:rPr>
        <w:t xml:space="preserve">(in addition to the four above) </w:t>
      </w:r>
      <w:r w:rsidRPr="00FC5606">
        <w:rPr>
          <w:rFonts w:ascii="Arial" w:hAnsi="Arial" w:cs="Arial"/>
          <w:color w:val="000000" w:themeColor="text1"/>
          <w:sz w:val="24"/>
          <w:szCs w:val="24"/>
        </w:rPr>
        <w:t xml:space="preserve">the </w:t>
      </w:r>
      <w:proofErr w:type="spellStart"/>
      <w:r w:rsidR="007E6122">
        <w:rPr>
          <w:rFonts w:ascii="Arial" w:hAnsi="Arial" w:cs="Arial"/>
          <w:color w:val="000000" w:themeColor="text1"/>
          <w:sz w:val="24"/>
          <w:szCs w:val="24"/>
        </w:rPr>
        <w:t>semaglutide</w:t>
      </w:r>
      <w:proofErr w:type="spellEnd"/>
      <w:r w:rsidRPr="00FC5606">
        <w:rPr>
          <w:rFonts w:ascii="Arial" w:hAnsi="Arial" w:cs="Arial"/>
          <w:color w:val="000000" w:themeColor="text1"/>
          <w:sz w:val="24"/>
          <w:szCs w:val="24"/>
        </w:rPr>
        <w:t xml:space="preserve"> was stopped because of concerns about elevation of the live</w:t>
      </w:r>
      <w:r w:rsidR="007E6122">
        <w:rPr>
          <w:rFonts w:ascii="Arial" w:hAnsi="Arial" w:cs="Arial"/>
          <w:color w:val="000000" w:themeColor="text1"/>
          <w:sz w:val="24"/>
          <w:szCs w:val="24"/>
        </w:rPr>
        <w:t>r</w:t>
      </w:r>
      <w:r w:rsidRPr="00FC5606">
        <w:rPr>
          <w:rFonts w:ascii="Arial" w:hAnsi="Arial" w:cs="Arial"/>
          <w:color w:val="000000" w:themeColor="text1"/>
          <w:sz w:val="24"/>
          <w:szCs w:val="24"/>
        </w:rPr>
        <w:t xml:space="preserve"> enzyme alanine transaminase (ALT) </w:t>
      </w:r>
      <w:r w:rsidR="006C4935">
        <w:rPr>
          <w:rFonts w:ascii="Arial" w:hAnsi="Arial" w:cs="Arial"/>
          <w:color w:val="000000" w:themeColor="text1"/>
          <w:sz w:val="24"/>
          <w:szCs w:val="24"/>
        </w:rPr>
        <w:t xml:space="preserve">- </w:t>
      </w:r>
      <w:r w:rsidR="00AC5461">
        <w:rPr>
          <w:rFonts w:ascii="Arial" w:hAnsi="Arial" w:cs="Arial"/>
          <w:color w:val="000000" w:themeColor="text1"/>
          <w:sz w:val="24"/>
          <w:szCs w:val="24"/>
        </w:rPr>
        <w:t>they then did</w:t>
      </w:r>
      <w:r w:rsidRPr="00FC5606">
        <w:rPr>
          <w:rFonts w:ascii="Arial" w:hAnsi="Arial" w:cs="Arial"/>
          <w:color w:val="000000" w:themeColor="text1"/>
          <w:sz w:val="24"/>
          <w:szCs w:val="24"/>
        </w:rPr>
        <w:t xml:space="preserve"> restart </w:t>
      </w:r>
      <w:proofErr w:type="spellStart"/>
      <w:r w:rsidR="007E6122">
        <w:rPr>
          <w:rFonts w:ascii="Arial" w:hAnsi="Arial" w:cs="Arial"/>
          <w:color w:val="000000" w:themeColor="text1"/>
          <w:sz w:val="24"/>
          <w:szCs w:val="24"/>
        </w:rPr>
        <w:t>semaglutide</w:t>
      </w:r>
      <w:proofErr w:type="spellEnd"/>
      <w:r w:rsidRPr="00FC5606">
        <w:rPr>
          <w:rFonts w:ascii="Arial" w:hAnsi="Arial" w:cs="Arial"/>
          <w:color w:val="000000" w:themeColor="text1"/>
          <w:sz w:val="24"/>
          <w:szCs w:val="24"/>
        </w:rPr>
        <w:t xml:space="preserve"> with close blood monitoring of liver enzyme levels. Two other patients had to discontinue </w:t>
      </w:r>
      <w:proofErr w:type="spellStart"/>
      <w:r w:rsidR="007E6122">
        <w:rPr>
          <w:rFonts w:ascii="Arial" w:hAnsi="Arial" w:cs="Arial"/>
          <w:color w:val="000000" w:themeColor="text1"/>
          <w:sz w:val="24"/>
          <w:szCs w:val="24"/>
        </w:rPr>
        <w:t>semaglutide</w:t>
      </w:r>
      <w:proofErr w:type="spellEnd"/>
      <w:r w:rsidRPr="00FC5606">
        <w:rPr>
          <w:rFonts w:ascii="Arial" w:hAnsi="Arial" w:cs="Arial"/>
          <w:color w:val="000000" w:themeColor="text1"/>
          <w:sz w:val="24"/>
          <w:szCs w:val="24"/>
        </w:rPr>
        <w:t xml:space="preserve"> because this medication could no longer be continued on their discharge, as there was no funding for outpatient treatment with </w:t>
      </w:r>
      <w:proofErr w:type="spellStart"/>
      <w:r w:rsidR="007E6122">
        <w:rPr>
          <w:rFonts w:ascii="Arial" w:hAnsi="Arial" w:cs="Arial"/>
          <w:color w:val="000000" w:themeColor="text1"/>
          <w:sz w:val="24"/>
          <w:szCs w:val="24"/>
        </w:rPr>
        <w:t>semaglutide</w:t>
      </w:r>
      <w:proofErr w:type="spellEnd"/>
      <w:r w:rsidRPr="00FC5606">
        <w:rPr>
          <w:rFonts w:ascii="Arial" w:hAnsi="Arial" w:cs="Arial"/>
          <w:color w:val="000000" w:themeColor="text1"/>
          <w:sz w:val="24"/>
          <w:szCs w:val="24"/>
        </w:rPr>
        <w:t>, once they left hospital.</w:t>
      </w:r>
    </w:p>
    <w:p w14:paraId="169CC898" w14:textId="77777777" w:rsidR="006A1E5B" w:rsidRDefault="006A1E5B" w:rsidP="006A1E5B">
      <w:pPr>
        <w:tabs>
          <w:tab w:val="left" w:pos="5883"/>
        </w:tabs>
        <w:spacing w:after="0" w:line="360" w:lineRule="auto"/>
        <w:rPr>
          <w:rFonts w:ascii="Arial" w:hAnsi="Arial" w:cs="Arial"/>
          <w:color w:val="000000" w:themeColor="text1"/>
          <w:sz w:val="24"/>
          <w:szCs w:val="24"/>
        </w:rPr>
      </w:pPr>
    </w:p>
    <w:p w14:paraId="22A2E64F" w14:textId="394E4EA5" w:rsidR="006A1E5B" w:rsidRPr="00FC5606" w:rsidRDefault="006A1E5B" w:rsidP="006A1E5B">
      <w:pPr>
        <w:spacing w:after="0" w:line="360" w:lineRule="auto"/>
        <w:rPr>
          <w:rFonts w:ascii="Arial" w:eastAsia="Calibri" w:hAnsi="Arial" w:cs="Arial"/>
          <w:color w:val="000000" w:themeColor="text1"/>
          <w:sz w:val="24"/>
          <w:szCs w:val="24"/>
        </w:rPr>
      </w:pPr>
      <w:r w:rsidRPr="00FC5606">
        <w:rPr>
          <w:rFonts w:ascii="Arial" w:eastAsia="Calibri" w:hAnsi="Arial" w:cs="Arial"/>
          <w:color w:val="000000" w:themeColor="text1"/>
          <w:sz w:val="24"/>
          <w:szCs w:val="24"/>
        </w:rPr>
        <w:t xml:space="preserve">The </w:t>
      </w:r>
      <w:proofErr w:type="spellStart"/>
      <w:r w:rsidR="0060037B" w:rsidRPr="00F300AA">
        <w:rPr>
          <w:rFonts w:ascii="Arial" w:hAnsi="Arial" w:cs="Arial"/>
          <w:color w:val="000000" w:themeColor="text1"/>
          <w:sz w:val="24"/>
          <w:szCs w:val="24"/>
        </w:rPr>
        <w:t>EuroQol</w:t>
      </w:r>
      <w:proofErr w:type="spellEnd"/>
      <w:r w:rsidR="0060037B" w:rsidRPr="00F300AA">
        <w:rPr>
          <w:rFonts w:ascii="Arial" w:hAnsi="Arial" w:cs="Arial"/>
          <w:color w:val="000000" w:themeColor="text1"/>
          <w:sz w:val="24"/>
          <w:szCs w:val="24"/>
        </w:rPr>
        <w:t xml:space="preserve"> 5-Dimensional Questionnaire, 5-Level Version Visual Analogue Scale </w:t>
      </w:r>
      <w:r w:rsidR="0060037B">
        <w:rPr>
          <w:rFonts w:ascii="Arial" w:hAnsi="Arial" w:cs="Arial"/>
          <w:color w:val="000000" w:themeColor="text1"/>
          <w:sz w:val="24"/>
          <w:szCs w:val="24"/>
        </w:rPr>
        <w:t>(</w:t>
      </w:r>
      <w:r w:rsidRPr="00FC5606">
        <w:rPr>
          <w:rFonts w:ascii="Arial" w:eastAsia="Calibri" w:hAnsi="Arial" w:cs="Arial"/>
          <w:color w:val="000000" w:themeColor="text1"/>
          <w:sz w:val="24"/>
          <w:szCs w:val="24"/>
        </w:rPr>
        <w:t>EQ5D5L VAS</w:t>
      </w:r>
      <w:r w:rsidR="0060037B">
        <w:rPr>
          <w:rFonts w:ascii="Arial" w:eastAsia="Calibri" w:hAnsi="Arial" w:cs="Arial"/>
          <w:color w:val="000000" w:themeColor="text1"/>
          <w:sz w:val="24"/>
          <w:szCs w:val="24"/>
        </w:rPr>
        <w:t>)</w:t>
      </w:r>
      <w:r w:rsidRPr="00FC5606">
        <w:rPr>
          <w:rFonts w:ascii="Arial" w:eastAsia="Calibri" w:hAnsi="Arial" w:cs="Arial"/>
          <w:color w:val="000000" w:themeColor="text1"/>
          <w:sz w:val="24"/>
          <w:szCs w:val="24"/>
        </w:rPr>
        <w:t xml:space="preserve"> (</w:t>
      </w:r>
      <w:r w:rsidR="006C4935">
        <w:rPr>
          <w:rFonts w:ascii="Arial" w:eastAsia="Calibri" w:hAnsi="Arial" w:cs="Arial"/>
          <w:color w:val="000000" w:themeColor="text1"/>
          <w:sz w:val="24"/>
          <w:szCs w:val="24"/>
        </w:rPr>
        <w:t>17</w:t>
      </w:r>
      <w:r w:rsidRPr="00FC5606">
        <w:rPr>
          <w:rFonts w:ascii="Arial" w:eastAsia="Calibri" w:hAnsi="Arial" w:cs="Arial"/>
          <w:color w:val="000000" w:themeColor="text1"/>
          <w:sz w:val="24"/>
          <w:szCs w:val="24"/>
        </w:rPr>
        <w:t xml:space="preserve">) showed mean improvement of 9.7 (range 0 to 30.1 (Figure </w:t>
      </w:r>
      <w:r>
        <w:rPr>
          <w:rFonts w:ascii="Arial" w:eastAsia="Calibri" w:hAnsi="Arial" w:cs="Arial"/>
          <w:color w:val="000000" w:themeColor="text1"/>
          <w:sz w:val="24"/>
          <w:szCs w:val="24"/>
        </w:rPr>
        <w:t>1</w:t>
      </w:r>
      <w:r w:rsidRPr="00FC5606">
        <w:rPr>
          <w:rFonts w:ascii="Arial" w:eastAsia="Calibri" w:hAnsi="Arial" w:cs="Arial"/>
          <w:color w:val="000000" w:themeColor="text1"/>
          <w:sz w:val="24"/>
          <w:szCs w:val="24"/>
        </w:rPr>
        <w:t xml:space="preserve">).  Improvement in QOL was overall greater in people who stayed on </w:t>
      </w:r>
      <w:proofErr w:type="spellStart"/>
      <w:r w:rsidR="007E6122">
        <w:rPr>
          <w:rFonts w:ascii="Arial" w:eastAsia="Calibri" w:hAnsi="Arial" w:cs="Arial"/>
          <w:color w:val="000000" w:themeColor="text1"/>
          <w:sz w:val="24"/>
          <w:szCs w:val="24"/>
        </w:rPr>
        <w:t>s</w:t>
      </w:r>
      <w:r w:rsidR="003105D3">
        <w:rPr>
          <w:rFonts w:ascii="Arial" w:eastAsia="Calibri" w:hAnsi="Arial" w:cs="Arial"/>
          <w:color w:val="000000" w:themeColor="text1"/>
          <w:sz w:val="24"/>
          <w:szCs w:val="24"/>
        </w:rPr>
        <w:t>emaglutide</w:t>
      </w:r>
      <w:proofErr w:type="spellEnd"/>
      <w:r w:rsidRPr="00FC5606">
        <w:rPr>
          <w:rFonts w:ascii="Arial" w:eastAsia="Calibri" w:hAnsi="Arial" w:cs="Arial"/>
          <w:color w:val="000000" w:themeColor="text1"/>
          <w:sz w:val="24"/>
          <w:szCs w:val="24"/>
        </w:rPr>
        <w:t xml:space="preserve"> vs those who discontinued but in fact QOL was actually overall already better at baseline for those who </w:t>
      </w:r>
      <w:proofErr w:type="gramStart"/>
      <w:r w:rsidRPr="00FC5606">
        <w:rPr>
          <w:rFonts w:ascii="Arial" w:eastAsia="Calibri" w:hAnsi="Arial" w:cs="Arial"/>
          <w:color w:val="000000" w:themeColor="text1"/>
          <w:sz w:val="24"/>
          <w:szCs w:val="24"/>
        </w:rPr>
        <w:t xml:space="preserve">discontinued </w:t>
      </w:r>
      <w:r w:rsidR="007E6122">
        <w:rPr>
          <w:rFonts w:ascii="Arial" w:eastAsia="Calibri" w:hAnsi="Arial" w:cs="Arial"/>
          <w:color w:val="000000" w:themeColor="text1"/>
          <w:sz w:val="24"/>
          <w:szCs w:val="24"/>
        </w:rPr>
        <w:t xml:space="preserve"> </w:t>
      </w:r>
      <w:proofErr w:type="spellStart"/>
      <w:r w:rsidR="007E6122">
        <w:rPr>
          <w:rFonts w:ascii="Arial" w:eastAsia="Calibri" w:hAnsi="Arial" w:cs="Arial"/>
          <w:color w:val="000000" w:themeColor="text1"/>
          <w:sz w:val="24"/>
          <w:szCs w:val="24"/>
        </w:rPr>
        <w:t>semaglutide</w:t>
      </w:r>
      <w:proofErr w:type="spellEnd"/>
      <w:proofErr w:type="gramEnd"/>
      <w:r w:rsidRPr="00FC5606">
        <w:rPr>
          <w:rFonts w:ascii="Arial" w:eastAsia="Calibri" w:hAnsi="Arial" w:cs="Arial"/>
          <w:color w:val="000000" w:themeColor="text1"/>
          <w:sz w:val="24"/>
          <w:szCs w:val="24"/>
        </w:rPr>
        <w:t xml:space="preserve"> by their own choice (excluding those who had to stop because they left hospital</w:t>
      </w:r>
      <w:r>
        <w:rPr>
          <w:rFonts w:ascii="Arial" w:eastAsia="Calibri" w:hAnsi="Arial" w:cs="Arial"/>
          <w:color w:val="000000" w:themeColor="text1"/>
          <w:sz w:val="24"/>
          <w:szCs w:val="24"/>
        </w:rPr>
        <w:t>.</w:t>
      </w:r>
    </w:p>
    <w:p w14:paraId="5A15C0E3" w14:textId="77777777" w:rsidR="006A1E5B" w:rsidRPr="00FC5606" w:rsidRDefault="006A1E5B" w:rsidP="006A1E5B">
      <w:pPr>
        <w:tabs>
          <w:tab w:val="left" w:pos="5883"/>
        </w:tabs>
        <w:spacing w:after="0" w:line="360" w:lineRule="auto"/>
        <w:rPr>
          <w:rFonts w:ascii="Arial" w:hAnsi="Arial" w:cs="Arial"/>
          <w:color w:val="000000" w:themeColor="text1"/>
          <w:sz w:val="24"/>
          <w:szCs w:val="24"/>
        </w:rPr>
      </w:pPr>
    </w:p>
    <w:p w14:paraId="7577AED5" w14:textId="77777777" w:rsidR="00950A0A" w:rsidRPr="00FC5606" w:rsidRDefault="00950A0A" w:rsidP="00FC5606">
      <w:pPr>
        <w:spacing w:after="0" w:line="360" w:lineRule="auto"/>
        <w:rPr>
          <w:rFonts w:ascii="Arial" w:hAnsi="Arial" w:cs="Arial"/>
          <w:b/>
          <w:bCs/>
          <w:i/>
          <w:iCs/>
          <w:color w:val="000000" w:themeColor="text1"/>
          <w:sz w:val="24"/>
          <w:szCs w:val="24"/>
        </w:rPr>
      </w:pPr>
      <w:bookmarkStart w:id="4" w:name="_Toc169245273"/>
    </w:p>
    <w:p w14:paraId="26C5109B" w14:textId="3EB46AFA" w:rsidR="00BE0947" w:rsidRPr="00FC5606" w:rsidRDefault="00BE0947" w:rsidP="00FC5606">
      <w:pPr>
        <w:pStyle w:val="Caption"/>
        <w:keepNext/>
        <w:spacing w:after="0" w:line="360" w:lineRule="auto"/>
        <w:rPr>
          <w:rFonts w:ascii="Arial" w:hAnsi="Arial" w:cs="Arial"/>
          <w:i w:val="0"/>
          <w:iCs w:val="0"/>
          <w:color w:val="000000" w:themeColor="text1"/>
          <w:sz w:val="24"/>
          <w:szCs w:val="24"/>
        </w:rPr>
      </w:pPr>
      <w:r w:rsidRPr="00FC5606">
        <w:rPr>
          <w:rFonts w:ascii="Arial" w:hAnsi="Arial" w:cs="Arial"/>
          <w:b/>
          <w:bCs/>
          <w:i w:val="0"/>
          <w:iCs w:val="0"/>
          <w:color w:val="000000" w:themeColor="text1"/>
          <w:sz w:val="24"/>
          <w:szCs w:val="24"/>
        </w:rPr>
        <w:t xml:space="preserve">Table </w:t>
      </w:r>
      <w:r w:rsidR="00BC3C48" w:rsidRPr="00FC5606">
        <w:rPr>
          <w:rFonts w:ascii="Arial" w:hAnsi="Arial" w:cs="Arial"/>
          <w:b/>
          <w:bCs/>
          <w:i w:val="0"/>
          <w:iCs w:val="0"/>
          <w:color w:val="000000" w:themeColor="text1"/>
          <w:sz w:val="24"/>
          <w:szCs w:val="24"/>
        </w:rPr>
        <w:fldChar w:fldCharType="begin"/>
      </w:r>
      <w:r w:rsidR="00BC3C48" w:rsidRPr="00FC5606">
        <w:rPr>
          <w:rFonts w:ascii="Arial" w:hAnsi="Arial" w:cs="Arial"/>
          <w:b/>
          <w:bCs/>
          <w:i w:val="0"/>
          <w:iCs w:val="0"/>
          <w:color w:val="000000" w:themeColor="text1"/>
          <w:sz w:val="24"/>
          <w:szCs w:val="24"/>
        </w:rPr>
        <w:instrText xml:space="preserve"> SEQ Table \* ARABIC </w:instrText>
      </w:r>
      <w:r w:rsidR="00BC3C48" w:rsidRPr="00FC5606">
        <w:rPr>
          <w:rFonts w:ascii="Arial" w:hAnsi="Arial" w:cs="Arial"/>
          <w:b/>
          <w:bCs/>
          <w:i w:val="0"/>
          <w:iCs w:val="0"/>
          <w:color w:val="000000" w:themeColor="text1"/>
          <w:sz w:val="24"/>
          <w:szCs w:val="24"/>
        </w:rPr>
        <w:fldChar w:fldCharType="separate"/>
      </w:r>
      <w:r w:rsidR="00BC3C48" w:rsidRPr="00FC5606">
        <w:rPr>
          <w:rFonts w:ascii="Arial" w:hAnsi="Arial" w:cs="Arial"/>
          <w:b/>
          <w:bCs/>
          <w:i w:val="0"/>
          <w:iCs w:val="0"/>
          <w:noProof/>
          <w:color w:val="000000" w:themeColor="text1"/>
          <w:sz w:val="24"/>
          <w:szCs w:val="24"/>
        </w:rPr>
        <w:t>1</w:t>
      </w:r>
      <w:r w:rsidR="00BC3C48" w:rsidRPr="00FC5606">
        <w:rPr>
          <w:rFonts w:ascii="Arial" w:hAnsi="Arial" w:cs="Arial"/>
          <w:b/>
          <w:bCs/>
          <w:i w:val="0"/>
          <w:iCs w:val="0"/>
          <w:color w:val="000000" w:themeColor="text1"/>
          <w:sz w:val="24"/>
          <w:szCs w:val="24"/>
        </w:rPr>
        <w:fldChar w:fldCharType="end"/>
      </w:r>
      <w:r w:rsidRPr="00FC5606">
        <w:rPr>
          <w:rFonts w:ascii="Arial" w:hAnsi="Arial" w:cs="Arial"/>
          <w:b/>
          <w:bCs/>
          <w:i w:val="0"/>
          <w:iCs w:val="0"/>
          <w:color w:val="000000" w:themeColor="text1"/>
          <w:sz w:val="24"/>
          <w:szCs w:val="24"/>
        </w:rPr>
        <w:t>.</w:t>
      </w:r>
      <w:r w:rsidRPr="00FC5606">
        <w:rPr>
          <w:rFonts w:ascii="Arial" w:hAnsi="Arial" w:cs="Arial"/>
          <w:color w:val="000000" w:themeColor="text1"/>
          <w:sz w:val="24"/>
          <w:szCs w:val="24"/>
        </w:rPr>
        <w:t xml:space="preserve"> </w:t>
      </w:r>
      <w:bookmarkEnd w:id="4"/>
      <w:r w:rsidR="00792AF8" w:rsidRPr="00FC5606">
        <w:rPr>
          <w:rFonts w:ascii="Arial" w:hAnsi="Arial" w:cs="Arial"/>
          <w:i w:val="0"/>
          <w:iCs w:val="0"/>
          <w:color w:val="000000" w:themeColor="text1"/>
          <w:sz w:val="24"/>
          <w:szCs w:val="24"/>
        </w:rPr>
        <w:t xml:space="preserve">Summary </w:t>
      </w:r>
      <w:r w:rsidR="00FE7D95" w:rsidRPr="00FC5606">
        <w:rPr>
          <w:rFonts w:ascii="Arial" w:hAnsi="Arial" w:cs="Arial"/>
          <w:i w:val="0"/>
          <w:iCs w:val="0"/>
          <w:color w:val="000000" w:themeColor="text1"/>
          <w:sz w:val="24"/>
          <w:szCs w:val="24"/>
        </w:rPr>
        <w:t>Patient</w:t>
      </w:r>
      <w:r w:rsidR="00CD5FE8" w:rsidRPr="00FC5606">
        <w:rPr>
          <w:rFonts w:ascii="Arial" w:hAnsi="Arial" w:cs="Arial"/>
          <w:i w:val="0"/>
          <w:iCs w:val="0"/>
          <w:color w:val="000000" w:themeColor="text1"/>
          <w:sz w:val="24"/>
          <w:szCs w:val="24"/>
        </w:rPr>
        <w:t xml:space="preserve"> Characteristics</w:t>
      </w:r>
      <w:r w:rsidR="00AC5A65">
        <w:rPr>
          <w:rFonts w:ascii="Arial" w:hAnsi="Arial" w:cs="Arial"/>
          <w:i w:val="0"/>
          <w:iCs w:val="0"/>
          <w:color w:val="000000" w:themeColor="text1"/>
          <w:sz w:val="24"/>
          <w:szCs w:val="24"/>
        </w:rPr>
        <w:t xml:space="preserve"> (data are shown as means)</w:t>
      </w:r>
    </w:p>
    <w:tbl>
      <w:tblPr>
        <w:tblStyle w:val="TableGrid"/>
        <w:tblW w:w="9533" w:type="dxa"/>
        <w:tblLook w:val="04A0" w:firstRow="1" w:lastRow="0" w:firstColumn="1" w:lastColumn="0" w:noHBand="0" w:noVBand="1"/>
      </w:tblPr>
      <w:tblGrid>
        <w:gridCol w:w="1413"/>
        <w:gridCol w:w="1042"/>
        <w:gridCol w:w="1368"/>
        <w:gridCol w:w="1142"/>
        <w:gridCol w:w="1142"/>
        <w:gridCol w:w="1142"/>
        <w:gridCol w:w="1142"/>
        <w:gridCol w:w="1142"/>
      </w:tblGrid>
      <w:tr w:rsidR="00164D1F" w:rsidRPr="00FC5606" w14:paraId="4DCE6B8F" w14:textId="67186DE1" w:rsidTr="00164D1F">
        <w:tc>
          <w:tcPr>
            <w:tcW w:w="1413" w:type="dxa"/>
          </w:tcPr>
          <w:p w14:paraId="74C2A7BD" w14:textId="77777777" w:rsidR="00164D1F" w:rsidRPr="00FC5606" w:rsidRDefault="00164D1F" w:rsidP="00164D1F">
            <w:pPr>
              <w:spacing w:line="360" w:lineRule="auto"/>
              <w:jc w:val="center"/>
              <w:rPr>
                <w:rFonts w:ascii="Arial" w:hAnsi="Arial" w:cs="Arial"/>
                <w:sz w:val="24"/>
                <w:szCs w:val="24"/>
              </w:rPr>
            </w:pPr>
          </w:p>
        </w:tc>
        <w:tc>
          <w:tcPr>
            <w:tcW w:w="1042" w:type="dxa"/>
          </w:tcPr>
          <w:p w14:paraId="6AA9E61C" w14:textId="43502AB4" w:rsidR="00164D1F" w:rsidRPr="00FC5606" w:rsidRDefault="00164D1F" w:rsidP="00164D1F">
            <w:pPr>
              <w:spacing w:line="360" w:lineRule="auto"/>
              <w:jc w:val="center"/>
              <w:rPr>
                <w:rFonts w:ascii="Arial" w:hAnsi="Arial" w:cs="Arial"/>
                <w:sz w:val="24"/>
                <w:szCs w:val="24"/>
              </w:rPr>
            </w:pPr>
            <w:r w:rsidRPr="00FC5606">
              <w:rPr>
                <w:rFonts w:ascii="Arial" w:hAnsi="Arial" w:cs="Arial"/>
                <w:sz w:val="24"/>
                <w:szCs w:val="24"/>
              </w:rPr>
              <w:t>Age (years)</w:t>
            </w:r>
          </w:p>
        </w:tc>
        <w:tc>
          <w:tcPr>
            <w:tcW w:w="1368" w:type="dxa"/>
          </w:tcPr>
          <w:p w14:paraId="12EDA21B" w14:textId="43280C76" w:rsidR="00164D1F" w:rsidRPr="00FC5606" w:rsidRDefault="00164D1F" w:rsidP="00164D1F">
            <w:pPr>
              <w:spacing w:line="360" w:lineRule="auto"/>
              <w:jc w:val="center"/>
              <w:rPr>
                <w:rFonts w:ascii="Arial" w:hAnsi="Arial" w:cs="Arial"/>
                <w:sz w:val="24"/>
                <w:szCs w:val="24"/>
              </w:rPr>
            </w:pPr>
            <w:r w:rsidRPr="00FC5606">
              <w:rPr>
                <w:rFonts w:ascii="Arial" w:hAnsi="Arial" w:cs="Arial"/>
                <w:sz w:val="24"/>
                <w:szCs w:val="24"/>
              </w:rPr>
              <w:t>Duration of Illness</w:t>
            </w:r>
            <w:r w:rsidR="00B151EC">
              <w:rPr>
                <w:rFonts w:ascii="Arial" w:hAnsi="Arial" w:cs="Arial"/>
                <w:sz w:val="24"/>
                <w:szCs w:val="24"/>
              </w:rPr>
              <w:t xml:space="preserve"> (years)</w:t>
            </w:r>
          </w:p>
        </w:tc>
        <w:tc>
          <w:tcPr>
            <w:tcW w:w="1142" w:type="dxa"/>
          </w:tcPr>
          <w:p w14:paraId="51D0832C" w14:textId="3061FB43" w:rsidR="00164D1F" w:rsidRDefault="00164D1F" w:rsidP="00164D1F">
            <w:pPr>
              <w:spacing w:line="360" w:lineRule="auto"/>
              <w:jc w:val="center"/>
              <w:rPr>
                <w:rFonts w:ascii="Arial" w:hAnsi="Arial" w:cs="Arial"/>
                <w:sz w:val="24"/>
                <w:szCs w:val="24"/>
              </w:rPr>
            </w:pPr>
            <w:r>
              <w:rPr>
                <w:rFonts w:ascii="Arial" w:hAnsi="Arial" w:cs="Arial"/>
                <w:sz w:val="24"/>
                <w:szCs w:val="24"/>
              </w:rPr>
              <w:t>Duration</w:t>
            </w:r>
            <w:r w:rsidR="00C42666">
              <w:rPr>
                <w:rFonts w:ascii="Arial" w:hAnsi="Arial" w:cs="Arial"/>
                <w:sz w:val="24"/>
                <w:szCs w:val="24"/>
              </w:rPr>
              <w:t xml:space="preserve"> weeks</w:t>
            </w:r>
          </w:p>
        </w:tc>
        <w:tc>
          <w:tcPr>
            <w:tcW w:w="1142" w:type="dxa"/>
          </w:tcPr>
          <w:p w14:paraId="1ED9CCB6" w14:textId="11062447" w:rsidR="00164D1F" w:rsidRDefault="00164D1F" w:rsidP="00164D1F">
            <w:pPr>
              <w:spacing w:line="360" w:lineRule="auto"/>
              <w:jc w:val="center"/>
              <w:rPr>
                <w:rFonts w:ascii="Arial" w:hAnsi="Arial" w:cs="Arial"/>
                <w:sz w:val="24"/>
                <w:szCs w:val="24"/>
              </w:rPr>
            </w:pPr>
            <w:r>
              <w:rPr>
                <w:rFonts w:ascii="Arial" w:hAnsi="Arial" w:cs="Arial"/>
                <w:sz w:val="24"/>
                <w:szCs w:val="24"/>
              </w:rPr>
              <w:t>BMI</w:t>
            </w:r>
            <w:r w:rsidRPr="00FC5606">
              <w:rPr>
                <w:rFonts w:ascii="Arial" w:hAnsi="Arial" w:cs="Arial"/>
                <w:sz w:val="24"/>
                <w:szCs w:val="24"/>
              </w:rPr>
              <w:t xml:space="preserve"> start</w:t>
            </w:r>
            <w:r>
              <w:rPr>
                <w:rFonts w:ascii="Arial" w:hAnsi="Arial" w:cs="Arial"/>
                <w:sz w:val="24"/>
                <w:szCs w:val="24"/>
              </w:rPr>
              <w:t xml:space="preserve"> </w:t>
            </w:r>
          </w:p>
        </w:tc>
        <w:tc>
          <w:tcPr>
            <w:tcW w:w="1142" w:type="dxa"/>
          </w:tcPr>
          <w:p w14:paraId="2B1FDE65" w14:textId="48812E4B" w:rsidR="00164D1F" w:rsidRPr="00FC5606" w:rsidRDefault="00164D1F" w:rsidP="00164D1F">
            <w:pPr>
              <w:spacing w:line="360" w:lineRule="auto"/>
              <w:jc w:val="center"/>
              <w:rPr>
                <w:rFonts w:ascii="Arial" w:hAnsi="Arial" w:cs="Arial"/>
                <w:sz w:val="24"/>
                <w:szCs w:val="24"/>
              </w:rPr>
            </w:pPr>
            <w:r>
              <w:rPr>
                <w:rFonts w:ascii="Arial" w:hAnsi="Arial" w:cs="Arial"/>
                <w:sz w:val="24"/>
                <w:szCs w:val="24"/>
              </w:rPr>
              <w:t xml:space="preserve">BMI </w:t>
            </w:r>
            <w:r w:rsidRPr="00FC5606">
              <w:rPr>
                <w:rFonts w:ascii="Arial" w:hAnsi="Arial" w:cs="Arial"/>
                <w:sz w:val="24"/>
                <w:szCs w:val="24"/>
              </w:rPr>
              <w:t>Latest</w:t>
            </w:r>
          </w:p>
        </w:tc>
        <w:tc>
          <w:tcPr>
            <w:tcW w:w="1142" w:type="dxa"/>
          </w:tcPr>
          <w:p w14:paraId="78205970" w14:textId="6B02CF04" w:rsidR="00164D1F" w:rsidRPr="00FC5606" w:rsidRDefault="00164D1F" w:rsidP="00164D1F">
            <w:pPr>
              <w:spacing w:line="360" w:lineRule="auto"/>
              <w:jc w:val="center"/>
              <w:rPr>
                <w:rFonts w:ascii="Arial" w:hAnsi="Arial" w:cs="Arial"/>
                <w:sz w:val="24"/>
                <w:szCs w:val="24"/>
              </w:rPr>
            </w:pPr>
            <w:r w:rsidRPr="00FC5606">
              <w:rPr>
                <w:rFonts w:ascii="Arial" w:hAnsi="Arial" w:cs="Arial"/>
                <w:sz w:val="24"/>
                <w:szCs w:val="24"/>
              </w:rPr>
              <w:t>HbA1c start</w:t>
            </w:r>
          </w:p>
        </w:tc>
        <w:tc>
          <w:tcPr>
            <w:tcW w:w="1142" w:type="dxa"/>
          </w:tcPr>
          <w:p w14:paraId="2F3C342B" w14:textId="3B8D7106" w:rsidR="00164D1F" w:rsidRPr="00FC5606" w:rsidRDefault="00164D1F" w:rsidP="00164D1F">
            <w:pPr>
              <w:spacing w:line="360" w:lineRule="auto"/>
              <w:jc w:val="center"/>
              <w:rPr>
                <w:rFonts w:ascii="Arial" w:hAnsi="Arial" w:cs="Arial"/>
                <w:sz w:val="24"/>
                <w:szCs w:val="24"/>
              </w:rPr>
            </w:pPr>
            <w:r w:rsidRPr="00FC5606">
              <w:rPr>
                <w:rFonts w:ascii="Arial" w:hAnsi="Arial" w:cs="Arial"/>
                <w:sz w:val="24"/>
                <w:szCs w:val="24"/>
              </w:rPr>
              <w:t>HbA1c latest</w:t>
            </w:r>
          </w:p>
        </w:tc>
      </w:tr>
      <w:tr w:rsidR="00164D1F" w:rsidRPr="00FC5606" w14:paraId="2A208FEC" w14:textId="33AA30E3" w:rsidTr="00164D1F">
        <w:tc>
          <w:tcPr>
            <w:tcW w:w="1413" w:type="dxa"/>
          </w:tcPr>
          <w:p w14:paraId="03011C01" w14:textId="29CCF896" w:rsidR="00164D1F" w:rsidRPr="00FC5606" w:rsidRDefault="00164D1F" w:rsidP="00164D1F">
            <w:pPr>
              <w:spacing w:line="360" w:lineRule="auto"/>
              <w:jc w:val="center"/>
              <w:rPr>
                <w:rFonts w:ascii="Arial" w:hAnsi="Arial" w:cs="Arial"/>
                <w:sz w:val="24"/>
                <w:szCs w:val="24"/>
              </w:rPr>
            </w:pPr>
            <w:r w:rsidRPr="00FC5606">
              <w:rPr>
                <w:rFonts w:ascii="Arial" w:hAnsi="Arial" w:cs="Arial"/>
                <w:sz w:val="24"/>
                <w:szCs w:val="24"/>
              </w:rPr>
              <w:lastRenderedPageBreak/>
              <w:t>Men</w:t>
            </w:r>
          </w:p>
        </w:tc>
        <w:tc>
          <w:tcPr>
            <w:tcW w:w="1042" w:type="dxa"/>
          </w:tcPr>
          <w:p w14:paraId="5C9BF7AD" w14:textId="0FF760B2" w:rsidR="00164D1F" w:rsidRPr="00FC5606" w:rsidRDefault="00164D1F" w:rsidP="00164D1F">
            <w:pPr>
              <w:spacing w:line="360" w:lineRule="auto"/>
              <w:jc w:val="center"/>
              <w:rPr>
                <w:rFonts w:ascii="Arial" w:hAnsi="Arial" w:cs="Arial"/>
                <w:sz w:val="24"/>
                <w:szCs w:val="24"/>
              </w:rPr>
            </w:pPr>
            <w:r>
              <w:rPr>
                <w:rFonts w:ascii="Arial" w:hAnsi="Arial" w:cs="Arial"/>
                <w:sz w:val="24"/>
                <w:szCs w:val="24"/>
              </w:rPr>
              <w:t>35.6</w:t>
            </w:r>
          </w:p>
        </w:tc>
        <w:tc>
          <w:tcPr>
            <w:tcW w:w="1368" w:type="dxa"/>
          </w:tcPr>
          <w:p w14:paraId="66799338" w14:textId="1BA44B9A" w:rsidR="00164D1F" w:rsidRPr="00FC5606" w:rsidRDefault="00B151EC" w:rsidP="00164D1F">
            <w:pPr>
              <w:spacing w:line="360" w:lineRule="auto"/>
              <w:jc w:val="center"/>
              <w:rPr>
                <w:rFonts w:ascii="Arial" w:hAnsi="Arial" w:cs="Arial"/>
                <w:sz w:val="24"/>
                <w:szCs w:val="24"/>
              </w:rPr>
            </w:pPr>
            <w:r>
              <w:rPr>
                <w:rFonts w:ascii="Arial" w:hAnsi="Arial" w:cs="Arial"/>
                <w:sz w:val="24"/>
                <w:szCs w:val="24"/>
              </w:rPr>
              <w:t>8.0</w:t>
            </w:r>
          </w:p>
        </w:tc>
        <w:tc>
          <w:tcPr>
            <w:tcW w:w="1142" w:type="dxa"/>
          </w:tcPr>
          <w:p w14:paraId="5EA4D8CF" w14:textId="2EC80747" w:rsidR="00164D1F" w:rsidRDefault="00C42666" w:rsidP="00164D1F">
            <w:pPr>
              <w:spacing w:line="360" w:lineRule="auto"/>
              <w:jc w:val="center"/>
              <w:rPr>
                <w:rFonts w:ascii="Arial" w:hAnsi="Arial" w:cs="Arial"/>
                <w:sz w:val="24"/>
                <w:szCs w:val="24"/>
              </w:rPr>
            </w:pPr>
            <w:r>
              <w:rPr>
                <w:rFonts w:ascii="Arial" w:hAnsi="Arial" w:cs="Arial"/>
                <w:sz w:val="24"/>
                <w:szCs w:val="24"/>
              </w:rPr>
              <w:t>18</w:t>
            </w:r>
          </w:p>
        </w:tc>
        <w:tc>
          <w:tcPr>
            <w:tcW w:w="1142" w:type="dxa"/>
          </w:tcPr>
          <w:p w14:paraId="0E4462D1" w14:textId="33AA6666" w:rsidR="00164D1F" w:rsidRDefault="00164D1F" w:rsidP="00164D1F">
            <w:pPr>
              <w:spacing w:line="360" w:lineRule="auto"/>
              <w:jc w:val="center"/>
              <w:rPr>
                <w:rFonts w:ascii="Arial" w:hAnsi="Arial" w:cs="Arial"/>
                <w:sz w:val="24"/>
                <w:szCs w:val="24"/>
              </w:rPr>
            </w:pPr>
            <w:r>
              <w:rPr>
                <w:rFonts w:ascii="Arial" w:hAnsi="Arial" w:cs="Arial"/>
                <w:sz w:val="24"/>
                <w:szCs w:val="24"/>
              </w:rPr>
              <w:t>37.2</w:t>
            </w:r>
          </w:p>
        </w:tc>
        <w:tc>
          <w:tcPr>
            <w:tcW w:w="1142" w:type="dxa"/>
          </w:tcPr>
          <w:p w14:paraId="1D1875B0" w14:textId="194BDC05" w:rsidR="00164D1F" w:rsidRPr="00FC5606" w:rsidRDefault="00164D1F" w:rsidP="00164D1F">
            <w:pPr>
              <w:spacing w:line="360" w:lineRule="auto"/>
              <w:jc w:val="center"/>
              <w:rPr>
                <w:rFonts w:ascii="Arial" w:hAnsi="Arial" w:cs="Arial"/>
                <w:sz w:val="24"/>
                <w:szCs w:val="24"/>
              </w:rPr>
            </w:pPr>
            <w:r>
              <w:rPr>
                <w:rFonts w:ascii="Arial" w:hAnsi="Arial" w:cs="Arial"/>
                <w:sz w:val="24"/>
                <w:szCs w:val="24"/>
              </w:rPr>
              <w:t>35.4</w:t>
            </w:r>
          </w:p>
        </w:tc>
        <w:tc>
          <w:tcPr>
            <w:tcW w:w="1142" w:type="dxa"/>
          </w:tcPr>
          <w:p w14:paraId="7924F882" w14:textId="45269F19" w:rsidR="00164D1F" w:rsidRPr="00FC5606" w:rsidRDefault="00164D1F" w:rsidP="00164D1F">
            <w:pPr>
              <w:spacing w:line="360" w:lineRule="auto"/>
              <w:jc w:val="center"/>
              <w:rPr>
                <w:rFonts w:ascii="Arial" w:hAnsi="Arial" w:cs="Arial"/>
                <w:sz w:val="24"/>
                <w:szCs w:val="24"/>
              </w:rPr>
            </w:pPr>
            <w:r>
              <w:rPr>
                <w:rFonts w:ascii="Arial" w:hAnsi="Arial" w:cs="Arial"/>
                <w:sz w:val="24"/>
                <w:szCs w:val="24"/>
              </w:rPr>
              <w:t>43</w:t>
            </w:r>
          </w:p>
        </w:tc>
        <w:tc>
          <w:tcPr>
            <w:tcW w:w="1142" w:type="dxa"/>
          </w:tcPr>
          <w:p w14:paraId="23223115" w14:textId="56A57C98" w:rsidR="00164D1F" w:rsidRPr="00FC5606" w:rsidRDefault="00164D1F" w:rsidP="00164D1F">
            <w:pPr>
              <w:spacing w:line="360" w:lineRule="auto"/>
              <w:jc w:val="center"/>
              <w:rPr>
                <w:rFonts w:ascii="Arial" w:hAnsi="Arial" w:cs="Arial"/>
                <w:sz w:val="24"/>
                <w:szCs w:val="24"/>
              </w:rPr>
            </w:pPr>
            <w:r>
              <w:rPr>
                <w:rFonts w:ascii="Arial" w:hAnsi="Arial" w:cs="Arial"/>
                <w:sz w:val="24"/>
                <w:szCs w:val="24"/>
              </w:rPr>
              <w:t>38</w:t>
            </w:r>
          </w:p>
        </w:tc>
      </w:tr>
      <w:tr w:rsidR="00164D1F" w:rsidRPr="00FC5606" w14:paraId="427C52F7" w14:textId="71C1CA71" w:rsidTr="00164D1F">
        <w:tc>
          <w:tcPr>
            <w:tcW w:w="1413" w:type="dxa"/>
          </w:tcPr>
          <w:p w14:paraId="3E3E09FB" w14:textId="6A697248" w:rsidR="00164D1F" w:rsidRPr="00FC5606" w:rsidRDefault="00164D1F" w:rsidP="00164D1F">
            <w:pPr>
              <w:spacing w:line="360" w:lineRule="auto"/>
              <w:jc w:val="center"/>
              <w:rPr>
                <w:rFonts w:ascii="Arial" w:hAnsi="Arial" w:cs="Arial"/>
                <w:sz w:val="24"/>
                <w:szCs w:val="24"/>
              </w:rPr>
            </w:pPr>
            <w:r w:rsidRPr="00FC5606">
              <w:rPr>
                <w:rFonts w:ascii="Arial" w:hAnsi="Arial" w:cs="Arial"/>
                <w:sz w:val="24"/>
                <w:szCs w:val="24"/>
              </w:rPr>
              <w:t>Women</w:t>
            </w:r>
          </w:p>
        </w:tc>
        <w:tc>
          <w:tcPr>
            <w:tcW w:w="1042" w:type="dxa"/>
          </w:tcPr>
          <w:p w14:paraId="6D11CA55" w14:textId="37F7CC54" w:rsidR="00164D1F" w:rsidRPr="00FC5606" w:rsidRDefault="00164D1F" w:rsidP="00164D1F">
            <w:pPr>
              <w:spacing w:line="360" w:lineRule="auto"/>
              <w:jc w:val="center"/>
              <w:rPr>
                <w:rFonts w:ascii="Arial" w:hAnsi="Arial" w:cs="Arial"/>
                <w:sz w:val="24"/>
                <w:szCs w:val="24"/>
              </w:rPr>
            </w:pPr>
            <w:r>
              <w:rPr>
                <w:rFonts w:ascii="Arial" w:hAnsi="Arial" w:cs="Arial"/>
                <w:sz w:val="24"/>
                <w:szCs w:val="24"/>
              </w:rPr>
              <w:t>40.5</w:t>
            </w:r>
          </w:p>
        </w:tc>
        <w:tc>
          <w:tcPr>
            <w:tcW w:w="1368" w:type="dxa"/>
          </w:tcPr>
          <w:p w14:paraId="5E8C0B26" w14:textId="0C98C696" w:rsidR="00164D1F" w:rsidRPr="00FC5606" w:rsidRDefault="00B151EC" w:rsidP="00164D1F">
            <w:pPr>
              <w:spacing w:line="360" w:lineRule="auto"/>
              <w:jc w:val="center"/>
              <w:rPr>
                <w:rFonts w:ascii="Arial" w:hAnsi="Arial" w:cs="Arial"/>
                <w:sz w:val="24"/>
                <w:szCs w:val="24"/>
              </w:rPr>
            </w:pPr>
            <w:r>
              <w:rPr>
                <w:rFonts w:ascii="Arial" w:hAnsi="Arial" w:cs="Arial"/>
                <w:sz w:val="24"/>
                <w:szCs w:val="24"/>
              </w:rPr>
              <w:t>18.4</w:t>
            </w:r>
          </w:p>
        </w:tc>
        <w:tc>
          <w:tcPr>
            <w:tcW w:w="1142" w:type="dxa"/>
          </w:tcPr>
          <w:p w14:paraId="12EA8F47" w14:textId="2603F9BA" w:rsidR="00164D1F" w:rsidRDefault="00C42666" w:rsidP="00164D1F">
            <w:pPr>
              <w:spacing w:line="360" w:lineRule="auto"/>
              <w:jc w:val="center"/>
              <w:rPr>
                <w:rFonts w:ascii="Arial" w:hAnsi="Arial" w:cs="Arial"/>
                <w:sz w:val="24"/>
                <w:szCs w:val="24"/>
              </w:rPr>
            </w:pPr>
            <w:r>
              <w:rPr>
                <w:rFonts w:ascii="Arial" w:hAnsi="Arial" w:cs="Arial"/>
                <w:sz w:val="24"/>
                <w:szCs w:val="24"/>
              </w:rPr>
              <w:t>19</w:t>
            </w:r>
          </w:p>
        </w:tc>
        <w:tc>
          <w:tcPr>
            <w:tcW w:w="1142" w:type="dxa"/>
          </w:tcPr>
          <w:p w14:paraId="16E4D246" w14:textId="2B273025" w:rsidR="00164D1F" w:rsidRDefault="00164D1F" w:rsidP="00164D1F">
            <w:pPr>
              <w:spacing w:line="360" w:lineRule="auto"/>
              <w:jc w:val="center"/>
              <w:rPr>
                <w:rFonts w:ascii="Arial" w:hAnsi="Arial" w:cs="Arial"/>
                <w:sz w:val="24"/>
                <w:szCs w:val="24"/>
              </w:rPr>
            </w:pPr>
            <w:r>
              <w:rPr>
                <w:rFonts w:ascii="Arial" w:hAnsi="Arial" w:cs="Arial"/>
                <w:sz w:val="24"/>
                <w:szCs w:val="24"/>
              </w:rPr>
              <w:t>48.7</w:t>
            </w:r>
          </w:p>
        </w:tc>
        <w:tc>
          <w:tcPr>
            <w:tcW w:w="1142" w:type="dxa"/>
          </w:tcPr>
          <w:p w14:paraId="7AD75416" w14:textId="31C96999" w:rsidR="00164D1F" w:rsidRPr="00FC5606" w:rsidRDefault="00164D1F" w:rsidP="00164D1F">
            <w:pPr>
              <w:spacing w:line="360" w:lineRule="auto"/>
              <w:jc w:val="center"/>
              <w:rPr>
                <w:rFonts w:ascii="Arial" w:hAnsi="Arial" w:cs="Arial"/>
                <w:sz w:val="24"/>
                <w:szCs w:val="24"/>
              </w:rPr>
            </w:pPr>
            <w:r>
              <w:rPr>
                <w:rFonts w:ascii="Arial" w:hAnsi="Arial" w:cs="Arial"/>
                <w:sz w:val="24"/>
                <w:szCs w:val="24"/>
              </w:rPr>
              <w:t>47.1</w:t>
            </w:r>
          </w:p>
        </w:tc>
        <w:tc>
          <w:tcPr>
            <w:tcW w:w="1142" w:type="dxa"/>
          </w:tcPr>
          <w:p w14:paraId="3805E366" w14:textId="71EF7ED1" w:rsidR="00164D1F" w:rsidRPr="00FC5606" w:rsidRDefault="00164D1F" w:rsidP="00164D1F">
            <w:pPr>
              <w:spacing w:line="360" w:lineRule="auto"/>
              <w:jc w:val="center"/>
              <w:rPr>
                <w:rFonts w:ascii="Arial" w:hAnsi="Arial" w:cs="Arial"/>
                <w:sz w:val="24"/>
                <w:szCs w:val="24"/>
              </w:rPr>
            </w:pPr>
            <w:r>
              <w:rPr>
                <w:rFonts w:ascii="Arial" w:hAnsi="Arial" w:cs="Arial"/>
                <w:sz w:val="24"/>
                <w:szCs w:val="24"/>
              </w:rPr>
              <w:t>41</w:t>
            </w:r>
          </w:p>
        </w:tc>
        <w:tc>
          <w:tcPr>
            <w:tcW w:w="1142" w:type="dxa"/>
          </w:tcPr>
          <w:p w14:paraId="32804CC2" w14:textId="336B81E8" w:rsidR="00164D1F" w:rsidRPr="00FC5606" w:rsidRDefault="00164D1F" w:rsidP="00164D1F">
            <w:pPr>
              <w:spacing w:line="360" w:lineRule="auto"/>
              <w:jc w:val="center"/>
              <w:rPr>
                <w:rFonts w:ascii="Arial" w:hAnsi="Arial" w:cs="Arial"/>
                <w:sz w:val="24"/>
                <w:szCs w:val="24"/>
              </w:rPr>
            </w:pPr>
            <w:r>
              <w:rPr>
                <w:rFonts w:ascii="Arial" w:hAnsi="Arial" w:cs="Arial"/>
                <w:sz w:val="24"/>
                <w:szCs w:val="24"/>
              </w:rPr>
              <w:t>34</w:t>
            </w:r>
          </w:p>
        </w:tc>
      </w:tr>
    </w:tbl>
    <w:p w14:paraId="2D072831" w14:textId="77777777" w:rsidR="00902323" w:rsidRDefault="00902323" w:rsidP="00FC5606">
      <w:pPr>
        <w:spacing w:after="0" w:line="360" w:lineRule="auto"/>
        <w:rPr>
          <w:rFonts w:ascii="Arial" w:hAnsi="Arial" w:cs="Arial"/>
          <w:sz w:val="24"/>
          <w:szCs w:val="24"/>
        </w:rPr>
      </w:pPr>
    </w:p>
    <w:p w14:paraId="121922F0" w14:textId="785D4403" w:rsidR="00013228" w:rsidRPr="00FC5606" w:rsidRDefault="00013228" w:rsidP="00FC5606">
      <w:pPr>
        <w:spacing w:after="0" w:line="360" w:lineRule="auto"/>
        <w:rPr>
          <w:rFonts w:ascii="Arial" w:hAnsi="Arial" w:cs="Arial"/>
          <w:sz w:val="24"/>
          <w:szCs w:val="24"/>
        </w:rPr>
      </w:pPr>
      <w:r w:rsidRPr="00FC5606">
        <w:rPr>
          <w:rFonts w:ascii="Arial" w:hAnsi="Arial" w:cs="Arial"/>
          <w:sz w:val="24"/>
          <w:szCs w:val="24"/>
        </w:rPr>
        <w:t xml:space="preserve">Outcomes </w:t>
      </w:r>
    </w:p>
    <w:p w14:paraId="6FC8C2E3" w14:textId="41BA598B" w:rsidR="007F703D" w:rsidRPr="00FC5606" w:rsidRDefault="007F703D" w:rsidP="00FC5606">
      <w:pPr>
        <w:spacing w:after="0" w:line="360" w:lineRule="auto"/>
        <w:rPr>
          <w:rFonts w:ascii="Arial" w:hAnsi="Arial" w:cs="Arial"/>
          <w:sz w:val="24"/>
          <w:szCs w:val="24"/>
        </w:rPr>
      </w:pPr>
      <w:r w:rsidRPr="00FC5606">
        <w:rPr>
          <w:rFonts w:ascii="Arial" w:hAnsi="Arial" w:cs="Arial"/>
          <w:sz w:val="24"/>
          <w:szCs w:val="24"/>
        </w:rPr>
        <w:t xml:space="preserve">The </w:t>
      </w:r>
      <w:r w:rsidR="00E408B6" w:rsidRPr="00FC5606">
        <w:rPr>
          <w:rFonts w:ascii="Arial" w:hAnsi="Arial" w:cs="Arial"/>
          <w:sz w:val="24"/>
          <w:szCs w:val="24"/>
        </w:rPr>
        <w:t xml:space="preserve">degree </w:t>
      </w:r>
      <w:r w:rsidRPr="00FC5606">
        <w:rPr>
          <w:rFonts w:ascii="Arial" w:hAnsi="Arial" w:cs="Arial"/>
          <w:sz w:val="24"/>
          <w:szCs w:val="24"/>
        </w:rPr>
        <w:t xml:space="preserve">of weight change </w:t>
      </w:r>
      <w:r w:rsidR="004471CC" w:rsidRPr="00FC5606">
        <w:rPr>
          <w:rFonts w:ascii="Arial" w:hAnsi="Arial" w:cs="Arial"/>
          <w:sz w:val="24"/>
          <w:szCs w:val="24"/>
        </w:rPr>
        <w:t>over the</w:t>
      </w:r>
      <w:r w:rsidRPr="00FC5606">
        <w:rPr>
          <w:rFonts w:ascii="Arial" w:hAnsi="Arial" w:cs="Arial"/>
          <w:sz w:val="24"/>
          <w:szCs w:val="24"/>
        </w:rPr>
        <w:t xml:space="preserve"> </w:t>
      </w:r>
      <w:r w:rsidR="004471CC" w:rsidRPr="00FC5606">
        <w:rPr>
          <w:rFonts w:ascii="Arial" w:hAnsi="Arial" w:cs="Arial"/>
          <w:sz w:val="24"/>
          <w:szCs w:val="24"/>
        </w:rPr>
        <w:t>period of intervention with</w:t>
      </w:r>
      <w:r w:rsidRPr="00FC5606">
        <w:rPr>
          <w:rFonts w:ascii="Arial" w:hAnsi="Arial" w:cs="Arial"/>
          <w:sz w:val="24"/>
          <w:szCs w:val="24"/>
        </w:rPr>
        <w:t xml:space="preserve"> </w:t>
      </w:r>
      <w:proofErr w:type="spellStart"/>
      <w:r w:rsidR="007E6122">
        <w:rPr>
          <w:rFonts w:ascii="Arial" w:hAnsi="Arial" w:cs="Arial"/>
          <w:sz w:val="24"/>
          <w:szCs w:val="24"/>
        </w:rPr>
        <w:t>semaglutide</w:t>
      </w:r>
      <w:proofErr w:type="spellEnd"/>
      <w:r w:rsidRPr="00FC5606">
        <w:rPr>
          <w:rFonts w:ascii="Arial" w:hAnsi="Arial" w:cs="Arial"/>
          <w:sz w:val="24"/>
          <w:szCs w:val="24"/>
        </w:rPr>
        <w:t xml:space="preserve"> varied from +</w:t>
      </w:r>
      <w:r w:rsidR="00986ABF" w:rsidRPr="00FC5606">
        <w:rPr>
          <w:rFonts w:ascii="Arial" w:hAnsi="Arial" w:cs="Arial"/>
          <w:sz w:val="24"/>
          <w:szCs w:val="24"/>
        </w:rPr>
        <w:t>1</w:t>
      </w:r>
      <w:r w:rsidRPr="00FC5606">
        <w:rPr>
          <w:rFonts w:ascii="Arial" w:hAnsi="Arial" w:cs="Arial"/>
          <w:sz w:val="24"/>
          <w:szCs w:val="24"/>
        </w:rPr>
        <w:t>% to -1</w:t>
      </w:r>
      <w:r w:rsidR="00E408B6" w:rsidRPr="00FC5606">
        <w:rPr>
          <w:rFonts w:ascii="Arial" w:hAnsi="Arial" w:cs="Arial"/>
          <w:sz w:val="24"/>
          <w:szCs w:val="24"/>
        </w:rPr>
        <w:t>2</w:t>
      </w:r>
      <w:r w:rsidRPr="00FC5606">
        <w:rPr>
          <w:rFonts w:ascii="Arial" w:hAnsi="Arial" w:cs="Arial"/>
          <w:sz w:val="24"/>
          <w:szCs w:val="24"/>
        </w:rPr>
        <w:t>%</w:t>
      </w:r>
      <w:r w:rsidR="005F5439" w:rsidRPr="00FC5606">
        <w:rPr>
          <w:rFonts w:ascii="Arial" w:hAnsi="Arial" w:cs="Arial"/>
          <w:sz w:val="24"/>
          <w:szCs w:val="24"/>
        </w:rPr>
        <w:t xml:space="preserve"> (Figure </w:t>
      </w:r>
      <w:r w:rsidR="0074608F">
        <w:rPr>
          <w:rFonts w:ascii="Arial" w:hAnsi="Arial" w:cs="Arial"/>
          <w:sz w:val="24"/>
          <w:szCs w:val="24"/>
        </w:rPr>
        <w:t>2</w:t>
      </w:r>
      <w:r w:rsidR="005F5439" w:rsidRPr="00FC5606">
        <w:rPr>
          <w:rFonts w:ascii="Arial" w:hAnsi="Arial" w:cs="Arial"/>
          <w:sz w:val="24"/>
          <w:szCs w:val="24"/>
        </w:rPr>
        <w:t>)</w:t>
      </w:r>
      <w:r w:rsidR="00E408B6" w:rsidRPr="00FC5606">
        <w:rPr>
          <w:rFonts w:ascii="Arial" w:hAnsi="Arial" w:cs="Arial"/>
          <w:sz w:val="24"/>
          <w:szCs w:val="24"/>
        </w:rPr>
        <w:t>, median 5%</w:t>
      </w:r>
      <w:r w:rsidRPr="00FC5606">
        <w:rPr>
          <w:rFonts w:ascii="Arial" w:hAnsi="Arial" w:cs="Arial"/>
          <w:sz w:val="24"/>
          <w:szCs w:val="24"/>
        </w:rPr>
        <w:t xml:space="preserve">. </w:t>
      </w:r>
      <w:r w:rsidR="00AA385E">
        <w:rPr>
          <w:rFonts w:ascii="Arial" w:hAnsi="Arial" w:cs="Arial"/>
          <w:sz w:val="24"/>
          <w:szCs w:val="24"/>
        </w:rPr>
        <w:t>Some</w:t>
      </w:r>
      <w:r w:rsidR="00AA385E" w:rsidRPr="00FC5606">
        <w:rPr>
          <w:rFonts w:ascii="Arial" w:hAnsi="Arial" w:cs="Arial"/>
          <w:sz w:val="24"/>
          <w:szCs w:val="24"/>
        </w:rPr>
        <w:t xml:space="preserve"> degree of weight loss occurred in all but one patient.</w:t>
      </w:r>
      <w:r w:rsidR="008A5831" w:rsidRPr="00FC5606">
        <w:rPr>
          <w:rFonts w:ascii="Arial" w:hAnsi="Arial" w:cs="Arial"/>
          <w:sz w:val="24"/>
          <w:szCs w:val="24"/>
        </w:rPr>
        <w:t xml:space="preserve"> including the 2</w:t>
      </w:r>
      <w:r w:rsidR="004471CC" w:rsidRPr="00FC5606">
        <w:rPr>
          <w:rFonts w:ascii="Arial" w:hAnsi="Arial" w:cs="Arial"/>
          <w:sz w:val="24"/>
          <w:szCs w:val="24"/>
        </w:rPr>
        <w:t xml:space="preserve"> people</w:t>
      </w:r>
      <w:r w:rsidR="008A5831" w:rsidRPr="00FC5606">
        <w:rPr>
          <w:rFonts w:ascii="Arial" w:hAnsi="Arial" w:cs="Arial"/>
          <w:sz w:val="24"/>
          <w:szCs w:val="24"/>
        </w:rPr>
        <w:t xml:space="preserve"> who were </w:t>
      </w:r>
      <w:r w:rsidR="00BC594C" w:rsidRPr="00FC5606">
        <w:rPr>
          <w:rFonts w:ascii="Arial" w:hAnsi="Arial" w:cs="Arial"/>
          <w:sz w:val="24"/>
          <w:szCs w:val="24"/>
        </w:rPr>
        <w:t>discharged</w:t>
      </w:r>
      <w:r w:rsidR="008A5831" w:rsidRPr="00FC5606">
        <w:rPr>
          <w:rFonts w:ascii="Arial" w:hAnsi="Arial" w:cs="Arial"/>
          <w:sz w:val="24"/>
          <w:szCs w:val="24"/>
        </w:rPr>
        <w:t xml:space="preserve"> and no longer able to receive </w:t>
      </w:r>
      <w:proofErr w:type="spellStart"/>
      <w:r w:rsidR="007E6122">
        <w:rPr>
          <w:rFonts w:ascii="Arial" w:hAnsi="Arial" w:cs="Arial"/>
          <w:sz w:val="24"/>
          <w:szCs w:val="24"/>
        </w:rPr>
        <w:t>semaglutide</w:t>
      </w:r>
      <w:proofErr w:type="spellEnd"/>
      <w:r w:rsidR="008A5831" w:rsidRPr="00FC5606">
        <w:rPr>
          <w:rFonts w:ascii="Arial" w:hAnsi="Arial" w:cs="Arial"/>
          <w:sz w:val="24"/>
          <w:szCs w:val="24"/>
        </w:rPr>
        <w:t xml:space="preserve"> and</w:t>
      </w:r>
      <w:r w:rsidR="004471CC" w:rsidRPr="00FC5606">
        <w:rPr>
          <w:rFonts w:ascii="Arial" w:hAnsi="Arial" w:cs="Arial"/>
          <w:sz w:val="24"/>
          <w:szCs w:val="24"/>
        </w:rPr>
        <w:t xml:space="preserve"> for</w:t>
      </w:r>
      <w:r w:rsidR="008A5831" w:rsidRPr="00FC5606">
        <w:rPr>
          <w:rFonts w:ascii="Arial" w:hAnsi="Arial" w:cs="Arial"/>
          <w:sz w:val="24"/>
          <w:szCs w:val="24"/>
        </w:rPr>
        <w:t xml:space="preserve"> </w:t>
      </w:r>
      <w:r w:rsidR="0060037B">
        <w:rPr>
          <w:rFonts w:ascii="Arial" w:hAnsi="Arial" w:cs="Arial"/>
          <w:sz w:val="24"/>
          <w:szCs w:val="24"/>
        </w:rPr>
        <w:t xml:space="preserve">4 </w:t>
      </w:r>
      <w:r w:rsidR="00BC594C" w:rsidRPr="00FC5606">
        <w:rPr>
          <w:rFonts w:ascii="Arial" w:hAnsi="Arial" w:cs="Arial"/>
          <w:sz w:val="24"/>
          <w:szCs w:val="24"/>
        </w:rPr>
        <w:t>patients</w:t>
      </w:r>
      <w:r w:rsidR="008A5831" w:rsidRPr="00FC5606">
        <w:rPr>
          <w:rFonts w:ascii="Arial" w:hAnsi="Arial" w:cs="Arial"/>
          <w:sz w:val="24"/>
          <w:szCs w:val="24"/>
        </w:rPr>
        <w:t xml:space="preserve"> who elected to come </w:t>
      </w:r>
      <w:r w:rsidR="00BC594C" w:rsidRPr="00FC5606">
        <w:rPr>
          <w:rFonts w:ascii="Arial" w:hAnsi="Arial" w:cs="Arial"/>
          <w:sz w:val="24"/>
          <w:szCs w:val="24"/>
        </w:rPr>
        <w:t xml:space="preserve">off </w:t>
      </w:r>
      <w:proofErr w:type="spellStart"/>
      <w:r w:rsidR="007E6122">
        <w:rPr>
          <w:rFonts w:ascii="Arial" w:hAnsi="Arial" w:cs="Arial"/>
          <w:sz w:val="24"/>
          <w:szCs w:val="24"/>
        </w:rPr>
        <w:t>semaglutide</w:t>
      </w:r>
      <w:proofErr w:type="spellEnd"/>
      <w:r w:rsidR="005F5439" w:rsidRPr="00FC5606">
        <w:rPr>
          <w:rFonts w:ascii="Arial" w:hAnsi="Arial" w:cs="Arial"/>
          <w:sz w:val="24"/>
          <w:szCs w:val="24"/>
        </w:rPr>
        <w:t>.</w:t>
      </w:r>
      <w:r w:rsidR="004471CC" w:rsidRPr="00FC5606">
        <w:rPr>
          <w:rFonts w:ascii="Arial" w:hAnsi="Arial" w:cs="Arial"/>
          <w:sz w:val="24"/>
          <w:szCs w:val="24"/>
        </w:rPr>
        <w:t xml:space="preserve"> </w:t>
      </w:r>
    </w:p>
    <w:p w14:paraId="0FC1AA7C" w14:textId="77777777" w:rsidR="005F5439" w:rsidRPr="00FC5606" w:rsidRDefault="005F5439" w:rsidP="00FC5606">
      <w:pPr>
        <w:spacing w:after="0" w:line="360" w:lineRule="auto"/>
        <w:rPr>
          <w:rFonts w:ascii="Arial" w:hAnsi="Arial" w:cs="Arial"/>
          <w:sz w:val="24"/>
          <w:szCs w:val="24"/>
        </w:rPr>
      </w:pPr>
    </w:p>
    <w:p w14:paraId="7F2E9B95" w14:textId="35228811" w:rsidR="00AF4C35" w:rsidRPr="00FC5606" w:rsidRDefault="007F703D" w:rsidP="00FC5606">
      <w:pPr>
        <w:spacing w:after="0" w:line="360" w:lineRule="auto"/>
        <w:rPr>
          <w:rFonts w:ascii="Arial" w:eastAsia="Calibri" w:hAnsi="Arial" w:cs="Arial"/>
          <w:color w:val="000000" w:themeColor="text1"/>
          <w:sz w:val="24"/>
          <w:szCs w:val="24"/>
        </w:rPr>
      </w:pPr>
      <w:r w:rsidRPr="00FC5606">
        <w:rPr>
          <w:rFonts w:ascii="Arial" w:hAnsi="Arial" w:cs="Arial"/>
          <w:sz w:val="24"/>
          <w:szCs w:val="24"/>
        </w:rPr>
        <w:t xml:space="preserve">For all but one </w:t>
      </w:r>
      <w:r w:rsidR="008A5831" w:rsidRPr="00FC5606">
        <w:rPr>
          <w:rFonts w:ascii="Arial" w:hAnsi="Arial" w:cs="Arial"/>
          <w:sz w:val="24"/>
          <w:szCs w:val="24"/>
        </w:rPr>
        <w:t>patient HbA1c fell</w:t>
      </w:r>
      <w:r w:rsidR="005F5439" w:rsidRPr="00FC5606">
        <w:rPr>
          <w:rFonts w:ascii="Arial" w:hAnsi="Arial" w:cs="Arial"/>
          <w:sz w:val="24"/>
          <w:szCs w:val="24"/>
        </w:rPr>
        <w:t xml:space="preserve"> at 3 months (Figure </w:t>
      </w:r>
      <w:r w:rsidR="0074608F">
        <w:rPr>
          <w:rFonts w:ascii="Arial" w:hAnsi="Arial" w:cs="Arial"/>
          <w:sz w:val="24"/>
          <w:szCs w:val="24"/>
        </w:rPr>
        <w:t>3</w:t>
      </w:r>
      <w:r w:rsidR="005F5439" w:rsidRPr="00FC5606">
        <w:rPr>
          <w:rFonts w:ascii="Arial" w:hAnsi="Arial" w:cs="Arial"/>
          <w:sz w:val="24"/>
          <w:szCs w:val="24"/>
        </w:rPr>
        <w:t xml:space="preserve">). </w:t>
      </w:r>
      <w:r w:rsidR="006C2CAB" w:rsidRPr="00FC5606">
        <w:rPr>
          <w:rFonts w:ascii="Arial" w:hAnsi="Arial" w:cs="Arial"/>
          <w:sz w:val="24"/>
          <w:szCs w:val="24"/>
        </w:rPr>
        <w:t>Importantly all</w:t>
      </w:r>
      <w:r w:rsidR="008A5831" w:rsidRPr="00FC5606">
        <w:rPr>
          <w:rFonts w:ascii="Arial" w:hAnsi="Arial" w:cs="Arial"/>
          <w:sz w:val="24"/>
          <w:szCs w:val="24"/>
        </w:rPr>
        <w:t xml:space="preserve"> those with a baseline HbA1c in the range 42-47</w:t>
      </w:r>
      <w:r w:rsidR="00DC6C44">
        <w:rPr>
          <w:rFonts w:ascii="Arial" w:hAnsi="Arial" w:cs="Arial"/>
          <w:sz w:val="24"/>
          <w:szCs w:val="24"/>
        </w:rPr>
        <w:t xml:space="preserve"> </w:t>
      </w:r>
      <w:r w:rsidR="008A5831" w:rsidRPr="00FC5606">
        <w:rPr>
          <w:rFonts w:ascii="Arial" w:hAnsi="Arial" w:cs="Arial"/>
          <w:sz w:val="24"/>
          <w:szCs w:val="24"/>
        </w:rPr>
        <w:t>mmol/mol</w:t>
      </w:r>
      <w:r w:rsidR="00FE1DE3">
        <w:rPr>
          <w:rFonts w:ascii="Arial" w:hAnsi="Arial" w:cs="Arial"/>
          <w:sz w:val="24"/>
          <w:szCs w:val="24"/>
        </w:rPr>
        <w:t xml:space="preserve"> (6.0% to 6.5</w:t>
      </w:r>
      <w:proofErr w:type="gramStart"/>
      <w:r w:rsidR="00FE1DE3">
        <w:rPr>
          <w:rFonts w:ascii="Arial" w:hAnsi="Arial" w:cs="Arial"/>
          <w:sz w:val="24"/>
          <w:szCs w:val="24"/>
        </w:rPr>
        <w:t xml:space="preserve">%) </w:t>
      </w:r>
      <w:r w:rsidR="008A5831" w:rsidRPr="00FC5606">
        <w:rPr>
          <w:rFonts w:ascii="Arial" w:hAnsi="Arial" w:cs="Arial"/>
          <w:sz w:val="24"/>
          <w:szCs w:val="24"/>
        </w:rPr>
        <w:t xml:space="preserve"> compatible</w:t>
      </w:r>
      <w:proofErr w:type="gramEnd"/>
      <w:r w:rsidR="008A5831" w:rsidRPr="00FC5606">
        <w:rPr>
          <w:rFonts w:ascii="Arial" w:hAnsi="Arial" w:cs="Arial"/>
          <w:sz w:val="24"/>
          <w:szCs w:val="24"/>
        </w:rPr>
        <w:t xml:space="preserve"> with non-diabetic </w:t>
      </w:r>
      <w:r w:rsidR="00BC594C" w:rsidRPr="00FC5606">
        <w:rPr>
          <w:rFonts w:ascii="Arial" w:hAnsi="Arial" w:cs="Arial"/>
          <w:sz w:val="24"/>
          <w:szCs w:val="24"/>
        </w:rPr>
        <w:t xml:space="preserve">hyperglycaemia </w:t>
      </w:r>
      <w:r w:rsidR="004471CC" w:rsidRPr="00FC5606">
        <w:rPr>
          <w:rFonts w:ascii="Arial" w:hAnsi="Arial" w:cs="Arial"/>
          <w:sz w:val="24"/>
          <w:szCs w:val="24"/>
        </w:rPr>
        <w:t>saw a</w:t>
      </w:r>
      <w:r w:rsidR="00BC594C" w:rsidRPr="00FC5606">
        <w:rPr>
          <w:rFonts w:ascii="Arial" w:hAnsi="Arial" w:cs="Arial"/>
          <w:sz w:val="24"/>
          <w:szCs w:val="24"/>
        </w:rPr>
        <w:t xml:space="preserve"> reduction of HbA1C below 42mmol/mol </w:t>
      </w:r>
      <w:r w:rsidR="00FE1DE3">
        <w:rPr>
          <w:rFonts w:ascii="Arial" w:hAnsi="Arial" w:cs="Arial"/>
          <w:sz w:val="24"/>
          <w:szCs w:val="24"/>
        </w:rPr>
        <w:t xml:space="preserve">(6.0%) </w:t>
      </w:r>
      <w:r w:rsidR="00BC594C" w:rsidRPr="00FC5606">
        <w:rPr>
          <w:rFonts w:ascii="Arial" w:hAnsi="Arial" w:cs="Arial"/>
          <w:sz w:val="24"/>
          <w:szCs w:val="24"/>
        </w:rPr>
        <w:t>at 3 months into the intervention</w:t>
      </w:r>
      <w:r w:rsidR="005F5439" w:rsidRPr="00FC5606">
        <w:rPr>
          <w:rFonts w:ascii="Arial" w:hAnsi="Arial" w:cs="Arial"/>
          <w:sz w:val="24"/>
          <w:szCs w:val="24"/>
        </w:rPr>
        <w:t>.</w:t>
      </w:r>
      <w:r w:rsidR="00E408B6" w:rsidRPr="00FC5606">
        <w:rPr>
          <w:rFonts w:ascii="Arial" w:hAnsi="Arial" w:cs="Arial"/>
          <w:sz w:val="24"/>
          <w:szCs w:val="24"/>
        </w:rPr>
        <w:t xml:space="preserve"> </w:t>
      </w:r>
      <w:r w:rsidR="003D3C27" w:rsidRPr="00FC5606">
        <w:rPr>
          <w:rFonts w:ascii="Arial" w:eastAsia="Calibri" w:hAnsi="Arial" w:cs="Arial"/>
          <w:color w:val="000000" w:themeColor="text1"/>
          <w:sz w:val="24"/>
          <w:szCs w:val="24"/>
        </w:rPr>
        <w:t xml:space="preserve">Mean HbA1c fell from </w:t>
      </w:r>
      <w:r w:rsidR="00AF4C35" w:rsidRPr="00FC5606">
        <w:rPr>
          <w:rFonts w:ascii="Arial" w:eastAsia="Calibri" w:hAnsi="Arial" w:cs="Arial"/>
          <w:color w:val="000000" w:themeColor="text1"/>
          <w:sz w:val="24"/>
          <w:szCs w:val="24"/>
        </w:rPr>
        <w:t>41.3</w:t>
      </w:r>
      <w:r w:rsidR="00AF4C35" w:rsidRPr="00FC5606">
        <w:rPr>
          <w:rFonts w:ascii="Arial" w:eastAsia="Calibri" w:hAnsi="Arial" w:cs="Arial"/>
          <w:color w:val="000000" w:themeColor="text1"/>
          <w:sz w:val="24"/>
          <w:szCs w:val="24"/>
        </w:rPr>
        <w:tab/>
      </w:r>
      <w:r w:rsidR="00C07318" w:rsidRPr="00FC5606">
        <w:rPr>
          <w:rFonts w:ascii="Arial" w:eastAsia="Calibri" w:hAnsi="Arial" w:cs="Arial"/>
          <w:color w:val="000000" w:themeColor="text1"/>
          <w:sz w:val="24"/>
          <w:szCs w:val="24"/>
        </w:rPr>
        <w:t>(</w:t>
      </w:r>
      <w:r w:rsidR="00415490">
        <w:rPr>
          <w:rFonts w:ascii="Arial" w:eastAsia="Calibri" w:hAnsi="Arial" w:cs="Arial"/>
          <w:color w:val="000000" w:themeColor="text1"/>
          <w:sz w:val="24"/>
          <w:szCs w:val="24"/>
        </w:rPr>
        <w:t xml:space="preserve">range </w:t>
      </w:r>
      <w:r w:rsidR="00235E2C" w:rsidRPr="00FC5606">
        <w:rPr>
          <w:rFonts w:ascii="Arial" w:eastAsia="Calibri" w:hAnsi="Arial" w:cs="Arial"/>
          <w:color w:val="000000" w:themeColor="text1"/>
          <w:sz w:val="24"/>
          <w:szCs w:val="24"/>
        </w:rPr>
        <w:t>34-47</w:t>
      </w:r>
      <w:r w:rsidR="00C07318" w:rsidRPr="00FC5606">
        <w:rPr>
          <w:rFonts w:ascii="Arial" w:eastAsia="Calibri" w:hAnsi="Arial" w:cs="Arial"/>
          <w:color w:val="000000" w:themeColor="text1"/>
          <w:sz w:val="24"/>
          <w:szCs w:val="24"/>
        </w:rPr>
        <w:t>)</w:t>
      </w:r>
      <w:r w:rsidR="00E408B6" w:rsidRPr="00FC5606">
        <w:rPr>
          <w:rFonts w:ascii="Arial" w:eastAsia="Calibri" w:hAnsi="Arial" w:cs="Arial"/>
          <w:color w:val="000000" w:themeColor="text1"/>
          <w:sz w:val="24"/>
          <w:szCs w:val="24"/>
        </w:rPr>
        <w:t xml:space="preserve"> mmol/mol.</w:t>
      </w:r>
      <w:r w:rsidR="00235E2C" w:rsidRPr="00FC5606">
        <w:rPr>
          <w:rFonts w:ascii="Arial" w:eastAsia="Calibri" w:hAnsi="Arial" w:cs="Arial"/>
          <w:color w:val="000000" w:themeColor="text1"/>
          <w:sz w:val="24"/>
          <w:szCs w:val="24"/>
        </w:rPr>
        <w:t xml:space="preserve"> </w:t>
      </w:r>
      <w:r w:rsidR="00C07318" w:rsidRPr="00FC5606">
        <w:rPr>
          <w:rFonts w:ascii="Arial" w:eastAsia="Calibri" w:hAnsi="Arial" w:cs="Arial"/>
          <w:color w:val="000000" w:themeColor="text1"/>
          <w:sz w:val="24"/>
          <w:szCs w:val="24"/>
        </w:rPr>
        <w:t xml:space="preserve">to </w:t>
      </w:r>
      <w:r w:rsidR="00AF4C35" w:rsidRPr="00FC5606">
        <w:rPr>
          <w:rFonts w:ascii="Arial" w:eastAsia="Calibri" w:hAnsi="Arial" w:cs="Arial"/>
          <w:color w:val="000000" w:themeColor="text1"/>
          <w:sz w:val="24"/>
          <w:szCs w:val="24"/>
        </w:rPr>
        <w:t>35.3</w:t>
      </w:r>
      <w:r w:rsidR="00C07318" w:rsidRPr="00FC5606">
        <w:rPr>
          <w:rFonts w:ascii="Arial" w:eastAsia="Calibri" w:hAnsi="Arial" w:cs="Arial"/>
          <w:color w:val="000000" w:themeColor="text1"/>
          <w:sz w:val="24"/>
          <w:szCs w:val="24"/>
        </w:rPr>
        <w:t xml:space="preserve"> (</w:t>
      </w:r>
      <w:r w:rsidR="00AF4C35" w:rsidRPr="00FC5606">
        <w:rPr>
          <w:rFonts w:ascii="Arial" w:eastAsia="Calibri" w:hAnsi="Arial" w:cs="Arial"/>
          <w:color w:val="000000" w:themeColor="text1"/>
          <w:sz w:val="24"/>
          <w:szCs w:val="24"/>
        </w:rPr>
        <w:t>31</w:t>
      </w:r>
      <w:r w:rsidR="00C07318" w:rsidRPr="00FC5606">
        <w:rPr>
          <w:rFonts w:ascii="Arial" w:eastAsia="Calibri" w:hAnsi="Arial" w:cs="Arial"/>
          <w:color w:val="000000" w:themeColor="text1"/>
          <w:sz w:val="24"/>
          <w:szCs w:val="24"/>
        </w:rPr>
        <w:t>-45)</w:t>
      </w:r>
      <w:r w:rsidR="006C2CAB" w:rsidRPr="00FC5606">
        <w:rPr>
          <w:rFonts w:ascii="Arial" w:eastAsia="Calibri" w:hAnsi="Arial" w:cs="Arial"/>
          <w:color w:val="000000" w:themeColor="text1"/>
          <w:sz w:val="24"/>
          <w:szCs w:val="24"/>
        </w:rPr>
        <w:t xml:space="preserve"> </w:t>
      </w:r>
      <w:r w:rsidR="00E408B6" w:rsidRPr="00FC5606">
        <w:rPr>
          <w:rFonts w:ascii="Arial" w:eastAsia="Calibri" w:hAnsi="Arial" w:cs="Arial"/>
          <w:color w:val="000000" w:themeColor="text1"/>
          <w:sz w:val="24"/>
          <w:szCs w:val="24"/>
        </w:rPr>
        <w:t>mmol/mol</w:t>
      </w:r>
      <w:r w:rsidR="00FE1DE3">
        <w:rPr>
          <w:rFonts w:ascii="Arial" w:eastAsia="Calibri" w:hAnsi="Arial" w:cs="Arial"/>
          <w:color w:val="000000" w:themeColor="text1"/>
          <w:sz w:val="24"/>
          <w:szCs w:val="24"/>
        </w:rPr>
        <w:t xml:space="preserve"> (5.9% to 5.4%)</w:t>
      </w:r>
      <w:r w:rsidR="007E6122">
        <w:rPr>
          <w:rFonts w:ascii="Arial" w:eastAsia="Calibri" w:hAnsi="Arial" w:cs="Arial"/>
          <w:color w:val="000000" w:themeColor="text1"/>
          <w:sz w:val="24"/>
          <w:szCs w:val="24"/>
        </w:rPr>
        <w:t>.</w:t>
      </w:r>
    </w:p>
    <w:p w14:paraId="00375A25" w14:textId="77777777" w:rsidR="00E408B6" w:rsidRPr="00FC5606" w:rsidRDefault="00E408B6" w:rsidP="00FC5606">
      <w:pPr>
        <w:spacing w:after="0" w:line="360" w:lineRule="auto"/>
        <w:rPr>
          <w:rFonts w:ascii="Arial" w:hAnsi="Arial" w:cs="Arial"/>
          <w:sz w:val="24"/>
          <w:szCs w:val="24"/>
        </w:rPr>
      </w:pPr>
    </w:p>
    <w:p w14:paraId="61893B0D" w14:textId="0E5A5EA8" w:rsidR="003D3C27" w:rsidRPr="00FC5606" w:rsidRDefault="006138CC" w:rsidP="00FC5606">
      <w:pPr>
        <w:spacing w:after="0" w:line="360" w:lineRule="auto"/>
        <w:rPr>
          <w:rFonts w:ascii="Arial" w:eastAsia="Calibri" w:hAnsi="Arial" w:cs="Arial"/>
          <w:color w:val="000000" w:themeColor="text1"/>
          <w:sz w:val="24"/>
          <w:szCs w:val="24"/>
        </w:rPr>
      </w:pPr>
      <w:r w:rsidRPr="00FC5606">
        <w:rPr>
          <w:rFonts w:ascii="Arial" w:eastAsia="Calibri" w:hAnsi="Arial" w:cs="Arial"/>
          <w:color w:val="000000" w:themeColor="text1"/>
          <w:sz w:val="24"/>
          <w:szCs w:val="24"/>
        </w:rPr>
        <w:t xml:space="preserve">Prior to the imitation of </w:t>
      </w:r>
      <w:proofErr w:type="spellStart"/>
      <w:r w:rsidR="007E6122">
        <w:rPr>
          <w:rFonts w:ascii="Arial" w:eastAsia="Calibri" w:hAnsi="Arial" w:cs="Arial"/>
          <w:color w:val="000000" w:themeColor="text1"/>
          <w:sz w:val="24"/>
          <w:szCs w:val="24"/>
        </w:rPr>
        <w:t>semaglutide</w:t>
      </w:r>
      <w:proofErr w:type="spellEnd"/>
      <w:r w:rsidRPr="00FC5606">
        <w:rPr>
          <w:rFonts w:ascii="Arial" w:eastAsia="Calibri" w:hAnsi="Arial" w:cs="Arial"/>
          <w:color w:val="000000" w:themeColor="text1"/>
          <w:sz w:val="24"/>
          <w:szCs w:val="24"/>
        </w:rPr>
        <w:t>, mean</w:t>
      </w:r>
      <w:r w:rsidR="00F333F9" w:rsidRPr="00FC5606">
        <w:rPr>
          <w:rFonts w:ascii="Arial" w:eastAsia="Calibri" w:hAnsi="Arial" w:cs="Arial"/>
          <w:color w:val="000000" w:themeColor="text1"/>
          <w:sz w:val="24"/>
          <w:szCs w:val="24"/>
        </w:rPr>
        <w:t xml:space="preserve"> </w:t>
      </w:r>
      <w:r w:rsidR="00E408B6" w:rsidRPr="00FC5606">
        <w:rPr>
          <w:rFonts w:ascii="Arial" w:eastAsia="Calibri" w:hAnsi="Arial" w:cs="Arial"/>
          <w:color w:val="000000" w:themeColor="text1"/>
          <w:sz w:val="24"/>
          <w:szCs w:val="24"/>
        </w:rPr>
        <w:t>s</w:t>
      </w:r>
      <w:r w:rsidR="003D3C27" w:rsidRPr="00FC5606">
        <w:rPr>
          <w:rFonts w:ascii="Arial" w:eastAsia="Calibri" w:hAnsi="Arial" w:cs="Arial"/>
          <w:color w:val="000000" w:themeColor="text1"/>
          <w:sz w:val="24"/>
          <w:szCs w:val="24"/>
        </w:rPr>
        <w:t xml:space="preserve">ystolic </w:t>
      </w:r>
      <w:r w:rsidR="00E408B6" w:rsidRPr="00FC5606">
        <w:rPr>
          <w:rFonts w:ascii="Arial" w:eastAsia="Calibri" w:hAnsi="Arial" w:cs="Arial"/>
          <w:color w:val="000000" w:themeColor="text1"/>
          <w:sz w:val="24"/>
          <w:szCs w:val="24"/>
        </w:rPr>
        <w:t>blood pressure was</w:t>
      </w:r>
      <w:r w:rsidR="003D3C27" w:rsidRPr="00FC5606">
        <w:rPr>
          <w:rFonts w:ascii="Arial" w:eastAsia="Calibri" w:hAnsi="Arial" w:cs="Arial"/>
          <w:color w:val="000000" w:themeColor="text1"/>
          <w:sz w:val="24"/>
          <w:szCs w:val="24"/>
        </w:rPr>
        <w:t xml:space="preserve"> </w:t>
      </w:r>
      <w:r w:rsidR="00F333F9" w:rsidRPr="00FC5606">
        <w:rPr>
          <w:rFonts w:ascii="Arial" w:eastAsia="Calibri" w:hAnsi="Arial" w:cs="Arial"/>
          <w:color w:val="000000" w:themeColor="text1"/>
          <w:sz w:val="24"/>
          <w:szCs w:val="24"/>
        </w:rPr>
        <w:t>127</w:t>
      </w:r>
      <w:r w:rsidR="002F15A5" w:rsidRPr="00FC5606">
        <w:rPr>
          <w:rFonts w:ascii="Arial" w:eastAsia="Calibri" w:hAnsi="Arial" w:cs="Arial"/>
          <w:color w:val="000000" w:themeColor="text1"/>
          <w:sz w:val="24"/>
          <w:szCs w:val="24"/>
        </w:rPr>
        <w:t xml:space="preserve"> </w:t>
      </w:r>
      <w:r w:rsidR="00F333F9" w:rsidRPr="00FC5606">
        <w:rPr>
          <w:rFonts w:ascii="Arial" w:eastAsia="Calibri" w:hAnsi="Arial" w:cs="Arial"/>
          <w:color w:val="000000" w:themeColor="text1"/>
          <w:sz w:val="24"/>
          <w:szCs w:val="24"/>
        </w:rPr>
        <w:t>(</w:t>
      </w:r>
      <w:r w:rsidR="00A21DA8">
        <w:rPr>
          <w:rFonts w:ascii="Arial" w:eastAsia="Calibri" w:hAnsi="Arial" w:cs="Arial"/>
          <w:color w:val="000000" w:themeColor="text1"/>
          <w:sz w:val="24"/>
          <w:szCs w:val="24"/>
        </w:rPr>
        <w:t xml:space="preserve">range </w:t>
      </w:r>
      <w:r w:rsidR="00F333F9" w:rsidRPr="00FC5606">
        <w:rPr>
          <w:rFonts w:ascii="Arial" w:eastAsia="Calibri" w:hAnsi="Arial" w:cs="Arial"/>
          <w:color w:val="000000" w:themeColor="text1"/>
          <w:sz w:val="24"/>
          <w:szCs w:val="24"/>
        </w:rPr>
        <w:t>117-145)</w:t>
      </w:r>
      <w:r w:rsidR="00E408B6" w:rsidRPr="00FC5606">
        <w:rPr>
          <w:rFonts w:ascii="Arial" w:eastAsia="Calibri" w:hAnsi="Arial" w:cs="Arial"/>
          <w:color w:val="000000" w:themeColor="text1"/>
          <w:sz w:val="24"/>
          <w:szCs w:val="24"/>
        </w:rPr>
        <w:t xml:space="preserve"> mmHg</w:t>
      </w:r>
      <w:r w:rsidR="00F333F9" w:rsidRPr="00FC5606">
        <w:rPr>
          <w:rFonts w:ascii="Arial" w:eastAsia="Calibri" w:hAnsi="Arial" w:cs="Arial"/>
          <w:color w:val="000000" w:themeColor="text1"/>
          <w:sz w:val="24"/>
          <w:szCs w:val="24"/>
        </w:rPr>
        <w:t xml:space="preserve"> </w:t>
      </w:r>
      <w:r w:rsidR="003D3C27" w:rsidRPr="00FC5606">
        <w:rPr>
          <w:rFonts w:ascii="Arial" w:eastAsia="Calibri" w:hAnsi="Arial" w:cs="Arial"/>
          <w:color w:val="000000" w:themeColor="text1"/>
          <w:sz w:val="24"/>
          <w:szCs w:val="24"/>
        </w:rPr>
        <w:t>and dias</w:t>
      </w:r>
      <w:r w:rsidR="00026FC9" w:rsidRPr="00FC5606">
        <w:rPr>
          <w:rFonts w:ascii="Arial" w:eastAsia="Calibri" w:hAnsi="Arial" w:cs="Arial"/>
          <w:color w:val="000000" w:themeColor="text1"/>
          <w:sz w:val="24"/>
          <w:szCs w:val="24"/>
        </w:rPr>
        <w:t>t</w:t>
      </w:r>
      <w:r w:rsidR="003D3C27" w:rsidRPr="00FC5606">
        <w:rPr>
          <w:rFonts w:ascii="Arial" w:eastAsia="Calibri" w:hAnsi="Arial" w:cs="Arial"/>
          <w:color w:val="000000" w:themeColor="text1"/>
          <w:sz w:val="24"/>
          <w:szCs w:val="24"/>
        </w:rPr>
        <w:t xml:space="preserve">olic </w:t>
      </w:r>
      <w:r w:rsidR="00E408B6" w:rsidRPr="00FC5606">
        <w:rPr>
          <w:rFonts w:ascii="Arial" w:eastAsia="Calibri" w:hAnsi="Arial" w:cs="Arial"/>
          <w:color w:val="000000" w:themeColor="text1"/>
          <w:sz w:val="24"/>
          <w:szCs w:val="24"/>
        </w:rPr>
        <w:t>blood pressure</w:t>
      </w:r>
      <w:r w:rsidR="003D3C27" w:rsidRPr="00FC5606">
        <w:rPr>
          <w:rFonts w:ascii="Arial" w:eastAsia="Calibri" w:hAnsi="Arial" w:cs="Arial"/>
          <w:color w:val="000000" w:themeColor="text1"/>
          <w:sz w:val="24"/>
          <w:szCs w:val="24"/>
        </w:rPr>
        <w:t xml:space="preserve"> </w:t>
      </w:r>
      <w:r w:rsidR="002805CB" w:rsidRPr="00FC5606">
        <w:rPr>
          <w:rFonts w:ascii="Arial" w:eastAsia="Calibri" w:hAnsi="Arial" w:cs="Arial"/>
          <w:color w:val="000000" w:themeColor="text1"/>
          <w:sz w:val="24"/>
          <w:szCs w:val="24"/>
        </w:rPr>
        <w:t>82 (62-99)</w:t>
      </w:r>
      <w:r w:rsidR="00E408B6" w:rsidRPr="00FC5606">
        <w:rPr>
          <w:rFonts w:ascii="Arial" w:eastAsia="Calibri" w:hAnsi="Arial" w:cs="Arial"/>
          <w:color w:val="000000" w:themeColor="text1"/>
          <w:sz w:val="24"/>
          <w:szCs w:val="24"/>
        </w:rPr>
        <w:t xml:space="preserve"> mmHg. At the last assessment</w:t>
      </w:r>
      <w:r w:rsidR="002805CB" w:rsidRPr="00FC5606">
        <w:rPr>
          <w:rFonts w:ascii="Arial" w:eastAsia="Calibri" w:hAnsi="Arial" w:cs="Arial"/>
          <w:color w:val="000000" w:themeColor="text1"/>
          <w:sz w:val="24"/>
          <w:szCs w:val="24"/>
        </w:rPr>
        <w:t xml:space="preserve"> the </w:t>
      </w:r>
      <w:r w:rsidR="0053168C" w:rsidRPr="00FC5606">
        <w:rPr>
          <w:rFonts w:ascii="Arial" w:eastAsia="Calibri" w:hAnsi="Arial" w:cs="Arial"/>
          <w:color w:val="000000" w:themeColor="text1"/>
          <w:sz w:val="24"/>
          <w:szCs w:val="24"/>
        </w:rPr>
        <w:t xml:space="preserve">average systolic </w:t>
      </w:r>
      <w:r w:rsidR="00E408B6" w:rsidRPr="00FC5606">
        <w:rPr>
          <w:rFonts w:ascii="Arial" w:eastAsia="Calibri" w:hAnsi="Arial" w:cs="Arial"/>
          <w:color w:val="000000" w:themeColor="text1"/>
          <w:sz w:val="24"/>
          <w:szCs w:val="24"/>
        </w:rPr>
        <w:t>blood pressure</w:t>
      </w:r>
      <w:r w:rsidR="0053168C" w:rsidRPr="00FC5606">
        <w:rPr>
          <w:rFonts w:ascii="Arial" w:eastAsia="Calibri" w:hAnsi="Arial" w:cs="Arial"/>
          <w:color w:val="000000" w:themeColor="text1"/>
          <w:sz w:val="24"/>
          <w:szCs w:val="24"/>
        </w:rPr>
        <w:t xml:space="preserve"> had fallen to 121</w:t>
      </w:r>
      <w:r w:rsidR="002F15A5" w:rsidRPr="00FC5606">
        <w:rPr>
          <w:rFonts w:ascii="Arial" w:eastAsia="Calibri" w:hAnsi="Arial" w:cs="Arial"/>
          <w:color w:val="000000" w:themeColor="text1"/>
          <w:sz w:val="24"/>
          <w:szCs w:val="24"/>
        </w:rPr>
        <w:t xml:space="preserve"> </w:t>
      </w:r>
      <w:r w:rsidR="0053168C" w:rsidRPr="00FC5606">
        <w:rPr>
          <w:rFonts w:ascii="Arial" w:eastAsia="Calibri" w:hAnsi="Arial" w:cs="Arial"/>
          <w:color w:val="000000" w:themeColor="text1"/>
          <w:sz w:val="24"/>
          <w:szCs w:val="24"/>
        </w:rPr>
        <w:t>(107-136)</w:t>
      </w:r>
      <w:r w:rsidR="00E408B6" w:rsidRPr="00FC5606">
        <w:rPr>
          <w:rFonts w:ascii="Arial" w:eastAsia="Calibri" w:hAnsi="Arial" w:cs="Arial"/>
          <w:color w:val="000000" w:themeColor="text1"/>
          <w:sz w:val="24"/>
          <w:szCs w:val="24"/>
        </w:rPr>
        <w:t xml:space="preserve"> mmH</w:t>
      </w:r>
      <w:r w:rsidR="001D0706">
        <w:rPr>
          <w:rFonts w:ascii="Arial" w:eastAsia="Calibri" w:hAnsi="Arial" w:cs="Arial"/>
          <w:color w:val="000000" w:themeColor="text1"/>
          <w:sz w:val="24"/>
          <w:szCs w:val="24"/>
        </w:rPr>
        <w:t>g</w:t>
      </w:r>
      <w:r w:rsidR="0053168C" w:rsidRPr="00FC5606">
        <w:rPr>
          <w:rFonts w:ascii="Arial" w:eastAsia="Calibri" w:hAnsi="Arial" w:cs="Arial"/>
          <w:color w:val="000000" w:themeColor="text1"/>
          <w:sz w:val="24"/>
          <w:szCs w:val="24"/>
        </w:rPr>
        <w:t xml:space="preserve"> and diastolic </w:t>
      </w:r>
      <w:r w:rsidR="00E408B6" w:rsidRPr="00FC5606">
        <w:rPr>
          <w:rFonts w:ascii="Arial" w:eastAsia="Calibri" w:hAnsi="Arial" w:cs="Arial"/>
          <w:color w:val="000000" w:themeColor="text1"/>
          <w:sz w:val="24"/>
          <w:szCs w:val="24"/>
        </w:rPr>
        <w:t>blood pressure to</w:t>
      </w:r>
      <w:r w:rsidR="0053168C" w:rsidRPr="00FC5606">
        <w:rPr>
          <w:rFonts w:ascii="Arial" w:eastAsia="Calibri" w:hAnsi="Arial" w:cs="Arial"/>
          <w:color w:val="000000" w:themeColor="text1"/>
          <w:sz w:val="24"/>
          <w:szCs w:val="24"/>
        </w:rPr>
        <w:t xml:space="preserve"> </w:t>
      </w:r>
      <w:r w:rsidR="00456777" w:rsidRPr="00FC5606">
        <w:rPr>
          <w:rFonts w:ascii="Arial" w:eastAsia="Calibri" w:hAnsi="Arial" w:cs="Arial"/>
          <w:color w:val="000000" w:themeColor="text1"/>
          <w:sz w:val="24"/>
          <w:szCs w:val="24"/>
        </w:rPr>
        <w:t>79 (65-96)</w:t>
      </w:r>
      <w:r w:rsidR="00E408B6" w:rsidRPr="00FC5606">
        <w:rPr>
          <w:rFonts w:ascii="Arial" w:eastAsia="Calibri" w:hAnsi="Arial" w:cs="Arial"/>
          <w:color w:val="000000" w:themeColor="text1"/>
          <w:sz w:val="24"/>
          <w:szCs w:val="24"/>
        </w:rPr>
        <w:t xml:space="preserve"> mmHg.</w:t>
      </w:r>
    </w:p>
    <w:p w14:paraId="5B021806" w14:textId="77777777" w:rsidR="00BE0947" w:rsidRPr="00FC5606" w:rsidRDefault="00BE0947" w:rsidP="00FC5606">
      <w:pPr>
        <w:tabs>
          <w:tab w:val="left" w:pos="5883"/>
        </w:tabs>
        <w:spacing w:after="0" w:line="360" w:lineRule="auto"/>
        <w:rPr>
          <w:rFonts w:ascii="Arial" w:hAnsi="Arial" w:cs="Arial"/>
          <w:color w:val="000000" w:themeColor="text1"/>
          <w:sz w:val="24"/>
          <w:szCs w:val="24"/>
        </w:rPr>
      </w:pPr>
    </w:p>
    <w:p w14:paraId="058947FC" w14:textId="77777777" w:rsidR="00BE0947" w:rsidRPr="00FC5606" w:rsidRDefault="00BE0947" w:rsidP="00FC5606">
      <w:pPr>
        <w:shd w:val="clear" w:color="auto" w:fill="FFFFFF"/>
        <w:spacing w:after="0" w:line="360" w:lineRule="auto"/>
        <w:outlineLvl w:val="0"/>
        <w:rPr>
          <w:rFonts w:ascii="Arial" w:eastAsia="Times New Roman" w:hAnsi="Arial" w:cs="Arial"/>
          <w:b/>
          <w:bCs/>
          <w:color w:val="000000" w:themeColor="text1"/>
          <w:kern w:val="36"/>
          <w:sz w:val="24"/>
          <w:szCs w:val="24"/>
          <w:lang w:eastAsia="en-GB"/>
          <w14:ligatures w14:val="none"/>
        </w:rPr>
      </w:pPr>
      <w:r w:rsidRPr="00FC5606">
        <w:rPr>
          <w:rFonts w:ascii="Arial" w:eastAsia="Times New Roman" w:hAnsi="Arial" w:cs="Arial"/>
          <w:b/>
          <w:bCs/>
          <w:color w:val="000000" w:themeColor="text1"/>
          <w:kern w:val="36"/>
          <w:sz w:val="24"/>
          <w:szCs w:val="24"/>
          <w:lang w:eastAsia="en-GB"/>
          <w14:ligatures w14:val="none"/>
        </w:rPr>
        <w:t>Discussion</w:t>
      </w:r>
    </w:p>
    <w:p w14:paraId="37FE3343" w14:textId="77777777" w:rsidR="00E74412" w:rsidRPr="00FC5606" w:rsidRDefault="00E74412" w:rsidP="00FC5606">
      <w:pPr>
        <w:shd w:val="clear" w:color="auto" w:fill="FFFFFF"/>
        <w:spacing w:after="0" w:line="360" w:lineRule="auto"/>
        <w:outlineLvl w:val="0"/>
        <w:rPr>
          <w:rFonts w:ascii="Arial" w:eastAsia="Times New Roman" w:hAnsi="Arial" w:cs="Arial"/>
          <w:b/>
          <w:bCs/>
          <w:color w:val="000000" w:themeColor="text1"/>
          <w:kern w:val="36"/>
          <w:sz w:val="24"/>
          <w:szCs w:val="24"/>
          <w:lang w:eastAsia="en-GB"/>
          <w14:ligatures w14:val="none"/>
        </w:rPr>
      </w:pPr>
    </w:p>
    <w:p w14:paraId="18755A77" w14:textId="77777777" w:rsidR="00902323" w:rsidRDefault="00817903"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r w:rsidRPr="00FC5606">
        <w:rPr>
          <w:rFonts w:ascii="Arial" w:eastAsia="Times New Roman" w:hAnsi="Arial" w:cs="Arial"/>
          <w:kern w:val="24"/>
          <w:sz w:val="24"/>
          <w:szCs w:val="24"/>
          <w:highlight w:val="white"/>
          <w:lang w:eastAsia="en-GB"/>
          <w14:ligatures w14:val="none"/>
        </w:rPr>
        <w:t xml:space="preserve">In this open </w:t>
      </w:r>
      <w:proofErr w:type="gramStart"/>
      <w:r w:rsidRPr="00FC5606">
        <w:rPr>
          <w:rFonts w:ascii="Arial" w:eastAsia="Times New Roman" w:hAnsi="Arial" w:cs="Arial"/>
          <w:kern w:val="24"/>
          <w:sz w:val="24"/>
          <w:szCs w:val="24"/>
          <w:highlight w:val="white"/>
          <w:lang w:eastAsia="en-GB"/>
          <w14:ligatures w14:val="none"/>
        </w:rPr>
        <w:t>real world</w:t>
      </w:r>
      <w:proofErr w:type="gramEnd"/>
      <w:r w:rsidRPr="00FC5606">
        <w:rPr>
          <w:rFonts w:ascii="Arial" w:eastAsia="Times New Roman" w:hAnsi="Arial" w:cs="Arial"/>
          <w:kern w:val="24"/>
          <w:sz w:val="24"/>
          <w:szCs w:val="24"/>
          <w:highlight w:val="white"/>
          <w:lang w:eastAsia="en-GB"/>
          <w14:ligatures w14:val="none"/>
        </w:rPr>
        <w:t xml:space="preserve"> evaluation of the feasibility of prescribing and administering </w:t>
      </w:r>
      <w:proofErr w:type="spellStart"/>
      <w:r w:rsidR="007E6122">
        <w:rPr>
          <w:rFonts w:ascii="Arial" w:eastAsia="Times New Roman" w:hAnsi="Arial" w:cs="Arial"/>
          <w:kern w:val="24"/>
          <w:sz w:val="24"/>
          <w:szCs w:val="24"/>
          <w:highlight w:val="white"/>
          <w:lang w:eastAsia="en-GB"/>
          <w14:ligatures w14:val="none"/>
        </w:rPr>
        <w:t>semaglutide</w:t>
      </w:r>
      <w:proofErr w:type="spellEnd"/>
      <w:r w:rsidRPr="00FC5606">
        <w:rPr>
          <w:rFonts w:ascii="Arial" w:eastAsia="Times New Roman" w:hAnsi="Arial" w:cs="Arial"/>
          <w:kern w:val="24"/>
          <w:sz w:val="24"/>
          <w:szCs w:val="24"/>
          <w:highlight w:val="white"/>
          <w:lang w:eastAsia="en-GB"/>
          <w14:ligatures w14:val="none"/>
        </w:rPr>
        <w:t xml:space="preserve"> in a secure inpatient setting,</w:t>
      </w:r>
      <w:r w:rsidR="000C4864" w:rsidRPr="00FC5606">
        <w:rPr>
          <w:rFonts w:ascii="Arial" w:eastAsia="Times New Roman" w:hAnsi="Arial" w:cs="Arial"/>
          <w:kern w:val="24"/>
          <w:sz w:val="24"/>
          <w:szCs w:val="24"/>
          <w:highlight w:val="white"/>
          <w:lang w:eastAsia="en-GB"/>
          <w14:ligatures w14:val="none"/>
        </w:rPr>
        <w:t xml:space="preserve"> we </w:t>
      </w:r>
      <w:r w:rsidR="00C27996" w:rsidRPr="00FC5606">
        <w:rPr>
          <w:rFonts w:ascii="Arial" w:eastAsia="Times New Roman" w:hAnsi="Arial" w:cs="Arial"/>
          <w:kern w:val="24"/>
          <w:sz w:val="24"/>
          <w:szCs w:val="24"/>
          <w:highlight w:val="white"/>
          <w:lang w:eastAsia="en-GB"/>
          <w14:ligatures w14:val="none"/>
        </w:rPr>
        <w:t>saw</w:t>
      </w:r>
      <w:r w:rsidR="000C4864" w:rsidRPr="00FC5606">
        <w:rPr>
          <w:rFonts w:ascii="Arial" w:eastAsia="Times New Roman" w:hAnsi="Arial" w:cs="Arial"/>
          <w:kern w:val="24"/>
          <w:sz w:val="24"/>
          <w:szCs w:val="24"/>
          <w:highlight w:val="white"/>
          <w:lang w:eastAsia="en-GB"/>
          <w14:ligatures w14:val="none"/>
        </w:rPr>
        <w:t xml:space="preserve"> a reduction in BMI, </w:t>
      </w:r>
      <w:r w:rsidR="00C27996" w:rsidRPr="00FC5606">
        <w:rPr>
          <w:rFonts w:ascii="Arial" w:eastAsia="Times New Roman" w:hAnsi="Arial" w:cs="Arial"/>
          <w:kern w:val="24"/>
          <w:sz w:val="24"/>
          <w:szCs w:val="24"/>
          <w:highlight w:val="white"/>
          <w:lang w:eastAsia="en-GB"/>
          <w14:ligatures w14:val="none"/>
        </w:rPr>
        <w:t>clinically</w:t>
      </w:r>
      <w:r w:rsidR="00BB2CC2" w:rsidRPr="00FC5606">
        <w:rPr>
          <w:rFonts w:ascii="Arial" w:eastAsia="Times New Roman" w:hAnsi="Arial" w:cs="Arial"/>
          <w:kern w:val="24"/>
          <w:sz w:val="24"/>
          <w:szCs w:val="24"/>
          <w:highlight w:val="white"/>
          <w:lang w:eastAsia="en-GB"/>
          <w14:ligatures w14:val="none"/>
        </w:rPr>
        <w:t xml:space="preserve"> </w:t>
      </w:r>
      <w:r w:rsidR="00C27996" w:rsidRPr="00FC5606">
        <w:rPr>
          <w:rFonts w:ascii="Arial" w:eastAsia="Times New Roman" w:hAnsi="Arial" w:cs="Arial"/>
          <w:kern w:val="24"/>
          <w:sz w:val="24"/>
          <w:szCs w:val="24"/>
          <w:highlight w:val="white"/>
          <w:lang w:eastAsia="en-GB"/>
          <w14:ligatures w14:val="none"/>
        </w:rPr>
        <w:t>significant</w:t>
      </w:r>
      <w:r w:rsidR="00BB2CC2" w:rsidRPr="00FC5606">
        <w:rPr>
          <w:rFonts w:ascii="Arial" w:eastAsia="Times New Roman" w:hAnsi="Arial" w:cs="Arial"/>
          <w:kern w:val="24"/>
          <w:sz w:val="24"/>
          <w:szCs w:val="24"/>
          <w:highlight w:val="white"/>
          <w:lang w:eastAsia="en-GB"/>
          <w14:ligatures w14:val="none"/>
        </w:rPr>
        <w:t xml:space="preserve"> </w:t>
      </w:r>
      <w:r w:rsidR="000C4864" w:rsidRPr="00FC5606">
        <w:rPr>
          <w:rFonts w:ascii="Arial" w:eastAsia="Times New Roman" w:hAnsi="Arial" w:cs="Arial"/>
          <w:kern w:val="24"/>
          <w:sz w:val="24"/>
          <w:szCs w:val="24"/>
          <w:highlight w:val="white"/>
          <w:lang w:eastAsia="en-GB"/>
          <w14:ligatures w14:val="none"/>
        </w:rPr>
        <w:t>reduction in HbA1c and improvement in self-rated overall quality of life in people with major mental and physical health challenges</w:t>
      </w:r>
      <w:r w:rsidR="00057A3A" w:rsidRPr="00FC5606">
        <w:rPr>
          <w:rFonts w:ascii="Arial" w:eastAsia="Times New Roman" w:hAnsi="Arial" w:cs="Arial"/>
          <w:kern w:val="24"/>
          <w:sz w:val="24"/>
          <w:szCs w:val="24"/>
          <w:lang w:eastAsia="en-GB"/>
          <w14:ligatures w14:val="none"/>
        </w:rPr>
        <w:t xml:space="preserve"> </w:t>
      </w:r>
      <w:r w:rsidRPr="00FC5606">
        <w:rPr>
          <w:rFonts w:ascii="Arial" w:eastAsia="Calibri" w:hAnsi="Arial" w:cs="Arial"/>
          <w:color w:val="000000" w:themeColor="text1"/>
          <w:kern w:val="24"/>
          <w:sz w:val="24"/>
          <w:szCs w:val="24"/>
          <w:lang w:eastAsia="en-GB"/>
          <w14:ligatures w14:val="none"/>
        </w:rPr>
        <w:t>at up to 6 month follow-up</w:t>
      </w:r>
      <w:r w:rsidR="00C27996" w:rsidRPr="00FC5606">
        <w:rPr>
          <w:rFonts w:ascii="Arial" w:eastAsia="Times New Roman" w:hAnsi="Arial" w:cs="Arial"/>
          <w:kern w:val="24"/>
          <w:sz w:val="24"/>
          <w:szCs w:val="24"/>
          <w:lang w:eastAsia="en-GB"/>
          <w14:ligatures w14:val="none"/>
        </w:rPr>
        <w:t xml:space="preserve">. </w:t>
      </w:r>
    </w:p>
    <w:p w14:paraId="53E5FEEA" w14:textId="77777777" w:rsidR="00902323" w:rsidRDefault="00902323"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p>
    <w:p w14:paraId="7E7E5E96" w14:textId="711F2BF3" w:rsidR="007231BE" w:rsidRDefault="00902323"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r>
        <w:rPr>
          <w:rFonts w:ascii="Arial" w:eastAsia="Times New Roman" w:hAnsi="Arial" w:cs="Arial"/>
          <w:kern w:val="24"/>
          <w:sz w:val="24"/>
          <w:szCs w:val="24"/>
          <w:lang w:eastAsia="en-GB"/>
          <w14:ligatures w14:val="none"/>
        </w:rPr>
        <w:t xml:space="preserve">Four </w:t>
      </w:r>
      <w:r w:rsidR="007231BE">
        <w:rPr>
          <w:rFonts w:ascii="Arial" w:eastAsia="Times New Roman" w:hAnsi="Arial" w:cs="Arial"/>
          <w:kern w:val="24"/>
          <w:sz w:val="24"/>
          <w:szCs w:val="24"/>
          <w:lang w:eastAsia="en-GB"/>
          <w14:ligatures w14:val="none"/>
        </w:rPr>
        <w:t xml:space="preserve">out of 15 </w:t>
      </w:r>
      <w:r w:rsidR="0099110C">
        <w:rPr>
          <w:rFonts w:ascii="Arial" w:eastAsia="Times New Roman" w:hAnsi="Arial" w:cs="Arial"/>
          <w:kern w:val="24"/>
          <w:sz w:val="24"/>
          <w:szCs w:val="24"/>
          <w:lang w:eastAsia="en-GB"/>
          <w14:ligatures w14:val="none"/>
        </w:rPr>
        <w:t xml:space="preserve">patients </w:t>
      </w:r>
      <w:r w:rsidR="007231BE">
        <w:rPr>
          <w:rFonts w:ascii="Arial" w:eastAsia="Times New Roman" w:hAnsi="Arial" w:cs="Arial"/>
          <w:kern w:val="24"/>
          <w:sz w:val="24"/>
          <w:szCs w:val="24"/>
          <w:lang w:eastAsia="en-GB"/>
          <w14:ligatures w14:val="none"/>
        </w:rPr>
        <w:t xml:space="preserve">discontinued the </w:t>
      </w:r>
      <w:proofErr w:type="spellStart"/>
      <w:r w:rsidR="007E6122">
        <w:rPr>
          <w:rFonts w:ascii="Arial" w:eastAsia="Times New Roman" w:hAnsi="Arial" w:cs="Arial"/>
          <w:kern w:val="24"/>
          <w:sz w:val="24"/>
          <w:szCs w:val="24"/>
          <w:lang w:eastAsia="en-GB"/>
          <w14:ligatures w14:val="none"/>
        </w:rPr>
        <w:t>semaglutide</w:t>
      </w:r>
      <w:proofErr w:type="spellEnd"/>
      <w:r w:rsidR="000245FB">
        <w:rPr>
          <w:rFonts w:ascii="Arial" w:eastAsia="Times New Roman" w:hAnsi="Arial" w:cs="Arial"/>
          <w:kern w:val="24"/>
          <w:sz w:val="24"/>
          <w:szCs w:val="24"/>
          <w:lang w:eastAsia="en-GB"/>
          <w14:ligatures w14:val="none"/>
        </w:rPr>
        <w:t xml:space="preserve"> as they did not wish to continue the treatment either because of nausea or perceived lack of efficacy. The fact that 2 patients were not able to continue </w:t>
      </w:r>
      <w:proofErr w:type="spellStart"/>
      <w:r w:rsidR="000245FB">
        <w:rPr>
          <w:rFonts w:ascii="Arial" w:eastAsia="Times New Roman" w:hAnsi="Arial" w:cs="Arial"/>
          <w:kern w:val="24"/>
          <w:sz w:val="24"/>
          <w:szCs w:val="24"/>
          <w:lang w:eastAsia="en-GB"/>
          <w14:ligatures w14:val="none"/>
        </w:rPr>
        <w:t>semglutide</w:t>
      </w:r>
      <w:proofErr w:type="spellEnd"/>
      <w:r w:rsidR="000245FB">
        <w:rPr>
          <w:rFonts w:ascii="Arial" w:eastAsia="Times New Roman" w:hAnsi="Arial" w:cs="Arial"/>
          <w:kern w:val="24"/>
          <w:sz w:val="24"/>
          <w:szCs w:val="24"/>
          <w:lang w:eastAsia="en-GB"/>
          <w14:ligatures w14:val="none"/>
        </w:rPr>
        <w:t xml:space="preserve"> because of no funding to continue the </w:t>
      </w:r>
      <w:proofErr w:type="spellStart"/>
      <w:r w:rsidR="000245FB">
        <w:rPr>
          <w:rFonts w:ascii="Arial" w:eastAsia="Times New Roman" w:hAnsi="Arial" w:cs="Arial"/>
          <w:kern w:val="24"/>
          <w:sz w:val="24"/>
          <w:szCs w:val="24"/>
          <w:lang w:eastAsia="en-GB"/>
          <w14:ligatures w14:val="none"/>
        </w:rPr>
        <w:t>semaglutide</w:t>
      </w:r>
      <w:proofErr w:type="spellEnd"/>
      <w:r w:rsidR="000245FB">
        <w:rPr>
          <w:rFonts w:ascii="Arial" w:eastAsia="Times New Roman" w:hAnsi="Arial" w:cs="Arial"/>
          <w:kern w:val="24"/>
          <w:sz w:val="24"/>
          <w:szCs w:val="24"/>
          <w:lang w:eastAsia="en-GB"/>
          <w14:ligatures w14:val="none"/>
        </w:rPr>
        <w:t xml:space="preserve"> on discharge is a concern. At present, availability of incretin therapies for weight reduction in the absence of a diagnosis of type 2 diabetes in England and in many other publicly funded health care systems is very limited, even for those people at high cardiometabolic risk.</w:t>
      </w:r>
    </w:p>
    <w:p w14:paraId="33ABB61D" w14:textId="77777777" w:rsidR="00AC5461" w:rsidRDefault="00AC5461"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p>
    <w:p w14:paraId="6F42DB36" w14:textId="3A96AAB2" w:rsidR="00AC5461" w:rsidRDefault="000245FB" w:rsidP="00AC5461">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r>
        <w:rPr>
          <w:rFonts w:ascii="Arial" w:eastAsia="Times New Roman" w:hAnsi="Arial" w:cs="Arial"/>
          <w:kern w:val="24"/>
          <w:sz w:val="24"/>
          <w:szCs w:val="24"/>
          <w:lang w:eastAsia="en-GB"/>
          <w14:ligatures w14:val="none"/>
        </w:rPr>
        <w:t>Reduction in weight</w:t>
      </w:r>
      <w:r w:rsidR="00AC5461">
        <w:rPr>
          <w:rFonts w:ascii="Arial" w:eastAsia="Times New Roman" w:hAnsi="Arial" w:cs="Arial"/>
          <w:kern w:val="24"/>
          <w:sz w:val="24"/>
          <w:szCs w:val="24"/>
          <w:lang w:eastAsia="en-GB"/>
          <w14:ligatures w14:val="none"/>
        </w:rPr>
        <w:t xml:space="preserve"> was </w:t>
      </w:r>
      <w:r>
        <w:rPr>
          <w:rFonts w:ascii="Arial" w:eastAsia="Times New Roman" w:hAnsi="Arial" w:cs="Arial"/>
          <w:kern w:val="24"/>
          <w:sz w:val="24"/>
          <w:szCs w:val="24"/>
          <w:lang w:eastAsia="en-GB"/>
          <w14:ligatures w14:val="none"/>
        </w:rPr>
        <w:t>associated</w:t>
      </w:r>
      <w:r w:rsidR="00AC5461">
        <w:rPr>
          <w:rFonts w:ascii="Arial" w:eastAsia="Times New Roman" w:hAnsi="Arial" w:cs="Arial"/>
          <w:kern w:val="24"/>
          <w:sz w:val="24"/>
          <w:szCs w:val="24"/>
          <w:lang w:eastAsia="en-GB"/>
          <w14:ligatures w14:val="none"/>
        </w:rPr>
        <w:t xml:space="preserve"> with i</w:t>
      </w:r>
      <w:r w:rsidR="00AC5461" w:rsidRPr="00FC5606">
        <w:rPr>
          <w:rFonts w:ascii="Arial" w:eastAsia="Times New Roman" w:hAnsi="Arial" w:cs="Arial"/>
          <w:kern w:val="24"/>
          <w:sz w:val="24"/>
          <w:szCs w:val="24"/>
          <w:lang w:eastAsia="en-GB"/>
          <w14:ligatures w14:val="none"/>
        </w:rPr>
        <w:t xml:space="preserve">mprovement in QOL VAS was significant ((p&lt;0.009) (mean change +9.7) for those who remained on </w:t>
      </w:r>
      <w:proofErr w:type="spellStart"/>
      <w:r w:rsidR="00AC5461">
        <w:rPr>
          <w:rFonts w:ascii="Arial" w:eastAsia="Times New Roman" w:hAnsi="Arial" w:cs="Arial"/>
          <w:kern w:val="24"/>
          <w:sz w:val="24"/>
          <w:szCs w:val="24"/>
          <w:lang w:eastAsia="en-GB"/>
          <w14:ligatures w14:val="none"/>
        </w:rPr>
        <w:t>semaglutide</w:t>
      </w:r>
      <w:proofErr w:type="spellEnd"/>
      <w:r w:rsidR="00B010BE">
        <w:rPr>
          <w:rFonts w:ascii="Arial" w:eastAsia="Times New Roman" w:hAnsi="Arial" w:cs="Arial"/>
          <w:kern w:val="24"/>
          <w:sz w:val="24"/>
          <w:szCs w:val="24"/>
          <w:lang w:eastAsia="en-GB"/>
          <w14:ligatures w14:val="none"/>
        </w:rPr>
        <w:t>.</w:t>
      </w:r>
      <w:r w:rsidR="00AC5461" w:rsidRPr="00FC5606">
        <w:rPr>
          <w:rFonts w:ascii="Arial" w:eastAsia="Times New Roman" w:hAnsi="Arial" w:cs="Arial"/>
          <w:kern w:val="24"/>
          <w:sz w:val="24"/>
          <w:szCs w:val="24"/>
          <w:lang w:eastAsia="en-GB"/>
          <w14:ligatures w14:val="none"/>
        </w:rPr>
        <w:t xml:space="preserve"> For those </w:t>
      </w:r>
      <w:r w:rsidR="00AC5461">
        <w:rPr>
          <w:rFonts w:ascii="Arial" w:eastAsia="Times New Roman" w:hAnsi="Arial" w:cs="Arial"/>
          <w:kern w:val="24"/>
          <w:sz w:val="24"/>
          <w:szCs w:val="24"/>
          <w:lang w:eastAsia="en-GB"/>
          <w14:ligatures w14:val="none"/>
        </w:rPr>
        <w:t>who</w:t>
      </w:r>
      <w:r w:rsidR="00AC5461" w:rsidRPr="00FC5606">
        <w:rPr>
          <w:rFonts w:ascii="Arial" w:eastAsia="Times New Roman" w:hAnsi="Arial" w:cs="Arial"/>
          <w:kern w:val="24"/>
          <w:sz w:val="24"/>
          <w:szCs w:val="24"/>
          <w:lang w:eastAsia="en-GB"/>
          <w14:ligatures w14:val="none"/>
        </w:rPr>
        <w:t xml:space="preserve"> requested to discontinue </w:t>
      </w:r>
      <w:proofErr w:type="spellStart"/>
      <w:r w:rsidR="00AC5461">
        <w:rPr>
          <w:rFonts w:ascii="Arial" w:eastAsia="Times New Roman" w:hAnsi="Arial" w:cs="Arial"/>
          <w:kern w:val="24"/>
          <w:sz w:val="24"/>
          <w:szCs w:val="24"/>
          <w:lang w:eastAsia="en-GB"/>
          <w14:ligatures w14:val="none"/>
        </w:rPr>
        <w:t>semaglutide</w:t>
      </w:r>
      <w:proofErr w:type="spellEnd"/>
      <w:r w:rsidR="00AC5461" w:rsidRPr="00FC5606">
        <w:rPr>
          <w:rFonts w:ascii="Arial" w:eastAsia="Times New Roman" w:hAnsi="Arial" w:cs="Arial"/>
          <w:kern w:val="24"/>
          <w:sz w:val="24"/>
          <w:szCs w:val="24"/>
          <w:lang w:eastAsia="en-GB"/>
          <w14:ligatures w14:val="none"/>
        </w:rPr>
        <w:t xml:space="preserve"> of their own choice QOL VAS did not improve. </w:t>
      </w:r>
      <w:proofErr w:type="gramStart"/>
      <w:r w:rsidR="00AC5461" w:rsidRPr="00FC5606">
        <w:rPr>
          <w:rFonts w:ascii="Arial" w:eastAsia="Times New Roman" w:hAnsi="Arial" w:cs="Arial"/>
          <w:kern w:val="24"/>
          <w:sz w:val="24"/>
          <w:szCs w:val="24"/>
          <w:lang w:eastAsia="en-GB"/>
          <w14:ligatures w14:val="none"/>
        </w:rPr>
        <w:t>However</w:t>
      </w:r>
      <w:proofErr w:type="gramEnd"/>
      <w:r w:rsidR="00AC5461" w:rsidRPr="00FC5606">
        <w:rPr>
          <w:rFonts w:ascii="Arial" w:eastAsia="Times New Roman" w:hAnsi="Arial" w:cs="Arial"/>
          <w:kern w:val="24"/>
          <w:sz w:val="24"/>
          <w:szCs w:val="24"/>
          <w:lang w:eastAsia="en-GB"/>
          <w14:ligatures w14:val="none"/>
        </w:rPr>
        <w:t xml:space="preserve"> those discontinuing </w:t>
      </w:r>
      <w:proofErr w:type="spellStart"/>
      <w:r w:rsidR="00AC5461">
        <w:rPr>
          <w:rFonts w:ascii="Arial" w:eastAsia="Times New Roman" w:hAnsi="Arial" w:cs="Arial"/>
          <w:kern w:val="24"/>
          <w:sz w:val="24"/>
          <w:szCs w:val="24"/>
          <w:lang w:eastAsia="en-GB"/>
          <w14:ligatures w14:val="none"/>
        </w:rPr>
        <w:t>semaglutide</w:t>
      </w:r>
      <w:proofErr w:type="spellEnd"/>
      <w:r w:rsidR="00AC5461" w:rsidRPr="00FC5606">
        <w:rPr>
          <w:rFonts w:ascii="Arial" w:eastAsia="Times New Roman" w:hAnsi="Arial" w:cs="Arial"/>
          <w:kern w:val="24"/>
          <w:sz w:val="24"/>
          <w:szCs w:val="24"/>
          <w:lang w:eastAsia="en-GB"/>
          <w14:ligatures w14:val="none"/>
        </w:rPr>
        <w:t xml:space="preserve"> did have a higher baseline QOL VAS than those who stayed on </w:t>
      </w:r>
      <w:proofErr w:type="spellStart"/>
      <w:r w:rsidR="00AC5461">
        <w:rPr>
          <w:rFonts w:ascii="Arial" w:eastAsia="Times New Roman" w:hAnsi="Arial" w:cs="Arial"/>
          <w:kern w:val="24"/>
          <w:sz w:val="24"/>
          <w:szCs w:val="24"/>
          <w:lang w:eastAsia="en-GB"/>
          <w14:ligatures w14:val="none"/>
        </w:rPr>
        <w:t>semaglutide</w:t>
      </w:r>
      <w:proofErr w:type="spellEnd"/>
      <w:r w:rsidR="00AC5461" w:rsidRPr="00FC5606">
        <w:rPr>
          <w:rFonts w:ascii="Arial" w:eastAsia="Times New Roman" w:hAnsi="Arial" w:cs="Arial"/>
          <w:kern w:val="24"/>
          <w:sz w:val="24"/>
          <w:szCs w:val="24"/>
          <w:lang w:eastAsia="en-GB"/>
          <w14:ligatures w14:val="none"/>
        </w:rPr>
        <w:t xml:space="preserve">. </w:t>
      </w:r>
      <w:r w:rsidR="00AC5461">
        <w:rPr>
          <w:rFonts w:ascii="Arial" w:eastAsia="Times New Roman" w:hAnsi="Arial" w:cs="Arial"/>
          <w:kern w:val="24"/>
          <w:sz w:val="24"/>
          <w:szCs w:val="24"/>
          <w:lang w:eastAsia="en-GB"/>
          <w14:ligatures w14:val="none"/>
        </w:rPr>
        <w:t xml:space="preserve">All patients, even those who discontinued </w:t>
      </w:r>
      <w:proofErr w:type="spellStart"/>
      <w:r w:rsidR="00AC5461">
        <w:rPr>
          <w:rFonts w:ascii="Arial" w:eastAsia="Times New Roman" w:hAnsi="Arial" w:cs="Arial"/>
          <w:kern w:val="24"/>
          <w:sz w:val="24"/>
          <w:szCs w:val="24"/>
          <w:lang w:eastAsia="en-GB"/>
          <w14:ligatures w14:val="none"/>
        </w:rPr>
        <w:t>semaglutide</w:t>
      </w:r>
      <w:proofErr w:type="spellEnd"/>
      <w:r w:rsidR="00AC5461">
        <w:rPr>
          <w:rFonts w:ascii="Arial" w:eastAsia="Times New Roman" w:hAnsi="Arial" w:cs="Arial"/>
          <w:kern w:val="24"/>
          <w:sz w:val="24"/>
          <w:szCs w:val="24"/>
          <w:lang w:eastAsia="en-GB"/>
          <w14:ligatures w14:val="none"/>
        </w:rPr>
        <w:t xml:space="preserve"> expressed a positive view on being on this medication in relation both to their expectations and the experience of receiving </w:t>
      </w:r>
      <w:proofErr w:type="spellStart"/>
      <w:r w:rsidR="00AC5461">
        <w:rPr>
          <w:rFonts w:ascii="Arial" w:eastAsia="Times New Roman" w:hAnsi="Arial" w:cs="Arial"/>
          <w:kern w:val="24"/>
          <w:sz w:val="24"/>
          <w:szCs w:val="24"/>
          <w:lang w:eastAsia="en-GB"/>
          <w14:ligatures w14:val="none"/>
        </w:rPr>
        <w:t>semaglutide</w:t>
      </w:r>
      <w:proofErr w:type="spellEnd"/>
      <w:r w:rsidR="00AC5461">
        <w:rPr>
          <w:rFonts w:ascii="Arial" w:eastAsia="Times New Roman" w:hAnsi="Arial" w:cs="Arial"/>
          <w:kern w:val="24"/>
          <w:sz w:val="24"/>
          <w:szCs w:val="24"/>
          <w:lang w:eastAsia="en-GB"/>
          <w14:ligatures w14:val="none"/>
        </w:rPr>
        <w:t>.</w:t>
      </w:r>
    </w:p>
    <w:p w14:paraId="77DBF465" w14:textId="77777777" w:rsidR="007231BE" w:rsidRDefault="007231BE"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p>
    <w:p w14:paraId="6CA3C885" w14:textId="516D0DAF" w:rsidR="0037558B" w:rsidRPr="00FC5606" w:rsidRDefault="007231BE"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r>
        <w:rPr>
          <w:rFonts w:ascii="Arial" w:eastAsia="Times New Roman" w:hAnsi="Arial" w:cs="Arial"/>
          <w:kern w:val="24"/>
          <w:sz w:val="24"/>
          <w:szCs w:val="24"/>
          <w:lang w:eastAsia="en-GB"/>
          <w14:ligatures w14:val="none"/>
        </w:rPr>
        <w:t>All</w:t>
      </w:r>
      <w:r w:rsidR="00BB2CC2" w:rsidRPr="00FC5606">
        <w:rPr>
          <w:rFonts w:ascii="Arial" w:eastAsia="Times New Roman" w:hAnsi="Arial" w:cs="Arial"/>
          <w:kern w:val="24"/>
          <w:sz w:val="24"/>
          <w:szCs w:val="24"/>
          <w:lang w:eastAsia="en-GB"/>
          <w14:ligatures w14:val="none"/>
        </w:rPr>
        <w:t xml:space="preserve"> those with an HBA</w:t>
      </w:r>
      <w:r w:rsidR="00C27996" w:rsidRPr="00FC5606">
        <w:rPr>
          <w:rFonts w:ascii="Arial" w:eastAsia="Times New Roman" w:hAnsi="Arial" w:cs="Arial"/>
          <w:kern w:val="24"/>
          <w:sz w:val="24"/>
          <w:szCs w:val="24"/>
          <w:lang w:eastAsia="en-GB"/>
          <w14:ligatures w14:val="none"/>
        </w:rPr>
        <w:t>1c</w:t>
      </w:r>
      <w:r w:rsidR="00BB2CC2" w:rsidRPr="00FC5606">
        <w:rPr>
          <w:rFonts w:ascii="Arial" w:eastAsia="Times New Roman" w:hAnsi="Arial" w:cs="Arial"/>
          <w:kern w:val="24"/>
          <w:sz w:val="24"/>
          <w:szCs w:val="24"/>
          <w:lang w:eastAsia="en-GB"/>
          <w14:ligatures w14:val="none"/>
        </w:rPr>
        <w:t xml:space="preserve"> in the </w:t>
      </w:r>
      <w:bookmarkStart w:id="5" w:name="_Hlk189991010"/>
      <w:r w:rsidR="00415490">
        <w:rPr>
          <w:rFonts w:ascii="Arial" w:eastAsia="Times New Roman" w:hAnsi="Arial" w:cs="Arial"/>
          <w:kern w:val="24"/>
          <w:sz w:val="24"/>
          <w:szCs w:val="24"/>
          <w:lang w:eastAsia="en-GB"/>
          <w14:ligatures w14:val="none"/>
        </w:rPr>
        <w:t>non-diabetic hyperglycaemia</w:t>
      </w:r>
      <w:r w:rsidR="00BB2CC2" w:rsidRPr="00FC5606">
        <w:rPr>
          <w:rFonts w:ascii="Arial" w:eastAsia="Times New Roman" w:hAnsi="Arial" w:cs="Arial"/>
          <w:kern w:val="24"/>
          <w:sz w:val="24"/>
          <w:szCs w:val="24"/>
          <w:lang w:eastAsia="en-GB"/>
          <w14:ligatures w14:val="none"/>
        </w:rPr>
        <w:t xml:space="preserve"> </w:t>
      </w:r>
      <w:bookmarkEnd w:id="5"/>
      <w:r w:rsidR="00C27996" w:rsidRPr="00FC5606">
        <w:rPr>
          <w:rFonts w:ascii="Arial" w:eastAsia="Times New Roman" w:hAnsi="Arial" w:cs="Arial"/>
          <w:kern w:val="24"/>
          <w:sz w:val="24"/>
          <w:szCs w:val="24"/>
          <w:lang w:eastAsia="en-GB"/>
          <w14:ligatures w14:val="none"/>
        </w:rPr>
        <w:t>range</w:t>
      </w:r>
      <w:r w:rsidR="00BB2CC2" w:rsidRPr="00FC5606">
        <w:rPr>
          <w:rFonts w:ascii="Arial" w:eastAsia="Times New Roman" w:hAnsi="Arial" w:cs="Arial"/>
          <w:kern w:val="24"/>
          <w:sz w:val="24"/>
          <w:szCs w:val="24"/>
          <w:lang w:eastAsia="en-GB"/>
          <w14:ligatures w14:val="none"/>
        </w:rPr>
        <w:t xml:space="preserve"> reduced the</w:t>
      </w:r>
      <w:r w:rsidR="00C27996" w:rsidRPr="00FC5606">
        <w:rPr>
          <w:rFonts w:ascii="Arial" w:eastAsia="Times New Roman" w:hAnsi="Arial" w:cs="Arial"/>
          <w:kern w:val="24"/>
          <w:sz w:val="24"/>
          <w:szCs w:val="24"/>
          <w:lang w:eastAsia="en-GB"/>
          <w14:ligatures w14:val="none"/>
        </w:rPr>
        <w:t>ir HbA1c</w:t>
      </w:r>
      <w:r w:rsidR="00F07ACD" w:rsidRPr="00FC5606">
        <w:rPr>
          <w:rFonts w:ascii="Arial" w:eastAsia="Times New Roman" w:hAnsi="Arial" w:cs="Arial"/>
          <w:kern w:val="24"/>
          <w:sz w:val="24"/>
          <w:szCs w:val="24"/>
          <w:lang w:eastAsia="en-GB"/>
          <w14:ligatures w14:val="none"/>
        </w:rPr>
        <w:t xml:space="preserve"> </w:t>
      </w:r>
      <w:r w:rsidR="00BB2CC2" w:rsidRPr="00FC5606">
        <w:rPr>
          <w:rFonts w:ascii="Arial" w:eastAsia="Times New Roman" w:hAnsi="Arial" w:cs="Arial"/>
          <w:kern w:val="24"/>
          <w:sz w:val="24"/>
          <w:szCs w:val="24"/>
          <w:lang w:eastAsia="en-GB"/>
          <w14:ligatures w14:val="none"/>
        </w:rPr>
        <w:t xml:space="preserve">below the </w:t>
      </w:r>
      <w:r w:rsidR="00C27996" w:rsidRPr="00FC5606">
        <w:rPr>
          <w:rFonts w:ascii="Arial" w:eastAsia="Times New Roman" w:hAnsi="Arial" w:cs="Arial"/>
          <w:kern w:val="24"/>
          <w:sz w:val="24"/>
          <w:szCs w:val="24"/>
          <w:lang w:eastAsia="en-GB"/>
          <w14:ligatures w14:val="none"/>
        </w:rPr>
        <w:t xml:space="preserve">range of </w:t>
      </w:r>
      <w:r w:rsidR="00415490">
        <w:rPr>
          <w:rFonts w:ascii="Arial" w:eastAsia="Times New Roman" w:hAnsi="Arial" w:cs="Arial"/>
          <w:kern w:val="24"/>
          <w:sz w:val="24"/>
          <w:szCs w:val="24"/>
          <w:lang w:eastAsia="en-GB"/>
          <w14:ligatures w14:val="none"/>
        </w:rPr>
        <w:t>non-diabetic hyperglycaemia</w:t>
      </w:r>
      <w:r w:rsidR="00C27996" w:rsidRPr="00FC5606">
        <w:rPr>
          <w:rFonts w:ascii="Arial" w:eastAsia="Times New Roman" w:hAnsi="Arial" w:cs="Arial"/>
          <w:kern w:val="24"/>
          <w:sz w:val="24"/>
          <w:szCs w:val="24"/>
          <w:lang w:eastAsia="en-GB"/>
          <w14:ligatures w14:val="none"/>
        </w:rPr>
        <w:t xml:space="preserve"> </w:t>
      </w:r>
      <w:r w:rsidR="00BB2CC2" w:rsidRPr="00FC5606">
        <w:rPr>
          <w:rFonts w:ascii="Arial" w:eastAsia="Times New Roman" w:hAnsi="Arial" w:cs="Arial"/>
          <w:kern w:val="24"/>
          <w:sz w:val="24"/>
          <w:szCs w:val="24"/>
          <w:lang w:eastAsia="en-GB"/>
          <w14:ligatures w14:val="none"/>
        </w:rPr>
        <w:t>(</w:t>
      </w:r>
      <w:r w:rsidR="008D5294" w:rsidRPr="00FC5606">
        <w:rPr>
          <w:rFonts w:ascii="Arial" w:eastAsia="Times New Roman" w:hAnsi="Arial" w:cs="Arial"/>
          <w:kern w:val="24"/>
          <w:sz w:val="24"/>
          <w:szCs w:val="24"/>
          <w:lang w:eastAsia="en-GB"/>
          <w14:ligatures w14:val="none"/>
        </w:rPr>
        <w:t xml:space="preserve">below </w:t>
      </w:r>
      <w:r w:rsidR="00BB2CC2" w:rsidRPr="00FC5606">
        <w:rPr>
          <w:rFonts w:ascii="Arial" w:eastAsia="Times New Roman" w:hAnsi="Arial" w:cs="Arial"/>
          <w:kern w:val="24"/>
          <w:sz w:val="24"/>
          <w:szCs w:val="24"/>
          <w:lang w:eastAsia="en-GB"/>
          <w14:ligatures w14:val="none"/>
        </w:rPr>
        <w:t>42-47mmol</w:t>
      </w:r>
      <w:r w:rsidR="00C27996" w:rsidRPr="00FC5606">
        <w:rPr>
          <w:rFonts w:ascii="Arial" w:eastAsia="Times New Roman" w:hAnsi="Arial" w:cs="Arial"/>
          <w:kern w:val="24"/>
          <w:sz w:val="24"/>
          <w:szCs w:val="24"/>
          <w:lang w:eastAsia="en-GB"/>
          <w14:ligatures w14:val="none"/>
        </w:rPr>
        <w:t>mol)</w:t>
      </w:r>
      <w:r w:rsidR="00D215EE">
        <w:rPr>
          <w:rFonts w:ascii="Arial" w:eastAsia="Times New Roman" w:hAnsi="Arial" w:cs="Arial"/>
          <w:kern w:val="24"/>
          <w:sz w:val="24"/>
          <w:szCs w:val="24"/>
          <w:lang w:eastAsia="en-GB"/>
          <w14:ligatures w14:val="none"/>
        </w:rPr>
        <w:t xml:space="preserve"> (6.0%-6.5%)</w:t>
      </w:r>
      <w:r w:rsidR="00C27996" w:rsidRPr="00FC5606">
        <w:rPr>
          <w:rFonts w:ascii="Arial" w:eastAsia="Times New Roman" w:hAnsi="Arial" w:cs="Arial"/>
          <w:kern w:val="24"/>
          <w:sz w:val="24"/>
          <w:szCs w:val="24"/>
          <w:lang w:eastAsia="en-GB"/>
          <w14:ligatures w14:val="none"/>
        </w:rPr>
        <w:t>.</w:t>
      </w:r>
      <w:r w:rsidR="004656CF" w:rsidRPr="00FC5606">
        <w:rPr>
          <w:rFonts w:ascii="Arial" w:eastAsia="Times New Roman" w:hAnsi="Arial" w:cs="Arial"/>
          <w:kern w:val="24"/>
          <w:sz w:val="24"/>
          <w:szCs w:val="24"/>
          <w:lang w:eastAsia="en-GB"/>
          <w14:ligatures w14:val="none"/>
        </w:rPr>
        <w:t xml:space="preserve"> </w:t>
      </w:r>
      <w:r w:rsidR="006C4935">
        <w:rPr>
          <w:rFonts w:ascii="Arial" w:eastAsia="Times New Roman" w:hAnsi="Arial" w:cs="Arial"/>
          <w:kern w:val="24"/>
          <w:sz w:val="24"/>
          <w:szCs w:val="24"/>
          <w:lang w:eastAsia="en-GB"/>
          <w14:ligatures w14:val="none"/>
        </w:rPr>
        <w:t>One</w:t>
      </w:r>
      <w:r w:rsidR="00B8402A" w:rsidRPr="00FC5606">
        <w:rPr>
          <w:rFonts w:ascii="Arial" w:eastAsia="Times New Roman" w:hAnsi="Arial" w:cs="Arial"/>
          <w:kern w:val="24"/>
          <w:sz w:val="24"/>
          <w:szCs w:val="24"/>
          <w:lang w:eastAsia="en-GB"/>
          <w14:ligatures w14:val="none"/>
        </w:rPr>
        <w:t xml:space="preserve"> person who had to discontinue </w:t>
      </w:r>
      <w:proofErr w:type="spellStart"/>
      <w:r w:rsidR="007E6122">
        <w:rPr>
          <w:rFonts w:ascii="Arial" w:eastAsia="Times New Roman" w:hAnsi="Arial" w:cs="Arial"/>
          <w:kern w:val="24"/>
          <w:sz w:val="24"/>
          <w:szCs w:val="24"/>
          <w:lang w:eastAsia="en-GB"/>
          <w14:ligatures w14:val="none"/>
        </w:rPr>
        <w:t>semaglutide</w:t>
      </w:r>
      <w:proofErr w:type="spellEnd"/>
      <w:r w:rsidR="00B8402A" w:rsidRPr="00FC5606">
        <w:rPr>
          <w:rFonts w:ascii="Arial" w:eastAsia="Times New Roman" w:hAnsi="Arial" w:cs="Arial"/>
          <w:kern w:val="24"/>
          <w:sz w:val="24"/>
          <w:szCs w:val="24"/>
          <w:lang w:eastAsia="en-GB"/>
          <w14:ligatures w14:val="none"/>
        </w:rPr>
        <w:t xml:space="preserve"> because of elevation or serum ALT </w:t>
      </w:r>
      <w:r w:rsidR="006C4935">
        <w:rPr>
          <w:rFonts w:ascii="Arial" w:eastAsia="Times New Roman" w:hAnsi="Arial" w:cs="Arial"/>
          <w:kern w:val="24"/>
          <w:sz w:val="24"/>
          <w:szCs w:val="24"/>
          <w:lang w:eastAsia="en-GB"/>
          <w14:ligatures w14:val="none"/>
        </w:rPr>
        <w:t xml:space="preserve">restarted the </w:t>
      </w:r>
      <w:proofErr w:type="spellStart"/>
      <w:r w:rsidR="006C4935">
        <w:rPr>
          <w:rFonts w:ascii="Arial" w:eastAsia="Times New Roman" w:hAnsi="Arial" w:cs="Arial"/>
          <w:kern w:val="24"/>
          <w:sz w:val="24"/>
          <w:szCs w:val="24"/>
          <w:lang w:eastAsia="en-GB"/>
          <w14:ligatures w14:val="none"/>
        </w:rPr>
        <w:t>semaglutide</w:t>
      </w:r>
      <w:proofErr w:type="spellEnd"/>
      <w:r w:rsidR="00B8402A" w:rsidRPr="00FC5606">
        <w:rPr>
          <w:rFonts w:ascii="Arial" w:eastAsia="Times New Roman" w:hAnsi="Arial" w:cs="Arial"/>
          <w:kern w:val="24"/>
          <w:sz w:val="24"/>
          <w:szCs w:val="24"/>
          <w:lang w:eastAsia="en-GB"/>
          <w14:ligatures w14:val="none"/>
        </w:rPr>
        <w:t xml:space="preserve"> </w:t>
      </w:r>
      <w:r w:rsidR="006C4935">
        <w:rPr>
          <w:rFonts w:ascii="Arial" w:eastAsia="Times New Roman" w:hAnsi="Arial" w:cs="Arial"/>
          <w:kern w:val="24"/>
          <w:sz w:val="24"/>
          <w:szCs w:val="24"/>
          <w:lang w:eastAsia="en-GB"/>
          <w14:ligatures w14:val="none"/>
        </w:rPr>
        <w:t>with close monitoring of liver enzymes</w:t>
      </w:r>
      <w:r w:rsidR="00E8382D">
        <w:rPr>
          <w:rFonts w:ascii="Arial" w:eastAsia="Times New Roman" w:hAnsi="Arial" w:cs="Arial"/>
          <w:kern w:val="24"/>
          <w:sz w:val="24"/>
          <w:szCs w:val="24"/>
          <w:lang w:eastAsia="en-GB"/>
          <w14:ligatures w14:val="none"/>
        </w:rPr>
        <w:t>.</w:t>
      </w:r>
    </w:p>
    <w:p w14:paraId="3C1983CA" w14:textId="2063B98C" w:rsidR="00956C36" w:rsidRDefault="00956C36"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p>
    <w:p w14:paraId="455B4424" w14:textId="6D5B2531" w:rsidR="0037558B" w:rsidRDefault="00956C36"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proofErr w:type="gramStart"/>
      <w:r>
        <w:rPr>
          <w:rFonts w:ascii="Arial" w:eastAsia="Times New Roman" w:hAnsi="Arial" w:cs="Arial"/>
          <w:kern w:val="24"/>
          <w:sz w:val="24"/>
          <w:szCs w:val="24"/>
          <w:lang w:eastAsia="en-GB"/>
          <w14:ligatures w14:val="none"/>
        </w:rPr>
        <w:t>Thus</w:t>
      </w:r>
      <w:proofErr w:type="gramEnd"/>
      <w:r>
        <w:rPr>
          <w:rFonts w:ascii="Arial" w:eastAsia="Times New Roman" w:hAnsi="Arial" w:cs="Arial"/>
          <w:kern w:val="24"/>
          <w:sz w:val="24"/>
          <w:szCs w:val="24"/>
          <w:lang w:eastAsia="en-GB"/>
          <w14:ligatures w14:val="none"/>
        </w:rPr>
        <w:t xml:space="preserve"> </w:t>
      </w:r>
      <w:r w:rsidR="00EF6D2F">
        <w:rPr>
          <w:rFonts w:ascii="Arial" w:eastAsia="Times New Roman" w:hAnsi="Arial" w:cs="Arial"/>
          <w:kern w:val="24"/>
          <w:sz w:val="24"/>
          <w:szCs w:val="24"/>
          <w:lang w:eastAsia="en-GB"/>
          <w14:ligatures w14:val="none"/>
        </w:rPr>
        <w:t>o</w:t>
      </w:r>
      <w:r w:rsidRPr="00956C36">
        <w:rPr>
          <w:rFonts w:ascii="Arial" w:eastAsia="Times New Roman" w:hAnsi="Arial" w:cs="Arial"/>
          <w:kern w:val="24"/>
          <w:sz w:val="24"/>
          <w:szCs w:val="24"/>
          <w:lang w:eastAsia="en-GB"/>
          <w14:ligatures w14:val="none"/>
        </w:rPr>
        <w:t xml:space="preserve">ffering and using </w:t>
      </w:r>
      <w:proofErr w:type="spellStart"/>
      <w:r w:rsidR="007E6122">
        <w:rPr>
          <w:rFonts w:ascii="Arial" w:eastAsia="Times New Roman" w:hAnsi="Arial" w:cs="Arial"/>
          <w:kern w:val="24"/>
          <w:sz w:val="24"/>
          <w:szCs w:val="24"/>
          <w:lang w:eastAsia="en-GB"/>
          <w14:ligatures w14:val="none"/>
        </w:rPr>
        <w:t>semaglutide</w:t>
      </w:r>
      <w:proofErr w:type="spellEnd"/>
      <w:r w:rsidRPr="00956C36">
        <w:rPr>
          <w:rFonts w:ascii="Arial" w:eastAsia="Times New Roman" w:hAnsi="Arial" w:cs="Arial"/>
          <w:kern w:val="24"/>
          <w:sz w:val="24"/>
          <w:szCs w:val="24"/>
          <w:lang w:eastAsia="en-GB"/>
          <w14:ligatures w14:val="none"/>
        </w:rPr>
        <w:t xml:space="preserve"> is feasible </w:t>
      </w:r>
      <w:r w:rsidR="00EF6D2F">
        <w:rPr>
          <w:rFonts w:ascii="Arial" w:eastAsia="Times New Roman" w:hAnsi="Arial" w:cs="Arial"/>
          <w:kern w:val="24"/>
          <w:sz w:val="24"/>
          <w:szCs w:val="24"/>
          <w:lang w:eastAsia="en-GB"/>
          <w14:ligatures w14:val="none"/>
        </w:rPr>
        <w:t>in i</w:t>
      </w:r>
      <w:r w:rsidRPr="00956C36">
        <w:rPr>
          <w:rFonts w:ascii="Arial" w:eastAsia="Times New Roman" w:hAnsi="Arial" w:cs="Arial"/>
          <w:kern w:val="24"/>
          <w:sz w:val="24"/>
          <w:szCs w:val="24"/>
          <w:lang w:eastAsia="en-GB"/>
          <w14:ligatures w14:val="none"/>
        </w:rPr>
        <w:t xml:space="preserve">n-patients in </w:t>
      </w:r>
      <w:r w:rsidR="00EF6D2F">
        <w:rPr>
          <w:rFonts w:ascii="Arial" w:eastAsia="Times New Roman" w:hAnsi="Arial" w:cs="Arial"/>
          <w:kern w:val="24"/>
          <w:sz w:val="24"/>
          <w:szCs w:val="24"/>
          <w:lang w:eastAsia="en-GB"/>
          <w14:ligatures w14:val="none"/>
        </w:rPr>
        <w:t xml:space="preserve">a </w:t>
      </w:r>
      <w:r w:rsidRPr="00956C36">
        <w:rPr>
          <w:rFonts w:ascii="Arial" w:eastAsia="Times New Roman" w:hAnsi="Arial" w:cs="Arial"/>
          <w:kern w:val="24"/>
          <w:sz w:val="24"/>
          <w:szCs w:val="24"/>
          <w:lang w:eastAsia="en-GB"/>
          <w14:ligatures w14:val="none"/>
        </w:rPr>
        <w:t>medium secure unit</w:t>
      </w:r>
      <w:r w:rsidR="00EF6D2F">
        <w:rPr>
          <w:rFonts w:ascii="Arial" w:eastAsia="Times New Roman" w:hAnsi="Arial" w:cs="Arial"/>
          <w:kern w:val="24"/>
          <w:sz w:val="24"/>
          <w:szCs w:val="24"/>
          <w:lang w:eastAsia="en-GB"/>
          <w14:ligatures w14:val="none"/>
        </w:rPr>
        <w:t xml:space="preserve"> setting. </w:t>
      </w:r>
      <w:proofErr w:type="spellStart"/>
      <w:r w:rsidR="007E6122">
        <w:rPr>
          <w:rFonts w:ascii="Arial" w:eastAsia="Times New Roman" w:hAnsi="Arial" w:cs="Arial"/>
          <w:kern w:val="24"/>
          <w:sz w:val="24"/>
          <w:szCs w:val="24"/>
          <w:lang w:eastAsia="en-GB"/>
          <w14:ligatures w14:val="none"/>
        </w:rPr>
        <w:t>Semaglutide</w:t>
      </w:r>
      <w:proofErr w:type="spellEnd"/>
      <w:r w:rsidRPr="00956C36">
        <w:rPr>
          <w:rFonts w:ascii="Arial" w:eastAsia="Times New Roman" w:hAnsi="Arial" w:cs="Arial"/>
          <w:kern w:val="24"/>
          <w:sz w:val="24"/>
          <w:szCs w:val="24"/>
          <w:lang w:eastAsia="en-GB"/>
          <w14:ligatures w14:val="none"/>
        </w:rPr>
        <w:t xml:space="preserve"> is effective at lowering body weight and improving metabolic</w:t>
      </w:r>
      <w:r w:rsidR="00EF6D2F">
        <w:rPr>
          <w:rFonts w:ascii="Arial" w:eastAsia="Times New Roman" w:hAnsi="Arial" w:cs="Arial"/>
          <w:kern w:val="24"/>
          <w:sz w:val="24"/>
          <w:szCs w:val="24"/>
          <w:lang w:eastAsia="en-GB"/>
          <w14:ligatures w14:val="none"/>
        </w:rPr>
        <w:t xml:space="preserve"> profile in relation to HbA1c</w:t>
      </w:r>
      <w:r w:rsidR="001D4D02">
        <w:rPr>
          <w:rFonts w:ascii="Arial" w:eastAsia="Times New Roman" w:hAnsi="Arial" w:cs="Arial"/>
          <w:kern w:val="24"/>
          <w:sz w:val="24"/>
          <w:szCs w:val="24"/>
          <w:lang w:eastAsia="en-GB"/>
          <w14:ligatures w14:val="none"/>
        </w:rPr>
        <w:t xml:space="preserve">, with an associated improvement in quality of life for </w:t>
      </w:r>
      <w:r w:rsidR="004203B1">
        <w:rPr>
          <w:rFonts w:ascii="Arial" w:eastAsia="Times New Roman" w:hAnsi="Arial" w:cs="Arial"/>
          <w:kern w:val="24"/>
          <w:sz w:val="24"/>
          <w:szCs w:val="24"/>
          <w:lang w:eastAsia="en-GB"/>
          <w14:ligatures w14:val="none"/>
        </w:rPr>
        <w:t xml:space="preserve">those who remained on </w:t>
      </w:r>
      <w:proofErr w:type="spellStart"/>
      <w:r w:rsidR="00B15D54">
        <w:rPr>
          <w:rFonts w:ascii="Arial" w:eastAsia="Times New Roman" w:hAnsi="Arial" w:cs="Arial"/>
          <w:kern w:val="24"/>
          <w:sz w:val="24"/>
          <w:szCs w:val="24"/>
          <w:lang w:eastAsia="en-GB"/>
          <w14:ligatures w14:val="none"/>
        </w:rPr>
        <w:t>s</w:t>
      </w:r>
      <w:r w:rsidR="004203B1">
        <w:rPr>
          <w:rFonts w:ascii="Arial" w:eastAsia="Times New Roman" w:hAnsi="Arial" w:cs="Arial"/>
          <w:kern w:val="24"/>
          <w:sz w:val="24"/>
          <w:szCs w:val="24"/>
          <w:lang w:eastAsia="en-GB"/>
          <w14:ligatures w14:val="none"/>
        </w:rPr>
        <w:t>emaglutide</w:t>
      </w:r>
      <w:proofErr w:type="spellEnd"/>
      <w:r w:rsidR="00B15D54">
        <w:rPr>
          <w:rFonts w:ascii="Arial" w:eastAsia="Times New Roman" w:hAnsi="Arial" w:cs="Arial"/>
          <w:kern w:val="24"/>
          <w:sz w:val="24"/>
          <w:szCs w:val="24"/>
          <w:lang w:eastAsia="en-GB"/>
          <w14:ligatures w14:val="none"/>
        </w:rPr>
        <w:t xml:space="preserve"> as seen here. </w:t>
      </w:r>
      <w:r w:rsidR="00762EDE">
        <w:rPr>
          <w:rFonts w:ascii="Arial" w:eastAsia="Times New Roman" w:hAnsi="Arial" w:cs="Arial"/>
          <w:kern w:val="24"/>
          <w:sz w:val="24"/>
          <w:szCs w:val="24"/>
          <w:lang w:eastAsia="en-GB"/>
          <w14:ligatures w14:val="none"/>
        </w:rPr>
        <w:t>This is important in the context of acceptability of this approach to people with SMI.</w:t>
      </w:r>
    </w:p>
    <w:p w14:paraId="2C4816CD" w14:textId="77777777" w:rsidR="0069071A" w:rsidRPr="0069071A" w:rsidRDefault="0069071A"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p>
    <w:p w14:paraId="3F1C7C91" w14:textId="4848AA78" w:rsidR="007231BE" w:rsidRDefault="000C4864" w:rsidP="00FC5606">
      <w:pPr>
        <w:pStyle w:val="Default"/>
        <w:spacing w:line="360" w:lineRule="auto"/>
        <w:rPr>
          <w:rFonts w:ascii="Arial" w:hAnsi="Arial" w:cs="Arial"/>
        </w:rPr>
      </w:pPr>
      <w:r w:rsidRPr="00FC5606">
        <w:rPr>
          <w:rFonts w:ascii="Arial" w:hAnsi="Arial" w:cs="Arial"/>
        </w:rPr>
        <w:t xml:space="preserve">It </w:t>
      </w:r>
      <w:r w:rsidR="00527542" w:rsidRPr="00FC5606">
        <w:rPr>
          <w:rFonts w:ascii="Arial" w:hAnsi="Arial" w:cs="Arial"/>
        </w:rPr>
        <w:t xml:space="preserve">is well established that </w:t>
      </w:r>
      <w:r w:rsidRPr="00FC5606">
        <w:rPr>
          <w:rFonts w:ascii="Arial" w:hAnsi="Arial" w:cs="Arial"/>
        </w:rPr>
        <w:t>antipsychotic related weight gain</w:t>
      </w:r>
      <w:r w:rsidR="00527542" w:rsidRPr="00FC5606">
        <w:rPr>
          <w:rFonts w:ascii="Arial" w:hAnsi="Arial" w:cs="Arial"/>
        </w:rPr>
        <w:t xml:space="preserve"> is a common reason for non-initiation, discontinuation, and dissatisfaction with </w:t>
      </w:r>
      <w:r w:rsidR="0037558B" w:rsidRPr="00FC5606">
        <w:rPr>
          <w:rFonts w:ascii="Arial" w:hAnsi="Arial" w:cs="Arial"/>
        </w:rPr>
        <w:t>psychotropic agents</w:t>
      </w:r>
      <w:r w:rsidR="00527542" w:rsidRPr="00FC5606">
        <w:rPr>
          <w:rFonts w:ascii="Arial" w:hAnsi="Arial" w:cs="Arial"/>
        </w:rPr>
        <w:t xml:space="preserve"> (</w:t>
      </w:r>
      <w:r w:rsidR="00725449">
        <w:rPr>
          <w:rFonts w:ascii="Arial" w:hAnsi="Arial" w:cs="Arial"/>
        </w:rPr>
        <w:t>18</w:t>
      </w:r>
      <w:r w:rsidR="00527542" w:rsidRPr="00FC5606">
        <w:rPr>
          <w:rFonts w:ascii="Arial" w:hAnsi="Arial" w:cs="Arial"/>
        </w:rPr>
        <w:t xml:space="preserve">). </w:t>
      </w:r>
      <w:r w:rsidR="00447A6C" w:rsidRPr="00FC5606">
        <w:rPr>
          <w:rFonts w:ascii="Arial" w:hAnsi="Arial" w:cs="Arial"/>
        </w:rPr>
        <w:t xml:space="preserve"> </w:t>
      </w:r>
      <w:r w:rsidR="004656CF" w:rsidRPr="00FC5606">
        <w:rPr>
          <w:rFonts w:ascii="Arial" w:hAnsi="Arial" w:cs="Arial"/>
        </w:rPr>
        <w:t xml:space="preserve">The benefit of lifestyle </w:t>
      </w:r>
      <w:proofErr w:type="gramStart"/>
      <w:r w:rsidR="0030071C" w:rsidRPr="00FC5606">
        <w:rPr>
          <w:rFonts w:ascii="Arial" w:hAnsi="Arial" w:cs="Arial"/>
        </w:rPr>
        <w:t>change</w:t>
      </w:r>
      <w:proofErr w:type="gramEnd"/>
      <w:r w:rsidR="0030071C" w:rsidRPr="00FC5606">
        <w:rPr>
          <w:rFonts w:ascii="Arial" w:hAnsi="Arial" w:cs="Arial"/>
        </w:rPr>
        <w:t xml:space="preserve"> </w:t>
      </w:r>
      <w:r w:rsidR="004656CF" w:rsidRPr="00FC5606">
        <w:rPr>
          <w:rFonts w:ascii="Arial" w:hAnsi="Arial" w:cs="Arial"/>
        </w:rPr>
        <w:t>and behavio</w:t>
      </w:r>
      <w:r w:rsidR="0030071C" w:rsidRPr="00FC5606">
        <w:rPr>
          <w:rFonts w:ascii="Arial" w:hAnsi="Arial" w:cs="Arial"/>
        </w:rPr>
        <w:t>u</w:t>
      </w:r>
      <w:r w:rsidR="004656CF" w:rsidRPr="00FC5606">
        <w:rPr>
          <w:rFonts w:ascii="Arial" w:hAnsi="Arial" w:cs="Arial"/>
        </w:rPr>
        <w:t xml:space="preserve">ral modification </w:t>
      </w:r>
      <w:r w:rsidR="0030071C" w:rsidRPr="00FC5606">
        <w:rPr>
          <w:rFonts w:ascii="Arial" w:hAnsi="Arial" w:cs="Arial"/>
        </w:rPr>
        <w:t>to mitigate antipsychotic weight gain</w:t>
      </w:r>
      <w:r w:rsidR="004656CF" w:rsidRPr="00FC5606">
        <w:rPr>
          <w:rFonts w:ascii="Arial" w:hAnsi="Arial" w:cs="Arial"/>
        </w:rPr>
        <w:t xml:space="preserve"> in </w:t>
      </w:r>
      <w:r w:rsidR="0030071C" w:rsidRPr="00FC5606">
        <w:rPr>
          <w:rFonts w:ascii="Arial" w:hAnsi="Arial" w:cs="Arial"/>
        </w:rPr>
        <w:t>people with SMI</w:t>
      </w:r>
      <w:r w:rsidR="004656CF" w:rsidRPr="00FC5606">
        <w:rPr>
          <w:rFonts w:ascii="Arial" w:hAnsi="Arial" w:cs="Arial"/>
        </w:rPr>
        <w:t xml:space="preserve"> is established</w:t>
      </w:r>
      <w:r w:rsidR="0030071C" w:rsidRPr="00FC5606">
        <w:rPr>
          <w:rFonts w:ascii="Arial" w:hAnsi="Arial" w:cs="Arial"/>
        </w:rPr>
        <w:t xml:space="preserve"> </w:t>
      </w:r>
      <w:r w:rsidR="004656CF" w:rsidRPr="00FC5606">
        <w:rPr>
          <w:rFonts w:ascii="Arial" w:hAnsi="Arial" w:cs="Arial"/>
        </w:rPr>
        <w:t>(</w:t>
      </w:r>
      <w:r w:rsidR="00725449">
        <w:rPr>
          <w:rFonts w:ascii="Arial" w:hAnsi="Arial" w:cs="Arial"/>
        </w:rPr>
        <w:t>19</w:t>
      </w:r>
      <w:r w:rsidR="007901BC" w:rsidRPr="00FC5606">
        <w:rPr>
          <w:rFonts w:ascii="Arial" w:hAnsi="Arial" w:cs="Arial"/>
        </w:rPr>
        <w:t xml:space="preserve">). </w:t>
      </w:r>
      <w:r w:rsidR="007231BE">
        <w:rPr>
          <w:rFonts w:ascii="Arial" w:hAnsi="Arial" w:cs="Arial"/>
        </w:rPr>
        <w:t>One can speculate that weight reduction and attendant improvement in quality of life may lead to better antipsychotic concordance and so better psychiatric outcomes.</w:t>
      </w:r>
    </w:p>
    <w:p w14:paraId="32BCAC2D" w14:textId="77777777" w:rsidR="007231BE" w:rsidRDefault="007231BE" w:rsidP="00FC5606">
      <w:pPr>
        <w:pStyle w:val="Default"/>
        <w:spacing w:line="360" w:lineRule="auto"/>
        <w:rPr>
          <w:rFonts w:ascii="Arial" w:hAnsi="Arial" w:cs="Arial"/>
        </w:rPr>
      </w:pPr>
    </w:p>
    <w:p w14:paraId="386FD252" w14:textId="3422A330" w:rsidR="009F661B" w:rsidRPr="00FC5606" w:rsidRDefault="00527542" w:rsidP="00FC5606">
      <w:pPr>
        <w:pStyle w:val="Default"/>
        <w:spacing w:line="360" w:lineRule="auto"/>
        <w:rPr>
          <w:rFonts w:ascii="Arial" w:hAnsi="Arial" w:cs="Arial"/>
        </w:rPr>
      </w:pPr>
      <w:r w:rsidRPr="00FC5606">
        <w:rPr>
          <w:rFonts w:ascii="Arial" w:hAnsi="Arial" w:cs="Arial"/>
        </w:rPr>
        <w:t>In addition, obesity is associated with reduced health-related quality of life and psychosocial function (</w:t>
      </w:r>
      <w:r w:rsidR="00725449">
        <w:rPr>
          <w:rFonts w:ascii="Arial" w:hAnsi="Arial" w:cs="Arial"/>
        </w:rPr>
        <w:t>20</w:t>
      </w:r>
      <w:r w:rsidRPr="00FC5606">
        <w:rPr>
          <w:rFonts w:ascii="Arial" w:hAnsi="Arial" w:cs="Arial"/>
        </w:rPr>
        <w:t xml:space="preserve">). </w:t>
      </w:r>
      <w:r w:rsidR="009F661B" w:rsidRPr="00FC5606">
        <w:rPr>
          <w:rFonts w:ascii="Arial" w:hAnsi="Arial" w:cs="Arial"/>
        </w:rPr>
        <w:t>E</w:t>
      </w:r>
      <w:r w:rsidRPr="00FC5606">
        <w:rPr>
          <w:rFonts w:ascii="Arial" w:hAnsi="Arial" w:cs="Arial"/>
        </w:rPr>
        <w:t>vidence from mortality studies also indicates that cardiovascular disease, for which obesity is a modifiable risk factor, is the most common cause of premature and excess mortality among patients with mood and psychotic disorders (</w:t>
      </w:r>
      <w:r w:rsidR="00725449">
        <w:rPr>
          <w:rFonts w:ascii="Arial" w:hAnsi="Arial" w:cs="Arial"/>
        </w:rPr>
        <w:t>21,22,23</w:t>
      </w:r>
      <w:r w:rsidRPr="00FC5606">
        <w:rPr>
          <w:rFonts w:ascii="Arial" w:hAnsi="Arial" w:cs="Arial"/>
        </w:rPr>
        <w:t>).</w:t>
      </w:r>
      <w:r w:rsidR="009F661B" w:rsidRPr="00FC5606">
        <w:rPr>
          <w:rFonts w:ascii="Arial" w:hAnsi="Arial" w:cs="Arial"/>
        </w:rPr>
        <w:t xml:space="preserve"> </w:t>
      </w:r>
      <w:proofErr w:type="gramStart"/>
      <w:r w:rsidR="009F661B" w:rsidRPr="00FC5606">
        <w:rPr>
          <w:rFonts w:ascii="Arial" w:hAnsi="Arial" w:cs="Arial"/>
        </w:rPr>
        <w:t>Thus</w:t>
      </w:r>
      <w:proofErr w:type="gramEnd"/>
      <w:r w:rsidR="009F661B" w:rsidRPr="00FC5606">
        <w:rPr>
          <w:rFonts w:ascii="Arial" w:hAnsi="Arial" w:cs="Arial"/>
        </w:rPr>
        <w:t xml:space="preserve"> any intervention that is tolerated by people with</w:t>
      </w:r>
      <w:r w:rsidR="00932477" w:rsidRPr="00FC5606">
        <w:rPr>
          <w:rFonts w:ascii="Arial" w:hAnsi="Arial" w:cs="Arial"/>
        </w:rPr>
        <w:t xml:space="preserve"> </w:t>
      </w:r>
      <w:r w:rsidR="009F661B" w:rsidRPr="00FC5606">
        <w:rPr>
          <w:rFonts w:ascii="Arial" w:hAnsi="Arial" w:cs="Arial"/>
        </w:rPr>
        <w:t>SMI that enables weight reduction, particularly if this is 5% or more</w:t>
      </w:r>
      <w:r w:rsidR="00EB2CC8">
        <w:rPr>
          <w:rFonts w:ascii="Arial" w:hAnsi="Arial" w:cs="Arial"/>
        </w:rPr>
        <w:t>,</w:t>
      </w:r>
      <w:r w:rsidR="009F661B" w:rsidRPr="00FC5606">
        <w:rPr>
          <w:rFonts w:ascii="Arial" w:hAnsi="Arial" w:cs="Arial"/>
        </w:rPr>
        <w:t xml:space="preserve"> is likely to have benefit in relation to longer term health outcomes</w:t>
      </w:r>
      <w:r w:rsidR="00932477" w:rsidRPr="00FC5606">
        <w:rPr>
          <w:rFonts w:ascii="Arial" w:hAnsi="Arial" w:cs="Arial"/>
        </w:rPr>
        <w:t xml:space="preserve"> including premature mortality (</w:t>
      </w:r>
      <w:r w:rsidR="007117C8">
        <w:rPr>
          <w:rFonts w:ascii="Arial" w:hAnsi="Arial" w:cs="Arial"/>
        </w:rPr>
        <w:t>24</w:t>
      </w:r>
      <w:r w:rsidR="00932477" w:rsidRPr="00FC5606">
        <w:rPr>
          <w:rFonts w:ascii="Arial" w:hAnsi="Arial" w:cs="Arial"/>
        </w:rPr>
        <w:t>)</w:t>
      </w:r>
      <w:r w:rsidR="009F661B" w:rsidRPr="00FC5606">
        <w:rPr>
          <w:rFonts w:ascii="Arial" w:hAnsi="Arial" w:cs="Arial"/>
        </w:rPr>
        <w:t xml:space="preserve">. </w:t>
      </w:r>
      <w:proofErr w:type="gramStart"/>
      <w:r w:rsidR="0032099A" w:rsidRPr="00FC5606">
        <w:rPr>
          <w:rFonts w:ascii="Arial" w:hAnsi="Arial" w:cs="Arial"/>
        </w:rPr>
        <w:lastRenderedPageBreak/>
        <w:t>Furthermore</w:t>
      </w:r>
      <w:proofErr w:type="gramEnd"/>
      <w:r w:rsidR="0032099A" w:rsidRPr="00FC5606">
        <w:rPr>
          <w:rFonts w:ascii="Arial" w:hAnsi="Arial" w:cs="Arial"/>
        </w:rPr>
        <w:t xml:space="preserve"> any reduction of HbA1c </w:t>
      </w:r>
      <w:r w:rsidR="00932477" w:rsidRPr="00FC5606">
        <w:rPr>
          <w:rFonts w:ascii="Arial" w:hAnsi="Arial" w:cs="Arial"/>
        </w:rPr>
        <w:t>has the potential to</w:t>
      </w:r>
      <w:r w:rsidR="0032099A" w:rsidRPr="00FC5606">
        <w:rPr>
          <w:rFonts w:ascii="Arial" w:hAnsi="Arial" w:cs="Arial"/>
        </w:rPr>
        <w:t xml:space="preserve"> </w:t>
      </w:r>
      <w:r w:rsidR="00932477" w:rsidRPr="00FC5606">
        <w:rPr>
          <w:rFonts w:ascii="Arial" w:hAnsi="Arial" w:cs="Arial"/>
        </w:rPr>
        <w:t>improve the cardiovascular risk calculus for any individual (</w:t>
      </w:r>
      <w:r w:rsidR="007117C8">
        <w:rPr>
          <w:rFonts w:ascii="Arial" w:hAnsi="Arial" w:cs="Arial"/>
        </w:rPr>
        <w:t>25</w:t>
      </w:r>
      <w:r w:rsidR="00932477" w:rsidRPr="00FC5606">
        <w:rPr>
          <w:rFonts w:ascii="Arial" w:hAnsi="Arial" w:cs="Arial"/>
        </w:rPr>
        <w:t>).</w:t>
      </w:r>
    </w:p>
    <w:p w14:paraId="69B484ED" w14:textId="77777777" w:rsidR="00447A6C" w:rsidRPr="00FC5606" w:rsidRDefault="00447A6C" w:rsidP="00FC5606">
      <w:pPr>
        <w:pStyle w:val="Default"/>
        <w:spacing w:line="360" w:lineRule="auto"/>
        <w:rPr>
          <w:rFonts w:ascii="Arial" w:hAnsi="Arial" w:cs="Arial"/>
        </w:rPr>
      </w:pPr>
    </w:p>
    <w:p w14:paraId="6A36108E" w14:textId="51CE13CA" w:rsidR="00447A6C" w:rsidRPr="00FC5606" w:rsidRDefault="00447A6C" w:rsidP="00FC5606">
      <w:pPr>
        <w:pStyle w:val="Default"/>
        <w:spacing w:line="360" w:lineRule="auto"/>
        <w:rPr>
          <w:rFonts w:ascii="Arial" w:hAnsi="Arial" w:cs="Arial"/>
        </w:rPr>
      </w:pPr>
      <w:r w:rsidRPr="00FC5606">
        <w:rPr>
          <w:rFonts w:ascii="Arial" w:hAnsi="Arial" w:cs="Arial"/>
        </w:rPr>
        <w:t xml:space="preserve">The reduction seen in both systolic and diastolic blood pressure was </w:t>
      </w:r>
      <w:r w:rsidR="006C63C2" w:rsidRPr="00FC5606">
        <w:rPr>
          <w:rFonts w:ascii="Arial" w:hAnsi="Arial" w:cs="Arial"/>
        </w:rPr>
        <w:t xml:space="preserve">not anticipated and provides further evidence for the value of GLP-1 treatment in </w:t>
      </w:r>
      <w:r w:rsidR="00877218">
        <w:rPr>
          <w:rFonts w:ascii="Arial" w:hAnsi="Arial" w:cs="Arial"/>
        </w:rPr>
        <w:t xml:space="preserve">improving </w:t>
      </w:r>
      <w:r w:rsidR="006C63C2" w:rsidRPr="00FC5606">
        <w:rPr>
          <w:rFonts w:ascii="Arial" w:hAnsi="Arial" w:cs="Arial"/>
        </w:rPr>
        <w:t>the cardiovascular risk profile in people with SMI (</w:t>
      </w:r>
      <w:r w:rsidR="007117C8">
        <w:rPr>
          <w:rFonts w:ascii="Arial" w:hAnsi="Arial" w:cs="Arial"/>
        </w:rPr>
        <w:t>2</w:t>
      </w:r>
      <w:r w:rsidR="00821CF3">
        <w:rPr>
          <w:rFonts w:ascii="Arial" w:hAnsi="Arial" w:cs="Arial"/>
        </w:rPr>
        <w:t>6</w:t>
      </w:r>
      <w:r w:rsidR="006C63C2" w:rsidRPr="00FC5606">
        <w:rPr>
          <w:rFonts w:ascii="Arial" w:hAnsi="Arial" w:cs="Arial"/>
        </w:rPr>
        <w:t>).</w:t>
      </w:r>
    </w:p>
    <w:p w14:paraId="4B7D634D" w14:textId="77777777" w:rsidR="006C63C2" w:rsidRPr="00FC5606" w:rsidRDefault="006C63C2" w:rsidP="00FC5606">
      <w:pPr>
        <w:pStyle w:val="Default"/>
        <w:spacing w:line="360" w:lineRule="auto"/>
        <w:rPr>
          <w:rFonts w:ascii="Arial" w:hAnsi="Arial" w:cs="Arial"/>
        </w:rPr>
      </w:pPr>
    </w:p>
    <w:p w14:paraId="3B87DD10" w14:textId="4ACE6087" w:rsidR="009F661B" w:rsidRDefault="009F661B" w:rsidP="00FC5606">
      <w:pPr>
        <w:pStyle w:val="Default"/>
        <w:spacing w:line="360" w:lineRule="auto"/>
        <w:jc w:val="both"/>
        <w:rPr>
          <w:rFonts w:ascii="Arial" w:hAnsi="Arial" w:cs="Arial"/>
        </w:rPr>
      </w:pPr>
      <w:r w:rsidRPr="00FC5606">
        <w:rPr>
          <w:rFonts w:ascii="Arial" w:hAnsi="Arial" w:cs="Arial"/>
        </w:rPr>
        <w:t xml:space="preserve">It </w:t>
      </w:r>
      <w:r w:rsidR="0051051E" w:rsidRPr="00FC5606">
        <w:rPr>
          <w:rFonts w:ascii="Arial" w:hAnsi="Arial" w:cs="Arial"/>
        </w:rPr>
        <w:t xml:space="preserve">is also relevant to point out that the group of people who received the </w:t>
      </w:r>
      <w:proofErr w:type="spellStart"/>
      <w:r w:rsidR="007E6122">
        <w:rPr>
          <w:rFonts w:ascii="Arial" w:hAnsi="Arial" w:cs="Arial"/>
        </w:rPr>
        <w:t>semaglutide</w:t>
      </w:r>
      <w:proofErr w:type="spellEnd"/>
      <w:r w:rsidR="002B1D4B" w:rsidRPr="00FC5606">
        <w:rPr>
          <w:rFonts w:ascii="Arial" w:hAnsi="Arial" w:cs="Arial"/>
        </w:rPr>
        <w:t xml:space="preserve"> </w:t>
      </w:r>
      <w:r w:rsidR="0051051E" w:rsidRPr="00FC5606">
        <w:rPr>
          <w:rFonts w:ascii="Arial" w:hAnsi="Arial" w:cs="Arial"/>
        </w:rPr>
        <w:t>at the severe end of the spectrum of SMI as they were all at the time of the</w:t>
      </w:r>
      <w:r w:rsidR="002B1D4B" w:rsidRPr="00FC5606">
        <w:rPr>
          <w:rFonts w:ascii="Arial" w:hAnsi="Arial" w:cs="Arial"/>
        </w:rPr>
        <w:t xml:space="preserve"> </w:t>
      </w:r>
      <w:r w:rsidR="0051051E" w:rsidRPr="00FC5606">
        <w:rPr>
          <w:rFonts w:ascii="Arial" w:hAnsi="Arial" w:cs="Arial"/>
        </w:rPr>
        <w:t xml:space="preserve">intervention formally detained </w:t>
      </w:r>
      <w:r w:rsidR="00216EE3">
        <w:rPr>
          <w:rFonts w:ascii="Arial" w:hAnsi="Arial" w:cs="Arial"/>
        </w:rPr>
        <w:t>under the Mental Health Act (</w:t>
      </w:r>
      <w:r w:rsidR="00821CF3">
        <w:rPr>
          <w:rFonts w:ascii="Arial" w:hAnsi="Arial" w:cs="Arial"/>
        </w:rPr>
        <w:t>27</w:t>
      </w:r>
      <w:r w:rsidR="00216EE3">
        <w:rPr>
          <w:rFonts w:ascii="Arial" w:hAnsi="Arial" w:cs="Arial"/>
        </w:rPr>
        <w:t xml:space="preserve">) </w:t>
      </w:r>
      <w:r w:rsidR="0051051E" w:rsidRPr="00FC5606">
        <w:rPr>
          <w:rFonts w:ascii="Arial" w:hAnsi="Arial" w:cs="Arial"/>
        </w:rPr>
        <w:t xml:space="preserve">in a medium secure unit setting. </w:t>
      </w:r>
      <w:proofErr w:type="gramStart"/>
      <w:r w:rsidR="0051051E" w:rsidRPr="00FC5606">
        <w:rPr>
          <w:rFonts w:ascii="Arial" w:hAnsi="Arial" w:cs="Arial"/>
        </w:rPr>
        <w:t>Thus</w:t>
      </w:r>
      <w:proofErr w:type="gramEnd"/>
      <w:r w:rsidR="0051051E" w:rsidRPr="00FC5606">
        <w:rPr>
          <w:rFonts w:ascii="Arial" w:hAnsi="Arial" w:cs="Arial"/>
        </w:rPr>
        <w:t xml:space="preserve"> leave to the community was </w:t>
      </w:r>
      <w:r w:rsidR="00F07ACD" w:rsidRPr="00FC5606">
        <w:rPr>
          <w:rFonts w:ascii="Arial" w:hAnsi="Arial" w:cs="Arial"/>
        </w:rPr>
        <w:t xml:space="preserve">limited and </w:t>
      </w:r>
      <w:r w:rsidR="0051051E" w:rsidRPr="00FC5606">
        <w:rPr>
          <w:rFonts w:ascii="Arial" w:hAnsi="Arial" w:cs="Arial"/>
        </w:rPr>
        <w:t xml:space="preserve">subject to the approval of the psychiatrist in charge of their care </w:t>
      </w:r>
      <w:r w:rsidR="00F07ACD" w:rsidRPr="00FC5606">
        <w:rPr>
          <w:rFonts w:ascii="Arial" w:hAnsi="Arial" w:cs="Arial"/>
        </w:rPr>
        <w:t>(deemed Section 17 leave</w:t>
      </w:r>
      <w:r w:rsidR="000F3314">
        <w:rPr>
          <w:rFonts w:ascii="Arial" w:hAnsi="Arial" w:cs="Arial"/>
        </w:rPr>
        <w:t xml:space="preserve"> in England and Wales</w:t>
      </w:r>
      <w:r w:rsidR="00F07ACD" w:rsidRPr="00FC5606">
        <w:rPr>
          <w:rFonts w:ascii="Arial" w:hAnsi="Arial" w:cs="Arial"/>
        </w:rPr>
        <w:t xml:space="preserve">) </w:t>
      </w:r>
      <w:r w:rsidR="0051051E" w:rsidRPr="00FC5606">
        <w:rPr>
          <w:rFonts w:ascii="Arial" w:hAnsi="Arial" w:cs="Arial"/>
        </w:rPr>
        <w:t>and at weekends the opportunities for leave off the ward were limite</w:t>
      </w:r>
      <w:r w:rsidR="00EF7918" w:rsidRPr="00FC5606">
        <w:rPr>
          <w:rFonts w:ascii="Arial" w:hAnsi="Arial" w:cs="Arial"/>
        </w:rPr>
        <w:t>d for logistical reasons</w:t>
      </w:r>
      <w:r w:rsidR="0051051E" w:rsidRPr="00FC5606">
        <w:rPr>
          <w:rFonts w:ascii="Arial" w:hAnsi="Arial" w:cs="Arial"/>
        </w:rPr>
        <w:t xml:space="preserve"> on Saturdays</w:t>
      </w:r>
      <w:r w:rsidR="00F07ACD" w:rsidRPr="00FC5606">
        <w:rPr>
          <w:rFonts w:ascii="Arial" w:hAnsi="Arial" w:cs="Arial"/>
        </w:rPr>
        <w:t xml:space="preserve">, </w:t>
      </w:r>
      <w:r w:rsidR="0051051E" w:rsidRPr="00FC5606">
        <w:rPr>
          <w:rFonts w:ascii="Arial" w:hAnsi="Arial" w:cs="Arial"/>
        </w:rPr>
        <w:t>Sundays</w:t>
      </w:r>
      <w:r w:rsidR="00F07ACD" w:rsidRPr="00FC5606">
        <w:rPr>
          <w:rFonts w:ascii="Arial" w:hAnsi="Arial" w:cs="Arial"/>
        </w:rPr>
        <w:t xml:space="preserve"> </w:t>
      </w:r>
      <w:r w:rsidR="003A4FD7">
        <w:rPr>
          <w:rFonts w:ascii="Arial" w:hAnsi="Arial" w:cs="Arial"/>
        </w:rPr>
        <w:t>and</w:t>
      </w:r>
      <w:r w:rsidR="00F07ACD" w:rsidRPr="00FC5606">
        <w:rPr>
          <w:rFonts w:ascii="Arial" w:hAnsi="Arial" w:cs="Arial"/>
        </w:rPr>
        <w:t xml:space="preserve"> national holidays</w:t>
      </w:r>
      <w:r w:rsidR="0051051E" w:rsidRPr="00FC5606">
        <w:rPr>
          <w:rFonts w:ascii="Arial" w:hAnsi="Arial" w:cs="Arial"/>
        </w:rPr>
        <w:t>.</w:t>
      </w:r>
    </w:p>
    <w:p w14:paraId="28149823" w14:textId="77777777" w:rsidR="0051051E" w:rsidRPr="00FC5606" w:rsidRDefault="0051051E" w:rsidP="00FC5606">
      <w:pPr>
        <w:pStyle w:val="Default"/>
        <w:spacing w:line="360" w:lineRule="auto"/>
        <w:rPr>
          <w:rFonts w:ascii="Arial" w:hAnsi="Arial" w:cs="Arial"/>
        </w:rPr>
      </w:pPr>
    </w:p>
    <w:p w14:paraId="014F16D9" w14:textId="08C75322" w:rsidR="006534A4" w:rsidRPr="00FC5606" w:rsidRDefault="00F07ACD" w:rsidP="00FC5606">
      <w:pPr>
        <w:pStyle w:val="Default"/>
        <w:spacing w:line="360" w:lineRule="auto"/>
        <w:jc w:val="both"/>
        <w:rPr>
          <w:rFonts w:ascii="Arial" w:hAnsi="Arial" w:cs="Arial"/>
        </w:rPr>
      </w:pPr>
      <w:r w:rsidRPr="00FC5606">
        <w:rPr>
          <w:rFonts w:ascii="Arial" w:hAnsi="Arial" w:cs="Arial"/>
        </w:rPr>
        <w:t xml:space="preserve">There are other potential benefits of </w:t>
      </w:r>
      <w:r w:rsidR="00B77B56">
        <w:rPr>
          <w:rFonts w:ascii="Arial" w:hAnsi="Arial" w:cs="Arial"/>
        </w:rPr>
        <w:t>incretin treatment</w:t>
      </w:r>
      <w:r w:rsidRPr="00FC5606">
        <w:rPr>
          <w:rFonts w:ascii="Arial" w:hAnsi="Arial" w:cs="Arial"/>
        </w:rPr>
        <w:t xml:space="preserve"> in people with schizophrenia and schizoaffective disorder. </w:t>
      </w:r>
      <w:r w:rsidR="0051051E" w:rsidRPr="00FC5606">
        <w:rPr>
          <w:rFonts w:ascii="Arial" w:hAnsi="Arial" w:cs="Arial"/>
        </w:rPr>
        <w:t xml:space="preserve">In addition to the body of evidence </w:t>
      </w:r>
      <w:proofErr w:type="gramStart"/>
      <w:r w:rsidR="0051051E" w:rsidRPr="00FC5606">
        <w:rPr>
          <w:rFonts w:ascii="Arial" w:hAnsi="Arial" w:cs="Arial"/>
        </w:rPr>
        <w:t>in the area of</w:t>
      </w:r>
      <w:proofErr w:type="gramEnd"/>
      <w:r w:rsidR="0051051E" w:rsidRPr="00FC5606">
        <w:rPr>
          <w:rFonts w:ascii="Arial" w:hAnsi="Arial" w:cs="Arial"/>
        </w:rPr>
        <w:t xml:space="preserve"> weight reduction, GLP-1 agonists have also been </w:t>
      </w:r>
      <w:r w:rsidR="006534A4" w:rsidRPr="00FC5606">
        <w:rPr>
          <w:rFonts w:ascii="Arial" w:hAnsi="Arial" w:cs="Arial"/>
        </w:rPr>
        <w:t>reported</w:t>
      </w:r>
      <w:r w:rsidR="0051051E" w:rsidRPr="00FC5606">
        <w:rPr>
          <w:rFonts w:ascii="Arial" w:hAnsi="Arial" w:cs="Arial"/>
        </w:rPr>
        <w:t xml:space="preserve"> to improve cognitive processing in humans</w:t>
      </w:r>
      <w:r w:rsidR="006534A4" w:rsidRPr="00FC5606">
        <w:rPr>
          <w:rFonts w:ascii="Arial" w:hAnsi="Arial" w:cs="Arial"/>
        </w:rPr>
        <w:t xml:space="preserve">. </w:t>
      </w:r>
      <w:proofErr w:type="gramStart"/>
      <w:r w:rsidR="006534A4" w:rsidRPr="00FC5606">
        <w:rPr>
          <w:rFonts w:ascii="Arial" w:hAnsi="Arial" w:cs="Arial"/>
        </w:rPr>
        <w:t>However</w:t>
      </w:r>
      <w:proofErr w:type="gramEnd"/>
      <w:r w:rsidR="006534A4" w:rsidRPr="00FC5606">
        <w:rPr>
          <w:rFonts w:ascii="Arial" w:hAnsi="Arial" w:cs="Arial"/>
        </w:rPr>
        <w:t xml:space="preserve"> the results tend to show an improvement in some </w:t>
      </w:r>
      <w:r w:rsidR="008A35F0" w:rsidRPr="00FC5606">
        <w:rPr>
          <w:rFonts w:ascii="Arial" w:hAnsi="Arial" w:cs="Arial"/>
        </w:rPr>
        <w:t>domains</w:t>
      </w:r>
      <w:r w:rsidR="006534A4" w:rsidRPr="00FC5606">
        <w:rPr>
          <w:rFonts w:ascii="Arial" w:hAnsi="Arial" w:cs="Arial"/>
        </w:rPr>
        <w:t xml:space="preserve"> (</w:t>
      </w:r>
      <w:r w:rsidR="00F86933" w:rsidRPr="00FC5606">
        <w:rPr>
          <w:rFonts w:ascii="Arial" w:hAnsi="Arial" w:cs="Arial"/>
        </w:rPr>
        <w:t>for example</w:t>
      </w:r>
      <w:r w:rsidR="006534A4" w:rsidRPr="00FC5606">
        <w:rPr>
          <w:rFonts w:ascii="Arial" w:hAnsi="Arial" w:cs="Arial"/>
        </w:rPr>
        <w:t xml:space="preserve"> hippocampal connections, cerebral glucose metabolism, hippocampal activation on functional magnetic resonance imaging) without demonstrat</w:t>
      </w:r>
      <w:r w:rsidR="00EB2CC8">
        <w:rPr>
          <w:rFonts w:ascii="Arial" w:hAnsi="Arial" w:cs="Arial"/>
        </w:rPr>
        <w:t>ing</w:t>
      </w:r>
      <w:r w:rsidR="006534A4" w:rsidRPr="00FC5606">
        <w:rPr>
          <w:rFonts w:ascii="Arial" w:hAnsi="Arial" w:cs="Arial"/>
        </w:rPr>
        <w:t xml:space="preserve"> a strong correlation to cognitive scores (</w:t>
      </w:r>
      <w:r w:rsidR="00821CF3">
        <w:rPr>
          <w:rFonts w:ascii="Arial" w:hAnsi="Arial" w:cs="Arial"/>
        </w:rPr>
        <w:t>28</w:t>
      </w:r>
      <w:r w:rsidR="006534A4" w:rsidRPr="00FC5606">
        <w:rPr>
          <w:rFonts w:ascii="Arial" w:hAnsi="Arial" w:cs="Arial"/>
        </w:rPr>
        <w:t>)</w:t>
      </w:r>
      <w:r w:rsidR="00D05B5A" w:rsidRPr="00FC5606">
        <w:rPr>
          <w:rFonts w:ascii="Arial" w:hAnsi="Arial" w:cs="Arial"/>
        </w:rPr>
        <w:t>.</w:t>
      </w:r>
    </w:p>
    <w:p w14:paraId="2CDAFC71" w14:textId="77777777" w:rsidR="00D05B5A" w:rsidRPr="00FC5606" w:rsidRDefault="00D05B5A" w:rsidP="00FC5606">
      <w:pPr>
        <w:pStyle w:val="Default"/>
        <w:spacing w:line="360" w:lineRule="auto"/>
        <w:jc w:val="both"/>
        <w:rPr>
          <w:rFonts w:ascii="Arial" w:hAnsi="Arial" w:cs="Arial"/>
        </w:rPr>
      </w:pPr>
    </w:p>
    <w:p w14:paraId="340450A1" w14:textId="7C9F3BEF" w:rsidR="0051051E" w:rsidRPr="00FC5606" w:rsidRDefault="006534A4" w:rsidP="00FC5606">
      <w:pPr>
        <w:pStyle w:val="Default"/>
        <w:spacing w:line="360" w:lineRule="auto"/>
        <w:jc w:val="both"/>
        <w:rPr>
          <w:rFonts w:ascii="Arial" w:hAnsi="Arial" w:cs="Arial"/>
        </w:rPr>
      </w:pPr>
      <w:r w:rsidRPr="00FC5606">
        <w:rPr>
          <w:rFonts w:ascii="Arial" w:hAnsi="Arial" w:cs="Arial"/>
        </w:rPr>
        <w:t>I</w:t>
      </w:r>
      <w:r w:rsidR="00D058D8" w:rsidRPr="00FC5606">
        <w:rPr>
          <w:rFonts w:ascii="Arial" w:hAnsi="Arial" w:cs="Arial"/>
        </w:rPr>
        <w:t>n animal</w:t>
      </w:r>
      <w:r w:rsidR="003E1D95" w:rsidRPr="00FC5606">
        <w:rPr>
          <w:rFonts w:ascii="Arial" w:hAnsi="Arial" w:cs="Arial"/>
        </w:rPr>
        <w:t xml:space="preserve"> </w:t>
      </w:r>
      <w:r w:rsidR="00D058D8" w:rsidRPr="00FC5606">
        <w:rPr>
          <w:rFonts w:ascii="Arial" w:hAnsi="Arial" w:cs="Arial"/>
        </w:rPr>
        <w:t>models</w:t>
      </w:r>
      <w:r w:rsidR="00D05B5A" w:rsidRPr="00FC5606">
        <w:rPr>
          <w:rFonts w:ascii="Arial" w:hAnsi="Arial" w:cs="Arial"/>
        </w:rPr>
        <w:t xml:space="preserve">, </w:t>
      </w:r>
      <w:r w:rsidRPr="00FC5606">
        <w:rPr>
          <w:rFonts w:ascii="Arial" w:hAnsi="Arial" w:cs="Arial"/>
        </w:rPr>
        <w:t>GLP</w:t>
      </w:r>
      <w:r w:rsidR="00D05B5A" w:rsidRPr="00FC5606">
        <w:rPr>
          <w:rFonts w:ascii="Arial" w:hAnsi="Arial" w:cs="Arial"/>
        </w:rPr>
        <w:t>-</w:t>
      </w:r>
      <w:r w:rsidRPr="00FC5606">
        <w:rPr>
          <w:rFonts w:ascii="Arial" w:hAnsi="Arial" w:cs="Arial"/>
        </w:rPr>
        <w:t xml:space="preserve">1 agonist administration has been shown </w:t>
      </w:r>
      <w:r w:rsidR="00D058D8" w:rsidRPr="00FC5606">
        <w:rPr>
          <w:rFonts w:ascii="Arial" w:hAnsi="Arial" w:cs="Arial"/>
        </w:rPr>
        <w:t xml:space="preserve">to </w:t>
      </w:r>
      <w:r w:rsidR="003E1D95" w:rsidRPr="00FC5606">
        <w:rPr>
          <w:rFonts w:ascii="Arial" w:hAnsi="Arial" w:cs="Arial"/>
        </w:rPr>
        <w:t>reduce addiction driven behaviours (</w:t>
      </w:r>
      <w:r w:rsidR="00A929AE">
        <w:rPr>
          <w:rFonts w:ascii="Arial" w:hAnsi="Arial" w:cs="Arial"/>
        </w:rPr>
        <w:t>29</w:t>
      </w:r>
      <w:r w:rsidR="003E1D95" w:rsidRPr="00FC5606">
        <w:rPr>
          <w:rFonts w:ascii="Arial" w:hAnsi="Arial" w:cs="Arial"/>
        </w:rPr>
        <w:t xml:space="preserve">). </w:t>
      </w:r>
      <w:r w:rsidR="00BF0EF0" w:rsidRPr="00FC5606">
        <w:rPr>
          <w:rFonts w:ascii="Arial" w:eastAsia="CalistoMTStd" w:hAnsi="Arial" w:cs="Arial"/>
        </w:rPr>
        <w:t xml:space="preserve">Most of the work on GLP-1 in the alcohol field has been done with the drug exenatide and, more recently, with liraglutide and dulaglutide, but literature is scarce on the potential impact of </w:t>
      </w:r>
      <w:proofErr w:type="spellStart"/>
      <w:r w:rsidR="007E6122">
        <w:rPr>
          <w:rFonts w:ascii="Arial" w:eastAsia="CalistoMTStd" w:hAnsi="Arial" w:cs="Arial"/>
        </w:rPr>
        <w:t>semaglutide</w:t>
      </w:r>
      <w:proofErr w:type="spellEnd"/>
      <w:r w:rsidR="00BF0EF0" w:rsidRPr="00FC5606">
        <w:rPr>
          <w:rFonts w:ascii="Arial" w:eastAsia="CalistoMTStd" w:hAnsi="Arial" w:cs="Arial"/>
        </w:rPr>
        <w:t xml:space="preserve">, on alcohol-related outcomes, </w:t>
      </w:r>
      <w:proofErr w:type="gramStart"/>
      <w:r w:rsidR="00BF0EF0" w:rsidRPr="00FC5606">
        <w:rPr>
          <w:rFonts w:ascii="Arial" w:eastAsia="CalistoMTStd" w:hAnsi="Arial" w:cs="Arial"/>
        </w:rPr>
        <w:t>Nevertheless</w:t>
      </w:r>
      <w:proofErr w:type="gramEnd"/>
      <w:r w:rsidR="00BF0EF0" w:rsidRPr="00FC5606">
        <w:rPr>
          <w:rFonts w:ascii="Arial" w:eastAsia="CalistoMTStd" w:hAnsi="Arial" w:cs="Arial"/>
        </w:rPr>
        <w:t xml:space="preserve"> a recent study reported that </w:t>
      </w:r>
      <w:r w:rsidR="00BF0EF0" w:rsidRPr="00FC5606">
        <w:rPr>
          <w:rFonts w:ascii="Arial" w:hAnsi="Arial" w:cs="Arial"/>
        </w:rPr>
        <w:t xml:space="preserve">analogue </w:t>
      </w:r>
      <w:proofErr w:type="spellStart"/>
      <w:r w:rsidR="007E6122">
        <w:rPr>
          <w:rFonts w:ascii="Arial" w:hAnsi="Arial" w:cs="Arial"/>
        </w:rPr>
        <w:t>semaglutide</w:t>
      </w:r>
      <w:proofErr w:type="spellEnd"/>
      <w:r w:rsidR="00BF0EF0" w:rsidRPr="00FC5606">
        <w:rPr>
          <w:rFonts w:ascii="Arial" w:hAnsi="Arial" w:cs="Arial"/>
        </w:rPr>
        <w:t xml:space="preserve"> decreased alcohol intake across different drinking models in different species </w:t>
      </w:r>
      <w:r w:rsidR="00923F41" w:rsidRPr="00FC5606">
        <w:rPr>
          <w:rFonts w:ascii="Arial" w:hAnsi="Arial" w:cs="Arial"/>
        </w:rPr>
        <w:t>with related modulation of</w:t>
      </w:r>
      <w:r w:rsidR="00BF0EF0" w:rsidRPr="00FC5606">
        <w:rPr>
          <w:rFonts w:ascii="Arial" w:hAnsi="Arial" w:cs="Arial"/>
        </w:rPr>
        <w:t xml:space="preserve"> central GABA neurotransmission</w:t>
      </w:r>
      <w:r w:rsidR="00923F41" w:rsidRPr="00FC5606">
        <w:rPr>
          <w:rFonts w:ascii="Arial" w:hAnsi="Arial" w:cs="Arial"/>
        </w:rPr>
        <w:t xml:space="preserve"> (</w:t>
      </w:r>
      <w:r w:rsidR="00821CF3">
        <w:rPr>
          <w:rFonts w:ascii="Arial" w:hAnsi="Arial" w:cs="Arial"/>
        </w:rPr>
        <w:t>30</w:t>
      </w:r>
      <w:r w:rsidR="00923F41" w:rsidRPr="00FC5606">
        <w:rPr>
          <w:rFonts w:ascii="Arial" w:hAnsi="Arial" w:cs="Arial"/>
        </w:rPr>
        <w:t>)</w:t>
      </w:r>
      <w:r w:rsidR="00BF0EF0" w:rsidRPr="00FC5606">
        <w:rPr>
          <w:rFonts w:ascii="Arial" w:hAnsi="Arial" w:cs="Arial"/>
        </w:rPr>
        <w:t>.</w:t>
      </w:r>
    </w:p>
    <w:p w14:paraId="3F552CE7" w14:textId="77777777" w:rsidR="00AA43CB" w:rsidRPr="00FC5606" w:rsidRDefault="00AA43CB" w:rsidP="00FC5606">
      <w:pPr>
        <w:pStyle w:val="Default"/>
        <w:spacing w:line="360" w:lineRule="auto"/>
        <w:jc w:val="both"/>
        <w:rPr>
          <w:rFonts w:ascii="Arial" w:hAnsi="Arial" w:cs="Arial"/>
        </w:rPr>
      </w:pPr>
    </w:p>
    <w:p w14:paraId="6FE68D09" w14:textId="77777777" w:rsidR="00234C39" w:rsidRDefault="00222801" w:rsidP="00FC5606">
      <w:pPr>
        <w:pStyle w:val="Default"/>
        <w:spacing w:line="360" w:lineRule="auto"/>
        <w:jc w:val="both"/>
        <w:rPr>
          <w:rFonts w:ascii="Arial" w:hAnsi="Arial" w:cs="Arial"/>
        </w:rPr>
      </w:pPr>
      <w:r w:rsidRPr="00FC5606">
        <w:rPr>
          <w:rFonts w:ascii="Arial" w:hAnsi="Arial" w:cs="Arial"/>
        </w:rPr>
        <w:t>Limitations</w:t>
      </w:r>
    </w:p>
    <w:p w14:paraId="726525C5" w14:textId="70D8690C" w:rsidR="00AA43CB" w:rsidRPr="00FC5606" w:rsidRDefault="00AA43CB" w:rsidP="00FC5606">
      <w:pPr>
        <w:pStyle w:val="Default"/>
        <w:spacing w:line="360" w:lineRule="auto"/>
        <w:jc w:val="both"/>
        <w:rPr>
          <w:rFonts w:ascii="Arial" w:hAnsi="Arial" w:cs="Arial"/>
        </w:rPr>
      </w:pPr>
      <w:r w:rsidRPr="00FC5606">
        <w:rPr>
          <w:rFonts w:ascii="Arial" w:hAnsi="Arial" w:cs="Arial"/>
        </w:rPr>
        <w:lastRenderedPageBreak/>
        <w:t xml:space="preserve">This is a </w:t>
      </w:r>
      <w:proofErr w:type="gramStart"/>
      <w:r w:rsidRPr="00FC5606">
        <w:rPr>
          <w:rFonts w:ascii="Arial" w:hAnsi="Arial" w:cs="Arial"/>
        </w:rPr>
        <w:t>short term</w:t>
      </w:r>
      <w:proofErr w:type="gramEnd"/>
      <w:r w:rsidRPr="00FC5606">
        <w:rPr>
          <w:rFonts w:ascii="Arial" w:hAnsi="Arial" w:cs="Arial"/>
        </w:rPr>
        <w:t xml:space="preserve"> </w:t>
      </w:r>
      <w:r w:rsidR="00222801" w:rsidRPr="00FC5606">
        <w:rPr>
          <w:rFonts w:ascii="Arial" w:hAnsi="Arial" w:cs="Arial"/>
        </w:rPr>
        <w:t>feasibility</w:t>
      </w:r>
      <w:r w:rsidRPr="00FC5606">
        <w:rPr>
          <w:rFonts w:ascii="Arial" w:hAnsi="Arial" w:cs="Arial"/>
        </w:rPr>
        <w:t xml:space="preserve"> </w:t>
      </w:r>
      <w:r w:rsidR="0097516F">
        <w:rPr>
          <w:rFonts w:ascii="Arial" w:hAnsi="Arial" w:cs="Arial"/>
        </w:rPr>
        <w:t>intervention</w:t>
      </w:r>
      <w:r w:rsidR="00CF6335">
        <w:rPr>
          <w:rFonts w:ascii="Arial" w:hAnsi="Arial" w:cs="Arial"/>
        </w:rPr>
        <w:t xml:space="preserve"> with relatively low numbers. We accept this as a limitation. </w:t>
      </w:r>
      <w:r w:rsidRPr="00FC5606">
        <w:rPr>
          <w:rFonts w:ascii="Arial" w:hAnsi="Arial" w:cs="Arial"/>
        </w:rPr>
        <w:t xml:space="preserve">Not all patients </w:t>
      </w:r>
      <w:r w:rsidR="00222801" w:rsidRPr="00FC5606">
        <w:rPr>
          <w:rFonts w:ascii="Arial" w:hAnsi="Arial" w:cs="Arial"/>
        </w:rPr>
        <w:t xml:space="preserve">remained </w:t>
      </w:r>
      <w:r w:rsidRPr="00FC5606">
        <w:rPr>
          <w:rFonts w:ascii="Arial" w:hAnsi="Arial" w:cs="Arial"/>
        </w:rPr>
        <w:t>on</w:t>
      </w:r>
      <w:r w:rsidR="0097516F">
        <w:rPr>
          <w:rFonts w:ascii="Arial" w:hAnsi="Arial" w:cs="Arial"/>
        </w:rPr>
        <w:t xml:space="preserve"> </w:t>
      </w:r>
      <w:proofErr w:type="spellStart"/>
      <w:r w:rsidR="007E6122">
        <w:rPr>
          <w:rFonts w:ascii="Arial" w:hAnsi="Arial" w:cs="Arial"/>
        </w:rPr>
        <w:t>semaglutide</w:t>
      </w:r>
      <w:proofErr w:type="spellEnd"/>
      <w:r w:rsidR="00222801" w:rsidRPr="00FC5606">
        <w:rPr>
          <w:rFonts w:ascii="Arial" w:hAnsi="Arial" w:cs="Arial"/>
        </w:rPr>
        <w:t xml:space="preserve">. </w:t>
      </w:r>
      <w:r w:rsidRPr="00FC5606">
        <w:rPr>
          <w:rFonts w:ascii="Arial" w:hAnsi="Arial" w:cs="Arial"/>
        </w:rPr>
        <w:t xml:space="preserve"> </w:t>
      </w:r>
      <w:r w:rsidR="00222801" w:rsidRPr="00FC5606">
        <w:rPr>
          <w:rFonts w:ascii="Arial" w:hAnsi="Arial" w:cs="Arial"/>
        </w:rPr>
        <w:t xml:space="preserve">However </w:t>
      </w:r>
      <w:r w:rsidR="00F224D4" w:rsidRPr="00FC5606">
        <w:rPr>
          <w:rFonts w:ascii="Arial" w:hAnsi="Arial" w:cs="Arial"/>
        </w:rPr>
        <w:t>all but one did lose weight.</w:t>
      </w:r>
    </w:p>
    <w:p w14:paraId="0FB82037" w14:textId="77777777" w:rsidR="00AA43CB" w:rsidRPr="00FC5606" w:rsidRDefault="00AA43CB" w:rsidP="00FC5606">
      <w:pPr>
        <w:pStyle w:val="Default"/>
        <w:spacing w:line="360" w:lineRule="auto"/>
        <w:jc w:val="both"/>
        <w:rPr>
          <w:rFonts w:ascii="Arial" w:hAnsi="Arial" w:cs="Arial"/>
        </w:rPr>
      </w:pPr>
    </w:p>
    <w:p w14:paraId="3771477E" w14:textId="475AFADB" w:rsidR="00AA43CB" w:rsidRPr="00FC5606" w:rsidRDefault="00AA43CB" w:rsidP="00FC5606">
      <w:pPr>
        <w:pStyle w:val="Default"/>
        <w:spacing w:line="360" w:lineRule="auto"/>
        <w:jc w:val="both"/>
        <w:rPr>
          <w:rFonts w:ascii="Arial" w:hAnsi="Arial" w:cs="Arial"/>
        </w:rPr>
      </w:pPr>
      <w:r w:rsidRPr="00FC5606">
        <w:rPr>
          <w:rFonts w:ascii="Arial" w:hAnsi="Arial" w:cs="Arial"/>
        </w:rPr>
        <w:t>We</w:t>
      </w:r>
      <w:r w:rsidR="00CB2A85" w:rsidRPr="00FC5606">
        <w:rPr>
          <w:rFonts w:ascii="Arial" w:hAnsi="Arial" w:cs="Arial"/>
        </w:rPr>
        <w:t xml:space="preserve"> accept</w:t>
      </w:r>
      <w:r w:rsidRPr="00FC5606">
        <w:rPr>
          <w:rFonts w:ascii="Arial" w:hAnsi="Arial" w:cs="Arial"/>
        </w:rPr>
        <w:t xml:space="preserve"> that </w:t>
      </w:r>
      <w:r w:rsidR="00CB2A85" w:rsidRPr="00FC5606">
        <w:rPr>
          <w:rFonts w:ascii="Arial" w:hAnsi="Arial" w:cs="Arial"/>
        </w:rPr>
        <w:t xml:space="preserve">that it </w:t>
      </w:r>
      <w:r w:rsidRPr="00FC5606">
        <w:rPr>
          <w:rFonts w:ascii="Arial" w:hAnsi="Arial" w:cs="Arial"/>
        </w:rPr>
        <w:t xml:space="preserve">was </w:t>
      </w:r>
      <w:r w:rsidR="00CB2A85" w:rsidRPr="00FC5606">
        <w:rPr>
          <w:rFonts w:ascii="Arial" w:hAnsi="Arial" w:cs="Arial"/>
        </w:rPr>
        <w:t>far from ideal that</w:t>
      </w:r>
      <w:r w:rsidRPr="00FC5606">
        <w:rPr>
          <w:rFonts w:ascii="Arial" w:hAnsi="Arial" w:cs="Arial"/>
        </w:rPr>
        <w:t xml:space="preserve"> when patients left </w:t>
      </w:r>
      <w:r w:rsidR="00CB2A85" w:rsidRPr="00FC5606">
        <w:rPr>
          <w:rFonts w:ascii="Arial" w:hAnsi="Arial" w:cs="Arial"/>
        </w:rPr>
        <w:t>hospital, they</w:t>
      </w:r>
      <w:r w:rsidRPr="00FC5606">
        <w:rPr>
          <w:rFonts w:ascii="Arial" w:hAnsi="Arial" w:cs="Arial"/>
        </w:rPr>
        <w:t xml:space="preserve"> were no</w:t>
      </w:r>
      <w:r w:rsidR="00CB2A85" w:rsidRPr="00FC5606">
        <w:rPr>
          <w:rFonts w:ascii="Arial" w:hAnsi="Arial" w:cs="Arial"/>
        </w:rPr>
        <w:t xml:space="preserve"> </w:t>
      </w:r>
      <w:r w:rsidRPr="00FC5606">
        <w:rPr>
          <w:rFonts w:ascii="Arial" w:hAnsi="Arial" w:cs="Arial"/>
        </w:rPr>
        <w:t xml:space="preserve">longer </w:t>
      </w:r>
      <w:r w:rsidR="00CB2A85" w:rsidRPr="00FC5606">
        <w:rPr>
          <w:rFonts w:ascii="Arial" w:hAnsi="Arial" w:cs="Arial"/>
        </w:rPr>
        <w:t xml:space="preserve">able to access </w:t>
      </w:r>
      <w:proofErr w:type="spellStart"/>
      <w:r w:rsidR="007E6122">
        <w:rPr>
          <w:rFonts w:ascii="Arial" w:hAnsi="Arial" w:cs="Arial"/>
        </w:rPr>
        <w:t>semaglutide</w:t>
      </w:r>
      <w:proofErr w:type="spellEnd"/>
      <w:r w:rsidR="00CB2A85" w:rsidRPr="00FC5606">
        <w:rPr>
          <w:rFonts w:ascii="Arial" w:hAnsi="Arial" w:cs="Arial"/>
        </w:rPr>
        <w:t>.</w:t>
      </w:r>
      <w:r w:rsidRPr="00FC5606">
        <w:rPr>
          <w:rFonts w:ascii="Arial" w:hAnsi="Arial" w:cs="Arial"/>
        </w:rPr>
        <w:t xml:space="preserve"> </w:t>
      </w:r>
      <w:proofErr w:type="gramStart"/>
      <w:r w:rsidR="00CB2A85" w:rsidRPr="00FC5606">
        <w:rPr>
          <w:rFonts w:ascii="Arial" w:hAnsi="Arial" w:cs="Arial"/>
        </w:rPr>
        <w:t>However</w:t>
      </w:r>
      <w:proofErr w:type="gramEnd"/>
      <w:r w:rsidR="00CB2A85" w:rsidRPr="00FC5606">
        <w:rPr>
          <w:rFonts w:ascii="Arial" w:hAnsi="Arial" w:cs="Arial"/>
        </w:rPr>
        <w:t xml:space="preserve"> there was no funding available to continue t</w:t>
      </w:r>
      <w:r w:rsidR="002E7301" w:rsidRPr="00FC5606">
        <w:rPr>
          <w:rFonts w:ascii="Arial" w:hAnsi="Arial" w:cs="Arial"/>
        </w:rPr>
        <w:t>he</w:t>
      </w:r>
      <w:r w:rsidR="00CB2A85" w:rsidRPr="00FC5606">
        <w:rPr>
          <w:rFonts w:ascii="Arial" w:hAnsi="Arial" w:cs="Arial"/>
        </w:rPr>
        <w:t xml:space="preserve"> prescription</w:t>
      </w:r>
      <w:r w:rsidR="00EF7918" w:rsidRPr="00FC5606">
        <w:rPr>
          <w:rFonts w:ascii="Arial" w:hAnsi="Arial" w:cs="Arial"/>
        </w:rPr>
        <w:t xml:space="preserve"> at the time of the study, because of delays in conformation of clinical pathways</w:t>
      </w:r>
      <w:r w:rsidR="0097516F">
        <w:rPr>
          <w:rFonts w:ascii="Arial" w:hAnsi="Arial" w:cs="Arial"/>
        </w:rPr>
        <w:t xml:space="preserve"> in the UK.</w:t>
      </w:r>
    </w:p>
    <w:p w14:paraId="1C94E9D8" w14:textId="77777777" w:rsidR="000C4864" w:rsidRPr="00FC5606" w:rsidRDefault="000C4864" w:rsidP="00FC5606">
      <w:pPr>
        <w:pStyle w:val="Default"/>
        <w:spacing w:line="360" w:lineRule="auto"/>
        <w:rPr>
          <w:rFonts w:ascii="Arial" w:hAnsi="Arial" w:cs="Arial"/>
        </w:rPr>
      </w:pPr>
    </w:p>
    <w:p w14:paraId="708FF76D" w14:textId="6C5AF848" w:rsidR="00BE0947" w:rsidRPr="00FC5606" w:rsidRDefault="00BE0947" w:rsidP="00FC5606">
      <w:pPr>
        <w:shd w:val="clear" w:color="auto" w:fill="FFFFFF"/>
        <w:spacing w:after="0" w:line="360" w:lineRule="auto"/>
        <w:outlineLvl w:val="0"/>
        <w:rPr>
          <w:rFonts w:ascii="Arial" w:eastAsia="Times New Roman" w:hAnsi="Arial" w:cs="Arial"/>
          <w:b/>
          <w:bCs/>
          <w:color w:val="000000" w:themeColor="text1"/>
          <w:kern w:val="36"/>
          <w:sz w:val="24"/>
          <w:szCs w:val="24"/>
          <w:lang w:eastAsia="en-GB"/>
          <w14:ligatures w14:val="none"/>
        </w:rPr>
      </w:pPr>
      <w:r w:rsidRPr="00FC5606">
        <w:rPr>
          <w:rFonts w:ascii="Arial" w:eastAsia="Times New Roman" w:hAnsi="Arial" w:cs="Arial"/>
          <w:b/>
          <w:bCs/>
          <w:color w:val="000000" w:themeColor="text1"/>
          <w:kern w:val="36"/>
          <w:sz w:val="24"/>
          <w:szCs w:val="24"/>
          <w:lang w:eastAsia="en-GB"/>
          <w14:ligatures w14:val="none"/>
        </w:rPr>
        <w:t>Conclusion</w:t>
      </w:r>
    </w:p>
    <w:p w14:paraId="317132CD" w14:textId="1614CA74" w:rsidR="009C48C6" w:rsidRPr="00FC5606" w:rsidRDefault="000C4864"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bookmarkStart w:id="6" w:name="_Hlk188097091"/>
      <w:bookmarkStart w:id="7" w:name="_Hlk188173404"/>
      <w:r w:rsidRPr="00FC5606">
        <w:rPr>
          <w:rFonts w:ascii="Arial" w:eastAsia="Times New Roman" w:hAnsi="Arial" w:cs="Arial"/>
          <w:kern w:val="24"/>
          <w:sz w:val="24"/>
          <w:szCs w:val="24"/>
          <w:highlight w:val="white"/>
          <w:lang w:eastAsia="en-GB"/>
          <w14:ligatures w14:val="none"/>
        </w:rPr>
        <w:t>At up to 6-month</w:t>
      </w:r>
      <w:r w:rsidR="009C48C6" w:rsidRPr="00FC5606">
        <w:rPr>
          <w:rFonts w:ascii="Arial" w:eastAsia="Times New Roman" w:hAnsi="Arial" w:cs="Arial"/>
          <w:kern w:val="24"/>
          <w:sz w:val="24"/>
          <w:szCs w:val="24"/>
          <w:highlight w:val="white"/>
          <w:lang w:eastAsia="en-GB"/>
          <w14:ligatures w14:val="none"/>
        </w:rPr>
        <w:t xml:space="preserve"> follow-up </w:t>
      </w:r>
      <w:r w:rsidR="000F3314">
        <w:rPr>
          <w:rFonts w:ascii="Arial" w:eastAsia="Times New Roman" w:hAnsi="Arial" w:cs="Arial"/>
          <w:kern w:val="24"/>
          <w:sz w:val="24"/>
          <w:szCs w:val="24"/>
          <w:highlight w:val="white"/>
          <w:lang w:eastAsia="en-GB"/>
          <w14:ligatures w14:val="none"/>
        </w:rPr>
        <w:t xml:space="preserve">following initiation of </w:t>
      </w:r>
      <w:proofErr w:type="spellStart"/>
      <w:r w:rsidR="007E6122">
        <w:rPr>
          <w:rFonts w:ascii="Arial" w:eastAsia="Times New Roman" w:hAnsi="Arial" w:cs="Arial"/>
          <w:kern w:val="24"/>
          <w:sz w:val="24"/>
          <w:szCs w:val="24"/>
          <w:highlight w:val="white"/>
          <w:lang w:eastAsia="en-GB"/>
          <w14:ligatures w14:val="none"/>
        </w:rPr>
        <w:t>semaglutide</w:t>
      </w:r>
      <w:proofErr w:type="spellEnd"/>
      <w:r w:rsidR="000F3314">
        <w:rPr>
          <w:rFonts w:ascii="Arial" w:eastAsia="Times New Roman" w:hAnsi="Arial" w:cs="Arial"/>
          <w:kern w:val="24"/>
          <w:sz w:val="24"/>
          <w:szCs w:val="24"/>
          <w:highlight w:val="white"/>
          <w:lang w:eastAsia="en-GB"/>
          <w14:ligatures w14:val="none"/>
        </w:rPr>
        <w:t xml:space="preserve">, </w:t>
      </w:r>
      <w:r w:rsidR="009C48C6" w:rsidRPr="00FC5606">
        <w:rPr>
          <w:rFonts w:ascii="Arial" w:eastAsia="Times New Roman" w:hAnsi="Arial" w:cs="Arial"/>
          <w:kern w:val="24"/>
          <w:sz w:val="24"/>
          <w:szCs w:val="24"/>
          <w:highlight w:val="white"/>
          <w:lang w:eastAsia="en-GB"/>
          <w14:ligatures w14:val="none"/>
        </w:rPr>
        <w:t>we have seen a reduction in BMI</w:t>
      </w:r>
      <w:r w:rsidRPr="00FC5606">
        <w:rPr>
          <w:rFonts w:ascii="Arial" w:eastAsia="Times New Roman" w:hAnsi="Arial" w:cs="Arial"/>
          <w:kern w:val="24"/>
          <w:sz w:val="24"/>
          <w:szCs w:val="24"/>
          <w:highlight w:val="white"/>
          <w:lang w:eastAsia="en-GB"/>
          <w14:ligatures w14:val="none"/>
        </w:rPr>
        <w:t>, reduction in HbA1c</w:t>
      </w:r>
      <w:r w:rsidR="009C48C6" w:rsidRPr="00FC5606">
        <w:rPr>
          <w:rFonts w:ascii="Arial" w:eastAsia="Times New Roman" w:hAnsi="Arial" w:cs="Arial"/>
          <w:kern w:val="24"/>
          <w:sz w:val="24"/>
          <w:szCs w:val="24"/>
          <w:highlight w:val="white"/>
          <w:lang w:eastAsia="en-GB"/>
          <w14:ligatures w14:val="none"/>
        </w:rPr>
        <w:t xml:space="preserve"> and improvement in self-rated overall quality of life in people with </w:t>
      </w:r>
      <w:r w:rsidR="009F661B" w:rsidRPr="00FC5606">
        <w:rPr>
          <w:rFonts w:ascii="Arial" w:eastAsia="Times New Roman" w:hAnsi="Arial" w:cs="Arial"/>
          <w:kern w:val="24"/>
          <w:sz w:val="24"/>
          <w:szCs w:val="24"/>
          <w:highlight w:val="white"/>
          <w:lang w:eastAsia="en-GB"/>
          <w14:ligatures w14:val="none"/>
        </w:rPr>
        <w:t xml:space="preserve">schizophrenia and schizoaffective disorder with </w:t>
      </w:r>
      <w:r w:rsidR="009C48C6" w:rsidRPr="00FC5606">
        <w:rPr>
          <w:rFonts w:ascii="Arial" w:eastAsia="Times New Roman" w:hAnsi="Arial" w:cs="Arial"/>
          <w:kern w:val="24"/>
          <w:sz w:val="24"/>
          <w:szCs w:val="24"/>
          <w:highlight w:val="white"/>
          <w:lang w:eastAsia="en-GB"/>
          <w14:ligatures w14:val="none"/>
        </w:rPr>
        <w:t>major mental and physical health challenges</w:t>
      </w:r>
      <w:r w:rsidR="009F661B" w:rsidRPr="00FC5606">
        <w:rPr>
          <w:rFonts w:ascii="Arial" w:eastAsia="Times New Roman" w:hAnsi="Arial" w:cs="Arial"/>
          <w:kern w:val="24"/>
          <w:sz w:val="24"/>
          <w:szCs w:val="24"/>
          <w:lang w:eastAsia="en-GB"/>
          <w14:ligatures w14:val="none"/>
        </w:rPr>
        <w:t>.</w:t>
      </w:r>
    </w:p>
    <w:p w14:paraId="1731CA7F" w14:textId="77777777" w:rsidR="00806BB3" w:rsidRPr="00FC5606" w:rsidRDefault="00806BB3" w:rsidP="00FC5606">
      <w:pPr>
        <w:tabs>
          <w:tab w:val="left" w:pos="1202"/>
        </w:tabs>
        <w:kinsoku w:val="0"/>
        <w:overflowPunct w:val="0"/>
        <w:spacing w:after="0" w:line="360" w:lineRule="auto"/>
        <w:jc w:val="both"/>
        <w:textAlignment w:val="baseline"/>
        <w:rPr>
          <w:rFonts w:ascii="Arial" w:eastAsia="Times New Roman" w:hAnsi="Arial" w:cs="Arial"/>
          <w:kern w:val="0"/>
          <w:sz w:val="24"/>
          <w:szCs w:val="24"/>
          <w:lang w:eastAsia="en-GB"/>
          <w14:ligatures w14:val="none"/>
        </w:rPr>
      </w:pPr>
    </w:p>
    <w:bookmarkEnd w:id="6"/>
    <w:p w14:paraId="5EB6B318" w14:textId="5AB849C9" w:rsidR="009C48C6" w:rsidRPr="00FC5606" w:rsidRDefault="009C48C6" w:rsidP="00FC5606">
      <w:pPr>
        <w:tabs>
          <w:tab w:val="left" w:pos="1202"/>
        </w:tabs>
        <w:kinsoku w:val="0"/>
        <w:overflowPunct w:val="0"/>
        <w:spacing w:after="0" w:line="360" w:lineRule="auto"/>
        <w:jc w:val="both"/>
        <w:textAlignment w:val="baseline"/>
        <w:rPr>
          <w:rFonts w:ascii="Arial" w:eastAsia="Times New Roman" w:hAnsi="Arial" w:cs="Arial"/>
          <w:kern w:val="24"/>
          <w:sz w:val="24"/>
          <w:szCs w:val="24"/>
          <w:lang w:eastAsia="en-GB"/>
          <w14:ligatures w14:val="none"/>
        </w:rPr>
      </w:pPr>
      <w:r w:rsidRPr="00FC5606">
        <w:rPr>
          <w:rFonts w:ascii="Arial" w:eastAsia="Times New Roman" w:hAnsi="Arial" w:cs="Arial"/>
          <w:kern w:val="24"/>
          <w:sz w:val="24"/>
          <w:szCs w:val="24"/>
          <w:highlight w:val="white"/>
          <w:lang w:eastAsia="en-GB"/>
          <w14:ligatures w14:val="none"/>
        </w:rPr>
        <w:t xml:space="preserve">While there are costs attached to the prescription of </w:t>
      </w:r>
      <w:r w:rsidR="000F3314">
        <w:rPr>
          <w:rFonts w:ascii="Arial" w:eastAsia="Times New Roman" w:hAnsi="Arial" w:cs="Arial"/>
          <w:kern w:val="24"/>
          <w:sz w:val="24"/>
          <w:szCs w:val="24"/>
          <w:highlight w:val="white"/>
          <w:lang w:eastAsia="en-GB"/>
          <w14:ligatures w14:val="none"/>
        </w:rPr>
        <w:t>incretin therapy</w:t>
      </w:r>
      <w:r w:rsidRPr="00FC5606">
        <w:rPr>
          <w:rFonts w:ascii="Arial" w:eastAsia="Times New Roman" w:hAnsi="Arial" w:cs="Arial"/>
          <w:kern w:val="24"/>
          <w:sz w:val="24"/>
          <w:szCs w:val="24"/>
          <w:highlight w:val="white"/>
          <w:lang w:eastAsia="en-GB"/>
          <w14:ligatures w14:val="none"/>
        </w:rPr>
        <w:t xml:space="preserve"> in people with SMI, further evaluation, including health economic assessment may support them being offered more widely with a view to improving cardio metabolic profile and longer time health outcomes in people with SMI</w:t>
      </w:r>
      <w:r w:rsidR="00E8382D">
        <w:rPr>
          <w:rFonts w:ascii="Arial" w:eastAsia="Times New Roman" w:hAnsi="Arial" w:cs="Arial"/>
          <w:kern w:val="24"/>
          <w:sz w:val="24"/>
          <w:szCs w:val="24"/>
          <w:highlight w:val="white"/>
          <w:lang w:eastAsia="en-GB"/>
          <w14:ligatures w14:val="none"/>
        </w:rPr>
        <w:t>, many of whom are at high or very high cardiometabolic risk</w:t>
      </w:r>
      <w:r w:rsidRPr="00FC5606">
        <w:rPr>
          <w:rFonts w:ascii="Arial" w:eastAsia="Times New Roman" w:hAnsi="Arial" w:cs="Arial"/>
          <w:kern w:val="24"/>
          <w:sz w:val="24"/>
          <w:szCs w:val="24"/>
          <w:highlight w:val="white"/>
          <w:lang w:eastAsia="en-GB"/>
          <w14:ligatures w14:val="none"/>
        </w:rPr>
        <w:t>.</w:t>
      </w:r>
    </w:p>
    <w:bookmarkEnd w:id="7"/>
    <w:p w14:paraId="3144A747" w14:textId="77777777" w:rsidR="00806BB3" w:rsidRPr="00FC5606" w:rsidRDefault="00806BB3" w:rsidP="00FC5606">
      <w:pPr>
        <w:tabs>
          <w:tab w:val="left" w:pos="1202"/>
        </w:tabs>
        <w:kinsoku w:val="0"/>
        <w:overflowPunct w:val="0"/>
        <w:spacing w:after="0" w:line="360" w:lineRule="auto"/>
        <w:jc w:val="both"/>
        <w:textAlignment w:val="baseline"/>
        <w:rPr>
          <w:rFonts w:ascii="Arial" w:eastAsia="Times New Roman" w:hAnsi="Arial" w:cs="Arial"/>
          <w:kern w:val="0"/>
          <w:sz w:val="24"/>
          <w:szCs w:val="24"/>
          <w:lang w:eastAsia="en-GB"/>
          <w14:ligatures w14:val="none"/>
        </w:rPr>
      </w:pPr>
    </w:p>
    <w:p w14:paraId="22018AA5" w14:textId="0E7EA32D" w:rsidR="009C48C6" w:rsidRPr="00FC5606" w:rsidRDefault="009C48C6" w:rsidP="00FC5606">
      <w:pPr>
        <w:tabs>
          <w:tab w:val="left" w:pos="1202"/>
        </w:tabs>
        <w:kinsoku w:val="0"/>
        <w:overflowPunct w:val="0"/>
        <w:spacing w:after="0" w:line="360" w:lineRule="auto"/>
        <w:jc w:val="both"/>
        <w:textAlignment w:val="baseline"/>
        <w:rPr>
          <w:rFonts w:ascii="Arial" w:eastAsia="Times New Roman" w:hAnsi="Arial" w:cs="Arial"/>
          <w:kern w:val="0"/>
          <w:sz w:val="24"/>
          <w:szCs w:val="24"/>
          <w:lang w:eastAsia="en-GB"/>
          <w14:ligatures w14:val="none"/>
        </w:rPr>
      </w:pPr>
      <w:r w:rsidRPr="00FC5606">
        <w:rPr>
          <w:rFonts w:ascii="Arial" w:eastAsia="Cambria" w:hAnsi="Arial" w:cs="Arial"/>
          <w:kern w:val="24"/>
          <w:sz w:val="24"/>
          <w:szCs w:val="24"/>
          <w:highlight w:val="white"/>
          <w:lang w:eastAsia="en-GB"/>
          <w14:ligatures w14:val="none"/>
        </w:rPr>
        <w:t xml:space="preserve">We hope that our findings will support the use of </w:t>
      </w:r>
      <w:proofErr w:type="spellStart"/>
      <w:r w:rsidR="007E6122">
        <w:rPr>
          <w:rFonts w:ascii="Arial" w:eastAsia="Cambria" w:hAnsi="Arial" w:cs="Arial"/>
          <w:kern w:val="24"/>
          <w:sz w:val="24"/>
          <w:szCs w:val="24"/>
          <w:highlight w:val="white"/>
          <w:lang w:eastAsia="en-GB"/>
          <w14:ligatures w14:val="none"/>
        </w:rPr>
        <w:t>semaglutide</w:t>
      </w:r>
      <w:proofErr w:type="spellEnd"/>
      <w:r w:rsidRPr="00FC5606">
        <w:rPr>
          <w:rFonts w:ascii="Arial" w:eastAsia="Cambria" w:hAnsi="Arial" w:cs="Arial"/>
          <w:kern w:val="24"/>
          <w:sz w:val="24"/>
          <w:szCs w:val="24"/>
          <w:highlight w:val="white"/>
          <w:lang w:eastAsia="en-GB"/>
          <w14:ligatures w14:val="none"/>
        </w:rPr>
        <w:t xml:space="preserve"> and </w:t>
      </w:r>
      <w:proofErr w:type="gramStart"/>
      <w:r w:rsidRPr="00FC5606">
        <w:rPr>
          <w:rFonts w:ascii="Arial" w:eastAsia="Cambria" w:hAnsi="Arial" w:cs="Arial"/>
          <w:kern w:val="24"/>
          <w:sz w:val="24"/>
          <w:szCs w:val="24"/>
          <w:highlight w:val="white"/>
          <w:lang w:eastAsia="en-GB"/>
          <w14:ligatures w14:val="none"/>
        </w:rPr>
        <w:t>potentially  similar</w:t>
      </w:r>
      <w:proofErr w:type="gramEnd"/>
      <w:r w:rsidRPr="00FC5606">
        <w:rPr>
          <w:rFonts w:ascii="Arial" w:eastAsia="Cambria" w:hAnsi="Arial" w:cs="Arial"/>
          <w:kern w:val="24"/>
          <w:sz w:val="24"/>
          <w:szCs w:val="24"/>
          <w:highlight w:val="white"/>
          <w:lang w:eastAsia="en-GB"/>
          <w14:ligatures w14:val="none"/>
        </w:rPr>
        <w:t xml:space="preserve"> agents to help people with severe enduring mental illness</w:t>
      </w:r>
      <w:r w:rsidR="0072157A">
        <w:rPr>
          <w:rFonts w:ascii="Arial" w:eastAsia="Cambria" w:hAnsi="Arial" w:cs="Arial"/>
          <w:kern w:val="24"/>
          <w:sz w:val="24"/>
          <w:szCs w:val="24"/>
          <w:highlight w:val="white"/>
          <w:lang w:eastAsia="en-GB"/>
          <w14:ligatures w14:val="none"/>
        </w:rPr>
        <w:t xml:space="preserve"> who are overweight</w:t>
      </w:r>
      <w:r w:rsidRPr="00FC5606">
        <w:rPr>
          <w:rFonts w:ascii="Arial" w:eastAsia="Cambria" w:hAnsi="Arial" w:cs="Arial"/>
          <w:kern w:val="24"/>
          <w:sz w:val="24"/>
          <w:szCs w:val="24"/>
          <w:highlight w:val="white"/>
          <w:lang w:eastAsia="en-GB"/>
          <w14:ligatures w14:val="none"/>
        </w:rPr>
        <w:t xml:space="preserve"> to achieve a healthier health profile.</w:t>
      </w:r>
    </w:p>
    <w:p w14:paraId="573E5AC9" w14:textId="4D97E666" w:rsidR="00356AF9" w:rsidRPr="00936A3E" w:rsidRDefault="00C867D3" w:rsidP="00936A3E">
      <w:pPr>
        <w:tabs>
          <w:tab w:val="left" w:pos="1905"/>
        </w:tabs>
        <w:spacing w:line="360" w:lineRule="auto"/>
        <w:rPr>
          <w:rFonts w:ascii="Arial" w:eastAsia="Times New Roman" w:hAnsi="Arial" w:cs="Arial"/>
          <w:color w:val="000000" w:themeColor="text1"/>
          <w:lang w:eastAsia="en-GB"/>
        </w:rPr>
      </w:pPr>
      <w:r>
        <w:rPr>
          <w:rFonts w:ascii="Calibri" w:eastAsia="Times New Roman" w:hAnsi="Calibri" w:cs="Calibri"/>
          <w:color w:val="000000" w:themeColor="text1"/>
          <w:lang w:eastAsia="en-GB"/>
        </w:rPr>
        <w:tab/>
      </w:r>
    </w:p>
    <w:p w14:paraId="1F998D6C" w14:textId="4E5775A5" w:rsidR="00C867D3" w:rsidRDefault="00C867D3" w:rsidP="00C867D3">
      <w:pPr>
        <w:spacing w:line="276" w:lineRule="auto"/>
        <w:jc w:val="both"/>
        <w:rPr>
          <w:rFonts w:ascii="Arial" w:hAnsi="Arial" w:cs="Arial"/>
          <w:sz w:val="24"/>
          <w:szCs w:val="24"/>
          <w:u w:val="single"/>
          <w:lang w:val="en-US"/>
        </w:rPr>
      </w:pPr>
      <w:r w:rsidRPr="00C677DC">
        <w:rPr>
          <w:rFonts w:ascii="Arial" w:hAnsi="Arial" w:cs="Arial"/>
          <w:sz w:val="24"/>
          <w:szCs w:val="24"/>
          <w:lang w:val="en-US"/>
        </w:rPr>
        <w:t>Acknowledgements</w:t>
      </w:r>
      <w:r w:rsidRPr="00936A3E">
        <w:rPr>
          <w:rFonts w:ascii="Arial" w:hAnsi="Arial" w:cs="Arial"/>
          <w:sz w:val="24"/>
          <w:szCs w:val="24"/>
          <w:lang w:val="en-US"/>
        </w:rPr>
        <w:t>:</w:t>
      </w:r>
      <w:r w:rsidR="00C27B50" w:rsidRPr="00936A3E">
        <w:rPr>
          <w:rFonts w:ascii="Arial" w:hAnsi="Arial" w:cs="Arial"/>
          <w:sz w:val="24"/>
          <w:szCs w:val="24"/>
          <w:lang w:val="en-US"/>
        </w:rPr>
        <w:t xml:space="preserve"> None</w:t>
      </w:r>
    </w:p>
    <w:p w14:paraId="60D338B5" w14:textId="77777777" w:rsidR="00C867D3" w:rsidRPr="00C677DC" w:rsidRDefault="00C867D3" w:rsidP="00C867D3">
      <w:pPr>
        <w:spacing w:line="276" w:lineRule="auto"/>
        <w:jc w:val="both"/>
        <w:rPr>
          <w:rFonts w:ascii="Arial" w:hAnsi="Arial" w:cs="Arial"/>
          <w:sz w:val="24"/>
          <w:szCs w:val="24"/>
        </w:rPr>
      </w:pPr>
    </w:p>
    <w:p w14:paraId="223354BE" w14:textId="113BC96E" w:rsidR="00C867D3" w:rsidRDefault="00C867D3" w:rsidP="00C867D3">
      <w:pPr>
        <w:spacing w:line="276" w:lineRule="auto"/>
        <w:jc w:val="both"/>
        <w:rPr>
          <w:rFonts w:ascii="Arial" w:hAnsi="Arial" w:cs="Arial"/>
          <w:sz w:val="24"/>
          <w:szCs w:val="24"/>
        </w:rPr>
      </w:pPr>
      <w:r w:rsidRPr="00C677DC">
        <w:rPr>
          <w:rFonts w:ascii="Arial" w:hAnsi="Arial" w:cs="Arial"/>
          <w:sz w:val="24"/>
          <w:szCs w:val="24"/>
        </w:rPr>
        <w:t>Author Contributions:  A</w:t>
      </w:r>
      <w:r w:rsidR="00C11A04">
        <w:rPr>
          <w:rFonts w:ascii="Arial" w:hAnsi="Arial" w:cs="Arial"/>
          <w:sz w:val="24"/>
          <w:szCs w:val="24"/>
        </w:rPr>
        <w:t>drian Heald</w:t>
      </w:r>
      <w:r w:rsidR="006B1E0C" w:rsidRPr="00C677DC">
        <w:rPr>
          <w:rFonts w:ascii="Arial" w:hAnsi="Arial" w:cs="Arial"/>
          <w:sz w:val="24"/>
          <w:szCs w:val="24"/>
        </w:rPr>
        <w:t xml:space="preserve"> </w:t>
      </w:r>
      <w:r w:rsidR="006C2BF9" w:rsidRPr="00C677DC">
        <w:rPr>
          <w:rFonts w:ascii="Arial" w:hAnsi="Arial" w:cs="Arial"/>
          <w:sz w:val="24"/>
          <w:szCs w:val="24"/>
        </w:rPr>
        <w:t xml:space="preserve">and </w:t>
      </w:r>
      <w:r w:rsidR="00F95C6C" w:rsidRPr="00C677DC">
        <w:rPr>
          <w:rFonts w:ascii="Arial" w:hAnsi="Arial" w:cs="Arial"/>
          <w:sz w:val="24"/>
          <w:szCs w:val="24"/>
        </w:rPr>
        <w:t>G</w:t>
      </w:r>
      <w:r w:rsidR="00C11A04">
        <w:rPr>
          <w:rFonts w:ascii="Arial" w:hAnsi="Arial" w:cs="Arial"/>
          <w:sz w:val="24"/>
          <w:szCs w:val="24"/>
        </w:rPr>
        <w:t>avin Reynolds</w:t>
      </w:r>
      <w:r w:rsidR="006C2BF9" w:rsidRPr="00C677DC">
        <w:rPr>
          <w:rFonts w:ascii="Arial" w:hAnsi="Arial" w:cs="Arial"/>
          <w:sz w:val="24"/>
          <w:szCs w:val="24"/>
        </w:rPr>
        <w:t xml:space="preserve"> </w:t>
      </w:r>
      <w:r w:rsidRPr="00C677DC">
        <w:rPr>
          <w:rFonts w:ascii="Arial" w:hAnsi="Arial" w:cs="Arial"/>
          <w:sz w:val="24"/>
          <w:szCs w:val="24"/>
        </w:rPr>
        <w:t>conceived the study</w:t>
      </w:r>
      <w:r w:rsidR="00F95C6C" w:rsidRPr="00C677DC">
        <w:rPr>
          <w:rFonts w:ascii="Arial" w:hAnsi="Arial" w:cs="Arial"/>
          <w:sz w:val="24"/>
          <w:szCs w:val="24"/>
        </w:rPr>
        <w:t>. A</w:t>
      </w:r>
      <w:r w:rsidR="00C11A04">
        <w:rPr>
          <w:rFonts w:ascii="Arial" w:hAnsi="Arial" w:cs="Arial"/>
          <w:sz w:val="24"/>
          <w:szCs w:val="24"/>
        </w:rPr>
        <w:t>drian Heald</w:t>
      </w:r>
      <w:r w:rsidRPr="00C677DC">
        <w:rPr>
          <w:rFonts w:ascii="Arial" w:hAnsi="Arial" w:cs="Arial"/>
          <w:sz w:val="24"/>
          <w:szCs w:val="24"/>
        </w:rPr>
        <w:t xml:space="preserve"> </w:t>
      </w:r>
      <w:r w:rsidR="006C2BF9" w:rsidRPr="00C677DC">
        <w:rPr>
          <w:rFonts w:ascii="Arial" w:hAnsi="Arial" w:cs="Arial"/>
          <w:sz w:val="24"/>
          <w:szCs w:val="24"/>
        </w:rPr>
        <w:t xml:space="preserve">arranged funding of the </w:t>
      </w:r>
      <w:proofErr w:type="spellStart"/>
      <w:r w:rsidR="00CD740D">
        <w:rPr>
          <w:rFonts w:ascii="Arial" w:hAnsi="Arial" w:cs="Arial"/>
          <w:sz w:val="24"/>
          <w:szCs w:val="24"/>
        </w:rPr>
        <w:t>s</w:t>
      </w:r>
      <w:r w:rsidR="007E6122">
        <w:rPr>
          <w:rFonts w:ascii="Arial" w:hAnsi="Arial" w:cs="Arial"/>
          <w:sz w:val="24"/>
          <w:szCs w:val="24"/>
        </w:rPr>
        <w:t>emaglutide</w:t>
      </w:r>
      <w:proofErr w:type="spellEnd"/>
      <w:r w:rsidR="006C2BF9" w:rsidRPr="00C677DC">
        <w:rPr>
          <w:rFonts w:ascii="Arial" w:hAnsi="Arial" w:cs="Arial"/>
          <w:sz w:val="24"/>
          <w:szCs w:val="24"/>
        </w:rPr>
        <w:t xml:space="preserve"> intervention </w:t>
      </w:r>
      <w:r w:rsidRPr="00C677DC">
        <w:rPr>
          <w:rFonts w:ascii="Arial" w:hAnsi="Arial" w:cs="Arial"/>
          <w:sz w:val="24"/>
          <w:szCs w:val="24"/>
        </w:rPr>
        <w:t xml:space="preserve">in consultation with </w:t>
      </w:r>
      <w:r w:rsidR="00C11A04">
        <w:rPr>
          <w:rFonts w:ascii="Arial" w:hAnsi="Arial" w:cs="Arial"/>
          <w:sz w:val="24"/>
          <w:szCs w:val="24"/>
        </w:rPr>
        <w:t>Onagh Doyle</w:t>
      </w:r>
      <w:r w:rsidR="006C2BF9" w:rsidRPr="00C677DC">
        <w:rPr>
          <w:rFonts w:ascii="Arial" w:hAnsi="Arial" w:cs="Arial"/>
          <w:sz w:val="24"/>
          <w:szCs w:val="24"/>
        </w:rPr>
        <w:t xml:space="preserve"> and C</w:t>
      </w:r>
      <w:r w:rsidR="00C11A04">
        <w:rPr>
          <w:rFonts w:ascii="Arial" w:hAnsi="Arial" w:cs="Arial"/>
          <w:sz w:val="24"/>
          <w:szCs w:val="24"/>
        </w:rPr>
        <w:t>hris Daly</w:t>
      </w:r>
      <w:r w:rsidRPr="00C677DC">
        <w:rPr>
          <w:rFonts w:ascii="Arial" w:hAnsi="Arial" w:cs="Arial"/>
          <w:sz w:val="24"/>
          <w:szCs w:val="24"/>
        </w:rPr>
        <w:t xml:space="preserve">. </w:t>
      </w:r>
      <w:r w:rsidR="006C2BF9" w:rsidRPr="00C677DC">
        <w:rPr>
          <w:rFonts w:ascii="Arial" w:hAnsi="Arial" w:cs="Arial"/>
          <w:sz w:val="24"/>
          <w:szCs w:val="24"/>
        </w:rPr>
        <w:t>J</w:t>
      </w:r>
      <w:r w:rsidR="00C11A04">
        <w:rPr>
          <w:rFonts w:ascii="Arial" w:hAnsi="Arial" w:cs="Arial"/>
          <w:sz w:val="24"/>
          <w:szCs w:val="24"/>
        </w:rPr>
        <w:t>oseph Firth</w:t>
      </w:r>
      <w:r w:rsidR="006C2BF9" w:rsidRPr="00C677DC">
        <w:rPr>
          <w:rFonts w:ascii="Arial" w:hAnsi="Arial" w:cs="Arial"/>
          <w:sz w:val="24"/>
          <w:szCs w:val="24"/>
        </w:rPr>
        <w:t xml:space="preserve"> provided essential input in relation to the implementation of the intervention and its evaluation</w:t>
      </w:r>
      <w:r w:rsidR="000F3314" w:rsidRPr="00C677DC">
        <w:rPr>
          <w:rFonts w:ascii="Arial" w:hAnsi="Arial" w:cs="Arial"/>
          <w:sz w:val="24"/>
          <w:szCs w:val="24"/>
        </w:rPr>
        <w:t xml:space="preserve"> as did D</w:t>
      </w:r>
      <w:r w:rsidR="00C11A04">
        <w:rPr>
          <w:rFonts w:ascii="Arial" w:hAnsi="Arial" w:cs="Arial"/>
          <w:sz w:val="24"/>
          <w:szCs w:val="24"/>
        </w:rPr>
        <w:t>amien Longson</w:t>
      </w:r>
      <w:r w:rsidR="006C2BF9" w:rsidRPr="00C677DC">
        <w:rPr>
          <w:rFonts w:ascii="Arial" w:hAnsi="Arial" w:cs="Arial"/>
          <w:sz w:val="24"/>
          <w:szCs w:val="24"/>
        </w:rPr>
        <w:t>. I</w:t>
      </w:r>
      <w:r w:rsidR="00C11A04">
        <w:rPr>
          <w:rFonts w:ascii="Arial" w:hAnsi="Arial" w:cs="Arial"/>
          <w:sz w:val="24"/>
          <w:szCs w:val="24"/>
        </w:rPr>
        <w:t xml:space="preserve">sabel Nash </w:t>
      </w:r>
      <w:r w:rsidR="006C2BF9" w:rsidRPr="00C677DC">
        <w:rPr>
          <w:rFonts w:ascii="Arial" w:hAnsi="Arial" w:cs="Arial"/>
          <w:sz w:val="24"/>
          <w:szCs w:val="24"/>
        </w:rPr>
        <w:t xml:space="preserve">and </w:t>
      </w:r>
      <w:r w:rsidR="00C11A04">
        <w:rPr>
          <w:rFonts w:ascii="Arial" w:hAnsi="Arial" w:cs="Arial"/>
          <w:sz w:val="24"/>
          <w:szCs w:val="24"/>
        </w:rPr>
        <w:t>Onagh Doyle</w:t>
      </w:r>
      <w:r w:rsidR="006C2BF9" w:rsidRPr="00C677DC">
        <w:rPr>
          <w:rFonts w:ascii="Arial" w:hAnsi="Arial" w:cs="Arial"/>
          <w:sz w:val="24"/>
          <w:szCs w:val="24"/>
        </w:rPr>
        <w:t xml:space="preserve"> enabled the intervention to take place with ongoing regular input and guidance from </w:t>
      </w:r>
      <w:r w:rsidR="00C11A04">
        <w:rPr>
          <w:rFonts w:ascii="Arial" w:hAnsi="Arial" w:cs="Arial"/>
          <w:sz w:val="24"/>
          <w:szCs w:val="24"/>
        </w:rPr>
        <w:t>Chris Daly</w:t>
      </w:r>
      <w:r w:rsidR="006C2BF9" w:rsidRPr="00C677DC">
        <w:rPr>
          <w:rFonts w:ascii="Arial" w:hAnsi="Arial" w:cs="Arial"/>
          <w:sz w:val="24"/>
          <w:szCs w:val="24"/>
        </w:rPr>
        <w:t xml:space="preserve">. </w:t>
      </w:r>
      <w:r w:rsidR="0062050D" w:rsidRPr="00C677DC">
        <w:rPr>
          <w:rFonts w:ascii="Arial" w:hAnsi="Arial" w:cs="Arial"/>
          <w:sz w:val="24"/>
          <w:szCs w:val="24"/>
        </w:rPr>
        <w:t>I</w:t>
      </w:r>
      <w:r w:rsidR="00C11A04">
        <w:rPr>
          <w:rFonts w:ascii="Arial" w:hAnsi="Arial" w:cs="Arial"/>
          <w:sz w:val="24"/>
          <w:szCs w:val="24"/>
        </w:rPr>
        <w:t>sabel Nash</w:t>
      </w:r>
      <w:r w:rsidR="0062050D" w:rsidRPr="00C677DC">
        <w:rPr>
          <w:rFonts w:ascii="Arial" w:hAnsi="Arial" w:cs="Arial"/>
          <w:sz w:val="24"/>
          <w:szCs w:val="24"/>
        </w:rPr>
        <w:t xml:space="preserve"> supervised follow-up of all patients involved. Data analysis was undertaken by </w:t>
      </w:r>
      <w:r w:rsidR="00C11A04">
        <w:rPr>
          <w:rFonts w:ascii="Arial" w:hAnsi="Arial" w:cs="Arial"/>
          <w:sz w:val="24"/>
          <w:szCs w:val="24"/>
        </w:rPr>
        <w:t>Mike Stedman</w:t>
      </w:r>
      <w:r w:rsidR="0062050D" w:rsidRPr="00C677DC">
        <w:rPr>
          <w:rFonts w:ascii="Arial" w:hAnsi="Arial" w:cs="Arial"/>
          <w:sz w:val="24"/>
          <w:szCs w:val="24"/>
        </w:rPr>
        <w:t>. M</w:t>
      </w:r>
      <w:r w:rsidR="00C11A04">
        <w:rPr>
          <w:rFonts w:ascii="Arial" w:hAnsi="Arial" w:cs="Arial"/>
          <w:sz w:val="24"/>
          <w:szCs w:val="24"/>
        </w:rPr>
        <w:t>arc de Hert</w:t>
      </w:r>
      <w:r w:rsidR="008040A9">
        <w:rPr>
          <w:rFonts w:ascii="Arial" w:hAnsi="Arial" w:cs="Arial"/>
          <w:sz w:val="24"/>
          <w:szCs w:val="24"/>
        </w:rPr>
        <w:t xml:space="preserve">, </w:t>
      </w:r>
      <w:r w:rsidR="00C7674A">
        <w:rPr>
          <w:rFonts w:ascii="Arial" w:hAnsi="Arial" w:cs="Arial"/>
          <w:sz w:val="24"/>
          <w:szCs w:val="24"/>
        </w:rPr>
        <w:t>J</w:t>
      </w:r>
      <w:r w:rsidR="00C11A04">
        <w:rPr>
          <w:rFonts w:ascii="Arial" w:hAnsi="Arial" w:cs="Arial"/>
          <w:sz w:val="24"/>
          <w:szCs w:val="24"/>
        </w:rPr>
        <w:t>oseph Ingram</w:t>
      </w:r>
      <w:r w:rsidR="00C7674A">
        <w:rPr>
          <w:rFonts w:ascii="Arial" w:hAnsi="Arial" w:cs="Arial"/>
          <w:sz w:val="24"/>
          <w:szCs w:val="24"/>
        </w:rPr>
        <w:t xml:space="preserve">, </w:t>
      </w:r>
      <w:r w:rsidR="00C11A04">
        <w:rPr>
          <w:rFonts w:ascii="Arial" w:hAnsi="Arial" w:cs="Arial"/>
          <w:sz w:val="24"/>
          <w:szCs w:val="24"/>
        </w:rPr>
        <w:t>Richard Ho</w:t>
      </w:r>
      <w:r w:rsidR="005A2139">
        <w:rPr>
          <w:rFonts w:ascii="Arial" w:hAnsi="Arial" w:cs="Arial"/>
          <w:sz w:val="24"/>
          <w:szCs w:val="24"/>
        </w:rPr>
        <w:t>lt</w:t>
      </w:r>
      <w:r w:rsidR="0062050D" w:rsidRPr="00C677DC">
        <w:rPr>
          <w:rFonts w:ascii="Arial" w:hAnsi="Arial" w:cs="Arial"/>
          <w:sz w:val="24"/>
          <w:szCs w:val="24"/>
        </w:rPr>
        <w:t xml:space="preserve"> </w:t>
      </w:r>
      <w:r w:rsidR="007D0F50" w:rsidRPr="00C677DC">
        <w:rPr>
          <w:rFonts w:ascii="Arial" w:hAnsi="Arial" w:cs="Arial"/>
          <w:sz w:val="24"/>
          <w:szCs w:val="24"/>
        </w:rPr>
        <w:t>and D</w:t>
      </w:r>
      <w:r w:rsidR="00C11A04">
        <w:rPr>
          <w:rFonts w:ascii="Arial" w:hAnsi="Arial" w:cs="Arial"/>
          <w:sz w:val="24"/>
          <w:szCs w:val="24"/>
        </w:rPr>
        <w:t>onal O’Shea</w:t>
      </w:r>
      <w:r w:rsidR="007D0F50" w:rsidRPr="00C677DC">
        <w:rPr>
          <w:rFonts w:ascii="Arial" w:hAnsi="Arial" w:cs="Arial"/>
          <w:sz w:val="24"/>
          <w:szCs w:val="24"/>
        </w:rPr>
        <w:t xml:space="preserve"> </w:t>
      </w:r>
      <w:r w:rsidR="0062050D" w:rsidRPr="00C677DC">
        <w:rPr>
          <w:rFonts w:ascii="Arial" w:hAnsi="Arial" w:cs="Arial"/>
          <w:sz w:val="24"/>
          <w:szCs w:val="24"/>
        </w:rPr>
        <w:t xml:space="preserve">provided context in relation to the relevance </w:t>
      </w:r>
      <w:r w:rsidR="0062050D" w:rsidRPr="00C677DC">
        <w:rPr>
          <w:rFonts w:ascii="Arial" w:hAnsi="Arial" w:cs="Arial"/>
          <w:sz w:val="24"/>
          <w:szCs w:val="24"/>
        </w:rPr>
        <w:lastRenderedPageBreak/>
        <w:t>of the intervention and the implications of the findings while providing clinical context.</w:t>
      </w:r>
      <w:r w:rsidR="00F95C6C" w:rsidRPr="00C677DC">
        <w:rPr>
          <w:rFonts w:ascii="Arial" w:hAnsi="Arial" w:cs="Arial"/>
          <w:sz w:val="24"/>
          <w:szCs w:val="24"/>
        </w:rPr>
        <w:t xml:space="preserve"> </w:t>
      </w:r>
      <w:r w:rsidR="00C11A04">
        <w:rPr>
          <w:rFonts w:ascii="Arial" w:hAnsi="Arial" w:cs="Arial"/>
          <w:sz w:val="24"/>
          <w:szCs w:val="24"/>
        </w:rPr>
        <w:t>Akheel Syed</w:t>
      </w:r>
      <w:r w:rsidR="00F95C6C" w:rsidRPr="00C677DC">
        <w:rPr>
          <w:rFonts w:ascii="Arial" w:hAnsi="Arial" w:cs="Arial"/>
          <w:sz w:val="24"/>
          <w:szCs w:val="24"/>
        </w:rPr>
        <w:t xml:space="preserve"> provided guidance concerning obesity management.</w:t>
      </w:r>
      <w:r w:rsidR="0062050D" w:rsidRPr="00C677DC">
        <w:rPr>
          <w:rFonts w:ascii="Arial" w:hAnsi="Arial" w:cs="Arial"/>
          <w:sz w:val="24"/>
          <w:szCs w:val="24"/>
        </w:rPr>
        <w:t xml:space="preserve"> </w:t>
      </w:r>
      <w:r w:rsidRPr="00C677DC">
        <w:rPr>
          <w:rFonts w:ascii="Arial" w:hAnsi="Arial" w:cs="Arial"/>
          <w:sz w:val="24"/>
          <w:szCs w:val="24"/>
        </w:rPr>
        <w:t>All authors reviewed the manuscript during its development, approved the final version and agree to be accountable for all aspects of the work.</w:t>
      </w:r>
    </w:p>
    <w:p w14:paraId="6577ADCE" w14:textId="77777777" w:rsidR="00997DED" w:rsidRDefault="00997DED" w:rsidP="00C867D3">
      <w:pPr>
        <w:spacing w:line="276" w:lineRule="auto"/>
        <w:jc w:val="both"/>
        <w:rPr>
          <w:rFonts w:ascii="Arial" w:hAnsi="Arial" w:cs="Arial"/>
          <w:sz w:val="24"/>
          <w:szCs w:val="24"/>
        </w:rPr>
      </w:pPr>
    </w:p>
    <w:p w14:paraId="3884A348" w14:textId="3DAB4AB1" w:rsidR="001E0EA2" w:rsidRPr="00DB0EB2" w:rsidRDefault="00997DED" w:rsidP="001E0EA2">
      <w:pPr>
        <w:rPr>
          <w:rFonts w:ascii="Arial" w:hAnsi="Arial" w:cs="Arial"/>
          <w:sz w:val="24"/>
          <w:szCs w:val="24"/>
        </w:rPr>
      </w:pPr>
      <w:r w:rsidRPr="001E0EA2">
        <w:rPr>
          <w:rFonts w:ascii="Arial" w:hAnsi="Arial" w:cs="Arial"/>
          <w:sz w:val="24"/>
          <w:szCs w:val="24"/>
        </w:rPr>
        <w:t>Funding:</w:t>
      </w:r>
      <w:r w:rsidR="001E0EA2" w:rsidRPr="00DB0EB2">
        <w:rPr>
          <w:rFonts w:ascii="Arial" w:hAnsi="Arial" w:cs="Arial"/>
          <w:sz w:val="24"/>
          <w:szCs w:val="24"/>
        </w:rPr>
        <w:t xml:space="preserve"> No funding or sponsorship was received for this study or publication of this article. The Rapid Service Fee was funded by the authors.</w:t>
      </w:r>
    </w:p>
    <w:p w14:paraId="61FF7133" w14:textId="77777777" w:rsidR="00997DED" w:rsidRDefault="00997DED" w:rsidP="00C867D3">
      <w:pPr>
        <w:spacing w:line="276" w:lineRule="auto"/>
        <w:jc w:val="both"/>
        <w:rPr>
          <w:rFonts w:ascii="Arial" w:hAnsi="Arial" w:cs="Arial"/>
          <w:sz w:val="24"/>
          <w:szCs w:val="24"/>
        </w:rPr>
      </w:pPr>
    </w:p>
    <w:p w14:paraId="383A3046" w14:textId="089B577F" w:rsidR="00A14B21" w:rsidRPr="00A14B21" w:rsidRDefault="00997DED" w:rsidP="00C867D3">
      <w:pPr>
        <w:spacing w:line="276" w:lineRule="auto"/>
        <w:jc w:val="both"/>
        <w:rPr>
          <w:rFonts w:ascii="Arial" w:hAnsi="Arial" w:cs="Arial"/>
          <w:sz w:val="24"/>
          <w:szCs w:val="24"/>
        </w:rPr>
      </w:pPr>
      <w:r>
        <w:rPr>
          <w:rFonts w:ascii="Arial" w:hAnsi="Arial" w:cs="Arial"/>
          <w:sz w:val="24"/>
          <w:szCs w:val="24"/>
        </w:rPr>
        <w:t xml:space="preserve">Data </w:t>
      </w:r>
      <w:proofErr w:type="gramStart"/>
      <w:r>
        <w:rPr>
          <w:rFonts w:ascii="Arial" w:hAnsi="Arial" w:cs="Arial"/>
          <w:sz w:val="24"/>
          <w:szCs w:val="24"/>
        </w:rPr>
        <w:t>availability</w:t>
      </w:r>
      <w:r w:rsidR="005A2139">
        <w:rPr>
          <w:rFonts w:ascii="Arial" w:hAnsi="Arial" w:cs="Arial"/>
          <w:sz w:val="24"/>
          <w:szCs w:val="24"/>
        </w:rPr>
        <w:t>;</w:t>
      </w:r>
      <w:proofErr w:type="gramEnd"/>
      <w:r w:rsidR="005A2139">
        <w:rPr>
          <w:rFonts w:ascii="Arial" w:hAnsi="Arial" w:cs="Arial"/>
          <w:sz w:val="24"/>
          <w:szCs w:val="24"/>
        </w:rPr>
        <w:t xml:space="preserve"> </w:t>
      </w:r>
      <w:r w:rsidR="00A14B21" w:rsidRPr="00DB0EB2">
        <w:rPr>
          <w:rFonts w:ascii="Arial" w:hAnsi="Arial" w:cs="Arial"/>
          <w:sz w:val="24"/>
          <w:szCs w:val="24"/>
        </w:rPr>
        <w:t xml:space="preserve">The datasets generated during and/or </w:t>
      </w:r>
      <w:proofErr w:type="spellStart"/>
      <w:r w:rsidR="00A14B21" w:rsidRPr="00DB0EB2">
        <w:rPr>
          <w:rFonts w:ascii="Arial" w:hAnsi="Arial" w:cs="Arial"/>
          <w:sz w:val="24"/>
          <w:szCs w:val="24"/>
        </w:rPr>
        <w:t>analyzed</w:t>
      </w:r>
      <w:proofErr w:type="spellEnd"/>
      <w:r w:rsidR="00A14B21" w:rsidRPr="00DB0EB2">
        <w:rPr>
          <w:rFonts w:ascii="Arial" w:hAnsi="Arial" w:cs="Arial"/>
          <w:sz w:val="24"/>
          <w:szCs w:val="24"/>
        </w:rPr>
        <w:t xml:space="preserve"> during the current study are available from the corresponding author on reasonable request.</w:t>
      </w:r>
    </w:p>
    <w:p w14:paraId="5124284F" w14:textId="77777777" w:rsidR="00997DED" w:rsidRDefault="00997DED" w:rsidP="00C867D3">
      <w:pPr>
        <w:spacing w:line="276" w:lineRule="auto"/>
        <w:jc w:val="both"/>
        <w:rPr>
          <w:rFonts w:ascii="Arial" w:hAnsi="Arial" w:cs="Arial"/>
          <w:sz w:val="24"/>
          <w:szCs w:val="24"/>
        </w:rPr>
      </w:pPr>
    </w:p>
    <w:p w14:paraId="4B1E1CE0" w14:textId="13E3D3F8" w:rsidR="00997DED" w:rsidRDefault="00997DED" w:rsidP="00C867D3">
      <w:pPr>
        <w:spacing w:line="276" w:lineRule="auto"/>
        <w:jc w:val="both"/>
        <w:rPr>
          <w:rFonts w:ascii="Arial" w:hAnsi="Arial" w:cs="Arial"/>
          <w:sz w:val="24"/>
          <w:szCs w:val="24"/>
        </w:rPr>
      </w:pPr>
      <w:r>
        <w:rPr>
          <w:rFonts w:ascii="Arial" w:hAnsi="Arial" w:cs="Arial"/>
          <w:sz w:val="24"/>
          <w:szCs w:val="24"/>
        </w:rPr>
        <w:t>Conflict of Interest</w:t>
      </w:r>
    </w:p>
    <w:p w14:paraId="2646C076" w14:textId="4DD11D14" w:rsidR="00C867D3" w:rsidRDefault="00997DED" w:rsidP="00FA5F78">
      <w:pPr>
        <w:rPr>
          <w:rFonts w:ascii="Arial" w:hAnsi="Arial" w:cs="Arial"/>
          <w:color w:val="000000" w:themeColor="text1"/>
          <w:sz w:val="24"/>
          <w:szCs w:val="24"/>
        </w:rPr>
      </w:pPr>
      <w:r w:rsidRPr="00FA5F78">
        <w:rPr>
          <w:rFonts w:ascii="Arial" w:hAnsi="Arial" w:cs="Arial"/>
          <w:color w:val="000000" w:themeColor="text1"/>
          <w:sz w:val="24"/>
          <w:szCs w:val="24"/>
        </w:rPr>
        <w:t>Adrian H</w:t>
      </w:r>
      <w:r w:rsidR="001E0EA2">
        <w:rPr>
          <w:rFonts w:ascii="Arial" w:hAnsi="Arial" w:cs="Arial"/>
          <w:color w:val="000000" w:themeColor="text1"/>
          <w:sz w:val="24"/>
          <w:szCs w:val="24"/>
        </w:rPr>
        <w:t xml:space="preserve"> Heald</w:t>
      </w:r>
      <w:r w:rsidRPr="00FA5F78">
        <w:rPr>
          <w:rFonts w:ascii="Arial" w:hAnsi="Arial" w:cs="Arial"/>
          <w:color w:val="000000" w:themeColor="text1"/>
          <w:sz w:val="24"/>
          <w:szCs w:val="24"/>
        </w:rPr>
        <w:t>, Gavin Reynolds, Isabel Nash, Onagh Boyle, Chris Daly, Damien Longson, Donal O’Shea, Joseph Ingram, Richard Holt, Joseph Firth, Mike Stedman, Akheel Syed, Marc de Hert</w:t>
      </w:r>
      <w:r w:rsidR="00FA5F78">
        <w:rPr>
          <w:rFonts w:ascii="Arial" w:hAnsi="Arial" w:cs="Arial"/>
          <w:color w:val="000000" w:themeColor="text1"/>
          <w:sz w:val="24"/>
          <w:szCs w:val="24"/>
        </w:rPr>
        <w:t xml:space="preserve"> have no conflict of interest. </w:t>
      </w:r>
    </w:p>
    <w:p w14:paraId="29FDD93E" w14:textId="77777777" w:rsidR="00FA5F78" w:rsidRPr="00FA5F78" w:rsidRDefault="00FA5F78" w:rsidP="00FA5F78">
      <w:pPr>
        <w:rPr>
          <w:rFonts w:ascii="Arial" w:hAnsi="Arial" w:cs="Arial"/>
          <w:color w:val="000000" w:themeColor="text1"/>
          <w:sz w:val="24"/>
          <w:szCs w:val="24"/>
          <w:vertAlign w:val="superscript"/>
        </w:rPr>
      </w:pPr>
    </w:p>
    <w:p w14:paraId="12507919" w14:textId="77777777" w:rsidR="000353A3" w:rsidRPr="00365859" w:rsidRDefault="00015FE5" w:rsidP="00C867D3">
      <w:pPr>
        <w:spacing w:line="276" w:lineRule="auto"/>
        <w:jc w:val="both"/>
        <w:rPr>
          <w:rFonts w:ascii="Arial" w:hAnsi="Arial" w:cs="Arial"/>
          <w:sz w:val="24"/>
          <w:szCs w:val="24"/>
        </w:rPr>
      </w:pPr>
      <w:r w:rsidRPr="00365859">
        <w:rPr>
          <w:rFonts w:ascii="Arial" w:hAnsi="Arial" w:cs="Arial"/>
          <w:sz w:val="24"/>
          <w:szCs w:val="24"/>
        </w:rPr>
        <w:t xml:space="preserve">Ethics: This intervention </w:t>
      </w:r>
      <w:r w:rsidR="00217B44" w:rsidRPr="00365859">
        <w:rPr>
          <w:rFonts w:ascii="Arial" w:hAnsi="Arial" w:cs="Arial"/>
          <w:sz w:val="24"/>
          <w:szCs w:val="24"/>
        </w:rPr>
        <w:t xml:space="preserve">formed </w:t>
      </w:r>
      <w:r w:rsidRPr="00365859">
        <w:rPr>
          <w:rFonts w:ascii="Arial" w:hAnsi="Arial" w:cs="Arial"/>
          <w:sz w:val="24"/>
          <w:szCs w:val="24"/>
        </w:rPr>
        <w:t xml:space="preserve">part of usual care based on clinical need. </w:t>
      </w:r>
      <w:proofErr w:type="gramStart"/>
      <w:r w:rsidRPr="00365859">
        <w:rPr>
          <w:rFonts w:ascii="Arial" w:hAnsi="Arial" w:cs="Arial"/>
          <w:sz w:val="24"/>
          <w:szCs w:val="24"/>
        </w:rPr>
        <w:t>Therefore</w:t>
      </w:r>
      <w:proofErr w:type="gramEnd"/>
      <w:r w:rsidRPr="00365859">
        <w:rPr>
          <w:rFonts w:ascii="Arial" w:hAnsi="Arial" w:cs="Arial"/>
          <w:sz w:val="24"/>
          <w:szCs w:val="24"/>
        </w:rPr>
        <w:t xml:space="preserve"> ethical approval was not sought.</w:t>
      </w:r>
      <w:r w:rsidR="004D2D08" w:rsidRPr="00365859">
        <w:rPr>
          <w:rFonts w:ascii="Arial" w:hAnsi="Arial" w:cs="Arial"/>
          <w:sz w:val="24"/>
          <w:szCs w:val="24"/>
        </w:rPr>
        <w:t xml:space="preserve"> The authors assert that all procedures contributing to this work comply with the ethical standards of the relevant national and institutional committees on human experimentation and with the Helsinki Declaration of 1975, as revised in 2013. </w:t>
      </w:r>
      <w:r w:rsidR="000353A3" w:rsidRPr="00365859">
        <w:rPr>
          <w:rFonts w:ascii="Arial" w:hAnsi="Arial" w:cs="Arial"/>
          <w:sz w:val="24"/>
          <w:szCs w:val="24"/>
        </w:rPr>
        <w:t xml:space="preserve">This was a service improvement project. The UK Health Research Authority decision tool did not consider this study to be research and therefore NHS Research Ethics Committee review was not required. All patients who received </w:t>
      </w:r>
      <w:proofErr w:type="spellStart"/>
      <w:r w:rsidR="000353A3" w:rsidRPr="00365859">
        <w:rPr>
          <w:rFonts w:ascii="Arial" w:hAnsi="Arial" w:cs="Arial"/>
          <w:sz w:val="24"/>
          <w:szCs w:val="24"/>
        </w:rPr>
        <w:t>semaglutide</w:t>
      </w:r>
      <w:proofErr w:type="spellEnd"/>
      <w:r w:rsidR="000353A3" w:rsidRPr="00365859">
        <w:rPr>
          <w:rFonts w:ascii="Arial" w:hAnsi="Arial" w:cs="Arial"/>
          <w:sz w:val="24"/>
          <w:szCs w:val="24"/>
        </w:rPr>
        <w:t xml:space="preserve"> gave verbal consent to receiving this medication as part of their usual care. Their consent was recorded in the electronic patient hospital record.</w:t>
      </w:r>
    </w:p>
    <w:p w14:paraId="03B9BC17" w14:textId="77777777" w:rsidR="00C867D3" w:rsidRPr="00C677DC" w:rsidRDefault="00C867D3" w:rsidP="00C867D3">
      <w:pPr>
        <w:spacing w:line="276" w:lineRule="auto"/>
        <w:jc w:val="both"/>
        <w:rPr>
          <w:rFonts w:ascii="Arial" w:hAnsi="Arial" w:cs="Arial"/>
          <w:sz w:val="24"/>
          <w:szCs w:val="24"/>
        </w:rPr>
      </w:pPr>
    </w:p>
    <w:p w14:paraId="0771694C" w14:textId="13EFF94B" w:rsidR="00C867D3" w:rsidRDefault="00C867D3" w:rsidP="00C867D3">
      <w:pPr>
        <w:spacing w:line="276" w:lineRule="auto"/>
        <w:jc w:val="both"/>
        <w:rPr>
          <w:rFonts w:ascii="Arial" w:hAnsi="Arial" w:cs="Arial"/>
          <w:sz w:val="24"/>
          <w:szCs w:val="24"/>
        </w:rPr>
      </w:pPr>
      <w:r w:rsidRPr="00C677DC">
        <w:rPr>
          <w:rFonts w:ascii="Arial" w:hAnsi="Arial" w:cs="Arial"/>
          <w:sz w:val="24"/>
          <w:szCs w:val="24"/>
        </w:rPr>
        <w:t>Guarantor Statement: AH is the guarantor of this work and, as such, had full access to all the data in the study and takes responsibility for the integrity of the data and the accuracy of the data analysis.</w:t>
      </w:r>
    </w:p>
    <w:p w14:paraId="7CEE94D5" w14:textId="77777777" w:rsidR="00711197" w:rsidRDefault="00711197" w:rsidP="00C867D3">
      <w:pPr>
        <w:spacing w:line="276" w:lineRule="auto"/>
        <w:jc w:val="both"/>
        <w:rPr>
          <w:rFonts w:ascii="Arial" w:hAnsi="Arial" w:cs="Arial"/>
          <w:sz w:val="24"/>
          <w:szCs w:val="24"/>
        </w:rPr>
      </w:pPr>
    </w:p>
    <w:p w14:paraId="585AD824" w14:textId="41C3137E" w:rsidR="00711197" w:rsidRPr="00711197" w:rsidRDefault="00711197" w:rsidP="00DB0EB2">
      <w:pPr>
        <w:rPr>
          <w:rFonts w:ascii="Arial" w:hAnsi="Arial" w:cs="Arial"/>
          <w:sz w:val="24"/>
          <w:szCs w:val="24"/>
        </w:rPr>
      </w:pPr>
      <w:r w:rsidRPr="00711197">
        <w:rPr>
          <w:rFonts w:ascii="Arial" w:hAnsi="Arial" w:cs="Arial"/>
          <w:sz w:val="24"/>
          <w:szCs w:val="24"/>
        </w:rPr>
        <w:t xml:space="preserve">Participants: </w:t>
      </w:r>
      <w:r w:rsidRPr="00DB0EB2">
        <w:rPr>
          <w:rFonts w:ascii="Arial" w:hAnsi="Arial" w:cs="Arial"/>
          <w:sz w:val="24"/>
          <w:szCs w:val="24"/>
        </w:rPr>
        <w:t>We thank the participants in the study</w:t>
      </w:r>
    </w:p>
    <w:p w14:paraId="45E342C7" w14:textId="77777777" w:rsidR="00F300AA" w:rsidRDefault="00F300AA" w:rsidP="00F300AA">
      <w:pPr>
        <w:rPr>
          <w:rFonts w:ascii="Arial" w:hAnsi="Arial" w:cs="Arial"/>
          <w:b/>
          <w:bCs/>
          <w:sz w:val="24"/>
          <w:szCs w:val="24"/>
        </w:rPr>
      </w:pPr>
    </w:p>
    <w:p w14:paraId="6E571210" w14:textId="401A23FC" w:rsidR="00F300AA" w:rsidRPr="00F300AA" w:rsidRDefault="00F300AA" w:rsidP="00F300AA">
      <w:pPr>
        <w:rPr>
          <w:rFonts w:ascii="Arial" w:hAnsi="Arial" w:cs="Arial"/>
          <w:b/>
          <w:bCs/>
          <w:color w:val="000000" w:themeColor="text1"/>
          <w:sz w:val="24"/>
          <w:szCs w:val="24"/>
        </w:rPr>
      </w:pPr>
      <w:r w:rsidRPr="00F300AA">
        <w:rPr>
          <w:rFonts w:ascii="Arial" w:hAnsi="Arial" w:cs="Arial"/>
          <w:b/>
          <w:bCs/>
          <w:color w:val="000000" w:themeColor="text1"/>
          <w:sz w:val="24"/>
          <w:szCs w:val="24"/>
        </w:rPr>
        <w:t>Figure Legends:</w:t>
      </w:r>
    </w:p>
    <w:p w14:paraId="1D5CF20A" w14:textId="70690ADA" w:rsidR="00F300AA" w:rsidRPr="00F300AA" w:rsidRDefault="00F300AA" w:rsidP="00F300AA">
      <w:pPr>
        <w:pStyle w:val="Heading2"/>
        <w:keepNext w:val="0"/>
        <w:keepLines w:val="0"/>
        <w:spacing w:before="0" w:after="160" w:line="360" w:lineRule="auto"/>
        <w:rPr>
          <w:rFonts w:ascii="Arial" w:hAnsi="Arial" w:cs="Arial"/>
          <w:color w:val="000000" w:themeColor="text1"/>
          <w:sz w:val="24"/>
          <w:szCs w:val="24"/>
        </w:rPr>
      </w:pPr>
      <w:r w:rsidRPr="00F300AA">
        <w:rPr>
          <w:rFonts w:ascii="Arial" w:hAnsi="Arial" w:cs="Arial"/>
          <w:color w:val="000000" w:themeColor="text1"/>
          <w:sz w:val="24"/>
          <w:szCs w:val="24"/>
        </w:rPr>
        <w:t>Figure 1: Change i</w:t>
      </w:r>
      <w:r w:rsidR="00664776">
        <w:rPr>
          <w:rFonts w:ascii="Arial" w:hAnsi="Arial" w:cs="Arial"/>
          <w:color w:val="000000" w:themeColor="text1"/>
          <w:sz w:val="24"/>
          <w:szCs w:val="24"/>
        </w:rPr>
        <w:t>n</w:t>
      </w:r>
      <w:r w:rsidRPr="00F300AA">
        <w:rPr>
          <w:rFonts w:ascii="Arial" w:hAnsi="Arial" w:cs="Arial"/>
          <w:color w:val="000000" w:themeColor="text1"/>
          <w:sz w:val="24"/>
          <w:szCs w:val="24"/>
        </w:rPr>
        <w:t xml:space="preserve"> </w:t>
      </w:r>
      <w:proofErr w:type="spellStart"/>
      <w:r w:rsidRPr="00F300AA">
        <w:rPr>
          <w:rFonts w:ascii="Arial" w:hAnsi="Arial" w:cs="Arial"/>
          <w:color w:val="000000" w:themeColor="text1"/>
          <w:sz w:val="24"/>
          <w:szCs w:val="24"/>
        </w:rPr>
        <w:t>EuroQol</w:t>
      </w:r>
      <w:proofErr w:type="spellEnd"/>
      <w:r w:rsidRPr="00F300AA">
        <w:rPr>
          <w:rFonts w:ascii="Arial" w:hAnsi="Arial" w:cs="Arial"/>
          <w:color w:val="000000" w:themeColor="text1"/>
          <w:sz w:val="24"/>
          <w:szCs w:val="24"/>
        </w:rPr>
        <w:t xml:space="preserve"> 5-Dimensional Questionnaire, 5-Level Version (EQ5D5L) Visual Analogue Scale (VAS) score after initiation of </w:t>
      </w:r>
      <w:proofErr w:type="spellStart"/>
      <w:r w:rsidRPr="00F300AA">
        <w:rPr>
          <w:rFonts w:ascii="Arial" w:hAnsi="Arial" w:cs="Arial"/>
          <w:color w:val="000000" w:themeColor="text1"/>
          <w:sz w:val="24"/>
          <w:szCs w:val="24"/>
        </w:rPr>
        <w:t>semaglutide</w:t>
      </w:r>
      <w:proofErr w:type="spellEnd"/>
      <w:r w:rsidRPr="00F300AA">
        <w:rPr>
          <w:rFonts w:ascii="Arial" w:hAnsi="Arial" w:cs="Arial"/>
          <w:color w:val="000000" w:themeColor="text1"/>
          <w:sz w:val="24"/>
          <w:szCs w:val="24"/>
        </w:rPr>
        <w:t xml:space="preserve"> </w:t>
      </w:r>
    </w:p>
    <w:p w14:paraId="11BE37C9" w14:textId="77777777" w:rsidR="00F300AA" w:rsidRPr="00F300AA" w:rsidRDefault="00F300AA" w:rsidP="00F300AA">
      <w:pPr>
        <w:pStyle w:val="Heading2"/>
        <w:keepNext w:val="0"/>
        <w:keepLines w:val="0"/>
        <w:spacing w:before="0" w:after="160" w:line="360" w:lineRule="auto"/>
        <w:rPr>
          <w:rFonts w:ascii="Arial" w:hAnsi="Arial" w:cs="Arial"/>
          <w:color w:val="000000" w:themeColor="text1"/>
          <w:sz w:val="24"/>
          <w:szCs w:val="24"/>
        </w:rPr>
      </w:pPr>
      <w:r w:rsidRPr="00F300AA">
        <w:rPr>
          <w:rFonts w:ascii="Arial" w:hAnsi="Arial" w:cs="Arial"/>
          <w:color w:val="000000" w:themeColor="text1"/>
          <w:sz w:val="24"/>
          <w:szCs w:val="24"/>
        </w:rPr>
        <w:t xml:space="preserve">Figure 2: Change in Body Mass Index (BMI) after initiation of </w:t>
      </w:r>
      <w:proofErr w:type="spellStart"/>
      <w:r w:rsidRPr="00F300AA">
        <w:rPr>
          <w:rFonts w:ascii="Arial" w:hAnsi="Arial" w:cs="Arial"/>
          <w:color w:val="000000" w:themeColor="text1"/>
          <w:sz w:val="24"/>
          <w:szCs w:val="24"/>
        </w:rPr>
        <w:t>semaglutide</w:t>
      </w:r>
      <w:proofErr w:type="spellEnd"/>
    </w:p>
    <w:p w14:paraId="496EDECE" w14:textId="77777777" w:rsidR="00F300AA" w:rsidRPr="00F300AA" w:rsidRDefault="00F300AA" w:rsidP="00F300AA">
      <w:pPr>
        <w:pStyle w:val="Heading2"/>
        <w:keepNext w:val="0"/>
        <w:keepLines w:val="0"/>
        <w:spacing w:before="0" w:after="160" w:line="360" w:lineRule="auto"/>
        <w:rPr>
          <w:rFonts w:ascii="Arial" w:hAnsi="Arial" w:cs="Arial"/>
          <w:color w:val="000000" w:themeColor="text1"/>
          <w:sz w:val="24"/>
          <w:szCs w:val="24"/>
        </w:rPr>
      </w:pPr>
      <w:r w:rsidRPr="00F300AA">
        <w:rPr>
          <w:rFonts w:ascii="Arial" w:hAnsi="Arial" w:cs="Arial"/>
          <w:color w:val="000000" w:themeColor="text1"/>
          <w:sz w:val="24"/>
          <w:szCs w:val="24"/>
        </w:rPr>
        <w:lastRenderedPageBreak/>
        <w:t xml:space="preserve">Figure 3: Change in glycated haemoglobin HbA1c (mmol/mol and %) after initiation of </w:t>
      </w:r>
      <w:proofErr w:type="spellStart"/>
      <w:r w:rsidRPr="00F300AA">
        <w:rPr>
          <w:rFonts w:ascii="Arial" w:hAnsi="Arial" w:cs="Arial"/>
          <w:color w:val="000000" w:themeColor="text1"/>
          <w:sz w:val="24"/>
          <w:szCs w:val="24"/>
        </w:rPr>
        <w:t>semaglutide</w:t>
      </w:r>
      <w:proofErr w:type="spellEnd"/>
      <w:r w:rsidRPr="00F300AA">
        <w:rPr>
          <w:rFonts w:ascii="Arial" w:hAnsi="Arial" w:cs="Arial"/>
          <w:color w:val="000000" w:themeColor="text1"/>
          <w:sz w:val="24"/>
          <w:szCs w:val="24"/>
        </w:rPr>
        <w:t>. HbA1c was checked every 2-3 months</w:t>
      </w:r>
    </w:p>
    <w:p w14:paraId="6F2FC192" w14:textId="77777777" w:rsidR="00936A3E" w:rsidRDefault="00936A3E" w:rsidP="00936A3E">
      <w:pPr>
        <w:rPr>
          <w:rFonts w:ascii="Arial" w:hAnsi="Arial" w:cs="Arial"/>
          <w:sz w:val="24"/>
          <w:szCs w:val="24"/>
        </w:rPr>
      </w:pPr>
    </w:p>
    <w:p w14:paraId="4D854D86" w14:textId="572630EC" w:rsidR="00936A3E" w:rsidRPr="00936A3E" w:rsidRDefault="00936A3E" w:rsidP="00936A3E">
      <w:pPr>
        <w:rPr>
          <w:rFonts w:ascii="Arial" w:hAnsi="Arial" w:cs="Arial"/>
          <w:b/>
          <w:bCs/>
          <w:sz w:val="24"/>
          <w:szCs w:val="24"/>
        </w:rPr>
      </w:pPr>
      <w:r w:rsidRPr="00936A3E">
        <w:rPr>
          <w:rFonts w:ascii="Arial" w:hAnsi="Arial" w:cs="Arial"/>
          <w:b/>
          <w:bCs/>
          <w:sz w:val="24"/>
          <w:szCs w:val="24"/>
        </w:rPr>
        <w:t>References</w:t>
      </w:r>
    </w:p>
    <w:p w14:paraId="0DFBFED3" w14:textId="77777777" w:rsidR="00936A3E" w:rsidRPr="00C677DC" w:rsidRDefault="00936A3E" w:rsidP="00936A3E">
      <w:pPr>
        <w:pStyle w:val="pf0"/>
        <w:numPr>
          <w:ilvl w:val="0"/>
          <w:numId w:val="7"/>
        </w:numPr>
        <w:spacing w:line="360" w:lineRule="auto"/>
        <w:rPr>
          <w:rFonts w:ascii="Arial" w:hAnsi="Arial" w:cs="Arial"/>
        </w:rPr>
      </w:pPr>
      <w:r w:rsidRPr="00053ADE">
        <w:rPr>
          <w:rFonts w:ascii="Arial" w:eastAsiaTheme="majorEastAsia" w:hAnsi="Arial" w:cs="Arial"/>
        </w:rPr>
        <w:t xml:space="preserve">Heald AH, Martin JL, Payton T, Khalid L, Anderson SG, Narayanan RP, De Hert M, Yung A, Livingston M. Changes in metabolic parameters in patients with severe mental illness over a 10-year period: A retrospective cohort study. </w:t>
      </w:r>
      <w:proofErr w:type="spellStart"/>
      <w:r w:rsidRPr="00053ADE">
        <w:rPr>
          <w:rFonts w:ascii="Arial" w:eastAsiaTheme="majorEastAsia" w:hAnsi="Arial" w:cs="Arial"/>
        </w:rPr>
        <w:t>Aust</w:t>
      </w:r>
      <w:proofErr w:type="spellEnd"/>
      <w:r w:rsidRPr="00053ADE">
        <w:rPr>
          <w:rFonts w:ascii="Arial" w:eastAsiaTheme="majorEastAsia" w:hAnsi="Arial" w:cs="Arial"/>
        </w:rPr>
        <w:t xml:space="preserve"> N Z J Psychiatry 2017;</w:t>
      </w:r>
      <w:r>
        <w:rPr>
          <w:rFonts w:ascii="Arial" w:eastAsiaTheme="majorEastAsia" w:hAnsi="Arial" w:cs="Arial"/>
        </w:rPr>
        <w:t xml:space="preserve"> </w:t>
      </w:r>
      <w:r w:rsidRPr="00053ADE">
        <w:rPr>
          <w:rFonts w:ascii="Arial" w:eastAsiaTheme="majorEastAsia" w:hAnsi="Arial" w:cs="Arial"/>
        </w:rPr>
        <w:t>51:</w:t>
      </w:r>
      <w:r>
        <w:rPr>
          <w:rFonts w:ascii="Arial" w:eastAsiaTheme="majorEastAsia" w:hAnsi="Arial" w:cs="Arial"/>
        </w:rPr>
        <w:t xml:space="preserve"> </w:t>
      </w:r>
      <w:r w:rsidRPr="00053ADE">
        <w:rPr>
          <w:rFonts w:ascii="Arial" w:eastAsiaTheme="majorEastAsia" w:hAnsi="Arial" w:cs="Arial"/>
        </w:rPr>
        <w:t>75-82</w:t>
      </w:r>
    </w:p>
    <w:p w14:paraId="176BA2C5" w14:textId="77777777" w:rsidR="00936A3E" w:rsidRPr="00C677DC" w:rsidRDefault="00936A3E" w:rsidP="00936A3E">
      <w:pPr>
        <w:pStyle w:val="pf0"/>
        <w:numPr>
          <w:ilvl w:val="0"/>
          <w:numId w:val="7"/>
        </w:numPr>
        <w:spacing w:line="360" w:lineRule="auto"/>
        <w:rPr>
          <w:rStyle w:val="cf11"/>
          <w:rFonts w:ascii="Arial" w:hAnsi="Arial" w:cs="Arial"/>
          <w:sz w:val="24"/>
          <w:szCs w:val="24"/>
        </w:rPr>
      </w:pPr>
      <w:r w:rsidRPr="00C677DC">
        <w:rPr>
          <w:rStyle w:val="cf11"/>
          <w:rFonts w:ascii="Arial" w:eastAsiaTheme="majorEastAsia" w:hAnsi="Arial" w:cs="Arial"/>
          <w:sz w:val="24"/>
          <w:szCs w:val="24"/>
        </w:rPr>
        <w:t xml:space="preserve">Zhang JP, Gallego JA, Robinson DG, Malhotra AK, Kane JM, </w:t>
      </w:r>
      <w:proofErr w:type="spellStart"/>
      <w:r w:rsidRPr="00C677DC">
        <w:rPr>
          <w:rStyle w:val="cf11"/>
          <w:rFonts w:ascii="Arial" w:eastAsiaTheme="majorEastAsia" w:hAnsi="Arial" w:cs="Arial"/>
          <w:sz w:val="24"/>
          <w:szCs w:val="24"/>
        </w:rPr>
        <w:t>Correll</w:t>
      </w:r>
      <w:proofErr w:type="spellEnd"/>
      <w:r w:rsidRPr="00C677DC">
        <w:rPr>
          <w:rStyle w:val="cf11"/>
          <w:rFonts w:ascii="Arial" w:eastAsiaTheme="majorEastAsia" w:hAnsi="Arial" w:cs="Arial"/>
          <w:sz w:val="24"/>
          <w:szCs w:val="24"/>
        </w:rPr>
        <w:t xml:space="preserve"> CU. Efficacy and safety of individual second-generation vs. first-generation antipsychotics in first-episode psychosis: a systematic review and meta-analysis. Int J </w:t>
      </w:r>
      <w:proofErr w:type="spellStart"/>
      <w:r w:rsidRPr="00C677DC">
        <w:rPr>
          <w:rStyle w:val="cf11"/>
          <w:rFonts w:ascii="Arial" w:eastAsiaTheme="majorEastAsia" w:hAnsi="Arial" w:cs="Arial"/>
          <w:sz w:val="24"/>
          <w:szCs w:val="24"/>
        </w:rPr>
        <w:t>Neuropsychopharmacol</w:t>
      </w:r>
      <w:proofErr w:type="spellEnd"/>
      <w:r w:rsidRPr="00C677DC">
        <w:rPr>
          <w:rStyle w:val="cf11"/>
          <w:rFonts w:ascii="Arial" w:eastAsiaTheme="majorEastAsia" w:hAnsi="Arial" w:cs="Arial"/>
          <w:sz w:val="24"/>
          <w:szCs w:val="24"/>
        </w:rPr>
        <w:t xml:space="preserve"> 2013; 16: 1205-18</w:t>
      </w:r>
    </w:p>
    <w:p w14:paraId="1750294C" w14:textId="77777777" w:rsidR="00936A3E" w:rsidRPr="00C677DC" w:rsidRDefault="00936A3E" w:rsidP="00936A3E">
      <w:pPr>
        <w:pStyle w:val="pf0"/>
        <w:numPr>
          <w:ilvl w:val="0"/>
          <w:numId w:val="7"/>
        </w:numPr>
        <w:spacing w:line="360" w:lineRule="auto"/>
        <w:rPr>
          <w:rFonts w:ascii="Arial" w:hAnsi="Arial" w:cs="Arial"/>
        </w:rPr>
      </w:pPr>
      <w:r w:rsidRPr="00C677DC">
        <w:rPr>
          <w:rFonts w:ascii="Arial" w:eastAsiaTheme="minorHAnsi" w:hAnsi="Arial" w:cs="Arial"/>
          <w:color w:val="212121"/>
          <w:shd w:val="clear" w:color="auto" w:fill="FFFFFF"/>
          <w:lang w:eastAsia="en-US"/>
        </w:rPr>
        <w:t xml:space="preserve">Allison DB, </w:t>
      </w:r>
      <w:proofErr w:type="spellStart"/>
      <w:r w:rsidRPr="00C677DC">
        <w:rPr>
          <w:rFonts w:ascii="Arial" w:eastAsiaTheme="minorHAnsi" w:hAnsi="Arial" w:cs="Arial"/>
          <w:color w:val="212121"/>
          <w:shd w:val="clear" w:color="auto" w:fill="FFFFFF"/>
          <w:lang w:eastAsia="en-US"/>
        </w:rPr>
        <w:t>Mentore</w:t>
      </w:r>
      <w:proofErr w:type="spellEnd"/>
      <w:r w:rsidRPr="00C677DC">
        <w:rPr>
          <w:rFonts w:ascii="Arial" w:eastAsiaTheme="minorHAnsi" w:hAnsi="Arial" w:cs="Arial"/>
          <w:color w:val="212121"/>
          <w:shd w:val="clear" w:color="auto" w:fill="FFFFFF"/>
          <w:lang w:eastAsia="en-US"/>
        </w:rPr>
        <w:t xml:space="preserve"> JL, Heo M, Chandler LP, </w:t>
      </w:r>
      <w:proofErr w:type="spellStart"/>
      <w:r w:rsidRPr="00C677DC">
        <w:rPr>
          <w:rFonts w:ascii="Arial" w:eastAsiaTheme="minorHAnsi" w:hAnsi="Arial" w:cs="Arial"/>
          <w:color w:val="212121"/>
          <w:shd w:val="clear" w:color="auto" w:fill="FFFFFF"/>
          <w:lang w:eastAsia="en-US"/>
        </w:rPr>
        <w:t>Cappelleri</w:t>
      </w:r>
      <w:proofErr w:type="spellEnd"/>
      <w:r w:rsidRPr="00C677DC">
        <w:rPr>
          <w:rFonts w:ascii="Arial" w:eastAsiaTheme="minorHAnsi" w:hAnsi="Arial" w:cs="Arial"/>
          <w:color w:val="212121"/>
          <w:shd w:val="clear" w:color="auto" w:fill="FFFFFF"/>
          <w:lang w:eastAsia="en-US"/>
        </w:rPr>
        <w:t xml:space="preserve"> JC, Infante MC, </w:t>
      </w:r>
      <w:proofErr w:type="spellStart"/>
      <w:r w:rsidRPr="00C677DC">
        <w:rPr>
          <w:rFonts w:ascii="Arial" w:eastAsiaTheme="minorHAnsi" w:hAnsi="Arial" w:cs="Arial"/>
          <w:color w:val="212121"/>
          <w:shd w:val="clear" w:color="auto" w:fill="FFFFFF"/>
          <w:lang w:eastAsia="en-US"/>
        </w:rPr>
        <w:t>Weiden</w:t>
      </w:r>
      <w:proofErr w:type="spellEnd"/>
      <w:r w:rsidRPr="00C677DC">
        <w:rPr>
          <w:rFonts w:ascii="Arial" w:eastAsiaTheme="minorHAnsi" w:hAnsi="Arial" w:cs="Arial"/>
          <w:color w:val="212121"/>
          <w:shd w:val="clear" w:color="auto" w:fill="FFFFFF"/>
          <w:lang w:eastAsia="en-US"/>
        </w:rPr>
        <w:t xml:space="preserve"> PJ. Antipsychotic-induced weight gain: a comprehensive research synthesis. Am J Psychiatry</w:t>
      </w:r>
      <w:proofErr w:type="gramStart"/>
      <w:r w:rsidRPr="00C677DC">
        <w:rPr>
          <w:rFonts w:ascii="Arial" w:eastAsiaTheme="minorHAnsi" w:hAnsi="Arial" w:cs="Arial"/>
          <w:color w:val="212121"/>
          <w:shd w:val="clear" w:color="auto" w:fill="FFFFFF"/>
          <w:lang w:eastAsia="en-US"/>
        </w:rPr>
        <w:t>1999;156:1686</w:t>
      </w:r>
      <w:proofErr w:type="gramEnd"/>
      <w:r w:rsidRPr="00C677DC">
        <w:rPr>
          <w:rFonts w:ascii="Arial" w:eastAsiaTheme="minorHAnsi" w:hAnsi="Arial" w:cs="Arial"/>
          <w:color w:val="212121"/>
          <w:shd w:val="clear" w:color="auto" w:fill="FFFFFF"/>
          <w:lang w:eastAsia="en-US"/>
        </w:rPr>
        <w:t>-96</w:t>
      </w:r>
    </w:p>
    <w:p w14:paraId="794D1841" w14:textId="77777777" w:rsidR="00936A3E" w:rsidRPr="00C677DC" w:rsidRDefault="00936A3E" w:rsidP="00936A3E">
      <w:pPr>
        <w:pStyle w:val="pf0"/>
        <w:numPr>
          <w:ilvl w:val="0"/>
          <w:numId w:val="7"/>
        </w:numPr>
        <w:spacing w:line="360" w:lineRule="auto"/>
        <w:rPr>
          <w:rFonts w:ascii="Arial" w:hAnsi="Arial" w:cs="Arial"/>
        </w:rPr>
      </w:pPr>
      <w:r w:rsidRPr="00C677DC">
        <w:rPr>
          <w:rFonts w:ascii="Arial" w:eastAsiaTheme="minorHAnsi" w:hAnsi="Arial" w:cs="Arial"/>
          <w:color w:val="212121"/>
          <w:shd w:val="clear" w:color="auto" w:fill="FFFFFF"/>
          <w:lang w:eastAsia="en-US"/>
        </w:rPr>
        <w:t>Cooper SJ, Reynolds GP; With expert co-authors (in alphabetical order</w:t>
      </w:r>
      <w:proofErr w:type="gramStart"/>
      <w:r w:rsidRPr="00C677DC">
        <w:rPr>
          <w:rFonts w:ascii="Arial" w:eastAsiaTheme="minorHAnsi" w:hAnsi="Arial" w:cs="Arial"/>
          <w:color w:val="212121"/>
          <w:shd w:val="clear" w:color="auto" w:fill="FFFFFF"/>
          <w:lang w:eastAsia="en-US"/>
        </w:rPr>
        <w:t>):;</w:t>
      </w:r>
      <w:proofErr w:type="gramEnd"/>
      <w:r w:rsidRPr="00C677DC">
        <w:rPr>
          <w:rFonts w:ascii="Arial" w:eastAsiaTheme="minorHAnsi" w:hAnsi="Arial" w:cs="Arial"/>
          <w:color w:val="212121"/>
          <w:shd w:val="clear" w:color="auto" w:fill="FFFFFF"/>
          <w:lang w:eastAsia="en-US"/>
        </w:rPr>
        <w:t xml:space="preserve"> Barnes T, England E, Haddad PM, Heald A, Holt R, </w:t>
      </w:r>
      <w:proofErr w:type="spellStart"/>
      <w:r w:rsidRPr="00C677DC">
        <w:rPr>
          <w:rFonts w:ascii="Arial" w:eastAsiaTheme="minorHAnsi" w:hAnsi="Arial" w:cs="Arial"/>
          <w:color w:val="212121"/>
          <w:shd w:val="clear" w:color="auto" w:fill="FFFFFF"/>
          <w:lang w:eastAsia="en-US"/>
        </w:rPr>
        <w:t>Lingford</w:t>
      </w:r>
      <w:proofErr w:type="spellEnd"/>
      <w:r w:rsidRPr="00C677DC">
        <w:rPr>
          <w:rFonts w:ascii="Arial" w:eastAsiaTheme="minorHAnsi" w:hAnsi="Arial" w:cs="Arial"/>
          <w:color w:val="212121"/>
          <w:shd w:val="clear" w:color="auto" w:fill="FFFFFF"/>
          <w:lang w:eastAsia="en-US"/>
        </w:rPr>
        <w:t xml:space="preserve">-Hughes A, Osborn D, McGowan O, Patel MX, Paton C, Reid P, </w:t>
      </w:r>
      <w:proofErr w:type="spellStart"/>
      <w:r w:rsidRPr="00C677DC">
        <w:rPr>
          <w:rFonts w:ascii="Arial" w:eastAsiaTheme="minorHAnsi" w:hAnsi="Arial" w:cs="Arial"/>
          <w:color w:val="212121"/>
          <w:shd w:val="clear" w:color="auto" w:fill="FFFFFF"/>
          <w:lang w:eastAsia="en-US"/>
        </w:rPr>
        <w:t>Shiers</w:t>
      </w:r>
      <w:proofErr w:type="spellEnd"/>
      <w:r w:rsidRPr="00C677DC">
        <w:rPr>
          <w:rFonts w:ascii="Arial" w:eastAsiaTheme="minorHAnsi" w:hAnsi="Arial" w:cs="Arial"/>
          <w:color w:val="212121"/>
          <w:shd w:val="clear" w:color="auto" w:fill="FFFFFF"/>
          <w:lang w:eastAsia="en-US"/>
        </w:rPr>
        <w:t xml:space="preserve"> D, Smith J. BAP guidelines on the management of weight gain, metabolic disturbances and cardiovascular risk associated with psychosis and antipsychotic drug treatment. J </w:t>
      </w:r>
      <w:proofErr w:type="spellStart"/>
      <w:r w:rsidRPr="00C677DC">
        <w:rPr>
          <w:rFonts w:ascii="Arial" w:eastAsiaTheme="minorHAnsi" w:hAnsi="Arial" w:cs="Arial"/>
          <w:color w:val="212121"/>
          <w:shd w:val="clear" w:color="auto" w:fill="FFFFFF"/>
          <w:lang w:eastAsia="en-US"/>
        </w:rPr>
        <w:t>Psychopharmacol</w:t>
      </w:r>
      <w:proofErr w:type="spellEnd"/>
      <w:r w:rsidRPr="00C677DC">
        <w:rPr>
          <w:rFonts w:ascii="Arial" w:eastAsiaTheme="minorHAnsi" w:hAnsi="Arial" w:cs="Arial"/>
          <w:color w:val="212121"/>
          <w:shd w:val="clear" w:color="auto" w:fill="FFFFFF"/>
          <w:lang w:eastAsia="en-US"/>
        </w:rPr>
        <w:t>. 2016; 30: 717-48</w:t>
      </w:r>
    </w:p>
    <w:p w14:paraId="1DA8790A" w14:textId="77777777" w:rsidR="00936A3E" w:rsidRPr="00C677DC" w:rsidRDefault="00936A3E" w:rsidP="00936A3E">
      <w:pPr>
        <w:pStyle w:val="ListParagraph"/>
        <w:numPr>
          <w:ilvl w:val="0"/>
          <w:numId w:val="7"/>
        </w:numPr>
        <w:spacing w:before="100" w:beforeAutospacing="1" w:after="100" w:afterAutospacing="1" w:line="360" w:lineRule="auto"/>
        <w:rPr>
          <w:rFonts w:ascii="Arial" w:eastAsia="Times New Roman" w:hAnsi="Arial" w:cs="Arial"/>
          <w:sz w:val="24"/>
          <w:szCs w:val="24"/>
          <w:lang w:eastAsia="en-GB"/>
        </w:rPr>
      </w:pPr>
      <w:proofErr w:type="spellStart"/>
      <w:r w:rsidRPr="00C677DC">
        <w:rPr>
          <w:rFonts w:ascii="Arial" w:eastAsia="Times New Roman" w:hAnsi="Arial" w:cs="Arial"/>
          <w:color w:val="282828"/>
          <w:sz w:val="24"/>
          <w:szCs w:val="24"/>
          <w:shd w:val="clear" w:color="auto" w:fill="FFFFFF"/>
          <w:lang w:eastAsia="en-GB"/>
        </w:rPr>
        <w:t>Correll</w:t>
      </w:r>
      <w:proofErr w:type="spellEnd"/>
      <w:r w:rsidRPr="00C677DC">
        <w:rPr>
          <w:rFonts w:ascii="Arial" w:eastAsia="Times New Roman" w:hAnsi="Arial" w:cs="Arial"/>
          <w:color w:val="282828"/>
          <w:sz w:val="24"/>
          <w:szCs w:val="24"/>
          <w:shd w:val="clear" w:color="auto" w:fill="FFFFFF"/>
          <w:lang w:eastAsia="en-GB"/>
        </w:rPr>
        <w:t xml:space="preserve"> CU, Robinson DG, Schooler NR, Brunette MF, </w:t>
      </w:r>
      <w:proofErr w:type="spellStart"/>
      <w:r w:rsidRPr="00C677DC">
        <w:rPr>
          <w:rFonts w:ascii="Arial" w:eastAsia="Times New Roman" w:hAnsi="Arial" w:cs="Arial"/>
          <w:color w:val="282828"/>
          <w:sz w:val="24"/>
          <w:szCs w:val="24"/>
          <w:shd w:val="clear" w:color="auto" w:fill="FFFFFF"/>
          <w:lang w:eastAsia="en-GB"/>
        </w:rPr>
        <w:t>Mueser</w:t>
      </w:r>
      <w:proofErr w:type="spellEnd"/>
      <w:r w:rsidRPr="00C677DC">
        <w:rPr>
          <w:rFonts w:ascii="Arial" w:eastAsia="Times New Roman" w:hAnsi="Arial" w:cs="Arial"/>
          <w:color w:val="282828"/>
          <w:sz w:val="24"/>
          <w:szCs w:val="24"/>
          <w:shd w:val="clear" w:color="auto" w:fill="FFFFFF"/>
          <w:lang w:eastAsia="en-GB"/>
        </w:rPr>
        <w:t xml:space="preserve"> KT, </w:t>
      </w:r>
      <w:proofErr w:type="spellStart"/>
      <w:r w:rsidRPr="00C677DC">
        <w:rPr>
          <w:rFonts w:ascii="Arial" w:eastAsia="Times New Roman" w:hAnsi="Arial" w:cs="Arial"/>
          <w:color w:val="282828"/>
          <w:sz w:val="24"/>
          <w:szCs w:val="24"/>
          <w:shd w:val="clear" w:color="auto" w:fill="FFFFFF"/>
          <w:lang w:eastAsia="en-GB"/>
        </w:rPr>
        <w:t>Rosenheck</w:t>
      </w:r>
      <w:proofErr w:type="spellEnd"/>
      <w:r w:rsidRPr="00C677DC">
        <w:rPr>
          <w:rFonts w:ascii="Arial" w:eastAsia="Times New Roman" w:hAnsi="Arial" w:cs="Arial"/>
          <w:color w:val="282828"/>
          <w:sz w:val="24"/>
          <w:szCs w:val="24"/>
          <w:shd w:val="clear" w:color="auto" w:fill="FFFFFF"/>
          <w:lang w:eastAsia="en-GB"/>
        </w:rPr>
        <w:t xml:space="preserve"> RA, et al. Cardiometabolic risk in patients with first-episode schizophrenia spectrum disorders: baseline results from the RAISE-ETP study. JAMA Psychiatry 2014; 71:1350–63</w:t>
      </w:r>
    </w:p>
    <w:p w14:paraId="63383F2F" w14:textId="77777777" w:rsidR="00936A3E" w:rsidRPr="00C677DC" w:rsidRDefault="00936A3E" w:rsidP="00936A3E">
      <w:pPr>
        <w:pStyle w:val="ListParagraph"/>
        <w:numPr>
          <w:ilvl w:val="0"/>
          <w:numId w:val="7"/>
        </w:numPr>
        <w:spacing w:before="100" w:beforeAutospacing="1" w:after="100" w:afterAutospacing="1" w:line="360" w:lineRule="auto"/>
        <w:rPr>
          <w:rFonts w:ascii="Arial" w:eastAsia="Times New Roman" w:hAnsi="Arial" w:cs="Arial"/>
          <w:sz w:val="24"/>
          <w:szCs w:val="24"/>
          <w:lang w:eastAsia="en-GB"/>
        </w:rPr>
      </w:pPr>
      <w:r w:rsidRPr="00C677DC">
        <w:rPr>
          <w:rFonts w:ascii="Arial" w:eastAsia="Times New Roman" w:hAnsi="Arial" w:cs="Arial"/>
          <w:color w:val="212121"/>
          <w:sz w:val="24"/>
          <w:szCs w:val="24"/>
          <w:shd w:val="clear" w:color="auto" w:fill="FFFFFF"/>
          <w:lang w:eastAsia="en-GB"/>
        </w:rPr>
        <w:t xml:space="preserve">Harrison RNS, Gaughran F, Murray RM, Lee SH, </w:t>
      </w:r>
      <w:proofErr w:type="spellStart"/>
      <w:r w:rsidRPr="00C677DC">
        <w:rPr>
          <w:rFonts w:ascii="Arial" w:eastAsia="Times New Roman" w:hAnsi="Arial" w:cs="Arial"/>
          <w:color w:val="212121"/>
          <w:sz w:val="24"/>
          <w:szCs w:val="24"/>
          <w:shd w:val="clear" w:color="auto" w:fill="FFFFFF"/>
          <w:lang w:eastAsia="en-GB"/>
        </w:rPr>
        <w:t>Cano</w:t>
      </w:r>
      <w:proofErr w:type="spellEnd"/>
      <w:r w:rsidRPr="00C677DC">
        <w:rPr>
          <w:rFonts w:ascii="Arial" w:eastAsia="Times New Roman" w:hAnsi="Arial" w:cs="Arial"/>
          <w:color w:val="212121"/>
          <w:sz w:val="24"/>
          <w:szCs w:val="24"/>
          <w:shd w:val="clear" w:color="auto" w:fill="FFFFFF"/>
          <w:lang w:eastAsia="en-GB"/>
        </w:rPr>
        <w:t xml:space="preserve"> JP, Dempster D, Curtis CJ, Dima D, Patel H, de Jong S, Breen G. Development of multivariable models to predict change in Body Mass Index within a clinical trial population of psychotic individuals. Sci Rep 20177; 7: 14738 </w:t>
      </w:r>
    </w:p>
    <w:p w14:paraId="7FDCE402" w14:textId="77777777" w:rsidR="00936A3E" w:rsidRPr="00C677DC" w:rsidRDefault="00936A3E" w:rsidP="00936A3E">
      <w:pPr>
        <w:pStyle w:val="ListParagraph"/>
        <w:numPr>
          <w:ilvl w:val="0"/>
          <w:numId w:val="7"/>
        </w:numPr>
        <w:spacing w:before="100" w:beforeAutospacing="1" w:after="100" w:afterAutospacing="1" w:line="360" w:lineRule="auto"/>
        <w:rPr>
          <w:rFonts w:ascii="Arial" w:eastAsia="Times New Roman" w:hAnsi="Arial" w:cs="Arial"/>
          <w:sz w:val="24"/>
          <w:szCs w:val="24"/>
          <w:lang w:eastAsia="en-GB"/>
        </w:rPr>
      </w:pPr>
      <w:r w:rsidRPr="00C677DC">
        <w:rPr>
          <w:rFonts w:ascii="Arial" w:eastAsia="Times New Roman" w:hAnsi="Arial" w:cs="Arial"/>
          <w:color w:val="212121"/>
          <w:sz w:val="24"/>
          <w:szCs w:val="24"/>
          <w:shd w:val="clear" w:color="auto" w:fill="FFFFFF"/>
          <w:lang w:eastAsia="en-GB"/>
        </w:rPr>
        <w:t>Heald A, Daly C, Warner-Levy JJ, Williams R, Meehan C, Livingston M, Pillinger T, Hussain L, Firth J. Weight change following diagnosis with psychosis: a retrospective cohort study in Greater Manchester, UK. Ann Gen Psychiatry. 2024;</w:t>
      </w:r>
      <w:r>
        <w:rPr>
          <w:rFonts w:ascii="Arial" w:eastAsia="Times New Roman" w:hAnsi="Arial" w:cs="Arial"/>
          <w:color w:val="212121"/>
          <w:sz w:val="24"/>
          <w:szCs w:val="24"/>
          <w:shd w:val="clear" w:color="auto" w:fill="FFFFFF"/>
          <w:lang w:eastAsia="en-GB"/>
        </w:rPr>
        <w:t xml:space="preserve"> </w:t>
      </w:r>
      <w:proofErr w:type="gramStart"/>
      <w:r w:rsidRPr="00C677DC">
        <w:rPr>
          <w:rFonts w:ascii="Arial" w:eastAsia="Times New Roman" w:hAnsi="Arial" w:cs="Arial"/>
          <w:color w:val="212121"/>
          <w:sz w:val="24"/>
          <w:szCs w:val="24"/>
          <w:shd w:val="clear" w:color="auto" w:fill="FFFFFF"/>
          <w:lang w:eastAsia="en-GB"/>
        </w:rPr>
        <w:t>23</w:t>
      </w:r>
      <w:r>
        <w:rPr>
          <w:rFonts w:ascii="Arial" w:eastAsia="Times New Roman" w:hAnsi="Arial" w:cs="Arial"/>
          <w:color w:val="212121"/>
          <w:sz w:val="24"/>
          <w:szCs w:val="24"/>
          <w:shd w:val="clear" w:color="auto" w:fill="FFFFFF"/>
          <w:lang w:eastAsia="en-GB"/>
        </w:rPr>
        <w:t xml:space="preserve"> </w:t>
      </w:r>
      <w:r w:rsidRPr="00C677DC">
        <w:rPr>
          <w:rFonts w:ascii="Arial" w:eastAsia="Times New Roman" w:hAnsi="Arial" w:cs="Arial"/>
          <w:color w:val="212121"/>
          <w:sz w:val="24"/>
          <w:szCs w:val="24"/>
          <w:shd w:val="clear" w:color="auto" w:fill="FFFFFF"/>
          <w:lang w:eastAsia="en-GB"/>
        </w:rPr>
        <w:t>:</w:t>
      </w:r>
      <w:proofErr w:type="gramEnd"/>
      <w:r>
        <w:rPr>
          <w:rFonts w:ascii="Arial" w:eastAsia="Times New Roman" w:hAnsi="Arial" w:cs="Arial"/>
          <w:color w:val="212121"/>
          <w:sz w:val="24"/>
          <w:szCs w:val="24"/>
          <w:shd w:val="clear" w:color="auto" w:fill="FFFFFF"/>
          <w:lang w:eastAsia="en-GB"/>
        </w:rPr>
        <w:t xml:space="preserve"> </w:t>
      </w:r>
      <w:r w:rsidRPr="00C677DC">
        <w:rPr>
          <w:rFonts w:ascii="Arial" w:eastAsia="Times New Roman" w:hAnsi="Arial" w:cs="Arial"/>
          <w:color w:val="212121"/>
          <w:sz w:val="24"/>
          <w:szCs w:val="24"/>
          <w:shd w:val="clear" w:color="auto" w:fill="FFFFFF"/>
          <w:lang w:eastAsia="en-GB"/>
        </w:rPr>
        <w:t>1</w:t>
      </w:r>
    </w:p>
    <w:p w14:paraId="58241D2E" w14:textId="77777777" w:rsidR="00936A3E" w:rsidRPr="00C677DC" w:rsidRDefault="00936A3E" w:rsidP="00936A3E">
      <w:pPr>
        <w:numPr>
          <w:ilvl w:val="0"/>
          <w:numId w:val="7"/>
        </w:numPr>
        <w:spacing w:before="100" w:beforeAutospacing="1" w:after="100" w:afterAutospacing="1" w:line="360" w:lineRule="auto"/>
        <w:rPr>
          <w:rFonts w:ascii="Arial" w:eastAsia="Times New Roman" w:hAnsi="Arial" w:cs="Arial"/>
          <w:sz w:val="24"/>
          <w:szCs w:val="24"/>
          <w:lang w:eastAsia="en-GB"/>
        </w:rPr>
      </w:pPr>
      <w:proofErr w:type="spellStart"/>
      <w:r w:rsidRPr="00C677DC">
        <w:rPr>
          <w:rFonts w:ascii="Arial" w:eastAsia="Times New Roman" w:hAnsi="Arial" w:cs="Arial"/>
          <w:color w:val="212121"/>
          <w:sz w:val="24"/>
          <w:szCs w:val="24"/>
          <w:shd w:val="clear" w:color="auto" w:fill="FFFFFF"/>
          <w:lang w:eastAsia="en-GB"/>
        </w:rPr>
        <w:lastRenderedPageBreak/>
        <w:t>Brandl</w:t>
      </w:r>
      <w:proofErr w:type="spellEnd"/>
      <w:r w:rsidRPr="00C677DC">
        <w:rPr>
          <w:rFonts w:ascii="Arial" w:eastAsia="Times New Roman" w:hAnsi="Arial" w:cs="Arial"/>
          <w:color w:val="212121"/>
          <w:sz w:val="24"/>
          <w:szCs w:val="24"/>
          <w:shd w:val="clear" w:color="auto" w:fill="FFFFFF"/>
          <w:lang w:eastAsia="en-GB"/>
        </w:rPr>
        <w:t xml:space="preserve"> EJ, Kennedy JL, Müller DJ. Pharmacogenetics of antipsychotics. Can J Psychiatry. 2014; 59: 76-8</w:t>
      </w:r>
    </w:p>
    <w:p w14:paraId="7C8062AC" w14:textId="77777777" w:rsidR="00936A3E" w:rsidRPr="00C677DC" w:rsidRDefault="00936A3E" w:rsidP="00936A3E">
      <w:pPr>
        <w:pStyle w:val="pf0"/>
        <w:numPr>
          <w:ilvl w:val="0"/>
          <w:numId w:val="7"/>
        </w:numPr>
        <w:spacing w:line="360" w:lineRule="auto"/>
        <w:rPr>
          <w:rFonts w:ascii="Arial" w:hAnsi="Arial" w:cs="Arial"/>
        </w:rPr>
      </w:pPr>
      <w:r w:rsidRPr="00580B06">
        <w:rPr>
          <w:rFonts w:ascii="Arial" w:eastAsiaTheme="majorEastAsia" w:hAnsi="Arial" w:cs="Arial"/>
        </w:rPr>
        <w:t xml:space="preserve">Perkins AJ, </w:t>
      </w:r>
      <w:proofErr w:type="spellStart"/>
      <w:r w:rsidRPr="00580B06">
        <w:rPr>
          <w:rFonts w:ascii="Arial" w:eastAsiaTheme="majorEastAsia" w:hAnsi="Arial" w:cs="Arial"/>
        </w:rPr>
        <w:t>Khandker</w:t>
      </w:r>
      <w:proofErr w:type="spellEnd"/>
      <w:r w:rsidRPr="00580B06">
        <w:rPr>
          <w:rFonts w:ascii="Arial" w:eastAsiaTheme="majorEastAsia" w:hAnsi="Arial" w:cs="Arial"/>
        </w:rPr>
        <w:t xml:space="preserve"> R, </w:t>
      </w:r>
      <w:proofErr w:type="spellStart"/>
      <w:r w:rsidRPr="00580B06">
        <w:rPr>
          <w:rFonts w:ascii="Arial" w:eastAsiaTheme="majorEastAsia" w:hAnsi="Arial" w:cs="Arial"/>
        </w:rPr>
        <w:t>Overley</w:t>
      </w:r>
      <w:proofErr w:type="spellEnd"/>
      <w:r w:rsidRPr="00580B06">
        <w:rPr>
          <w:rFonts w:ascii="Arial" w:eastAsiaTheme="majorEastAsia" w:hAnsi="Arial" w:cs="Arial"/>
        </w:rPr>
        <w:t xml:space="preserve"> A, Solid CA, </w:t>
      </w:r>
      <w:proofErr w:type="spellStart"/>
      <w:r w:rsidRPr="00580B06">
        <w:rPr>
          <w:rFonts w:ascii="Arial" w:eastAsiaTheme="majorEastAsia" w:hAnsi="Arial" w:cs="Arial"/>
        </w:rPr>
        <w:t>Chekani</w:t>
      </w:r>
      <w:proofErr w:type="spellEnd"/>
      <w:r w:rsidRPr="00580B06">
        <w:rPr>
          <w:rFonts w:ascii="Arial" w:eastAsiaTheme="majorEastAsia" w:hAnsi="Arial" w:cs="Arial"/>
        </w:rPr>
        <w:t xml:space="preserve"> F, Roberts A, Dexter P, </w:t>
      </w:r>
      <w:proofErr w:type="spellStart"/>
      <w:r w:rsidRPr="00580B06">
        <w:rPr>
          <w:rFonts w:ascii="Arial" w:eastAsiaTheme="majorEastAsia" w:hAnsi="Arial" w:cs="Arial"/>
        </w:rPr>
        <w:t>Boustani</w:t>
      </w:r>
      <w:proofErr w:type="spellEnd"/>
      <w:r w:rsidRPr="00580B06">
        <w:rPr>
          <w:rFonts w:ascii="Arial" w:eastAsiaTheme="majorEastAsia" w:hAnsi="Arial" w:cs="Arial"/>
        </w:rPr>
        <w:t xml:space="preserve"> MA, </w:t>
      </w:r>
      <w:proofErr w:type="spellStart"/>
      <w:r w:rsidRPr="00580B06">
        <w:rPr>
          <w:rFonts w:ascii="Arial" w:eastAsiaTheme="majorEastAsia" w:hAnsi="Arial" w:cs="Arial"/>
        </w:rPr>
        <w:t>Hulvershorn</w:t>
      </w:r>
      <w:proofErr w:type="spellEnd"/>
      <w:r w:rsidRPr="00580B06">
        <w:rPr>
          <w:rFonts w:ascii="Arial" w:eastAsiaTheme="majorEastAsia" w:hAnsi="Arial" w:cs="Arial"/>
        </w:rPr>
        <w:t xml:space="preserve"> L. Association of Antipsychotic-Related Weight Gain </w:t>
      </w:r>
      <w:proofErr w:type="gramStart"/>
      <w:r w:rsidRPr="00580B06">
        <w:rPr>
          <w:rFonts w:ascii="Arial" w:eastAsiaTheme="majorEastAsia" w:hAnsi="Arial" w:cs="Arial"/>
        </w:rPr>
        <w:t>With</w:t>
      </w:r>
      <w:proofErr w:type="gramEnd"/>
      <w:r w:rsidRPr="00580B06">
        <w:rPr>
          <w:rFonts w:ascii="Arial" w:eastAsiaTheme="majorEastAsia" w:hAnsi="Arial" w:cs="Arial"/>
        </w:rPr>
        <w:t xml:space="preserve"> Treatment Adherence and Switching Using Electronic Medical Records Data. Prim Care Companion CNS </w:t>
      </w:r>
      <w:proofErr w:type="spellStart"/>
      <w:r w:rsidRPr="00580B06">
        <w:rPr>
          <w:rFonts w:ascii="Arial" w:eastAsiaTheme="majorEastAsia" w:hAnsi="Arial" w:cs="Arial"/>
        </w:rPr>
        <w:t>Disord</w:t>
      </w:r>
      <w:proofErr w:type="spellEnd"/>
      <w:r>
        <w:rPr>
          <w:rFonts w:ascii="Arial" w:eastAsiaTheme="majorEastAsia" w:hAnsi="Arial" w:cs="Arial"/>
        </w:rPr>
        <w:t xml:space="preserve"> </w:t>
      </w:r>
      <w:r w:rsidRPr="00580B06">
        <w:rPr>
          <w:rFonts w:ascii="Arial" w:eastAsiaTheme="majorEastAsia" w:hAnsi="Arial" w:cs="Arial"/>
        </w:rPr>
        <w:t>2023 Mar 9;25</w:t>
      </w:r>
    </w:p>
    <w:p w14:paraId="64564F14" w14:textId="77777777" w:rsidR="00936A3E" w:rsidRPr="00C677DC" w:rsidRDefault="00936A3E" w:rsidP="00936A3E">
      <w:pPr>
        <w:pStyle w:val="pf0"/>
        <w:numPr>
          <w:ilvl w:val="0"/>
          <w:numId w:val="7"/>
        </w:numPr>
        <w:spacing w:line="360" w:lineRule="auto"/>
        <w:rPr>
          <w:rStyle w:val="cf01"/>
          <w:rFonts w:ascii="Arial" w:hAnsi="Arial" w:cs="Arial"/>
          <w:sz w:val="24"/>
          <w:szCs w:val="24"/>
        </w:rPr>
      </w:pPr>
      <w:proofErr w:type="spellStart"/>
      <w:r w:rsidRPr="00143346">
        <w:rPr>
          <w:rFonts w:ascii="Arial" w:eastAsiaTheme="majorEastAsia" w:hAnsi="Arial" w:cs="Arial"/>
        </w:rPr>
        <w:t>Chwastiak</w:t>
      </w:r>
      <w:proofErr w:type="spellEnd"/>
      <w:r w:rsidRPr="00143346">
        <w:rPr>
          <w:rFonts w:ascii="Arial" w:eastAsiaTheme="majorEastAsia" w:hAnsi="Arial" w:cs="Arial"/>
        </w:rPr>
        <w:t xml:space="preserve"> LA, </w:t>
      </w:r>
      <w:proofErr w:type="spellStart"/>
      <w:r w:rsidRPr="00143346">
        <w:rPr>
          <w:rFonts w:ascii="Arial" w:eastAsiaTheme="majorEastAsia" w:hAnsi="Arial" w:cs="Arial"/>
        </w:rPr>
        <w:t>Rosenheck</w:t>
      </w:r>
      <w:proofErr w:type="spellEnd"/>
      <w:r w:rsidRPr="00143346">
        <w:rPr>
          <w:rFonts w:ascii="Arial" w:eastAsiaTheme="majorEastAsia" w:hAnsi="Arial" w:cs="Arial"/>
        </w:rPr>
        <w:t xml:space="preserve"> RA, McEvoy JP, Stroup TS, Swartz MS, Davis SM, Lieberman JA. The impact of obesity on health care costs among persons with schizophrenia. Gen Hosp Psychiatry </w:t>
      </w:r>
      <w:proofErr w:type="gramStart"/>
      <w:r w:rsidRPr="00143346">
        <w:rPr>
          <w:rFonts w:ascii="Arial" w:eastAsiaTheme="majorEastAsia" w:hAnsi="Arial" w:cs="Arial"/>
        </w:rPr>
        <w:t>2009;31:1</w:t>
      </w:r>
      <w:proofErr w:type="gramEnd"/>
      <w:r w:rsidRPr="00143346">
        <w:rPr>
          <w:rFonts w:ascii="Arial" w:eastAsiaTheme="majorEastAsia" w:hAnsi="Arial" w:cs="Arial"/>
        </w:rPr>
        <w:t>-7</w:t>
      </w:r>
    </w:p>
    <w:p w14:paraId="5E249000" w14:textId="77777777" w:rsidR="00936A3E" w:rsidRPr="00C677DC" w:rsidRDefault="00936A3E" w:rsidP="00936A3E">
      <w:pPr>
        <w:pStyle w:val="pf0"/>
        <w:numPr>
          <w:ilvl w:val="0"/>
          <w:numId w:val="7"/>
        </w:numPr>
        <w:spacing w:line="360" w:lineRule="auto"/>
        <w:rPr>
          <w:rFonts w:ascii="Arial" w:hAnsi="Arial" w:cs="Arial"/>
        </w:rPr>
      </w:pPr>
      <w:proofErr w:type="spellStart"/>
      <w:r w:rsidRPr="00C677DC">
        <w:rPr>
          <w:rFonts w:ascii="Arial" w:hAnsi="Arial" w:cs="Arial"/>
        </w:rPr>
        <w:t>Sandsdal</w:t>
      </w:r>
      <w:proofErr w:type="spellEnd"/>
      <w:r w:rsidRPr="00C677DC">
        <w:rPr>
          <w:rFonts w:ascii="Arial" w:hAnsi="Arial" w:cs="Arial"/>
        </w:rPr>
        <w:t xml:space="preserve"> RM, </w:t>
      </w:r>
      <w:proofErr w:type="spellStart"/>
      <w:r w:rsidRPr="00C677DC">
        <w:rPr>
          <w:rFonts w:ascii="Arial" w:hAnsi="Arial" w:cs="Arial"/>
        </w:rPr>
        <w:t>Juhl</w:t>
      </w:r>
      <w:proofErr w:type="spellEnd"/>
      <w:r w:rsidRPr="00C677DC">
        <w:rPr>
          <w:rFonts w:ascii="Arial" w:hAnsi="Arial" w:cs="Arial"/>
        </w:rPr>
        <w:t xml:space="preserve"> CR, Jensen SBK, Lundgren JR, Janus C, Blond MB, </w:t>
      </w:r>
      <w:proofErr w:type="spellStart"/>
      <w:r w:rsidRPr="00C677DC">
        <w:rPr>
          <w:rFonts w:ascii="Arial" w:hAnsi="Arial" w:cs="Arial"/>
        </w:rPr>
        <w:t>Rosenkilde</w:t>
      </w:r>
      <w:proofErr w:type="spellEnd"/>
      <w:r w:rsidRPr="00C677DC">
        <w:rPr>
          <w:rFonts w:ascii="Arial" w:hAnsi="Arial" w:cs="Arial"/>
        </w:rPr>
        <w:t xml:space="preserve"> M, </w:t>
      </w:r>
      <w:proofErr w:type="spellStart"/>
      <w:r w:rsidRPr="00C677DC">
        <w:rPr>
          <w:rFonts w:ascii="Arial" w:hAnsi="Arial" w:cs="Arial"/>
        </w:rPr>
        <w:t>Bogh</w:t>
      </w:r>
      <w:proofErr w:type="spellEnd"/>
      <w:r w:rsidRPr="00C677DC">
        <w:rPr>
          <w:rFonts w:ascii="Arial" w:hAnsi="Arial" w:cs="Arial"/>
        </w:rPr>
        <w:t xml:space="preserve"> AF, </w:t>
      </w:r>
      <w:proofErr w:type="spellStart"/>
      <w:r w:rsidRPr="00C677DC">
        <w:rPr>
          <w:rFonts w:ascii="Arial" w:hAnsi="Arial" w:cs="Arial"/>
        </w:rPr>
        <w:t>Gliemann</w:t>
      </w:r>
      <w:proofErr w:type="spellEnd"/>
      <w:r w:rsidRPr="00C677DC">
        <w:rPr>
          <w:rFonts w:ascii="Arial" w:hAnsi="Arial" w:cs="Arial"/>
        </w:rPr>
        <w:t xml:space="preserve"> L, Jensen JB, Antoniades C, </w:t>
      </w:r>
      <w:proofErr w:type="spellStart"/>
      <w:r w:rsidRPr="00C677DC">
        <w:rPr>
          <w:rFonts w:ascii="Arial" w:hAnsi="Arial" w:cs="Arial"/>
        </w:rPr>
        <w:t>Stallknecht</w:t>
      </w:r>
      <w:proofErr w:type="spellEnd"/>
      <w:r w:rsidRPr="00C677DC">
        <w:rPr>
          <w:rFonts w:ascii="Arial" w:hAnsi="Arial" w:cs="Arial"/>
        </w:rPr>
        <w:t xml:space="preserve"> BM, Holst JJ, </w:t>
      </w:r>
      <w:proofErr w:type="spellStart"/>
      <w:r w:rsidRPr="00C677DC">
        <w:rPr>
          <w:rFonts w:ascii="Arial" w:hAnsi="Arial" w:cs="Arial"/>
        </w:rPr>
        <w:t>Madsbad</w:t>
      </w:r>
      <w:proofErr w:type="spellEnd"/>
      <w:r w:rsidRPr="00C677DC">
        <w:rPr>
          <w:rFonts w:ascii="Arial" w:hAnsi="Arial" w:cs="Arial"/>
        </w:rPr>
        <w:t xml:space="preserve"> S, </w:t>
      </w:r>
      <w:proofErr w:type="spellStart"/>
      <w:r w:rsidRPr="00C677DC">
        <w:rPr>
          <w:rFonts w:ascii="Arial" w:hAnsi="Arial" w:cs="Arial"/>
        </w:rPr>
        <w:t>Torekov</w:t>
      </w:r>
      <w:proofErr w:type="spellEnd"/>
      <w:r w:rsidRPr="00C677DC">
        <w:rPr>
          <w:rFonts w:ascii="Arial" w:hAnsi="Arial" w:cs="Arial"/>
        </w:rPr>
        <w:t xml:space="preserve"> SS. Combination of exercise and GLP-1 receptor agonist treatment reduces severity of metabolic syndrome, abdominal obesity, and inflammation: a randomized controlled trial. Cardiovasc </w:t>
      </w:r>
      <w:proofErr w:type="spellStart"/>
      <w:r w:rsidRPr="00C677DC">
        <w:rPr>
          <w:rFonts w:ascii="Arial" w:hAnsi="Arial" w:cs="Arial"/>
        </w:rPr>
        <w:t>Diabetol</w:t>
      </w:r>
      <w:proofErr w:type="spellEnd"/>
      <w:r w:rsidRPr="00C677DC">
        <w:rPr>
          <w:rFonts w:ascii="Arial" w:hAnsi="Arial" w:cs="Arial"/>
        </w:rPr>
        <w:t>. 2023; 22: 41</w:t>
      </w:r>
    </w:p>
    <w:p w14:paraId="3BB532C2" w14:textId="77777777" w:rsidR="00936A3E" w:rsidRPr="00C677DC" w:rsidRDefault="00936A3E" w:rsidP="00936A3E">
      <w:pPr>
        <w:pStyle w:val="pf0"/>
        <w:numPr>
          <w:ilvl w:val="0"/>
          <w:numId w:val="7"/>
        </w:numPr>
        <w:spacing w:line="360" w:lineRule="auto"/>
        <w:rPr>
          <w:rFonts w:ascii="Arial" w:hAnsi="Arial" w:cs="Arial"/>
        </w:rPr>
      </w:pPr>
      <w:r w:rsidRPr="00C677DC">
        <w:rPr>
          <w:rFonts w:ascii="Arial" w:hAnsi="Arial" w:cs="Arial"/>
        </w:rPr>
        <w:t xml:space="preserve">Wilding JPH, </w:t>
      </w:r>
      <w:proofErr w:type="spellStart"/>
      <w:r w:rsidRPr="00C677DC">
        <w:rPr>
          <w:rFonts w:ascii="Arial" w:hAnsi="Arial" w:cs="Arial"/>
        </w:rPr>
        <w:t>Batterham</w:t>
      </w:r>
      <w:proofErr w:type="spellEnd"/>
      <w:r w:rsidRPr="00C677DC">
        <w:rPr>
          <w:rFonts w:ascii="Arial" w:hAnsi="Arial" w:cs="Arial"/>
        </w:rPr>
        <w:t xml:space="preserve"> RL, </w:t>
      </w:r>
      <w:proofErr w:type="spellStart"/>
      <w:r w:rsidRPr="00C677DC">
        <w:rPr>
          <w:rFonts w:ascii="Arial" w:hAnsi="Arial" w:cs="Arial"/>
        </w:rPr>
        <w:t>Calanna</w:t>
      </w:r>
      <w:proofErr w:type="spellEnd"/>
      <w:r w:rsidRPr="00C677DC">
        <w:rPr>
          <w:rFonts w:ascii="Arial" w:hAnsi="Arial" w:cs="Arial"/>
        </w:rPr>
        <w:t xml:space="preserve"> S, Davies M, Van </w:t>
      </w:r>
      <w:proofErr w:type="spellStart"/>
      <w:r w:rsidRPr="00C677DC">
        <w:rPr>
          <w:rFonts w:ascii="Arial" w:hAnsi="Arial" w:cs="Arial"/>
        </w:rPr>
        <w:t>Gaal</w:t>
      </w:r>
      <w:proofErr w:type="spellEnd"/>
      <w:r w:rsidRPr="00C677DC">
        <w:rPr>
          <w:rFonts w:ascii="Arial" w:hAnsi="Arial" w:cs="Arial"/>
        </w:rPr>
        <w:t xml:space="preserve"> LF, </w:t>
      </w:r>
      <w:proofErr w:type="spellStart"/>
      <w:r w:rsidRPr="00C677DC">
        <w:rPr>
          <w:rFonts w:ascii="Arial" w:hAnsi="Arial" w:cs="Arial"/>
        </w:rPr>
        <w:t>Lingvay</w:t>
      </w:r>
      <w:proofErr w:type="spellEnd"/>
      <w:r w:rsidRPr="00C677DC">
        <w:rPr>
          <w:rFonts w:ascii="Arial" w:hAnsi="Arial" w:cs="Arial"/>
        </w:rPr>
        <w:t xml:space="preserve"> I, McGowan BM, Rosenstock J, Tran MTD, </w:t>
      </w:r>
      <w:proofErr w:type="spellStart"/>
      <w:r w:rsidRPr="00C677DC">
        <w:rPr>
          <w:rFonts w:ascii="Arial" w:hAnsi="Arial" w:cs="Arial"/>
        </w:rPr>
        <w:t>Wadden</w:t>
      </w:r>
      <w:proofErr w:type="spellEnd"/>
      <w:r w:rsidRPr="00C677DC">
        <w:rPr>
          <w:rFonts w:ascii="Arial" w:hAnsi="Arial" w:cs="Arial"/>
        </w:rPr>
        <w:t xml:space="preserve"> TA, Wharton S, </w:t>
      </w:r>
      <w:proofErr w:type="spellStart"/>
      <w:r w:rsidRPr="00C677DC">
        <w:rPr>
          <w:rFonts w:ascii="Arial" w:hAnsi="Arial" w:cs="Arial"/>
        </w:rPr>
        <w:t>Yokote</w:t>
      </w:r>
      <w:proofErr w:type="spellEnd"/>
      <w:r w:rsidRPr="00C677DC">
        <w:rPr>
          <w:rFonts w:ascii="Arial" w:hAnsi="Arial" w:cs="Arial"/>
        </w:rPr>
        <w:t xml:space="preserve"> K, </w:t>
      </w:r>
      <w:proofErr w:type="spellStart"/>
      <w:r w:rsidRPr="00C677DC">
        <w:rPr>
          <w:rFonts w:ascii="Arial" w:hAnsi="Arial" w:cs="Arial"/>
        </w:rPr>
        <w:t>Zeuthen</w:t>
      </w:r>
      <w:proofErr w:type="spellEnd"/>
      <w:r w:rsidRPr="00C677DC">
        <w:rPr>
          <w:rFonts w:ascii="Arial" w:hAnsi="Arial" w:cs="Arial"/>
        </w:rPr>
        <w:t xml:space="preserve"> N, Kushner RF; STEP 1 Study Group. Once-Weekly </w:t>
      </w:r>
      <w:proofErr w:type="spellStart"/>
      <w:r>
        <w:rPr>
          <w:rFonts w:ascii="Arial" w:hAnsi="Arial" w:cs="Arial"/>
        </w:rPr>
        <w:t>Semaglutide</w:t>
      </w:r>
      <w:proofErr w:type="spellEnd"/>
      <w:r w:rsidRPr="00C677DC">
        <w:rPr>
          <w:rFonts w:ascii="Arial" w:hAnsi="Arial" w:cs="Arial"/>
        </w:rPr>
        <w:t xml:space="preserve"> in Adults with Overweight or Obesity. N Engl J Med 2021; 384: 989-1002</w:t>
      </w:r>
    </w:p>
    <w:p w14:paraId="3168FF64" w14:textId="77777777" w:rsidR="00936A3E" w:rsidRPr="00D577F9" w:rsidRDefault="00936A3E" w:rsidP="00936A3E">
      <w:pPr>
        <w:pStyle w:val="pf0"/>
        <w:numPr>
          <w:ilvl w:val="0"/>
          <w:numId w:val="7"/>
        </w:numPr>
        <w:spacing w:line="360" w:lineRule="auto"/>
        <w:rPr>
          <w:rFonts w:ascii="Arial" w:hAnsi="Arial" w:cs="Arial"/>
        </w:rPr>
      </w:pPr>
      <w:proofErr w:type="spellStart"/>
      <w:r w:rsidRPr="00C677DC">
        <w:rPr>
          <w:rFonts w:ascii="Arial" w:hAnsi="Arial" w:cs="Arial"/>
        </w:rPr>
        <w:t>Jastreboff</w:t>
      </w:r>
      <w:proofErr w:type="spellEnd"/>
      <w:r w:rsidRPr="00C677DC">
        <w:rPr>
          <w:rFonts w:ascii="Arial" w:hAnsi="Arial" w:cs="Arial"/>
        </w:rPr>
        <w:t xml:space="preserve"> AM, Aronne LJ, Ahmad NN, Wharton S, Connery L, Alves B, </w:t>
      </w:r>
      <w:proofErr w:type="spellStart"/>
      <w:r w:rsidRPr="00C677DC">
        <w:rPr>
          <w:rFonts w:ascii="Arial" w:hAnsi="Arial" w:cs="Arial"/>
        </w:rPr>
        <w:t>Kiyosue</w:t>
      </w:r>
      <w:proofErr w:type="spellEnd"/>
      <w:r w:rsidRPr="00C677DC">
        <w:rPr>
          <w:rFonts w:ascii="Arial" w:hAnsi="Arial" w:cs="Arial"/>
        </w:rPr>
        <w:t xml:space="preserve"> A, Zhang S, Liu B, </w:t>
      </w:r>
      <w:proofErr w:type="spellStart"/>
      <w:r w:rsidRPr="00C677DC">
        <w:rPr>
          <w:rFonts w:ascii="Arial" w:hAnsi="Arial" w:cs="Arial"/>
        </w:rPr>
        <w:t>Bunck</w:t>
      </w:r>
      <w:proofErr w:type="spellEnd"/>
      <w:r w:rsidRPr="00C677DC">
        <w:rPr>
          <w:rFonts w:ascii="Arial" w:hAnsi="Arial" w:cs="Arial"/>
        </w:rPr>
        <w:t xml:space="preserve"> MC, </w:t>
      </w:r>
      <w:proofErr w:type="spellStart"/>
      <w:r w:rsidRPr="00C677DC">
        <w:rPr>
          <w:rFonts w:ascii="Arial" w:hAnsi="Arial" w:cs="Arial"/>
        </w:rPr>
        <w:t>Stefanski</w:t>
      </w:r>
      <w:proofErr w:type="spellEnd"/>
      <w:r w:rsidRPr="00C677DC">
        <w:rPr>
          <w:rFonts w:ascii="Arial" w:hAnsi="Arial" w:cs="Arial"/>
        </w:rPr>
        <w:t xml:space="preserve"> A; SURMOUNT-1 Investigators. </w:t>
      </w:r>
      <w:proofErr w:type="spellStart"/>
      <w:r w:rsidRPr="00C677DC">
        <w:rPr>
          <w:rFonts w:ascii="Arial" w:hAnsi="Arial" w:cs="Arial"/>
        </w:rPr>
        <w:t>Tirzepatide</w:t>
      </w:r>
      <w:proofErr w:type="spellEnd"/>
      <w:r w:rsidRPr="00C677DC">
        <w:rPr>
          <w:rFonts w:ascii="Arial" w:hAnsi="Arial" w:cs="Arial"/>
        </w:rPr>
        <w:t xml:space="preserve"> Once Weekly for the Treatment of Obesity. N Engl J Med. 2022 </w:t>
      </w:r>
      <w:r w:rsidRPr="00D577F9">
        <w:rPr>
          <w:rFonts w:ascii="Arial" w:hAnsi="Arial" w:cs="Arial"/>
        </w:rPr>
        <w:t>;387:</w:t>
      </w:r>
      <w:r>
        <w:rPr>
          <w:rFonts w:ascii="Arial" w:hAnsi="Arial" w:cs="Arial"/>
        </w:rPr>
        <w:t xml:space="preserve"> </w:t>
      </w:r>
      <w:r w:rsidRPr="00D577F9">
        <w:rPr>
          <w:rFonts w:ascii="Arial" w:hAnsi="Arial" w:cs="Arial"/>
        </w:rPr>
        <w:t>205-216</w:t>
      </w:r>
    </w:p>
    <w:p w14:paraId="241A5AAC" w14:textId="77777777" w:rsidR="00936A3E" w:rsidRPr="00C677DC" w:rsidRDefault="00A24FE9" w:rsidP="00936A3E">
      <w:pPr>
        <w:pStyle w:val="pf0"/>
        <w:numPr>
          <w:ilvl w:val="0"/>
          <w:numId w:val="7"/>
        </w:numPr>
        <w:spacing w:line="360" w:lineRule="auto"/>
        <w:rPr>
          <w:rFonts w:ascii="Arial" w:hAnsi="Arial" w:cs="Arial"/>
        </w:rPr>
      </w:pPr>
      <w:hyperlink r:id="rId8" w:history="1">
        <w:r w:rsidR="00936A3E" w:rsidRPr="00C677DC">
          <w:rPr>
            <w:rStyle w:val="Hyperlink"/>
            <w:rFonts w:ascii="Arial" w:hAnsi="Arial" w:cs="Arial"/>
          </w:rPr>
          <w:t>https://icd.who.int/browse10/2019/en</w:t>
        </w:r>
      </w:hyperlink>
      <w:r w:rsidR="00936A3E" w:rsidRPr="00C677DC">
        <w:rPr>
          <w:rFonts w:ascii="Arial" w:hAnsi="Arial" w:cs="Arial"/>
        </w:rPr>
        <w:t>: accessed 24 January 2025</w:t>
      </w:r>
    </w:p>
    <w:p w14:paraId="22154CEE" w14:textId="77777777" w:rsidR="00936A3E" w:rsidRPr="00C677DC" w:rsidRDefault="00A24FE9" w:rsidP="00936A3E">
      <w:pPr>
        <w:pStyle w:val="pf0"/>
        <w:numPr>
          <w:ilvl w:val="0"/>
          <w:numId w:val="7"/>
        </w:numPr>
        <w:spacing w:line="360" w:lineRule="auto"/>
        <w:rPr>
          <w:rFonts w:ascii="Arial" w:hAnsi="Arial" w:cs="Arial"/>
        </w:rPr>
      </w:pPr>
      <w:hyperlink r:id="rId9" w:history="1">
        <w:r w:rsidR="00936A3E" w:rsidRPr="00C677DC">
          <w:rPr>
            <w:rStyle w:val="Hyperlink"/>
            <w:rFonts w:ascii="Arial" w:hAnsi="Arial" w:cs="Arial"/>
          </w:rPr>
          <w:t>https://www.legislation.gov.uk/ukpga/1983/20/contents</w:t>
        </w:r>
      </w:hyperlink>
      <w:r w:rsidR="00936A3E" w:rsidRPr="00C677DC">
        <w:rPr>
          <w:rFonts w:ascii="Arial" w:hAnsi="Arial" w:cs="Arial"/>
        </w:rPr>
        <w:t>: accessed 31 December 2024</w:t>
      </w:r>
    </w:p>
    <w:p w14:paraId="26351523" w14:textId="77777777" w:rsidR="00936A3E" w:rsidRPr="00C677DC" w:rsidRDefault="00A24FE9" w:rsidP="00936A3E">
      <w:pPr>
        <w:pStyle w:val="pf0"/>
        <w:numPr>
          <w:ilvl w:val="0"/>
          <w:numId w:val="7"/>
        </w:numPr>
        <w:spacing w:line="360" w:lineRule="auto"/>
        <w:rPr>
          <w:rFonts w:ascii="Arial" w:hAnsi="Arial" w:cs="Arial"/>
        </w:rPr>
      </w:pPr>
      <w:hyperlink r:id="rId10" w:history="1">
        <w:r w:rsidR="00936A3E" w:rsidRPr="00C677DC">
          <w:rPr>
            <w:rStyle w:val="Hyperlink"/>
            <w:rFonts w:ascii="Arial" w:hAnsi="Arial" w:cs="Arial"/>
          </w:rPr>
          <w:t>https://www.nice.org.uk/guidance/ta875</w:t>
        </w:r>
      </w:hyperlink>
      <w:r w:rsidR="00936A3E" w:rsidRPr="00C677DC">
        <w:rPr>
          <w:rFonts w:ascii="Arial" w:hAnsi="Arial" w:cs="Arial"/>
        </w:rPr>
        <w:t xml:space="preserve">: accessed </w:t>
      </w:r>
      <w:r w:rsidR="00936A3E">
        <w:rPr>
          <w:rFonts w:ascii="Arial" w:hAnsi="Arial" w:cs="Arial"/>
        </w:rPr>
        <w:t>24 January 2025</w:t>
      </w:r>
    </w:p>
    <w:p w14:paraId="5D78AEEA" w14:textId="77777777" w:rsidR="00936A3E" w:rsidRPr="00C677DC" w:rsidRDefault="00A24FE9" w:rsidP="00936A3E">
      <w:pPr>
        <w:pStyle w:val="pf0"/>
        <w:numPr>
          <w:ilvl w:val="0"/>
          <w:numId w:val="7"/>
        </w:numPr>
        <w:spacing w:line="360" w:lineRule="auto"/>
        <w:rPr>
          <w:rFonts w:ascii="Arial" w:hAnsi="Arial" w:cs="Arial"/>
        </w:rPr>
      </w:pPr>
      <w:hyperlink r:id="rId11" w:history="1">
        <w:r w:rsidR="00936A3E" w:rsidRPr="00C677DC">
          <w:rPr>
            <w:rStyle w:val="Hyperlink"/>
            <w:rFonts w:ascii="Arial" w:hAnsi="Arial" w:cs="Arial"/>
          </w:rPr>
          <w:t>https://euroqol.org/information-and-support/euroqol-instruments/eq-5d-5l</w:t>
        </w:r>
      </w:hyperlink>
      <w:r w:rsidR="00936A3E" w:rsidRPr="00C677DC">
        <w:rPr>
          <w:rFonts w:ascii="Arial" w:hAnsi="Arial" w:cs="Arial"/>
        </w:rPr>
        <w:t>: accessed 1 Feb 2025</w:t>
      </w:r>
    </w:p>
    <w:p w14:paraId="79DB209E" w14:textId="77777777" w:rsidR="00936A3E" w:rsidRPr="00C677DC" w:rsidRDefault="00936A3E" w:rsidP="00936A3E">
      <w:pPr>
        <w:pStyle w:val="pf0"/>
        <w:numPr>
          <w:ilvl w:val="0"/>
          <w:numId w:val="7"/>
        </w:numPr>
        <w:spacing w:line="360" w:lineRule="auto"/>
        <w:rPr>
          <w:rFonts w:ascii="Arial" w:hAnsi="Arial" w:cs="Arial"/>
        </w:rPr>
      </w:pPr>
      <w:r w:rsidRPr="00C677DC">
        <w:rPr>
          <w:rFonts w:ascii="Arial" w:hAnsi="Arial" w:cs="Arial"/>
        </w:rPr>
        <w:t xml:space="preserve">Perkins AJ, </w:t>
      </w:r>
      <w:proofErr w:type="spellStart"/>
      <w:r w:rsidRPr="00C677DC">
        <w:rPr>
          <w:rFonts w:ascii="Arial" w:hAnsi="Arial" w:cs="Arial"/>
        </w:rPr>
        <w:t>Khandker</w:t>
      </w:r>
      <w:proofErr w:type="spellEnd"/>
      <w:r w:rsidRPr="00C677DC">
        <w:rPr>
          <w:rFonts w:ascii="Arial" w:hAnsi="Arial" w:cs="Arial"/>
        </w:rPr>
        <w:t xml:space="preserve"> R, </w:t>
      </w:r>
      <w:proofErr w:type="spellStart"/>
      <w:r w:rsidRPr="00C677DC">
        <w:rPr>
          <w:rFonts w:ascii="Arial" w:hAnsi="Arial" w:cs="Arial"/>
        </w:rPr>
        <w:t>Overley</w:t>
      </w:r>
      <w:proofErr w:type="spellEnd"/>
      <w:r w:rsidRPr="00C677DC">
        <w:rPr>
          <w:rFonts w:ascii="Arial" w:hAnsi="Arial" w:cs="Arial"/>
        </w:rPr>
        <w:t xml:space="preserve"> A, et al: Association of antipsychotic- related weight gain with treatment adherence and switching using electronic medical records data. Prim Care Companion CNS </w:t>
      </w:r>
      <w:proofErr w:type="spellStart"/>
      <w:r w:rsidRPr="00C677DC">
        <w:rPr>
          <w:rFonts w:ascii="Arial" w:hAnsi="Arial" w:cs="Arial"/>
        </w:rPr>
        <w:t>Disord</w:t>
      </w:r>
      <w:proofErr w:type="spellEnd"/>
      <w:r w:rsidRPr="00C677DC">
        <w:rPr>
          <w:rFonts w:ascii="Arial" w:hAnsi="Arial" w:cs="Arial"/>
        </w:rPr>
        <w:t xml:space="preserve"> 2023; 25:22m03310</w:t>
      </w:r>
    </w:p>
    <w:p w14:paraId="667F56E4" w14:textId="77777777" w:rsidR="00936A3E" w:rsidRPr="00C677DC" w:rsidRDefault="00936A3E" w:rsidP="00936A3E">
      <w:pPr>
        <w:pStyle w:val="pf0"/>
        <w:numPr>
          <w:ilvl w:val="0"/>
          <w:numId w:val="7"/>
        </w:numPr>
        <w:spacing w:line="360" w:lineRule="auto"/>
        <w:rPr>
          <w:rFonts w:ascii="Arial" w:hAnsi="Arial" w:cs="Arial"/>
        </w:rPr>
      </w:pPr>
      <w:r w:rsidRPr="00C677DC">
        <w:rPr>
          <w:rFonts w:ascii="Arial" w:hAnsi="Arial" w:cs="Arial"/>
        </w:rPr>
        <w:lastRenderedPageBreak/>
        <w:t xml:space="preserve">McIntyre RS, Kwan ATH, </w:t>
      </w:r>
      <w:proofErr w:type="spellStart"/>
      <w:r w:rsidRPr="00C677DC">
        <w:rPr>
          <w:rFonts w:ascii="Arial" w:hAnsi="Arial" w:cs="Arial"/>
        </w:rPr>
        <w:t>Rosenblat</w:t>
      </w:r>
      <w:proofErr w:type="spellEnd"/>
      <w:r w:rsidRPr="00C677DC">
        <w:rPr>
          <w:rFonts w:ascii="Arial" w:hAnsi="Arial" w:cs="Arial"/>
        </w:rPr>
        <w:t xml:space="preserve"> JD, </w:t>
      </w:r>
      <w:proofErr w:type="spellStart"/>
      <w:r w:rsidRPr="00C677DC">
        <w:rPr>
          <w:rFonts w:ascii="Arial" w:hAnsi="Arial" w:cs="Arial"/>
        </w:rPr>
        <w:t>Teopiz</w:t>
      </w:r>
      <w:proofErr w:type="spellEnd"/>
      <w:r w:rsidRPr="00C677DC">
        <w:rPr>
          <w:rFonts w:ascii="Arial" w:hAnsi="Arial" w:cs="Arial"/>
        </w:rPr>
        <w:t xml:space="preserve"> KM, Mansur RB. Psychotropic Drug-Related Weight Gain and Its Treatment. Am J Psychiatry. 2024 1;18:</w:t>
      </w:r>
      <w:r>
        <w:rPr>
          <w:rFonts w:ascii="Arial" w:hAnsi="Arial" w:cs="Arial"/>
        </w:rPr>
        <w:t xml:space="preserve"> </w:t>
      </w:r>
      <w:r w:rsidRPr="00C677DC">
        <w:rPr>
          <w:rFonts w:ascii="Arial" w:hAnsi="Arial" w:cs="Arial"/>
        </w:rPr>
        <w:t>26-38)</w:t>
      </w:r>
    </w:p>
    <w:p w14:paraId="3E354EA8" w14:textId="77777777" w:rsidR="00936A3E" w:rsidRPr="00C677DC" w:rsidRDefault="00936A3E" w:rsidP="00936A3E">
      <w:pPr>
        <w:pStyle w:val="pf0"/>
        <w:numPr>
          <w:ilvl w:val="0"/>
          <w:numId w:val="7"/>
        </w:numPr>
        <w:spacing w:line="360" w:lineRule="auto"/>
        <w:rPr>
          <w:rFonts w:ascii="Arial" w:hAnsi="Arial" w:cs="Arial"/>
        </w:rPr>
      </w:pPr>
      <w:proofErr w:type="spellStart"/>
      <w:r w:rsidRPr="00C677DC">
        <w:rPr>
          <w:rFonts w:ascii="Arial" w:hAnsi="Arial" w:cs="Arial"/>
        </w:rPr>
        <w:t>Kolotkin</w:t>
      </w:r>
      <w:proofErr w:type="spellEnd"/>
      <w:r w:rsidRPr="00C677DC">
        <w:rPr>
          <w:rFonts w:ascii="Arial" w:hAnsi="Arial" w:cs="Arial"/>
        </w:rPr>
        <w:t xml:space="preserve"> RL, Corey-Lisle PK, Crosby RD, Swanson JM, </w:t>
      </w:r>
      <w:proofErr w:type="spellStart"/>
      <w:r w:rsidRPr="00C677DC">
        <w:rPr>
          <w:rFonts w:ascii="Arial" w:hAnsi="Arial" w:cs="Arial"/>
        </w:rPr>
        <w:t>Tuomari</w:t>
      </w:r>
      <w:proofErr w:type="spellEnd"/>
      <w:r w:rsidRPr="00C677DC">
        <w:rPr>
          <w:rFonts w:ascii="Arial" w:hAnsi="Arial" w:cs="Arial"/>
        </w:rPr>
        <w:t xml:space="preserve"> AV, </w:t>
      </w:r>
      <w:proofErr w:type="spellStart"/>
      <w:r w:rsidRPr="00C677DC">
        <w:rPr>
          <w:rFonts w:ascii="Arial" w:hAnsi="Arial" w:cs="Arial"/>
        </w:rPr>
        <w:t>L'italien</w:t>
      </w:r>
      <w:proofErr w:type="spellEnd"/>
      <w:r w:rsidRPr="00C677DC">
        <w:rPr>
          <w:rFonts w:ascii="Arial" w:hAnsi="Arial" w:cs="Arial"/>
        </w:rPr>
        <w:t xml:space="preserve"> GJ, Mitchell JE. Impact of obesity on health-related quality of life in schizophrenia and bipolar disorder. Obesity (Silver Spring). 2008;</w:t>
      </w:r>
      <w:r>
        <w:rPr>
          <w:rFonts w:ascii="Arial" w:hAnsi="Arial" w:cs="Arial"/>
        </w:rPr>
        <w:t xml:space="preserve"> </w:t>
      </w:r>
      <w:r w:rsidRPr="00C677DC">
        <w:rPr>
          <w:rFonts w:ascii="Arial" w:hAnsi="Arial" w:cs="Arial"/>
        </w:rPr>
        <w:t>16:749-54</w:t>
      </w:r>
    </w:p>
    <w:p w14:paraId="1E17571A" w14:textId="77777777" w:rsidR="00936A3E" w:rsidRPr="00C677DC" w:rsidRDefault="00936A3E" w:rsidP="00936A3E">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sz w:val="24"/>
          <w:szCs w:val="24"/>
        </w:rPr>
      </w:pPr>
      <w:r w:rsidRPr="00C677DC">
        <w:rPr>
          <w:rFonts w:ascii="Arial" w:hAnsi="Arial" w:cs="Arial"/>
          <w:color w:val="3F3F3F"/>
          <w:sz w:val="24"/>
          <w:szCs w:val="24"/>
        </w:rPr>
        <w:t xml:space="preserve">Firth J, Siddiqi N, </w:t>
      </w:r>
      <w:proofErr w:type="spellStart"/>
      <w:r w:rsidRPr="00C677DC">
        <w:rPr>
          <w:rFonts w:ascii="Arial" w:hAnsi="Arial" w:cs="Arial"/>
          <w:color w:val="3F3F3F"/>
          <w:sz w:val="24"/>
          <w:szCs w:val="24"/>
        </w:rPr>
        <w:t>Koyanagi</w:t>
      </w:r>
      <w:proofErr w:type="spellEnd"/>
      <w:r w:rsidRPr="00C677DC">
        <w:rPr>
          <w:rFonts w:ascii="Arial" w:hAnsi="Arial" w:cs="Arial"/>
          <w:color w:val="3F3F3F"/>
          <w:sz w:val="24"/>
          <w:szCs w:val="24"/>
        </w:rPr>
        <w:t xml:space="preserve"> A, et al: The Lancet Psychiatry Commission: a blueprint for protecting physical health in people with mental illness. Lancet Psychiatry 2019; 6:675–712</w:t>
      </w:r>
    </w:p>
    <w:p w14:paraId="007552A5" w14:textId="77777777" w:rsidR="00936A3E" w:rsidRPr="00C677DC" w:rsidRDefault="00936A3E" w:rsidP="00936A3E">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sz w:val="24"/>
          <w:szCs w:val="24"/>
        </w:rPr>
      </w:pPr>
      <w:proofErr w:type="spellStart"/>
      <w:r w:rsidRPr="00C677DC">
        <w:rPr>
          <w:rFonts w:ascii="Arial" w:hAnsi="Arial" w:cs="Arial"/>
          <w:color w:val="3F3F3F"/>
          <w:sz w:val="24"/>
          <w:szCs w:val="24"/>
        </w:rPr>
        <w:t>Mazereel</w:t>
      </w:r>
      <w:proofErr w:type="spellEnd"/>
      <w:r w:rsidRPr="00C677DC">
        <w:rPr>
          <w:rFonts w:ascii="Arial" w:hAnsi="Arial" w:cs="Arial"/>
          <w:color w:val="3F3F3F"/>
          <w:sz w:val="24"/>
          <w:szCs w:val="24"/>
        </w:rPr>
        <w:t xml:space="preserve"> V, </w:t>
      </w:r>
      <w:proofErr w:type="spellStart"/>
      <w:r w:rsidRPr="00C677DC">
        <w:rPr>
          <w:rFonts w:ascii="Arial" w:hAnsi="Arial" w:cs="Arial"/>
          <w:color w:val="3F3F3F"/>
          <w:sz w:val="24"/>
          <w:szCs w:val="24"/>
        </w:rPr>
        <w:t>Detraux</w:t>
      </w:r>
      <w:proofErr w:type="spellEnd"/>
      <w:r w:rsidRPr="00C677DC">
        <w:rPr>
          <w:rFonts w:ascii="Arial" w:hAnsi="Arial" w:cs="Arial"/>
          <w:color w:val="3F3F3F"/>
          <w:sz w:val="24"/>
          <w:szCs w:val="24"/>
        </w:rPr>
        <w:t xml:space="preserve"> J, </w:t>
      </w:r>
      <w:proofErr w:type="spellStart"/>
      <w:r w:rsidRPr="00C677DC">
        <w:rPr>
          <w:rFonts w:ascii="Arial" w:hAnsi="Arial" w:cs="Arial"/>
          <w:color w:val="3F3F3F"/>
          <w:sz w:val="24"/>
          <w:szCs w:val="24"/>
        </w:rPr>
        <w:t>Vancampfort</w:t>
      </w:r>
      <w:proofErr w:type="spellEnd"/>
      <w:r w:rsidRPr="00C677DC">
        <w:rPr>
          <w:rFonts w:ascii="Arial" w:hAnsi="Arial" w:cs="Arial"/>
          <w:color w:val="3F3F3F"/>
          <w:sz w:val="24"/>
          <w:szCs w:val="24"/>
        </w:rPr>
        <w:t xml:space="preserve"> D, et al: Impact of psychotropic medication effects on obesity and the metabolic syndrome in people with serious mental illness. Front Endocrinol (Lausanne) 2020; 11:573479</w:t>
      </w:r>
    </w:p>
    <w:p w14:paraId="2FF04162" w14:textId="77777777" w:rsidR="00936A3E" w:rsidRPr="00C677DC" w:rsidRDefault="00936A3E" w:rsidP="00936A3E">
      <w:pPr>
        <w:pStyle w:val="ListParagraph"/>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sz w:val="24"/>
          <w:szCs w:val="24"/>
        </w:rPr>
      </w:pPr>
      <w:proofErr w:type="spellStart"/>
      <w:r w:rsidRPr="00C677DC">
        <w:rPr>
          <w:rFonts w:ascii="Arial" w:hAnsi="Arial" w:cs="Arial"/>
          <w:color w:val="3F3F3F"/>
          <w:sz w:val="24"/>
          <w:szCs w:val="24"/>
        </w:rPr>
        <w:t>Correll</w:t>
      </w:r>
      <w:proofErr w:type="spellEnd"/>
      <w:r w:rsidRPr="00C677DC">
        <w:rPr>
          <w:rFonts w:ascii="Arial" w:hAnsi="Arial" w:cs="Arial"/>
          <w:color w:val="3F3F3F"/>
          <w:sz w:val="24"/>
          <w:szCs w:val="24"/>
        </w:rPr>
        <w:t xml:space="preserve"> CU, </w:t>
      </w:r>
      <w:proofErr w:type="spellStart"/>
      <w:r w:rsidRPr="00C677DC">
        <w:rPr>
          <w:rFonts w:ascii="Arial" w:hAnsi="Arial" w:cs="Arial"/>
          <w:color w:val="3F3F3F"/>
          <w:sz w:val="24"/>
          <w:szCs w:val="24"/>
        </w:rPr>
        <w:t>Solmi</w:t>
      </w:r>
      <w:proofErr w:type="spellEnd"/>
      <w:r w:rsidRPr="00C677DC">
        <w:rPr>
          <w:rFonts w:ascii="Arial" w:hAnsi="Arial" w:cs="Arial"/>
          <w:color w:val="3F3F3F"/>
          <w:sz w:val="24"/>
          <w:szCs w:val="24"/>
        </w:rPr>
        <w:t xml:space="preserve"> M, Veronese N, et al: Prevalence, incidence and mortality from cardiovascular disease in patients with pooled and specific severe mental illness: a large-scale meta-analysis of 3,211,768 patients and 113,383,368 controls. World Psychiatry 2017; 16:163–180</w:t>
      </w:r>
    </w:p>
    <w:p w14:paraId="2F092458" w14:textId="77777777" w:rsidR="00936A3E" w:rsidRPr="00C677DC" w:rsidRDefault="00936A3E" w:rsidP="00936A3E">
      <w:pPr>
        <w:pStyle w:val="pf0"/>
        <w:numPr>
          <w:ilvl w:val="0"/>
          <w:numId w:val="7"/>
        </w:numPr>
        <w:spacing w:line="360" w:lineRule="auto"/>
        <w:rPr>
          <w:rFonts w:ascii="Arial" w:hAnsi="Arial" w:cs="Arial"/>
        </w:rPr>
      </w:pPr>
      <w:proofErr w:type="spellStart"/>
      <w:r w:rsidRPr="00C677DC">
        <w:rPr>
          <w:rFonts w:ascii="Arial" w:hAnsi="Arial" w:cs="Arial"/>
        </w:rPr>
        <w:t>Uusitupa</w:t>
      </w:r>
      <w:proofErr w:type="spellEnd"/>
      <w:r w:rsidRPr="00C677DC">
        <w:rPr>
          <w:rFonts w:ascii="Arial" w:hAnsi="Arial" w:cs="Arial"/>
        </w:rPr>
        <w:t xml:space="preserve"> M, Khan TA, </w:t>
      </w:r>
      <w:proofErr w:type="spellStart"/>
      <w:r w:rsidRPr="00C677DC">
        <w:rPr>
          <w:rFonts w:ascii="Arial" w:hAnsi="Arial" w:cs="Arial"/>
        </w:rPr>
        <w:t>Viguiliouk</w:t>
      </w:r>
      <w:proofErr w:type="spellEnd"/>
      <w:r w:rsidRPr="00C677DC">
        <w:rPr>
          <w:rFonts w:ascii="Arial" w:hAnsi="Arial" w:cs="Arial"/>
        </w:rPr>
        <w:t xml:space="preserve"> E, </w:t>
      </w:r>
      <w:proofErr w:type="spellStart"/>
      <w:r w:rsidRPr="00C677DC">
        <w:rPr>
          <w:rFonts w:ascii="Arial" w:hAnsi="Arial" w:cs="Arial"/>
        </w:rPr>
        <w:t>Kahleova</w:t>
      </w:r>
      <w:proofErr w:type="spellEnd"/>
      <w:r w:rsidRPr="00C677DC">
        <w:rPr>
          <w:rFonts w:ascii="Arial" w:hAnsi="Arial" w:cs="Arial"/>
        </w:rPr>
        <w:t xml:space="preserve"> H, </w:t>
      </w:r>
      <w:proofErr w:type="spellStart"/>
      <w:r w:rsidRPr="00C677DC">
        <w:rPr>
          <w:rFonts w:ascii="Arial" w:hAnsi="Arial" w:cs="Arial"/>
        </w:rPr>
        <w:t>Rivellese</w:t>
      </w:r>
      <w:proofErr w:type="spellEnd"/>
      <w:r w:rsidRPr="00C677DC">
        <w:rPr>
          <w:rFonts w:ascii="Arial" w:hAnsi="Arial" w:cs="Arial"/>
        </w:rPr>
        <w:t xml:space="preserve"> AA, Hermansen K, Pfeiffer A, </w:t>
      </w:r>
      <w:proofErr w:type="spellStart"/>
      <w:r w:rsidRPr="00C677DC">
        <w:rPr>
          <w:rFonts w:ascii="Arial" w:hAnsi="Arial" w:cs="Arial"/>
        </w:rPr>
        <w:t>Thanopoulou</w:t>
      </w:r>
      <w:proofErr w:type="spellEnd"/>
      <w:r w:rsidRPr="00C677DC">
        <w:rPr>
          <w:rFonts w:ascii="Arial" w:hAnsi="Arial" w:cs="Arial"/>
        </w:rPr>
        <w:t xml:space="preserve"> A, Salas-</w:t>
      </w:r>
      <w:proofErr w:type="spellStart"/>
      <w:r w:rsidRPr="00C677DC">
        <w:rPr>
          <w:rFonts w:ascii="Arial" w:hAnsi="Arial" w:cs="Arial"/>
        </w:rPr>
        <w:t>Salvadó</w:t>
      </w:r>
      <w:proofErr w:type="spellEnd"/>
      <w:r w:rsidRPr="00C677DC">
        <w:rPr>
          <w:rFonts w:ascii="Arial" w:hAnsi="Arial" w:cs="Arial"/>
        </w:rPr>
        <w:t xml:space="preserve"> J, Schwab U, </w:t>
      </w:r>
      <w:proofErr w:type="spellStart"/>
      <w:r w:rsidRPr="00C677DC">
        <w:rPr>
          <w:rFonts w:ascii="Arial" w:hAnsi="Arial" w:cs="Arial"/>
        </w:rPr>
        <w:t>Sievenpiper</w:t>
      </w:r>
      <w:proofErr w:type="spellEnd"/>
      <w:r w:rsidRPr="00C677DC">
        <w:rPr>
          <w:rFonts w:ascii="Arial" w:hAnsi="Arial" w:cs="Arial"/>
        </w:rPr>
        <w:t xml:space="preserve"> JL. Prevention of Type 2 Diabetes by Lifestyle Changes: A Systematic Review and Meta-Analysis. Nutrients </w:t>
      </w:r>
      <w:proofErr w:type="gramStart"/>
      <w:r w:rsidRPr="00C677DC">
        <w:rPr>
          <w:rFonts w:ascii="Arial" w:hAnsi="Arial" w:cs="Arial"/>
        </w:rPr>
        <w:t>2019;11:2611</w:t>
      </w:r>
      <w:proofErr w:type="gramEnd"/>
    </w:p>
    <w:p w14:paraId="0CC41DD9" w14:textId="77777777" w:rsidR="00936A3E" w:rsidRPr="00C677DC" w:rsidRDefault="00936A3E" w:rsidP="00936A3E">
      <w:pPr>
        <w:pStyle w:val="pf0"/>
        <w:numPr>
          <w:ilvl w:val="0"/>
          <w:numId w:val="7"/>
        </w:numPr>
        <w:spacing w:line="360" w:lineRule="auto"/>
        <w:rPr>
          <w:rFonts w:ascii="Arial" w:hAnsi="Arial" w:cs="Arial"/>
        </w:rPr>
      </w:pPr>
      <w:r w:rsidRPr="00C677DC">
        <w:rPr>
          <w:rFonts w:ascii="Arial" w:hAnsi="Arial" w:cs="Arial"/>
        </w:rPr>
        <w:t xml:space="preserve">Sinning C, Makarova N, </w:t>
      </w:r>
      <w:proofErr w:type="spellStart"/>
      <w:r w:rsidRPr="00C677DC">
        <w:rPr>
          <w:rFonts w:ascii="Arial" w:hAnsi="Arial" w:cs="Arial"/>
        </w:rPr>
        <w:t>Völzke</w:t>
      </w:r>
      <w:proofErr w:type="spellEnd"/>
      <w:r w:rsidRPr="00C677DC">
        <w:rPr>
          <w:rFonts w:ascii="Arial" w:hAnsi="Arial" w:cs="Arial"/>
        </w:rPr>
        <w:t xml:space="preserve"> H, Schnabel RB, Ojeda F, </w:t>
      </w:r>
      <w:proofErr w:type="spellStart"/>
      <w:r w:rsidRPr="00C677DC">
        <w:rPr>
          <w:rFonts w:ascii="Arial" w:hAnsi="Arial" w:cs="Arial"/>
        </w:rPr>
        <w:t>Dörr</w:t>
      </w:r>
      <w:proofErr w:type="spellEnd"/>
      <w:r w:rsidRPr="00C677DC">
        <w:rPr>
          <w:rFonts w:ascii="Arial" w:hAnsi="Arial" w:cs="Arial"/>
        </w:rPr>
        <w:t xml:space="preserve"> M, Felix SB, Koenig W, Peters A, </w:t>
      </w:r>
      <w:proofErr w:type="spellStart"/>
      <w:r w:rsidRPr="00C677DC">
        <w:rPr>
          <w:rFonts w:ascii="Arial" w:hAnsi="Arial" w:cs="Arial"/>
        </w:rPr>
        <w:t>Rathmann</w:t>
      </w:r>
      <w:proofErr w:type="spellEnd"/>
      <w:r w:rsidRPr="00C677DC">
        <w:rPr>
          <w:rFonts w:ascii="Arial" w:hAnsi="Arial" w:cs="Arial"/>
        </w:rPr>
        <w:t xml:space="preserve"> W, </w:t>
      </w:r>
      <w:proofErr w:type="spellStart"/>
      <w:r w:rsidRPr="00C677DC">
        <w:rPr>
          <w:rFonts w:ascii="Arial" w:hAnsi="Arial" w:cs="Arial"/>
        </w:rPr>
        <w:t>Schöttker</w:t>
      </w:r>
      <w:proofErr w:type="spellEnd"/>
      <w:r w:rsidRPr="00C677DC">
        <w:rPr>
          <w:rFonts w:ascii="Arial" w:hAnsi="Arial" w:cs="Arial"/>
        </w:rPr>
        <w:t xml:space="preserve"> B, Brenner H, Veronesi G, </w:t>
      </w:r>
      <w:proofErr w:type="spellStart"/>
      <w:r w:rsidRPr="00C677DC">
        <w:rPr>
          <w:rFonts w:ascii="Arial" w:hAnsi="Arial" w:cs="Arial"/>
        </w:rPr>
        <w:t>Cesana</w:t>
      </w:r>
      <w:proofErr w:type="spellEnd"/>
      <w:r w:rsidRPr="00C677DC">
        <w:rPr>
          <w:rFonts w:ascii="Arial" w:hAnsi="Arial" w:cs="Arial"/>
        </w:rPr>
        <w:t xml:space="preserve"> G, Brambilla P, </w:t>
      </w:r>
      <w:proofErr w:type="spellStart"/>
      <w:r w:rsidRPr="00C677DC">
        <w:rPr>
          <w:rFonts w:ascii="Arial" w:hAnsi="Arial" w:cs="Arial"/>
        </w:rPr>
        <w:t>Palosaari</w:t>
      </w:r>
      <w:proofErr w:type="spellEnd"/>
      <w:r w:rsidRPr="00C677DC">
        <w:rPr>
          <w:rFonts w:ascii="Arial" w:hAnsi="Arial" w:cs="Arial"/>
        </w:rPr>
        <w:t xml:space="preserve"> T, </w:t>
      </w:r>
      <w:proofErr w:type="spellStart"/>
      <w:r w:rsidRPr="00C677DC">
        <w:rPr>
          <w:rFonts w:ascii="Arial" w:hAnsi="Arial" w:cs="Arial"/>
        </w:rPr>
        <w:t>Kuulasmaa</w:t>
      </w:r>
      <w:proofErr w:type="spellEnd"/>
      <w:r w:rsidRPr="00C677DC">
        <w:rPr>
          <w:rFonts w:ascii="Arial" w:hAnsi="Arial" w:cs="Arial"/>
        </w:rPr>
        <w:t xml:space="preserve"> K, </w:t>
      </w:r>
      <w:proofErr w:type="spellStart"/>
      <w:r w:rsidRPr="00C677DC">
        <w:rPr>
          <w:rFonts w:ascii="Arial" w:hAnsi="Arial" w:cs="Arial"/>
        </w:rPr>
        <w:t>Njølstad</w:t>
      </w:r>
      <w:proofErr w:type="spellEnd"/>
      <w:r w:rsidRPr="00C677DC">
        <w:rPr>
          <w:rFonts w:ascii="Arial" w:hAnsi="Arial" w:cs="Arial"/>
        </w:rPr>
        <w:t xml:space="preserve"> I, </w:t>
      </w:r>
      <w:proofErr w:type="spellStart"/>
      <w:r w:rsidRPr="00C677DC">
        <w:rPr>
          <w:rFonts w:ascii="Arial" w:hAnsi="Arial" w:cs="Arial"/>
        </w:rPr>
        <w:t>Mathiesen</w:t>
      </w:r>
      <w:proofErr w:type="spellEnd"/>
      <w:r w:rsidRPr="00C677DC">
        <w:rPr>
          <w:rFonts w:ascii="Arial" w:hAnsi="Arial" w:cs="Arial"/>
        </w:rPr>
        <w:t xml:space="preserve"> EB, </w:t>
      </w:r>
      <w:proofErr w:type="spellStart"/>
      <w:r w:rsidRPr="00C677DC">
        <w:rPr>
          <w:rFonts w:ascii="Arial" w:hAnsi="Arial" w:cs="Arial"/>
        </w:rPr>
        <w:t>Wilsgaard</w:t>
      </w:r>
      <w:proofErr w:type="spellEnd"/>
      <w:r w:rsidRPr="00C677DC">
        <w:rPr>
          <w:rFonts w:ascii="Arial" w:hAnsi="Arial" w:cs="Arial"/>
        </w:rPr>
        <w:t xml:space="preserve"> T, </w:t>
      </w:r>
      <w:proofErr w:type="spellStart"/>
      <w:r w:rsidRPr="00C677DC">
        <w:rPr>
          <w:rFonts w:ascii="Arial" w:hAnsi="Arial" w:cs="Arial"/>
        </w:rPr>
        <w:t>Blankenberg</w:t>
      </w:r>
      <w:proofErr w:type="spellEnd"/>
      <w:r w:rsidRPr="00C677DC">
        <w:rPr>
          <w:rFonts w:ascii="Arial" w:hAnsi="Arial" w:cs="Arial"/>
        </w:rPr>
        <w:t xml:space="preserve"> S, </w:t>
      </w:r>
      <w:proofErr w:type="spellStart"/>
      <w:r w:rsidRPr="00C677DC">
        <w:rPr>
          <w:rFonts w:ascii="Arial" w:hAnsi="Arial" w:cs="Arial"/>
        </w:rPr>
        <w:t>Söderberg</w:t>
      </w:r>
      <w:proofErr w:type="spellEnd"/>
      <w:r w:rsidRPr="00C677DC">
        <w:rPr>
          <w:rFonts w:ascii="Arial" w:hAnsi="Arial" w:cs="Arial"/>
        </w:rPr>
        <w:t xml:space="preserve"> S, </w:t>
      </w:r>
      <w:proofErr w:type="spellStart"/>
      <w:r w:rsidRPr="00C677DC">
        <w:rPr>
          <w:rFonts w:ascii="Arial" w:hAnsi="Arial" w:cs="Arial"/>
        </w:rPr>
        <w:t>Ferrario</w:t>
      </w:r>
      <w:proofErr w:type="spellEnd"/>
      <w:r w:rsidRPr="00C677DC">
        <w:rPr>
          <w:rFonts w:ascii="Arial" w:hAnsi="Arial" w:cs="Arial"/>
        </w:rPr>
        <w:t xml:space="preserve"> MM, </w:t>
      </w:r>
      <w:proofErr w:type="spellStart"/>
      <w:r w:rsidRPr="00C677DC">
        <w:rPr>
          <w:rFonts w:ascii="Arial" w:hAnsi="Arial" w:cs="Arial"/>
        </w:rPr>
        <w:t>Thorand</w:t>
      </w:r>
      <w:proofErr w:type="spellEnd"/>
      <w:r w:rsidRPr="00C677DC">
        <w:rPr>
          <w:rFonts w:ascii="Arial" w:hAnsi="Arial" w:cs="Arial"/>
        </w:rPr>
        <w:t xml:space="preserve"> B. Association of glycated </w:t>
      </w:r>
      <w:proofErr w:type="spellStart"/>
      <w:r w:rsidRPr="00C677DC">
        <w:rPr>
          <w:rFonts w:ascii="Arial" w:hAnsi="Arial" w:cs="Arial"/>
        </w:rPr>
        <w:t>hemoglobin</w:t>
      </w:r>
      <w:proofErr w:type="spellEnd"/>
      <w:r w:rsidRPr="00C677DC">
        <w:rPr>
          <w:rFonts w:ascii="Arial" w:hAnsi="Arial" w:cs="Arial"/>
        </w:rPr>
        <w:t xml:space="preserve"> A</w:t>
      </w:r>
      <w:r w:rsidRPr="00C677DC">
        <w:rPr>
          <w:rFonts w:ascii="Arial" w:hAnsi="Arial" w:cs="Arial"/>
          <w:vertAlign w:val="subscript"/>
        </w:rPr>
        <w:t>1c</w:t>
      </w:r>
      <w:r w:rsidRPr="00C677DC">
        <w:rPr>
          <w:rFonts w:ascii="Arial" w:hAnsi="Arial" w:cs="Arial"/>
        </w:rPr>
        <w:t xml:space="preserve"> levels with cardiovascular outcomes in the general population: results from the </w:t>
      </w:r>
      <w:proofErr w:type="spellStart"/>
      <w:r w:rsidRPr="00C677DC">
        <w:rPr>
          <w:rFonts w:ascii="Arial" w:hAnsi="Arial" w:cs="Arial"/>
        </w:rPr>
        <w:t>BiomarCaRE</w:t>
      </w:r>
      <w:proofErr w:type="spellEnd"/>
      <w:r w:rsidRPr="00C677DC">
        <w:rPr>
          <w:rFonts w:ascii="Arial" w:hAnsi="Arial" w:cs="Arial"/>
        </w:rPr>
        <w:t xml:space="preserve"> (Biomarker for Cardiovascular Risk Assessment in Europe) consortium. Cardiovasc </w:t>
      </w:r>
      <w:proofErr w:type="spellStart"/>
      <w:r w:rsidRPr="00C677DC">
        <w:rPr>
          <w:rFonts w:ascii="Arial" w:hAnsi="Arial" w:cs="Arial"/>
        </w:rPr>
        <w:t>Diabetol</w:t>
      </w:r>
      <w:proofErr w:type="spellEnd"/>
      <w:r w:rsidRPr="00C677DC">
        <w:rPr>
          <w:rFonts w:ascii="Arial" w:hAnsi="Arial" w:cs="Arial"/>
        </w:rPr>
        <w:t>. 2021</w:t>
      </w:r>
      <w:r>
        <w:rPr>
          <w:rFonts w:ascii="Arial" w:hAnsi="Arial" w:cs="Arial"/>
        </w:rPr>
        <w:t xml:space="preserve"> </w:t>
      </w:r>
      <w:r w:rsidRPr="00C677DC">
        <w:rPr>
          <w:rFonts w:ascii="Arial" w:hAnsi="Arial" w:cs="Arial"/>
        </w:rPr>
        <w:t>;20:</w:t>
      </w:r>
      <w:r>
        <w:rPr>
          <w:rFonts w:ascii="Arial" w:hAnsi="Arial" w:cs="Arial"/>
        </w:rPr>
        <w:t xml:space="preserve"> </w:t>
      </w:r>
      <w:r w:rsidRPr="00C677DC">
        <w:rPr>
          <w:rFonts w:ascii="Arial" w:hAnsi="Arial" w:cs="Arial"/>
        </w:rPr>
        <w:t>223</w:t>
      </w:r>
    </w:p>
    <w:p w14:paraId="5AB9CFCE" w14:textId="77777777" w:rsidR="00936A3E" w:rsidRPr="00C677DC" w:rsidRDefault="00936A3E" w:rsidP="00936A3E">
      <w:pPr>
        <w:pStyle w:val="pf0"/>
        <w:numPr>
          <w:ilvl w:val="0"/>
          <w:numId w:val="7"/>
        </w:numPr>
        <w:spacing w:line="360" w:lineRule="auto"/>
        <w:rPr>
          <w:rFonts w:ascii="Arial" w:hAnsi="Arial" w:cs="Arial"/>
        </w:rPr>
      </w:pPr>
      <w:r w:rsidRPr="00C677DC">
        <w:rPr>
          <w:rFonts w:ascii="Arial" w:hAnsi="Arial" w:cs="Arial"/>
        </w:rPr>
        <w:t xml:space="preserve">Miley KM, Hooker SA, Crain AL, O'Connor PJ, </w:t>
      </w:r>
      <w:proofErr w:type="spellStart"/>
      <w:r w:rsidRPr="00C677DC">
        <w:rPr>
          <w:rFonts w:ascii="Arial" w:hAnsi="Arial" w:cs="Arial"/>
        </w:rPr>
        <w:t>Haapala</w:t>
      </w:r>
      <w:proofErr w:type="spellEnd"/>
      <w:r w:rsidRPr="00C677DC">
        <w:rPr>
          <w:rFonts w:ascii="Arial" w:hAnsi="Arial" w:cs="Arial"/>
        </w:rPr>
        <w:t xml:space="preserve"> JL, Bond DJ, </w:t>
      </w:r>
      <w:proofErr w:type="spellStart"/>
      <w:r w:rsidRPr="00C677DC">
        <w:rPr>
          <w:rFonts w:ascii="Arial" w:hAnsi="Arial" w:cs="Arial"/>
        </w:rPr>
        <w:t>Rossom</w:t>
      </w:r>
      <w:proofErr w:type="spellEnd"/>
      <w:r w:rsidRPr="00C677DC">
        <w:rPr>
          <w:rFonts w:ascii="Arial" w:hAnsi="Arial" w:cs="Arial"/>
        </w:rPr>
        <w:t xml:space="preserve"> RC. 30-year Cardiovascular Disease Risk for Young Adults with Serious Mental Illness. Gen Hosp Psychiatry. 2023 Nov-</w:t>
      </w:r>
      <w:proofErr w:type="gramStart"/>
      <w:r w:rsidRPr="00C677DC">
        <w:rPr>
          <w:rFonts w:ascii="Arial" w:hAnsi="Arial" w:cs="Arial"/>
        </w:rPr>
        <w:t>Dec;85:139</w:t>
      </w:r>
      <w:proofErr w:type="gramEnd"/>
      <w:r w:rsidRPr="00C677DC">
        <w:rPr>
          <w:rFonts w:ascii="Arial" w:hAnsi="Arial" w:cs="Arial"/>
        </w:rPr>
        <w:t xml:space="preserve">-147. </w:t>
      </w:r>
      <w:proofErr w:type="spellStart"/>
      <w:r w:rsidRPr="00C677DC">
        <w:rPr>
          <w:rFonts w:ascii="Arial" w:hAnsi="Arial" w:cs="Arial"/>
        </w:rPr>
        <w:t>doi</w:t>
      </w:r>
      <w:proofErr w:type="spellEnd"/>
      <w:r w:rsidRPr="00C677DC">
        <w:rPr>
          <w:rFonts w:ascii="Arial" w:hAnsi="Arial" w:cs="Arial"/>
        </w:rPr>
        <w:t>: 10.1016/j.genhosppsych.2023</w:t>
      </w:r>
    </w:p>
    <w:p w14:paraId="2565FC59" w14:textId="77777777" w:rsidR="00936A3E" w:rsidRPr="00C677DC" w:rsidRDefault="00A24FE9" w:rsidP="00936A3E">
      <w:pPr>
        <w:pStyle w:val="pf0"/>
        <w:numPr>
          <w:ilvl w:val="0"/>
          <w:numId w:val="7"/>
        </w:numPr>
        <w:spacing w:line="360" w:lineRule="auto"/>
        <w:rPr>
          <w:rFonts w:ascii="Arial" w:hAnsi="Arial" w:cs="Arial"/>
        </w:rPr>
      </w:pPr>
      <w:hyperlink r:id="rId12" w:history="1">
        <w:r w:rsidR="00936A3E" w:rsidRPr="00C677DC">
          <w:rPr>
            <w:rStyle w:val="Hyperlink"/>
            <w:rFonts w:ascii="Arial" w:hAnsi="Arial" w:cs="Arial"/>
          </w:rPr>
          <w:t>https://www.legislation.gov.uk/ukpga/1983/20/contents</w:t>
        </w:r>
      </w:hyperlink>
      <w:r w:rsidR="00936A3E" w:rsidRPr="00C677DC">
        <w:rPr>
          <w:rFonts w:ascii="Arial" w:hAnsi="Arial" w:cs="Arial"/>
        </w:rPr>
        <w:t>:</w:t>
      </w:r>
      <w:r w:rsidR="00936A3E">
        <w:rPr>
          <w:rFonts w:ascii="Arial" w:hAnsi="Arial" w:cs="Arial"/>
        </w:rPr>
        <w:t xml:space="preserve"> accessed 1 February 2025</w:t>
      </w:r>
    </w:p>
    <w:p w14:paraId="548EB0B5" w14:textId="77777777" w:rsidR="00936A3E" w:rsidRPr="00C677DC" w:rsidRDefault="00936A3E" w:rsidP="00936A3E">
      <w:pPr>
        <w:pStyle w:val="pf0"/>
        <w:numPr>
          <w:ilvl w:val="0"/>
          <w:numId w:val="7"/>
        </w:numPr>
        <w:spacing w:line="360" w:lineRule="auto"/>
        <w:rPr>
          <w:rFonts w:ascii="Arial" w:hAnsi="Arial" w:cs="Arial"/>
        </w:rPr>
      </w:pPr>
      <w:proofErr w:type="spellStart"/>
      <w:r w:rsidRPr="00C677DC">
        <w:rPr>
          <w:rFonts w:ascii="Arial" w:hAnsi="Arial" w:cs="Arial"/>
        </w:rPr>
        <w:lastRenderedPageBreak/>
        <w:t>Monney</w:t>
      </w:r>
      <w:proofErr w:type="spellEnd"/>
      <w:r w:rsidRPr="00C677DC">
        <w:rPr>
          <w:rFonts w:ascii="Arial" w:hAnsi="Arial" w:cs="Arial"/>
        </w:rPr>
        <w:t xml:space="preserve"> M, </w:t>
      </w:r>
      <w:proofErr w:type="spellStart"/>
      <w:r w:rsidRPr="00C677DC">
        <w:rPr>
          <w:rFonts w:ascii="Arial" w:hAnsi="Arial" w:cs="Arial"/>
        </w:rPr>
        <w:t>Jornayvaz</w:t>
      </w:r>
      <w:proofErr w:type="spellEnd"/>
      <w:r w:rsidRPr="00C677DC">
        <w:rPr>
          <w:rFonts w:ascii="Arial" w:hAnsi="Arial" w:cs="Arial"/>
        </w:rPr>
        <w:t xml:space="preserve"> FR, </w:t>
      </w:r>
      <w:proofErr w:type="spellStart"/>
      <w:r w:rsidRPr="00C677DC">
        <w:rPr>
          <w:rFonts w:ascii="Arial" w:hAnsi="Arial" w:cs="Arial"/>
        </w:rPr>
        <w:t>Gariani</w:t>
      </w:r>
      <w:proofErr w:type="spellEnd"/>
      <w:r w:rsidRPr="00C677DC">
        <w:rPr>
          <w:rFonts w:ascii="Arial" w:hAnsi="Arial" w:cs="Arial"/>
        </w:rPr>
        <w:t xml:space="preserve"> K. GLP-1 receptor agonists effect on cognitive function in patients with and without type 2 diabetes. Diabetes </w:t>
      </w:r>
      <w:proofErr w:type="spellStart"/>
      <w:r w:rsidRPr="00C677DC">
        <w:rPr>
          <w:rFonts w:ascii="Arial" w:hAnsi="Arial" w:cs="Arial"/>
        </w:rPr>
        <w:t>Metab</w:t>
      </w:r>
      <w:proofErr w:type="spellEnd"/>
      <w:r w:rsidRPr="00C677DC">
        <w:rPr>
          <w:rFonts w:ascii="Arial" w:hAnsi="Arial" w:cs="Arial"/>
        </w:rPr>
        <w:t>. 2023;</w:t>
      </w:r>
      <w:r>
        <w:rPr>
          <w:rFonts w:ascii="Arial" w:hAnsi="Arial" w:cs="Arial"/>
        </w:rPr>
        <w:t xml:space="preserve"> </w:t>
      </w:r>
      <w:r w:rsidRPr="00C677DC">
        <w:rPr>
          <w:rFonts w:ascii="Arial" w:hAnsi="Arial" w:cs="Arial"/>
        </w:rPr>
        <w:t>49:</w:t>
      </w:r>
      <w:r>
        <w:rPr>
          <w:rFonts w:ascii="Arial" w:hAnsi="Arial" w:cs="Arial"/>
        </w:rPr>
        <w:t xml:space="preserve"> </w:t>
      </w:r>
      <w:r w:rsidRPr="00C677DC">
        <w:rPr>
          <w:rFonts w:ascii="Arial" w:hAnsi="Arial" w:cs="Arial"/>
        </w:rPr>
        <w:t>10147</w:t>
      </w:r>
    </w:p>
    <w:p w14:paraId="011DE972" w14:textId="77777777" w:rsidR="00936A3E" w:rsidRPr="00C677DC" w:rsidRDefault="00936A3E" w:rsidP="00936A3E">
      <w:pPr>
        <w:pStyle w:val="pf0"/>
        <w:numPr>
          <w:ilvl w:val="0"/>
          <w:numId w:val="7"/>
        </w:numPr>
        <w:spacing w:line="360" w:lineRule="auto"/>
        <w:rPr>
          <w:rFonts w:ascii="Arial" w:hAnsi="Arial" w:cs="Arial"/>
        </w:rPr>
      </w:pPr>
      <w:proofErr w:type="spellStart"/>
      <w:r w:rsidRPr="00C677DC">
        <w:rPr>
          <w:rFonts w:ascii="Arial" w:hAnsi="Arial" w:cs="Arial"/>
          <w:color w:val="000000"/>
        </w:rPr>
        <w:t>Jerlhag</w:t>
      </w:r>
      <w:proofErr w:type="spellEnd"/>
      <w:r w:rsidRPr="00C677DC">
        <w:rPr>
          <w:rFonts w:ascii="Arial" w:hAnsi="Arial" w:cs="Arial"/>
          <w:color w:val="000000"/>
        </w:rPr>
        <w:t xml:space="preserve"> E. Alcohol-mediated behaviours and the gut-brain axis; with focus on glucagon-like peptide-1. </w:t>
      </w:r>
      <w:r w:rsidRPr="00C677DC">
        <w:rPr>
          <w:rFonts w:ascii="Arial" w:hAnsi="Arial" w:cs="Arial"/>
          <w:i/>
          <w:iCs/>
          <w:color w:val="000000"/>
        </w:rPr>
        <w:t>Brain Res</w:t>
      </w:r>
      <w:r w:rsidRPr="00C677DC">
        <w:rPr>
          <w:rFonts w:ascii="Arial" w:hAnsi="Arial" w:cs="Arial"/>
          <w:color w:val="000000"/>
        </w:rPr>
        <w:t>.2020;</w:t>
      </w:r>
      <w:r>
        <w:rPr>
          <w:rFonts w:ascii="Arial" w:hAnsi="Arial" w:cs="Arial"/>
          <w:color w:val="000000"/>
        </w:rPr>
        <w:t xml:space="preserve"> </w:t>
      </w:r>
      <w:r w:rsidRPr="00C677DC">
        <w:rPr>
          <w:rFonts w:ascii="Arial" w:hAnsi="Arial" w:cs="Arial"/>
          <w:color w:val="000000"/>
        </w:rPr>
        <w:t>1727:14656230</w:t>
      </w:r>
    </w:p>
    <w:p w14:paraId="73917E25" w14:textId="77777777" w:rsidR="00936A3E" w:rsidRDefault="00936A3E" w:rsidP="00936A3E">
      <w:pPr>
        <w:pStyle w:val="pf0"/>
        <w:numPr>
          <w:ilvl w:val="0"/>
          <w:numId w:val="7"/>
        </w:numPr>
        <w:spacing w:line="360" w:lineRule="auto"/>
        <w:rPr>
          <w:rFonts w:ascii="Arial" w:hAnsi="Arial" w:cs="Arial"/>
        </w:rPr>
      </w:pPr>
      <w:proofErr w:type="spellStart"/>
      <w:r w:rsidRPr="00C677DC">
        <w:rPr>
          <w:rFonts w:ascii="Arial" w:hAnsi="Arial" w:cs="Arial"/>
        </w:rPr>
        <w:t>Chuong</w:t>
      </w:r>
      <w:proofErr w:type="spellEnd"/>
      <w:r w:rsidRPr="00C677DC">
        <w:rPr>
          <w:rFonts w:ascii="Arial" w:hAnsi="Arial" w:cs="Arial"/>
        </w:rPr>
        <w:t xml:space="preserve"> V, </w:t>
      </w:r>
      <w:proofErr w:type="spellStart"/>
      <w:r w:rsidRPr="00C677DC">
        <w:rPr>
          <w:rFonts w:ascii="Arial" w:hAnsi="Arial" w:cs="Arial"/>
        </w:rPr>
        <w:t>Farokhnia</w:t>
      </w:r>
      <w:proofErr w:type="spellEnd"/>
      <w:r w:rsidRPr="00C677DC">
        <w:rPr>
          <w:rFonts w:ascii="Arial" w:hAnsi="Arial" w:cs="Arial"/>
        </w:rPr>
        <w:t xml:space="preserve"> M, Khom S, </w:t>
      </w:r>
      <w:proofErr w:type="spellStart"/>
      <w:r w:rsidRPr="00C677DC">
        <w:rPr>
          <w:rFonts w:ascii="Arial" w:hAnsi="Arial" w:cs="Arial"/>
        </w:rPr>
        <w:t>Pince</w:t>
      </w:r>
      <w:proofErr w:type="spellEnd"/>
      <w:r w:rsidRPr="00C677DC">
        <w:rPr>
          <w:rFonts w:ascii="Arial" w:hAnsi="Arial" w:cs="Arial"/>
        </w:rPr>
        <w:t xml:space="preserve"> CL, </w:t>
      </w:r>
      <w:proofErr w:type="spellStart"/>
      <w:r w:rsidRPr="00C677DC">
        <w:rPr>
          <w:rFonts w:ascii="Arial" w:hAnsi="Arial" w:cs="Arial"/>
        </w:rPr>
        <w:t>Elvig</w:t>
      </w:r>
      <w:proofErr w:type="spellEnd"/>
      <w:r w:rsidRPr="00C677DC">
        <w:rPr>
          <w:rFonts w:ascii="Arial" w:hAnsi="Arial" w:cs="Arial"/>
        </w:rPr>
        <w:t xml:space="preserve"> SK, </w:t>
      </w:r>
      <w:proofErr w:type="spellStart"/>
      <w:r w:rsidRPr="00C677DC">
        <w:rPr>
          <w:rFonts w:ascii="Arial" w:hAnsi="Arial" w:cs="Arial"/>
        </w:rPr>
        <w:t>Vlkolinsky</w:t>
      </w:r>
      <w:proofErr w:type="spellEnd"/>
      <w:r w:rsidRPr="00C677DC">
        <w:rPr>
          <w:rFonts w:ascii="Arial" w:hAnsi="Arial" w:cs="Arial"/>
        </w:rPr>
        <w:t xml:space="preserve"> R, </w:t>
      </w:r>
      <w:proofErr w:type="spellStart"/>
      <w:r w:rsidRPr="00C677DC">
        <w:rPr>
          <w:rFonts w:ascii="Arial" w:hAnsi="Arial" w:cs="Arial"/>
        </w:rPr>
        <w:t>Marchette</w:t>
      </w:r>
      <w:proofErr w:type="spellEnd"/>
      <w:r w:rsidRPr="00C677DC">
        <w:rPr>
          <w:rFonts w:ascii="Arial" w:hAnsi="Arial" w:cs="Arial"/>
        </w:rPr>
        <w:t xml:space="preserve"> RC, </w:t>
      </w:r>
      <w:proofErr w:type="spellStart"/>
      <w:r w:rsidRPr="00C677DC">
        <w:rPr>
          <w:rFonts w:ascii="Arial" w:hAnsi="Arial" w:cs="Arial"/>
        </w:rPr>
        <w:t>Koob</w:t>
      </w:r>
      <w:proofErr w:type="spellEnd"/>
      <w:r w:rsidRPr="00C677DC">
        <w:rPr>
          <w:rFonts w:ascii="Arial" w:hAnsi="Arial" w:cs="Arial"/>
        </w:rPr>
        <w:t xml:space="preserve"> GF, Roberto M, </w:t>
      </w:r>
      <w:proofErr w:type="spellStart"/>
      <w:r w:rsidRPr="00C677DC">
        <w:rPr>
          <w:rFonts w:ascii="Arial" w:hAnsi="Arial" w:cs="Arial"/>
        </w:rPr>
        <w:t>Vendruscolo</w:t>
      </w:r>
      <w:proofErr w:type="spellEnd"/>
      <w:r w:rsidRPr="00C677DC">
        <w:rPr>
          <w:rFonts w:ascii="Arial" w:hAnsi="Arial" w:cs="Arial"/>
        </w:rPr>
        <w:t xml:space="preserve"> LF, </w:t>
      </w:r>
      <w:proofErr w:type="spellStart"/>
      <w:r w:rsidRPr="00C677DC">
        <w:rPr>
          <w:rFonts w:ascii="Arial" w:hAnsi="Arial" w:cs="Arial"/>
        </w:rPr>
        <w:t>Leggio</w:t>
      </w:r>
      <w:proofErr w:type="spellEnd"/>
      <w:r w:rsidRPr="00C677DC">
        <w:rPr>
          <w:rFonts w:ascii="Arial" w:hAnsi="Arial" w:cs="Arial"/>
        </w:rPr>
        <w:t xml:space="preserve"> L. The glucagon-like peptide-1 (GLP-1) analogue </w:t>
      </w:r>
      <w:proofErr w:type="spellStart"/>
      <w:r>
        <w:rPr>
          <w:rFonts w:ascii="Arial" w:hAnsi="Arial" w:cs="Arial"/>
        </w:rPr>
        <w:t>semaglutide</w:t>
      </w:r>
      <w:proofErr w:type="spellEnd"/>
      <w:r w:rsidRPr="00C677DC">
        <w:rPr>
          <w:rFonts w:ascii="Arial" w:hAnsi="Arial" w:cs="Arial"/>
        </w:rPr>
        <w:t xml:space="preserve"> reduces alcohol drinking and modulates central GABA neurotransmission. JCI Insight. 2023;8:</w:t>
      </w:r>
      <w:r>
        <w:rPr>
          <w:rFonts w:ascii="Arial" w:hAnsi="Arial" w:cs="Arial"/>
        </w:rPr>
        <w:t xml:space="preserve"> </w:t>
      </w:r>
      <w:r w:rsidRPr="00C677DC">
        <w:rPr>
          <w:rFonts w:ascii="Arial" w:hAnsi="Arial" w:cs="Arial"/>
        </w:rPr>
        <w:t>e170671</w:t>
      </w:r>
    </w:p>
    <w:p w14:paraId="07BEAEA4" w14:textId="206C3867" w:rsidR="00FD5B0C" w:rsidRPr="00DB0EB2" w:rsidRDefault="00FD5B0C">
      <w:pPr>
        <w:rPr>
          <w:rFonts w:ascii="Calibri" w:hAnsi="Calibri" w:cs="Calibri"/>
          <w:sz w:val="24"/>
          <w:szCs w:val="24"/>
        </w:rPr>
      </w:pPr>
    </w:p>
    <w:sectPr w:rsidR="00FD5B0C" w:rsidRPr="00DB0EB2" w:rsidSect="000F3FCB">
      <w:footerReference w:type="default" r:id="rId13"/>
      <w:pgSz w:w="11907" w:h="1701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D914" w14:textId="77777777" w:rsidR="00DD17F7" w:rsidRDefault="00DD17F7" w:rsidP="00012BBA">
      <w:pPr>
        <w:spacing w:after="0" w:line="240" w:lineRule="auto"/>
      </w:pPr>
      <w:r>
        <w:separator/>
      </w:r>
    </w:p>
  </w:endnote>
  <w:endnote w:type="continuationSeparator" w:id="0">
    <w:p w14:paraId="3819ED33" w14:textId="77777777" w:rsidR="00DD17F7" w:rsidRDefault="00DD17F7" w:rsidP="0001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cury Text G 1">
    <w:altName w:val="Cambria"/>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CalistoMTStd">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443188"/>
      <w:docPartObj>
        <w:docPartGallery w:val="Page Numbers (Bottom of Page)"/>
        <w:docPartUnique/>
      </w:docPartObj>
    </w:sdtPr>
    <w:sdtEndPr>
      <w:rPr>
        <w:noProof/>
      </w:rPr>
    </w:sdtEndPr>
    <w:sdtContent>
      <w:p w14:paraId="61C86320" w14:textId="272CA7F8" w:rsidR="00012BBA" w:rsidRDefault="00012BBA">
        <w:pPr>
          <w:pStyle w:val="Footer"/>
        </w:pPr>
        <w:r>
          <w:fldChar w:fldCharType="begin"/>
        </w:r>
        <w:r>
          <w:instrText xml:space="preserve"> PAGE   \* MERGEFORMAT </w:instrText>
        </w:r>
        <w:r>
          <w:fldChar w:fldCharType="separate"/>
        </w:r>
        <w:r>
          <w:rPr>
            <w:noProof/>
          </w:rPr>
          <w:t>2</w:t>
        </w:r>
        <w:r>
          <w:rPr>
            <w:noProof/>
          </w:rPr>
          <w:fldChar w:fldCharType="end"/>
        </w:r>
      </w:p>
    </w:sdtContent>
  </w:sdt>
  <w:p w14:paraId="025A605C" w14:textId="77777777" w:rsidR="00012BBA" w:rsidRDefault="00012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CB58" w14:textId="77777777" w:rsidR="00DD17F7" w:rsidRDefault="00DD17F7" w:rsidP="00012BBA">
      <w:pPr>
        <w:spacing w:after="0" w:line="240" w:lineRule="auto"/>
      </w:pPr>
      <w:r>
        <w:separator/>
      </w:r>
    </w:p>
  </w:footnote>
  <w:footnote w:type="continuationSeparator" w:id="0">
    <w:p w14:paraId="61892BE0" w14:textId="77777777" w:rsidR="00DD17F7" w:rsidRDefault="00DD17F7" w:rsidP="00012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2543"/>
    <w:multiLevelType w:val="hybridMultilevel"/>
    <w:tmpl w:val="51687960"/>
    <w:lvl w:ilvl="0" w:tplc="E9B8E75A">
      <w:start w:val="1"/>
      <w:numFmt w:val="decimal"/>
      <w:lvlText w:val="%1."/>
      <w:lvlJc w:val="left"/>
      <w:pPr>
        <w:ind w:left="720" w:hanging="360"/>
      </w:pPr>
    </w:lvl>
    <w:lvl w:ilvl="1" w:tplc="257C6012">
      <w:start w:val="1"/>
      <w:numFmt w:val="decimal"/>
      <w:lvlText w:val="%2."/>
      <w:lvlJc w:val="left"/>
      <w:pPr>
        <w:ind w:left="720" w:hanging="360"/>
      </w:pPr>
    </w:lvl>
    <w:lvl w:ilvl="2" w:tplc="FFBED820">
      <w:start w:val="1"/>
      <w:numFmt w:val="decimal"/>
      <w:lvlText w:val="%3."/>
      <w:lvlJc w:val="left"/>
      <w:pPr>
        <w:ind w:left="720" w:hanging="360"/>
      </w:pPr>
    </w:lvl>
    <w:lvl w:ilvl="3" w:tplc="DBCCC17A">
      <w:start w:val="1"/>
      <w:numFmt w:val="decimal"/>
      <w:lvlText w:val="%4."/>
      <w:lvlJc w:val="left"/>
      <w:pPr>
        <w:ind w:left="720" w:hanging="360"/>
      </w:pPr>
    </w:lvl>
    <w:lvl w:ilvl="4" w:tplc="12989634">
      <w:start w:val="1"/>
      <w:numFmt w:val="decimal"/>
      <w:lvlText w:val="%5."/>
      <w:lvlJc w:val="left"/>
      <w:pPr>
        <w:ind w:left="720" w:hanging="360"/>
      </w:pPr>
    </w:lvl>
    <w:lvl w:ilvl="5" w:tplc="B45804E0">
      <w:start w:val="1"/>
      <w:numFmt w:val="decimal"/>
      <w:lvlText w:val="%6."/>
      <w:lvlJc w:val="left"/>
      <w:pPr>
        <w:ind w:left="720" w:hanging="360"/>
      </w:pPr>
    </w:lvl>
    <w:lvl w:ilvl="6" w:tplc="85BAD9CC">
      <w:start w:val="1"/>
      <w:numFmt w:val="decimal"/>
      <w:lvlText w:val="%7."/>
      <w:lvlJc w:val="left"/>
      <w:pPr>
        <w:ind w:left="720" w:hanging="360"/>
      </w:pPr>
    </w:lvl>
    <w:lvl w:ilvl="7" w:tplc="09A69E40">
      <w:start w:val="1"/>
      <w:numFmt w:val="decimal"/>
      <w:lvlText w:val="%8."/>
      <w:lvlJc w:val="left"/>
      <w:pPr>
        <w:ind w:left="720" w:hanging="360"/>
      </w:pPr>
    </w:lvl>
    <w:lvl w:ilvl="8" w:tplc="79E8352C">
      <w:start w:val="1"/>
      <w:numFmt w:val="decimal"/>
      <w:lvlText w:val="%9."/>
      <w:lvlJc w:val="left"/>
      <w:pPr>
        <w:ind w:left="720" w:hanging="360"/>
      </w:pPr>
    </w:lvl>
  </w:abstractNum>
  <w:abstractNum w:abstractNumId="1" w15:restartNumberingAfterBreak="0">
    <w:nsid w:val="15B276BC"/>
    <w:multiLevelType w:val="multilevel"/>
    <w:tmpl w:val="B5C284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12809B0"/>
    <w:multiLevelType w:val="hybridMultilevel"/>
    <w:tmpl w:val="9904B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A27A9"/>
    <w:multiLevelType w:val="hybridMultilevel"/>
    <w:tmpl w:val="8CE472EC"/>
    <w:lvl w:ilvl="0" w:tplc="588696B6">
      <w:start w:val="1"/>
      <w:numFmt w:val="decimal"/>
      <w:lvlText w:val="%1."/>
      <w:lvlJc w:val="left"/>
      <w:pPr>
        <w:ind w:left="720" w:hanging="360"/>
      </w:pPr>
    </w:lvl>
    <w:lvl w:ilvl="1" w:tplc="6368E988">
      <w:start w:val="1"/>
      <w:numFmt w:val="decimal"/>
      <w:lvlText w:val="%2."/>
      <w:lvlJc w:val="left"/>
      <w:pPr>
        <w:ind w:left="720" w:hanging="360"/>
      </w:pPr>
    </w:lvl>
    <w:lvl w:ilvl="2" w:tplc="BE5697AA">
      <w:start w:val="1"/>
      <w:numFmt w:val="decimal"/>
      <w:lvlText w:val="%3."/>
      <w:lvlJc w:val="left"/>
      <w:pPr>
        <w:ind w:left="720" w:hanging="360"/>
      </w:pPr>
    </w:lvl>
    <w:lvl w:ilvl="3" w:tplc="C97ADBAA">
      <w:start w:val="1"/>
      <w:numFmt w:val="decimal"/>
      <w:lvlText w:val="%4."/>
      <w:lvlJc w:val="left"/>
      <w:pPr>
        <w:ind w:left="720" w:hanging="360"/>
      </w:pPr>
    </w:lvl>
    <w:lvl w:ilvl="4" w:tplc="AA4801E0">
      <w:start w:val="1"/>
      <w:numFmt w:val="decimal"/>
      <w:lvlText w:val="%5."/>
      <w:lvlJc w:val="left"/>
      <w:pPr>
        <w:ind w:left="720" w:hanging="360"/>
      </w:pPr>
    </w:lvl>
    <w:lvl w:ilvl="5" w:tplc="2DC44488">
      <w:start w:val="1"/>
      <w:numFmt w:val="decimal"/>
      <w:lvlText w:val="%6."/>
      <w:lvlJc w:val="left"/>
      <w:pPr>
        <w:ind w:left="720" w:hanging="360"/>
      </w:pPr>
    </w:lvl>
    <w:lvl w:ilvl="6" w:tplc="78BE99F6">
      <w:start w:val="1"/>
      <w:numFmt w:val="decimal"/>
      <w:lvlText w:val="%7."/>
      <w:lvlJc w:val="left"/>
      <w:pPr>
        <w:ind w:left="720" w:hanging="360"/>
      </w:pPr>
    </w:lvl>
    <w:lvl w:ilvl="7" w:tplc="15B642C8">
      <w:start w:val="1"/>
      <w:numFmt w:val="decimal"/>
      <w:lvlText w:val="%8."/>
      <w:lvlJc w:val="left"/>
      <w:pPr>
        <w:ind w:left="720" w:hanging="360"/>
      </w:pPr>
    </w:lvl>
    <w:lvl w:ilvl="8" w:tplc="79541ED0">
      <w:start w:val="1"/>
      <w:numFmt w:val="decimal"/>
      <w:lvlText w:val="%9."/>
      <w:lvlJc w:val="left"/>
      <w:pPr>
        <w:ind w:left="720" w:hanging="360"/>
      </w:pPr>
    </w:lvl>
  </w:abstractNum>
  <w:abstractNum w:abstractNumId="4" w15:restartNumberingAfterBreak="0">
    <w:nsid w:val="50AA5AF4"/>
    <w:multiLevelType w:val="hybridMultilevel"/>
    <w:tmpl w:val="373C5986"/>
    <w:lvl w:ilvl="0" w:tplc="DF14B798">
      <w:start w:val="1"/>
      <w:numFmt w:val="decimal"/>
      <w:lvlText w:val="%1."/>
      <w:lvlJc w:val="left"/>
      <w:pPr>
        <w:ind w:left="1440" w:hanging="360"/>
      </w:pPr>
    </w:lvl>
    <w:lvl w:ilvl="1" w:tplc="BA6C6DA8">
      <w:start w:val="1"/>
      <w:numFmt w:val="decimal"/>
      <w:lvlText w:val="%2."/>
      <w:lvlJc w:val="left"/>
      <w:pPr>
        <w:ind w:left="1440" w:hanging="360"/>
      </w:pPr>
    </w:lvl>
    <w:lvl w:ilvl="2" w:tplc="4D0C45C4">
      <w:start w:val="1"/>
      <w:numFmt w:val="decimal"/>
      <w:lvlText w:val="%3."/>
      <w:lvlJc w:val="left"/>
      <w:pPr>
        <w:ind w:left="1440" w:hanging="360"/>
      </w:pPr>
    </w:lvl>
    <w:lvl w:ilvl="3" w:tplc="BDEA512C">
      <w:start w:val="1"/>
      <w:numFmt w:val="decimal"/>
      <w:lvlText w:val="%4."/>
      <w:lvlJc w:val="left"/>
      <w:pPr>
        <w:ind w:left="1440" w:hanging="360"/>
      </w:pPr>
    </w:lvl>
    <w:lvl w:ilvl="4" w:tplc="72708D5E">
      <w:start w:val="1"/>
      <w:numFmt w:val="decimal"/>
      <w:lvlText w:val="%5."/>
      <w:lvlJc w:val="left"/>
      <w:pPr>
        <w:ind w:left="1440" w:hanging="360"/>
      </w:pPr>
    </w:lvl>
    <w:lvl w:ilvl="5" w:tplc="DAA45842">
      <w:start w:val="1"/>
      <w:numFmt w:val="decimal"/>
      <w:lvlText w:val="%6."/>
      <w:lvlJc w:val="left"/>
      <w:pPr>
        <w:ind w:left="1440" w:hanging="360"/>
      </w:pPr>
    </w:lvl>
    <w:lvl w:ilvl="6" w:tplc="6A68973E">
      <w:start w:val="1"/>
      <w:numFmt w:val="decimal"/>
      <w:lvlText w:val="%7."/>
      <w:lvlJc w:val="left"/>
      <w:pPr>
        <w:ind w:left="1440" w:hanging="360"/>
      </w:pPr>
    </w:lvl>
    <w:lvl w:ilvl="7" w:tplc="C3EA8182">
      <w:start w:val="1"/>
      <w:numFmt w:val="decimal"/>
      <w:lvlText w:val="%8."/>
      <w:lvlJc w:val="left"/>
      <w:pPr>
        <w:ind w:left="1440" w:hanging="360"/>
      </w:pPr>
    </w:lvl>
    <w:lvl w:ilvl="8" w:tplc="F33A9802">
      <w:start w:val="1"/>
      <w:numFmt w:val="decimal"/>
      <w:lvlText w:val="%9."/>
      <w:lvlJc w:val="left"/>
      <w:pPr>
        <w:ind w:left="1440" w:hanging="360"/>
      </w:pPr>
    </w:lvl>
  </w:abstractNum>
  <w:abstractNum w:abstractNumId="5" w15:restartNumberingAfterBreak="0">
    <w:nsid w:val="62994640"/>
    <w:multiLevelType w:val="hybridMultilevel"/>
    <w:tmpl w:val="1DDA9878"/>
    <w:lvl w:ilvl="0" w:tplc="DDA471D2">
      <w:start w:val="1"/>
      <w:numFmt w:val="decimal"/>
      <w:lvlText w:val="%1."/>
      <w:lvlJc w:val="left"/>
      <w:pPr>
        <w:ind w:left="720" w:hanging="360"/>
      </w:pPr>
      <w:rPr>
        <w:rFonts w:ascii="Segoe UI" w:eastAsiaTheme="majorEastAsia" w:hAnsi="Segoe UI" w:cs="Segoe UI"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6D2325"/>
    <w:multiLevelType w:val="hybridMultilevel"/>
    <w:tmpl w:val="02606782"/>
    <w:lvl w:ilvl="0" w:tplc="7CA8DAEC">
      <w:start w:val="1"/>
      <w:numFmt w:val="decimal"/>
      <w:lvlText w:val="%1."/>
      <w:lvlJc w:val="left"/>
      <w:pPr>
        <w:ind w:left="720" w:hanging="360"/>
      </w:pPr>
    </w:lvl>
    <w:lvl w:ilvl="1" w:tplc="4912BD78">
      <w:start w:val="1"/>
      <w:numFmt w:val="decimal"/>
      <w:lvlText w:val="%2."/>
      <w:lvlJc w:val="left"/>
      <w:pPr>
        <w:ind w:left="720" w:hanging="360"/>
      </w:pPr>
    </w:lvl>
    <w:lvl w:ilvl="2" w:tplc="217CDF2E">
      <w:start w:val="1"/>
      <w:numFmt w:val="decimal"/>
      <w:lvlText w:val="%3."/>
      <w:lvlJc w:val="left"/>
      <w:pPr>
        <w:ind w:left="720" w:hanging="360"/>
      </w:pPr>
    </w:lvl>
    <w:lvl w:ilvl="3" w:tplc="68B2F330">
      <w:start w:val="1"/>
      <w:numFmt w:val="decimal"/>
      <w:lvlText w:val="%4."/>
      <w:lvlJc w:val="left"/>
      <w:pPr>
        <w:ind w:left="720" w:hanging="360"/>
      </w:pPr>
    </w:lvl>
    <w:lvl w:ilvl="4" w:tplc="0A1AE9C4">
      <w:start w:val="1"/>
      <w:numFmt w:val="decimal"/>
      <w:lvlText w:val="%5."/>
      <w:lvlJc w:val="left"/>
      <w:pPr>
        <w:ind w:left="720" w:hanging="360"/>
      </w:pPr>
    </w:lvl>
    <w:lvl w:ilvl="5" w:tplc="B366E672">
      <w:start w:val="1"/>
      <w:numFmt w:val="decimal"/>
      <w:lvlText w:val="%6."/>
      <w:lvlJc w:val="left"/>
      <w:pPr>
        <w:ind w:left="720" w:hanging="360"/>
      </w:pPr>
    </w:lvl>
    <w:lvl w:ilvl="6" w:tplc="57B40E26">
      <w:start w:val="1"/>
      <w:numFmt w:val="decimal"/>
      <w:lvlText w:val="%7."/>
      <w:lvlJc w:val="left"/>
      <w:pPr>
        <w:ind w:left="720" w:hanging="360"/>
      </w:pPr>
    </w:lvl>
    <w:lvl w:ilvl="7" w:tplc="1FAC5186">
      <w:start w:val="1"/>
      <w:numFmt w:val="decimal"/>
      <w:lvlText w:val="%8."/>
      <w:lvlJc w:val="left"/>
      <w:pPr>
        <w:ind w:left="720" w:hanging="360"/>
      </w:pPr>
    </w:lvl>
    <w:lvl w:ilvl="8" w:tplc="E4785048">
      <w:start w:val="1"/>
      <w:numFmt w:val="decimal"/>
      <w:lvlText w:val="%9."/>
      <w:lvlJc w:val="left"/>
      <w:pPr>
        <w:ind w:left="720" w:hanging="360"/>
      </w:pPr>
    </w:lvl>
  </w:abstractNum>
  <w:num w:numId="1" w16cid:durableId="746918624">
    <w:abstractNumId w:val="6"/>
  </w:num>
  <w:num w:numId="2" w16cid:durableId="514661053">
    <w:abstractNumId w:val="3"/>
  </w:num>
  <w:num w:numId="3" w16cid:durableId="20479814">
    <w:abstractNumId w:val="4"/>
  </w:num>
  <w:num w:numId="4" w16cid:durableId="1414745396">
    <w:abstractNumId w:val="0"/>
  </w:num>
  <w:num w:numId="5" w16cid:durableId="1846094938">
    <w:abstractNumId w:val="1"/>
  </w:num>
  <w:num w:numId="6" w16cid:durableId="1041127937">
    <w:abstractNumId w:val="2"/>
  </w:num>
  <w:num w:numId="7" w16cid:durableId="796722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yMrIwNjY1MLY0NTdU0lEKTi0uzszPAykwrAUAvnsuaSwAAAA="/>
  </w:docVars>
  <w:rsids>
    <w:rsidRoot w:val="00BE0947"/>
    <w:rsid w:val="000015A8"/>
    <w:rsid w:val="000046DA"/>
    <w:rsid w:val="00005AFD"/>
    <w:rsid w:val="00005D4B"/>
    <w:rsid w:val="00012BBA"/>
    <w:rsid w:val="00012E12"/>
    <w:rsid w:val="00013228"/>
    <w:rsid w:val="00015FE5"/>
    <w:rsid w:val="00017857"/>
    <w:rsid w:val="00017F60"/>
    <w:rsid w:val="000245FB"/>
    <w:rsid w:val="00026FC9"/>
    <w:rsid w:val="000353A3"/>
    <w:rsid w:val="000526C2"/>
    <w:rsid w:val="00053ADE"/>
    <w:rsid w:val="00057A3A"/>
    <w:rsid w:val="000608B5"/>
    <w:rsid w:val="00060919"/>
    <w:rsid w:val="00063EBC"/>
    <w:rsid w:val="00064F7F"/>
    <w:rsid w:val="000666FC"/>
    <w:rsid w:val="00066725"/>
    <w:rsid w:val="00072CAB"/>
    <w:rsid w:val="000753BA"/>
    <w:rsid w:val="00075E0E"/>
    <w:rsid w:val="0008607B"/>
    <w:rsid w:val="00086398"/>
    <w:rsid w:val="000913CA"/>
    <w:rsid w:val="000A7C8A"/>
    <w:rsid w:val="000B5A2F"/>
    <w:rsid w:val="000C2075"/>
    <w:rsid w:val="000C22AE"/>
    <w:rsid w:val="000C3210"/>
    <w:rsid w:val="000C4864"/>
    <w:rsid w:val="000C5051"/>
    <w:rsid w:val="000D497D"/>
    <w:rsid w:val="000E1B0D"/>
    <w:rsid w:val="000E24F4"/>
    <w:rsid w:val="000E2A0E"/>
    <w:rsid w:val="000E410F"/>
    <w:rsid w:val="000E5BFE"/>
    <w:rsid w:val="000F09CA"/>
    <w:rsid w:val="000F2B53"/>
    <w:rsid w:val="000F3314"/>
    <w:rsid w:val="000F3FCB"/>
    <w:rsid w:val="000F50BB"/>
    <w:rsid w:val="001032B4"/>
    <w:rsid w:val="00110DD0"/>
    <w:rsid w:val="00112996"/>
    <w:rsid w:val="00114572"/>
    <w:rsid w:val="00123B12"/>
    <w:rsid w:val="00124D09"/>
    <w:rsid w:val="00126B04"/>
    <w:rsid w:val="00143346"/>
    <w:rsid w:val="00152B6C"/>
    <w:rsid w:val="001574B7"/>
    <w:rsid w:val="00163167"/>
    <w:rsid w:val="00164D1F"/>
    <w:rsid w:val="001747A5"/>
    <w:rsid w:val="00175917"/>
    <w:rsid w:val="001837C8"/>
    <w:rsid w:val="00183F5A"/>
    <w:rsid w:val="00186F38"/>
    <w:rsid w:val="001920F4"/>
    <w:rsid w:val="001A2101"/>
    <w:rsid w:val="001A2D6D"/>
    <w:rsid w:val="001A314A"/>
    <w:rsid w:val="001A7373"/>
    <w:rsid w:val="001B0E98"/>
    <w:rsid w:val="001B566D"/>
    <w:rsid w:val="001B7EF9"/>
    <w:rsid w:val="001C24D2"/>
    <w:rsid w:val="001C4ACD"/>
    <w:rsid w:val="001C70BD"/>
    <w:rsid w:val="001C7320"/>
    <w:rsid w:val="001D0595"/>
    <w:rsid w:val="001D067F"/>
    <w:rsid w:val="001D0706"/>
    <w:rsid w:val="001D3B63"/>
    <w:rsid w:val="001D4D02"/>
    <w:rsid w:val="001D58AF"/>
    <w:rsid w:val="001E0EA2"/>
    <w:rsid w:val="001E247E"/>
    <w:rsid w:val="001E3BAF"/>
    <w:rsid w:val="001E63E8"/>
    <w:rsid w:val="001F2B26"/>
    <w:rsid w:val="001F3BC4"/>
    <w:rsid w:val="001F599D"/>
    <w:rsid w:val="001F70C5"/>
    <w:rsid w:val="001F73E9"/>
    <w:rsid w:val="0020437B"/>
    <w:rsid w:val="00211340"/>
    <w:rsid w:val="002113A1"/>
    <w:rsid w:val="00211B09"/>
    <w:rsid w:val="00213AAD"/>
    <w:rsid w:val="00216EE3"/>
    <w:rsid w:val="00216F1B"/>
    <w:rsid w:val="00217B44"/>
    <w:rsid w:val="00222472"/>
    <w:rsid w:val="00222801"/>
    <w:rsid w:val="0022471B"/>
    <w:rsid w:val="00234C39"/>
    <w:rsid w:val="00235E2C"/>
    <w:rsid w:val="00240059"/>
    <w:rsid w:val="00245075"/>
    <w:rsid w:val="00246A1F"/>
    <w:rsid w:val="002521D4"/>
    <w:rsid w:val="00255503"/>
    <w:rsid w:val="00256D83"/>
    <w:rsid w:val="00256DD4"/>
    <w:rsid w:val="002623F3"/>
    <w:rsid w:val="002633E2"/>
    <w:rsid w:val="00264EEA"/>
    <w:rsid w:val="00273587"/>
    <w:rsid w:val="00273A28"/>
    <w:rsid w:val="00276C24"/>
    <w:rsid w:val="002805CB"/>
    <w:rsid w:val="0028370A"/>
    <w:rsid w:val="00291FAF"/>
    <w:rsid w:val="002A2DD0"/>
    <w:rsid w:val="002B1D4B"/>
    <w:rsid w:val="002B1F81"/>
    <w:rsid w:val="002B55F8"/>
    <w:rsid w:val="002B7EBB"/>
    <w:rsid w:val="002C2288"/>
    <w:rsid w:val="002C237B"/>
    <w:rsid w:val="002C2A27"/>
    <w:rsid w:val="002C7AAA"/>
    <w:rsid w:val="002C7BC7"/>
    <w:rsid w:val="002D05EC"/>
    <w:rsid w:val="002D417C"/>
    <w:rsid w:val="002D7D33"/>
    <w:rsid w:val="002E1537"/>
    <w:rsid w:val="002E31D1"/>
    <w:rsid w:val="002E7301"/>
    <w:rsid w:val="002F15A5"/>
    <w:rsid w:val="0030071C"/>
    <w:rsid w:val="003023FC"/>
    <w:rsid w:val="003076E3"/>
    <w:rsid w:val="003105D3"/>
    <w:rsid w:val="0032099A"/>
    <w:rsid w:val="003266DE"/>
    <w:rsid w:val="00330C9A"/>
    <w:rsid w:val="00333E89"/>
    <w:rsid w:val="00337476"/>
    <w:rsid w:val="0034247C"/>
    <w:rsid w:val="003502F6"/>
    <w:rsid w:val="00350742"/>
    <w:rsid w:val="00354E04"/>
    <w:rsid w:val="00356AF9"/>
    <w:rsid w:val="00363027"/>
    <w:rsid w:val="00365859"/>
    <w:rsid w:val="00372F6F"/>
    <w:rsid w:val="0037558B"/>
    <w:rsid w:val="00384C73"/>
    <w:rsid w:val="0038528F"/>
    <w:rsid w:val="00387622"/>
    <w:rsid w:val="00393F75"/>
    <w:rsid w:val="003969E7"/>
    <w:rsid w:val="003A0BAE"/>
    <w:rsid w:val="003A1184"/>
    <w:rsid w:val="003A3B08"/>
    <w:rsid w:val="003A4FD7"/>
    <w:rsid w:val="003A67F8"/>
    <w:rsid w:val="003A7DE4"/>
    <w:rsid w:val="003B2A94"/>
    <w:rsid w:val="003B61C4"/>
    <w:rsid w:val="003B6F2E"/>
    <w:rsid w:val="003C4E97"/>
    <w:rsid w:val="003D292B"/>
    <w:rsid w:val="003D3C27"/>
    <w:rsid w:val="003D45C5"/>
    <w:rsid w:val="003E1D95"/>
    <w:rsid w:val="003E24FC"/>
    <w:rsid w:val="003E4E70"/>
    <w:rsid w:val="003E7B91"/>
    <w:rsid w:val="003F0332"/>
    <w:rsid w:val="003F0833"/>
    <w:rsid w:val="003F3229"/>
    <w:rsid w:val="003F35D7"/>
    <w:rsid w:val="003F7B49"/>
    <w:rsid w:val="004003B6"/>
    <w:rsid w:val="00402895"/>
    <w:rsid w:val="004067B5"/>
    <w:rsid w:val="00411EAE"/>
    <w:rsid w:val="004134BC"/>
    <w:rsid w:val="00415490"/>
    <w:rsid w:val="0041628B"/>
    <w:rsid w:val="004203B1"/>
    <w:rsid w:val="00423FBF"/>
    <w:rsid w:val="004301C4"/>
    <w:rsid w:val="004331B7"/>
    <w:rsid w:val="00433C99"/>
    <w:rsid w:val="0043404C"/>
    <w:rsid w:val="004342C6"/>
    <w:rsid w:val="0044278E"/>
    <w:rsid w:val="004471CC"/>
    <w:rsid w:val="00447A6C"/>
    <w:rsid w:val="00452EAF"/>
    <w:rsid w:val="0045527C"/>
    <w:rsid w:val="00456777"/>
    <w:rsid w:val="004656CF"/>
    <w:rsid w:val="00476B6D"/>
    <w:rsid w:val="00480864"/>
    <w:rsid w:val="0048366D"/>
    <w:rsid w:val="00483F1E"/>
    <w:rsid w:val="0048591E"/>
    <w:rsid w:val="00491175"/>
    <w:rsid w:val="004932FE"/>
    <w:rsid w:val="00495396"/>
    <w:rsid w:val="004A0333"/>
    <w:rsid w:val="004A2C74"/>
    <w:rsid w:val="004A4340"/>
    <w:rsid w:val="004A6511"/>
    <w:rsid w:val="004B30A4"/>
    <w:rsid w:val="004B3574"/>
    <w:rsid w:val="004B5BB6"/>
    <w:rsid w:val="004B65AF"/>
    <w:rsid w:val="004B7C0D"/>
    <w:rsid w:val="004C01EC"/>
    <w:rsid w:val="004C2440"/>
    <w:rsid w:val="004C58EF"/>
    <w:rsid w:val="004C7D07"/>
    <w:rsid w:val="004D1864"/>
    <w:rsid w:val="004D2D08"/>
    <w:rsid w:val="004D44CC"/>
    <w:rsid w:val="004D4FBA"/>
    <w:rsid w:val="004F0C52"/>
    <w:rsid w:val="004F13F3"/>
    <w:rsid w:val="004F1A65"/>
    <w:rsid w:val="004F549F"/>
    <w:rsid w:val="004F6109"/>
    <w:rsid w:val="004F7C40"/>
    <w:rsid w:val="00502F55"/>
    <w:rsid w:val="00503614"/>
    <w:rsid w:val="005049F2"/>
    <w:rsid w:val="00506587"/>
    <w:rsid w:val="00506A3A"/>
    <w:rsid w:val="0051051E"/>
    <w:rsid w:val="0051251F"/>
    <w:rsid w:val="00512DE7"/>
    <w:rsid w:val="005130A8"/>
    <w:rsid w:val="00527542"/>
    <w:rsid w:val="00530502"/>
    <w:rsid w:val="0053168C"/>
    <w:rsid w:val="00532A84"/>
    <w:rsid w:val="00533689"/>
    <w:rsid w:val="00551FC2"/>
    <w:rsid w:val="00552D0D"/>
    <w:rsid w:val="0055334F"/>
    <w:rsid w:val="00554FC8"/>
    <w:rsid w:val="00556D19"/>
    <w:rsid w:val="005660BA"/>
    <w:rsid w:val="005670DE"/>
    <w:rsid w:val="005674ED"/>
    <w:rsid w:val="00567C31"/>
    <w:rsid w:val="00570349"/>
    <w:rsid w:val="00574E1F"/>
    <w:rsid w:val="00574EC6"/>
    <w:rsid w:val="00580B06"/>
    <w:rsid w:val="00594CA0"/>
    <w:rsid w:val="005970FE"/>
    <w:rsid w:val="005A2139"/>
    <w:rsid w:val="005A3A66"/>
    <w:rsid w:val="005A4AFB"/>
    <w:rsid w:val="005C5B6F"/>
    <w:rsid w:val="005E0346"/>
    <w:rsid w:val="005E056E"/>
    <w:rsid w:val="005E0708"/>
    <w:rsid w:val="005E2799"/>
    <w:rsid w:val="005E636E"/>
    <w:rsid w:val="005F0406"/>
    <w:rsid w:val="005F25FB"/>
    <w:rsid w:val="005F5439"/>
    <w:rsid w:val="005F659D"/>
    <w:rsid w:val="005F67B9"/>
    <w:rsid w:val="0060037B"/>
    <w:rsid w:val="00600CDE"/>
    <w:rsid w:val="00603094"/>
    <w:rsid w:val="006050EE"/>
    <w:rsid w:val="0060639F"/>
    <w:rsid w:val="006138CC"/>
    <w:rsid w:val="00613F37"/>
    <w:rsid w:val="00616F66"/>
    <w:rsid w:val="006172A3"/>
    <w:rsid w:val="0062050D"/>
    <w:rsid w:val="0062084D"/>
    <w:rsid w:val="00622A8A"/>
    <w:rsid w:val="006237F2"/>
    <w:rsid w:val="00631235"/>
    <w:rsid w:val="00632EC8"/>
    <w:rsid w:val="00636B4A"/>
    <w:rsid w:val="00636F6F"/>
    <w:rsid w:val="00642DDC"/>
    <w:rsid w:val="0064484E"/>
    <w:rsid w:val="00651C43"/>
    <w:rsid w:val="0065211C"/>
    <w:rsid w:val="006534A4"/>
    <w:rsid w:val="00655551"/>
    <w:rsid w:val="00655D3F"/>
    <w:rsid w:val="00655D69"/>
    <w:rsid w:val="00656343"/>
    <w:rsid w:val="00657AD5"/>
    <w:rsid w:val="00657E34"/>
    <w:rsid w:val="00662BB0"/>
    <w:rsid w:val="00664776"/>
    <w:rsid w:val="00677E93"/>
    <w:rsid w:val="00682751"/>
    <w:rsid w:val="00684E56"/>
    <w:rsid w:val="00685319"/>
    <w:rsid w:val="0069071A"/>
    <w:rsid w:val="006909A6"/>
    <w:rsid w:val="00690B56"/>
    <w:rsid w:val="0069131C"/>
    <w:rsid w:val="00691EC7"/>
    <w:rsid w:val="00697CC9"/>
    <w:rsid w:val="00697E3C"/>
    <w:rsid w:val="006A1E5B"/>
    <w:rsid w:val="006B1E0C"/>
    <w:rsid w:val="006B4853"/>
    <w:rsid w:val="006B6BFA"/>
    <w:rsid w:val="006C1396"/>
    <w:rsid w:val="006C2BF9"/>
    <w:rsid w:val="006C2CAB"/>
    <w:rsid w:val="006C4935"/>
    <w:rsid w:val="006C4A37"/>
    <w:rsid w:val="006C5756"/>
    <w:rsid w:val="006C63C2"/>
    <w:rsid w:val="006E05C2"/>
    <w:rsid w:val="006E1C1A"/>
    <w:rsid w:val="006E4D75"/>
    <w:rsid w:val="006F44DA"/>
    <w:rsid w:val="006F4A47"/>
    <w:rsid w:val="00700FE2"/>
    <w:rsid w:val="0070230F"/>
    <w:rsid w:val="0070436E"/>
    <w:rsid w:val="00711197"/>
    <w:rsid w:val="007117C8"/>
    <w:rsid w:val="00711FA4"/>
    <w:rsid w:val="0071391C"/>
    <w:rsid w:val="00716AFF"/>
    <w:rsid w:val="00717F4A"/>
    <w:rsid w:val="007208DB"/>
    <w:rsid w:val="007212A2"/>
    <w:rsid w:val="0072157A"/>
    <w:rsid w:val="007231BE"/>
    <w:rsid w:val="00723DEA"/>
    <w:rsid w:val="00725449"/>
    <w:rsid w:val="00727713"/>
    <w:rsid w:val="007365FD"/>
    <w:rsid w:val="0074008B"/>
    <w:rsid w:val="00745832"/>
    <w:rsid w:val="0074608F"/>
    <w:rsid w:val="00750473"/>
    <w:rsid w:val="00753782"/>
    <w:rsid w:val="00753952"/>
    <w:rsid w:val="00761950"/>
    <w:rsid w:val="00761F21"/>
    <w:rsid w:val="00762CB7"/>
    <w:rsid w:val="00762EDE"/>
    <w:rsid w:val="00765043"/>
    <w:rsid w:val="0076713C"/>
    <w:rsid w:val="007774EE"/>
    <w:rsid w:val="007825AA"/>
    <w:rsid w:val="007901BC"/>
    <w:rsid w:val="00792AF8"/>
    <w:rsid w:val="007943E3"/>
    <w:rsid w:val="00796C76"/>
    <w:rsid w:val="0079776C"/>
    <w:rsid w:val="007A57D2"/>
    <w:rsid w:val="007B1095"/>
    <w:rsid w:val="007B42E5"/>
    <w:rsid w:val="007B6451"/>
    <w:rsid w:val="007C1F63"/>
    <w:rsid w:val="007C2CD2"/>
    <w:rsid w:val="007C5D0F"/>
    <w:rsid w:val="007C5E30"/>
    <w:rsid w:val="007C63DE"/>
    <w:rsid w:val="007C72A8"/>
    <w:rsid w:val="007D0F50"/>
    <w:rsid w:val="007D178A"/>
    <w:rsid w:val="007D3786"/>
    <w:rsid w:val="007E2ACB"/>
    <w:rsid w:val="007E470C"/>
    <w:rsid w:val="007E6122"/>
    <w:rsid w:val="007F3729"/>
    <w:rsid w:val="007F554D"/>
    <w:rsid w:val="007F6865"/>
    <w:rsid w:val="007F703D"/>
    <w:rsid w:val="008006AA"/>
    <w:rsid w:val="00800F94"/>
    <w:rsid w:val="0080330A"/>
    <w:rsid w:val="00803613"/>
    <w:rsid w:val="00803D1B"/>
    <w:rsid w:val="008040A9"/>
    <w:rsid w:val="00806BB3"/>
    <w:rsid w:val="00812CE8"/>
    <w:rsid w:val="00815863"/>
    <w:rsid w:val="0081595F"/>
    <w:rsid w:val="00817903"/>
    <w:rsid w:val="00821CF3"/>
    <w:rsid w:val="0082203C"/>
    <w:rsid w:val="008324DF"/>
    <w:rsid w:val="00836421"/>
    <w:rsid w:val="0083690E"/>
    <w:rsid w:val="008452BA"/>
    <w:rsid w:val="0084693E"/>
    <w:rsid w:val="00847155"/>
    <w:rsid w:val="00847FE7"/>
    <w:rsid w:val="00851DF3"/>
    <w:rsid w:val="00852AD2"/>
    <w:rsid w:val="00862B02"/>
    <w:rsid w:val="0087314C"/>
    <w:rsid w:val="00877218"/>
    <w:rsid w:val="00880C30"/>
    <w:rsid w:val="00885C86"/>
    <w:rsid w:val="00890219"/>
    <w:rsid w:val="008904E9"/>
    <w:rsid w:val="00891A45"/>
    <w:rsid w:val="008925D2"/>
    <w:rsid w:val="00893EBD"/>
    <w:rsid w:val="00893FA5"/>
    <w:rsid w:val="00894CC8"/>
    <w:rsid w:val="008A35F0"/>
    <w:rsid w:val="008A3A67"/>
    <w:rsid w:val="008A5831"/>
    <w:rsid w:val="008A6AD4"/>
    <w:rsid w:val="008B31EF"/>
    <w:rsid w:val="008B4DD6"/>
    <w:rsid w:val="008B5357"/>
    <w:rsid w:val="008B6CDC"/>
    <w:rsid w:val="008C0809"/>
    <w:rsid w:val="008C21A4"/>
    <w:rsid w:val="008D15E7"/>
    <w:rsid w:val="008D5294"/>
    <w:rsid w:val="008E4CB6"/>
    <w:rsid w:val="008E6EDC"/>
    <w:rsid w:val="008F0FF9"/>
    <w:rsid w:val="008F6F44"/>
    <w:rsid w:val="00902323"/>
    <w:rsid w:val="00903845"/>
    <w:rsid w:val="00907DC4"/>
    <w:rsid w:val="00912CB8"/>
    <w:rsid w:val="009140BD"/>
    <w:rsid w:val="00920C79"/>
    <w:rsid w:val="00923B24"/>
    <w:rsid w:val="00923F41"/>
    <w:rsid w:val="0092597B"/>
    <w:rsid w:val="00926238"/>
    <w:rsid w:val="00932477"/>
    <w:rsid w:val="00936A3E"/>
    <w:rsid w:val="0094049C"/>
    <w:rsid w:val="00940EB1"/>
    <w:rsid w:val="00946079"/>
    <w:rsid w:val="00946E87"/>
    <w:rsid w:val="00950A0A"/>
    <w:rsid w:val="00955A68"/>
    <w:rsid w:val="00956635"/>
    <w:rsid w:val="00956C36"/>
    <w:rsid w:val="00963785"/>
    <w:rsid w:val="00963F4C"/>
    <w:rsid w:val="00964E56"/>
    <w:rsid w:val="00967EED"/>
    <w:rsid w:val="00972425"/>
    <w:rsid w:val="0097516F"/>
    <w:rsid w:val="00986861"/>
    <w:rsid w:val="00986ABF"/>
    <w:rsid w:val="009876B0"/>
    <w:rsid w:val="0099110C"/>
    <w:rsid w:val="00996FDD"/>
    <w:rsid w:val="00997BC8"/>
    <w:rsid w:val="00997DED"/>
    <w:rsid w:val="009A7D59"/>
    <w:rsid w:val="009C0C98"/>
    <w:rsid w:val="009C48C6"/>
    <w:rsid w:val="009D231D"/>
    <w:rsid w:val="009D2DA7"/>
    <w:rsid w:val="009D779D"/>
    <w:rsid w:val="009E1E86"/>
    <w:rsid w:val="009E6F33"/>
    <w:rsid w:val="009F0065"/>
    <w:rsid w:val="009F42A7"/>
    <w:rsid w:val="009F600B"/>
    <w:rsid w:val="009F661B"/>
    <w:rsid w:val="00A01999"/>
    <w:rsid w:val="00A02367"/>
    <w:rsid w:val="00A10108"/>
    <w:rsid w:val="00A122D3"/>
    <w:rsid w:val="00A136DE"/>
    <w:rsid w:val="00A13F8B"/>
    <w:rsid w:val="00A14B21"/>
    <w:rsid w:val="00A200C6"/>
    <w:rsid w:val="00A21DA8"/>
    <w:rsid w:val="00A231B3"/>
    <w:rsid w:val="00A24FE9"/>
    <w:rsid w:val="00A27875"/>
    <w:rsid w:val="00A3000A"/>
    <w:rsid w:val="00A32D9C"/>
    <w:rsid w:val="00A3426B"/>
    <w:rsid w:val="00A34E75"/>
    <w:rsid w:val="00A36A52"/>
    <w:rsid w:val="00A45EFF"/>
    <w:rsid w:val="00A4748F"/>
    <w:rsid w:val="00A53AF3"/>
    <w:rsid w:val="00A56EE6"/>
    <w:rsid w:val="00A60F38"/>
    <w:rsid w:val="00A61A7E"/>
    <w:rsid w:val="00A62A91"/>
    <w:rsid w:val="00A74B48"/>
    <w:rsid w:val="00A7508A"/>
    <w:rsid w:val="00A84269"/>
    <w:rsid w:val="00A929AE"/>
    <w:rsid w:val="00A93847"/>
    <w:rsid w:val="00A9408F"/>
    <w:rsid w:val="00AA246E"/>
    <w:rsid w:val="00AA2914"/>
    <w:rsid w:val="00AA37CE"/>
    <w:rsid w:val="00AA385E"/>
    <w:rsid w:val="00AA43CB"/>
    <w:rsid w:val="00AA59B3"/>
    <w:rsid w:val="00AB0B2C"/>
    <w:rsid w:val="00AB0B9E"/>
    <w:rsid w:val="00AB2DD5"/>
    <w:rsid w:val="00AB5316"/>
    <w:rsid w:val="00AC4B2D"/>
    <w:rsid w:val="00AC5461"/>
    <w:rsid w:val="00AC5A65"/>
    <w:rsid w:val="00AD146E"/>
    <w:rsid w:val="00AD37E0"/>
    <w:rsid w:val="00AD3B60"/>
    <w:rsid w:val="00AF0188"/>
    <w:rsid w:val="00AF2833"/>
    <w:rsid w:val="00AF444D"/>
    <w:rsid w:val="00AF4C35"/>
    <w:rsid w:val="00AF67F3"/>
    <w:rsid w:val="00B010BE"/>
    <w:rsid w:val="00B0122A"/>
    <w:rsid w:val="00B01A9B"/>
    <w:rsid w:val="00B02B13"/>
    <w:rsid w:val="00B05C26"/>
    <w:rsid w:val="00B0780F"/>
    <w:rsid w:val="00B07CC4"/>
    <w:rsid w:val="00B13DC1"/>
    <w:rsid w:val="00B151EC"/>
    <w:rsid w:val="00B15D54"/>
    <w:rsid w:val="00B20C06"/>
    <w:rsid w:val="00B33C8C"/>
    <w:rsid w:val="00B37FD1"/>
    <w:rsid w:val="00B4125D"/>
    <w:rsid w:val="00B44BF8"/>
    <w:rsid w:val="00B46A66"/>
    <w:rsid w:val="00B50B0A"/>
    <w:rsid w:val="00B52B10"/>
    <w:rsid w:val="00B53FAA"/>
    <w:rsid w:val="00B56428"/>
    <w:rsid w:val="00B56B18"/>
    <w:rsid w:val="00B62B5E"/>
    <w:rsid w:val="00B7008E"/>
    <w:rsid w:val="00B71709"/>
    <w:rsid w:val="00B75ABE"/>
    <w:rsid w:val="00B77412"/>
    <w:rsid w:val="00B77B56"/>
    <w:rsid w:val="00B8402A"/>
    <w:rsid w:val="00B969E7"/>
    <w:rsid w:val="00B9770D"/>
    <w:rsid w:val="00B978AE"/>
    <w:rsid w:val="00BA3ED2"/>
    <w:rsid w:val="00BA4AB1"/>
    <w:rsid w:val="00BA72F8"/>
    <w:rsid w:val="00BB1D00"/>
    <w:rsid w:val="00BB2827"/>
    <w:rsid w:val="00BB2CC2"/>
    <w:rsid w:val="00BC1100"/>
    <w:rsid w:val="00BC3C48"/>
    <w:rsid w:val="00BC4227"/>
    <w:rsid w:val="00BC594C"/>
    <w:rsid w:val="00BC5E3F"/>
    <w:rsid w:val="00BC6EF2"/>
    <w:rsid w:val="00BD31EE"/>
    <w:rsid w:val="00BD46F0"/>
    <w:rsid w:val="00BD59C9"/>
    <w:rsid w:val="00BD6CA3"/>
    <w:rsid w:val="00BE0947"/>
    <w:rsid w:val="00BE2752"/>
    <w:rsid w:val="00BE35EB"/>
    <w:rsid w:val="00BE5DC5"/>
    <w:rsid w:val="00BE74BB"/>
    <w:rsid w:val="00BF0EF0"/>
    <w:rsid w:val="00C026C2"/>
    <w:rsid w:val="00C04CC3"/>
    <w:rsid w:val="00C06FF0"/>
    <w:rsid w:val="00C07318"/>
    <w:rsid w:val="00C07507"/>
    <w:rsid w:val="00C103B4"/>
    <w:rsid w:val="00C11A04"/>
    <w:rsid w:val="00C13C4E"/>
    <w:rsid w:val="00C2294D"/>
    <w:rsid w:val="00C24809"/>
    <w:rsid w:val="00C27996"/>
    <w:rsid w:val="00C27B50"/>
    <w:rsid w:val="00C30A61"/>
    <w:rsid w:val="00C33815"/>
    <w:rsid w:val="00C41536"/>
    <w:rsid w:val="00C420C8"/>
    <w:rsid w:val="00C42400"/>
    <w:rsid w:val="00C42666"/>
    <w:rsid w:val="00C4571B"/>
    <w:rsid w:val="00C463E2"/>
    <w:rsid w:val="00C47BF2"/>
    <w:rsid w:val="00C54408"/>
    <w:rsid w:val="00C61DBF"/>
    <w:rsid w:val="00C641BE"/>
    <w:rsid w:val="00C66578"/>
    <w:rsid w:val="00C677DC"/>
    <w:rsid w:val="00C72454"/>
    <w:rsid w:val="00C74DB6"/>
    <w:rsid w:val="00C75A5E"/>
    <w:rsid w:val="00C7674A"/>
    <w:rsid w:val="00C77848"/>
    <w:rsid w:val="00C810E3"/>
    <w:rsid w:val="00C86255"/>
    <w:rsid w:val="00C867D3"/>
    <w:rsid w:val="00C87DC3"/>
    <w:rsid w:val="00C918EF"/>
    <w:rsid w:val="00C91910"/>
    <w:rsid w:val="00CA1ED0"/>
    <w:rsid w:val="00CA67C4"/>
    <w:rsid w:val="00CB0EFC"/>
    <w:rsid w:val="00CB2A85"/>
    <w:rsid w:val="00CB39AE"/>
    <w:rsid w:val="00CB6ADA"/>
    <w:rsid w:val="00CC078C"/>
    <w:rsid w:val="00CC316C"/>
    <w:rsid w:val="00CC42BB"/>
    <w:rsid w:val="00CC4F1C"/>
    <w:rsid w:val="00CC5377"/>
    <w:rsid w:val="00CC6678"/>
    <w:rsid w:val="00CC76DA"/>
    <w:rsid w:val="00CD3359"/>
    <w:rsid w:val="00CD5FE8"/>
    <w:rsid w:val="00CD740D"/>
    <w:rsid w:val="00CE3AC3"/>
    <w:rsid w:val="00CE4119"/>
    <w:rsid w:val="00CF4CD4"/>
    <w:rsid w:val="00CF54C8"/>
    <w:rsid w:val="00CF5D0B"/>
    <w:rsid w:val="00CF6335"/>
    <w:rsid w:val="00D00CDE"/>
    <w:rsid w:val="00D0126C"/>
    <w:rsid w:val="00D016B5"/>
    <w:rsid w:val="00D03297"/>
    <w:rsid w:val="00D03DC5"/>
    <w:rsid w:val="00D04150"/>
    <w:rsid w:val="00D058D8"/>
    <w:rsid w:val="00D05B5A"/>
    <w:rsid w:val="00D05B5C"/>
    <w:rsid w:val="00D05CA3"/>
    <w:rsid w:val="00D100D7"/>
    <w:rsid w:val="00D168E0"/>
    <w:rsid w:val="00D1710D"/>
    <w:rsid w:val="00D215EE"/>
    <w:rsid w:val="00D223F9"/>
    <w:rsid w:val="00D25B69"/>
    <w:rsid w:val="00D267FB"/>
    <w:rsid w:val="00D26D1C"/>
    <w:rsid w:val="00D30A87"/>
    <w:rsid w:val="00D3122E"/>
    <w:rsid w:val="00D31662"/>
    <w:rsid w:val="00D34A2E"/>
    <w:rsid w:val="00D37F68"/>
    <w:rsid w:val="00D45117"/>
    <w:rsid w:val="00D50230"/>
    <w:rsid w:val="00D50322"/>
    <w:rsid w:val="00D5044D"/>
    <w:rsid w:val="00D51410"/>
    <w:rsid w:val="00D51FAC"/>
    <w:rsid w:val="00D56AE4"/>
    <w:rsid w:val="00D56D6A"/>
    <w:rsid w:val="00D577F9"/>
    <w:rsid w:val="00D60FD1"/>
    <w:rsid w:val="00D66637"/>
    <w:rsid w:val="00D74D63"/>
    <w:rsid w:val="00D750E0"/>
    <w:rsid w:val="00D75A30"/>
    <w:rsid w:val="00D76F7D"/>
    <w:rsid w:val="00D8243B"/>
    <w:rsid w:val="00D93CB2"/>
    <w:rsid w:val="00DA188C"/>
    <w:rsid w:val="00DA4D97"/>
    <w:rsid w:val="00DA660F"/>
    <w:rsid w:val="00DB0EB2"/>
    <w:rsid w:val="00DB14E2"/>
    <w:rsid w:val="00DB1AE8"/>
    <w:rsid w:val="00DB5065"/>
    <w:rsid w:val="00DB69A6"/>
    <w:rsid w:val="00DC453B"/>
    <w:rsid w:val="00DC6C44"/>
    <w:rsid w:val="00DD0FD7"/>
    <w:rsid w:val="00DD17F7"/>
    <w:rsid w:val="00DD28F0"/>
    <w:rsid w:val="00DD33A3"/>
    <w:rsid w:val="00DD359C"/>
    <w:rsid w:val="00DD6498"/>
    <w:rsid w:val="00DE0A87"/>
    <w:rsid w:val="00DE49F2"/>
    <w:rsid w:val="00DF7BC5"/>
    <w:rsid w:val="00E03060"/>
    <w:rsid w:val="00E03A58"/>
    <w:rsid w:val="00E06F29"/>
    <w:rsid w:val="00E07660"/>
    <w:rsid w:val="00E12AEA"/>
    <w:rsid w:val="00E14CE8"/>
    <w:rsid w:val="00E20E35"/>
    <w:rsid w:val="00E26997"/>
    <w:rsid w:val="00E32250"/>
    <w:rsid w:val="00E334DD"/>
    <w:rsid w:val="00E3569C"/>
    <w:rsid w:val="00E408B6"/>
    <w:rsid w:val="00E40BA3"/>
    <w:rsid w:val="00E40BB5"/>
    <w:rsid w:val="00E504AF"/>
    <w:rsid w:val="00E5079A"/>
    <w:rsid w:val="00E5599C"/>
    <w:rsid w:val="00E6041E"/>
    <w:rsid w:val="00E621C0"/>
    <w:rsid w:val="00E64810"/>
    <w:rsid w:val="00E64BF0"/>
    <w:rsid w:val="00E65A0F"/>
    <w:rsid w:val="00E70648"/>
    <w:rsid w:val="00E714D0"/>
    <w:rsid w:val="00E71781"/>
    <w:rsid w:val="00E73C54"/>
    <w:rsid w:val="00E74412"/>
    <w:rsid w:val="00E7505A"/>
    <w:rsid w:val="00E77BB2"/>
    <w:rsid w:val="00E77BB5"/>
    <w:rsid w:val="00E813BB"/>
    <w:rsid w:val="00E828E1"/>
    <w:rsid w:val="00E8382D"/>
    <w:rsid w:val="00E8395B"/>
    <w:rsid w:val="00E86A0A"/>
    <w:rsid w:val="00E939D6"/>
    <w:rsid w:val="00EA145C"/>
    <w:rsid w:val="00EB2CC8"/>
    <w:rsid w:val="00EB3E49"/>
    <w:rsid w:val="00EB5389"/>
    <w:rsid w:val="00EB5E00"/>
    <w:rsid w:val="00EC34CE"/>
    <w:rsid w:val="00EC381A"/>
    <w:rsid w:val="00EC3CC3"/>
    <w:rsid w:val="00ED4A0A"/>
    <w:rsid w:val="00ED642A"/>
    <w:rsid w:val="00EE122C"/>
    <w:rsid w:val="00EE1355"/>
    <w:rsid w:val="00EE2937"/>
    <w:rsid w:val="00EE781B"/>
    <w:rsid w:val="00EF188B"/>
    <w:rsid w:val="00EF6D2F"/>
    <w:rsid w:val="00EF741F"/>
    <w:rsid w:val="00EF7918"/>
    <w:rsid w:val="00F042E0"/>
    <w:rsid w:val="00F054D7"/>
    <w:rsid w:val="00F06A7A"/>
    <w:rsid w:val="00F07ACD"/>
    <w:rsid w:val="00F130AB"/>
    <w:rsid w:val="00F15E98"/>
    <w:rsid w:val="00F17A86"/>
    <w:rsid w:val="00F22316"/>
    <w:rsid w:val="00F224D4"/>
    <w:rsid w:val="00F2263A"/>
    <w:rsid w:val="00F25554"/>
    <w:rsid w:val="00F278C2"/>
    <w:rsid w:val="00F300AA"/>
    <w:rsid w:val="00F333F9"/>
    <w:rsid w:val="00F351DA"/>
    <w:rsid w:val="00F3550D"/>
    <w:rsid w:val="00F4006C"/>
    <w:rsid w:val="00F42D06"/>
    <w:rsid w:val="00F43AA6"/>
    <w:rsid w:val="00F43C07"/>
    <w:rsid w:val="00F45C1A"/>
    <w:rsid w:val="00F477D6"/>
    <w:rsid w:val="00F52794"/>
    <w:rsid w:val="00F602D2"/>
    <w:rsid w:val="00F62BF9"/>
    <w:rsid w:val="00F676E2"/>
    <w:rsid w:val="00F745D5"/>
    <w:rsid w:val="00F750A3"/>
    <w:rsid w:val="00F76BF0"/>
    <w:rsid w:val="00F84B75"/>
    <w:rsid w:val="00F8652B"/>
    <w:rsid w:val="00F86933"/>
    <w:rsid w:val="00F91C69"/>
    <w:rsid w:val="00F91E85"/>
    <w:rsid w:val="00F92913"/>
    <w:rsid w:val="00F95C6C"/>
    <w:rsid w:val="00FA2E34"/>
    <w:rsid w:val="00FA4023"/>
    <w:rsid w:val="00FA5F78"/>
    <w:rsid w:val="00FA777D"/>
    <w:rsid w:val="00FB1270"/>
    <w:rsid w:val="00FB1D7B"/>
    <w:rsid w:val="00FB3820"/>
    <w:rsid w:val="00FB7EB2"/>
    <w:rsid w:val="00FC5606"/>
    <w:rsid w:val="00FC6AB1"/>
    <w:rsid w:val="00FC7557"/>
    <w:rsid w:val="00FD2941"/>
    <w:rsid w:val="00FD5B0C"/>
    <w:rsid w:val="00FE1752"/>
    <w:rsid w:val="00FE1916"/>
    <w:rsid w:val="00FE1DE3"/>
    <w:rsid w:val="00FE224D"/>
    <w:rsid w:val="00FE385A"/>
    <w:rsid w:val="00FE792C"/>
    <w:rsid w:val="00FE7D95"/>
    <w:rsid w:val="00FF234B"/>
    <w:rsid w:val="00FF243F"/>
    <w:rsid w:val="00FF3CD2"/>
    <w:rsid w:val="00FF5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FB368"/>
  <w15:chartTrackingRefBased/>
  <w15:docId w15:val="{5DD447D4-6238-45FE-B00C-91F0C48D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47"/>
  </w:style>
  <w:style w:type="paragraph" w:styleId="Heading1">
    <w:name w:val="heading 1"/>
    <w:basedOn w:val="Normal"/>
    <w:next w:val="Normal"/>
    <w:link w:val="Heading1Char"/>
    <w:uiPriority w:val="9"/>
    <w:qFormat/>
    <w:rsid w:val="00BE0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0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0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947"/>
    <w:rPr>
      <w:rFonts w:eastAsiaTheme="majorEastAsia" w:cstheme="majorBidi"/>
      <w:color w:val="272727" w:themeColor="text1" w:themeTint="D8"/>
    </w:rPr>
  </w:style>
  <w:style w:type="paragraph" w:styleId="Title">
    <w:name w:val="Title"/>
    <w:basedOn w:val="Normal"/>
    <w:next w:val="Normal"/>
    <w:link w:val="TitleChar"/>
    <w:uiPriority w:val="10"/>
    <w:qFormat/>
    <w:rsid w:val="00BE0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947"/>
    <w:pPr>
      <w:spacing w:before="160"/>
      <w:jc w:val="center"/>
    </w:pPr>
    <w:rPr>
      <w:i/>
      <w:iCs/>
      <w:color w:val="404040" w:themeColor="text1" w:themeTint="BF"/>
    </w:rPr>
  </w:style>
  <w:style w:type="character" w:customStyle="1" w:styleId="QuoteChar">
    <w:name w:val="Quote Char"/>
    <w:basedOn w:val="DefaultParagraphFont"/>
    <w:link w:val="Quote"/>
    <w:uiPriority w:val="29"/>
    <w:rsid w:val="00BE0947"/>
    <w:rPr>
      <w:i/>
      <w:iCs/>
      <w:color w:val="404040" w:themeColor="text1" w:themeTint="BF"/>
    </w:rPr>
  </w:style>
  <w:style w:type="paragraph" w:styleId="ListParagraph">
    <w:name w:val="List Paragraph"/>
    <w:basedOn w:val="Normal"/>
    <w:uiPriority w:val="34"/>
    <w:qFormat/>
    <w:rsid w:val="00BE0947"/>
    <w:pPr>
      <w:ind w:left="720"/>
      <w:contextualSpacing/>
    </w:pPr>
  </w:style>
  <w:style w:type="character" w:styleId="IntenseEmphasis">
    <w:name w:val="Intense Emphasis"/>
    <w:basedOn w:val="DefaultParagraphFont"/>
    <w:uiPriority w:val="21"/>
    <w:qFormat/>
    <w:rsid w:val="00BE0947"/>
    <w:rPr>
      <w:i/>
      <w:iCs/>
      <w:color w:val="0F4761" w:themeColor="accent1" w:themeShade="BF"/>
    </w:rPr>
  </w:style>
  <w:style w:type="paragraph" w:styleId="IntenseQuote">
    <w:name w:val="Intense Quote"/>
    <w:basedOn w:val="Normal"/>
    <w:next w:val="Normal"/>
    <w:link w:val="IntenseQuoteChar"/>
    <w:uiPriority w:val="30"/>
    <w:qFormat/>
    <w:rsid w:val="00BE0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947"/>
    <w:rPr>
      <w:i/>
      <w:iCs/>
      <w:color w:val="0F4761" w:themeColor="accent1" w:themeShade="BF"/>
    </w:rPr>
  </w:style>
  <w:style w:type="character" w:styleId="IntenseReference">
    <w:name w:val="Intense Reference"/>
    <w:basedOn w:val="DefaultParagraphFont"/>
    <w:uiPriority w:val="32"/>
    <w:qFormat/>
    <w:rsid w:val="00BE0947"/>
    <w:rPr>
      <w:b/>
      <w:bCs/>
      <w:smallCaps/>
      <w:color w:val="0F4761" w:themeColor="accent1" w:themeShade="BF"/>
      <w:spacing w:val="5"/>
    </w:rPr>
  </w:style>
  <w:style w:type="paragraph" w:styleId="Caption">
    <w:name w:val="caption"/>
    <w:basedOn w:val="Normal"/>
    <w:next w:val="Normal"/>
    <w:uiPriority w:val="35"/>
    <w:unhideWhenUsed/>
    <w:qFormat/>
    <w:rsid w:val="00BE0947"/>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sid w:val="00BE0947"/>
    <w:rPr>
      <w:sz w:val="16"/>
      <w:szCs w:val="16"/>
    </w:rPr>
  </w:style>
  <w:style w:type="paragraph" w:styleId="CommentText">
    <w:name w:val="annotation text"/>
    <w:basedOn w:val="Normal"/>
    <w:link w:val="CommentTextChar"/>
    <w:uiPriority w:val="99"/>
    <w:unhideWhenUsed/>
    <w:rsid w:val="00BE0947"/>
    <w:pPr>
      <w:spacing w:line="240" w:lineRule="auto"/>
    </w:pPr>
    <w:rPr>
      <w:sz w:val="20"/>
      <w:szCs w:val="20"/>
    </w:rPr>
  </w:style>
  <w:style w:type="character" w:customStyle="1" w:styleId="CommentTextChar">
    <w:name w:val="Comment Text Char"/>
    <w:basedOn w:val="DefaultParagraphFont"/>
    <w:link w:val="CommentText"/>
    <w:uiPriority w:val="99"/>
    <w:rsid w:val="00BE0947"/>
    <w:rPr>
      <w:sz w:val="20"/>
      <w:szCs w:val="20"/>
    </w:rPr>
  </w:style>
  <w:style w:type="character" w:styleId="Hyperlink">
    <w:name w:val="Hyperlink"/>
    <w:basedOn w:val="DefaultParagraphFont"/>
    <w:uiPriority w:val="99"/>
    <w:unhideWhenUsed/>
    <w:rsid w:val="00BE0947"/>
    <w:rPr>
      <w:color w:val="467886" w:themeColor="hyperlink"/>
      <w:u w:val="single"/>
    </w:rPr>
  </w:style>
  <w:style w:type="paragraph" w:styleId="NormalWeb">
    <w:name w:val="Normal (Web)"/>
    <w:basedOn w:val="Normal"/>
    <w:uiPriority w:val="99"/>
    <w:semiHidden/>
    <w:unhideWhenUsed/>
    <w:rsid w:val="00BE0947"/>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CommentSubject">
    <w:name w:val="annotation subject"/>
    <w:basedOn w:val="CommentText"/>
    <w:next w:val="CommentText"/>
    <w:link w:val="CommentSubjectChar"/>
    <w:uiPriority w:val="99"/>
    <w:semiHidden/>
    <w:unhideWhenUsed/>
    <w:rsid w:val="00123B12"/>
    <w:rPr>
      <w:b/>
      <w:bCs/>
    </w:rPr>
  </w:style>
  <w:style w:type="character" w:customStyle="1" w:styleId="CommentSubjectChar">
    <w:name w:val="Comment Subject Char"/>
    <w:basedOn w:val="CommentTextChar"/>
    <w:link w:val="CommentSubject"/>
    <w:uiPriority w:val="99"/>
    <w:semiHidden/>
    <w:rsid w:val="00123B12"/>
    <w:rPr>
      <w:b/>
      <w:bCs/>
      <w:sz w:val="20"/>
      <w:szCs w:val="20"/>
    </w:rPr>
  </w:style>
  <w:style w:type="paragraph" w:styleId="Header">
    <w:name w:val="header"/>
    <w:basedOn w:val="Normal"/>
    <w:link w:val="HeaderChar"/>
    <w:uiPriority w:val="99"/>
    <w:unhideWhenUsed/>
    <w:rsid w:val="00012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BBA"/>
  </w:style>
  <w:style w:type="paragraph" w:styleId="Footer">
    <w:name w:val="footer"/>
    <w:basedOn w:val="Normal"/>
    <w:link w:val="FooterChar"/>
    <w:uiPriority w:val="99"/>
    <w:unhideWhenUsed/>
    <w:rsid w:val="00012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BBA"/>
  </w:style>
  <w:style w:type="character" w:styleId="LineNumber">
    <w:name w:val="line number"/>
    <w:basedOn w:val="DefaultParagraphFont"/>
    <w:uiPriority w:val="99"/>
    <w:semiHidden/>
    <w:unhideWhenUsed/>
    <w:rsid w:val="00012BBA"/>
  </w:style>
  <w:style w:type="paragraph" w:customStyle="1" w:styleId="Default">
    <w:name w:val="Default"/>
    <w:rsid w:val="00527542"/>
    <w:pPr>
      <w:autoSpaceDE w:val="0"/>
      <w:autoSpaceDN w:val="0"/>
      <w:adjustRightInd w:val="0"/>
      <w:spacing w:after="0" w:line="240" w:lineRule="auto"/>
    </w:pPr>
    <w:rPr>
      <w:rFonts w:ascii="Mercury Text G 1" w:hAnsi="Mercury Text G 1" w:cs="Mercury Text G 1"/>
      <w:color w:val="000000"/>
      <w:kern w:val="0"/>
      <w:sz w:val="24"/>
      <w:szCs w:val="24"/>
    </w:rPr>
  </w:style>
  <w:style w:type="character" w:styleId="UnresolvedMention">
    <w:name w:val="Unresolved Mention"/>
    <w:basedOn w:val="DefaultParagraphFont"/>
    <w:uiPriority w:val="99"/>
    <w:semiHidden/>
    <w:unhideWhenUsed/>
    <w:rsid w:val="00662BB0"/>
    <w:rPr>
      <w:color w:val="605E5C"/>
      <w:shd w:val="clear" w:color="auto" w:fill="E1DFDD"/>
    </w:rPr>
  </w:style>
  <w:style w:type="table" w:styleId="TableGrid">
    <w:name w:val="Table Grid"/>
    <w:basedOn w:val="TableNormal"/>
    <w:uiPriority w:val="39"/>
    <w:rsid w:val="00F3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B37FD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B37FD1"/>
    <w:rPr>
      <w:rFonts w:ascii="Segoe UI" w:hAnsi="Segoe UI" w:cs="Segoe UI" w:hint="default"/>
      <w:sz w:val="18"/>
      <w:szCs w:val="18"/>
    </w:rPr>
  </w:style>
  <w:style w:type="paragraph" w:styleId="Revision">
    <w:name w:val="Revision"/>
    <w:hidden/>
    <w:uiPriority w:val="99"/>
    <w:semiHidden/>
    <w:rsid w:val="00616F66"/>
    <w:pPr>
      <w:spacing w:after="0" w:line="240" w:lineRule="auto"/>
    </w:pPr>
  </w:style>
  <w:style w:type="character" w:customStyle="1" w:styleId="cf11">
    <w:name w:val="cf11"/>
    <w:basedOn w:val="DefaultParagraphFont"/>
    <w:rsid w:val="00356AF9"/>
    <w:rPr>
      <w:rFonts w:ascii="Segoe UI" w:hAnsi="Segoe UI" w:cs="Segoe UI" w:hint="default"/>
      <w:color w:val="2121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059">
      <w:bodyDiv w:val="1"/>
      <w:marLeft w:val="0"/>
      <w:marRight w:val="0"/>
      <w:marTop w:val="0"/>
      <w:marBottom w:val="0"/>
      <w:divBdr>
        <w:top w:val="none" w:sz="0" w:space="0" w:color="auto"/>
        <w:left w:val="none" w:sz="0" w:space="0" w:color="auto"/>
        <w:bottom w:val="none" w:sz="0" w:space="0" w:color="auto"/>
        <w:right w:val="none" w:sz="0" w:space="0" w:color="auto"/>
      </w:divBdr>
    </w:div>
    <w:div w:id="155270111">
      <w:bodyDiv w:val="1"/>
      <w:marLeft w:val="0"/>
      <w:marRight w:val="0"/>
      <w:marTop w:val="0"/>
      <w:marBottom w:val="0"/>
      <w:divBdr>
        <w:top w:val="none" w:sz="0" w:space="0" w:color="auto"/>
        <w:left w:val="none" w:sz="0" w:space="0" w:color="auto"/>
        <w:bottom w:val="none" w:sz="0" w:space="0" w:color="auto"/>
        <w:right w:val="none" w:sz="0" w:space="0" w:color="auto"/>
      </w:divBdr>
    </w:div>
    <w:div w:id="193076394">
      <w:bodyDiv w:val="1"/>
      <w:marLeft w:val="0"/>
      <w:marRight w:val="0"/>
      <w:marTop w:val="0"/>
      <w:marBottom w:val="0"/>
      <w:divBdr>
        <w:top w:val="none" w:sz="0" w:space="0" w:color="auto"/>
        <w:left w:val="none" w:sz="0" w:space="0" w:color="auto"/>
        <w:bottom w:val="none" w:sz="0" w:space="0" w:color="auto"/>
        <w:right w:val="none" w:sz="0" w:space="0" w:color="auto"/>
      </w:divBdr>
    </w:div>
    <w:div w:id="910388808">
      <w:bodyDiv w:val="1"/>
      <w:marLeft w:val="0"/>
      <w:marRight w:val="0"/>
      <w:marTop w:val="0"/>
      <w:marBottom w:val="0"/>
      <w:divBdr>
        <w:top w:val="none" w:sz="0" w:space="0" w:color="auto"/>
        <w:left w:val="none" w:sz="0" w:space="0" w:color="auto"/>
        <w:bottom w:val="none" w:sz="0" w:space="0" w:color="auto"/>
        <w:right w:val="none" w:sz="0" w:space="0" w:color="auto"/>
      </w:divBdr>
    </w:div>
    <w:div w:id="919797855">
      <w:bodyDiv w:val="1"/>
      <w:marLeft w:val="0"/>
      <w:marRight w:val="0"/>
      <w:marTop w:val="0"/>
      <w:marBottom w:val="0"/>
      <w:divBdr>
        <w:top w:val="none" w:sz="0" w:space="0" w:color="auto"/>
        <w:left w:val="none" w:sz="0" w:space="0" w:color="auto"/>
        <w:bottom w:val="none" w:sz="0" w:space="0" w:color="auto"/>
        <w:right w:val="none" w:sz="0" w:space="0" w:color="auto"/>
      </w:divBdr>
    </w:div>
    <w:div w:id="1232542070">
      <w:bodyDiv w:val="1"/>
      <w:marLeft w:val="0"/>
      <w:marRight w:val="0"/>
      <w:marTop w:val="0"/>
      <w:marBottom w:val="0"/>
      <w:divBdr>
        <w:top w:val="none" w:sz="0" w:space="0" w:color="auto"/>
        <w:left w:val="none" w:sz="0" w:space="0" w:color="auto"/>
        <w:bottom w:val="none" w:sz="0" w:space="0" w:color="auto"/>
        <w:right w:val="none" w:sz="0" w:space="0" w:color="auto"/>
      </w:divBdr>
    </w:div>
    <w:div w:id="1587378209">
      <w:bodyDiv w:val="1"/>
      <w:marLeft w:val="0"/>
      <w:marRight w:val="0"/>
      <w:marTop w:val="0"/>
      <w:marBottom w:val="0"/>
      <w:divBdr>
        <w:top w:val="none" w:sz="0" w:space="0" w:color="auto"/>
        <w:left w:val="none" w:sz="0" w:space="0" w:color="auto"/>
        <w:bottom w:val="none" w:sz="0" w:space="0" w:color="auto"/>
        <w:right w:val="none" w:sz="0" w:space="0" w:color="auto"/>
      </w:divBdr>
    </w:div>
    <w:div w:id="1773744949">
      <w:bodyDiv w:val="1"/>
      <w:marLeft w:val="0"/>
      <w:marRight w:val="0"/>
      <w:marTop w:val="0"/>
      <w:marBottom w:val="0"/>
      <w:divBdr>
        <w:top w:val="none" w:sz="0" w:space="0" w:color="auto"/>
        <w:left w:val="none" w:sz="0" w:space="0" w:color="auto"/>
        <w:bottom w:val="none" w:sz="0" w:space="0" w:color="auto"/>
        <w:right w:val="none" w:sz="0" w:space="0" w:color="auto"/>
      </w:divBdr>
    </w:div>
    <w:div w:id="200894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d.who.int/browse10/2019/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rian.heald@nca.nhs.uk" TargetMode="External"/><Relationship Id="rId12" Type="http://schemas.openxmlformats.org/officeDocument/2006/relationships/hyperlink" Target="https://www.legislation.gov.uk/ukpga/1983/20/cont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oqol.org/information-and-support/euroqol-instruments/eq-5d-5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ce.org.uk/guidance/ta875" TargetMode="External"/><Relationship Id="rId4" Type="http://schemas.openxmlformats.org/officeDocument/2006/relationships/webSettings" Target="webSettings.xml"/><Relationship Id="rId9" Type="http://schemas.openxmlformats.org/officeDocument/2006/relationships/hyperlink" Target="https://www.legislation.gov.uk/ukpga/1983/20/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4468</Words>
  <Characters>25468</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Matheou</dc:creator>
  <cp:keywords/>
  <dc:description/>
  <cp:lastModifiedBy>Adrian Heald</cp:lastModifiedBy>
  <cp:revision>2</cp:revision>
  <dcterms:created xsi:type="dcterms:W3CDTF">2025-05-18T18:36:00Z</dcterms:created>
  <dcterms:modified xsi:type="dcterms:W3CDTF">2025-05-18T18:36:00Z</dcterms:modified>
</cp:coreProperties>
</file>