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4757" w:rsidRDefault="007661A5">
      <w:pPr>
        <w:spacing w:after="240"/>
        <w:jc w:val="center"/>
        <w:rPr>
          <w:b/>
          <w:sz w:val="28"/>
          <w:szCs w:val="28"/>
        </w:rPr>
      </w:pPr>
      <w:r>
        <w:rPr>
          <w:b/>
          <w:sz w:val="28"/>
          <w:szCs w:val="28"/>
        </w:rPr>
        <w:t>ICT Knowledge Absorptive Capacity</w:t>
      </w:r>
    </w:p>
    <w:p w14:paraId="00000002" w14:textId="77777777" w:rsidR="00E84757" w:rsidRDefault="007661A5">
      <w:pPr>
        <w:spacing w:before="240" w:after="240"/>
        <w:jc w:val="center"/>
        <w:rPr>
          <w:sz w:val="28"/>
          <w:szCs w:val="28"/>
        </w:rPr>
      </w:pPr>
      <w:r>
        <w:rPr>
          <w:sz w:val="28"/>
          <w:szCs w:val="28"/>
        </w:rPr>
        <w:t xml:space="preserve">A critical factor for </w:t>
      </w:r>
      <w:proofErr w:type="gramStart"/>
      <w:r>
        <w:rPr>
          <w:sz w:val="28"/>
          <w:szCs w:val="28"/>
        </w:rPr>
        <w:t>technology</w:t>
      </w:r>
      <w:proofErr w:type="gramEnd"/>
      <w:r>
        <w:rPr>
          <w:sz w:val="28"/>
          <w:szCs w:val="28"/>
        </w:rPr>
        <w:t xml:space="preserve"> integration in schools</w:t>
      </w:r>
      <w:r>
        <w:rPr>
          <w:b/>
        </w:rPr>
        <w:t xml:space="preserve"> </w:t>
      </w:r>
    </w:p>
    <w:p w14:paraId="00000003" w14:textId="77777777" w:rsidR="00E84757" w:rsidRDefault="00E84757">
      <w:pPr>
        <w:jc w:val="center"/>
        <w:rPr>
          <w:sz w:val="28"/>
          <w:szCs w:val="28"/>
        </w:rPr>
      </w:pPr>
    </w:p>
    <w:p w14:paraId="00000004" w14:textId="77777777" w:rsidR="00E84757" w:rsidRDefault="007661A5">
      <w:pPr>
        <w:jc w:val="center"/>
        <w:rPr>
          <w:b/>
          <w:sz w:val="28"/>
          <w:szCs w:val="28"/>
        </w:rPr>
      </w:pPr>
      <w:r>
        <w:rPr>
          <w:b/>
          <w:sz w:val="28"/>
          <w:szCs w:val="28"/>
        </w:rPr>
        <w:t>Practitioner Notes</w:t>
      </w:r>
    </w:p>
    <w:p w14:paraId="00000005" w14:textId="77777777" w:rsidR="00E84757" w:rsidRDefault="007661A5">
      <w:pPr>
        <w:spacing w:before="280" w:after="280" w:line="240" w:lineRule="auto"/>
      </w:pPr>
      <w:r>
        <w:rPr>
          <w:rFonts w:ascii="Times New Roman" w:eastAsia="Times New Roman" w:hAnsi="Times New Roman" w:cs="Times New Roman"/>
          <w:sz w:val="24"/>
          <w:szCs w:val="24"/>
        </w:rPr>
        <w:br/>
      </w:r>
      <w:r>
        <w:t>What is already known about this topic:</w:t>
      </w:r>
    </w:p>
    <w:p w14:paraId="00000006" w14:textId="77777777" w:rsidR="00E84757" w:rsidRDefault="007661A5">
      <w:pPr>
        <w:numPr>
          <w:ilvl w:val="0"/>
          <w:numId w:val="2"/>
        </w:numPr>
        <w:pBdr>
          <w:top w:val="nil"/>
          <w:left w:val="nil"/>
          <w:bottom w:val="nil"/>
          <w:right w:val="nil"/>
          <w:between w:val="nil"/>
        </w:pBdr>
        <w:spacing w:before="280" w:line="240" w:lineRule="auto"/>
      </w:pPr>
      <w:r>
        <w:t>For schools, technology integration is considered an important educational innovation.</w:t>
      </w:r>
    </w:p>
    <w:p w14:paraId="00000007" w14:textId="77777777" w:rsidR="00E84757" w:rsidRDefault="007661A5">
      <w:pPr>
        <w:numPr>
          <w:ilvl w:val="0"/>
          <w:numId w:val="2"/>
        </w:numPr>
        <w:pBdr>
          <w:top w:val="nil"/>
          <w:left w:val="nil"/>
          <w:bottom w:val="nil"/>
          <w:right w:val="nil"/>
          <w:between w:val="nil"/>
        </w:pBdr>
        <w:spacing w:line="240" w:lineRule="auto"/>
      </w:pPr>
      <w:r>
        <w:t xml:space="preserve">Acquiring, creating, and sharing knowledge are essentials for </w:t>
      </w:r>
      <w:proofErr w:type="gramStart"/>
      <w:r>
        <w:t>an efficient</w:t>
      </w:r>
      <w:proofErr w:type="gramEnd"/>
      <w:r>
        <w:t xml:space="preserve"> technology integration.</w:t>
      </w:r>
    </w:p>
    <w:p w14:paraId="00000008" w14:textId="77777777" w:rsidR="00E84757" w:rsidRDefault="007661A5">
      <w:pPr>
        <w:numPr>
          <w:ilvl w:val="0"/>
          <w:numId w:val="2"/>
        </w:numPr>
        <w:pBdr>
          <w:top w:val="nil"/>
          <w:left w:val="nil"/>
          <w:bottom w:val="nil"/>
          <w:right w:val="nil"/>
          <w:between w:val="nil"/>
        </w:pBdr>
        <w:spacing w:after="280" w:line="240" w:lineRule="auto"/>
      </w:pPr>
      <w:r>
        <w:t>Knowledge Absorptive Capacity (ACAP) is a critical factor in the acquisition of knowledge.</w:t>
      </w:r>
    </w:p>
    <w:p w14:paraId="00000009" w14:textId="77777777" w:rsidR="00E84757" w:rsidRDefault="007661A5">
      <w:pPr>
        <w:spacing w:before="280" w:after="280" w:line="240" w:lineRule="auto"/>
      </w:pPr>
      <w:r>
        <w:br/>
        <w:t>What this paper adds:</w:t>
      </w:r>
    </w:p>
    <w:p w14:paraId="0000000A" w14:textId="77777777" w:rsidR="00E84757" w:rsidRDefault="007661A5">
      <w:pPr>
        <w:numPr>
          <w:ilvl w:val="0"/>
          <w:numId w:val="3"/>
        </w:numPr>
        <w:pBdr>
          <w:top w:val="nil"/>
          <w:left w:val="nil"/>
          <w:bottom w:val="nil"/>
          <w:right w:val="nil"/>
          <w:between w:val="nil"/>
        </w:pBdr>
        <w:spacing w:before="280" w:line="240" w:lineRule="auto"/>
      </w:pPr>
      <w:bookmarkStart w:id="0" w:name="_heading=h.gjdgxs" w:colFirst="0" w:colLast="0"/>
      <w:bookmarkEnd w:id="0"/>
      <w:r>
        <w:t>Higher information and communication technology (ICT) ACAP is associated with increased technology integration.</w:t>
      </w:r>
    </w:p>
    <w:p w14:paraId="0000000B" w14:textId="77777777" w:rsidR="00E84757" w:rsidRDefault="007661A5">
      <w:pPr>
        <w:numPr>
          <w:ilvl w:val="0"/>
          <w:numId w:val="3"/>
        </w:numPr>
        <w:pBdr>
          <w:top w:val="nil"/>
          <w:left w:val="nil"/>
          <w:bottom w:val="nil"/>
          <w:right w:val="nil"/>
          <w:between w:val="nil"/>
        </w:pBdr>
        <w:spacing w:line="240" w:lineRule="auto"/>
      </w:pPr>
      <w:r>
        <w:t>ICT ACAP mediates between the depth of external knowledge and technology integration.</w:t>
      </w:r>
    </w:p>
    <w:p w14:paraId="0000000C" w14:textId="77777777" w:rsidR="00E84757" w:rsidRDefault="007661A5">
      <w:pPr>
        <w:numPr>
          <w:ilvl w:val="0"/>
          <w:numId w:val="3"/>
        </w:numPr>
        <w:pBdr>
          <w:top w:val="nil"/>
          <w:left w:val="nil"/>
          <w:bottom w:val="nil"/>
          <w:right w:val="nil"/>
          <w:between w:val="nil"/>
        </w:pBdr>
        <w:spacing w:after="280" w:line="240" w:lineRule="auto"/>
      </w:pPr>
      <w:r>
        <w:t xml:space="preserve">The efficacy of ACAP is contingent upon </w:t>
      </w:r>
      <w:proofErr w:type="gramStart"/>
      <w:r>
        <w:t>a number of</w:t>
      </w:r>
      <w:proofErr w:type="gramEnd"/>
      <w:r>
        <w:t xml:space="preserve"> contextual variables, in particular, knowledge sharing in schools and </w:t>
      </w:r>
      <w:proofErr w:type="gramStart"/>
      <w:r>
        <w:t>coopetition</w:t>
      </w:r>
      <w:proofErr w:type="gramEnd"/>
      <w:r>
        <w:t>.</w:t>
      </w:r>
    </w:p>
    <w:p w14:paraId="0000000D" w14:textId="77777777" w:rsidR="00E84757" w:rsidRDefault="00E84757">
      <w:pPr>
        <w:spacing w:before="280" w:after="280" w:line="240" w:lineRule="auto"/>
        <w:ind w:left="360"/>
      </w:pPr>
    </w:p>
    <w:p w14:paraId="0000000E" w14:textId="77777777" w:rsidR="00E84757" w:rsidRDefault="007661A5">
      <w:pPr>
        <w:spacing w:before="280" w:after="280" w:line="240" w:lineRule="auto"/>
      </w:pPr>
      <w:r>
        <w:t> Implications for practice and/or policy:</w:t>
      </w:r>
    </w:p>
    <w:p w14:paraId="0000000F" w14:textId="77777777" w:rsidR="00E84757" w:rsidRDefault="007661A5">
      <w:pPr>
        <w:numPr>
          <w:ilvl w:val="0"/>
          <w:numId w:val="4"/>
        </w:numPr>
        <w:pBdr>
          <w:top w:val="nil"/>
          <w:left w:val="nil"/>
          <w:bottom w:val="nil"/>
          <w:right w:val="nil"/>
          <w:between w:val="nil"/>
        </w:pBdr>
        <w:spacing w:before="280" w:line="240" w:lineRule="auto"/>
      </w:pPr>
      <w:r>
        <w:t>Schools need to identify, integrate and exploit relevant ICT knowledge to integrate technology successfully.</w:t>
      </w:r>
    </w:p>
    <w:p w14:paraId="00000010" w14:textId="77777777" w:rsidR="00E84757" w:rsidRDefault="007661A5">
      <w:pPr>
        <w:numPr>
          <w:ilvl w:val="0"/>
          <w:numId w:val="4"/>
        </w:numPr>
        <w:pBdr>
          <w:top w:val="nil"/>
          <w:left w:val="nil"/>
          <w:bottom w:val="nil"/>
          <w:right w:val="nil"/>
          <w:between w:val="nil"/>
        </w:pBdr>
        <w:spacing w:line="240" w:lineRule="auto"/>
      </w:pPr>
      <w:r>
        <w:t>Schools must develop systematic knowledge management systems to ensure that newly acquired knowledge is used reasonably.</w:t>
      </w:r>
    </w:p>
    <w:p w14:paraId="00000011" w14:textId="77777777" w:rsidR="00E84757" w:rsidRDefault="007661A5">
      <w:pPr>
        <w:numPr>
          <w:ilvl w:val="0"/>
          <w:numId w:val="4"/>
        </w:numPr>
        <w:pBdr>
          <w:top w:val="nil"/>
          <w:left w:val="nil"/>
          <w:bottom w:val="nil"/>
          <w:right w:val="nil"/>
          <w:between w:val="nil"/>
        </w:pBdr>
        <w:spacing w:after="280" w:line="240" w:lineRule="auto"/>
      </w:pPr>
      <w:r>
        <w:t xml:space="preserve">Schools must collaborate, even if they compete, to succeed in </w:t>
      </w:r>
      <w:proofErr w:type="gramStart"/>
      <w:r>
        <w:t>technology</w:t>
      </w:r>
      <w:proofErr w:type="gramEnd"/>
      <w:r>
        <w:t xml:space="preserve"> integration.</w:t>
      </w:r>
    </w:p>
    <w:p w14:paraId="00000012" w14:textId="77777777" w:rsidR="00E84757" w:rsidRDefault="00E84757">
      <w:pPr>
        <w:rPr>
          <w:b/>
          <w:sz w:val="28"/>
          <w:szCs w:val="28"/>
        </w:rPr>
      </w:pPr>
    </w:p>
    <w:p w14:paraId="00000013" w14:textId="77777777" w:rsidR="00E84757" w:rsidRDefault="00E84757">
      <w:pPr>
        <w:rPr>
          <w:b/>
          <w:sz w:val="28"/>
          <w:szCs w:val="28"/>
        </w:rPr>
      </w:pPr>
    </w:p>
    <w:p w14:paraId="00000014" w14:textId="77777777" w:rsidR="00E84757" w:rsidRDefault="00E84757">
      <w:pPr>
        <w:rPr>
          <w:b/>
          <w:sz w:val="28"/>
          <w:szCs w:val="28"/>
        </w:rPr>
      </w:pPr>
    </w:p>
    <w:p w14:paraId="00000015" w14:textId="77777777" w:rsidR="00E84757" w:rsidRDefault="00E84757">
      <w:pPr>
        <w:rPr>
          <w:b/>
          <w:sz w:val="28"/>
          <w:szCs w:val="28"/>
        </w:rPr>
      </w:pPr>
    </w:p>
    <w:p w14:paraId="00000016" w14:textId="77777777" w:rsidR="00E84757" w:rsidRDefault="007661A5">
      <w:pPr>
        <w:rPr>
          <w:b/>
          <w:sz w:val="28"/>
          <w:szCs w:val="28"/>
        </w:rPr>
      </w:pPr>
      <w:r>
        <w:br w:type="page"/>
      </w:r>
    </w:p>
    <w:p w14:paraId="00000017" w14:textId="77777777" w:rsidR="00E84757" w:rsidRDefault="007661A5">
      <w:pPr>
        <w:spacing w:after="240"/>
        <w:jc w:val="center"/>
        <w:rPr>
          <w:b/>
          <w:sz w:val="28"/>
          <w:szCs w:val="28"/>
        </w:rPr>
      </w:pPr>
      <w:r>
        <w:rPr>
          <w:b/>
          <w:sz w:val="28"/>
          <w:szCs w:val="28"/>
        </w:rPr>
        <w:lastRenderedPageBreak/>
        <w:t>ICT Knowledge Absorptive Capacity</w:t>
      </w:r>
    </w:p>
    <w:p w14:paraId="00000018" w14:textId="77777777" w:rsidR="00E84757" w:rsidRDefault="007661A5">
      <w:pPr>
        <w:spacing w:before="240" w:after="240"/>
        <w:jc w:val="center"/>
        <w:rPr>
          <w:sz w:val="28"/>
          <w:szCs w:val="28"/>
        </w:rPr>
      </w:pPr>
      <w:r>
        <w:rPr>
          <w:sz w:val="28"/>
          <w:szCs w:val="28"/>
        </w:rPr>
        <w:t xml:space="preserve">A critical factor for </w:t>
      </w:r>
      <w:proofErr w:type="gramStart"/>
      <w:r>
        <w:rPr>
          <w:sz w:val="28"/>
          <w:szCs w:val="28"/>
        </w:rPr>
        <w:t>technology</w:t>
      </w:r>
      <w:proofErr w:type="gramEnd"/>
      <w:r>
        <w:rPr>
          <w:sz w:val="28"/>
          <w:szCs w:val="28"/>
        </w:rPr>
        <w:t xml:space="preserve"> integration in schools</w:t>
      </w:r>
      <w:r>
        <w:rPr>
          <w:b/>
        </w:rPr>
        <w:t xml:space="preserve"> </w:t>
      </w:r>
    </w:p>
    <w:p w14:paraId="00000019" w14:textId="77777777" w:rsidR="00E84757" w:rsidRDefault="00E84757">
      <w:pPr>
        <w:spacing w:before="240" w:after="240"/>
        <w:jc w:val="both"/>
        <w:rPr>
          <w:b/>
        </w:rPr>
      </w:pPr>
    </w:p>
    <w:p w14:paraId="0000001A" w14:textId="77777777" w:rsidR="00E84757" w:rsidRDefault="007661A5">
      <w:pPr>
        <w:spacing w:before="240" w:after="240"/>
        <w:jc w:val="both"/>
        <w:rPr>
          <w:b/>
        </w:rPr>
      </w:pPr>
      <w:r>
        <w:rPr>
          <w:b/>
        </w:rPr>
        <w:t>Abstract</w:t>
      </w:r>
    </w:p>
    <w:p w14:paraId="0000001B" w14:textId="77777777" w:rsidR="00E84757" w:rsidRDefault="007661A5">
      <w:pPr>
        <w:spacing w:before="240" w:after="240"/>
        <w:jc w:val="both"/>
      </w:pPr>
      <w:r>
        <w:t xml:space="preserve">This study examines if and how a school´s information and communication technology (ICT) knowledge absorptive capacity (ACAP) affects technology integration in schools. In addition, it investigates the influence of various contextual factors on the degree of contingency of ACAP, such as activation triggers, social integration mechanism, and regimes of appropriability. The study is based on a random sample of N = 411 </w:t>
      </w:r>
      <w:proofErr w:type="gramStart"/>
      <w:r>
        <w:t>schools</w:t>
      </w:r>
      <w:proofErr w:type="gramEnd"/>
      <w:r>
        <w:t xml:space="preserve"> representative of Germany. Structural equation modeling and machine learning were employed. The findings indicate that ICT ACAP has a positive impact on technology integration in </w:t>
      </w:r>
      <w:proofErr w:type="gramStart"/>
      <w:r>
        <w:t>schools, and</w:t>
      </w:r>
      <w:proofErr w:type="gramEnd"/>
      <w:r>
        <w:t xml:space="preserve"> serves as a mediator in the relationship between external knowledge and technology integration. The impact of ICT ACAP on technology integration is contingent upon the presence and efficacy of knowledge-sharing mechanisms within the school, as well as the extent to which schools engage in collaborative efforts with competitors (coopetition). The insights of this study have implications for policymakers and educational leaders, who could prioritize building ACAP and fostering collaborative networks to create more adaptable and innovative school environments.</w:t>
      </w:r>
    </w:p>
    <w:p w14:paraId="0000001C" w14:textId="77777777" w:rsidR="00E84757" w:rsidRDefault="00E84757">
      <w:pPr>
        <w:spacing w:before="240" w:after="240"/>
        <w:jc w:val="both"/>
        <w:rPr>
          <w:b/>
        </w:rPr>
      </w:pPr>
    </w:p>
    <w:p w14:paraId="0000001D" w14:textId="77777777" w:rsidR="00E84757" w:rsidRDefault="007661A5">
      <w:pPr>
        <w:spacing w:before="240" w:after="240"/>
        <w:jc w:val="both"/>
        <w:rPr>
          <w:b/>
        </w:rPr>
      </w:pPr>
      <w:r>
        <w:rPr>
          <w:b/>
        </w:rPr>
        <w:t>Keywords</w:t>
      </w:r>
    </w:p>
    <w:p w14:paraId="0000001E" w14:textId="77777777" w:rsidR="00E84757" w:rsidRDefault="007661A5">
      <w:pPr>
        <w:spacing w:before="240" w:after="240"/>
        <w:jc w:val="both"/>
      </w:pPr>
      <w:r>
        <w:t>absorptive capacity; knowledge transfer; technology integration; innovation; school leadership</w:t>
      </w:r>
    </w:p>
    <w:p w14:paraId="0000001F" w14:textId="77777777" w:rsidR="00E84757" w:rsidRDefault="00E84757">
      <w:pPr>
        <w:rPr>
          <w:b/>
        </w:rPr>
      </w:pPr>
    </w:p>
    <w:p w14:paraId="00000020" w14:textId="77777777" w:rsidR="00E84757" w:rsidRDefault="007661A5">
      <w:pPr>
        <w:spacing w:after="240"/>
        <w:ind w:left="567" w:hanging="567"/>
        <w:jc w:val="both"/>
        <w:rPr>
          <w:b/>
        </w:rPr>
      </w:pPr>
      <w:r>
        <w:rPr>
          <w:b/>
        </w:rPr>
        <w:t>1</w:t>
      </w:r>
      <w:proofErr w:type="gramStart"/>
      <w:r>
        <w:rPr>
          <w:b/>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rPr>
          <w:b/>
        </w:rPr>
        <w:t>Introduction</w:t>
      </w:r>
    </w:p>
    <w:p w14:paraId="00000021" w14:textId="77777777" w:rsidR="00E84757" w:rsidRDefault="007661A5">
      <w:pPr>
        <w:spacing w:before="240" w:after="240"/>
        <w:jc w:val="both"/>
      </w:pPr>
      <w:r>
        <w:rPr>
          <w:highlight w:val="white"/>
        </w:rPr>
        <w:t xml:space="preserve">The integration and use of technology are crucial for 21st-century life and education. Teaching practice can be enhanced or transformed when technology is used </w:t>
      </w:r>
      <w:r>
        <w:t>(</w:t>
      </w:r>
      <w:proofErr w:type="spellStart"/>
      <w:r>
        <w:t>Ventista</w:t>
      </w:r>
      <w:proofErr w:type="spellEnd"/>
      <w:r>
        <w:t xml:space="preserve"> et al., 2024)</w:t>
      </w:r>
      <w:r>
        <w:rPr>
          <w:highlight w:val="white"/>
        </w:rPr>
        <w:t xml:space="preserve">. Research likewise indicates that technology can positively impact student achievement (Juuti et al., 2022), especially when utilized as a supplement to traditional teaching methods (Higgins et al., 2012). Further imperatives for technology integration in schools include a recent suggestion, in a call by the European Commission (2023), that “boosting the development of digital skills from an early age and in a continuous manner is essential for influencing the level of digital skills of the EU population”. Simultaneously, </w:t>
      </w:r>
      <w:r>
        <w:t xml:space="preserve">achieving the goal of quality education is often hindered by issues that can be effectively addressed </w:t>
      </w:r>
      <w:proofErr w:type="gramStart"/>
      <w:r>
        <w:t>through the use of</w:t>
      </w:r>
      <w:proofErr w:type="gramEnd"/>
      <w:r>
        <w:t xml:space="preserve"> technology. For instance, traditional educational models often fail to accommodate the diverse needs, learning styles, and paces of individual students. This issue can be addressed by adaptive learning technologies and the use of algorithms to adjust content and pace based on individual student performance, allowing for more personalized instruction (Hwang &amp; Tsai, 2011). </w:t>
      </w:r>
      <w:proofErr w:type="gramStart"/>
      <w:r>
        <w:t>In particular, Artificial</w:t>
      </w:r>
      <w:proofErr w:type="gramEnd"/>
      <w:r>
        <w:t xml:space="preserve"> Intelligence (AI) in education has enormous potential to improve learning, teaching and education administration </w:t>
      </w:r>
      <w:r>
        <w:lastRenderedPageBreak/>
        <w:t xml:space="preserve">(Pelletier et al., 2023; Pietsch &amp; Mah, 2024). Likewise, education can be disrupted by external events (such as natural disasters; Hodges et al., 2020) or economic constraints which limit access to high quality resources (Means et al., 2010). This latter point was powerfully demonstrated during the </w:t>
      </w:r>
      <w:r>
        <w:rPr>
          <w:highlight w:val="white"/>
        </w:rPr>
        <w:t xml:space="preserve">recent COVID-19 pandemic, where the vital use of technological applications to support inclusive and adaptive education, thereby empowering all learners, achieved prominence (Schleicher, 2022). At the same time, supporting conditions are required if technology is to be effectively integrated into schools and within teaching and learning (ibid.).  </w:t>
      </w:r>
    </w:p>
    <w:p w14:paraId="00000022" w14:textId="77777777" w:rsidR="00E84757" w:rsidRPr="00C34F89" w:rsidRDefault="007661A5">
      <w:pPr>
        <w:spacing w:before="240" w:after="240"/>
        <w:jc w:val="both"/>
      </w:pPr>
      <w:r w:rsidRPr="00C34F89">
        <w:t xml:space="preserve">As observed by Pietsch et al. (2023, 2024) educators working within schools require external knowledge and intersectoral collaboration if they are to implement innovations, especially when it comes to complex innovations that require knowledge that cannot be sufficiently created amongst within-school groups of teachers alone. This is particularly evident concerning technological innovation. For instance, Chen and Vanhaverbeke (2019) persuasively argue that, for organizations with limited resources, relying on their own knowledge is no longer enough to exploit and improve their innovation capabilities, as these resources can no longer meet the demands and dynamics of today’s technological innovation. Instead, technological innovation requires knowledge and technologies from an expanding range of disciplines, reflecting the growing complexity of technological innovation (ibid.; Pietsch et al., 2024). </w:t>
      </w:r>
    </w:p>
    <w:p w14:paraId="00000023" w14:textId="77777777" w:rsidR="00E84757" w:rsidRPr="00C34F89" w:rsidRDefault="007661A5">
      <w:pPr>
        <w:spacing w:before="240" w:after="240"/>
        <w:jc w:val="both"/>
      </w:pPr>
      <w:r w:rsidRPr="00C34F89">
        <w:t>Especially for schools, a lack of technology knowledge, technology integration knowledge, technology-supported pedagogical knowledge, and technology-related classroom management knowledge have been identified as significant barriers that impede their ability to effectively integrate technology (Ertmer, 1999; Hew &amp; Brush, 2007; Wilson et al., 2020). To reverse this situation, schools must be able to identify, integrate and exploit relevant external knowledge into their structures and processes (</w:t>
      </w:r>
      <w:proofErr w:type="spellStart"/>
      <w:r w:rsidRPr="00C34F89">
        <w:t>Da’as</w:t>
      </w:r>
      <w:proofErr w:type="spellEnd"/>
      <w:r w:rsidRPr="00C34F89">
        <w:t xml:space="preserve"> &amp; </w:t>
      </w:r>
      <w:proofErr w:type="spellStart"/>
      <w:r w:rsidRPr="00C34F89">
        <w:t>Qadach</w:t>
      </w:r>
      <w:proofErr w:type="spellEnd"/>
      <w:r w:rsidRPr="00C34F89">
        <w:t>, 2020). Such a dynamic organizational capability (</w:t>
      </w:r>
      <w:proofErr w:type="spellStart"/>
      <w:r w:rsidRPr="00C34F89">
        <w:t>Lichtenthaler</w:t>
      </w:r>
      <w:proofErr w:type="spellEnd"/>
      <w:r w:rsidRPr="00C34F89">
        <w:t xml:space="preserve"> &amp; </w:t>
      </w:r>
      <w:proofErr w:type="spellStart"/>
      <w:r w:rsidRPr="00C34F89">
        <w:t>Lichtenthaler</w:t>
      </w:r>
      <w:proofErr w:type="spellEnd"/>
      <w:r w:rsidRPr="00C34F89">
        <w:t xml:space="preserve">, 2009) is referred to as absorptive capacity (ACAP; Cohen &amp; Levinthal, 1990), which is seen as a set of organizational routines and processes (Zahra &amp; George, 2002) or, more broadly, the ability of schools to integrate, build and reconfigure internal and external competencies to address rapidly changing environments (Teece et al., 1997). </w:t>
      </w:r>
    </w:p>
    <w:p w14:paraId="68E51798" w14:textId="756D0905" w:rsidR="00E84757" w:rsidRPr="00C34F89" w:rsidRDefault="007661A5">
      <w:pPr>
        <w:spacing w:before="240" w:after="240"/>
        <w:jc w:val="both"/>
      </w:pPr>
      <w:r w:rsidRPr="00C34F89">
        <w:t xml:space="preserve">Although the concept of ACAP was first proposed over 30 years ago by Cohen and Levinthal (1990), and a substantial body of empirical research has examined how dynamic capabilities (Vogel &amp; </w:t>
      </w:r>
      <w:proofErr w:type="spellStart"/>
      <w:r w:rsidRPr="00C34F89">
        <w:t>Güttel</w:t>
      </w:r>
      <w:proofErr w:type="spellEnd"/>
      <w:r w:rsidRPr="00C34F89">
        <w:t>, 2013), and ACAP (</w:t>
      </w:r>
      <w:proofErr w:type="spellStart"/>
      <w:r w:rsidRPr="00C34F89">
        <w:t>Lichtenthaler</w:t>
      </w:r>
      <w:proofErr w:type="spellEnd"/>
      <w:r w:rsidRPr="00C34F89">
        <w:t xml:space="preserve"> &amp; </w:t>
      </w:r>
      <w:proofErr w:type="spellStart"/>
      <w:r w:rsidRPr="00C34F89">
        <w:t>Lichtenthaler</w:t>
      </w:r>
      <w:proofErr w:type="spellEnd"/>
      <w:r w:rsidRPr="00C34F89">
        <w:t xml:space="preserve">, 2010) in particular, affect technological innovation and adaptation in organizations, there are no studies in the field of educational research on this topic. While numerous models and frameworks address the long-standing challenge of technology integration in schools (e.g. the Digitally Innovative School model; Ilomäki &amp; </w:t>
      </w:r>
      <w:proofErr w:type="spellStart"/>
      <w:r w:rsidRPr="00C34F89">
        <w:t>Lakkala</w:t>
      </w:r>
      <w:proofErr w:type="spellEnd"/>
      <w:r w:rsidRPr="00C34F89">
        <w:t xml:space="preserve">, 2018), many focus on determining which technologies to adopt rather than on how to effectively implement and adapt these frameworks in a rapidly shifting landscape. By contrast, ACAP is highly relevant in a context where schools must grapple with selecting digital tools </w:t>
      </w:r>
      <w:r w:rsidRPr="00C34F89">
        <w:rPr>
          <w:i/>
        </w:rPr>
        <w:t>and</w:t>
      </w:r>
      <w:r w:rsidRPr="00C34F89">
        <w:t xml:space="preserve"> with continuously engaging external expertise and refining teaching practices to align with evolving educational goals. To address this gap, this paper examines the intersections of technology integration (TI) in schools, collaborative innovation, and ACAP. Specifically, using data from a nationally representative sample of school leaders in Germany, we investigate the role of ACAP in facilitating TI as well as the role of knowledge sharing and coopetition, alongside the influence of various contingency factors.</w:t>
      </w:r>
    </w:p>
    <w:p w14:paraId="00000025" w14:textId="77777777" w:rsidR="00E84757" w:rsidRPr="00C34F89" w:rsidRDefault="007661A5">
      <w:pPr>
        <w:spacing w:before="240" w:after="240"/>
        <w:ind w:left="567" w:hanging="567"/>
        <w:jc w:val="both"/>
      </w:pPr>
      <w:r w:rsidRPr="00C34F89">
        <w:rPr>
          <w:b/>
        </w:rPr>
        <w:lastRenderedPageBreak/>
        <w:t>2</w:t>
      </w:r>
      <w:proofErr w:type="gramStart"/>
      <w:r w:rsidRPr="00C34F89">
        <w:rPr>
          <w:b/>
        </w:rPr>
        <w:t>.</w:t>
      </w:r>
      <w:r w:rsidRPr="00C34F89">
        <w:rPr>
          <w:rFonts w:ascii="Times New Roman" w:eastAsia="Times New Roman" w:hAnsi="Times New Roman" w:cs="Times New Roman"/>
          <w:sz w:val="14"/>
          <w:szCs w:val="14"/>
        </w:rPr>
        <w:t xml:space="preserve">  </w:t>
      </w:r>
      <w:r w:rsidRPr="00C34F89">
        <w:rPr>
          <w:rFonts w:ascii="Times New Roman" w:eastAsia="Times New Roman" w:hAnsi="Times New Roman" w:cs="Times New Roman"/>
          <w:sz w:val="14"/>
          <w:szCs w:val="14"/>
        </w:rPr>
        <w:tab/>
      </w:r>
      <w:proofErr w:type="gramEnd"/>
      <w:r w:rsidRPr="00C34F89">
        <w:rPr>
          <w:b/>
        </w:rPr>
        <w:t>Theoretical Background</w:t>
      </w:r>
    </w:p>
    <w:p w14:paraId="00000026" w14:textId="77777777" w:rsidR="00E84757" w:rsidRPr="00C34F89" w:rsidRDefault="007661A5">
      <w:pPr>
        <w:spacing w:after="240"/>
        <w:jc w:val="both"/>
        <w:rPr>
          <w:i/>
        </w:rPr>
      </w:pPr>
      <w:r w:rsidRPr="00C34F89">
        <w:rPr>
          <w:i/>
        </w:rPr>
        <w:t>Technology integration in Schools</w:t>
      </w:r>
    </w:p>
    <w:p w14:paraId="00000027" w14:textId="77777777" w:rsidR="00E84757" w:rsidRPr="00C34F89" w:rsidRDefault="007661A5">
      <w:pPr>
        <w:spacing w:after="240"/>
        <w:jc w:val="both"/>
      </w:pPr>
      <w:r w:rsidRPr="00C34F89">
        <w:t>TI in schools can improve teaching and learning processes (Backfisch et al., 2021). It supports students and enables participation in a digitalized society (</w:t>
      </w:r>
      <w:proofErr w:type="spellStart"/>
      <w:r w:rsidRPr="00C34F89">
        <w:t>Fraillon</w:t>
      </w:r>
      <w:proofErr w:type="spellEnd"/>
      <w:r w:rsidRPr="00C34F89">
        <w:t xml:space="preserve"> et al., 2019). However, the success of TI is attributable less to the quantity of its use, though an important factor, but rather to the quality of its application alongside teachers’ motivation, beliefs and knowledge (Backfisch et al., 2021). Quality, in turn, is expressed in the level of exploitation of TI and the degree of teaching quality in general, expressed primarily through task-specific strategies and teachers’ individual learning support (ibid.).</w:t>
      </w:r>
    </w:p>
    <w:p w14:paraId="00000028" w14:textId="77777777" w:rsidR="00E84757" w:rsidRPr="00C34F89" w:rsidRDefault="007661A5">
      <w:pPr>
        <w:spacing w:before="240" w:after="240"/>
        <w:jc w:val="both"/>
      </w:pPr>
      <w:r w:rsidRPr="00C34F89">
        <w:t xml:space="preserve">As noted by numerous scholars, the successful integration of technology in schools is fundamentally a knowledge-driven process (Ertmer, 1999; Hew &amp; Brush, 2007; Hong et al., 2019; Koehler &amp; Mishra, 2005; Wilson et al., 2020). The knowledge relevant to TI in schools, the definition of which is often based on Mishra and Koehler's (2006) Technological Pedagogical Content Knowledge (TPACK) model, is thus considered dynamic and contextually situated (Schmid et al., 2024). Such knowledge is inherently tacit, encompassing a broad range of in-situ teaching skills related to subject matter, pedagogy, curriculum, and technology (Mena et al., 2017); </w:t>
      </w:r>
      <w:proofErr w:type="gramStart"/>
      <w:r w:rsidRPr="00C34F89">
        <w:t>thus</w:t>
      </w:r>
      <w:proofErr w:type="gramEnd"/>
      <w:r w:rsidRPr="00C34F89">
        <w:t xml:space="preserve"> forming the foundation for teachers' everyday decision-making activities (Fenstermacher, 1994). </w:t>
      </w:r>
    </w:p>
    <w:p w14:paraId="00000029" w14:textId="77777777" w:rsidR="00E84757" w:rsidRPr="00C34F89" w:rsidRDefault="007661A5">
      <w:pPr>
        <w:spacing w:before="240" w:after="240"/>
        <w:jc w:val="both"/>
      </w:pPr>
      <w:r w:rsidRPr="00C34F89">
        <w:t>Shulman (1986), however, argued that such tacit knowledge is regularly acquired via a complex, iterative process that requires continuous exploration and learning to support professional development and growth. Consequently, Holland (2001) and Hixon and Buckenmeyer (2009) proposed that the capacity to integrate technology in schools and classrooms represents a developmental process comprising several stages, wherein progressively sophisticated forms of knowledge are employed to utilize technology in a targeted and appropriate manner. As such, effective TI in schools is contingent upon an ongoing expansion of associated knowledge amongst teachers (Holland, 2001; Hong et al., 2019; Wilson et al., 2020).</w:t>
      </w:r>
    </w:p>
    <w:p w14:paraId="0000002A" w14:textId="77777777" w:rsidR="00E84757" w:rsidRPr="00C34F89" w:rsidRDefault="007661A5">
      <w:pPr>
        <w:spacing w:before="240" w:after="240"/>
        <w:jc w:val="both"/>
      </w:pPr>
      <w:r w:rsidRPr="00C34F89">
        <w:t>TI in schools, however, describes a “messy, complex, and unstructured phenomenon” (Kimmons et al., 2020, p. 176), which is difficult to capture empirically. Moreover, prominent technology-related pedagogical knowledge models like the TPACK model exhibit a certain fuzziness and, despite their widespread popularity, would appear to be stagnating in terms of theoretical and methodological progress (Schmid et al., 2024). While some scholars thus call for a reset of research on the topic (</w:t>
      </w:r>
      <w:proofErr w:type="spellStart"/>
      <w:r w:rsidRPr="00C34F89">
        <w:t>Saubern</w:t>
      </w:r>
      <w:proofErr w:type="spellEnd"/>
      <w:r w:rsidRPr="00C34F89">
        <w:t xml:space="preserve"> et al., 2020), others “call for more data triangulation, inclusion of more neighboring constructs, and development of better TPACK measures” (Schmid et al., 2024, p. 13).</w:t>
      </w:r>
    </w:p>
    <w:p w14:paraId="0000002B" w14:textId="77777777" w:rsidR="00E84757" w:rsidRPr="00C34F89" w:rsidRDefault="007661A5">
      <w:pPr>
        <w:spacing w:before="240" w:after="240"/>
        <w:jc w:val="both"/>
      </w:pPr>
      <w:r w:rsidRPr="00C34F89">
        <w:t xml:space="preserve">Regarding neighboring constructs, various models have been developed to describe and assess the degree of TI in schools. For instance, the Digitally Innovative School model (Ilomäki &amp; </w:t>
      </w:r>
      <w:proofErr w:type="spellStart"/>
      <w:r w:rsidRPr="00C34F89">
        <w:t>Lakkala</w:t>
      </w:r>
      <w:proofErr w:type="spellEnd"/>
      <w:r w:rsidRPr="00C34F89">
        <w:t xml:space="preserve">, 2018) offers a multidimensional lens to understand innovation practices at both the leadership and classroom levels. This model highlights the critical interplay between school leadership, teacher practices, and the broader organizational culture, aligning closely with the concept of ICT </w:t>
      </w:r>
      <w:r w:rsidRPr="00C34F89">
        <w:lastRenderedPageBreak/>
        <w:t xml:space="preserve">Absorptive Capacity (ACAP) as a driver of knowledge integration and technological adoption. Similarly, the Digital Mirror framework (Pata et al., 2022) adds depth by focusing on the reflective and self-assessment practices that underpin digital innovation in educational settings. This framework complements the ACAP processes by emphasizing the continuous interplay between internal and external knowledge flows, enhancing our understanding of how schools adapt and evolve in dynamic digital environments. </w:t>
      </w:r>
    </w:p>
    <w:p w14:paraId="0000002C" w14:textId="77777777" w:rsidR="00E84757" w:rsidRPr="00C34F89" w:rsidRDefault="007661A5">
      <w:pPr>
        <w:spacing w:before="240" w:after="240"/>
        <w:jc w:val="both"/>
      </w:pPr>
      <w:r w:rsidRPr="00C34F89">
        <w:t>Further, with regards to practical application, the integration of insights from the SELFIE for Schools tool (</w:t>
      </w:r>
      <w:hyperlink r:id="rId8">
        <w:r w:rsidRPr="00C34F89">
          <w:rPr>
            <w:u w:val="single"/>
          </w:rPr>
          <w:t>https://education.ec.europa.eu/selfie</w:t>
        </w:r>
      </w:hyperlink>
      <w:r w:rsidRPr="00C34F89">
        <w:t xml:space="preserve">) enables schools to assess their digital maturity and identify areas for growth, illustrating how reflective practices can inform and shape innovation strategies. The model </w:t>
      </w:r>
      <w:proofErr w:type="spellStart"/>
      <w:r w:rsidRPr="00C34F89">
        <w:t>utilised</w:t>
      </w:r>
      <w:proofErr w:type="spellEnd"/>
      <w:r w:rsidRPr="00C34F89">
        <w:t xml:space="preserve"> in this study, however, is the Substitution, Augmentation, Modification, Redefinition (SAMR; </w:t>
      </w:r>
      <w:proofErr w:type="spellStart"/>
      <w:r w:rsidRPr="00C34F89">
        <w:t>Puentedura</w:t>
      </w:r>
      <w:proofErr w:type="spellEnd"/>
      <w:r w:rsidRPr="00C34F89">
        <w:t xml:space="preserve">, 2006) model: the </w:t>
      </w:r>
      <w:proofErr w:type="gramStart"/>
      <w:r w:rsidRPr="00C34F89">
        <w:t>most commonly used</w:t>
      </w:r>
      <w:proofErr w:type="gramEnd"/>
      <w:r w:rsidRPr="00C34F89">
        <w:t xml:space="preserve"> integration model in educational research (Blundell et al., 2022; Hamilton et al., 2016). As a framework, SAMR suggests that technology in schools can serve as a lever for change and enhance educational practices from acquisition to the point where it is integrated into a teacher’s everyday practice to achieve targeted outcomes (</w:t>
      </w:r>
      <w:proofErr w:type="spellStart"/>
      <w:r w:rsidRPr="00C34F89">
        <w:t>Puentedura</w:t>
      </w:r>
      <w:proofErr w:type="spellEnd"/>
      <w:r w:rsidRPr="00C34F89">
        <w:t xml:space="preserve">, 2006; </w:t>
      </w:r>
      <w:proofErr w:type="spellStart"/>
      <w:r w:rsidRPr="00C34F89">
        <w:t>Tunjera</w:t>
      </w:r>
      <w:proofErr w:type="spellEnd"/>
      <w:r w:rsidRPr="00C34F89">
        <w:t xml:space="preserve"> &amp; </w:t>
      </w:r>
      <w:proofErr w:type="spellStart"/>
      <w:r w:rsidRPr="00C34F89">
        <w:t>Chigona</w:t>
      </w:r>
      <w:proofErr w:type="spellEnd"/>
      <w:r w:rsidRPr="00C34F89">
        <w:t>, 2020). As such, the benefits of the SAMR - in contrast to the models described above, stem - from its progression from basic substitution to transformative redefinition: resonating well with the stages of knowledge acquisition, assimilation, transformation, and exploitation outlined in the ACAP model. This ensures a coherent framework to explore how ICT knowledge absorptive capacity drives technology integration. What’s more, SAMR offers tangible, practice-oriented insights that align with our focus on practical implications for schools. This distinguishes it from more abstract models like the Digitally Innovative School model or Digital Mirror framework, which are broader in scope and less directly focused on the classroom level and instructional impacts of technology.</w:t>
      </w:r>
    </w:p>
    <w:p w14:paraId="0000002D" w14:textId="77777777" w:rsidR="00E84757" w:rsidRPr="00C34F89" w:rsidRDefault="00E84757">
      <w:pPr>
        <w:spacing w:before="240" w:after="240"/>
        <w:jc w:val="both"/>
      </w:pPr>
    </w:p>
    <w:p w14:paraId="0000002E" w14:textId="77777777" w:rsidR="00E84757" w:rsidRPr="00C34F89" w:rsidRDefault="007661A5">
      <w:pPr>
        <w:spacing w:after="240"/>
        <w:jc w:val="both"/>
        <w:rPr>
          <w:i/>
        </w:rPr>
      </w:pPr>
      <w:r w:rsidRPr="00C34F89">
        <w:rPr>
          <w:i/>
        </w:rPr>
        <w:t>Knowledge for Collaborative Innovation</w:t>
      </w:r>
    </w:p>
    <w:p w14:paraId="0000002F" w14:textId="77777777" w:rsidR="00E84757" w:rsidRPr="00C34F89" w:rsidRDefault="007661A5">
      <w:pPr>
        <w:spacing w:after="240"/>
        <w:jc w:val="both"/>
      </w:pPr>
      <w:r w:rsidRPr="00C34F89">
        <w:t xml:space="preserve">Knowledge creation, activation and sharing are essential for efficient TI in schools. Given that schools frequently lack internal expertise regarding the most recent technological advancements and their potential applications and applicability in the classroom (Hew &amp; Brush, 2007), they often rely on external sources of knowledge. Schools are, however, historically weak in sharing knowledge within and beyond their institutional borders (Fullan, 2002). </w:t>
      </w:r>
    </w:p>
    <w:p w14:paraId="00000030" w14:textId="77777777" w:rsidR="00E84757" w:rsidRPr="00C34F89" w:rsidRDefault="007661A5">
      <w:pPr>
        <w:jc w:val="both"/>
      </w:pPr>
      <w:r w:rsidRPr="00C34F89">
        <w:t xml:space="preserve">Collaborative innovation represents an integrative process in which multiple stakeholders contribute their diverse knowledge to create novel solutions (da Silva et al., 2022). Facilitating knowledge creation, activation and sharing as part of the collaborative innovation process involves complex interactions among individuals and organizations with an end goal of effective knowledge use. Of particular relevance is Flyvbjerg’s (2001) argument that individuals can only become true experts as a result of continuously engaging in ‘real life </w:t>
      </w:r>
      <w:proofErr w:type="gramStart"/>
      <w:r w:rsidRPr="00C34F89">
        <w:t>performances’</w:t>
      </w:r>
      <w:proofErr w:type="gramEnd"/>
      <w:r w:rsidRPr="00C34F89">
        <w:t xml:space="preserve">. By this, </w:t>
      </w:r>
      <w:proofErr w:type="spellStart"/>
      <w:r w:rsidRPr="00C34F89">
        <w:t>Flybjerg</w:t>
      </w:r>
      <w:proofErr w:type="spellEnd"/>
      <w:r w:rsidRPr="00C34F89">
        <w:t xml:space="preserve"> means that expertise derives from individuals’ increasing recognition of different situations and how best to employ (activate) new practices or innovations in response (that is, </w:t>
      </w:r>
      <w:proofErr w:type="gramStart"/>
      <w:r w:rsidRPr="00C34F89">
        <w:t>in order to</w:t>
      </w:r>
      <w:proofErr w:type="gramEnd"/>
      <w:r w:rsidRPr="00C34F89">
        <w:t xml:space="preserve"> achieve their desired impact). </w:t>
      </w:r>
      <w:proofErr w:type="gramStart"/>
      <w:r w:rsidRPr="00C34F89">
        <w:t>Likewise</w:t>
      </w:r>
      <w:proofErr w:type="gramEnd"/>
      <w:r w:rsidRPr="00C34F89">
        <w:t xml:space="preserve"> Nonaka and Takeuchi’s (1995) notion of knowledge creation suggests that internalizing new knowledge through repeated use ensures that </w:t>
      </w:r>
      <w:r w:rsidRPr="00C34F89">
        <w:lastRenderedPageBreak/>
        <w:t>it becomes tacit, and thus employed more effectively: with knowledge creation taking place most effectively amongst communities and networks (Wenger et al., 2011). For example, research-practice partnerships (RPPs) as a boundary-crossing collaboration between universities, schools and local district authorities foster professional development and co-constructive knowledge acquisition for the divers and individual stakeholders (Fischer-Schöneborn &amp; Ehmke, 2023; Fischer-Schöneborn, et al., 2025), whereby in particular the boundary infrastructure plays an important role, composed of ‘boundary spanners’, ‘boundary objects’ and ‘boundary practices’ (Farrell et al., 2022; Penuel et al., 2015). But such processes also need to be facilitated by formal and informal mechanisms. The first of these includes structured processes such as strategic alliances, where knowledge transfer is often governed by formal agreements. Informal mechanisms rely on social interactions, networks, and communities of practice (Castaneda &amp; Cuellar, 2020). These informal channels are crucial for tacit knowledge transfer</w:t>
      </w:r>
      <w:r w:rsidRPr="00C34F89">
        <w:rPr>
          <w:rFonts w:ascii="Times New Roman" w:eastAsia="Times New Roman" w:hAnsi="Times New Roman" w:cs="Times New Roman"/>
          <w:sz w:val="24"/>
          <w:szCs w:val="24"/>
        </w:rPr>
        <w:t xml:space="preserve">. </w:t>
      </w:r>
      <w:r w:rsidRPr="00C34F89">
        <w:t>Both formal and informal mechanisms depend on social capital, which encompasses trust, norms, and networks, in fostering an environment conducive to knowledge sharing (Brown, 2021). Additionally, digital platforms, collaborative tools, and information systems can enable seamless communication and data exchange across geographic and organizational boundaries.</w:t>
      </w:r>
    </w:p>
    <w:p w14:paraId="00000031" w14:textId="77777777" w:rsidR="00E84757" w:rsidRPr="00C34F89" w:rsidRDefault="007661A5">
      <w:pPr>
        <w:jc w:val="both"/>
      </w:pPr>
      <w:r w:rsidRPr="00C34F89">
        <w:t xml:space="preserve"> </w:t>
      </w:r>
    </w:p>
    <w:p w14:paraId="00000032" w14:textId="77777777" w:rsidR="00E84757" w:rsidRPr="00C34F89" w:rsidRDefault="007661A5">
      <w:pPr>
        <w:jc w:val="both"/>
      </w:pPr>
      <w:r w:rsidRPr="00C34F89">
        <w:t>Collaborative knowledge sharing leads to numerous benefits for innovation: 1) it enables access to a wider pool of expertise, resources, and perspectives, which enhances the creativity and quality of innovative outcomes; and 2) organizations can address complex problems more effectively, developing solutions that are more robust and comprehensive. Moreover, collaborative innovation fosters learning and capacity building. Participants gain new insights and skills through their interactions, which can be applied to future projects. This continuous learning loop is essential for maintaining competitive advantage in rapidly changing environments (Castaneda &amp; Cuellar, 2020; da Silva et al., 2022).</w:t>
      </w:r>
    </w:p>
    <w:p w14:paraId="00000033" w14:textId="77777777" w:rsidR="00E84757" w:rsidRPr="00C34F89" w:rsidRDefault="00E84757">
      <w:pPr>
        <w:spacing w:after="240"/>
        <w:jc w:val="both"/>
        <w:rPr>
          <w:i/>
        </w:rPr>
      </w:pPr>
    </w:p>
    <w:p w14:paraId="00000034" w14:textId="77777777" w:rsidR="00E84757" w:rsidRPr="00C34F89" w:rsidRDefault="007661A5">
      <w:pPr>
        <w:spacing w:after="240"/>
        <w:jc w:val="both"/>
        <w:rPr>
          <w:i/>
        </w:rPr>
      </w:pPr>
      <w:r w:rsidRPr="00C34F89">
        <w:rPr>
          <w:i/>
        </w:rPr>
        <w:t>Absorptive Capacity as a Dynamic Capability</w:t>
      </w:r>
    </w:p>
    <w:p w14:paraId="00000035" w14:textId="77777777" w:rsidR="00E84757" w:rsidRPr="00C34F89" w:rsidRDefault="007661A5">
      <w:pPr>
        <w:spacing w:after="240"/>
        <w:jc w:val="both"/>
      </w:pPr>
      <w:r w:rsidRPr="00C34F89">
        <w:t xml:space="preserve">Nevertheless, the extent to which knowledge generated in such a cross-boundary collaborative manner is translated into successful change and innovation within an organization is largely contingent upon the internal capacity of that institution to recognize the value of novel external knowledge, process it, and utilize it effectively for purposes that align with the organization’s goals and those of its members: its Absorptive Capacity (ACAP; Cohen &amp; Levinthal, 1990). </w:t>
      </w:r>
    </w:p>
    <w:p w14:paraId="00000036" w14:textId="77777777" w:rsidR="00E84757" w:rsidRPr="00C34F89" w:rsidRDefault="007661A5">
      <w:pPr>
        <w:spacing w:after="240"/>
        <w:jc w:val="both"/>
      </w:pPr>
      <w:r w:rsidRPr="00C34F89">
        <w:t xml:space="preserve">ACAP is defined as a set of organizational routines and processes by which organizations “acquire, assimilate, transform, and exploit knowledge to produce a dynamic organizational capability” (Zahra &amp; George, 2002: 186). Although ACAP emerged from business environments characterized by competition and the creation of proprietary advantages, its components - acquisition, assimilation, transformation, and exploitation of knowledge - can be fruitfully applied to schools as well. In school contexts, external knowledge need not be viewed as a competitive asset, but rather as a resource that can be integrated </w:t>
      </w:r>
      <w:proofErr w:type="gramStart"/>
      <w:r w:rsidRPr="00C34F89">
        <w:t>in service</w:t>
      </w:r>
      <w:proofErr w:type="gramEnd"/>
      <w:r w:rsidRPr="00C34F89">
        <w:t xml:space="preserve"> of the common good. While ‘coopetition’ and competitive dynamics are highlighted in ACAP literature, this approach can be balanced by, and integrated with, models from organizational learning and knowledge creation </w:t>
      </w:r>
      <w:r w:rsidRPr="00C34F89">
        <w:lastRenderedPageBreak/>
        <w:t xml:space="preserve">frameworks (e.g. Nonaka &amp; Takeuchi, 1995; Wenger et al., 2011), placing stronger emphasis on value co-creation and shared societal aims. </w:t>
      </w:r>
    </w:p>
    <w:p w14:paraId="00000037" w14:textId="77777777" w:rsidR="00E84757" w:rsidRPr="00C34F89" w:rsidRDefault="007661A5">
      <w:pPr>
        <w:spacing w:after="240"/>
        <w:jc w:val="both"/>
      </w:pPr>
      <w:r w:rsidRPr="00C34F89">
        <w:t xml:space="preserve">ACAP is domain-specific and path-dependent, meaning that each knowledge domain has its own process and depends on pre-existing knowledge within an organization (Cohen &amp; Levinthal, 1990). The fundamental premise is that ACAP facilitates accelerated organizational learning and a self-reinforcing spiral of knowledge acquisition and utilization. This organizational capability thus enhances an institution’s ability to gain and sustain a competitive advantage (ibid.), mainly by influencing the creation of other organizational competencies (Barney, 1991). Therefore, to ensure the appropriate TI in schools, it is important to focus on the relevant knowledge, i.e. Information and Communication Technology (ICT) knowledge. It is dynamic in that it represents the ability to integrate, build and reconfigure internal and external competencies to respond to a rapidly changing environment characterized by uncertainty and dynamism (Bogers et al., 2019). </w:t>
      </w:r>
    </w:p>
    <w:p w14:paraId="00000039" w14:textId="7A25F077" w:rsidR="00183BFD" w:rsidRDefault="007661A5" w:rsidP="001F691D">
      <w:pPr>
        <w:jc w:val="both"/>
      </w:pPr>
      <w:r w:rsidRPr="00C34F89">
        <w:t xml:space="preserve">Three contingency factors are typically considered relevant (Crain-Dorough &amp; Elder, 2021; Todorova &amp; </w:t>
      </w:r>
      <w:proofErr w:type="spellStart"/>
      <w:r w:rsidRPr="00C34F89">
        <w:t>Durisin</w:t>
      </w:r>
      <w:proofErr w:type="spellEnd"/>
      <w:r w:rsidRPr="00C34F89">
        <w:t xml:space="preserve">, 2007; Zahra &amp; George, 2002): </w:t>
      </w:r>
      <w:r w:rsidRPr="00C34F89">
        <w:rPr>
          <w:i/>
        </w:rPr>
        <w:t>activation triggers</w:t>
      </w:r>
      <w:r w:rsidRPr="00C34F89">
        <w:t xml:space="preserve">, </w:t>
      </w:r>
      <w:r w:rsidRPr="00C34F89">
        <w:rPr>
          <w:i/>
        </w:rPr>
        <w:t>social integration mechanisms</w:t>
      </w:r>
      <w:r w:rsidRPr="00C34F89">
        <w:t xml:space="preserve">, and </w:t>
      </w:r>
      <w:r w:rsidRPr="00C34F89">
        <w:rPr>
          <w:i/>
        </w:rPr>
        <w:t>regimes of appropriability</w:t>
      </w:r>
      <w:r w:rsidRPr="00C34F89">
        <w:t xml:space="preserve">. However, there is a lack of consensus regarding the precise functioning of these factors. ACAP as organizational learning and driver of innovation has so far mainly been investigated in studies on management and performance in business settings (Zahra &amp; George, 2002; Cohen &amp; Levinthal, 1990; Sancho-Zamora et al., 2021; Lane et al., 2001). Meta-studies proved its positive effect, among others, on technological innovation, organizational learning, financial performance and knowledge transfer (Maldonado et al., 2018; Zoe et al., 2018; Song et al., 2017; </w:t>
      </w:r>
      <w:proofErr w:type="spellStart"/>
      <w:r w:rsidRPr="00C34F89">
        <w:t>Apriliyanti</w:t>
      </w:r>
      <w:proofErr w:type="spellEnd"/>
      <w:r w:rsidRPr="00C34F89">
        <w:t xml:space="preserve"> &amp; Alon, 2017). But studies on effects in educational contexts are rare. Insofar as ACAP is addressed in those, it is mainly undertaken as part of investigations on overcoming the persistent gap between research and practice (Crain-Dorough &amp; Elder, 2021): e.g. by analyzing collaborative formats such as RPPs (Farrell &amp; Coburn, 2016; Farrell et al., 2019). </w:t>
      </w:r>
    </w:p>
    <w:p w14:paraId="421EBC77" w14:textId="1D6CFCC9" w:rsidR="001F691D" w:rsidRPr="00C34F89" w:rsidRDefault="00183BFD" w:rsidP="00183BFD">
      <w:r>
        <w:br w:type="page"/>
      </w:r>
    </w:p>
    <w:p w14:paraId="0000003A" w14:textId="77777777" w:rsidR="00E84757" w:rsidRPr="00C34F89" w:rsidRDefault="007661A5">
      <w:pPr>
        <w:spacing w:before="240" w:after="240"/>
        <w:jc w:val="both"/>
      </w:pPr>
      <w:r w:rsidRPr="00C34F89">
        <w:rPr>
          <w:b/>
          <w:noProof/>
        </w:rPr>
        <w:lastRenderedPageBreak/>
        <w:drawing>
          <wp:inline distT="114300" distB="114300" distL="114300" distR="114300" wp14:anchorId="4BF001BA" wp14:editId="517F2120">
            <wp:extent cx="5943600" cy="3429000"/>
            <wp:effectExtent l="0" t="0" r="0" b="0"/>
            <wp:docPr id="2091568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429000"/>
                    </a:xfrm>
                    <a:prstGeom prst="rect">
                      <a:avLst/>
                    </a:prstGeom>
                    <a:ln/>
                  </pic:spPr>
                </pic:pic>
              </a:graphicData>
            </a:graphic>
          </wp:inline>
        </w:drawing>
      </w:r>
    </w:p>
    <w:p w14:paraId="0000003B" w14:textId="77777777" w:rsidR="00E84757" w:rsidRPr="00C34F89" w:rsidRDefault="007661A5">
      <w:pPr>
        <w:rPr>
          <w:sz w:val="20"/>
          <w:szCs w:val="20"/>
        </w:rPr>
      </w:pPr>
      <w:r w:rsidRPr="00C34F89">
        <w:rPr>
          <w:sz w:val="20"/>
          <w:szCs w:val="20"/>
        </w:rPr>
        <w:t xml:space="preserve">Figure 1. An ACAP model for schools </w:t>
      </w:r>
    </w:p>
    <w:p w14:paraId="0000003C" w14:textId="77777777" w:rsidR="00E84757" w:rsidRPr="00C34F89" w:rsidRDefault="00E84757">
      <w:pPr>
        <w:spacing w:after="240"/>
        <w:jc w:val="both"/>
      </w:pPr>
    </w:p>
    <w:p w14:paraId="0000003D" w14:textId="77777777" w:rsidR="00E84757" w:rsidRPr="00C34F89" w:rsidRDefault="007661A5">
      <w:pPr>
        <w:spacing w:after="240"/>
        <w:jc w:val="both"/>
      </w:pPr>
      <w:r w:rsidRPr="00C34F89">
        <w:t xml:space="preserve">Studies on applying these frameworks to school settings and thus investigating schools’ organizational learning and innovation capacity are again lacking. Those that exist include the investigations by Harvey et al. (2011, 2009) which examined ACAP as a framework to assess organizational learning capability and identify key areas for improvement for underperforming organizations in the public sector. Furthermore, </w:t>
      </w:r>
      <w:proofErr w:type="spellStart"/>
      <w:r w:rsidRPr="00C34F89">
        <w:t>Da´as</w:t>
      </w:r>
      <w:proofErr w:type="spellEnd"/>
      <w:r w:rsidRPr="00C34F89">
        <w:t xml:space="preserve"> and </w:t>
      </w:r>
      <w:proofErr w:type="spellStart"/>
      <w:r w:rsidRPr="00C34F89">
        <w:t>Qadach</w:t>
      </w:r>
      <w:proofErr w:type="spellEnd"/>
      <w:r w:rsidRPr="00C34F89">
        <w:t xml:space="preserve"> (2020) created an ACAP measurement instrument for school context, while </w:t>
      </w:r>
      <w:proofErr w:type="spellStart"/>
      <w:r w:rsidRPr="00C34F89">
        <w:t>Da´as</w:t>
      </w:r>
      <w:proofErr w:type="spellEnd"/>
      <w:r w:rsidRPr="00C34F89">
        <w:t xml:space="preserve"> et al. (2020) investigated the mediating role of school ACAP and teacher´s commitment. Finally, Lenart-</w:t>
      </w:r>
      <w:proofErr w:type="spellStart"/>
      <w:r w:rsidRPr="00C34F89">
        <w:t>Gansiniec</w:t>
      </w:r>
      <w:proofErr w:type="spellEnd"/>
      <w:r w:rsidRPr="00C34F89">
        <w:t xml:space="preserve"> et al. (2022) identified context-specific antecedents to school´s ACAP. Figure 1 presents a condensed model of ACAP, including its antecedents, moderators, and effects.</w:t>
      </w:r>
    </w:p>
    <w:p w14:paraId="0000003E" w14:textId="77777777" w:rsidR="00E84757" w:rsidRPr="00C34F89" w:rsidRDefault="00E84757">
      <w:pPr>
        <w:spacing w:after="240"/>
        <w:jc w:val="both"/>
      </w:pPr>
    </w:p>
    <w:p w14:paraId="0000003F" w14:textId="77777777" w:rsidR="00E84757" w:rsidRPr="00C34F89" w:rsidRDefault="007661A5">
      <w:pPr>
        <w:spacing w:before="240" w:after="240"/>
        <w:jc w:val="both"/>
      </w:pPr>
      <w:r w:rsidRPr="00C34F89">
        <w:rPr>
          <w:i/>
        </w:rPr>
        <w:t>2.1.</w:t>
      </w:r>
      <w:r w:rsidRPr="00C34F89">
        <w:rPr>
          <w:rFonts w:ascii="Times New Roman" w:eastAsia="Times New Roman" w:hAnsi="Times New Roman" w:cs="Times New Roman"/>
          <w:i/>
          <w:sz w:val="14"/>
          <w:szCs w:val="14"/>
        </w:rPr>
        <w:t xml:space="preserve">   </w:t>
      </w:r>
      <w:r w:rsidRPr="00C34F89">
        <w:rPr>
          <w:i/>
        </w:rPr>
        <w:t>Research Hypotheses</w:t>
      </w:r>
    </w:p>
    <w:p w14:paraId="00000040" w14:textId="77777777" w:rsidR="00E84757" w:rsidRPr="00C34F89" w:rsidRDefault="007661A5">
      <w:pPr>
        <w:spacing w:before="240" w:after="240"/>
        <w:jc w:val="both"/>
      </w:pPr>
      <w:r w:rsidRPr="00C34F89">
        <w:t xml:space="preserve">Against this backdrop, the first objective of our study is to investigate whether ICT ACAP exerts any influence on TI, understood as SAMR, which encompasses substitution, augmentation, modification and redefinition of technology use for teaching and learning at the school level. Our second objective is to examine the extent to which ACAP enables the transfer of externally sought knowledge and to elucidate the role of contextual factors, specifically activation triggers, regimes of appropriability and social integration mechanisms, in this process. </w:t>
      </w:r>
    </w:p>
    <w:p w14:paraId="00000041" w14:textId="77777777" w:rsidR="00E84757" w:rsidRPr="00C34F89" w:rsidRDefault="007661A5">
      <w:pPr>
        <w:spacing w:before="240" w:after="240"/>
        <w:jc w:val="both"/>
      </w:pPr>
      <w:r w:rsidRPr="00C34F89">
        <w:t xml:space="preserve">In line with Backfisch et al. (2021), we understand TI as an important educational innovation to enhance teaching and learning processes in the 21st century. Hence, our research is guided by </w:t>
      </w:r>
      <w:r w:rsidRPr="00C34F89">
        <w:lastRenderedPageBreak/>
        <w:t>the recommendations set forth in the Oslo Guidelines for Collecting, Reporting, and Using Data on Innovation (OECD/Eurostat, 2018), the Frascati Manual for Measuring Scientific, Technological, and Innovation Activities (OECD, 2015), as well as the Copenhagen Manual for measuring public sector innovation (CO-PI, 2021).</w:t>
      </w:r>
    </w:p>
    <w:p w14:paraId="00000042" w14:textId="77777777" w:rsidR="00E84757" w:rsidRPr="00C34F89" w:rsidRDefault="007661A5">
      <w:pPr>
        <w:spacing w:before="240" w:after="240"/>
        <w:jc w:val="both"/>
      </w:pPr>
      <w:r w:rsidRPr="00C34F89">
        <w:t>Consequently, our study is guided by the following three questions:</w:t>
      </w:r>
    </w:p>
    <w:p w14:paraId="00000043" w14:textId="77777777" w:rsidR="00E84757" w:rsidRPr="00C34F89" w:rsidRDefault="007661A5">
      <w:pPr>
        <w:spacing w:before="240" w:after="240"/>
        <w:jc w:val="both"/>
      </w:pPr>
      <w:r w:rsidRPr="00C34F89">
        <w:t>R1. Does ICT ACAP positively relate to TI in schools?</w:t>
      </w:r>
    </w:p>
    <w:p w14:paraId="00000044" w14:textId="77777777" w:rsidR="00E84757" w:rsidRPr="00C34F89" w:rsidRDefault="007661A5">
      <w:pPr>
        <w:spacing w:before="240" w:after="240"/>
        <w:jc w:val="both"/>
      </w:pPr>
      <w:r w:rsidRPr="00C34F89">
        <w:t>R2. Does ICT ACAP mediate the relationship between external knowledge and TI in schools?</w:t>
      </w:r>
    </w:p>
    <w:p w14:paraId="00000045" w14:textId="77777777" w:rsidR="00E84757" w:rsidRPr="00C34F89" w:rsidRDefault="007661A5">
      <w:pPr>
        <w:spacing w:before="240" w:after="240"/>
        <w:jc w:val="both"/>
      </w:pPr>
      <w:r w:rsidRPr="00C34F89">
        <w:t>R3. Does the magnitude and effect of ICT ACAP on TI depend on contingency factors?</w:t>
      </w:r>
    </w:p>
    <w:p w14:paraId="00000046" w14:textId="77777777" w:rsidR="00E84757" w:rsidRPr="00C34F89" w:rsidRDefault="00E84757">
      <w:pPr>
        <w:rPr>
          <w:b/>
        </w:rPr>
      </w:pPr>
    </w:p>
    <w:p w14:paraId="00000047" w14:textId="77777777" w:rsidR="00E84757" w:rsidRPr="00C34F89" w:rsidRDefault="007661A5">
      <w:pPr>
        <w:spacing w:before="240" w:after="240"/>
        <w:ind w:left="567" w:hanging="567"/>
        <w:jc w:val="both"/>
        <w:rPr>
          <w:b/>
        </w:rPr>
      </w:pPr>
      <w:r w:rsidRPr="00C34F89">
        <w:rPr>
          <w:b/>
        </w:rPr>
        <w:t>3.</w:t>
      </w:r>
      <w:r w:rsidRPr="00C34F89">
        <w:rPr>
          <w:b/>
        </w:rPr>
        <w:tab/>
        <w:t>Methods</w:t>
      </w:r>
    </w:p>
    <w:p w14:paraId="00000048" w14:textId="77777777" w:rsidR="00E84757" w:rsidRPr="00C34F89" w:rsidRDefault="007661A5">
      <w:pPr>
        <w:spacing w:before="240" w:after="240"/>
        <w:ind w:left="567" w:hanging="567"/>
        <w:jc w:val="both"/>
        <w:rPr>
          <w:i/>
        </w:rPr>
      </w:pPr>
      <w:r w:rsidRPr="00C34F89">
        <w:rPr>
          <w:i/>
        </w:rPr>
        <w:t>3.1.</w:t>
      </w:r>
      <w:r w:rsidRPr="00C34F89">
        <w:tab/>
      </w:r>
      <w:r w:rsidRPr="00C34F89">
        <w:rPr>
          <w:i/>
        </w:rPr>
        <w:t>Sample</w:t>
      </w:r>
    </w:p>
    <w:p w14:paraId="00000049" w14:textId="77777777" w:rsidR="00E84757" w:rsidRPr="00C34F89" w:rsidRDefault="007661A5">
      <w:pPr>
        <w:tabs>
          <w:tab w:val="left" w:pos="567"/>
        </w:tabs>
        <w:spacing w:before="240" w:after="240"/>
        <w:jc w:val="both"/>
      </w:pPr>
      <w:r w:rsidRPr="00C34F89">
        <w:t xml:space="preserve">Our analyses are based on a random sample of school leaders that is representative of Germany. The data was collected in Autumn 2021 by </w:t>
      </w:r>
      <w:proofErr w:type="spellStart"/>
      <w:r w:rsidRPr="00C34F89">
        <w:rPr>
          <w:i/>
        </w:rPr>
        <w:t>forsa</w:t>
      </w:r>
      <w:proofErr w:type="spellEnd"/>
      <w:r w:rsidRPr="00C34F89">
        <w:t xml:space="preserve"> Institute for Social Research and Statistical Analysis in accordance with ESOMAR guidelines. Participants were recruited through </w:t>
      </w:r>
      <w:proofErr w:type="spellStart"/>
      <w:r w:rsidRPr="00C34F89">
        <w:t>forsa’s</w:t>
      </w:r>
      <w:proofErr w:type="spellEnd"/>
      <w:r w:rsidRPr="00C34F89">
        <w:t xml:space="preserve"> Omnibus and </w:t>
      </w:r>
      <w:proofErr w:type="spellStart"/>
      <w:r w:rsidRPr="00C34F89">
        <w:t>Omninet</w:t>
      </w:r>
      <w:proofErr w:type="spellEnd"/>
      <w:r w:rsidRPr="00C34F89">
        <w:t xml:space="preserve"> panels, which include approximately 100,000 participants and are representative of the German-speaking population in Germany, and in which a random sample of approximately 1,000 individuals aged 14 and over are interviewed daily on a mixed topic basis, including questions about their current occupation. The target population comprised principals of all general education schools in Germany, with stratification by school type, gender and region (East and West Germany) to ensure representativeness. In this way, school leaders (N = 411) were randomly identified, resulting in a nationally representative sample for general education schools in Germany. Participants received personalized access to an online questionnaire, also hosted by </w:t>
      </w:r>
      <w:proofErr w:type="spellStart"/>
      <w:r w:rsidRPr="00C34F89">
        <w:rPr>
          <w:i/>
        </w:rPr>
        <w:t>forsa</w:t>
      </w:r>
      <w:proofErr w:type="spellEnd"/>
      <w:r w:rsidRPr="00C34F89">
        <w:t>.</w:t>
      </w:r>
    </w:p>
    <w:p w14:paraId="0000004B" w14:textId="417DDD4C" w:rsidR="00E84757" w:rsidRPr="00C34F89" w:rsidRDefault="007661A5">
      <w:pPr>
        <w:spacing w:before="240" w:after="240"/>
        <w:jc w:val="both"/>
      </w:pPr>
      <w:r w:rsidRPr="00C34F89">
        <w:t>53.2% of the schools are primary, 38.8% secondary, and 8.0% represent other kinds of education, including special-</w:t>
      </w:r>
      <w:proofErr w:type="gramStart"/>
      <w:r w:rsidRPr="00C34F89">
        <w:t>needs</w:t>
      </w:r>
      <w:proofErr w:type="gramEnd"/>
      <w:r w:rsidRPr="00C34F89">
        <w:t xml:space="preserve"> education (2.0%). The average total enrollment is N = 381 students, with a standard deviation of 316 and a range from 5th to 95th percentile of 60 to 1,027 students. Competition with other schools in the local school market is relatively high: on average a school competes with 2.28 schools (SD: 1.11) for students, with only 18% of schools not facing any competition.</w:t>
      </w:r>
    </w:p>
    <w:p w14:paraId="59BB1C3B" w14:textId="7CBDBCAC" w:rsidR="001F691D" w:rsidRPr="00C34F89" w:rsidRDefault="007661A5" w:rsidP="007661A5">
      <w:r w:rsidRPr="00C34F89">
        <w:br w:type="page"/>
      </w:r>
    </w:p>
    <w:p w14:paraId="0000004C" w14:textId="77777777" w:rsidR="00E84757" w:rsidRPr="00C34F89" w:rsidRDefault="007661A5">
      <w:pPr>
        <w:spacing w:before="240" w:after="240"/>
        <w:ind w:left="567" w:hanging="567"/>
        <w:jc w:val="both"/>
        <w:rPr>
          <w:i/>
        </w:rPr>
      </w:pPr>
      <w:r w:rsidRPr="00C34F89">
        <w:rPr>
          <w:i/>
        </w:rPr>
        <w:lastRenderedPageBreak/>
        <w:t xml:space="preserve">3.2. </w:t>
      </w:r>
      <w:r w:rsidRPr="00C34F89">
        <w:rPr>
          <w:i/>
        </w:rPr>
        <w:tab/>
        <w:t>Measures</w:t>
      </w:r>
    </w:p>
    <w:p w14:paraId="0000004D" w14:textId="77777777" w:rsidR="00E84757" w:rsidRPr="00C34F89" w:rsidRDefault="007661A5">
      <w:pPr>
        <w:spacing w:before="240" w:after="240"/>
        <w:jc w:val="both"/>
      </w:pPr>
      <w:r w:rsidRPr="00C34F89">
        <w:rPr>
          <w:i/>
        </w:rPr>
        <w:t xml:space="preserve">Technology Integration (TI). </w:t>
      </w:r>
      <w:r w:rsidRPr="00C34F89">
        <w:t xml:space="preserve">Following the assumption that TI in schools is considered an important educational innovation (Backfisch et al., 2021), we assessed the </w:t>
      </w:r>
      <w:proofErr w:type="gramStart"/>
      <w:r w:rsidRPr="00C34F89">
        <w:t>construct</w:t>
      </w:r>
      <w:proofErr w:type="gramEnd"/>
      <w:r w:rsidRPr="00C34F89">
        <w:t xml:space="preserve"> using the European Community Innovation Survey (CIS; Behrens et al., 2017) framework, which is based on the Oslo Guidelines for collecting, reporting, and using data on innovation (OECD/Eurostat, 2018). The survey was conducted in accordance with the guidelines outlined in the </w:t>
      </w:r>
      <w:r w:rsidRPr="00C34F89">
        <w:rPr>
          <w:i/>
        </w:rPr>
        <w:t>Copenhagen Manual for Collecting Innovations in the Public Sector</w:t>
      </w:r>
      <w:r w:rsidRPr="00C34F89">
        <w:t>, which provides a framework for implementing Innovation Barometer-type surveys (CO-PI, 2021). To meet the objectives of this study, questions Q5, Q6, Q7, and Q9 from the questionnaire included in Appendix 2 of the manual were adopted and adapted. Minor modifications were made to these questions to align them with the specific requirements of the study. Consequently, we followed an open, qualitative approach: First, school leaders were asked whether any process innovations in pedagogical work, i.e., teaching and instruction, had been introduced in their school in the past 12 months, using a binary-coded item (0 = no, not introduced, 1 = yes, introduced). If school leaders answered “yes”, they were then asked to identify up to three of the most important innovations in the past 12 months, using open-ended fields that were ranked by them in order of importance. In relation to these statements, in a third step, they were asked to justify why they considered these innovations to be important, again in free-form fields.</w:t>
      </w:r>
    </w:p>
    <w:p w14:paraId="0000004E" w14:textId="77777777" w:rsidR="00E84757" w:rsidRPr="00C34F89" w:rsidRDefault="007661A5">
      <w:pPr>
        <w:spacing w:before="240" w:after="240"/>
        <w:jc w:val="both"/>
      </w:pPr>
      <w:r w:rsidRPr="00C34F89">
        <w:t xml:space="preserve">Next, we binary coded </w:t>
      </w:r>
      <w:proofErr w:type="gramStart"/>
      <w:r w:rsidRPr="00C34F89">
        <w:t>the open</w:t>
      </w:r>
      <w:proofErr w:type="gramEnd"/>
      <w:r w:rsidRPr="00C34F89">
        <w:t>-ended responses, where digital innovation refers to the appropriate use of digital media in teaching and learning (0 = no innovation at all or no digital innovation, 1 = digital innovation). Subsequently, we used the specific answers given for digital innovations and the associated justifications to categorize these innovations according to the SAMR scheme (</w:t>
      </w:r>
      <w:proofErr w:type="spellStart"/>
      <w:r w:rsidRPr="00C34F89">
        <w:t>Puentedura</w:t>
      </w:r>
      <w:proofErr w:type="spellEnd"/>
      <w:r w:rsidRPr="00C34F89">
        <w:t xml:space="preserve">, 2006; </w:t>
      </w:r>
      <w:proofErr w:type="spellStart"/>
      <w:r w:rsidRPr="00C34F89">
        <w:t>Tunjera</w:t>
      </w:r>
      <w:proofErr w:type="spellEnd"/>
      <w:r w:rsidRPr="00C34F89">
        <w:t xml:space="preserve"> &amp; </w:t>
      </w:r>
      <w:proofErr w:type="spellStart"/>
      <w:r w:rsidRPr="00C34F89">
        <w:t>Chigona</w:t>
      </w:r>
      <w:proofErr w:type="spellEnd"/>
      <w:r w:rsidRPr="00C34F89">
        <w:t xml:space="preserve">, 2020), following the coding scheme of Crompton &amp; Burke (2020). For example, the following innovations were coded as </w:t>
      </w:r>
      <w:r w:rsidRPr="00C34F89">
        <w:rPr>
          <w:i/>
        </w:rPr>
        <w:t>substitution</w:t>
      </w:r>
      <w:r w:rsidRPr="00C34F89">
        <w:t xml:space="preserve">: The digitalization of the class register; synchronous digital teaching; and the introduction of video-conferencing systems, with the aim (justification) of contributing to a “switch to digital documentation and communication”. For </w:t>
      </w:r>
      <w:r w:rsidRPr="00C34F89">
        <w:rPr>
          <w:i/>
        </w:rPr>
        <w:t>augmentation</w:t>
      </w:r>
      <w:r w:rsidRPr="00C34F89">
        <w:t xml:space="preserve"> we coded answers such as: The introduction of a digital learning platform; the use of the school’s own messenger for communication between teachers and parents; and the use of digital tools in the classroom for collaboration and communication. It was not possible for us to separate the two SAMR dimensions </w:t>
      </w:r>
      <w:r w:rsidRPr="00C34F89">
        <w:rPr>
          <w:i/>
        </w:rPr>
        <w:t>modification</w:t>
      </w:r>
      <w:r w:rsidRPr="00C34F89">
        <w:t xml:space="preserve"> and </w:t>
      </w:r>
      <w:r w:rsidRPr="00C34F89">
        <w:rPr>
          <w:i/>
        </w:rPr>
        <w:t>redefinition</w:t>
      </w:r>
      <w:r w:rsidRPr="00C34F89">
        <w:t>. Hence, we combined them in a single dimension. Exemplary answers were: The use of learning apps in the classroom; the use of digital devices and methods, justified by the argument that they offer “additional technical possibilities for learning and teaching processes”; and expansion of digital teaching in collaboration with the university justified with the argument that “we wanted to give the students this opportunity to experience and try out new things for themselves.”</w:t>
      </w:r>
    </w:p>
    <w:p w14:paraId="0000004F" w14:textId="77777777" w:rsidR="00E84757" w:rsidRPr="00C34F89" w:rsidRDefault="007661A5">
      <w:pPr>
        <w:spacing w:before="240" w:after="240"/>
        <w:jc w:val="both"/>
      </w:pPr>
      <w:r w:rsidRPr="00C34F89">
        <w:t xml:space="preserve">According to surveyed school leaders, N = 328 (78.8%) schools have implemented innovations in teaching and instruction in the past 12 months; N = 81 (19.2%) schools have not implemented any innovations; no data on innovations were provided by 2.0% of school leaders. N = 208 of the innovations that were mentioned were coded as digital innovations. Accordingly, digital innovations were introduced at around half of all schools (50.6%) in the 12 months prior to the survey. Correspondingly, other (28.2%) or no (19.2%) innovations were implemented in N = 201 </w:t>
      </w:r>
      <w:r w:rsidRPr="00C34F89">
        <w:lastRenderedPageBreak/>
        <w:t xml:space="preserve">schools. </w:t>
      </w:r>
      <w:proofErr w:type="gramStart"/>
      <w:r w:rsidRPr="00C34F89">
        <w:t>The majority of</w:t>
      </w:r>
      <w:proofErr w:type="gramEnd"/>
      <w:r w:rsidRPr="00C34F89">
        <w:t xml:space="preserve"> digital innovations involve TI at the substitution level (N = 125); N = 53 of the innovations fall into the augmentation category; and very few digital innovations fall into the combined modification and redefinition category (N = 30). For our </w:t>
      </w:r>
      <w:proofErr w:type="gramStart"/>
      <w:r w:rsidRPr="00C34F89">
        <w:t>analyses</w:t>
      </w:r>
      <w:proofErr w:type="gramEnd"/>
      <w:r w:rsidRPr="00C34F89">
        <w:t xml:space="preserve"> we treated TI as a metric variable, coded 0 to 3. Accordingly, the variable we use is a ratio scale that includes an absolute or true zero (Stevens, 1946), indicating the total absence of digital innovations </w:t>
      </w:r>
      <w:proofErr w:type="gramStart"/>
      <w:r w:rsidRPr="00C34F89">
        <w:t>in a given</w:t>
      </w:r>
      <w:proofErr w:type="gramEnd"/>
      <w:r w:rsidRPr="00C34F89">
        <w:t xml:space="preserve"> school, and assumes a hierarchical structure of SAMR.</w:t>
      </w:r>
    </w:p>
    <w:p w14:paraId="00000050" w14:textId="77777777" w:rsidR="00E84757" w:rsidRPr="00C34F89" w:rsidRDefault="007661A5">
      <w:pPr>
        <w:spacing w:before="240" w:after="240"/>
        <w:jc w:val="both"/>
      </w:pPr>
      <w:r w:rsidRPr="00C34F89">
        <w:rPr>
          <w:i/>
        </w:rPr>
        <w:t>External Knowledge</w:t>
      </w:r>
      <w:r w:rsidRPr="00C34F89">
        <w:t xml:space="preserve">. To assess the knowledge inflow in schools, that is the amount and diversity of external knowledge utilized by schools for digital innovation, we followed the Oslo Guidelines for collecting, reporting, and using data on innovation (OECD/Eurostat, 2018). Specifically, we adopted the approach of Laursen and Salter (2006) to measure inbound open innovation, focusing on both open innovation depth (the amount or intensity of external knowledge) and open innovation breadth (the diversity of external knowledge) employed in innovation. To capture this, school leaders were asked where the external knowledge for the reported innovations came from (base question: “Now we would like to know where the knowledge came from for pedagogical innovations, i.e. teaching and instruction, introduced at your school in the last 12 months.”). In line with the guidelines of both the Oslo Manual (OECD/Eurostat, 2018) and the Frascati Manual for measuring Scientific, Technological and Innovation Activities (OECD, 2015), we broadly categorized the sources of knowledge into four main groups: schools and business enterprises, government, higher education, and private non-profit organizations and individuals. Additionally, we incorporated knowledge flows from conferences and literature as potential sources, in alignment with the OECD Manual (OECD/Eurostat, 2018, Table 6.7). </w:t>
      </w:r>
    </w:p>
    <w:p w14:paraId="00000051" w14:textId="77777777" w:rsidR="00E84757" w:rsidRPr="00C34F89" w:rsidRDefault="007661A5">
      <w:pPr>
        <w:spacing w:before="240" w:after="240"/>
        <w:jc w:val="both"/>
      </w:pPr>
      <w:r w:rsidRPr="00C34F89">
        <w:t xml:space="preserve">Precisely, we provided eight potential knowledge sources (item stem: “The knowledge we used for the innovations came from...”), a) parents, guardians, b) other schools, c) authorities, state institutes, d) universities and other scientific institutions, e) independent school-improvement consultants, f) commercial companies, g) professional trainings and/or conventions, and h) professional literature. All items were measured on a six-point scale ranging from “not at all” to “to an exceptionally high degree”. Following Laursen and Salter (2006), two new manifest variables were created from these data as sum scores: Open Innovation Depth represents the sum of the eight knowledge source items. The ordinal Cronbach’s alpha for this scale was α = .72. The same items were used to determine open innovation breadth by first coding the “not at all” category as zero and the other five categories as </w:t>
      </w:r>
      <w:proofErr w:type="gramStart"/>
      <w:r w:rsidRPr="00C34F89">
        <w:t>one, and</w:t>
      </w:r>
      <w:proofErr w:type="gramEnd"/>
      <w:r w:rsidRPr="00C34F89">
        <w:t xml:space="preserve"> then summing the number of all external knowledge sources and dividing by eight. This index of open innovation breadth thus has a minimum of zero (no external innovation sources used) and a maximum of one (all possible external innovation sources used). The </w:t>
      </w:r>
      <w:proofErr w:type="gramStart"/>
      <w:r w:rsidRPr="00C34F89">
        <w:t>ordinal</w:t>
      </w:r>
      <w:proofErr w:type="gramEnd"/>
      <w:r w:rsidRPr="00C34F89">
        <w:t xml:space="preserve"> Cronbach’s alpha of the open innovation breadth scale was α = 0.84.</w:t>
      </w:r>
    </w:p>
    <w:p w14:paraId="00000052" w14:textId="77777777" w:rsidR="00E84757" w:rsidRPr="00C34F89" w:rsidRDefault="007661A5">
      <w:pPr>
        <w:spacing w:before="240" w:after="240"/>
        <w:jc w:val="both"/>
      </w:pPr>
      <w:r w:rsidRPr="00C34F89">
        <w:rPr>
          <w:i/>
        </w:rPr>
        <w:t>ICT Absorptive Capacity</w:t>
      </w:r>
      <w:r w:rsidRPr="00C34F89">
        <w:t xml:space="preserve">. Because we asked school leaders about their school’s ICT ACAP, we adapted a scale from </w:t>
      </w:r>
      <w:proofErr w:type="spellStart"/>
      <w:r w:rsidRPr="00C34F89">
        <w:t>Schweisfurth</w:t>
      </w:r>
      <w:proofErr w:type="spellEnd"/>
      <w:r w:rsidRPr="00C34F89">
        <w:t xml:space="preserve"> and Raasch (2018), based on the preliminary work of </w:t>
      </w:r>
      <w:proofErr w:type="spellStart"/>
      <w:r w:rsidRPr="00C34F89">
        <w:t>Lowik</w:t>
      </w:r>
      <w:proofErr w:type="spellEnd"/>
      <w:r w:rsidRPr="00C34F89">
        <w:t xml:space="preserve"> et al. (2012), to measure our central construct. To help respondents understand what is meant by ICT knowledge, the following explanation, based on Katz (2007), was provided: “Information and communication technology (ICT) knowledge involves knowledge of digital technologies and their appropriate use. It includes the ability to use technology as a tool to locate, organize, evaluate, and communicate information, as well as a basic understanding of the ethical/legal issues </w:t>
      </w:r>
      <w:r w:rsidRPr="00C34F89">
        <w:lastRenderedPageBreak/>
        <w:t xml:space="preserve">involved in accessing and using this information and technology”. Accordingly, the definition of ICT knowledge </w:t>
      </w:r>
      <w:proofErr w:type="spellStart"/>
      <w:r w:rsidRPr="00C34F89">
        <w:t>utilised</w:t>
      </w:r>
      <w:proofErr w:type="spellEnd"/>
      <w:r w:rsidRPr="00C34F89">
        <w:t xml:space="preserve"> within our study follows the idea of ICT literacy and is based on the notion that such literacy </w:t>
      </w:r>
      <w:proofErr w:type="gramStart"/>
      <w:r w:rsidRPr="00C34F89">
        <w:t>predominantly  involves</w:t>
      </w:r>
      <w:proofErr w:type="gramEnd"/>
      <w:r w:rsidRPr="00C34F89">
        <w:t xml:space="preserve"> knowledge about the autonomous use of technologies for processing information, specifically the ability to access, evaluate, and manage information (Hübner et al., 2023). A total of six items </w:t>
      </w:r>
      <w:proofErr w:type="gramStart"/>
      <w:r w:rsidRPr="00C34F89">
        <w:t>measure</w:t>
      </w:r>
      <w:proofErr w:type="gramEnd"/>
      <w:r w:rsidRPr="00C34F89">
        <w:t xml:space="preserve"> a school’s ability to recognize, assimilate, and apply new ICT knowledge. Items were answered on a four-point scale (1 = strongly disagree, 4 = strongly agree). Example items were: “We can easily identify the information and communication technology (ICT) knowledge that is most valuable to us.”; “We translate new information and communication technology (ICT) knowledge into a language that everyone in the school understands.”; and “We exploit newly acquired information and communication technology (ICT) knowledge to change teaching”. The ordinal Cronbach’s alpha of the ICT ACAP scale was α = 0.91.</w:t>
      </w:r>
    </w:p>
    <w:p w14:paraId="00000053" w14:textId="77777777" w:rsidR="00E84757" w:rsidRPr="00C34F89" w:rsidRDefault="007661A5">
      <w:pPr>
        <w:spacing w:before="240" w:after="240"/>
        <w:jc w:val="both"/>
      </w:pPr>
      <w:r w:rsidRPr="00C34F89">
        <w:rPr>
          <w:i/>
        </w:rPr>
        <w:t>Contingency Factors</w:t>
      </w:r>
      <w:r w:rsidRPr="00C34F89">
        <w:t xml:space="preserve">. According to Zarah and George (2002) and Todorova and </w:t>
      </w:r>
      <w:proofErr w:type="spellStart"/>
      <w:r w:rsidRPr="00C34F89">
        <w:t>Durisin</w:t>
      </w:r>
      <w:proofErr w:type="spellEnd"/>
      <w:r w:rsidRPr="00C34F89">
        <w:t xml:space="preserve"> (2007), the effectiveness of ACAP and the way it harnesses external knowledge in organizations is influenced by contingency factors, namely </w:t>
      </w:r>
      <w:r w:rsidRPr="00C34F89">
        <w:rPr>
          <w:i/>
        </w:rPr>
        <w:t>activation triggers</w:t>
      </w:r>
      <w:r w:rsidRPr="00C34F89">
        <w:t xml:space="preserve">, </w:t>
      </w:r>
      <w:r w:rsidRPr="00C34F89">
        <w:rPr>
          <w:i/>
        </w:rPr>
        <w:t>social integration mechanisms</w:t>
      </w:r>
      <w:r w:rsidRPr="00C34F89">
        <w:t xml:space="preserve">, and </w:t>
      </w:r>
      <w:r w:rsidRPr="00C34F89">
        <w:rPr>
          <w:i/>
        </w:rPr>
        <w:t>regimes of appropriability</w:t>
      </w:r>
      <w:r w:rsidRPr="00C34F89">
        <w:t>:</w:t>
      </w:r>
    </w:p>
    <w:p w14:paraId="00000054" w14:textId="77777777" w:rsidR="00E84757" w:rsidRPr="00C34F89" w:rsidRDefault="007661A5">
      <w:pPr>
        <w:numPr>
          <w:ilvl w:val="0"/>
          <w:numId w:val="1"/>
        </w:numPr>
        <w:pBdr>
          <w:top w:val="nil"/>
          <w:left w:val="nil"/>
          <w:bottom w:val="nil"/>
          <w:right w:val="nil"/>
          <w:between w:val="nil"/>
        </w:pBdr>
        <w:spacing w:before="240"/>
        <w:jc w:val="both"/>
      </w:pPr>
      <w:r w:rsidRPr="00C34F89">
        <w:rPr>
          <w:i/>
        </w:rPr>
        <w:t xml:space="preserve">Activation triggers. </w:t>
      </w:r>
      <w:r w:rsidRPr="00C34F89">
        <w:t>One item was developed to investigate an event that was expected to encourage a school to respond (Zarah &amp; George, 2002) to the lack of ICT literacy of teachers within a school: “What challenges does your school face and how big do you think they are? Heterogeneity among teachers in technical/digital literacy.” This item was answered on a four-point scale (1 = no challenge, 4 = extreme challenge).</w:t>
      </w:r>
    </w:p>
    <w:p w14:paraId="00000055" w14:textId="77777777" w:rsidR="00E84757" w:rsidRPr="00C34F89" w:rsidRDefault="007661A5">
      <w:pPr>
        <w:numPr>
          <w:ilvl w:val="0"/>
          <w:numId w:val="1"/>
        </w:numPr>
        <w:pBdr>
          <w:top w:val="nil"/>
          <w:left w:val="nil"/>
          <w:bottom w:val="nil"/>
          <w:right w:val="nil"/>
          <w:between w:val="nil"/>
        </w:pBdr>
        <w:jc w:val="both"/>
      </w:pPr>
      <w:r w:rsidRPr="00C34F89">
        <w:rPr>
          <w:i/>
        </w:rPr>
        <w:t xml:space="preserve">Social integration mechanisms. </w:t>
      </w:r>
      <w:r w:rsidRPr="00C34F89">
        <w:t>To assess the mechanisms that facilitate sharing relevant knowledge in schools (Zarah &amp; George, 2002), we adapted five items from Donate and Sánchez de Pablo’s (2015) knowledge transfer practices scale. The base question was: “In order for (new) knowledge to be sustainably integrated in a school, it is helpful to exchange information in a variety of ways. How did knowledge sharing take place within the school in the last 12 months?”. An example item is: “There were projects involving interdisciplinary teams or working groups to share knowledge”. Items were answered on a four-point scale (1 = strongly disagree, 4 = strongly agree). The ordinal Cronbach’s alpha of the knowledge sharing scale was α = 0.79.</w:t>
      </w:r>
    </w:p>
    <w:p w14:paraId="00000057" w14:textId="4F80990A" w:rsidR="007661A5" w:rsidRPr="00C34F89" w:rsidRDefault="007661A5" w:rsidP="007661A5">
      <w:pPr>
        <w:numPr>
          <w:ilvl w:val="0"/>
          <w:numId w:val="1"/>
        </w:numPr>
        <w:pBdr>
          <w:top w:val="nil"/>
          <w:left w:val="nil"/>
          <w:bottom w:val="nil"/>
          <w:right w:val="nil"/>
          <w:between w:val="nil"/>
        </w:pBdr>
        <w:jc w:val="both"/>
      </w:pPr>
      <w:r w:rsidRPr="00C34F89">
        <w:rPr>
          <w:i/>
        </w:rPr>
        <w:t xml:space="preserve">Regimes of appropriability. </w:t>
      </w:r>
      <w:r w:rsidRPr="00C34F89">
        <w:t xml:space="preserve">To measure the extent to which knowledge and innovation in schools are institutionally protected from imitators (strong regime) and shared (weak regime) in collaborations and alliances (Teece, 1986), we adapted </w:t>
      </w:r>
      <w:proofErr w:type="spellStart"/>
      <w:r w:rsidRPr="00C34F89">
        <w:t>Bouncken</w:t>
      </w:r>
      <w:proofErr w:type="spellEnd"/>
      <w:r w:rsidRPr="00C34F89">
        <w:t xml:space="preserve"> and Fredrich’s (2012) coopetition scale. The scale captures the paradox of simultaneously collaborating and competing with other schools, as coopetition is </w:t>
      </w:r>
      <w:proofErr w:type="gramStart"/>
      <w:r w:rsidRPr="00C34F89">
        <w:t>regarded</w:t>
      </w:r>
      <w:proofErr w:type="gramEnd"/>
      <w:r w:rsidRPr="00C34F89">
        <w:t xml:space="preserve"> an essential prerequisite for technological innovations, especially in dynamic environments (Corbo et al., 2023; Jorde &amp; Teece, 1990). It should be noted that appropriability goes beyond coopetition and that in this regard, only one aspect of appropriability is examined here. An example item was: “We collaborate with schools with which we compete for students to achieve common goals”. The four Items were answered on a four-point scale (1 = strongly disagree, 4 = strongly agree). The ordinal Cronbach’s alpha of the coopetition scale was α = 0.85.</w:t>
      </w:r>
    </w:p>
    <w:p w14:paraId="044C70FA" w14:textId="29668FBE" w:rsidR="00E84757" w:rsidRPr="00C34F89" w:rsidRDefault="007661A5" w:rsidP="007661A5">
      <w:pPr>
        <w:rPr>
          <w:b/>
        </w:rPr>
      </w:pPr>
      <w:r w:rsidRPr="00C34F89">
        <w:rPr>
          <w:b/>
        </w:rPr>
        <w:br w:type="page"/>
      </w:r>
    </w:p>
    <w:p w14:paraId="00000058" w14:textId="77777777" w:rsidR="00E84757" w:rsidRPr="00C34F89" w:rsidRDefault="007661A5">
      <w:pPr>
        <w:spacing w:before="240" w:after="240"/>
        <w:ind w:left="567" w:hanging="567"/>
        <w:jc w:val="both"/>
        <w:rPr>
          <w:i/>
        </w:rPr>
      </w:pPr>
      <w:r w:rsidRPr="00C34F89">
        <w:rPr>
          <w:i/>
        </w:rPr>
        <w:lastRenderedPageBreak/>
        <w:t xml:space="preserve">3.3. </w:t>
      </w:r>
      <w:r w:rsidRPr="00C34F89">
        <w:rPr>
          <w:i/>
        </w:rPr>
        <w:tab/>
        <w:t>Data Analyses</w:t>
      </w:r>
    </w:p>
    <w:p w14:paraId="00000059" w14:textId="77777777" w:rsidR="00E84757" w:rsidRPr="00C34F89" w:rsidRDefault="007661A5">
      <w:pPr>
        <w:spacing w:before="240" w:after="240"/>
        <w:jc w:val="both"/>
      </w:pPr>
      <w:r w:rsidRPr="00C34F89">
        <w:t xml:space="preserve">For evaluating the effects of ACAP we applied structural equation modelling (SEM) in </w:t>
      </w:r>
      <w:proofErr w:type="spellStart"/>
      <w:r w:rsidRPr="00C34F89">
        <w:t>M</w:t>
      </w:r>
      <w:r w:rsidRPr="00C34F89">
        <w:rPr>
          <w:i/>
        </w:rPr>
        <w:t>plus</w:t>
      </w:r>
      <w:proofErr w:type="spellEnd"/>
      <w:r w:rsidRPr="00C34F89">
        <w:t xml:space="preserve"> 8.6 (</w:t>
      </w:r>
      <w:proofErr w:type="spellStart"/>
      <w:r w:rsidRPr="00C34F89">
        <w:t>Muthén</w:t>
      </w:r>
      <w:proofErr w:type="spellEnd"/>
      <w:r w:rsidRPr="00C34F89">
        <w:t xml:space="preserve"> &amp; </w:t>
      </w:r>
      <w:proofErr w:type="spellStart"/>
      <w:r w:rsidRPr="00C34F89">
        <w:t>Muthén</w:t>
      </w:r>
      <w:proofErr w:type="spellEnd"/>
      <w:r w:rsidRPr="00C34F89">
        <w:t xml:space="preserve">, 2021) and used Full Information Maximum Likelihood (FIML) to address missing data (Lei &amp; Shiverdecker, 2020). Preliminary, we checked for multicollinearity by predicting SAMR with the observed independent variables in a linear regression model and variance inflation factor values were lower than 3.60, which is considered acceptable (Grewal et al., 2004; Kline, 2016). </w:t>
      </w:r>
      <w:proofErr w:type="gramStart"/>
      <w:r w:rsidRPr="00C34F89">
        <w:t>In order to</w:t>
      </w:r>
      <w:proofErr w:type="gramEnd"/>
      <w:r w:rsidRPr="00C34F89">
        <w:t xml:space="preserve"> assess the goodness of fit of the models, we used the standardized root mean square residual (SRMR) and the comparative fit index (CFI), with cut-offs of SRMR&lt;.08 and CFI&gt;0.95 (</w:t>
      </w:r>
      <w:proofErr w:type="spellStart"/>
      <w:r w:rsidRPr="00C34F89">
        <w:t>Schermelleh</w:t>
      </w:r>
      <w:proofErr w:type="spellEnd"/>
      <w:r w:rsidRPr="00C34F89">
        <w:t xml:space="preserve">-Engel &amp; Moosbrugger, 2003; Shi &amp; </w:t>
      </w:r>
      <w:proofErr w:type="spellStart"/>
      <w:r w:rsidRPr="00C34F89">
        <w:t>Maydeu</w:t>
      </w:r>
      <w:proofErr w:type="spellEnd"/>
      <w:r w:rsidRPr="00C34F89">
        <w:t>-Olivares, 2020). As explained in the measures section and depicted in Figure 2, only ACAP was treated as a latent variable and the dependent variable was treated as a continuous variable. To assess indirect or mediated effects, we further tested the robustness of the mediation effects through bootstrapped mediation analysis that provides 95% bias-corrected bootstrap confidence intervals with 5,000 bootstrap replications (Hayes, 2018; Preacher &amp; Hayes, 2008). Indirect effects are significant if the 95% confidence intervals (CIs) do not include zero (Hayes, 2018). From a sensitivity analyses approach, we tested the same equations with the dependent variable declared as categorical.</w:t>
      </w:r>
    </w:p>
    <w:p w14:paraId="0000005A" w14:textId="77777777" w:rsidR="00E84757" w:rsidRPr="00C34F89" w:rsidRDefault="007661A5">
      <w:pPr>
        <w:spacing w:before="240" w:after="240"/>
        <w:jc w:val="both"/>
      </w:pPr>
      <w:r w:rsidRPr="00C34F89">
        <w:t>As a second step, we investigated the role of contingency factors in the relation between external knowledge, ACAP and TI in schools applying a classification and regression trees (CART) procedure (</w:t>
      </w:r>
      <w:proofErr w:type="spellStart"/>
      <w:r w:rsidRPr="00C34F89">
        <w:t>Breiman</w:t>
      </w:r>
      <w:proofErr w:type="spellEnd"/>
      <w:r w:rsidRPr="00C34F89">
        <w:t xml:space="preserve"> et al., 1984) as a machine learning approach using </w:t>
      </w:r>
      <w:r w:rsidRPr="00C34F89">
        <w:rPr>
          <w:i/>
        </w:rPr>
        <w:t>R</w:t>
      </w:r>
      <w:r w:rsidRPr="00C34F89">
        <w:t xml:space="preserve">. This approach was adopted due to the lack of clarity surrounding the precise nature of the relationships between variables in the ACAP model. Additionally, even valid controls may be endogenous, representing a combination of multiple causal mechanisms (Hünermund &amp; Louw, 2020; Pietsch et al., 2025). Consequently, the CART procedure, a machine learning approach, was employed to predict TI without making assumptions about linearity or predefined non-linearity (i.e., SEM). The </w:t>
      </w:r>
      <w:proofErr w:type="spellStart"/>
      <w:r w:rsidRPr="00C34F89">
        <w:rPr>
          <w:i/>
        </w:rPr>
        <w:t>rpart</w:t>
      </w:r>
      <w:proofErr w:type="spellEnd"/>
      <w:r w:rsidRPr="00C34F89">
        <w:t xml:space="preserve"> function (</w:t>
      </w:r>
      <w:proofErr w:type="spellStart"/>
      <w:r w:rsidRPr="00C34F89">
        <w:t>Therneau</w:t>
      </w:r>
      <w:proofErr w:type="spellEnd"/>
      <w:r w:rsidRPr="00C34F89">
        <w:t xml:space="preserve"> &amp; Atkinson, 2014) was chosen to implement the algorithm that divides data into subsets based on the predictive power of independent variables with a minimum subset size of 20 to prevent overfitting. A successful implementation of CART can be used for sensitivity analysis and can uncover additional predictive insights (Hilbert et al., 2021; Leavitt et al., 2021). We used </w:t>
      </w:r>
      <w:r w:rsidRPr="00C34F89">
        <w:rPr>
          <w:i/>
        </w:rPr>
        <w:t>rattle</w:t>
      </w:r>
      <w:r w:rsidRPr="00C34F89">
        <w:t xml:space="preserve"> (Williams, 2011) to visualize CART results.</w:t>
      </w:r>
    </w:p>
    <w:p w14:paraId="0000005B" w14:textId="15FC0BB9" w:rsidR="00E84757" w:rsidRPr="00C34F89" w:rsidRDefault="00E84757"/>
    <w:p w14:paraId="0000005C" w14:textId="77777777" w:rsidR="00E84757" w:rsidRPr="00C34F89" w:rsidRDefault="007661A5">
      <w:pPr>
        <w:spacing w:before="240" w:after="240"/>
        <w:ind w:left="567" w:hanging="567"/>
        <w:jc w:val="both"/>
        <w:rPr>
          <w:b/>
        </w:rPr>
      </w:pPr>
      <w:r w:rsidRPr="00C34F89">
        <w:rPr>
          <w:b/>
        </w:rPr>
        <w:t>4</w:t>
      </w:r>
      <w:proofErr w:type="gramStart"/>
      <w:r w:rsidRPr="00C34F89">
        <w:rPr>
          <w:b/>
        </w:rPr>
        <w:t xml:space="preserve">. </w:t>
      </w:r>
      <w:r w:rsidRPr="00C34F89">
        <w:rPr>
          <w:b/>
        </w:rPr>
        <w:tab/>
        <w:t>Results</w:t>
      </w:r>
      <w:proofErr w:type="gramEnd"/>
    </w:p>
    <w:p w14:paraId="0000005D" w14:textId="77777777" w:rsidR="00E84757" w:rsidRPr="00C34F89" w:rsidRDefault="007661A5">
      <w:pPr>
        <w:spacing w:before="240" w:after="240"/>
        <w:ind w:left="567" w:hanging="567"/>
        <w:jc w:val="both"/>
        <w:rPr>
          <w:i/>
        </w:rPr>
      </w:pPr>
      <w:r w:rsidRPr="00C34F89">
        <w:rPr>
          <w:i/>
        </w:rPr>
        <w:t xml:space="preserve">4.1. </w:t>
      </w:r>
      <w:r w:rsidRPr="00C34F89">
        <w:rPr>
          <w:i/>
        </w:rPr>
        <w:tab/>
        <w:t>Descriptives and Correlations</w:t>
      </w:r>
    </w:p>
    <w:p w14:paraId="0000005E" w14:textId="77777777" w:rsidR="00E84757" w:rsidRPr="00C34F89" w:rsidRDefault="007661A5">
      <w:pPr>
        <w:spacing w:before="240" w:after="240"/>
        <w:jc w:val="both"/>
      </w:pPr>
      <w:r w:rsidRPr="00C34F89">
        <w:t>The results of the descriptive statistics are presented in Tables 1 and 2. They show that TI in schools ranged between non-existent and substitution (</w:t>
      </w:r>
      <w:r w:rsidRPr="00C34F89">
        <w:rPr>
          <w:i/>
        </w:rPr>
        <w:t>M</w:t>
      </w:r>
      <w:r w:rsidRPr="00C34F89">
        <w:rPr>
          <w:i/>
          <w:vertAlign w:val="subscript"/>
        </w:rPr>
        <w:t>SAMR</w:t>
      </w:r>
      <w:r w:rsidRPr="00C34F89">
        <w:t>=0.781). Schools, on average, used five knowledge sources for educational innovation (</w:t>
      </w:r>
      <w:r w:rsidRPr="00C34F89">
        <w:rPr>
          <w:i/>
        </w:rPr>
        <w:t>M</w:t>
      </w:r>
      <w:r w:rsidRPr="00C34F89">
        <w:rPr>
          <w:i/>
          <w:vertAlign w:val="subscript"/>
        </w:rPr>
        <w:t>INNO_B</w:t>
      </w:r>
      <w:r w:rsidRPr="00C34F89">
        <w:t>=5.12) but generally incorporated little external knowledge into internal school innovations (</w:t>
      </w:r>
      <w:r w:rsidRPr="00C34F89">
        <w:rPr>
          <w:i/>
        </w:rPr>
        <w:t>M</w:t>
      </w:r>
      <w:r w:rsidRPr="00C34F89">
        <w:rPr>
          <w:i/>
          <w:vertAlign w:val="subscript"/>
        </w:rPr>
        <w:t>INNO_D</w:t>
      </w:r>
      <w:r w:rsidRPr="00C34F89">
        <w:t>=19.10). The heterogeneity of teachers’ ICT skills was seen as a major to extreme challenge (</w:t>
      </w:r>
      <w:r w:rsidRPr="00C34F89">
        <w:rPr>
          <w:i/>
        </w:rPr>
        <w:t>M</w:t>
      </w:r>
      <w:r w:rsidRPr="00C34F89">
        <w:rPr>
          <w:i/>
          <w:vertAlign w:val="subscript"/>
        </w:rPr>
        <w:t>CHAL</w:t>
      </w:r>
      <w:r w:rsidRPr="00C34F89">
        <w:t>=3.24). ICT ACAP in schools was at a medium level (</w:t>
      </w:r>
      <w:r w:rsidRPr="00C34F89">
        <w:rPr>
          <w:i/>
        </w:rPr>
        <w:t>M</w:t>
      </w:r>
      <w:r w:rsidRPr="00C34F89">
        <w:rPr>
          <w:i/>
          <w:vertAlign w:val="subscript"/>
        </w:rPr>
        <w:t>ACAP</w:t>
      </w:r>
      <w:r w:rsidRPr="00C34F89">
        <w:t>=16.50) as is knowledge sharing (</w:t>
      </w:r>
      <w:r w:rsidRPr="00C34F89">
        <w:rPr>
          <w:i/>
        </w:rPr>
        <w:t>M</w:t>
      </w:r>
      <w:r w:rsidRPr="00C34F89">
        <w:rPr>
          <w:i/>
          <w:vertAlign w:val="subscript"/>
        </w:rPr>
        <w:t>KS</w:t>
      </w:r>
      <w:r w:rsidRPr="00C34F89">
        <w:t xml:space="preserve">=13.30). In contrast, there </w:t>
      </w:r>
      <w:r w:rsidRPr="00C34F89">
        <w:lastRenderedPageBreak/>
        <w:t xml:space="preserve">was little collaboration between schools with which they are in competition </w:t>
      </w:r>
      <w:proofErr w:type="gramStart"/>
      <w:r w:rsidRPr="00C34F89">
        <w:t>for</w:t>
      </w:r>
      <w:proofErr w:type="gramEnd"/>
      <w:r w:rsidRPr="00C34F89">
        <w:t xml:space="preserve"> students, hence, coopetition (</w:t>
      </w:r>
      <w:r w:rsidRPr="00C34F89">
        <w:rPr>
          <w:i/>
        </w:rPr>
        <w:t>M</w:t>
      </w:r>
      <w:r w:rsidRPr="00C34F89">
        <w:rPr>
          <w:i/>
          <w:vertAlign w:val="subscript"/>
        </w:rPr>
        <w:t>COOP</w:t>
      </w:r>
      <w:r w:rsidRPr="00C34F89">
        <w:t xml:space="preserve"> = 6.05).</w:t>
      </w:r>
    </w:p>
    <w:p w14:paraId="0000005F" w14:textId="77777777" w:rsidR="00E84757" w:rsidRPr="00C34F89" w:rsidRDefault="00E84757">
      <w:pPr>
        <w:spacing w:before="240" w:after="240"/>
        <w:jc w:val="both"/>
      </w:pPr>
    </w:p>
    <w:p w14:paraId="00000060" w14:textId="77777777" w:rsidR="00E84757" w:rsidRPr="00C34F89" w:rsidRDefault="007661A5">
      <w:pPr>
        <w:spacing w:before="240" w:after="240"/>
        <w:jc w:val="both"/>
      </w:pPr>
      <w:r w:rsidRPr="00C34F89">
        <w:t>Table 1. Descriptive statistics of variables</w:t>
      </w:r>
    </w:p>
    <w:tbl>
      <w:tblPr>
        <w:tblStyle w:val="a3"/>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125"/>
        <w:gridCol w:w="1140"/>
        <w:gridCol w:w="1140"/>
        <w:gridCol w:w="1125"/>
        <w:gridCol w:w="1125"/>
        <w:gridCol w:w="1125"/>
        <w:gridCol w:w="1125"/>
      </w:tblGrid>
      <w:tr w:rsidR="00E84757" w:rsidRPr="00C34F89" w14:paraId="07D791F6" w14:textId="77777777">
        <w:trPr>
          <w:trHeight w:val="285"/>
        </w:trPr>
        <w:tc>
          <w:tcPr>
            <w:tcW w:w="1245" w:type="dxa"/>
            <w:tcBorders>
              <w:top w:val="single" w:sz="8" w:space="0" w:color="000000"/>
              <w:bottom w:val="single" w:sz="8" w:space="0" w:color="000000"/>
            </w:tcBorders>
            <w:tcMar>
              <w:top w:w="0" w:type="dxa"/>
              <w:left w:w="100" w:type="dxa"/>
              <w:bottom w:w="0" w:type="dxa"/>
              <w:right w:w="100" w:type="dxa"/>
            </w:tcMar>
          </w:tcPr>
          <w:p w14:paraId="00000061" w14:textId="77777777" w:rsidR="00E84757" w:rsidRPr="00C34F89" w:rsidRDefault="007661A5">
            <w:pPr>
              <w:jc w:val="both"/>
              <w:rPr>
                <w:b/>
              </w:rPr>
            </w:pPr>
            <w:r w:rsidRPr="00C34F89">
              <w:rPr>
                <w:b/>
              </w:rPr>
              <w:t xml:space="preserve"> </w:t>
            </w:r>
          </w:p>
        </w:tc>
        <w:tc>
          <w:tcPr>
            <w:tcW w:w="1125" w:type="dxa"/>
            <w:tcBorders>
              <w:top w:val="single" w:sz="8" w:space="0" w:color="000000"/>
              <w:bottom w:val="single" w:sz="8" w:space="0" w:color="000000"/>
            </w:tcBorders>
            <w:tcMar>
              <w:top w:w="0" w:type="dxa"/>
              <w:left w:w="100" w:type="dxa"/>
              <w:bottom w:w="0" w:type="dxa"/>
              <w:right w:w="100" w:type="dxa"/>
            </w:tcMar>
          </w:tcPr>
          <w:p w14:paraId="00000062" w14:textId="77777777" w:rsidR="00E84757" w:rsidRPr="00C34F89" w:rsidRDefault="007661A5">
            <w:pPr>
              <w:jc w:val="right"/>
              <w:rPr>
                <w:b/>
              </w:rPr>
            </w:pPr>
            <w:r w:rsidRPr="00C34F89">
              <w:rPr>
                <w:b/>
              </w:rPr>
              <w:t>SAMR</w:t>
            </w:r>
          </w:p>
        </w:tc>
        <w:tc>
          <w:tcPr>
            <w:tcW w:w="1140" w:type="dxa"/>
            <w:tcBorders>
              <w:top w:val="single" w:sz="8" w:space="0" w:color="000000"/>
              <w:bottom w:val="single" w:sz="8" w:space="0" w:color="000000"/>
            </w:tcBorders>
            <w:tcMar>
              <w:top w:w="0" w:type="dxa"/>
              <w:left w:w="100" w:type="dxa"/>
              <w:bottom w:w="0" w:type="dxa"/>
              <w:right w:w="100" w:type="dxa"/>
            </w:tcMar>
          </w:tcPr>
          <w:p w14:paraId="00000063" w14:textId="77777777" w:rsidR="00E84757" w:rsidRPr="00C34F89" w:rsidRDefault="007661A5">
            <w:pPr>
              <w:jc w:val="right"/>
              <w:rPr>
                <w:b/>
              </w:rPr>
            </w:pPr>
            <w:r w:rsidRPr="00C34F89">
              <w:rPr>
                <w:b/>
              </w:rPr>
              <w:t>INNO_B</w:t>
            </w:r>
          </w:p>
        </w:tc>
        <w:tc>
          <w:tcPr>
            <w:tcW w:w="1140" w:type="dxa"/>
            <w:tcBorders>
              <w:top w:val="single" w:sz="8" w:space="0" w:color="000000"/>
              <w:bottom w:val="single" w:sz="8" w:space="0" w:color="000000"/>
            </w:tcBorders>
            <w:tcMar>
              <w:top w:w="0" w:type="dxa"/>
              <w:left w:w="100" w:type="dxa"/>
              <w:bottom w:w="0" w:type="dxa"/>
              <w:right w:w="100" w:type="dxa"/>
            </w:tcMar>
          </w:tcPr>
          <w:p w14:paraId="00000064" w14:textId="77777777" w:rsidR="00E84757" w:rsidRPr="00C34F89" w:rsidRDefault="007661A5">
            <w:pPr>
              <w:jc w:val="right"/>
              <w:rPr>
                <w:b/>
              </w:rPr>
            </w:pPr>
            <w:r w:rsidRPr="00C34F89">
              <w:rPr>
                <w:b/>
              </w:rPr>
              <w:t>INNO_D</w:t>
            </w:r>
          </w:p>
        </w:tc>
        <w:tc>
          <w:tcPr>
            <w:tcW w:w="1125" w:type="dxa"/>
            <w:tcBorders>
              <w:top w:val="single" w:sz="8" w:space="0" w:color="000000"/>
              <w:bottom w:val="single" w:sz="8" w:space="0" w:color="000000"/>
            </w:tcBorders>
            <w:tcMar>
              <w:top w:w="0" w:type="dxa"/>
              <w:left w:w="100" w:type="dxa"/>
              <w:bottom w:w="0" w:type="dxa"/>
              <w:right w:w="100" w:type="dxa"/>
            </w:tcMar>
          </w:tcPr>
          <w:p w14:paraId="00000065" w14:textId="77777777" w:rsidR="00E84757" w:rsidRPr="00C34F89" w:rsidRDefault="007661A5">
            <w:pPr>
              <w:jc w:val="right"/>
              <w:rPr>
                <w:b/>
              </w:rPr>
            </w:pPr>
            <w:r w:rsidRPr="00C34F89">
              <w:rPr>
                <w:b/>
              </w:rPr>
              <w:t>CHAL</w:t>
            </w:r>
          </w:p>
        </w:tc>
        <w:tc>
          <w:tcPr>
            <w:tcW w:w="1125" w:type="dxa"/>
            <w:tcBorders>
              <w:top w:val="single" w:sz="8" w:space="0" w:color="000000"/>
              <w:bottom w:val="single" w:sz="8" w:space="0" w:color="000000"/>
            </w:tcBorders>
            <w:tcMar>
              <w:top w:w="0" w:type="dxa"/>
              <w:left w:w="100" w:type="dxa"/>
              <w:bottom w:w="0" w:type="dxa"/>
              <w:right w:w="100" w:type="dxa"/>
            </w:tcMar>
          </w:tcPr>
          <w:p w14:paraId="00000066" w14:textId="77777777" w:rsidR="00E84757" w:rsidRPr="00C34F89" w:rsidRDefault="007661A5">
            <w:pPr>
              <w:jc w:val="right"/>
              <w:rPr>
                <w:b/>
              </w:rPr>
            </w:pPr>
            <w:r w:rsidRPr="00C34F89">
              <w:rPr>
                <w:b/>
              </w:rPr>
              <w:t>ACAP</w:t>
            </w:r>
          </w:p>
        </w:tc>
        <w:tc>
          <w:tcPr>
            <w:tcW w:w="1125" w:type="dxa"/>
            <w:tcBorders>
              <w:top w:val="single" w:sz="8" w:space="0" w:color="000000"/>
              <w:bottom w:val="single" w:sz="8" w:space="0" w:color="000000"/>
            </w:tcBorders>
            <w:tcMar>
              <w:top w:w="0" w:type="dxa"/>
              <w:left w:w="100" w:type="dxa"/>
              <w:bottom w:w="0" w:type="dxa"/>
              <w:right w:w="100" w:type="dxa"/>
            </w:tcMar>
          </w:tcPr>
          <w:p w14:paraId="00000067" w14:textId="77777777" w:rsidR="00E84757" w:rsidRPr="00C34F89" w:rsidRDefault="007661A5">
            <w:pPr>
              <w:jc w:val="right"/>
              <w:rPr>
                <w:b/>
              </w:rPr>
            </w:pPr>
            <w:r w:rsidRPr="00C34F89">
              <w:rPr>
                <w:b/>
              </w:rPr>
              <w:t>KS</w:t>
            </w:r>
          </w:p>
        </w:tc>
        <w:tc>
          <w:tcPr>
            <w:tcW w:w="1125" w:type="dxa"/>
            <w:tcBorders>
              <w:top w:val="single" w:sz="8" w:space="0" w:color="000000"/>
              <w:bottom w:val="single" w:sz="8" w:space="0" w:color="000000"/>
            </w:tcBorders>
            <w:tcMar>
              <w:top w:w="0" w:type="dxa"/>
              <w:left w:w="100" w:type="dxa"/>
              <w:bottom w:w="0" w:type="dxa"/>
              <w:right w:w="100" w:type="dxa"/>
            </w:tcMar>
          </w:tcPr>
          <w:p w14:paraId="00000068" w14:textId="77777777" w:rsidR="00E84757" w:rsidRPr="00C34F89" w:rsidRDefault="007661A5">
            <w:pPr>
              <w:jc w:val="right"/>
              <w:rPr>
                <w:b/>
              </w:rPr>
            </w:pPr>
            <w:r w:rsidRPr="00C34F89">
              <w:rPr>
                <w:b/>
              </w:rPr>
              <w:t>COOP</w:t>
            </w:r>
          </w:p>
        </w:tc>
      </w:tr>
      <w:tr w:rsidR="00E84757" w:rsidRPr="00C34F89" w14:paraId="74073DEA" w14:textId="77777777">
        <w:trPr>
          <w:trHeight w:val="270"/>
        </w:trPr>
        <w:tc>
          <w:tcPr>
            <w:tcW w:w="1245" w:type="dxa"/>
            <w:tcMar>
              <w:top w:w="0" w:type="dxa"/>
              <w:left w:w="100" w:type="dxa"/>
              <w:bottom w:w="0" w:type="dxa"/>
              <w:right w:w="100" w:type="dxa"/>
            </w:tcMar>
          </w:tcPr>
          <w:p w14:paraId="00000069" w14:textId="77777777" w:rsidR="00E84757" w:rsidRPr="00C34F89" w:rsidRDefault="007661A5">
            <w:pPr>
              <w:jc w:val="both"/>
            </w:pPr>
            <w:r w:rsidRPr="00C34F89">
              <w:t>N</w:t>
            </w:r>
          </w:p>
        </w:tc>
        <w:tc>
          <w:tcPr>
            <w:tcW w:w="1125" w:type="dxa"/>
            <w:tcMar>
              <w:top w:w="0" w:type="dxa"/>
              <w:left w:w="100" w:type="dxa"/>
              <w:bottom w:w="0" w:type="dxa"/>
              <w:right w:w="100" w:type="dxa"/>
            </w:tcMar>
          </w:tcPr>
          <w:p w14:paraId="0000006A" w14:textId="77777777" w:rsidR="00E84757" w:rsidRPr="00C34F89" w:rsidRDefault="007661A5">
            <w:pPr>
              <w:jc w:val="right"/>
            </w:pPr>
            <w:r w:rsidRPr="00C34F89">
              <w:t>411</w:t>
            </w:r>
          </w:p>
        </w:tc>
        <w:tc>
          <w:tcPr>
            <w:tcW w:w="1140" w:type="dxa"/>
            <w:tcMar>
              <w:top w:w="0" w:type="dxa"/>
              <w:left w:w="100" w:type="dxa"/>
              <w:bottom w:w="0" w:type="dxa"/>
              <w:right w:w="100" w:type="dxa"/>
            </w:tcMar>
          </w:tcPr>
          <w:p w14:paraId="0000006B" w14:textId="77777777" w:rsidR="00E84757" w:rsidRPr="00C34F89" w:rsidRDefault="007661A5">
            <w:pPr>
              <w:jc w:val="right"/>
            </w:pPr>
            <w:r w:rsidRPr="00C34F89">
              <w:t>398</w:t>
            </w:r>
          </w:p>
        </w:tc>
        <w:tc>
          <w:tcPr>
            <w:tcW w:w="1140" w:type="dxa"/>
            <w:tcMar>
              <w:top w:w="0" w:type="dxa"/>
              <w:left w:w="100" w:type="dxa"/>
              <w:bottom w:w="0" w:type="dxa"/>
              <w:right w:w="100" w:type="dxa"/>
            </w:tcMar>
          </w:tcPr>
          <w:p w14:paraId="0000006C" w14:textId="77777777" w:rsidR="00E84757" w:rsidRPr="00C34F89" w:rsidRDefault="007661A5">
            <w:pPr>
              <w:jc w:val="right"/>
            </w:pPr>
            <w:r w:rsidRPr="00C34F89">
              <w:t>398</w:t>
            </w:r>
          </w:p>
        </w:tc>
        <w:tc>
          <w:tcPr>
            <w:tcW w:w="1125" w:type="dxa"/>
            <w:tcMar>
              <w:top w:w="0" w:type="dxa"/>
              <w:left w:w="100" w:type="dxa"/>
              <w:bottom w:w="0" w:type="dxa"/>
              <w:right w:w="100" w:type="dxa"/>
            </w:tcMar>
          </w:tcPr>
          <w:p w14:paraId="0000006D" w14:textId="77777777" w:rsidR="00E84757" w:rsidRPr="00C34F89" w:rsidRDefault="007661A5">
            <w:pPr>
              <w:jc w:val="right"/>
            </w:pPr>
            <w:r w:rsidRPr="00C34F89">
              <w:t>411</w:t>
            </w:r>
          </w:p>
        </w:tc>
        <w:tc>
          <w:tcPr>
            <w:tcW w:w="1125" w:type="dxa"/>
            <w:tcMar>
              <w:top w:w="0" w:type="dxa"/>
              <w:left w:w="100" w:type="dxa"/>
              <w:bottom w:w="0" w:type="dxa"/>
              <w:right w:w="100" w:type="dxa"/>
            </w:tcMar>
          </w:tcPr>
          <w:p w14:paraId="0000006E" w14:textId="77777777" w:rsidR="00E84757" w:rsidRPr="00C34F89" w:rsidRDefault="007661A5">
            <w:pPr>
              <w:jc w:val="right"/>
            </w:pPr>
            <w:r w:rsidRPr="00C34F89">
              <w:t>388</w:t>
            </w:r>
          </w:p>
        </w:tc>
        <w:tc>
          <w:tcPr>
            <w:tcW w:w="1125" w:type="dxa"/>
            <w:tcMar>
              <w:top w:w="0" w:type="dxa"/>
              <w:left w:w="100" w:type="dxa"/>
              <w:bottom w:w="0" w:type="dxa"/>
              <w:right w:w="100" w:type="dxa"/>
            </w:tcMar>
          </w:tcPr>
          <w:p w14:paraId="0000006F" w14:textId="77777777" w:rsidR="00E84757" w:rsidRPr="00C34F89" w:rsidRDefault="007661A5">
            <w:pPr>
              <w:jc w:val="right"/>
            </w:pPr>
            <w:r w:rsidRPr="00C34F89">
              <w:t>403</w:t>
            </w:r>
          </w:p>
        </w:tc>
        <w:tc>
          <w:tcPr>
            <w:tcW w:w="1125" w:type="dxa"/>
            <w:tcMar>
              <w:top w:w="0" w:type="dxa"/>
              <w:left w:w="100" w:type="dxa"/>
              <w:bottom w:w="0" w:type="dxa"/>
              <w:right w:w="100" w:type="dxa"/>
            </w:tcMar>
          </w:tcPr>
          <w:p w14:paraId="00000070" w14:textId="77777777" w:rsidR="00E84757" w:rsidRPr="00C34F89" w:rsidRDefault="007661A5">
            <w:pPr>
              <w:jc w:val="right"/>
            </w:pPr>
            <w:r w:rsidRPr="00C34F89">
              <w:t>373</w:t>
            </w:r>
          </w:p>
        </w:tc>
      </w:tr>
      <w:tr w:rsidR="00E84757" w:rsidRPr="00C34F89" w14:paraId="54DF3903" w14:textId="77777777">
        <w:trPr>
          <w:trHeight w:val="270"/>
        </w:trPr>
        <w:tc>
          <w:tcPr>
            <w:tcW w:w="1245" w:type="dxa"/>
            <w:tcMar>
              <w:top w:w="0" w:type="dxa"/>
              <w:left w:w="100" w:type="dxa"/>
              <w:bottom w:w="0" w:type="dxa"/>
              <w:right w:w="100" w:type="dxa"/>
            </w:tcMar>
          </w:tcPr>
          <w:p w14:paraId="00000071" w14:textId="77777777" w:rsidR="00E84757" w:rsidRPr="00C34F89" w:rsidRDefault="007661A5">
            <w:pPr>
              <w:jc w:val="both"/>
            </w:pPr>
            <w:r w:rsidRPr="00C34F89">
              <w:t>Missing</w:t>
            </w:r>
          </w:p>
        </w:tc>
        <w:tc>
          <w:tcPr>
            <w:tcW w:w="1125" w:type="dxa"/>
            <w:tcMar>
              <w:top w:w="0" w:type="dxa"/>
              <w:left w:w="100" w:type="dxa"/>
              <w:bottom w:w="0" w:type="dxa"/>
              <w:right w:w="100" w:type="dxa"/>
            </w:tcMar>
          </w:tcPr>
          <w:p w14:paraId="00000072" w14:textId="77777777" w:rsidR="00E84757" w:rsidRPr="00C34F89" w:rsidRDefault="007661A5">
            <w:pPr>
              <w:jc w:val="right"/>
            </w:pPr>
            <w:r w:rsidRPr="00C34F89">
              <w:t>0</w:t>
            </w:r>
          </w:p>
        </w:tc>
        <w:tc>
          <w:tcPr>
            <w:tcW w:w="1140" w:type="dxa"/>
            <w:tcMar>
              <w:top w:w="0" w:type="dxa"/>
              <w:left w:w="100" w:type="dxa"/>
              <w:bottom w:w="0" w:type="dxa"/>
              <w:right w:w="100" w:type="dxa"/>
            </w:tcMar>
          </w:tcPr>
          <w:p w14:paraId="00000073" w14:textId="77777777" w:rsidR="00E84757" w:rsidRPr="00C34F89" w:rsidRDefault="007661A5">
            <w:pPr>
              <w:jc w:val="right"/>
            </w:pPr>
            <w:r w:rsidRPr="00C34F89">
              <w:t>13</w:t>
            </w:r>
          </w:p>
        </w:tc>
        <w:tc>
          <w:tcPr>
            <w:tcW w:w="1140" w:type="dxa"/>
            <w:tcMar>
              <w:top w:w="0" w:type="dxa"/>
              <w:left w:w="100" w:type="dxa"/>
              <w:bottom w:w="0" w:type="dxa"/>
              <w:right w:w="100" w:type="dxa"/>
            </w:tcMar>
          </w:tcPr>
          <w:p w14:paraId="00000074" w14:textId="77777777" w:rsidR="00E84757" w:rsidRPr="00C34F89" w:rsidRDefault="007661A5">
            <w:pPr>
              <w:jc w:val="right"/>
            </w:pPr>
            <w:r w:rsidRPr="00C34F89">
              <w:t>13</w:t>
            </w:r>
          </w:p>
        </w:tc>
        <w:tc>
          <w:tcPr>
            <w:tcW w:w="1125" w:type="dxa"/>
            <w:tcMar>
              <w:top w:w="0" w:type="dxa"/>
              <w:left w:w="100" w:type="dxa"/>
              <w:bottom w:w="0" w:type="dxa"/>
              <w:right w:w="100" w:type="dxa"/>
            </w:tcMar>
          </w:tcPr>
          <w:p w14:paraId="00000075" w14:textId="77777777" w:rsidR="00E84757" w:rsidRPr="00C34F89" w:rsidRDefault="007661A5">
            <w:pPr>
              <w:jc w:val="right"/>
            </w:pPr>
            <w:r w:rsidRPr="00C34F89">
              <w:t>0</w:t>
            </w:r>
          </w:p>
        </w:tc>
        <w:tc>
          <w:tcPr>
            <w:tcW w:w="1125" w:type="dxa"/>
            <w:tcMar>
              <w:top w:w="0" w:type="dxa"/>
              <w:left w:w="100" w:type="dxa"/>
              <w:bottom w:w="0" w:type="dxa"/>
              <w:right w:w="100" w:type="dxa"/>
            </w:tcMar>
          </w:tcPr>
          <w:p w14:paraId="00000076" w14:textId="77777777" w:rsidR="00E84757" w:rsidRPr="00C34F89" w:rsidRDefault="007661A5">
            <w:pPr>
              <w:jc w:val="right"/>
            </w:pPr>
            <w:r w:rsidRPr="00C34F89">
              <w:t>23</w:t>
            </w:r>
          </w:p>
        </w:tc>
        <w:tc>
          <w:tcPr>
            <w:tcW w:w="1125" w:type="dxa"/>
            <w:tcMar>
              <w:top w:w="0" w:type="dxa"/>
              <w:left w:w="100" w:type="dxa"/>
              <w:bottom w:w="0" w:type="dxa"/>
              <w:right w:w="100" w:type="dxa"/>
            </w:tcMar>
          </w:tcPr>
          <w:p w14:paraId="00000077" w14:textId="77777777" w:rsidR="00E84757" w:rsidRPr="00C34F89" w:rsidRDefault="007661A5">
            <w:pPr>
              <w:jc w:val="right"/>
            </w:pPr>
            <w:r w:rsidRPr="00C34F89">
              <w:t>8</w:t>
            </w:r>
          </w:p>
        </w:tc>
        <w:tc>
          <w:tcPr>
            <w:tcW w:w="1125" w:type="dxa"/>
            <w:tcMar>
              <w:top w:w="0" w:type="dxa"/>
              <w:left w:w="100" w:type="dxa"/>
              <w:bottom w:w="0" w:type="dxa"/>
              <w:right w:w="100" w:type="dxa"/>
            </w:tcMar>
          </w:tcPr>
          <w:p w14:paraId="00000078" w14:textId="77777777" w:rsidR="00E84757" w:rsidRPr="00C34F89" w:rsidRDefault="007661A5">
            <w:pPr>
              <w:jc w:val="right"/>
            </w:pPr>
            <w:r w:rsidRPr="00C34F89">
              <w:t>38</w:t>
            </w:r>
          </w:p>
        </w:tc>
      </w:tr>
      <w:tr w:rsidR="00E84757" w:rsidRPr="00C34F89" w14:paraId="129AFD70" w14:textId="77777777">
        <w:trPr>
          <w:trHeight w:val="270"/>
        </w:trPr>
        <w:tc>
          <w:tcPr>
            <w:tcW w:w="1245" w:type="dxa"/>
            <w:tcMar>
              <w:top w:w="0" w:type="dxa"/>
              <w:left w:w="100" w:type="dxa"/>
              <w:bottom w:w="0" w:type="dxa"/>
              <w:right w:w="100" w:type="dxa"/>
            </w:tcMar>
          </w:tcPr>
          <w:p w14:paraId="00000079" w14:textId="77777777" w:rsidR="00E84757" w:rsidRPr="00C34F89" w:rsidRDefault="007661A5">
            <w:pPr>
              <w:jc w:val="both"/>
            </w:pPr>
            <w:r w:rsidRPr="00C34F89">
              <w:t>Mean</w:t>
            </w:r>
          </w:p>
        </w:tc>
        <w:tc>
          <w:tcPr>
            <w:tcW w:w="1125" w:type="dxa"/>
            <w:tcMar>
              <w:top w:w="0" w:type="dxa"/>
              <w:left w:w="100" w:type="dxa"/>
              <w:bottom w:w="0" w:type="dxa"/>
              <w:right w:w="100" w:type="dxa"/>
            </w:tcMar>
          </w:tcPr>
          <w:p w14:paraId="0000007A" w14:textId="77777777" w:rsidR="00E84757" w:rsidRPr="00C34F89" w:rsidRDefault="007661A5">
            <w:pPr>
              <w:jc w:val="right"/>
            </w:pPr>
            <w:r w:rsidRPr="00C34F89">
              <w:t>0.78</w:t>
            </w:r>
          </w:p>
        </w:tc>
        <w:tc>
          <w:tcPr>
            <w:tcW w:w="1140" w:type="dxa"/>
            <w:tcMar>
              <w:top w:w="0" w:type="dxa"/>
              <w:left w:w="100" w:type="dxa"/>
              <w:bottom w:w="0" w:type="dxa"/>
              <w:right w:w="100" w:type="dxa"/>
            </w:tcMar>
          </w:tcPr>
          <w:p w14:paraId="0000007B" w14:textId="77777777" w:rsidR="00E84757" w:rsidRPr="00C34F89" w:rsidRDefault="007661A5">
            <w:pPr>
              <w:jc w:val="right"/>
            </w:pPr>
            <w:r w:rsidRPr="00C34F89">
              <w:t>5.12</w:t>
            </w:r>
          </w:p>
        </w:tc>
        <w:tc>
          <w:tcPr>
            <w:tcW w:w="1140" w:type="dxa"/>
            <w:tcMar>
              <w:top w:w="0" w:type="dxa"/>
              <w:left w:w="100" w:type="dxa"/>
              <w:bottom w:w="0" w:type="dxa"/>
              <w:right w:w="100" w:type="dxa"/>
            </w:tcMar>
          </w:tcPr>
          <w:p w14:paraId="0000007C" w14:textId="77777777" w:rsidR="00E84757" w:rsidRPr="00C34F89" w:rsidRDefault="007661A5">
            <w:pPr>
              <w:jc w:val="right"/>
            </w:pPr>
            <w:r w:rsidRPr="00C34F89">
              <w:t>19.10</w:t>
            </w:r>
          </w:p>
        </w:tc>
        <w:tc>
          <w:tcPr>
            <w:tcW w:w="1125" w:type="dxa"/>
            <w:tcMar>
              <w:top w:w="0" w:type="dxa"/>
              <w:left w:w="100" w:type="dxa"/>
              <w:bottom w:w="0" w:type="dxa"/>
              <w:right w:w="100" w:type="dxa"/>
            </w:tcMar>
          </w:tcPr>
          <w:p w14:paraId="0000007D" w14:textId="77777777" w:rsidR="00E84757" w:rsidRPr="00C34F89" w:rsidRDefault="007661A5">
            <w:pPr>
              <w:jc w:val="right"/>
            </w:pPr>
            <w:r w:rsidRPr="00C34F89">
              <w:t>3.24</w:t>
            </w:r>
          </w:p>
        </w:tc>
        <w:tc>
          <w:tcPr>
            <w:tcW w:w="1125" w:type="dxa"/>
            <w:tcMar>
              <w:top w:w="0" w:type="dxa"/>
              <w:left w:w="100" w:type="dxa"/>
              <w:bottom w:w="0" w:type="dxa"/>
              <w:right w:w="100" w:type="dxa"/>
            </w:tcMar>
          </w:tcPr>
          <w:p w14:paraId="0000007E" w14:textId="77777777" w:rsidR="00E84757" w:rsidRPr="00C34F89" w:rsidRDefault="007661A5">
            <w:pPr>
              <w:jc w:val="right"/>
            </w:pPr>
            <w:r w:rsidRPr="00C34F89">
              <w:t>16.50</w:t>
            </w:r>
          </w:p>
        </w:tc>
        <w:tc>
          <w:tcPr>
            <w:tcW w:w="1125" w:type="dxa"/>
            <w:tcMar>
              <w:top w:w="0" w:type="dxa"/>
              <w:left w:w="100" w:type="dxa"/>
              <w:bottom w:w="0" w:type="dxa"/>
              <w:right w:w="100" w:type="dxa"/>
            </w:tcMar>
          </w:tcPr>
          <w:p w14:paraId="0000007F" w14:textId="77777777" w:rsidR="00E84757" w:rsidRPr="00C34F89" w:rsidRDefault="007661A5">
            <w:pPr>
              <w:jc w:val="right"/>
            </w:pPr>
            <w:r w:rsidRPr="00C34F89">
              <w:t>13.30</w:t>
            </w:r>
          </w:p>
        </w:tc>
        <w:tc>
          <w:tcPr>
            <w:tcW w:w="1125" w:type="dxa"/>
            <w:tcMar>
              <w:top w:w="0" w:type="dxa"/>
              <w:left w:w="100" w:type="dxa"/>
              <w:bottom w:w="0" w:type="dxa"/>
              <w:right w:w="100" w:type="dxa"/>
            </w:tcMar>
          </w:tcPr>
          <w:p w14:paraId="00000080" w14:textId="77777777" w:rsidR="00E84757" w:rsidRPr="00C34F89" w:rsidRDefault="007661A5">
            <w:pPr>
              <w:jc w:val="right"/>
            </w:pPr>
            <w:r w:rsidRPr="00C34F89">
              <w:t>6.05</w:t>
            </w:r>
          </w:p>
        </w:tc>
      </w:tr>
      <w:tr w:rsidR="00E84757" w:rsidRPr="00C34F89" w14:paraId="5EF960E4" w14:textId="77777777">
        <w:trPr>
          <w:trHeight w:val="270"/>
        </w:trPr>
        <w:tc>
          <w:tcPr>
            <w:tcW w:w="1245" w:type="dxa"/>
            <w:tcMar>
              <w:top w:w="0" w:type="dxa"/>
              <w:left w:w="100" w:type="dxa"/>
              <w:bottom w:w="0" w:type="dxa"/>
              <w:right w:w="100" w:type="dxa"/>
            </w:tcMar>
          </w:tcPr>
          <w:p w14:paraId="00000081" w14:textId="77777777" w:rsidR="00E84757" w:rsidRPr="00C34F89" w:rsidRDefault="007661A5">
            <w:pPr>
              <w:jc w:val="both"/>
            </w:pPr>
            <w:r w:rsidRPr="00C34F89">
              <w:t>Median</w:t>
            </w:r>
          </w:p>
        </w:tc>
        <w:tc>
          <w:tcPr>
            <w:tcW w:w="1125" w:type="dxa"/>
            <w:tcMar>
              <w:top w:w="0" w:type="dxa"/>
              <w:left w:w="100" w:type="dxa"/>
              <w:bottom w:w="0" w:type="dxa"/>
              <w:right w:w="100" w:type="dxa"/>
            </w:tcMar>
          </w:tcPr>
          <w:p w14:paraId="00000082" w14:textId="77777777" w:rsidR="00E84757" w:rsidRPr="00C34F89" w:rsidRDefault="007661A5">
            <w:pPr>
              <w:jc w:val="right"/>
            </w:pPr>
            <w:r w:rsidRPr="00C34F89">
              <w:t>1.00</w:t>
            </w:r>
          </w:p>
        </w:tc>
        <w:tc>
          <w:tcPr>
            <w:tcW w:w="1140" w:type="dxa"/>
            <w:tcMar>
              <w:top w:w="0" w:type="dxa"/>
              <w:left w:w="100" w:type="dxa"/>
              <w:bottom w:w="0" w:type="dxa"/>
              <w:right w:w="100" w:type="dxa"/>
            </w:tcMar>
          </w:tcPr>
          <w:p w14:paraId="00000083" w14:textId="77777777" w:rsidR="00E84757" w:rsidRPr="00C34F89" w:rsidRDefault="007661A5">
            <w:pPr>
              <w:jc w:val="right"/>
            </w:pPr>
            <w:r w:rsidRPr="00C34F89">
              <w:t>5.00</w:t>
            </w:r>
          </w:p>
        </w:tc>
        <w:tc>
          <w:tcPr>
            <w:tcW w:w="1140" w:type="dxa"/>
            <w:tcMar>
              <w:top w:w="0" w:type="dxa"/>
              <w:left w:w="100" w:type="dxa"/>
              <w:bottom w:w="0" w:type="dxa"/>
              <w:right w:w="100" w:type="dxa"/>
            </w:tcMar>
          </w:tcPr>
          <w:p w14:paraId="00000084" w14:textId="77777777" w:rsidR="00E84757" w:rsidRPr="00C34F89" w:rsidRDefault="007661A5">
            <w:pPr>
              <w:jc w:val="right"/>
            </w:pPr>
            <w:r w:rsidRPr="00C34F89">
              <w:t>19.00</w:t>
            </w:r>
          </w:p>
        </w:tc>
        <w:tc>
          <w:tcPr>
            <w:tcW w:w="1125" w:type="dxa"/>
            <w:tcMar>
              <w:top w:w="0" w:type="dxa"/>
              <w:left w:w="100" w:type="dxa"/>
              <w:bottom w:w="0" w:type="dxa"/>
              <w:right w:w="100" w:type="dxa"/>
            </w:tcMar>
          </w:tcPr>
          <w:p w14:paraId="00000085" w14:textId="77777777" w:rsidR="00E84757" w:rsidRPr="00C34F89" w:rsidRDefault="007661A5">
            <w:pPr>
              <w:jc w:val="right"/>
            </w:pPr>
            <w:r w:rsidRPr="00C34F89">
              <w:t>3.00</w:t>
            </w:r>
          </w:p>
        </w:tc>
        <w:tc>
          <w:tcPr>
            <w:tcW w:w="1125" w:type="dxa"/>
            <w:tcMar>
              <w:top w:w="0" w:type="dxa"/>
              <w:left w:w="100" w:type="dxa"/>
              <w:bottom w:w="0" w:type="dxa"/>
              <w:right w:w="100" w:type="dxa"/>
            </w:tcMar>
          </w:tcPr>
          <w:p w14:paraId="00000086" w14:textId="77777777" w:rsidR="00E84757" w:rsidRPr="00C34F89" w:rsidRDefault="007661A5">
            <w:pPr>
              <w:jc w:val="right"/>
            </w:pPr>
            <w:r w:rsidRPr="00C34F89">
              <w:t>17.00</w:t>
            </w:r>
          </w:p>
        </w:tc>
        <w:tc>
          <w:tcPr>
            <w:tcW w:w="1125" w:type="dxa"/>
            <w:tcMar>
              <w:top w:w="0" w:type="dxa"/>
              <w:left w:w="100" w:type="dxa"/>
              <w:bottom w:w="0" w:type="dxa"/>
              <w:right w:w="100" w:type="dxa"/>
            </w:tcMar>
          </w:tcPr>
          <w:p w14:paraId="00000087" w14:textId="77777777" w:rsidR="00E84757" w:rsidRPr="00C34F89" w:rsidRDefault="007661A5">
            <w:pPr>
              <w:jc w:val="right"/>
            </w:pPr>
            <w:r w:rsidRPr="00C34F89">
              <w:t>13.00</w:t>
            </w:r>
          </w:p>
        </w:tc>
        <w:tc>
          <w:tcPr>
            <w:tcW w:w="1125" w:type="dxa"/>
            <w:tcMar>
              <w:top w:w="0" w:type="dxa"/>
              <w:left w:w="100" w:type="dxa"/>
              <w:bottom w:w="0" w:type="dxa"/>
              <w:right w:w="100" w:type="dxa"/>
            </w:tcMar>
          </w:tcPr>
          <w:p w14:paraId="00000088" w14:textId="77777777" w:rsidR="00E84757" w:rsidRPr="00C34F89" w:rsidRDefault="007661A5">
            <w:pPr>
              <w:jc w:val="right"/>
            </w:pPr>
            <w:r w:rsidRPr="00C34F89">
              <w:t>6.00</w:t>
            </w:r>
          </w:p>
        </w:tc>
      </w:tr>
      <w:tr w:rsidR="00E84757" w:rsidRPr="00C34F89" w14:paraId="2006F54E" w14:textId="77777777">
        <w:trPr>
          <w:trHeight w:val="270"/>
        </w:trPr>
        <w:tc>
          <w:tcPr>
            <w:tcW w:w="1245" w:type="dxa"/>
            <w:tcMar>
              <w:top w:w="0" w:type="dxa"/>
              <w:left w:w="100" w:type="dxa"/>
              <w:bottom w:w="0" w:type="dxa"/>
              <w:right w:w="100" w:type="dxa"/>
            </w:tcMar>
          </w:tcPr>
          <w:p w14:paraId="00000089" w14:textId="77777777" w:rsidR="00E84757" w:rsidRPr="00C34F89" w:rsidRDefault="007661A5">
            <w:pPr>
              <w:jc w:val="both"/>
            </w:pPr>
            <w:r w:rsidRPr="00C34F89">
              <w:t>SD</w:t>
            </w:r>
          </w:p>
        </w:tc>
        <w:tc>
          <w:tcPr>
            <w:tcW w:w="1125" w:type="dxa"/>
            <w:tcMar>
              <w:top w:w="0" w:type="dxa"/>
              <w:left w:w="100" w:type="dxa"/>
              <w:bottom w:w="0" w:type="dxa"/>
              <w:right w:w="100" w:type="dxa"/>
            </w:tcMar>
          </w:tcPr>
          <w:p w14:paraId="0000008A" w14:textId="77777777" w:rsidR="00E84757" w:rsidRPr="00C34F89" w:rsidRDefault="007661A5">
            <w:pPr>
              <w:jc w:val="right"/>
            </w:pPr>
            <w:r w:rsidRPr="00C34F89">
              <w:t>0.93</w:t>
            </w:r>
          </w:p>
        </w:tc>
        <w:tc>
          <w:tcPr>
            <w:tcW w:w="1140" w:type="dxa"/>
            <w:tcMar>
              <w:top w:w="0" w:type="dxa"/>
              <w:left w:w="100" w:type="dxa"/>
              <w:bottom w:w="0" w:type="dxa"/>
              <w:right w:w="100" w:type="dxa"/>
            </w:tcMar>
          </w:tcPr>
          <w:p w14:paraId="0000008B" w14:textId="77777777" w:rsidR="00E84757" w:rsidRPr="00C34F89" w:rsidRDefault="007661A5">
            <w:pPr>
              <w:jc w:val="right"/>
            </w:pPr>
            <w:r w:rsidRPr="00C34F89">
              <w:t>1.99</w:t>
            </w:r>
          </w:p>
        </w:tc>
        <w:tc>
          <w:tcPr>
            <w:tcW w:w="1140" w:type="dxa"/>
            <w:tcMar>
              <w:top w:w="0" w:type="dxa"/>
              <w:left w:w="100" w:type="dxa"/>
              <w:bottom w:w="0" w:type="dxa"/>
              <w:right w:w="100" w:type="dxa"/>
            </w:tcMar>
          </w:tcPr>
          <w:p w14:paraId="0000008C" w14:textId="77777777" w:rsidR="00E84757" w:rsidRPr="00C34F89" w:rsidRDefault="007661A5">
            <w:pPr>
              <w:jc w:val="right"/>
            </w:pPr>
            <w:r w:rsidRPr="00C34F89">
              <w:t>5.40</w:t>
            </w:r>
          </w:p>
        </w:tc>
        <w:tc>
          <w:tcPr>
            <w:tcW w:w="1125" w:type="dxa"/>
            <w:tcMar>
              <w:top w:w="0" w:type="dxa"/>
              <w:left w:w="100" w:type="dxa"/>
              <w:bottom w:w="0" w:type="dxa"/>
              <w:right w:w="100" w:type="dxa"/>
            </w:tcMar>
          </w:tcPr>
          <w:p w14:paraId="0000008D" w14:textId="77777777" w:rsidR="00E84757" w:rsidRPr="00C34F89" w:rsidRDefault="007661A5">
            <w:pPr>
              <w:jc w:val="right"/>
            </w:pPr>
            <w:r w:rsidRPr="00C34F89">
              <w:t>0.77</w:t>
            </w:r>
          </w:p>
        </w:tc>
        <w:tc>
          <w:tcPr>
            <w:tcW w:w="1125" w:type="dxa"/>
            <w:tcMar>
              <w:top w:w="0" w:type="dxa"/>
              <w:left w:w="100" w:type="dxa"/>
              <w:bottom w:w="0" w:type="dxa"/>
              <w:right w:w="100" w:type="dxa"/>
            </w:tcMar>
          </w:tcPr>
          <w:p w14:paraId="0000008E" w14:textId="77777777" w:rsidR="00E84757" w:rsidRPr="00C34F89" w:rsidRDefault="007661A5">
            <w:pPr>
              <w:jc w:val="right"/>
            </w:pPr>
            <w:r w:rsidRPr="00C34F89">
              <w:t>3.53</w:t>
            </w:r>
          </w:p>
        </w:tc>
        <w:tc>
          <w:tcPr>
            <w:tcW w:w="1125" w:type="dxa"/>
            <w:tcMar>
              <w:top w:w="0" w:type="dxa"/>
              <w:left w:w="100" w:type="dxa"/>
              <w:bottom w:w="0" w:type="dxa"/>
              <w:right w:w="100" w:type="dxa"/>
            </w:tcMar>
          </w:tcPr>
          <w:p w14:paraId="0000008F" w14:textId="77777777" w:rsidR="00E84757" w:rsidRPr="00C34F89" w:rsidRDefault="007661A5">
            <w:pPr>
              <w:jc w:val="right"/>
            </w:pPr>
            <w:r w:rsidRPr="00C34F89">
              <w:t>3.45</w:t>
            </w:r>
          </w:p>
        </w:tc>
        <w:tc>
          <w:tcPr>
            <w:tcW w:w="1125" w:type="dxa"/>
            <w:tcMar>
              <w:top w:w="0" w:type="dxa"/>
              <w:left w:w="100" w:type="dxa"/>
              <w:bottom w:w="0" w:type="dxa"/>
              <w:right w:w="100" w:type="dxa"/>
            </w:tcMar>
          </w:tcPr>
          <w:p w14:paraId="00000090" w14:textId="77777777" w:rsidR="00E84757" w:rsidRPr="00C34F89" w:rsidRDefault="007661A5">
            <w:pPr>
              <w:jc w:val="right"/>
            </w:pPr>
            <w:r w:rsidRPr="00C34F89">
              <w:t>2.41</w:t>
            </w:r>
          </w:p>
        </w:tc>
      </w:tr>
      <w:tr w:rsidR="00E84757" w:rsidRPr="00C34F89" w14:paraId="45FD6915" w14:textId="77777777">
        <w:trPr>
          <w:trHeight w:val="270"/>
        </w:trPr>
        <w:tc>
          <w:tcPr>
            <w:tcW w:w="1245" w:type="dxa"/>
            <w:tcMar>
              <w:top w:w="0" w:type="dxa"/>
              <w:left w:w="100" w:type="dxa"/>
              <w:bottom w:w="0" w:type="dxa"/>
              <w:right w:w="100" w:type="dxa"/>
            </w:tcMar>
          </w:tcPr>
          <w:p w14:paraId="00000091" w14:textId="77777777" w:rsidR="00E84757" w:rsidRPr="00C34F89" w:rsidRDefault="007661A5">
            <w:pPr>
              <w:jc w:val="both"/>
            </w:pPr>
            <w:r w:rsidRPr="00C34F89">
              <w:t>Minimum</w:t>
            </w:r>
          </w:p>
        </w:tc>
        <w:tc>
          <w:tcPr>
            <w:tcW w:w="1125" w:type="dxa"/>
            <w:tcMar>
              <w:top w:w="0" w:type="dxa"/>
              <w:left w:w="100" w:type="dxa"/>
              <w:bottom w:w="0" w:type="dxa"/>
              <w:right w:w="100" w:type="dxa"/>
            </w:tcMar>
          </w:tcPr>
          <w:p w14:paraId="00000092" w14:textId="77777777" w:rsidR="00E84757" w:rsidRPr="00C34F89" w:rsidRDefault="007661A5">
            <w:pPr>
              <w:jc w:val="right"/>
            </w:pPr>
            <w:r w:rsidRPr="00C34F89">
              <w:t>0</w:t>
            </w:r>
          </w:p>
        </w:tc>
        <w:tc>
          <w:tcPr>
            <w:tcW w:w="1140" w:type="dxa"/>
            <w:tcMar>
              <w:top w:w="0" w:type="dxa"/>
              <w:left w:w="100" w:type="dxa"/>
              <w:bottom w:w="0" w:type="dxa"/>
              <w:right w:w="100" w:type="dxa"/>
            </w:tcMar>
          </w:tcPr>
          <w:p w14:paraId="00000093" w14:textId="77777777" w:rsidR="00E84757" w:rsidRPr="00C34F89" w:rsidRDefault="007661A5">
            <w:pPr>
              <w:jc w:val="right"/>
            </w:pPr>
            <w:r w:rsidRPr="00C34F89">
              <w:t>0.00</w:t>
            </w:r>
          </w:p>
        </w:tc>
        <w:tc>
          <w:tcPr>
            <w:tcW w:w="1140" w:type="dxa"/>
            <w:tcMar>
              <w:top w:w="0" w:type="dxa"/>
              <w:left w:w="100" w:type="dxa"/>
              <w:bottom w:w="0" w:type="dxa"/>
              <w:right w:w="100" w:type="dxa"/>
            </w:tcMar>
          </w:tcPr>
          <w:p w14:paraId="00000094" w14:textId="77777777" w:rsidR="00E84757" w:rsidRPr="00C34F89" w:rsidRDefault="007661A5">
            <w:pPr>
              <w:jc w:val="right"/>
            </w:pPr>
            <w:r w:rsidRPr="00C34F89">
              <w:t>8.00</w:t>
            </w:r>
          </w:p>
        </w:tc>
        <w:tc>
          <w:tcPr>
            <w:tcW w:w="1125" w:type="dxa"/>
            <w:tcMar>
              <w:top w:w="0" w:type="dxa"/>
              <w:left w:w="100" w:type="dxa"/>
              <w:bottom w:w="0" w:type="dxa"/>
              <w:right w:w="100" w:type="dxa"/>
            </w:tcMar>
          </w:tcPr>
          <w:p w14:paraId="00000095" w14:textId="77777777" w:rsidR="00E84757" w:rsidRPr="00C34F89" w:rsidRDefault="007661A5">
            <w:pPr>
              <w:jc w:val="right"/>
            </w:pPr>
            <w:r w:rsidRPr="00C34F89">
              <w:t>1.00</w:t>
            </w:r>
          </w:p>
        </w:tc>
        <w:tc>
          <w:tcPr>
            <w:tcW w:w="1125" w:type="dxa"/>
            <w:tcMar>
              <w:top w:w="0" w:type="dxa"/>
              <w:left w:w="100" w:type="dxa"/>
              <w:bottom w:w="0" w:type="dxa"/>
              <w:right w:w="100" w:type="dxa"/>
            </w:tcMar>
          </w:tcPr>
          <w:p w14:paraId="00000096" w14:textId="77777777" w:rsidR="00E84757" w:rsidRPr="00C34F89" w:rsidRDefault="007661A5">
            <w:pPr>
              <w:jc w:val="right"/>
            </w:pPr>
            <w:r w:rsidRPr="00C34F89">
              <w:t>6.00</w:t>
            </w:r>
          </w:p>
        </w:tc>
        <w:tc>
          <w:tcPr>
            <w:tcW w:w="1125" w:type="dxa"/>
            <w:tcMar>
              <w:top w:w="0" w:type="dxa"/>
              <w:left w:w="100" w:type="dxa"/>
              <w:bottom w:w="0" w:type="dxa"/>
              <w:right w:w="100" w:type="dxa"/>
            </w:tcMar>
          </w:tcPr>
          <w:p w14:paraId="00000097" w14:textId="77777777" w:rsidR="00E84757" w:rsidRPr="00C34F89" w:rsidRDefault="007661A5">
            <w:pPr>
              <w:jc w:val="right"/>
            </w:pPr>
            <w:r w:rsidRPr="00C34F89">
              <w:t>5.00</w:t>
            </w:r>
          </w:p>
        </w:tc>
        <w:tc>
          <w:tcPr>
            <w:tcW w:w="1125" w:type="dxa"/>
            <w:tcMar>
              <w:top w:w="0" w:type="dxa"/>
              <w:left w:w="100" w:type="dxa"/>
              <w:bottom w:w="0" w:type="dxa"/>
              <w:right w:w="100" w:type="dxa"/>
            </w:tcMar>
          </w:tcPr>
          <w:p w14:paraId="00000098" w14:textId="77777777" w:rsidR="00E84757" w:rsidRPr="00C34F89" w:rsidRDefault="007661A5">
            <w:pPr>
              <w:jc w:val="right"/>
            </w:pPr>
            <w:r w:rsidRPr="00C34F89">
              <w:t>3.00</w:t>
            </w:r>
          </w:p>
        </w:tc>
      </w:tr>
      <w:tr w:rsidR="00E84757" w:rsidRPr="00C34F89" w14:paraId="25B529DD" w14:textId="77777777">
        <w:trPr>
          <w:trHeight w:val="285"/>
        </w:trPr>
        <w:tc>
          <w:tcPr>
            <w:tcW w:w="1245" w:type="dxa"/>
            <w:tcBorders>
              <w:bottom w:val="single" w:sz="8" w:space="0" w:color="000000"/>
            </w:tcBorders>
            <w:tcMar>
              <w:top w:w="0" w:type="dxa"/>
              <w:left w:w="100" w:type="dxa"/>
              <w:bottom w:w="0" w:type="dxa"/>
              <w:right w:w="100" w:type="dxa"/>
            </w:tcMar>
          </w:tcPr>
          <w:p w14:paraId="00000099" w14:textId="77777777" w:rsidR="00E84757" w:rsidRPr="00C34F89" w:rsidRDefault="007661A5">
            <w:pPr>
              <w:jc w:val="both"/>
            </w:pPr>
            <w:r w:rsidRPr="00C34F89">
              <w:t>Maximum</w:t>
            </w:r>
          </w:p>
        </w:tc>
        <w:tc>
          <w:tcPr>
            <w:tcW w:w="1125" w:type="dxa"/>
            <w:tcBorders>
              <w:bottom w:val="single" w:sz="8" w:space="0" w:color="000000"/>
            </w:tcBorders>
            <w:tcMar>
              <w:top w:w="0" w:type="dxa"/>
              <w:left w:w="100" w:type="dxa"/>
              <w:bottom w:w="0" w:type="dxa"/>
              <w:right w:w="100" w:type="dxa"/>
            </w:tcMar>
          </w:tcPr>
          <w:p w14:paraId="0000009A" w14:textId="77777777" w:rsidR="00E84757" w:rsidRPr="00C34F89" w:rsidRDefault="007661A5">
            <w:pPr>
              <w:jc w:val="right"/>
            </w:pPr>
            <w:r w:rsidRPr="00C34F89">
              <w:t>3</w:t>
            </w:r>
          </w:p>
        </w:tc>
        <w:tc>
          <w:tcPr>
            <w:tcW w:w="1140" w:type="dxa"/>
            <w:tcBorders>
              <w:bottom w:val="single" w:sz="8" w:space="0" w:color="000000"/>
            </w:tcBorders>
            <w:tcMar>
              <w:top w:w="0" w:type="dxa"/>
              <w:left w:w="100" w:type="dxa"/>
              <w:bottom w:w="0" w:type="dxa"/>
              <w:right w:w="100" w:type="dxa"/>
            </w:tcMar>
          </w:tcPr>
          <w:p w14:paraId="0000009B" w14:textId="77777777" w:rsidR="00E84757" w:rsidRPr="00C34F89" w:rsidRDefault="007661A5">
            <w:pPr>
              <w:jc w:val="right"/>
            </w:pPr>
            <w:r w:rsidRPr="00C34F89">
              <w:t>8.00</w:t>
            </w:r>
          </w:p>
        </w:tc>
        <w:tc>
          <w:tcPr>
            <w:tcW w:w="1140" w:type="dxa"/>
            <w:tcBorders>
              <w:bottom w:val="single" w:sz="8" w:space="0" w:color="000000"/>
            </w:tcBorders>
            <w:tcMar>
              <w:top w:w="0" w:type="dxa"/>
              <w:left w:w="100" w:type="dxa"/>
              <w:bottom w:w="0" w:type="dxa"/>
              <w:right w:w="100" w:type="dxa"/>
            </w:tcMar>
          </w:tcPr>
          <w:p w14:paraId="0000009C" w14:textId="77777777" w:rsidR="00E84757" w:rsidRPr="00C34F89" w:rsidRDefault="007661A5">
            <w:pPr>
              <w:jc w:val="right"/>
            </w:pPr>
            <w:r w:rsidRPr="00C34F89">
              <w:t>37.30</w:t>
            </w:r>
          </w:p>
        </w:tc>
        <w:tc>
          <w:tcPr>
            <w:tcW w:w="1125" w:type="dxa"/>
            <w:tcBorders>
              <w:bottom w:val="single" w:sz="8" w:space="0" w:color="000000"/>
            </w:tcBorders>
            <w:tcMar>
              <w:top w:w="0" w:type="dxa"/>
              <w:left w:w="100" w:type="dxa"/>
              <w:bottom w:w="0" w:type="dxa"/>
              <w:right w:w="100" w:type="dxa"/>
            </w:tcMar>
          </w:tcPr>
          <w:p w14:paraId="0000009D" w14:textId="77777777" w:rsidR="00E84757" w:rsidRPr="00C34F89" w:rsidRDefault="007661A5">
            <w:pPr>
              <w:jc w:val="right"/>
            </w:pPr>
            <w:r w:rsidRPr="00C34F89">
              <w:t>4.00</w:t>
            </w:r>
          </w:p>
        </w:tc>
        <w:tc>
          <w:tcPr>
            <w:tcW w:w="1125" w:type="dxa"/>
            <w:tcBorders>
              <w:bottom w:val="single" w:sz="8" w:space="0" w:color="000000"/>
            </w:tcBorders>
            <w:tcMar>
              <w:top w:w="0" w:type="dxa"/>
              <w:left w:w="100" w:type="dxa"/>
              <w:bottom w:w="0" w:type="dxa"/>
              <w:right w:w="100" w:type="dxa"/>
            </w:tcMar>
          </w:tcPr>
          <w:p w14:paraId="0000009E" w14:textId="77777777" w:rsidR="00E84757" w:rsidRPr="00C34F89" w:rsidRDefault="007661A5">
            <w:pPr>
              <w:jc w:val="right"/>
            </w:pPr>
            <w:r w:rsidRPr="00C34F89">
              <w:t>24.00</w:t>
            </w:r>
          </w:p>
        </w:tc>
        <w:tc>
          <w:tcPr>
            <w:tcW w:w="1125" w:type="dxa"/>
            <w:tcBorders>
              <w:bottom w:val="single" w:sz="8" w:space="0" w:color="000000"/>
            </w:tcBorders>
            <w:tcMar>
              <w:top w:w="0" w:type="dxa"/>
              <w:left w:w="100" w:type="dxa"/>
              <w:bottom w:w="0" w:type="dxa"/>
              <w:right w:w="100" w:type="dxa"/>
            </w:tcMar>
          </w:tcPr>
          <w:p w14:paraId="0000009F" w14:textId="77777777" w:rsidR="00E84757" w:rsidRPr="00C34F89" w:rsidRDefault="007661A5">
            <w:pPr>
              <w:jc w:val="right"/>
            </w:pPr>
            <w:r w:rsidRPr="00C34F89">
              <w:t>20.00</w:t>
            </w:r>
          </w:p>
        </w:tc>
        <w:tc>
          <w:tcPr>
            <w:tcW w:w="1125" w:type="dxa"/>
            <w:tcBorders>
              <w:bottom w:val="single" w:sz="8" w:space="0" w:color="000000"/>
            </w:tcBorders>
            <w:tcMar>
              <w:top w:w="0" w:type="dxa"/>
              <w:left w:w="100" w:type="dxa"/>
              <w:bottom w:w="0" w:type="dxa"/>
              <w:right w:w="100" w:type="dxa"/>
            </w:tcMar>
          </w:tcPr>
          <w:p w14:paraId="000000A0" w14:textId="77777777" w:rsidR="00E84757" w:rsidRPr="00C34F89" w:rsidRDefault="007661A5">
            <w:pPr>
              <w:jc w:val="right"/>
            </w:pPr>
            <w:r w:rsidRPr="00C34F89">
              <w:t>12.00</w:t>
            </w:r>
          </w:p>
        </w:tc>
      </w:tr>
      <w:tr w:rsidR="00E84757" w:rsidRPr="00C34F89" w14:paraId="3213D7F5" w14:textId="77777777">
        <w:trPr>
          <w:trHeight w:val="615"/>
        </w:trPr>
        <w:tc>
          <w:tcPr>
            <w:tcW w:w="9150" w:type="dxa"/>
            <w:gridSpan w:val="8"/>
            <w:tcMar>
              <w:top w:w="0" w:type="dxa"/>
              <w:left w:w="100" w:type="dxa"/>
              <w:bottom w:w="0" w:type="dxa"/>
              <w:right w:w="100" w:type="dxa"/>
            </w:tcMar>
          </w:tcPr>
          <w:p w14:paraId="000000A1" w14:textId="77777777" w:rsidR="00E84757" w:rsidRPr="00C34F89" w:rsidRDefault="007661A5">
            <w:pPr>
              <w:jc w:val="both"/>
              <w:rPr>
                <w:sz w:val="18"/>
                <w:szCs w:val="18"/>
              </w:rPr>
            </w:pPr>
            <w:r w:rsidRPr="00C34F89">
              <w:rPr>
                <w:sz w:val="18"/>
                <w:szCs w:val="18"/>
              </w:rPr>
              <w:t>Note. SAMR=SAMR TI, INNO_B=Open innovation breadth, INNO_D=Open innovation depth, CHAL=Challenge: Heterogeneity among teachers in ICT literacy, ACAP=ICT absorptive capacity, KS=Knowledge sharing, COOP=Coopetition</w:t>
            </w:r>
          </w:p>
        </w:tc>
      </w:tr>
    </w:tbl>
    <w:p w14:paraId="000000A9" w14:textId="77777777" w:rsidR="00E84757" w:rsidRPr="00C34F89" w:rsidRDefault="00E84757">
      <w:pPr>
        <w:jc w:val="both"/>
      </w:pPr>
    </w:p>
    <w:p w14:paraId="000000AA" w14:textId="77777777" w:rsidR="00E84757" w:rsidRPr="00C34F89" w:rsidRDefault="00E84757">
      <w:pPr>
        <w:jc w:val="both"/>
      </w:pPr>
    </w:p>
    <w:p w14:paraId="000000AB" w14:textId="77777777" w:rsidR="00E84757" w:rsidRPr="00C34F89" w:rsidRDefault="00E84757">
      <w:pPr>
        <w:jc w:val="both"/>
      </w:pPr>
    </w:p>
    <w:p w14:paraId="000000AC" w14:textId="77777777" w:rsidR="00E84757" w:rsidRPr="00C34F89" w:rsidRDefault="007661A5">
      <w:pPr>
        <w:jc w:val="both"/>
      </w:pPr>
      <w:r w:rsidRPr="00C34F89">
        <w:t>Table 2. Correlation coefficients for variables</w:t>
      </w:r>
    </w:p>
    <w:p w14:paraId="000000AD" w14:textId="77777777" w:rsidR="00E84757" w:rsidRPr="00C34F89" w:rsidRDefault="00E84757">
      <w:pPr>
        <w:jc w:val="both"/>
      </w:pPr>
    </w:p>
    <w:tbl>
      <w:tblPr>
        <w:tblStyle w:val="a4"/>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1140"/>
        <w:gridCol w:w="1140"/>
        <w:gridCol w:w="1140"/>
        <w:gridCol w:w="1140"/>
        <w:gridCol w:w="1140"/>
        <w:gridCol w:w="1140"/>
        <w:gridCol w:w="1140"/>
      </w:tblGrid>
      <w:tr w:rsidR="00E84757" w:rsidRPr="00C34F89" w14:paraId="3E508F39" w14:textId="77777777">
        <w:trPr>
          <w:trHeight w:val="285"/>
        </w:trPr>
        <w:tc>
          <w:tcPr>
            <w:tcW w:w="1140" w:type="dxa"/>
            <w:tcBorders>
              <w:top w:val="single" w:sz="8" w:space="0" w:color="000000"/>
              <w:bottom w:val="single" w:sz="8" w:space="0" w:color="000000"/>
            </w:tcBorders>
            <w:tcMar>
              <w:top w:w="0" w:type="dxa"/>
              <w:left w:w="100" w:type="dxa"/>
              <w:bottom w:w="0" w:type="dxa"/>
              <w:right w:w="100" w:type="dxa"/>
            </w:tcMar>
          </w:tcPr>
          <w:p w14:paraId="000000AE" w14:textId="77777777" w:rsidR="00E84757" w:rsidRPr="00C34F89" w:rsidRDefault="007661A5">
            <w:pPr>
              <w:jc w:val="both"/>
            </w:pPr>
            <w:r w:rsidRPr="00C34F89">
              <w:t xml:space="preserve"> </w:t>
            </w:r>
          </w:p>
        </w:tc>
        <w:tc>
          <w:tcPr>
            <w:tcW w:w="1140" w:type="dxa"/>
            <w:tcBorders>
              <w:top w:val="single" w:sz="8" w:space="0" w:color="000000"/>
              <w:bottom w:val="single" w:sz="8" w:space="0" w:color="000000"/>
            </w:tcBorders>
            <w:tcMar>
              <w:top w:w="0" w:type="dxa"/>
              <w:left w:w="100" w:type="dxa"/>
              <w:bottom w:w="0" w:type="dxa"/>
              <w:right w:w="100" w:type="dxa"/>
            </w:tcMar>
          </w:tcPr>
          <w:p w14:paraId="000000AF" w14:textId="77777777" w:rsidR="00E84757" w:rsidRPr="00C34F89" w:rsidRDefault="007661A5">
            <w:pPr>
              <w:jc w:val="center"/>
              <w:rPr>
                <w:b/>
              </w:rPr>
            </w:pPr>
            <w:r w:rsidRPr="00C34F89">
              <w:rPr>
                <w:b/>
              </w:rPr>
              <w:t>SAMR</w:t>
            </w:r>
          </w:p>
        </w:tc>
        <w:tc>
          <w:tcPr>
            <w:tcW w:w="1140" w:type="dxa"/>
            <w:tcBorders>
              <w:top w:val="single" w:sz="8" w:space="0" w:color="000000"/>
              <w:bottom w:val="single" w:sz="8" w:space="0" w:color="000000"/>
            </w:tcBorders>
            <w:tcMar>
              <w:top w:w="0" w:type="dxa"/>
              <w:left w:w="100" w:type="dxa"/>
              <w:bottom w:w="0" w:type="dxa"/>
              <w:right w:w="100" w:type="dxa"/>
            </w:tcMar>
          </w:tcPr>
          <w:p w14:paraId="000000B0" w14:textId="77777777" w:rsidR="00E84757" w:rsidRPr="00C34F89" w:rsidRDefault="007661A5">
            <w:pPr>
              <w:jc w:val="center"/>
              <w:rPr>
                <w:b/>
              </w:rPr>
            </w:pPr>
            <w:r w:rsidRPr="00C34F89">
              <w:rPr>
                <w:b/>
              </w:rPr>
              <w:t>INNO_B</w:t>
            </w:r>
          </w:p>
        </w:tc>
        <w:tc>
          <w:tcPr>
            <w:tcW w:w="1140" w:type="dxa"/>
            <w:tcBorders>
              <w:top w:val="single" w:sz="8" w:space="0" w:color="000000"/>
              <w:bottom w:val="single" w:sz="8" w:space="0" w:color="000000"/>
            </w:tcBorders>
            <w:tcMar>
              <w:top w:w="0" w:type="dxa"/>
              <w:left w:w="100" w:type="dxa"/>
              <w:bottom w:w="0" w:type="dxa"/>
              <w:right w:w="100" w:type="dxa"/>
            </w:tcMar>
          </w:tcPr>
          <w:p w14:paraId="000000B1" w14:textId="77777777" w:rsidR="00E84757" w:rsidRPr="00C34F89" w:rsidRDefault="007661A5">
            <w:pPr>
              <w:jc w:val="center"/>
              <w:rPr>
                <w:b/>
              </w:rPr>
            </w:pPr>
            <w:r w:rsidRPr="00C34F89">
              <w:rPr>
                <w:b/>
              </w:rPr>
              <w:t>INNO_D</w:t>
            </w:r>
          </w:p>
        </w:tc>
        <w:tc>
          <w:tcPr>
            <w:tcW w:w="1140" w:type="dxa"/>
            <w:tcBorders>
              <w:top w:val="single" w:sz="8" w:space="0" w:color="000000"/>
              <w:bottom w:val="single" w:sz="8" w:space="0" w:color="000000"/>
            </w:tcBorders>
            <w:tcMar>
              <w:top w:w="0" w:type="dxa"/>
              <w:left w:w="100" w:type="dxa"/>
              <w:bottom w:w="0" w:type="dxa"/>
              <w:right w:w="100" w:type="dxa"/>
            </w:tcMar>
          </w:tcPr>
          <w:p w14:paraId="000000B2" w14:textId="77777777" w:rsidR="00E84757" w:rsidRPr="00C34F89" w:rsidRDefault="007661A5">
            <w:pPr>
              <w:jc w:val="center"/>
              <w:rPr>
                <w:b/>
              </w:rPr>
            </w:pPr>
            <w:r w:rsidRPr="00C34F89">
              <w:rPr>
                <w:b/>
              </w:rPr>
              <w:t>CHAL</w:t>
            </w:r>
          </w:p>
        </w:tc>
        <w:tc>
          <w:tcPr>
            <w:tcW w:w="1140" w:type="dxa"/>
            <w:tcBorders>
              <w:top w:val="single" w:sz="8" w:space="0" w:color="000000"/>
              <w:bottom w:val="single" w:sz="8" w:space="0" w:color="000000"/>
            </w:tcBorders>
            <w:tcMar>
              <w:top w:w="0" w:type="dxa"/>
              <w:left w:w="100" w:type="dxa"/>
              <w:bottom w:w="0" w:type="dxa"/>
              <w:right w:w="100" w:type="dxa"/>
            </w:tcMar>
          </w:tcPr>
          <w:p w14:paraId="000000B3" w14:textId="77777777" w:rsidR="00E84757" w:rsidRPr="00C34F89" w:rsidRDefault="007661A5">
            <w:pPr>
              <w:jc w:val="center"/>
              <w:rPr>
                <w:b/>
              </w:rPr>
            </w:pPr>
            <w:r w:rsidRPr="00C34F89">
              <w:rPr>
                <w:b/>
              </w:rPr>
              <w:t>ACAP</w:t>
            </w:r>
          </w:p>
        </w:tc>
        <w:tc>
          <w:tcPr>
            <w:tcW w:w="1140" w:type="dxa"/>
            <w:tcBorders>
              <w:top w:val="single" w:sz="8" w:space="0" w:color="000000"/>
              <w:bottom w:val="single" w:sz="8" w:space="0" w:color="000000"/>
            </w:tcBorders>
            <w:tcMar>
              <w:top w:w="0" w:type="dxa"/>
              <w:left w:w="100" w:type="dxa"/>
              <w:bottom w:w="0" w:type="dxa"/>
              <w:right w:w="100" w:type="dxa"/>
            </w:tcMar>
          </w:tcPr>
          <w:p w14:paraId="000000B4" w14:textId="77777777" w:rsidR="00E84757" w:rsidRPr="00C34F89" w:rsidRDefault="007661A5">
            <w:pPr>
              <w:jc w:val="center"/>
              <w:rPr>
                <w:b/>
              </w:rPr>
            </w:pPr>
            <w:r w:rsidRPr="00C34F89">
              <w:rPr>
                <w:b/>
              </w:rPr>
              <w:t>KS</w:t>
            </w:r>
          </w:p>
        </w:tc>
        <w:tc>
          <w:tcPr>
            <w:tcW w:w="1140" w:type="dxa"/>
            <w:tcBorders>
              <w:top w:val="single" w:sz="8" w:space="0" w:color="000000"/>
              <w:bottom w:val="single" w:sz="8" w:space="0" w:color="000000"/>
            </w:tcBorders>
            <w:tcMar>
              <w:top w:w="0" w:type="dxa"/>
              <w:left w:w="100" w:type="dxa"/>
              <w:bottom w:w="0" w:type="dxa"/>
              <w:right w:w="100" w:type="dxa"/>
            </w:tcMar>
          </w:tcPr>
          <w:p w14:paraId="000000B5" w14:textId="77777777" w:rsidR="00E84757" w:rsidRPr="00C34F89" w:rsidRDefault="007661A5">
            <w:pPr>
              <w:jc w:val="center"/>
              <w:rPr>
                <w:b/>
              </w:rPr>
            </w:pPr>
            <w:r w:rsidRPr="00C34F89">
              <w:rPr>
                <w:b/>
              </w:rPr>
              <w:t>COOP</w:t>
            </w:r>
          </w:p>
        </w:tc>
      </w:tr>
      <w:tr w:rsidR="00E84757" w:rsidRPr="00C34F89" w14:paraId="3393408B" w14:textId="77777777">
        <w:trPr>
          <w:trHeight w:val="270"/>
        </w:trPr>
        <w:tc>
          <w:tcPr>
            <w:tcW w:w="1140" w:type="dxa"/>
            <w:tcMar>
              <w:top w:w="0" w:type="dxa"/>
              <w:left w:w="100" w:type="dxa"/>
              <w:bottom w:w="0" w:type="dxa"/>
              <w:right w:w="100" w:type="dxa"/>
            </w:tcMar>
          </w:tcPr>
          <w:p w14:paraId="000000B6" w14:textId="77777777" w:rsidR="00E84757" w:rsidRPr="00C34F89" w:rsidRDefault="007661A5">
            <w:pPr>
              <w:jc w:val="both"/>
            </w:pPr>
            <w:r w:rsidRPr="00C34F89">
              <w:t>SAMR</w:t>
            </w:r>
          </w:p>
        </w:tc>
        <w:tc>
          <w:tcPr>
            <w:tcW w:w="1140" w:type="dxa"/>
            <w:tcMar>
              <w:top w:w="0" w:type="dxa"/>
              <w:left w:w="100" w:type="dxa"/>
              <w:bottom w:w="0" w:type="dxa"/>
              <w:right w:w="100" w:type="dxa"/>
            </w:tcMar>
          </w:tcPr>
          <w:p w14:paraId="000000B7" w14:textId="77777777" w:rsidR="00E84757" w:rsidRPr="00C34F89" w:rsidRDefault="007661A5">
            <w:pPr>
              <w:jc w:val="center"/>
            </w:pPr>
            <w:r w:rsidRPr="00C34F89">
              <w:t>-</w:t>
            </w:r>
          </w:p>
        </w:tc>
        <w:tc>
          <w:tcPr>
            <w:tcW w:w="1140" w:type="dxa"/>
            <w:tcMar>
              <w:top w:w="0" w:type="dxa"/>
              <w:left w:w="100" w:type="dxa"/>
              <w:bottom w:w="0" w:type="dxa"/>
              <w:right w:w="100" w:type="dxa"/>
            </w:tcMar>
          </w:tcPr>
          <w:p w14:paraId="000000B8"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B9"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BA"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BB"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BC"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BD" w14:textId="77777777" w:rsidR="00E84757" w:rsidRPr="00C34F89" w:rsidRDefault="007661A5">
            <w:pPr>
              <w:jc w:val="center"/>
            </w:pPr>
            <w:r w:rsidRPr="00C34F89">
              <w:t xml:space="preserve"> </w:t>
            </w:r>
          </w:p>
        </w:tc>
      </w:tr>
      <w:tr w:rsidR="00E84757" w:rsidRPr="00C34F89" w14:paraId="331FEF3C" w14:textId="77777777">
        <w:trPr>
          <w:trHeight w:val="270"/>
        </w:trPr>
        <w:tc>
          <w:tcPr>
            <w:tcW w:w="1140" w:type="dxa"/>
            <w:tcMar>
              <w:top w:w="0" w:type="dxa"/>
              <w:left w:w="100" w:type="dxa"/>
              <w:bottom w:w="0" w:type="dxa"/>
              <w:right w:w="100" w:type="dxa"/>
            </w:tcMar>
          </w:tcPr>
          <w:p w14:paraId="000000BE" w14:textId="77777777" w:rsidR="00E84757" w:rsidRPr="00C34F89" w:rsidRDefault="007661A5">
            <w:pPr>
              <w:jc w:val="both"/>
            </w:pPr>
            <w:r w:rsidRPr="00C34F89">
              <w:t>INNO_B</w:t>
            </w:r>
          </w:p>
        </w:tc>
        <w:tc>
          <w:tcPr>
            <w:tcW w:w="1140" w:type="dxa"/>
            <w:tcMar>
              <w:top w:w="0" w:type="dxa"/>
              <w:left w:w="100" w:type="dxa"/>
              <w:bottom w:w="0" w:type="dxa"/>
              <w:right w:w="100" w:type="dxa"/>
            </w:tcMar>
          </w:tcPr>
          <w:p w14:paraId="000000BF" w14:textId="77777777" w:rsidR="00E84757" w:rsidRPr="00C34F89" w:rsidRDefault="007661A5">
            <w:pPr>
              <w:jc w:val="both"/>
            </w:pPr>
            <w:r w:rsidRPr="00C34F89">
              <w:t>0.017</w:t>
            </w:r>
          </w:p>
        </w:tc>
        <w:tc>
          <w:tcPr>
            <w:tcW w:w="1140" w:type="dxa"/>
            <w:tcMar>
              <w:top w:w="0" w:type="dxa"/>
              <w:left w:w="100" w:type="dxa"/>
              <w:bottom w:w="0" w:type="dxa"/>
              <w:right w:w="100" w:type="dxa"/>
            </w:tcMar>
          </w:tcPr>
          <w:p w14:paraId="000000C0" w14:textId="77777777" w:rsidR="00E84757" w:rsidRPr="00C34F89" w:rsidRDefault="007661A5">
            <w:pPr>
              <w:jc w:val="center"/>
            </w:pPr>
            <w:r w:rsidRPr="00C34F89">
              <w:t>-</w:t>
            </w:r>
          </w:p>
        </w:tc>
        <w:tc>
          <w:tcPr>
            <w:tcW w:w="1140" w:type="dxa"/>
            <w:tcMar>
              <w:top w:w="0" w:type="dxa"/>
              <w:left w:w="100" w:type="dxa"/>
              <w:bottom w:w="0" w:type="dxa"/>
              <w:right w:w="100" w:type="dxa"/>
            </w:tcMar>
          </w:tcPr>
          <w:p w14:paraId="000000C1"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2"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3"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4"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5" w14:textId="77777777" w:rsidR="00E84757" w:rsidRPr="00C34F89" w:rsidRDefault="007661A5">
            <w:pPr>
              <w:jc w:val="center"/>
            </w:pPr>
            <w:r w:rsidRPr="00C34F89">
              <w:t xml:space="preserve"> </w:t>
            </w:r>
          </w:p>
        </w:tc>
      </w:tr>
      <w:tr w:rsidR="00E84757" w:rsidRPr="00C34F89" w14:paraId="6B29A95C" w14:textId="77777777">
        <w:trPr>
          <w:trHeight w:val="270"/>
        </w:trPr>
        <w:tc>
          <w:tcPr>
            <w:tcW w:w="1140" w:type="dxa"/>
            <w:tcMar>
              <w:top w:w="0" w:type="dxa"/>
              <w:left w:w="100" w:type="dxa"/>
              <w:bottom w:w="0" w:type="dxa"/>
              <w:right w:w="100" w:type="dxa"/>
            </w:tcMar>
          </w:tcPr>
          <w:p w14:paraId="000000C6" w14:textId="77777777" w:rsidR="00E84757" w:rsidRPr="00C34F89" w:rsidRDefault="007661A5">
            <w:pPr>
              <w:jc w:val="both"/>
            </w:pPr>
            <w:r w:rsidRPr="00C34F89">
              <w:t>INNO_D</w:t>
            </w:r>
          </w:p>
        </w:tc>
        <w:tc>
          <w:tcPr>
            <w:tcW w:w="1140" w:type="dxa"/>
            <w:tcMar>
              <w:top w:w="0" w:type="dxa"/>
              <w:left w:w="100" w:type="dxa"/>
              <w:bottom w:w="0" w:type="dxa"/>
              <w:right w:w="100" w:type="dxa"/>
            </w:tcMar>
          </w:tcPr>
          <w:p w14:paraId="000000C7" w14:textId="77777777" w:rsidR="00E84757" w:rsidRPr="00C34F89" w:rsidRDefault="007661A5">
            <w:pPr>
              <w:jc w:val="both"/>
            </w:pPr>
            <w:r w:rsidRPr="00C34F89">
              <w:t>0.036</w:t>
            </w:r>
          </w:p>
        </w:tc>
        <w:tc>
          <w:tcPr>
            <w:tcW w:w="1140" w:type="dxa"/>
            <w:tcMar>
              <w:top w:w="0" w:type="dxa"/>
              <w:left w:w="100" w:type="dxa"/>
              <w:bottom w:w="0" w:type="dxa"/>
              <w:right w:w="100" w:type="dxa"/>
            </w:tcMar>
          </w:tcPr>
          <w:p w14:paraId="000000C8" w14:textId="77777777" w:rsidR="00E84757" w:rsidRPr="00C34F89" w:rsidRDefault="007661A5">
            <w:pPr>
              <w:jc w:val="both"/>
            </w:pPr>
            <w:r w:rsidRPr="00C34F89">
              <w:t>0.829***</w:t>
            </w:r>
          </w:p>
        </w:tc>
        <w:tc>
          <w:tcPr>
            <w:tcW w:w="1140" w:type="dxa"/>
            <w:tcMar>
              <w:top w:w="0" w:type="dxa"/>
              <w:left w:w="100" w:type="dxa"/>
              <w:bottom w:w="0" w:type="dxa"/>
              <w:right w:w="100" w:type="dxa"/>
            </w:tcMar>
          </w:tcPr>
          <w:p w14:paraId="000000C9" w14:textId="77777777" w:rsidR="00E84757" w:rsidRPr="00C34F89" w:rsidRDefault="007661A5">
            <w:pPr>
              <w:jc w:val="center"/>
            </w:pPr>
            <w:r w:rsidRPr="00C34F89">
              <w:t>-</w:t>
            </w:r>
          </w:p>
        </w:tc>
        <w:tc>
          <w:tcPr>
            <w:tcW w:w="1140" w:type="dxa"/>
            <w:tcMar>
              <w:top w:w="0" w:type="dxa"/>
              <w:left w:w="100" w:type="dxa"/>
              <w:bottom w:w="0" w:type="dxa"/>
              <w:right w:w="100" w:type="dxa"/>
            </w:tcMar>
          </w:tcPr>
          <w:p w14:paraId="000000CA"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B"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C"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CD" w14:textId="77777777" w:rsidR="00E84757" w:rsidRPr="00C34F89" w:rsidRDefault="007661A5">
            <w:pPr>
              <w:jc w:val="center"/>
            </w:pPr>
            <w:r w:rsidRPr="00C34F89">
              <w:t xml:space="preserve"> </w:t>
            </w:r>
          </w:p>
        </w:tc>
      </w:tr>
      <w:tr w:rsidR="00E84757" w:rsidRPr="00C34F89" w14:paraId="38532316" w14:textId="77777777">
        <w:trPr>
          <w:trHeight w:val="270"/>
        </w:trPr>
        <w:tc>
          <w:tcPr>
            <w:tcW w:w="1140" w:type="dxa"/>
            <w:tcMar>
              <w:top w:w="0" w:type="dxa"/>
              <w:left w:w="100" w:type="dxa"/>
              <w:bottom w:w="0" w:type="dxa"/>
              <w:right w:w="100" w:type="dxa"/>
            </w:tcMar>
          </w:tcPr>
          <w:p w14:paraId="000000CE" w14:textId="77777777" w:rsidR="00E84757" w:rsidRPr="00C34F89" w:rsidRDefault="007661A5">
            <w:pPr>
              <w:jc w:val="both"/>
            </w:pPr>
            <w:r w:rsidRPr="00C34F89">
              <w:t>CHAL</w:t>
            </w:r>
          </w:p>
        </w:tc>
        <w:tc>
          <w:tcPr>
            <w:tcW w:w="1140" w:type="dxa"/>
            <w:tcMar>
              <w:top w:w="0" w:type="dxa"/>
              <w:left w:w="100" w:type="dxa"/>
              <w:bottom w:w="0" w:type="dxa"/>
              <w:right w:w="100" w:type="dxa"/>
            </w:tcMar>
          </w:tcPr>
          <w:p w14:paraId="000000CF" w14:textId="77777777" w:rsidR="00E84757" w:rsidRPr="00C34F89" w:rsidRDefault="007661A5">
            <w:pPr>
              <w:jc w:val="both"/>
            </w:pPr>
            <w:r w:rsidRPr="00C34F89">
              <w:t>-0.119*</w:t>
            </w:r>
          </w:p>
        </w:tc>
        <w:tc>
          <w:tcPr>
            <w:tcW w:w="1140" w:type="dxa"/>
            <w:tcMar>
              <w:top w:w="0" w:type="dxa"/>
              <w:left w:w="100" w:type="dxa"/>
              <w:bottom w:w="0" w:type="dxa"/>
              <w:right w:w="100" w:type="dxa"/>
            </w:tcMar>
          </w:tcPr>
          <w:p w14:paraId="000000D0" w14:textId="77777777" w:rsidR="00E84757" w:rsidRPr="00C34F89" w:rsidRDefault="007661A5">
            <w:pPr>
              <w:jc w:val="both"/>
            </w:pPr>
            <w:r w:rsidRPr="00C34F89">
              <w:t>0.006</w:t>
            </w:r>
          </w:p>
        </w:tc>
        <w:tc>
          <w:tcPr>
            <w:tcW w:w="1140" w:type="dxa"/>
            <w:tcMar>
              <w:top w:w="0" w:type="dxa"/>
              <w:left w:w="100" w:type="dxa"/>
              <w:bottom w:w="0" w:type="dxa"/>
              <w:right w:w="100" w:type="dxa"/>
            </w:tcMar>
          </w:tcPr>
          <w:p w14:paraId="000000D1" w14:textId="77777777" w:rsidR="00E84757" w:rsidRPr="00C34F89" w:rsidRDefault="007661A5">
            <w:pPr>
              <w:jc w:val="both"/>
            </w:pPr>
            <w:r w:rsidRPr="00C34F89">
              <w:t>0.071</w:t>
            </w:r>
          </w:p>
        </w:tc>
        <w:tc>
          <w:tcPr>
            <w:tcW w:w="1140" w:type="dxa"/>
            <w:tcMar>
              <w:top w:w="0" w:type="dxa"/>
              <w:left w:w="100" w:type="dxa"/>
              <w:bottom w:w="0" w:type="dxa"/>
              <w:right w:w="100" w:type="dxa"/>
            </w:tcMar>
          </w:tcPr>
          <w:p w14:paraId="000000D2" w14:textId="77777777" w:rsidR="00E84757" w:rsidRPr="00C34F89" w:rsidRDefault="007661A5">
            <w:pPr>
              <w:jc w:val="center"/>
            </w:pPr>
            <w:r w:rsidRPr="00C34F89">
              <w:t>-</w:t>
            </w:r>
          </w:p>
        </w:tc>
        <w:tc>
          <w:tcPr>
            <w:tcW w:w="1140" w:type="dxa"/>
            <w:tcMar>
              <w:top w:w="0" w:type="dxa"/>
              <w:left w:w="100" w:type="dxa"/>
              <w:bottom w:w="0" w:type="dxa"/>
              <w:right w:w="100" w:type="dxa"/>
            </w:tcMar>
          </w:tcPr>
          <w:p w14:paraId="000000D3"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D4"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D5" w14:textId="77777777" w:rsidR="00E84757" w:rsidRPr="00C34F89" w:rsidRDefault="007661A5">
            <w:pPr>
              <w:jc w:val="center"/>
            </w:pPr>
            <w:r w:rsidRPr="00C34F89">
              <w:t xml:space="preserve"> </w:t>
            </w:r>
          </w:p>
        </w:tc>
      </w:tr>
      <w:tr w:rsidR="00E84757" w:rsidRPr="00C34F89" w14:paraId="6875D5C9" w14:textId="77777777">
        <w:trPr>
          <w:trHeight w:val="270"/>
        </w:trPr>
        <w:tc>
          <w:tcPr>
            <w:tcW w:w="1140" w:type="dxa"/>
            <w:tcMar>
              <w:top w:w="0" w:type="dxa"/>
              <w:left w:w="100" w:type="dxa"/>
              <w:bottom w:w="0" w:type="dxa"/>
              <w:right w:w="100" w:type="dxa"/>
            </w:tcMar>
          </w:tcPr>
          <w:p w14:paraId="000000D6" w14:textId="77777777" w:rsidR="00E84757" w:rsidRPr="00C34F89" w:rsidRDefault="007661A5">
            <w:pPr>
              <w:jc w:val="both"/>
            </w:pPr>
            <w:r w:rsidRPr="00C34F89">
              <w:t>ACAP</w:t>
            </w:r>
          </w:p>
        </w:tc>
        <w:tc>
          <w:tcPr>
            <w:tcW w:w="1140" w:type="dxa"/>
            <w:tcMar>
              <w:top w:w="0" w:type="dxa"/>
              <w:left w:w="100" w:type="dxa"/>
              <w:bottom w:w="0" w:type="dxa"/>
              <w:right w:w="100" w:type="dxa"/>
            </w:tcMar>
          </w:tcPr>
          <w:p w14:paraId="000000D7" w14:textId="77777777" w:rsidR="00E84757" w:rsidRPr="00C34F89" w:rsidRDefault="007661A5">
            <w:pPr>
              <w:jc w:val="both"/>
            </w:pPr>
            <w:r w:rsidRPr="00C34F89">
              <w:t>0.139**</w:t>
            </w:r>
          </w:p>
        </w:tc>
        <w:tc>
          <w:tcPr>
            <w:tcW w:w="1140" w:type="dxa"/>
            <w:tcMar>
              <w:top w:w="0" w:type="dxa"/>
              <w:left w:w="100" w:type="dxa"/>
              <w:bottom w:w="0" w:type="dxa"/>
              <w:right w:w="100" w:type="dxa"/>
            </w:tcMar>
          </w:tcPr>
          <w:p w14:paraId="000000D8" w14:textId="77777777" w:rsidR="00E84757" w:rsidRPr="00C34F89" w:rsidRDefault="007661A5">
            <w:pPr>
              <w:jc w:val="both"/>
            </w:pPr>
            <w:r w:rsidRPr="00C34F89">
              <w:t>0.142**</w:t>
            </w:r>
          </w:p>
        </w:tc>
        <w:tc>
          <w:tcPr>
            <w:tcW w:w="1140" w:type="dxa"/>
            <w:tcMar>
              <w:top w:w="0" w:type="dxa"/>
              <w:left w:w="100" w:type="dxa"/>
              <w:bottom w:w="0" w:type="dxa"/>
              <w:right w:w="100" w:type="dxa"/>
            </w:tcMar>
          </w:tcPr>
          <w:p w14:paraId="000000D9" w14:textId="77777777" w:rsidR="00E84757" w:rsidRPr="00C34F89" w:rsidRDefault="007661A5">
            <w:pPr>
              <w:jc w:val="both"/>
            </w:pPr>
            <w:r w:rsidRPr="00C34F89">
              <w:t>0.227***</w:t>
            </w:r>
          </w:p>
        </w:tc>
        <w:tc>
          <w:tcPr>
            <w:tcW w:w="1140" w:type="dxa"/>
            <w:tcMar>
              <w:top w:w="0" w:type="dxa"/>
              <w:left w:w="100" w:type="dxa"/>
              <w:bottom w:w="0" w:type="dxa"/>
              <w:right w:w="100" w:type="dxa"/>
            </w:tcMar>
          </w:tcPr>
          <w:p w14:paraId="000000DA" w14:textId="77777777" w:rsidR="00E84757" w:rsidRPr="00C34F89" w:rsidRDefault="007661A5">
            <w:pPr>
              <w:jc w:val="both"/>
            </w:pPr>
            <w:r w:rsidRPr="00C34F89">
              <w:t>-0.119*</w:t>
            </w:r>
          </w:p>
        </w:tc>
        <w:tc>
          <w:tcPr>
            <w:tcW w:w="1140" w:type="dxa"/>
            <w:tcMar>
              <w:top w:w="0" w:type="dxa"/>
              <w:left w:w="100" w:type="dxa"/>
              <w:bottom w:w="0" w:type="dxa"/>
              <w:right w:w="100" w:type="dxa"/>
            </w:tcMar>
          </w:tcPr>
          <w:p w14:paraId="000000DB" w14:textId="77777777" w:rsidR="00E84757" w:rsidRPr="00C34F89" w:rsidRDefault="007661A5">
            <w:pPr>
              <w:jc w:val="center"/>
            </w:pPr>
            <w:r w:rsidRPr="00C34F89">
              <w:t>-</w:t>
            </w:r>
          </w:p>
        </w:tc>
        <w:tc>
          <w:tcPr>
            <w:tcW w:w="1140" w:type="dxa"/>
            <w:tcMar>
              <w:top w:w="0" w:type="dxa"/>
              <w:left w:w="100" w:type="dxa"/>
              <w:bottom w:w="0" w:type="dxa"/>
              <w:right w:w="100" w:type="dxa"/>
            </w:tcMar>
          </w:tcPr>
          <w:p w14:paraId="000000DC" w14:textId="77777777" w:rsidR="00E84757" w:rsidRPr="00C34F89" w:rsidRDefault="007661A5">
            <w:pPr>
              <w:jc w:val="center"/>
            </w:pPr>
            <w:r w:rsidRPr="00C34F89">
              <w:t xml:space="preserve"> </w:t>
            </w:r>
          </w:p>
        </w:tc>
        <w:tc>
          <w:tcPr>
            <w:tcW w:w="1140" w:type="dxa"/>
            <w:tcMar>
              <w:top w:w="0" w:type="dxa"/>
              <w:left w:w="100" w:type="dxa"/>
              <w:bottom w:w="0" w:type="dxa"/>
              <w:right w:w="100" w:type="dxa"/>
            </w:tcMar>
          </w:tcPr>
          <w:p w14:paraId="000000DD" w14:textId="77777777" w:rsidR="00E84757" w:rsidRPr="00C34F89" w:rsidRDefault="007661A5">
            <w:pPr>
              <w:jc w:val="center"/>
            </w:pPr>
            <w:r w:rsidRPr="00C34F89">
              <w:t xml:space="preserve"> </w:t>
            </w:r>
          </w:p>
        </w:tc>
      </w:tr>
      <w:tr w:rsidR="00E84757" w:rsidRPr="00C34F89" w14:paraId="0B977536" w14:textId="77777777">
        <w:trPr>
          <w:trHeight w:val="270"/>
        </w:trPr>
        <w:tc>
          <w:tcPr>
            <w:tcW w:w="1140" w:type="dxa"/>
            <w:tcMar>
              <w:top w:w="0" w:type="dxa"/>
              <w:left w:w="100" w:type="dxa"/>
              <w:bottom w:w="0" w:type="dxa"/>
              <w:right w:w="100" w:type="dxa"/>
            </w:tcMar>
          </w:tcPr>
          <w:p w14:paraId="000000DE" w14:textId="77777777" w:rsidR="00E84757" w:rsidRPr="00C34F89" w:rsidRDefault="007661A5">
            <w:pPr>
              <w:jc w:val="both"/>
            </w:pPr>
            <w:r w:rsidRPr="00C34F89">
              <w:t>KS</w:t>
            </w:r>
          </w:p>
        </w:tc>
        <w:tc>
          <w:tcPr>
            <w:tcW w:w="1140" w:type="dxa"/>
            <w:tcMar>
              <w:top w:w="0" w:type="dxa"/>
              <w:left w:w="100" w:type="dxa"/>
              <w:bottom w:w="0" w:type="dxa"/>
              <w:right w:w="100" w:type="dxa"/>
            </w:tcMar>
          </w:tcPr>
          <w:p w14:paraId="000000DF" w14:textId="77777777" w:rsidR="00E84757" w:rsidRPr="00C34F89" w:rsidRDefault="007661A5">
            <w:pPr>
              <w:jc w:val="both"/>
            </w:pPr>
            <w:r w:rsidRPr="00C34F89">
              <w:t>0.140**</w:t>
            </w:r>
          </w:p>
        </w:tc>
        <w:tc>
          <w:tcPr>
            <w:tcW w:w="1140" w:type="dxa"/>
            <w:tcMar>
              <w:top w:w="0" w:type="dxa"/>
              <w:left w:w="100" w:type="dxa"/>
              <w:bottom w:w="0" w:type="dxa"/>
              <w:right w:w="100" w:type="dxa"/>
            </w:tcMar>
          </w:tcPr>
          <w:p w14:paraId="000000E0" w14:textId="77777777" w:rsidR="00E84757" w:rsidRPr="00C34F89" w:rsidRDefault="007661A5">
            <w:pPr>
              <w:jc w:val="both"/>
            </w:pPr>
            <w:r w:rsidRPr="00C34F89">
              <w:t>0.252***</w:t>
            </w:r>
          </w:p>
        </w:tc>
        <w:tc>
          <w:tcPr>
            <w:tcW w:w="1140" w:type="dxa"/>
            <w:tcMar>
              <w:top w:w="0" w:type="dxa"/>
              <w:left w:w="100" w:type="dxa"/>
              <w:bottom w:w="0" w:type="dxa"/>
              <w:right w:w="100" w:type="dxa"/>
            </w:tcMar>
          </w:tcPr>
          <w:p w14:paraId="000000E1" w14:textId="77777777" w:rsidR="00E84757" w:rsidRPr="00C34F89" w:rsidRDefault="007661A5">
            <w:pPr>
              <w:jc w:val="both"/>
            </w:pPr>
            <w:r w:rsidRPr="00C34F89">
              <w:t>0.323***</w:t>
            </w:r>
          </w:p>
        </w:tc>
        <w:tc>
          <w:tcPr>
            <w:tcW w:w="1140" w:type="dxa"/>
            <w:tcMar>
              <w:top w:w="0" w:type="dxa"/>
              <w:left w:w="100" w:type="dxa"/>
              <w:bottom w:w="0" w:type="dxa"/>
              <w:right w:w="100" w:type="dxa"/>
            </w:tcMar>
          </w:tcPr>
          <w:p w14:paraId="000000E2" w14:textId="77777777" w:rsidR="00E84757" w:rsidRPr="00C34F89" w:rsidRDefault="007661A5">
            <w:pPr>
              <w:jc w:val="both"/>
            </w:pPr>
            <w:r w:rsidRPr="00C34F89">
              <w:t>-0.054</w:t>
            </w:r>
          </w:p>
        </w:tc>
        <w:tc>
          <w:tcPr>
            <w:tcW w:w="1140" w:type="dxa"/>
            <w:tcMar>
              <w:top w:w="0" w:type="dxa"/>
              <w:left w:w="100" w:type="dxa"/>
              <w:bottom w:w="0" w:type="dxa"/>
              <w:right w:w="100" w:type="dxa"/>
            </w:tcMar>
          </w:tcPr>
          <w:p w14:paraId="000000E3" w14:textId="77777777" w:rsidR="00E84757" w:rsidRPr="00C34F89" w:rsidRDefault="007661A5">
            <w:pPr>
              <w:jc w:val="both"/>
            </w:pPr>
            <w:r w:rsidRPr="00C34F89">
              <w:t>0.413***</w:t>
            </w:r>
          </w:p>
        </w:tc>
        <w:tc>
          <w:tcPr>
            <w:tcW w:w="1140" w:type="dxa"/>
            <w:tcMar>
              <w:top w:w="0" w:type="dxa"/>
              <w:left w:w="100" w:type="dxa"/>
              <w:bottom w:w="0" w:type="dxa"/>
              <w:right w:w="100" w:type="dxa"/>
            </w:tcMar>
          </w:tcPr>
          <w:p w14:paraId="000000E4" w14:textId="77777777" w:rsidR="00E84757" w:rsidRPr="00C34F89" w:rsidRDefault="007661A5">
            <w:pPr>
              <w:jc w:val="center"/>
            </w:pPr>
            <w:r w:rsidRPr="00C34F89">
              <w:t>-</w:t>
            </w:r>
          </w:p>
        </w:tc>
        <w:tc>
          <w:tcPr>
            <w:tcW w:w="1140" w:type="dxa"/>
            <w:tcMar>
              <w:top w:w="0" w:type="dxa"/>
              <w:left w:w="100" w:type="dxa"/>
              <w:bottom w:w="0" w:type="dxa"/>
              <w:right w:w="100" w:type="dxa"/>
            </w:tcMar>
          </w:tcPr>
          <w:p w14:paraId="000000E5" w14:textId="77777777" w:rsidR="00E84757" w:rsidRPr="00C34F89" w:rsidRDefault="007661A5">
            <w:pPr>
              <w:jc w:val="center"/>
            </w:pPr>
            <w:r w:rsidRPr="00C34F89">
              <w:t xml:space="preserve"> </w:t>
            </w:r>
          </w:p>
        </w:tc>
      </w:tr>
      <w:tr w:rsidR="00E84757" w:rsidRPr="00C34F89" w14:paraId="4C784F64" w14:textId="77777777">
        <w:trPr>
          <w:trHeight w:val="285"/>
        </w:trPr>
        <w:tc>
          <w:tcPr>
            <w:tcW w:w="1140" w:type="dxa"/>
            <w:tcBorders>
              <w:bottom w:val="single" w:sz="8" w:space="0" w:color="000000"/>
            </w:tcBorders>
            <w:tcMar>
              <w:top w:w="0" w:type="dxa"/>
              <w:left w:w="100" w:type="dxa"/>
              <w:bottom w:w="0" w:type="dxa"/>
              <w:right w:w="100" w:type="dxa"/>
            </w:tcMar>
          </w:tcPr>
          <w:p w14:paraId="000000E6" w14:textId="77777777" w:rsidR="00E84757" w:rsidRPr="00C34F89" w:rsidRDefault="007661A5">
            <w:pPr>
              <w:jc w:val="both"/>
            </w:pPr>
            <w:r w:rsidRPr="00C34F89">
              <w:t>COOP</w:t>
            </w:r>
          </w:p>
        </w:tc>
        <w:tc>
          <w:tcPr>
            <w:tcW w:w="1140" w:type="dxa"/>
            <w:tcBorders>
              <w:bottom w:val="single" w:sz="8" w:space="0" w:color="000000"/>
            </w:tcBorders>
            <w:tcMar>
              <w:top w:w="0" w:type="dxa"/>
              <w:left w:w="100" w:type="dxa"/>
              <w:bottom w:w="0" w:type="dxa"/>
              <w:right w:w="100" w:type="dxa"/>
            </w:tcMar>
          </w:tcPr>
          <w:p w14:paraId="000000E7" w14:textId="77777777" w:rsidR="00E84757" w:rsidRPr="00C34F89" w:rsidRDefault="007661A5">
            <w:pPr>
              <w:jc w:val="both"/>
            </w:pPr>
            <w:r w:rsidRPr="00C34F89">
              <w:t>0.064</w:t>
            </w:r>
          </w:p>
        </w:tc>
        <w:tc>
          <w:tcPr>
            <w:tcW w:w="1140" w:type="dxa"/>
            <w:tcBorders>
              <w:bottom w:val="single" w:sz="8" w:space="0" w:color="000000"/>
            </w:tcBorders>
            <w:tcMar>
              <w:top w:w="0" w:type="dxa"/>
              <w:left w:w="100" w:type="dxa"/>
              <w:bottom w:w="0" w:type="dxa"/>
              <w:right w:w="100" w:type="dxa"/>
            </w:tcMar>
          </w:tcPr>
          <w:p w14:paraId="000000E8" w14:textId="77777777" w:rsidR="00E84757" w:rsidRPr="00C34F89" w:rsidRDefault="007661A5">
            <w:pPr>
              <w:jc w:val="both"/>
            </w:pPr>
            <w:r w:rsidRPr="00C34F89">
              <w:t>0.148**</w:t>
            </w:r>
          </w:p>
        </w:tc>
        <w:tc>
          <w:tcPr>
            <w:tcW w:w="1140" w:type="dxa"/>
            <w:tcBorders>
              <w:bottom w:val="single" w:sz="8" w:space="0" w:color="000000"/>
            </w:tcBorders>
            <w:tcMar>
              <w:top w:w="0" w:type="dxa"/>
              <w:left w:w="100" w:type="dxa"/>
              <w:bottom w:w="0" w:type="dxa"/>
              <w:right w:w="100" w:type="dxa"/>
            </w:tcMar>
          </w:tcPr>
          <w:p w14:paraId="000000E9" w14:textId="77777777" w:rsidR="00E84757" w:rsidRPr="00C34F89" w:rsidRDefault="007661A5">
            <w:pPr>
              <w:jc w:val="both"/>
            </w:pPr>
            <w:r w:rsidRPr="00C34F89">
              <w:t>0.148**</w:t>
            </w:r>
          </w:p>
        </w:tc>
        <w:tc>
          <w:tcPr>
            <w:tcW w:w="1140" w:type="dxa"/>
            <w:tcBorders>
              <w:bottom w:val="single" w:sz="8" w:space="0" w:color="000000"/>
            </w:tcBorders>
            <w:tcMar>
              <w:top w:w="0" w:type="dxa"/>
              <w:left w:w="100" w:type="dxa"/>
              <w:bottom w:w="0" w:type="dxa"/>
              <w:right w:w="100" w:type="dxa"/>
            </w:tcMar>
          </w:tcPr>
          <w:p w14:paraId="000000EA" w14:textId="77777777" w:rsidR="00E84757" w:rsidRPr="00C34F89" w:rsidRDefault="007661A5">
            <w:pPr>
              <w:jc w:val="both"/>
            </w:pPr>
            <w:r w:rsidRPr="00C34F89">
              <w:t>-0.026</w:t>
            </w:r>
          </w:p>
        </w:tc>
        <w:tc>
          <w:tcPr>
            <w:tcW w:w="1140" w:type="dxa"/>
            <w:tcBorders>
              <w:bottom w:val="single" w:sz="8" w:space="0" w:color="000000"/>
            </w:tcBorders>
            <w:tcMar>
              <w:top w:w="0" w:type="dxa"/>
              <w:left w:w="100" w:type="dxa"/>
              <w:bottom w:w="0" w:type="dxa"/>
              <w:right w:w="100" w:type="dxa"/>
            </w:tcMar>
          </w:tcPr>
          <w:p w14:paraId="000000EB" w14:textId="77777777" w:rsidR="00E84757" w:rsidRPr="00C34F89" w:rsidRDefault="007661A5">
            <w:pPr>
              <w:jc w:val="both"/>
            </w:pPr>
            <w:r w:rsidRPr="00C34F89">
              <w:t>0.237***</w:t>
            </w:r>
          </w:p>
        </w:tc>
        <w:tc>
          <w:tcPr>
            <w:tcW w:w="1140" w:type="dxa"/>
            <w:tcBorders>
              <w:bottom w:val="single" w:sz="8" w:space="0" w:color="000000"/>
            </w:tcBorders>
            <w:tcMar>
              <w:top w:w="0" w:type="dxa"/>
              <w:left w:w="100" w:type="dxa"/>
              <w:bottom w:w="0" w:type="dxa"/>
              <w:right w:w="100" w:type="dxa"/>
            </w:tcMar>
          </w:tcPr>
          <w:p w14:paraId="000000EC" w14:textId="77777777" w:rsidR="00E84757" w:rsidRPr="00C34F89" w:rsidRDefault="007661A5">
            <w:pPr>
              <w:jc w:val="both"/>
            </w:pPr>
            <w:r w:rsidRPr="00C34F89">
              <w:t>0.254***</w:t>
            </w:r>
          </w:p>
        </w:tc>
        <w:tc>
          <w:tcPr>
            <w:tcW w:w="1140" w:type="dxa"/>
            <w:tcBorders>
              <w:bottom w:val="single" w:sz="8" w:space="0" w:color="000000"/>
            </w:tcBorders>
            <w:tcMar>
              <w:top w:w="0" w:type="dxa"/>
              <w:left w:w="100" w:type="dxa"/>
              <w:bottom w:w="0" w:type="dxa"/>
              <w:right w:w="100" w:type="dxa"/>
            </w:tcMar>
          </w:tcPr>
          <w:p w14:paraId="000000ED" w14:textId="77777777" w:rsidR="00E84757" w:rsidRPr="00C34F89" w:rsidRDefault="007661A5">
            <w:pPr>
              <w:jc w:val="center"/>
            </w:pPr>
            <w:r w:rsidRPr="00C34F89">
              <w:t>-</w:t>
            </w:r>
          </w:p>
        </w:tc>
      </w:tr>
      <w:tr w:rsidR="00E84757" w:rsidRPr="00C34F89" w14:paraId="3E8A80B3" w14:textId="77777777">
        <w:trPr>
          <w:trHeight w:val="615"/>
        </w:trPr>
        <w:tc>
          <w:tcPr>
            <w:tcW w:w="9120" w:type="dxa"/>
            <w:gridSpan w:val="8"/>
            <w:tcMar>
              <w:top w:w="0" w:type="dxa"/>
              <w:left w:w="100" w:type="dxa"/>
              <w:bottom w:w="0" w:type="dxa"/>
              <w:right w:w="100" w:type="dxa"/>
            </w:tcMar>
          </w:tcPr>
          <w:p w14:paraId="000000EE" w14:textId="77777777" w:rsidR="00E84757" w:rsidRPr="00C34F89" w:rsidRDefault="007661A5">
            <w:pPr>
              <w:jc w:val="both"/>
              <w:rPr>
                <w:sz w:val="18"/>
                <w:szCs w:val="18"/>
              </w:rPr>
            </w:pPr>
            <w:r w:rsidRPr="00C34F89">
              <w:rPr>
                <w:sz w:val="18"/>
                <w:szCs w:val="18"/>
              </w:rPr>
              <w:t xml:space="preserve">Note. * p&lt;.05, ** p&lt;.01, *** p&lt;.001. </w:t>
            </w:r>
          </w:p>
        </w:tc>
      </w:tr>
    </w:tbl>
    <w:p w14:paraId="000000F6" w14:textId="77777777" w:rsidR="00E84757" w:rsidRPr="00C34F89" w:rsidRDefault="00E84757">
      <w:pPr>
        <w:jc w:val="both"/>
      </w:pPr>
    </w:p>
    <w:p w14:paraId="000000F7" w14:textId="77777777" w:rsidR="00E84757" w:rsidRPr="00C34F89" w:rsidRDefault="00E84757">
      <w:pPr>
        <w:jc w:val="both"/>
      </w:pPr>
    </w:p>
    <w:p w14:paraId="000000F8" w14:textId="77777777" w:rsidR="00E84757" w:rsidRPr="00C34F89" w:rsidRDefault="007661A5">
      <w:pPr>
        <w:jc w:val="both"/>
      </w:pPr>
      <w:r w:rsidRPr="00C34F89">
        <w:t>Correlation coefficients indicate that TI in schools was significantly lower when teacher heterogeneity in ICT literacy was perceived as a challenge (</w:t>
      </w:r>
      <w:r w:rsidRPr="00C34F89">
        <w:rPr>
          <w:i/>
        </w:rPr>
        <w:t>r</w:t>
      </w:r>
      <w:r w:rsidRPr="00C34F89">
        <w:t xml:space="preserve">=-0.119, </w:t>
      </w:r>
      <w:r w:rsidRPr="00C34F89">
        <w:rPr>
          <w:i/>
        </w:rPr>
        <w:t>p</w:t>
      </w:r>
      <w:r w:rsidRPr="00C34F89">
        <w:t>&lt;.05). ICT ACAP (</w:t>
      </w:r>
      <w:r w:rsidRPr="00C34F89">
        <w:rPr>
          <w:i/>
        </w:rPr>
        <w:t>r</w:t>
      </w:r>
      <w:r w:rsidRPr="00C34F89">
        <w:t xml:space="preserve">=0.139, </w:t>
      </w:r>
      <w:r w:rsidRPr="00C34F89">
        <w:rPr>
          <w:i/>
        </w:rPr>
        <w:t>p</w:t>
      </w:r>
      <w:r w:rsidRPr="00C34F89">
        <w:t>&lt;.01) and knowledge sharing (</w:t>
      </w:r>
      <w:r w:rsidRPr="00C34F89">
        <w:rPr>
          <w:i/>
        </w:rPr>
        <w:t>r</w:t>
      </w:r>
      <w:r w:rsidRPr="00C34F89">
        <w:t xml:space="preserve">=0.140, </w:t>
      </w:r>
      <w:r w:rsidRPr="00C34F89">
        <w:rPr>
          <w:i/>
        </w:rPr>
        <w:t>p</w:t>
      </w:r>
      <w:r w:rsidRPr="00C34F89">
        <w:t>&lt;.01), however, are linked to increased TI in schools. Consistent with the theory, a positive correlation between external knowledge and ICT ACAP (</w:t>
      </w:r>
      <w:proofErr w:type="spellStart"/>
      <w:r w:rsidRPr="00C34F89">
        <w:rPr>
          <w:i/>
        </w:rPr>
        <w:t>r</w:t>
      </w:r>
      <w:r w:rsidRPr="00C34F89">
        <w:rPr>
          <w:i/>
          <w:vertAlign w:val="subscript"/>
        </w:rPr>
        <w:t>INNO_D</w:t>
      </w:r>
      <w:proofErr w:type="spellEnd"/>
      <w:r w:rsidRPr="00C34F89">
        <w:t xml:space="preserve">=0.227, </w:t>
      </w:r>
      <w:r w:rsidRPr="00C34F89">
        <w:rPr>
          <w:i/>
        </w:rPr>
        <w:t>p</w:t>
      </w:r>
      <w:r w:rsidRPr="00C34F89">
        <w:t xml:space="preserve">&lt;.001; </w:t>
      </w:r>
      <w:proofErr w:type="spellStart"/>
      <w:r w:rsidRPr="00C34F89">
        <w:rPr>
          <w:i/>
        </w:rPr>
        <w:t>r</w:t>
      </w:r>
      <w:r w:rsidRPr="00C34F89">
        <w:rPr>
          <w:i/>
          <w:vertAlign w:val="subscript"/>
        </w:rPr>
        <w:t>INNO_B</w:t>
      </w:r>
      <w:proofErr w:type="spellEnd"/>
      <w:r w:rsidRPr="00C34F89">
        <w:t xml:space="preserve">=0.142, </w:t>
      </w:r>
      <w:r w:rsidRPr="00C34F89">
        <w:rPr>
          <w:i/>
        </w:rPr>
        <w:t>p</w:t>
      </w:r>
      <w:r w:rsidRPr="00C34F89">
        <w:t>&lt;.01) and knowledge sharing (</w:t>
      </w:r>
      <w:proofErr w:type="spellStart"/>
      <w:r w:rsidRPr="00C34F89">
        <w:rPr>
          <w:i/>
        </w:rPr>
        <w:t>r</w:t>
      </w:r>
      <w:r w:rsidRPr="00C34F89">
        <w:rPr>
          <w:i/>
          <w:vertAlign w:val="subscript"/>
        </w:rPr>
        <w:t>INNO_D</w:t>
      </w:r>
      <w:proofErr w:type="spellEnd"/>
      <w:r w:rsidRPr="00C34F89">
        <w:t xml:space="preserve">=0.323, </w:t>
      </w:r>
      <w:r w:rsidRPr="00C34F89">
        <w:rPr>
          <w:i/>
        </w:rPr>
        <w:t>p</w:t>
      </w:r>
      <w:r w:rsidRPr="00C34F89">
        <w:t xml:space="preserve">&lt;.001; </w:t>
      </w:r>
      <w:proofErr w:type="spellStart"/>
      <w:r w:rsidRPr="00C34F89">
        <w:rPr>
          <w:i/>
        </w:rPr>
        <w:t>r</w:t>
      </w:r>
      <w:r w:rsidRPr="00C34F89">
        <w:rPr>
          <w:i/>
          <w:vertAlign w:val="subscript"/>
        </w:rPr>
        <w:t>INNO_B</w:t>
      </w:r>
      <w:proofErr w:type="spellEnd"/>
      <w:r w:rsidRPr="00C34F89">
        <w:t>=0.252, p&lt;.001) was observable. Also, in line with theory, we found positive correlations between ACAP and both knowledge sharing (</w:t>
      </w:r>
      <w:r w:rsidRPr="00C34F89">
        <w:rPr>
          <w:i/>
        </w:rPr>
        <w:t>r</w:t>
      </w:r>
      <w:r w:rsidRPr="00C34F89">
        <w:t xml:space="preserve">=0.413, </w:t>
      </w:r>
      <w:r w:rsidRPr="00C34F89">
        <w:rPr>
          <w:i/>
        </w:rPr>
        <w:t>p</w:t>
      </w:r>
      <w:r w:rsidRPr="00C34F89">
        <w:t>&lt;.01) and coopetition (</w:t>
      </w:r>
      <w:r w:rsidRPr="00C34F89">
        <w:rPr>
          <w:i/>
        </w:rPr>
        <w:t>r</w:t>
      </w:r>
      <w:r w:rsidRPr="00C34F89">
        <w:t xml:space="preserve">=0.237, </w:t>
      </w:r>
      <w:r w:rsidRPr="00C34F89">
        <w:rPr>
          <w:i/>
        </w:rPr>
        <w:t>p</w:t>
      </w:r>
      <w:r w:rsidRPr="00C34F89">
        <w:t>&lt;.01) and a negative correlation between ICT ACAP and teacher heterogeneity in ICT literacy perceived as a challenge (</w:t>
      </w:r>
      <w:r w:rsidRPr="00C34F89">
        <w:rPr>
          <w:i/>
        </w:rPr>
        <w:t>r</w:t>
      </w:r>
      <w:r w:rsidRPr="00C34F89">
        <w:t xml:space="preserve">=-0.119, </w:t>
      </w:r>
      <w:r w:rsidRPr="00C34F89">
        <w:rPr>
          <w:i/>
        </w:rPr>
        <w:t>p</w:t>
      </w:r>
      <w:r w:rsidRPr="00C34F89">
        <w:t>&lt;.05).</w:t>
      </w:r>
    </w:p>
    <w:p w14:paraId="000000F9" w14:textId="77777777" w:rsidR="00E84757" w:rsidRPr="00C34F89" w:rsidRDefault="00E84757">
      <w:pPr>
        <w:spacing w:after="240"/>
        <w:ind w:left="1240" w:hanging="440"/>
        <w:jc w:val="both"/>
        <w:rPr>
          <w:b/>
          <w:i/>
        </w:rPr>
      </w:pPr>
    </w:p>
    <w:p w14:paraId="000000FA" w14:textId="77777777" w:rsidR="00E84757" w:rsidRPr="00C34F89" w:rsidRDefault="007661A5">
      <w:pPr>
        <w:spacing w:after="240"/>
        <w:ind w:left="567" w:hanging="567"/>
        <w:jc w:val="both"/>
        <w:rPr>
          <w:i/>
        </w:rPr>
      </w:pPr>
      <w:r w:rsidRPr="00C34F89">
        <w:rPr>
          <w:i/>
        </w:rPr>
        <w:lastRenderedPageBreak/>
        <w:t>4.2.</w:t>
      </w:r>
      <w:r w:rsidRPr="00C34F89">
        <w:rPr>
          <w:i/>
        </w:rPr>
        <w:tab/>
      </w:r>
      <w:r w:rsidRPr="00C34F89">
        <w:rPr>
          <w:rFonts w:ascii="Times New Roman" w:eastAsia="Times New Roman" w:hAnsi="Times New Roman" w:cs="Times New Roman"/>
          <w:sz w:val="14"/>
          <w:szCs w:val="14"/>
        </w:rPr>
        <w:t xml:space="preserve"> </w:t>
      </w:r>
      <w:r w:rsidRPr="00C34F89">
        <w:rPr>
          <w:i/>
        </w:rPr>
        <w:t>Structural Equation Model</w:t>
      </w:r>
    </w:p>
    <w:p w14:paraId="000000FB" w14:textId="77777777" w:rsidR="00E84757" w:rsidRPr="00C34F89" w:rsidRDefault="007661A5">
      <w:pPr>
        <w:spacing w:before="240" w:after="240"/>
        <w:jc w:val="both"/>
      </w:pPr>
      <w:r w:rsidRPr="00C34F89">
        <w:t>Next, we investigated the fit of our ACAP measurement model and constructed the basal SEM shown in Figure 2. Confirmatory factor analyses (CFA) for the ICT ACAP model resulted in a good fit, with CFI=.98 and SRMR=.03. In the theory-driven SEM, we allowed for the correlation between open innovation breadth and depth (</w:t>
      </w:r>
      <w:r w:rsidRPr="00C34F89">
        <w:rPr>
          <w:i/>
        </w:rPr>
        <w:t>r</w:t>
      </w:r>
      <w:r w:rsidRPr="00C34F89">
        <w:t xml:space="preserve">=.829, </w:t>
      </w:r>
      <w:r w:rsidRPr="00C34F89">
        <w:rPr>
          <w:i/>
        </w:rPr>
        <w:t>p</w:t>
      </w:r>
      <w:r w:rsidRPr="00C34F89">
        <w:t xml:space="preserve">&lt;.001) and regressed both measures of external knowledge on ICT ACAP and ICT ACAP on TI in schools. The results revealed a statistically significant relation between open innovation depth and ICT ACAP (β=.382, </w:t>
      </w:r>
      <w:r w:rsidRPr="00C34F89">
        <w:rPr>
          <w:i/>
        </w:rPr>
        <w:t>SE</w:t>
      </w:r>
      <w:r w:rsidRPr="00C34F89">
        <w:t xml:space="preserve">=.093, </w:t>
      </w:r>
      <w:r w:rsidRPr="00C34F89">
        <w:rPr>
          <w:i/>
        </w:rPr>
        <w:t>p</w:t>
      </w:r>
      <w:r w:rsidRPr="00C34F89">
        <w:t xml:space="preserve">&lt;.001) and between ICT ACAP and TI in schools (β=.152, </w:t>
      </w:r>
      <w:r w:rsidRPr="00C34F89">
        <w:rPr>
          <w:i/>
        </w:rPr>
        <w:t>SE</w:t>
      </w:r>
      <w:r w:rsidRPr="00C34F89">
        <w:t xml:space="preserve">=.055, </w:t>
      </w:r>
      <w:r w:rsidRPr="00C34F89">
        <w:rPr>
          <w:i/>
        </w:rPr>
        <w:t>p</w:t>
      </w:r>
      <w:r w:rsidRPr="00C34F89">
        <w:t xml:space="preserve">&lt;.01). The path between open innovation breadth (β= -.162, </w:t>
      </w:r>
      <w:r w:rsidRPr="00C34F89">
        <w:rPr>
          <w:i/>
        </w:rPr>
        <w:t>SE</w:t>
      </w:r>
      <w:r w:rsidRPr="00C34F89">
        <w:t xml:space="preserve">=.095, </w:t>
      </w:r>
      <w:r w:rsidRPr="00C34F89">
        <w:rPr>
          <w:i/>
        </w:rPr>
        <w:t>p</w:t>
      </w:r>
      <w:r w:rsidRPr="00C34F89">
        <w:t xml:space="preserve">&gt;.05) and ICT ACAP as well as the direct paths of both open innovation depth (β=.014, </w:t>
      </w:r>
      <w:r w:rsidRPr="00C34F89">
        <w:rPr>
          <w:i/>
        </w:rPr>
        <w:t>SE</w:t>
      </w:r>
      <w:r w:rsidRPr="00C34F89">
        <w:t xml:space="preserve">=.091, </w:t>
      </w:r>
      <w:r w:rsidRPr="00C34F89">
        <w:rPr>
          <w:i/>
        </w:rPr>
        <w:t>p</w:t>
      </w:r>
      <w:r w:rsidRPr="00C34F89">
        <w:t xml:space="preserve">&gt;.05) and open innovation breadth (β= -.017, </w:t>
      </w:r>
      <w:r w:rsidRPr="00C34F89">
        <w:rPr>
          <w:i/>
        </w:rPr>
        <w:t>SE</w:t>
      </w:r>
      <w:r w:rsidRPr="00C34F89">
        <w:t xml:space="preserve">=.089, </w:t>
      </w:r>
      <w:r w:rsidRPr="00C34F89">
        <w:rPr>
          <w:i/>
        </w:rPr>
        <w:t>p</w:t>
      </w:r>
      <w:r w:rsidRPr="00C34F89">
        <w:t xml:space="preserve">&gt;.05) on TI in schools showed no relevant associations. In our sensitivity analyses in which the dependent variable was treated as categorical, decisions on statistical significance remained the same; specifically, the relation between open innovation depth and ICT ACAP (β=.371, </w:t>
      </w:r>
      <w:r w:rsidRPr="00C34F89">
        <w:rPr>
          <w:i/>
        </w:rPr>
        <w:t>SE</w:t>
      </w:r>
      <w:r w:rsidRPr="00C34F89">
        <w:t xml:space="preserve">=.082, </w:t>
      </w:r>
      <w:r w:rsidRPr="00C34F89">
        <w:rPr>
          <w:i/>
        </w:rPr>
        <w:t>p</w:t>
      </w:r>
      <w:r w:rsidRPr="00C34F89">
        <w:t xml:space="preserve">&lt;.001), ICT ACAP and TI (β=.182, </w:t>
      </w:r>
      <w:r w:rsidRPr="00C34F89">
        <w:rPr>
          <w:i/>
        </w:rPr>
        <w:t>SE</w:t>
      </w:r>
      <w:r w:rsidRPr="00C34F89">
        <w:t xml:space="preserve">=.064, </w:t>
      </w:r>
      <w:r w:rsidRPr="00C34F89">
        <w:rPr>
          <w:i/>
        </w:rPr>
        <w:t>p</w:t>
      </w:r>
      <w:r w:rsidRPr="00C34F89">
        <w:t xml:space="preserve">&lt;.01), open innovation breadth and ICT ACAP (β= -.153, </w:t>
      </w:r>
      <w:r w:rsidRPr="00C34F89">
        <w:rPr>
          <w:i/>
        </w:rPr>
        <w:t>SE</w:t>
      </w:r>
      <w:r w:rsidRPr="00C34F89">
        <w:t xml:space="preserve">=.083, </w:t>
      </w:r>
      <w:r w:rsidRPr="00C34F89">
        <w:rPr>
          <w:i/>
        </w:rPr>
        <w:t>p</w:t>
      </w:r>
      <w:r w:rsidRPr="00C34F89">
        <w:t xml:space="preserve">&gt;.05), open innovation depth (β=.026, </w:t>
      </w:r>
      <w:r w:rsidRPr="00C34F89">
        <w:rPr>
          <w:i/>
        </w:rPr>
        <w:t>SE</w:t>
      </w:r>
      <w:r w:rsidRPr="00C34F89">
        <w:t xml:space="preserve">=.112, </w:t>
      </w:r>
      <w:r w:rsidRPr="00C34F89">
        <w:rPr>
          <w:i/>
        </w:rPr>
        <w:t>p</w:t>
      </w:r>
      <w:r w:rsidRPr="00C34F89">
        <w:t xml:space="preserve">&gt;.05) and open innovation breadth (β= -.018, </w:t>
      </w:r>
      <w:r w:rsidRPr="00C34F89">
        <w:rPr>
          <w:i/>
        </w:rPr>
        <w:t>SE</w:t>
      </w:r>
      <w:r w:rsidRPr="00C34F89">
        <w:t xml:space="preserve">=.103, </w:t>
      </w:r>
      <w:r w:rsidRPr="00C34F89">
        <w:rPr>
          <w:i/>
        </w:rPr>
        <w:t>p</w:t>
      </w:r>
      <w:r w:rsidRPr="00C34F89">
        <w:t>&gt;.05) on TI.</w:t>
      </w:r>
    </w:p>
    <w:p w14:paraId="000000FC" w14:textId="77777777" w:rsidR="00E84757" w:rsidRPr="00C34F89" w:rsidRDefault="00E84757">
      <w:pPr>
        <w:spacing w:before="240" w:after="240"/>
        <w:jc w:val="both"/>
      </w:pPr>
    </w:p>
    <w:p w14:paraId="000000FD" w14:textId="77777777" w:rsidR="00E84757" w:rsidRPr="00C34F89" w:rsidRDefault="007661A5">
      <w:pPr>
        <w:spacing w:before="240" w:after="240"/>
        <w:jc w:val="both"/>
      </w:pPr>
      <w:r w:rsidRPr="00C34F89">
        <w:rPr>
          <w:noProof/>
        </w:rPr>
        <w:drawing>
          <wp:inline distT="114300" distB="114300" distL="114300" distR="114300" wp14:anchorId="15269953" wp14:editId="04D4D0AF">
            <wp:extent cx="5943600" cy="2628900"/>
            <wp:effectExtent l="0" t="0" r="0" b="0"/>
            <wp:docPr id="2091568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628900"/>
                    </a:xfrm>
                    <a:prstGeom prst="rect">
                      <a:avLst/>
                    </a:prstGeom>
                    <a:ln/>
                  </pic:spPr>
                </pic:pic>
              </a:graphicData>
            </a:graphic>
          </wp:inline>
        </w:drawing>
      </w:r>
    </w:p>
    <w:p w14:paraId="000000FE" w14:textId="77777777" w:rsidR="00E84757" w:rsidRPr="00C34F89" w:rsidRDefault="007661A5">
      <w:pPr>
        <w:spacing w:before="240" w:after="240"/>
        <w:jc w:val="both"/>
      </w:pPr>
      <w:r w:rsidRPr="00C34F89">
        <w:t>Figure 2: Structural Equation Model on Open Innovation Breadth and Depth, ICT ACAP and SAMR</w:t>
      </w:r>
    </w:p>
    <w:p w14:paraId="000000FF" w14:textId="77777777" w:rsidR="00E84757" w:rsidRPr="00C34F89" w:rsidRDefault="007661A5">
      <w:pPr>
        <w:spacing w:after="240"/>
        <w:jc w:val="both"/>
      </w:pPr>
      <w:r w:rsidRPr="00C34F89">
        <w:t xml:space="preserve">Further, the standardized indirect effect of open innovation depth on TI via ICT ACAP was positive and significant (β=0.058, </w:t>
      </w:r>
      <w:r w:rsidRPr="00C34F89">
        <w:rPr>
          <w:i/>
        </w:rPr>
        <w:t>p</w:t>
      </w:r>
      <w:r w:rsidRPr="00C34F89">
        <w:t xml:space="preserve">&lt;.05); 95%CI [.017,.122]) and the standardized indirect effect of open innovation breadth on TI via ICT ACAP was negative and insignificant (β=-0.025, </w:t>
      </w:r>
      <w:r w:rsidRPr="00C34F89">
        <w:rPr>
          <w:i/>
        </w:rPr>
        <w:t>p</w:t>
      </w:r>
      <w:r w:rsidRPr="00C34F89">
        <w:t xml:space="preserve">&gt;.05); 95%CI [-.074,.001]). The model fit was good, with CFI=.95 and SRMR=.033. In total, the model accounted for 7% of the between-school variance in ICT ACAP, and 2% of the variance in TI in schools. The observed effect of ICT ACAP on TI, however, is meaningful, with an incremental </w:t>
      </w:r>
      <w:r w:rsidRPr="00C34F89">
        <w:rPr>
          <w:i/>
        </w:rPr>
        <w:t>f</w:t>
      </w:r>
      <w:r w:rsidRPr="00C34F89">
        <w:rPr>
          <w:i/>
          <w:vertAlign w:val="superscript"/>
        </w:rPr>
        <w:t>2</w:t>
      </w:r>
      <w:r w:rsidRPr="00C34F89">
        <w:t>-</w:t>
      </w:r>
      <w:r w:rsidRPr="00C34F89">
        <w:lastRenderedPageBreak/>
        <w:t>value (Fey et al., 2023) of 0.069. This value is well above the cut-off suggested by Cohen (1992), i.e. .02, and the effect size can therefore be considered between small and medium.</w:t>
      </w:r>
    </w:p>
    <w:p w14:paraId="00000100" w14:textId="77777777" w:rsidR="00E84757" w:rsidRPr="00C34F89" w:rsidRDefault="00E84757">
      <w:pPr>
        <w:spacing w:after="240"/>
        <w:jc w:val="both"/>
      </w:pPr>
    </w:p>
    <w:p w14:paraId="00000101" w14:textId="77777777" w:rsidR="00E84757" w:rsidRPr="00C34F89" w:rsidRDefault="007661A5">
      <w:pPr>
        <w:spacing w:after="240"/>
        <w:ind w:left="1240" w:hanging="1240"/>
        <w:jc w:val="both"/>
        <w:rPr>
          <w:i/>
        </w:rPr>
      </w:pPr>
      <w:r w:rsidRPr="00C34F89">
        <w:rPr>
          <w:i/>
        </w:rPr>
        <w:t>4.3. Classification and Regression Trees – Base Model</w:t>
      </w:r>
    </w:p>
    <w:p w14:paraId="00000103" w14:textId="043CDFA1" w:rsidR="00E84757" w:rsidRPr="00C34F89" w:rsidRDefault="007661A5">
      <w:pPr>
        <w:spacing w:before="240" w:after="240"/>
        <w:jc w:val="both"/>
      </w:pPr>
      <w:r w:rsidRPr="00C34F89">
        <w:t xml:space="preserve">According to Leavitt et al. (2021), machine learning can act as a tool to test and prune mid-range theory and as a catalyst to expand the explanatory range that theory can inhabit. As such it can play a critical role in validating empirical models in educational research (Hilbert et al., 2021). </w:t>
      </w:r>
      <w:proofErr w:type="gramStart"/>
      <w:r w:rsidRPr="00C34F89">
        <w:t>Consequently,  we</w:t>
      </w:r>
      <w:proofErr w:type="gramEnd"/>
      <w:r w:rsidRPr="00C34F89">
        <w:t xml:space="preserve"> applied CART as a data-driven machine-learning approach to investigate the relations and interactions of our model variables open innovation depth, open innovation breadth, ICT ACAP and their joint impact on TI in schools. As suggested by McClure et al. (2024), we first tested the predictive power of items instead of scale scores. To compare the predictive accuracy of CART with scale scores and CART with items, we employed 5000 resamples using the </w:t>
      </w:r>
      <w:r w:rsidRPr="00C34F89">
        <w:rPr>
          <w:i/>
        </w:rPr>
        <w:t>caret</w:t>
      </w:r>
      <w:r w:rsidRPr="00C34F89">
        <w:t xml:space="preserve"> package (Kuhn, 2008), in which the median value of the root mean square error was 0.946 with scale scores and 0.936 with items as predictors. This indicates slightly better performance for the former, so we report results for the model in which we </w:t>
      </w:r>
      <w:proofErr w:type="gramStart"/>
      <w:r w:rsidRPr="00C34F89">
        <w:t>used</w:t>
      </w:r>
      <w:proofErr w:type="gramEnd"/>
      <w:r w:rsidRPr="00C34F89">
        <w:t xml:space="preserve"> scales.</w:t>
      </w:r>
    </w:p>
    <w:p w14:paraId="00000104" w14:textId="77777777" w:rsidR="00E84757" w:rsidRPr="00C34F89" w:rsidRDefault="007661A5">
      <w:pPr>
        <w:spacing w:before="240" w:after="240"/>
        <w:jc w:val="both"/>
      </w:pPr>
      <w:r w:rsidRPr="00C34F89">
        <w:rPr>
          <w:noProof/>
        </w:rPr>
        <w:drawing>
          <wp:inline distT="0" distB="0" distL="0" distR="0" wp14:anchorId="735680A5" wp14:editId="58922730">
            <wp:extent cx="5895474" cy="4449118"/>
            <wp:effectExtent l="0" t="0" r="0" b="0"/>
            <wp:docPr id="20915680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895474" cy="4449118"/>
                    </a:xfrm>
                    <a:prstGeom prst="rect">
                      <a:avLst/>
                    </a:prstGeom>
                    <a:ln/>
                  </pic:spPr>
                </pic:pic>
              </a:graphicData>
            </a:graphic>
          </wp:inline>
        </w:drawing>
      </w:r>
    </w:p>
    <w:p w14:paraId="00000106" w14:textId="4A0A152A" w:rsidR="00E84757" w:rsidRPr="00C34F89" w:rsidRDefault="007661A5" w:rsidP="007661A5">
      <w:pPr>
        <w:spacing w:after="240"/>
        <w:jc w:val="both"/>
      </w:pPr>
      <w:r w:rsidRPr="00C34F89">
        <w:t>Figure 3: CART plot for the base model, without contingency effects</w:t>
      </w:r>
    </w:p>
    <w:p w14:paraId="00000109" w14:textId="64F9F2A6" w:rsidR="00E84757" w:rsidRPr="00C34F89" w:rsidRDefault="007661A5" w:rsidP="007661A5">
      <w:pPr>
        <w:spacing w:after="240"/>
        <w:jc w:val="both"/>
        <w:rPr>
          <w:shd w:val="clear" w:color="auto" w:fill="C9DAF8"/>
        </w:rPr>
      </w:pPr>
      <w:r w:rsidRPr="00C34F89">
        <w:lastRenderedPageBreak/>
        <w:t>The CART results indicated that all predictors have at least 10% importance to predict TI in schools with the following weights: 1) ICT ACAP 56%; 2) open innovation depth 33%; and 3) open innovation breadth 10%. Of these three variables, ICT ACAP is therefore the most relevant variable for successful TI. It also becomes clear how relevant the interaction of the different factors for a successful TI in schools is and that non-linear effects are observable: a generally very low probability of TI can be seen when the ICT ACAP of a school is rather low (ACAP&lt;14), but also when ICT ACAP is comparatively high (ACAP&gt;14), whilst, simultaneously, the open innovation depth is extremely high (OI_D&gt;28). On the contrary, schools with a very high ICT ACAP (ACAP&gt;=21) and an open innovation depth at a medium range (OI_D&lt;20), have a particularly high probability of successful TI that goes beyond substitution.</w:t>
      </w:r>
    </w:p>
    <w:p w14:paraId="0000010A" w14:textId="77777777" w:rsidR="00E84757" w:rsidRPr="00C34F89" w:rsidRDefault="007661A5">
      <w:pPr>
        <w:spacing w:before="240" w:after="240"/>
        <w:ind w:left="567" w:hanging="567"/>
        <w:jc w:val="both"/>
        <w:rPr>
          <w:i/>
        </w:rPr>
      </w:pPr>
      <w:r w:rsidRPr="00C34F89">
        <w:rPr>
          <w:i/>
        </w:rPr>
        <w:t>4.4.</w:t>
      </w:r>
      <w:r w:rsidRPr="00C34F89">
        <w:tab/>
      </w:r>
      <w:r w:rsidRPr="00C34F89">
        <w:rPr>
          <w:i/>
        </w:rPr>
        <w:t>Classification and Regression Trees Analysis – Contingency Model</w:t>
      </w:r>
    </w:p>
    <w:p w14:paraId="0000010B" w14:textId="77777777" w:rsidR="00E84757" w:rsidRPr="00C34F89" w:rsidRDefault="007661A5">
      <w:pPr>
        <w:spacing w:before="240" w:after="240"/>
        <w:jc w:val="both"/>
      </w:pPr>
      <w:r w:rsidRPr="00C34F89">
        <w:t>To address research question 3, we added contingency factors to our CART model – while keeping ICT ACAP, open innovation depth, and open innovation breadth – to explore the role of contingency factors, that is, the reported within-school heterogeneity of ICT literacy of teachers (=challenge), knowledge sharing mechanisms, and coopetition. Results are depicted in Figure 4 indicating interactions among variables.</w:t>
      </w:r>
    </w:p>
    <w:p w14:paraId="0000010C" w14:textId="77777777" w:rsidR="00E84757" w:rsidRPr="00C34F89" w:rsidRDefault="007661A5">
      <w:pPr>
        <w:spacing w:before="240" w:after="240"/>
        <w:jc w:val="both"/>
      </w:pPr>
      <w:r w:rsidRPr="00C34F89">
        <w:rPr>
          <w:noProof/>
        </w:rPr>
        <w:drawing>
          <wp:inline distT="0" distB="0" distL="0" distR="0" wp14:anchorId="79F62FFB" wp14:editId="70CED6F1">
            <wp:extent cx="5314950" cy="4248150"/>
            <wp:effectExtent l="0" t="0" r="0" b="0"/>
            <wp:docPr id="20915680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315345" cy="4248466"/>
                    </a:xfrm>
                    <a:prstGeom prst="rect">
                      <a:avLst/>
                    </a:prstGeom>
                    <a:ln/>
                  </pic:spPr>
                </pic:pic>
              </a:graphicData>
            </a:graphic>
          </wp:inline>
        </w:drawing>
      </w:r>
    </w:p>
    <w:p w14:paraId="0000010D" w14:textId="77777777" w:rsidR="00E84757" w:rsidRPr="00C34F89" w:rsidRDefault="007661A5">
      <w:pPr>
        <w:spacing w:before="240" w:after="240"/>
        <w:jc w:val="both"/>
      </w:pPr>
      <w:r w:rsidRPr="00C34F89">
        <w:t>Figure 4: CART plot for contingency effects, hierarchical SAMR</w:t>
      </w:r>
    </w:p>
    <w:p w14:paraId="0000010E" w14:textId="77777777" w:rsidR="00E84757" w:rsidRPr="00C34F89" w:rsidRDefault="00E84757">
      <w:pPr>
        <w:spacing w:before="240" w:after="240"/>
        <w:jc w:val="both"/>
      </w:pPr>
    </w:p>
    <w:p w14:paraId="0000010F" w14:textId="77777777" w:rsidR="00E84757" w:rsidRPr="00C34F89" w:rsidRDefault="007661A5">
      <w:pPr>
        <w:spacing w:after="240"/>
        <w:jc w:val="both"/>
      </w:pPr>
      <w:r w:rsidRPr="00C34F89">
        <w:t xml:space="preserve">CART results indicated that knowledge sharing, coopetition, heterogeneity of teachers’ ICT literacy in school and ICT ACAP were important variables with weights 47%, 19%, 18% and 12% respectively. </w:t>
      </w:r>
      <w:proofErr w:type="gramStart"/>
      <w:r w:rsidRPr="00C34F89">
        <w:t>It can be seen that TI</w:t>
      </w:r>
      <w:proofErr w:type="gramEnd"/>
      <w:r w:rsidRPr="00C34F89">
        <w:t xml:space="preserve"> is almost impossible in schools with </w:t>
      </w:r>
      <w:proofErr w:type="gramStart"/>
      <w:r w:rsidRPr="00C34F89">
        <w:t>low</w:t>
      </w:r>
      <w:proofErr w:type="gramEnd"/>
      <w:r w:rsidRPr="00C34F89">
        <w:t xml:space="preserve"> level of internal knowledge sharing (KS&lt;8.7). Where knowledge sharing mechanisms are more pronounced in a school (KS&gt;=8.7), ICT ACAP comes into play: Where ICT ACAP tends to be highly developed (ACAP&gt;=14</w:t>
      </w:r>
      <w:proofErr w:type="gramStart"/>
      <w:r w:rsidRPr="00C34F89">
        <w:t>)</w:t>
      </w:r>
      <w:proofErr w:type="gramEnd"/>
      <w:r w:rsidRPr="00C34F89">
        <w:t xml:space="preserve"> and the heterogeneity of teachers’ ICT skills is not seen as an extreme challenge (CHAL&lt;3.5) the combination of high knowledge sharing and high ICT ACAP jointly lead to stronger TI in schools. But even if the heterogeneity of ICT literacy is seen as an extreme challenge (CHAL&gt;=3.5), TI in schools can succeed. This mainly depends on a school’s coopetition: If coopetition is low (COOP&lt;3.5), TI in schools is unlikely to succeed; if it is high(er) (COOP&gt;=3.5) but not extreme (COOP &lt;7.5), it can almost offset the negative effects of heterogeneous ICT literacy of teachers within a school in combination with pronounced knowledge sharing mechanisms (KS&gt;=8.7) and a decent level of ICT ACAP (ACAP&gt;=14) in a school. Overall, the model explains 15.3% of the variance in TI across schools.</w:t>
      </w:r>
    </w:p>
    <w:p w14:paraId="00000110" w14:textId="77777777" w:rsidR="00E84757" w:rsidRPr="00C34F89" w:rsidRDefault="007661A5">
      <w:pPr>
        <w:spacing w:before="240" w:after="240"/>
        <w:jc w:val="both"/>
        <w:rPr>
          <w:b/>
          <w:i/>
        </w:rPr>
      </w:pPr>
      <w:r w:rsidRPr="00C34F89">
        <w:rPr>
          <w:b/>
          <w:i/>
        </w:rPr>
        <w:t xml:space="preserve"> </w:t>
      </w:r>
    </w:p>
    <w:p w14:paraId="00000111" w14:textId="77777777" w:rsidR="00E84757" w:rsidRPr="00C34F89" w:rsidRDefault="007661A5">
      <w:pPr>
        <w:spacing w:before="240" w:after="240"/>
        <w:jc w:val="both"/>
        <w:rPr>
          <w:i/>
        </w:rPr>
      </w:pPr>
      <w:r w:rsidRPr="00C34F89">
        <w:rPr>
          <w:i/>
        </w:rPr>
        <w:t>4.5.</w:t>
      </w:r>
      <w:r w:rsidRPr="00C34F89">
        <w:rPr>
          <w:rFonts w:ascii="Times New Roman" w:eastAsia="Times New Roman" w:hAnsi="Times New Roman" w:cs="Times New Roman"/>
          <w:sz w:val="14"/>
          <w:szCs w:val="14"/>
        </w:rPr>
        <w:t xml:space="preserve">   </w:t>
      </w:r>
      <w:r w:rsidRPr="00C34F89">
        <w:rPr>
          <w:rFonts w:ascii="Times New Roman" w:eastAsia="Times New Roman" w:hAnsi="Times New Roman" w:cs="Times New Roman"/>
          <w:sz w:val="14"/>
          <w:szCs w:val="14"/>
        </w:rPr>
        <w:tab/>
      </w:r>
      <w:r w:rsidRPr="00C34F89">
        <w:rPr>
          <w:i/>
        </w:rPr>
        <w:t>Classification and Regression Trees Analysis – Contingency Model 2</w:t>
      </w:r>
    </w:p>
    <w:p w14:paraId="00000112" w14:textId="77777777" w:rsidR="00E84757" w:rsidRPr="00C34F89" w:rsidRDefault="007661A5">
      <w:pPr>
        <w:spacing w:before="240" w:after="240"/>
        <w:jc w:val="both"/>
      </w:pPr>
      <w:r w:rsidRPr="00C34F89">
        <w:t>Our analysis to now modelled SAMR-compliant TI in schools as a metric variable. However, it is also assumed that the “SAMR model is not hierarchical but, rather, a fluid model of technology integration” (Hamilton et al., 2016, p. 439). Accordingly, in the final step, we tested whether the CART results were different when we treated the dependent variable as categorical (no digital innovation vs. substitution vs. augmentation vs. modification and redefinition) and applied a logistic CART model. The results are depicted in Figure 5.</w:t>
      </w:r>
    </w:p>
    <w:p w14:paraId="00000113" w14:textId="77777777" w:rsidR="00E84757" w:rsidRPr="00C34F89" w:rsidRDefault="007661A5">
      <w:pPr>
        <w:spacing w:before="240" w:after="240"/>
        <w:jc w:val="both"/>
        <w:rPr>
          <w:b/>
        </w:rPr>
      </w:pPr>
      <w:r w:rsidRPr="00C34F89">
        <w:rPr>
          <w:noProof/>
        </w:rPr>
        <w:lastRenderedPageBreak/>
        <w:drawing>
          <wp:anchor distT="0" distB="0" distL="114300" distR="114300" simplePos="0" relativeHeight="251658240" behindDoc="0" locked="0" layoutInCell="1" hidden="0" allowOverlap="1" wp14:anchorId="1115D6F5" wp14:editId="0DE431C6">
            <wp:simplePos x="0" y="0"/>
            <wp:positionH relativeFrom="column">
              <wp:posOffset>1</wp:posOffset>
            </wp:positionH>
            <wp:positionV relativeFrom="paragraph">
              <wp:posOffset>69850</wp:posOffset>
            </wp:positionV>
            <wp:extent cx="5553075" cy="4429125"/>
            <wp:effectExtent l="0" t="0" r="0" b="0"/>
            <wp:wrapSquare wrapText="bothSides" distT="0" distB="0" distL="114300" distR="114300"/>
            <wp:docPr id="2091568039" name="image3.jpg" descr="Ein Bild, das Text, Diagramm, Screenshot, Pla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Text, Diagramm, Screenshot, Plan enthält.&#10;&#10;Automatisch generierte Beschreibung"/>
                    <pic:cNvPicPr preferRelativeResize="0"/>
                  </pic:nvPicPr>
                  <pic:blipFill>
                    <a:blip r:embed="rId13"/>
                    <a:srcRect/>
                    <a:stretch>
                      <a:fillRect/>
                    </a:stretch>
                  </pic:blipFill>
                  <pic:spPr>
                    <a:xfrm>
                      <a:off x="0" y="0"/>
                      <a:ext cx="5553075" cy="4429125"/>
                    </a:xfrm>
                    <a:prstGeom prst="rect">
                      <a:avLst/>
                    </a:prstGeom>
                    <a:ln/>
                  </pic:spPr>
                </pic:pic>
              </a:graphicData>
            </a:graphic>
          </wp:anchor>
        </w:drawing>
      </w:r>
    </w:p>
    <w:p w14:paraId="00000114" w14:textId="77777777" w:rsidR="00E84757" w:rsidRPr="00C34F89" w:rsidRDefault="00E84757">
      <w:pPr>
        <w:spacing w:before="240" w:after="240"/>
        <w:jc w:val="both"/>
        <w:rPr>
          <w:b/>
        </w:rPr>
      </w:pPr>
    </w:p>
    <w:p w14:paraId="00000115" w14:textId="77777777" w:rsidR="00E84757" w:rsidRPr="00C34F89" w:rsidRDefault="00E84757">
      <w:pPr>
        <w:spacing w:before="240" w:after="240"/>
        <w:jc w:val="both"/>
        <w:rPr>
          <w:b/>
        </w:rPr>
      </w:pPr>
    </w:p>
    <w:p w14:paraId="00000116" w14:textId="77777777" w:rsidR="00E84757" w:rsidRPr="00C34F89" w:rsidRDefault="00E84757">
      <w:pPr>
        <w:spacing w:before="240" w:after="240"/>
        <w:jc w:val="both"/>
        <w:rPr>
          <w:b/>
        </w:rPr>
      </w:pPr>
    </w:p>
    <w:p w14:paraId="00000117" w14:textId="77777777" w:rsidR="00E84757" w:rsidRPr="00C34F89" w:rsidRDefault="00E84757">
      <w:pPr>
        <w:spacing w:before="240" w:after="240"/>
        <w:jc w:val="both"/>
        <w:rPr>
          <w:b/>
        </w:rPr>
      </w:pPr>
    </w:p>
    <w:p w14:paraId="00000118" w14:textId="77777777" w:rsidR="00E84757" w:rsidRPr="00C34F89" w:rsidRDefault="00E84757">
      <w:pPr>
        <w:spacing w:before="240" w:after="240"/>
        <w:jc w:val="both"/>
        <w:rPr>
          <w:b/>
        </w:rPr>
      </w:pPr>
    </w:p>
    <w:p w14:paraId="00000119" w14:textId="77777777" w:rsidR="00E84757" w:rsidRPr="00C34F89" w:rsidRDefault="00E84757">
      <w:pPr>
        <w:spacing w:before="240" w:after="240"/>
        <w:jc w:val="both"/>
        <w:rPr>
          <w:b/>
        </w:rPr>
      </w:pPr>
    </w:p>
    <w:p w14:paraId="0000011A" w14:textId="77777777" w:rsidR="00E84757" w:rsidRPr="00C34F89" w:rsidRDefault="00E84757">
      <w:pPr>
        <w:spacing w:before="240" w:after="240"/>
        <w:jc w:val="both"/>
        <w:rPr>
          <w:b/>
        </w:rPr>
      </w:pPr>
    </w:p>
    <w:p w14:paraId="0000011B" w14:textId="77777777" w:rsidR="00E84757" w:rsidRPr="00C34F89" w:rsidRDefault="00E84757">
      <w:pPr>
        <w:spacing w:before="240" w:after="240"/>
        <w:jc w:val="both"/>
        <w:rPr>
          <w:b/>
        </w:rPr>
      </w:pPr>
    </w:p>
    <w:p w14:paraId="0000011C" w14:textId="77777777" w:rsidR="00E84757" w:rsidRPr="00C34F89" w:rsidRDefault="00E84757">
      <w:pPr>
        <w:spacing w:before="240" w:after="240"/>
        <w:jc w:val="both"/>
        <w:rPr>
          <w:b/>
        </w:rPr>
      </w:pPr>
    </w:p>
    <w:p w14:paraId="0000011D" w14:textId="4A18C679" w:rsidR="00E84757" w:rsidRPr="00C34F89" w:rsidRDefault="007661A5">
      <w:pPr>
        <w:spacing w:before="240" w:after="240"/>
        <w:jc w:val="both"/>
      </w:pPr>
      <w:r w:rsidRPr="00C34F89">
        <w:rPr>
          <w:b/>
        </w:rPr>
        <w:br/>
      </w:r>
      <w:r w:rsidRPr="00C34F89">
        <w:t>Figure 5: CART plot for contingency effects, categorical SAMR</w:t>
      </w:r>
    </w:p>
    <w:p w14:paraId="0000011E" w14:textId="77777777" w:rsidR="00E84757" w:rsidRPr="00C34F89" w:rsidRDefault="007661A5">
      <w:pPr>
        <w:spacing w:after="240"/>
        <w:jc w:val="both"/>
      </w:pPr>
      <w:r w:rsidRPr="00C34F89">
        <w:t xml:space="preserve">The results were very similar to the previous model. Again, knowledge sharing in school plays an important role: when it is low (KS&lt;8.7), augmentation is hardly observed, and substitution, modification and redefinition are nearly not observed at all. In general, there is little TI in schools with low levels of knowledge sharing among staff. But even when knowledge sharing is </w:t>
      </w:r>
      <w:proofErr w:type="gramStart"/>
      <w:r w:rsidRPr="00C34F89">
        <w:t>high(er)</w:t>
      </w:r>
      <w:proofErr w:type="gramEnd"/>
      <w:r w:rsidRPr="00C34F89">
        <w:t xml:space="preserve"> (KS&gt;=8.7</w:t>
      </w:r>
      <w:proofErr w:type="gramStart"/>
      <w:r w:rsidRPr="00C34F89">
        <w:t>)</w:t>
      </w:r>
      <w:proofErr w:type="gramEnd"/>
      <w:r w:rsidRPr="00C34F89">
        <w:t xml:space="preserve"> but coopetition is extremely low (COOP&lt;5.5), there is little significant TI in schools. However, technology is increasingly integrated into school when ICT ACAP is high (ACAP&gt;=16</w:t>
      </w:r>
      <w:proofErr w:type="gramStart"/>
      <w:r w:rsidRPr="00C34F89">
        <w:t>)</w:t>
      </w:r>
      <w:proofErr w:type="gramEnd"/>
      <w:r w:rsidRPr="00C34F89">
        <w:t xml:space="preserve"> and </w:t>
      </w:r>
      <w:proofErr w:type="gramStart"/>
      <w:r w:rsidRPr="00C34F89">
        <w:t>coopetition</w:t>
      </w:r>
      <w:proofErr w:type="gramEnd"/>
      <w:r w:rsidRPr="00C34F89">
        <w:t xml:space="preserve"> is moderate (5.5&lt;COOP&lt;8.5). At relatively lower levels of ICT ACAP (ACAP&lt;16), however, knowledge sharing, and open innovation depth make a crucial difference: if knowledge sharing is moderate (8.7&lt;=KS&lt;13) and open innovation depth is not extreme (OI_D&lt;19), TI in schools is more likely also to be observed than none.</w:t>
      </w:r>
    </w:p>
    <w:p w14:paraId="417AFB55" w14:textId="4B1DC09F" w:rsidR="00E84757" w:rsidRPr="00C34F89" w:rsidRDefault="007661A5">
      <w:r w:rsidRPr="00C34F89">
        <w:br w:type="page"/>
      </w:r>
    </w:p>
    <w:p w14:paraId="00000120" w14:textId="77777777" w:rsidR="00E84757" w:rsidRPr="00C34F89" w:rsidRDefault="007661A5">
      <w:pPr>
        <w:spacing w:before="240" w:after="240"/>
        <w:ind w:left="567" w:hanging="567"/>
        <w:jc w:val="both"/>
        <w:rPr>
          <w:b/>
        </w:rPr>
      </w:pPr>
      <w:r w:rsidRPr="00C34F89">
        <w:rPr>
          <w:b/>
        </w:rPr>
        <w:lastRenderedPageBreak/>
        <w:t>5</w:t>
      </w:r>
      <w:proofErr w:type="gramStart"/>
      <w:r w:rsidRPr="00C34F89">
        <w:rPr>
          <w:b/>
        </w:rPr>
        <w:t>.</w:t>
      </w:r>
      <w:r w:rsidRPr="00C34F89">
        <w:rPr>
          <w:rFonts w:ascii="Times New Roman" w:eastAsia="Times New Roman" w:hAnsi="Times New Roman" w:cs="Times New Roman"/>
          <w:sz w:val="14"/>
          <w:szCs w:val="14"/>
        </w:rPr>
        <w:t xml:space="preserve">  </w:t>
      </w:r>
      <w:r w:rsidRPr="00C34F89">
        <w:tab/>
      </w:r>
      <w:proofErr w:type="gramEnd"/>
      <w:r w:rsidRPr="00C34F89">
        <w:rPr>
          <w:b/>
        </w:rPr>
        <w:t>Discussion, limitations and outlook</w:t>
      </w:r>
    </w:p>
    <w:p w14:paraId="00000121" w14:textId="77777777" w:rsidR="00E84757" w:rsidRPr="00C34F89" w:rsidRDefault="007661A5">
      <w:pPr>
        <w:spacing w:before="240" w:after="240"/>
        <w:ind w:left="567" w:hanging="567"/>
        <w:jc w:val="both"/>
        <w:rPr>
          <w:i/>
        </w:rPr>
      </w:pPr>
      <w:r w:rsidRPr="00C34F89">
        <w:rPr>
          <w:i/>
        </w:rPr>
        <w:t>5.1.</w:t>
      </w:r>
      <w:r w:rsidRPr="00C34F89">
        <w:rPr>
          <w:rFonts w:ascii="Times New Roman" w:eastAsia="Times New Roman" w:hAnsi="Times New Roman" w:cs="Times New Roman"/>
          <w:sz w:val="14"/>
          <w:szCs w:val="14"/>
        </w:rPr>
        <w:t xml:space="preserve">   </w:t>
      </w:r>
      <w:r w:rsidRPr="00C34F89">
        <w:rPr>
          <w:rFonts w:ascii="Times New Roman" w:eastAsia="Times New Roman" w:hAnsi="Times New Roman" w:cs="Times New Roman"/>
          <w:sz w:val="14"/>
          <w:szCs w:val="14"/>
        </w:rPr>
        <w:tab/>
      </w:r>
      <w:r w:rsidRPr="00C34F89">
        <w:rPr>
          <w:i/>
        </w:rPr>
        <w:t>Summary of Results</w:t>
      </w:r>
    </w:p>
    <w:p w14:paraId="00000122" w14:textId="77777777" w:rsidR="00E84757" w:rsidRPr="00C34F89" w:rsidRDefault="007661A5">
      <w:pPr>
        <w:spacing w:before="240" w:after="240"/>
        <w:jc w:val="both"/>
      </w:pPr>
      <w:r w:rsidRPr="00C34F89">
        <w:t>The findings from the SEM highlight the significant role of ICT ACAP in influencing TI in schools. Our results demonstrate that higher levels of ACAP are associated with more effective TI, aligning with the observations of Backfisch et al. (2021) on the importance of high-quality application of TI. This study extends these findings by explicitly linking the quality of application, as represented by ACAP, to successful TI outcomes.</w:t>
      </w:r>
    </w:p>
    <w:p w14:paraId="00000123" w14:textId="77777777" w:rsidR="00E84757" w:rsidRPr="00C34F89" w:rsidRDefault="007661A5">
      <w:pPr>
        <w:spacing w:before="240" w:after="240"/>
        <w:jc w:val="both"/>
      </w:pPr>
      <w:r w:rsidRPr="00C34F89">
        <w:t>Moreover, our SEM analysis reveals that ICT ACAP mediates the relationship between external knowledge and TI in schools, underscoring the role of ACAP in facilitating the absorption and application of external knowledge, further enhancing TI. The mediation effect observed supports the theoretical framework proposed by Zahra and George (2002), which posits that ACAP serves as a crucial intermediary in the innovation process by enabling organizations to effectively leverage external knowledge.</w:t>
      </w:r>
    </w:p>
    <w:p w14:paraId="00000124" w14:textId="77777777" w:rsidR="00E84757" w:rsidRPr="00C34F89" w:rsidRDefault="007661A5">
      <w:pPr>
        <w:spacing w:before="240" w:after="240"/>
        <w:jc w:val="both"/>
      </w:pPr>
      <w:r w:rsidRPr="00C34F89">
        <w:t xml:space="preserve">Our CART results, further, indicate a curvilinear relationship, where moderate levels of innovation depth combined with high ICT ACAP </w:t>
      </w:r>
      <w:proofErr w:type="gramStart"/>
      <w:r w:rsidRPr="00C34F89">
        <w:t>lead</w:t>
      </w:r>
      <w:proofErr w:type="gramEnd"/>
      <w:r w:rsidRPr="00C34F89">
        <w:t xml:space="preserve"> to higher TI. This finding resonates with the study from Brown and Graydon (2017), which highlights the potential for increased teacher anxiety and dilution of effective practice when confronted with extensive external knowledge sources. CART analysis also identifies the critical role of knowledge sharing within schools in fostering TI. Effective knowledge-sharing practices enable continuous, collegial learning among teachers and school leaders, which is essential for adapting and evolving their knowledge and practices in response to changing educational demands (Brown et al., 2024; Brennan et al., 2021; Darling-Hammond et al., 2017; Mo et al., 2021).</w:t>
      </w:r>
    </w:p>
    <w:p w14:paraId="00000125" w14:textId="77777777" w:rsidR="00E84757" w:rsidRPr="00C34F89" w:rsidRDefault="007661A5">
      <w:pPr>
        <w:spacing w:before="240" w:after="240"/>
        <w:jc w:val="both"/>
      </w:pPr>
      <w:r w:rsidRPr="00C34F89">
        <w:t xml:space="preserve">At the same time, our CART analysis reveals that the effectiveness of ICT ACAP depends on contingency factors, including </w:t>
      </w:r>
      <w:r w:rsidRPr="00C34F89">
        <w:rPr>
          <w:i/>
        </w:rPr>
        <w:t>activation triggers</w:t>
      </w:r>
      <w:r w:rsidRPr="00C34F89">
        <w:t xml:space="preserve">, </w:t>
      </w:r>
      <w:r w:rsidRPr="00C34F89">
        <w:rPr>
          <w:i/>
        </w:rPr>
        <w:t>social integration mechanisms</w:t>
      </w:r>
      <w:r w:rsidRPr="00C34F89">
        <w:t xml:space="preserve">, and </w:t>
      </w:r>
      <w:r w:rsidRPr="00C34F89">
        <w:rPr>
          <w:i/>
        </w:rPr>
        <w:t>regimes of appropriability</w:t>
      </w:r>
      <w:r w:rsidRPr="00C34F89">
        <w:t xml:space="preserve">, supporting the theoretical models of Zahra and George (2002), Todorova and </w:t>
      </w:r>
      <w:proofErr w:type="spellStart"/>
      <w:r w:rsidRPr="00C34F89">
        <w:t>Durisin</w:t>
      </w:r>
      <w:proofErr w:type="spellEnd"/>
      <w:r w:rsidRPr="00C34F89">
        <w:t xml:space="preserve"> (2007), and Crain-Dorough and Elder (2021). The interplay of these contingency factors determines the success of ACAP in facilitating TI, underscoring the need for a supportive organizational environment.</w:t>
      </w:r>
    </w:p>
    <w:p w14:paraId="00000126" w14:textId="77777777" w:rsidR="00E84757" w:rsidRPr="00C34F89" w:rsidRDefault="007661A5">
      <w:pPr>
        <w:spacing w:before="240" w:after="240"/>
        <w:jc w:val="both"/>
      </w:pPr>
      <w:r w:rsidRPr="00C34F89">
        <w:t xml:space="preserve">Another significant finding from the CART analysis is the role of </w:t>
      </w:r>
      <w:proofErr w:type="gramStart"/>
      <w:r w:rsidRPr="00C34F89">
        <w:t>coopetition</w:t>
      </w:r>
      <w:proofErr w:type="gramEnd"/>
      <w:r w:rsidRPr="00C34F89">
        <w:t xml:space="preserve"> in mitigating the challenges of heterogeneity in teachers’ ICT literacy. Coopetition can facilitate continuous learning and knowledge exchange among schools, leveraging social capital resources to enhance TI (Brown et al., 2024). Inter-school networks and research-practice partnerships are particularly effective in promoting knowledge transfer and creating learning loops among educators and researchers (Fischer-Schöneborn &amp; Ehmke, 2023). Likewise, Harvey et al. (2009) </w:t>
      </w:r>
      <w:proofErr w:type="gramStart"/>
      <w:r w:rsidRPr="00C34F89">
        <w:t>show</w:t>
      </w:r>
      <w:proofErr w:type="gramEnd"/>
      <w:r w:rsidRPr="00C34F89">
        <w:t xml:space="preserve"> that ACAP can be improved by establishing internal and external networks.</w:t>
      </w:r>
    </w:p>
    <w:p w14:paraId="00000127" w14:textId="77777777" w:rsidR="00E84757" w:rsidRPr="00C34F89" w:rsidRDefault="007661A5">
      <w:pPr>
        <w:spacing w:before="240" w:after="240"/>
        <w:jc w:val="both"/>
      </w:pPr>
      <w:r w:rsidRPr="00C34F89">
        <w:t xml:space="preserve">Finally, two configurations appear promising for stimulating TI in schools. The first involves a balanced interaction of moderate knowledge sharing, moderate ICT ACAP, and high </w:t>
      </w:r>
      <w:proofErr w:type="gramStart"/>
      <w:r w:rsidRPr="00C34F89">
        <w:t>coopetition</w:t>
      </w:r>
      <w:proofErr w:type="gramEnd"/>
      <w:r w:rsidRPr="00C34F89">
        <w:t xml:space="preserve">. This configuration promotes collaborative knowledge sharing while maintaining focused </w:t>
      </w:r>
      <w:r w:rsidRPr="00C34F89">
        <w:lastRenderedPageBreak/>
        <w:t>knowledge inflows. The second configuration includes high levels of knowledge sharing, high ICT ACAP, and moderate coopetition, which supports the development and application of internal capabilities, such as the ability to identify, assimilate, and utilize new ICT knowledge effectively, alongside fostering external collaborations. Both configurations emphasize the importance of a synergistic approach to knowledge mobilization and technological innovation.</w:t>
      </w:r>
    </w:p>
    <w:p w14:paraId="00000128" w14:textId="77777777" w:rsidR="00E84757" w:rsidRPr="00C34F89" w:rsidRDefault="00E84757">
      <w:pPr>
        <w:spacing w:before="240" w:after="240"/>
        <w:jc w:val="both"/>
      </w:pPr>
    </w:p>
    <w:p w14:paraId="00000129" w14:textId="77777777" w:rsidR="00E84757" w:rsidRPr="00C34F89" w:rsidRDefault="007661A5">
      <w:pPr>
        <w:spacing w:before="240" w:after="240"/>
        <w:ind w:left="567" w:hanging="567"/>
        <w:jc w:val="both"/>
        <w:rPr>
          <w:i/>
        </w:rPr>
      </w:pPr>
      <w:r w:rsidRPr="00C34F89">
        <w:rPr>
          <w:i/>
        </w:rPr>
        <w:t>5.2.</w:t>
      </w:r>
      <w:r w:rsidRPr="00C34F89">
        <w:tab/>
      </w:r>
      <w:r w:rsidRPr="00C34F89">
        <w:rPr>
          <w:i/>
        </w:rPr>
        <w:t>Limitations</w:t>
      </w:r>
    </w:p>
    <w:p w14:paraId="0000012A" w14:textId="77777777" w:rsidR="00E84757" w:rsidRPr="00C34F89" w:rsidRDefault="007661A5">
      <w:pPr>
        <w:spacing w:before="240" w:after="240"/>
        <w:jc w:val="both"/>
      </w:pPr>
      <w:r w:rsidRPr="00C34F89">
        <w:t xml:space="preserve">One limitation of our study is the exploratory nature of the CART results. While CART can handle non-linear relationships and interactions between variables, it is sensitive to the sample size and prone to overfitting, especially when small data subsets are used. To mitigate this risk, we used a minimum bucket size parameter to control for overfitting. </w:t>
      </w:r>
    </w:p>
    <w:p w14:paraId="0000012B" w14:textId="77777777" w:rsidR="00E84757" w:rsidRPr="00C34F89" w:rsidRDefault="007661A5">
      <w:pPr>
        <w:spacing w:before="240" w:after="240"/>
        <w:jc w:val="both"/>
      </w:pPr>
      <w:r w:rsidRPr="00C34F89">
        <w:t>Another limitation concerns the representativeness of the sample. While our data is nationally representative of German school leaders, the generalizability of the findings may be limited to similar educational contexts and may not fully capture the nuances present in other countries or regions with different educational systems, cultural factors, and technological infrastructures.</w:t>
      </w:r>
    </w:p>
    <w:p w14:paraId="0000012C" w14:textId="77777777" w:rsidR="00E84757" w:rsidRPr="00C34F89" w:rsidRDefault="007661A5">
      <w:pPr>
        <w:spacing w:before="240" w:after="240"/>
        <w:jc w:val="both"/>
      </w:pPr>
      <w:r w:rsidRPr="00C34F89">
        <w:t xml:space="preserve">Additionally, the cross-sectional nature of the data limits our ability to make causal inferences. The relationships observed between ICT ACAP, external knowledge, knowledge sharing, and TI provide valuable insights, but longitudinal data would be necessary to confirm these findings and better understand temporal dynamics. Also, potential biases due to the use of an online questionnaire </w:t>
      </w:r>
      <w:proofErr w:type="gramStart"/>
      <w:r w:rsidRPr="00C34F89">
        <w:t>have to</w:t>
      </w:r>
      <w:proofErr w:type="gramEnd"/>
      <w:r w:rsidRPr="00C34F89">
        <w:t xml:space="preserve"> be considered. </w:t>
      </w:r>
    </w:p>
    <w:p w14:paraId="0000012D" w14:textId="77777777" w:rsidR="00E84757" w:rsidRPr="00C34F89" w:rsidRDefault="007661A5">
      <w:pPr>
        <w:spacing w:before="240" w:after="240"/>
        <w:jc w:val="both"/>
      </w:pPr>
      <w:r w:rsidRPr="00C34F89">
        <w:t xml:space="preserve">Lastly, our reliance on self-reported measures, such as school leaders’ perceptions of knowledge sharing and technology integration, may introduce bias. </w:t>
      </w:r>
      <w:proofErr w:type="gramStart"/>
      <w:r w:rsidRPr="00C34F89">
        <w:t>With regard to</w:t>
      </w:r>
      <w:proofErr w:type="gramEnd"/>
      <w:r w:rsidRPr="00C34F89">
        <w:t xml:space="preserve"> knowledge flows across organizational boundaries, specifically open innovation, we followed the measurement approach suggested by Laursen and Salter (2006) and therefore measured open innovation breadth (the number of sources used) and depth (the intensity of collaboration with each source) by coding the same items differently. Although the correlation between both measures is acceptable and consistent with findings from other authors, it may be reasonable to use different measures, especially objective measures (Carrasco-Carvajal et al., 2023). In business innovation research, joint patents (Zhu et al., 2021) or the use of E‐collaboration tools (</w:t>
      </w:r>
      <w:proofErr w:type="spellStart"/>
      <w:r w:rsidRPr="00C34F89">
        <w:t>Aloini</w:t>
      </w:r>
      <w:proofErr w:type="spellEnd"/>
      <w:r w:rsidRPr="00C34F89">
        <w:t xml:space="preserve"> et al., 2015) are used for this purpose, for example. This also applies to the reported innovations, as the information provided by the school leaders does not allow for any statements to be made about the variation within the school, for example, between teachers or classes. Therefore, future studies could benefit from incorporating more objective measures, surveying teachers too, and triangulating data sources to validate </w:t>
      </w:r>
      <w:proofErr w:type="gramStart"/>
      <w:r w:rsidRPr="00C34F89">
        <w:t>the self</w:t>
      </w:r>
      <w:proofErr w:type="gramEnd"/>
      <w:r w:rsidRPr="00C34F89">
        <w:t>-reported information.</w:t>
      </w:r>
    </w:p>
    <w:p w14:paraId="2A4D48B2" w14:textId="0BFF0AE9" w:rsidR="007661A5" w:rsidRPr="00C34F89" w:rsidRDefault="007661A5" w:rsidP="007661A5">
      <w:r w:rsidRPr="00C34F89">
        <w:br w:type="page"/>
      </w:r>
    </w:p>
    <w:p w14:paraId="0000012E" w14:textId="77777777" w:rsidR="00E84757" w:rsidRPr="00C34F89" w:rsidRDefault="007661A5">
      <w:pPr>
        <w:spacing w:before="240" w:after="240"/>
        <w:ind w:left="567" w:hanging="567"/>
        <w:jc w:val="both"/>
        <w:rPr>
          <w:i/>
        </w:rPr>
      </w:pPr>
      <w:r w:rsidRPr="00C34F89">
        <w:rPr>
          <w:i/>
        </w:rPr>
        <w:lastRenderedPageBreak/>
        <w:t>5.3.</w:t>
      </w:r>
      <w:r w:rsidRPr="00C34F89">
        <w:tab/>
      </w:r>
      <w:r w:rsidRPr="00C34F89">
        <w:rPr>
          <w:i/>
        </w:rPr>
        <w:t>Conclusion and future research</w:t>
      </w:r>
    </w:p>
    <w:p w14:paraId="0000012F" w14:textId="77777777" w:rsidR="00E84757" w:rsidRPr="00C34F89" w:rsidRDefault="007661A5">
      <w:pPr>
        <w:spacing w:before="240" w:after="240"/>
        <w:jc w:val="both"/>
      </w:pPr>
      <w:r w:rsidRPr="00C34F89">
        <w:t xml:space="preserve">The findings of this study have implications for policymakers and educational leaders, who could prioritize the establishment of ACAP and foster collaborative networks with the objective of creating more adaptable and innovative school environments. Already in their seminal work, Cohen and Levinthal (1990) established a link between prior knowledge, ACAP, and innovation. The fundamental premise is that ACAP facilitates accelerated learning and a self-reinforcing spiral of knowledge acquisition and utilization (Zahra &amp; George, 2002). Our study demonstrates, for the first time in the context of education, that the </w:t>
      </w:r>
      <w:proofErr w:type="gramStart"/>
      <w:r w:rsidRPr="00C34F89">
        <w:t>aforementioned assumptions</w:t>
      </w:r>
      <w:proofErr w:type="gramEnd"/>
      <w:r w:rsidRPr="00C34F89">
        <w:t xml:space="preserve"> can be applied to schools too. </w:t>
      </w:r>
      <w:proofErr w:type="gramStart"/>
      <w:r w:rsidRPr="00C34F89">
        <w:t>In particular, it</w:t>
      </w:r>
      <w:proofErr w:type="gramEnd"/>
      <w:r w:rsidRPr="00C34F89">
        <w:t xml:space="preserve"> becomes evident that the extent of TI in schools is contingent upon a school’s capacity to acquire, assimilate, transform and exploit new knowledge that can be linked to prior knowledge already existent within the school.</w:t>
      </w:r>
    </w:p>
    <w:p w14:paraId="00000130" w14:textId="77777777" w:rsidR="00E84757" w:rsidRPr="00C34F89" w:rsidRDefault="007661A5">
      <w:pPr>
        <w:spacing w:before="240" w:after="240"/>
        <w:jc w:val="both"/>
      </w:pPr>
      <w:r w:rsidRPr="00C34F89">
        <w:t>This is a new and important finding, given the fact that a lack of technological knowledge, knowledge about integrating technology, technology-enhanced pedagogical knowledge, and knowledge about technology-related classroom management have been identified as significant barriers for schools, affecting their ability to effectively integrate technology (Ertmer, 1999; Hew &amp; Brush, 2007; Wilson et al., 2020). The presented findings, thus, illuminate the mechanisms underlying TI in schools, highlighting why school development, innovation and change in this area presents significant challenges. That is, because successful implementation of comprehensive, school-wide TI requires a pre-existing foundation of knowledge, active efforts to acquire new linkable knowledge, and goal-oriented collaboration, even with competing schools. Consequently, TI in schools cannot be reduced to a straightforward, unidirectional transfer of knowledge. Instead, it represents a future-oriented, continuous, multifaceted process involving self-appropriation and the co-construction of knowledge and practice.</w:t>
      </w:r>
    </w:p>
    <w:p w14:paraId="00000131" w14:textId="77777777" w:rsidR="00E84757" w:rsidRPr="00C34F89" w:rsidRDefault="007661A5">
      <w:pPr>
        <w:spacing w:before="240" w:after="240"/>
        <w:jc w:val="both"/>
      </w:pPr>
      <w:r w:rsidRPr="00C34F89">
        <w:t xml:space="preserve">With this in </w:t>
      </w:r>
      <w:proofErr w:type="gramStart"/>
      <w:r w:rsidRPr="00C34F89">
        <w:t>mind,  it</w:t>
      </w:r>
      <w:proofErr w:type="gramEnd"/>
      <w:r w:rsidRPr="00C34F89">
        <w:t xml:space="preserve"> is noteworthy that the definition of ICT knowledge employed in our study is grounded in the definition of digital literacy (see e.g. Hübner et al., 2023; Siddiq &amp; Scherer, 2019). Following this understanding, ICT knowledge is defined as a domain-general construct: i.e., a construct that can be applied across a variety of technology-related knowledge domains (Hübner et al., 2023). Consequently, as Gilster (1997, p.2) notes, such knowledge is thus "about mastering ideas, not keystrokes". In addition, ICT knowledge ACAP is viewed as an </w:t>
      </w:r>
      <w:proofErr w:type="spellStart"/>
      <w:r w:rsidRPr="00C34F89">
        <w:t>organisational</w:t>
      </w:r>
      <w:proofErr w:type="spellEnd"/>
      <w:r w:rsidRPr="00C34F89">
        <w:t xml:space="preserve"> level construct that focused on collective knowledge exploration and exploitation, an approach that is relatively new to research on TI in schools (see e.g. Yeh et al., 2021). In this context, the results confirm the assumption made by others (</w:t>
      </w:r>
      <w:proofErr w:type="spellStart"/>
      <w:r w:rsidRPr="00C34F89">
        <w:t>Avidov</w:t>
      </w:r>
      <w:proofErr w:type="spellEnd"/>
      <w:r w:rsidRPr="00C34F89">
        <w:t xml:space="preserve">-Ungar &amp; </w:t>
      </w:r>
      <w:proofErr w:type="spellStart"/>
      <w:r w:rsidRPr="00C34F89">
        <w:t>Eshet</w:t>
      </w:r>
      <w:proofErr w:type="spellEnd"/>
      <w:r w:rsidRPr="00C34F89">
        <w:t>-Alkalai, 2014; Hakkarainen, 2009) that collective technology-related knowledge is positively associated with TI. However, our findings go well beyond previous assumptions, which usually assume that such knowledge is co-created (but between teachers) within schools (Yeh et al., 2021). Rather, we find it important that such knowledge is also co-created with other actors beyond the boundaries of the school if TI is to be successful in schools.</w:t>
      </w:r>
    </w:p>
    <w:p w14:paraId="00000132" w14:textId="77777777" w:rsidR="00E84757" w:rsidRPr="00C34F89" w:rsidRDefault="007661A5">
      <w:pPr>
        <w:spacing w:before="240" w:after="240"/>
        <w:jc w:val="both"/>
      </w:pPr>
      <w:r w:rsidRPr="00C34F89">
        <w:t xml:space="preserve">This leads to three main conclusions: First, as Consoli et al. (2023) recently defined as a result in a systematic review on the subject, TI is less an outcome than a process. This implies that a school needs to iterate, that is </w:t>
      </w:r>
      <w:proofErr w:type="spellStart"/>
      <w:r w:rsidRPr="00C34F89">
        <w:t>analyse</w:t>
      </w:r>
      <w:proofErr w:type="spellEnd"/>
      <w:r w:rsidRPr="00C34F89">
        <w:t xml:space="preserve"> the landscape for potential development and innovation opportunities, adapt promising discoveries to its specific context, and ultimately deliver and </w:t>
      </w:r>
      <w:r w:rsidRPr="00C34F89">
        <w:lastRenderedPageBreak/>
        <w:t xml:space="preserve">implement them (Reich, 2023). Consequently, TI as an “innovation is a cycle that learns from previous deliver phases to enhance discover, develop, and deliver phases of future initiatives” (Kahn, 2018, p. 459). </w:t>
      </w:r>
      <w:proofErr w:type="gramStart"/>
      <w:r w:rsidRPr="00C34F89">
        <w:t>As a consequence</w:t>
      </w:r>
      <w:proofErr w:type="gramEnd"/>
      <w:r w:rsidRPr="00C34F89">
        <w:t xml:space="preserve">, second, knowledge-sharing and management mechanisms within schools are imperative. It seems essential to establish social practices and mechanisms that support the professional development of teachers and the meaningful adoption of technology in teaching by fostering knowledge exchange and creation that extends beyond the individual and the school level (Ley et al., 2022; </w:t>
      </w:r>
      <w:proofErr w:type="spellStart"/>
      <w:r w:rsidRPr="00C34F89">
        <w:t>Witthöft</w:t>
      </w:r>
      <w:proofErr w:type="spellEnd"/>
      <w:r w:rsidRPr="00C34F89">
        <w:t xml:space="preserve"> et al., 2024). This, third, makes a strong case for collaborative and knowledge-based TI in schools. Given that a majority of schools is willing and able to engage in innovation processes, yet are unable to create their own unique pathway to change (Slavin, 2005) and lack capacities (Bryk, 2010), the findings present an exceptionally compelling argument for TI through distributed innovation processes based on purposively managed knowledge flows across organizational boundaries, that is open innovation (Pietsch et al., 2023). The results demonstrated: Even if relevant skills and competences within the school are limited, TI can still succeed, but only in collaboration with other actors.</w:t>
      </w:r>
    </w:p>
    <w:p w14:paraId="00000133" w14:textId="77777777" w:rsidR="00E84757" w:rsidRPr="00C34F89" w:rsidRDefault="007661A5">
      <w:pPr>
        <w:spacing w:before="240" w:after="240"/>
        <w:jc w:val="both"/>
      </w:pPr>
      <w:proofErr w:type="gramStart"/>
      <w:r w:rsidRPr="00C34F89">
        <w:t>With regard to</w:t>
      </w:r>
      <w:proofErr w:type="gramEnd"/>
      <w:r w:rsidRPr="00C34F89">
        <w:t xml:space="preserve"> future research, this suggests that less emphasis should be placed on individual implementations of technology in the classroom and more on understanding how a dynamic cycle of TI in schools can be established and sustained. In this context, it seems particularly important to determine how an accelerated learning process and a self-reinforcing cycle of knowledge acquisition and </w:t>
      </w:r>
      <w:proofErr w:type="spellStart"/>
      <w:r w:rsidRPr="00C34F89">
        <w:t>utilisation</w:t>
      </w:r>
      <w:proofErr w:type="spellEnd"/>
      <w:r w:rsidRPr="00C34F89">
        <w:t xml:space="preserve">, </w:t>
      </w:r>
      <w:proofErr w:type="gramStart"/>
      <w:r w:rsidRPr="00C34F89">
        <w:t>with regard to</w:t>
      </w:r>
      <w:proofErr w:type="gramEnd"/>
      <w:r w:rsidRPr="00C34F89">
        <w:t xml:space="preserve"> TI in schools and beyond, can be achieved. This particularly requires longitudinal studies and the analysis of knowledge flows within networks (Moolenaar &amp; Sleegers, 2010; Wullschleger et al., 2023) and innovation communities (Lynn et al., 1996). Further, it is essential to consider that ACAP is domain-specific and path-dependent, meaning that the mechanisms and effects could differ for each knowledge domain (Cohen &amp; Levinthal, 1990). In this study, however, we have applied a domain-general </w:t>
      </w:r>
      <w:proofErr w:type="gramStart"/>
      <w:r w:rsidRPr="00C34F89">
        <w:t>construct</w:t>
      </w:r>
      <w:proofErr w:type="gramEnd"/>
      <w:r w:rsidRPr="00C34F89">
        <w:t xml:space="preserve"> </w:t>
      </w:r>
      <w:proofErr w:type="gramStart"/>
      <w:r w:rsidRPr="00C34F89">
        <w:t>with regard to</w:t>
      </w:r>
      <w:proofErr w:type="gramEnd"/>
      <w:r w:rsidRPr="00C34F89">
        <w:t xml:space="preserve"> technology-related knowledge in schools. In future studies, it would be beneficial to examine ACAP in a more nuanced way, i.e. by investigating the individual dimensions of the TPACK model; i.e., Technological Knowledge (TK), Pedagogical Knowledge (PK) and Content Knowledge (CK), as well as their overlaps, hence, Technological Pedagogical Knowledge (TPK), Technological Content Knowledge (TCK), and Pedagogical Content Knowledge (PCK) ACAP.</w:t>
      </w:r>
    </w:p>
    <w:p w14:paraId="00000134" w14:textId="77777777" w:rsidR="00E84757" w:rsidRPr="00C34F89" w:rsidRDefault="007661A5">
      <w:pPr>
        <w:spacing w:before="240" w:after="240"/>
        <w:jc w:val="both"/>
      </w:pPr>
      <w:r w:rsidRPr="00C34F89">
        <w:t xml:space="preserve">Finally, it is important to note, however, that a technology-driven transformation of schools is not an </w:t>
      </w:r>
      <w:proofErr w:type="gramStart"/>
      <w:r w:rsidRPr="00C34F89">
        <w:t>end in itself</w:t>
      </w:r>
      <w:proofErr w:type="gramEnd"/>
      <w:r w:rsidRPr="00C34F89">
        <w:t xml:space="preserve">. Rather, the objective of such innovations and changes should be to empower and encourage teachers and all those involved in schooling to </w:t>
      </w:r>
      <w:proofErr w:type="spellStart"/>
      <w:r w:rsidRPr="00C34F89">
        <w:t>utilise</w:t>
      </w:r>
      <w:proofErr w:type="spellEnd"/>
      <w:r w:rsidRPr="00C34F89">
        <w:t xml:space="preserve"> new technologies for the greater good of their students (</w:t>
      </w:r>
      <w:proofErr w:type="spellStart"/>
      <w:r w:rsidRPr="00C34F89">
        <w:t>Navaridas</w:t>
      </w:r>
      <w:proofErr w:type="spellEnd"/>
      <w:r w:rsidRPr="00C34F89">
        <w:t>-Nalda et al., 2020). Thus, in essence, the objective should be to establish an appealing vision of technology integration in schools that serves as a guiding principle for future actions (Dexter &amp; Richardson, 2020). It would therefore be prudent to investigate whether such visions exist, what they entail, how they guide daily practice and whether they ultimately lead to enhanced learning outcomes among students.</w:t>
      </w:r>
    </w:p>
    <w:p w14:paraId="00000135" w14:textId="77777777" w:rsidR="00E84757" w:rsidRPr="00C34F89" w:rsidRDefault="007661A5">
      <w:r w:rsidRPr="00C34F89">
        <w:br w:type="page"/>
      </w:r>
    </w:p>
    <w:p w14:paraId="00000136" w14:textId="77777777" w:rsidR="00E84757" w:rsidRPr="00C34F89" w:rsidRDefault="007661A5">
      <w:pPr>
        <w:rPr>
          <w:b/>
        </w:rPr>
      </w:pPr>
      <w:r w:rsidRPr="00C34F89">
        <w:rPr>
          <w:b/>
        </w:rPr>
        <w:lastRenderedPageBreak/>
        <w:t>References</w:t>
      </w:r>
    </w:p>
    <w:p w14:paraId="00000137" w14:textId="77777777" w:rsidR="00E84757" w:rsidRPr="00C34F89" w:rsidRDefault="00E84757">
      <w:pPr>
        <w:spacing w:line="240" w:lineRule="auto"/>
        <w:jc w:val="both"/>
      </w:pPr>
    </w:p>
    <w:p w14:paraId="00000138" w14:textId="77777777" w:rsidR="00E84757" w:rsidRPr="00C34F89" w:rsidRDefault="007661A5">
      <w:pPr>
        <w:spacing w:line="240" w:lineRule="auto"/>
        <w:jc w:val="both"/>
      </w:pPr>
      <w:proofErr w:type="spellStart"/>
      <w:r w:rsidRPr="00C34F89">
        <w:t>Aloini</w:t>
      </w:r>
      <w:proofErr w:type="spellEnd"/>
      <w:r w:rsidRPr="00C34F89">
        <w:t xml:space="preserve">, D., Pellegrini, L., </w:t>
      </w:r>
      <w:proofErr w:type="spellStart"/>
      <w:r w:rsidRPr="00C34F89">
        <w:t>Lazzarotti</w:t>
      </w:r>
      <w:proofErr w:type="spellEnd"/>
      <w:r w:rsidRPr="00C34F89">
        <w:t xml:space="preserve">, V., &amp; Manzini, R. (2015). Technological strategy, open innovation and innovation performance: </w:t>
      </w:r>
      <w:proofErr w:type="gramStart"/>
      <w:r w:rsidRPr="00C34F89">
        <w:t>evidences</w:t>
      </w:r>
      <w:proofErr w:type="gramEnd"/>
      <w:r w:rsidRPr="00C34F89">
        <w:t xml:space="preserve"> on the basis of a structural-equation-model approach. </w:t>
      </w:r>
      <w:r w:rsidRPr="00C34F89">
        <w:rPr>
          <w:i/>
        </w:rPr>
        <w:t>Measuring business excellence</w:t>
      </w:r>
      <w:r w:rsidRPr="00C34F89">
        <w:t xml:space="preserve">, </w:t>
      </w:r>
      <w:r w:rsidRPr="00C34F89">
        <w:rPr>
          <w:i/>
        </w:rPr>
        <w:t>19</w:t>
      </w:r>
      <w:r w:rsidRPr="00C34F89">
        <w:t xml:space="preserve">(3), 22-41. </w:t>
      </w:r>
      <w:hyperlink r:id="rId14">
        <w:r w:rsidRPr="00C34F89">
          <w:rPr>
            <w:color w:val="1155CC"/>
            <w:u w:val="single"/>
          </w:rPr>
          <w:t>https://doi.org/10.1108/MBE-04-2015-0018</w:t>
        </w:r>
      </w:hyperlink>
      <w:r w:rsidRPr="00C34F89">
        <w:t xml:space="preserve"> </w:t>
      </w:r>
    </w:p>
    <w:p w14:paraId="00000139" w14:textId="77777777" w:rsidR="00E84757" w:rsidRPr="00C34F89" w:rsidRDefault="00E84757">
      <w:pPr>
        <w:spacing w:line="240" w:lineRule="auto"/>
        <w:jc w:val="both"/>
      </w:pPr>
    </w:p>
    <w:p w14:paraId="0000013A" w14:textId="77777777" w:rsidR="00E84757" w:rsidRPr="00C34F89" w:rsidRDefault="007661A5">
      <w:pPr>
        <w:spacing w:line="240" w:lineRule="auto"/>
        <w:jc w:val="both"/>
      </w:pPr>
      <w:proofErr w:type="spellStart"/>
      <w:r w:rsidRPr="00C34F89">
        <w:t>Apriliyanti</w:t>
      </w:r>
      <w:proofErr w:type="spellEnd"/>
      <w:r w:rsidRPr="00C34F89">
        <w:t xml:space="preserve">, I. D., &amp; Alon, I. (2017). Bibliometric analysis of absorptive capacity. </w:t>
      </w:r>
      <w:r w:rsidRPr="00C34F89">
        <w:rPr>
          <w:i/>
        </w:rPr>
        <w:t>International Business Review</w:t>
      </w:r>
      <w:r w:rsidRPr="00C34F89">
        <w:t xml:space="preserve">, </w:t>
      </w:r>
      <w:r w:rsidRPr="00C34F89">
        <w:rPr>
          <w:i/>
        </w:rPr>
        <w:t>26</w:t>
      </w:r>
      <w:r w:rsidRPr="00C34F89">
        <w:t>(5), 896-907.</w:t>
      </w:r>
    </w:p>
    <w:p w14:paraId="0000013B" w14:textId="77777777" w:rsidR="00E84757" w:rsidRPr="00C34F89" w:rsidRDefault="00E84757">
      <w:pPr>
        <w:spacing w:line="240" w:lineRule="auto"/>
        <w:jc w:val="both"/>
      </w:pPr>
    </w:p>
    <w:p w14:paraId="0000013C" w14:textId="77777777" w:rsidR="00E84757" w:rsidRPr="00C34F89" w:rsidRDefault="007661A5">
      <w:pPr>
        <w:spacing w:line="240" w:lineRule="auto"/>
        <w:jc w:val="both"/>
      </w:pPr>
      <w:proofErr w:type="spellStart"/>
      <w:r w:rsidRPr="00C34F89">
        <w:t>Avidov</w:t>
      </w:r>
      <w:proofErr w:type="spellEnd"/>
      <w:r w:rsidRPr="00C34F89">
        <w:t xml:space="preserve">-Ungar, O., &amp; </w:t>
      </w:r>
      <w:proofErr w:type="spellStart"/>
      <w:r w:rsidRPr="00C34F89">
        <w:t>Eshet</w:t>
      </w:r>
      <w:proofErr w:type="spellEnd"/>
      <w:r w:rsidRPr="00C34F89">
        <w:t xml:space="preserve">-Alkalai, Y. (2014). TPACK revisited: A systemic perspective on measures for predicting effective integration of innovative technologies in school systems. </w:t>
      </w:r>
      <w:r w:rsidRPr="00C34F89">
        <w:rPr>
          <w:i/>
        </w:rPr>
        <w:t>Journal of Cognitive Education and Psychology</w:t>
      </w:r>
      <w:r w:rsidRPr="00C34F89">
        <w:t xml:space="preserve">, </w:t>
      </w:r>
      <w:r w:rsidRPr="00C34F89">
        <w:rPr>
          <w:i/>
        </w:rPr>
        <w:t>13</w:t>
      </w:r>
      <w:r w:rsidRPr="00C34F89">
        <w:t>(1), 19-31. http://doi.org/</w:t>
      </w:r>
      <w:hyperlink r:id="rId15">
        <w:r w:rsidRPr="00C34F89">
          <w:rPr>
            <w:color w:val="1155CC"/>
            <w:u w:val="single"/>
          </w:rPr>
          <w:t>10.1891/1945-8959.13.1.19</w:t>
        </w:r>
      </w:hyperlink>
    </w:p>
    <w:p w14:paraId="0000013D" w14:textId="77777777" w:rsidR="00E84757" w:rsidRPr="00C34F89" w:rsidRDefault="00E84757">
      <w:pPr>
        <w:spacing w:line="240" w:lineRule="auto"/>
        <w:jc w:val="both"/>
      </w:pPr>
    </w:p>
    <w:p w14:paraId="0000013E" w14:textId="77777777" w:rsidR="00E84757" w:rsidRPr="00C34F89" w:rsidRDefault="007661A5">
      <w:pPr>
        <w:spacing w:line="240" w:lineRule="auto"/>
        <w:jc w:val="both"/>
      </w:pPr>
      <w:r w:rsidRPr="00C34F89">
        <w:t xml:space="preserve">Backfisch, I., Lachner, A., Stürmer, K., &amp; Scheiter, K. (2021). Variability of teachers’ technology integration in the classroom: A matter of utility! </w:t>
      </w:r>
      <w:r w:rsidRPr="00C34F89">
        <w:rPr>
          <w:i/>
        </w:rPr>
        <w:t>Computers &amp; Education</w:t>
      </w:r>
      <w:r w:rsidRPr="00C34F89">
        <w:t xml:space="preserve">, 166, 104159. </w:t>
      </w:r>
      <w:hyperlink r:id="rId16">
        <w:r w:rsidRPr="00C34F89">
          <w:rPr>
            <w:u w:val="single"/>
          </w:rPr>
          <w:t>https://doi.org/10.1016/j.compedu.2021.104159</w:t>
        </w:r>
      </w:hyperlink>
      <w:r w:rsidRPr="00C34F89">
        <w:t>.</w:t>
      </w:r>
    </w:p>
    <w:p w14:paraId="0000013F" w14:textId="77777777" w:rsidR="00E84757" w:rsidRPr="00C34F89" w:rsidRDefault="00E84757">
      <w:pPr>
        <w:spacing w:line="240" w:lineRule="auto"/>
        <w:jc w:val="both"/>
      </w:pPr>
    </w:p>
    <w:p w14:paraId="00000140" w14:textId="77777777" w:rsidR="00E84757" w:rsidRPr="00C34F89" w:rsidRDefault="007661A5">
      <w:pPr>
        <w:spacing w:after="240" w:line="240" w:lineRule="auto"/>
        <w:jc w:val="both"/>
      </w:pPr>
      <w:r w:rsidRPr="00C34F89">
        <w:t xml:space="preserve">Barney, J. (1991). Firm Resources and Sustained Competitive Advantage. Journal of Management, 17(1), 99-120. </w:t>
      </w:r>
      <w:hyperlink r:id="rId17">
        <w:r w:rsidRPr="00C34F89">
          <w:rPr>
            <w:u w:val="single"/>
          </w:rPr>
          <w:t>https://doi.org/10.1177/014920639101700108</w:t>
        </w:r>
      </w:hyperlink>
      <w:r w:rsidRPr="00C34F89">
        <w:t xml:space="preserve"> </w:t>
      </w:r>
    </w:p>
    <w:p w14:paraId="00000141" w14:textId="77777777" w:rsidR="00E84757" w:rsidRPr="00C34F89" w:rsidRDefault="007661A5">
      <w:pPr>
        <w:pBdr>
          <w:top w:val="nil"/>
          <w:left w:val="nil"/>
          <w:bottom w:val="nil"/>
          <w:right w:val="nil"/>
          <w:between w:val="nil"/>
        </w:pBdr>
        <w:spacing w:line="240" w:lineRule="auto"/>
      </w:pPr>
      <w:r w:rsidRPr="00C34F89">
        <w:t xml:space="preserve">Behrens, V., Berger, M., Hud, M., et al. (2017). </w:t>
      </w:r>
      <w:r w:rsidRPr="00C34F89">
        <w:rPr>
          <w:i/>
        </w:rPr>
        <w:t>Innovation activities of firms in Germany: Results of the German CIS 2012 and 2014 background report on the surveys of the Mannheim Innovation Panel conducted in the years 2013 to 2016</w:t>
      </w:r>
      <w:r w:rsidRPr="00C34F89">
        <w:t>. ZEW - Leibniz Centre for European Economic Research.</w:t>
      </w:r>
    </w:p>
    <w:p w14:paraId="00000142" w14:textId="77777777" w:rsidR="00E84757" w:rsidRPr="00C34F89" w:rsidRDefault="00E84757">
      <w:pPr>
        <w:spacing w:line="240" w:lineRule="auto"/>
      </w:pPr>
    </w:p>
    <w:p w14:paraId="00000143" w14:textId="77777777" w:rsidR="00E84757" w:rsidRPr="00C34F89" w:rsidRDefault="007661A5">
      <w:pPr>
        <w:spacing w:line="240" w:lineRule="auto"/>
      </w:pPr>
      <w:r w:rsidRPr="00C34F89">
        <w:t xml:space="preserve">Blundell, C. N., Mukherjee, M., &amp; Nykvist, S. (2022). A scoping review of the application of the SAMR model in research. </w:t>
      </w:r>
      <w:r w:rsidRPr="00C34F89">
        <w:rPr>
          <w:i/>
        </w:rPr>
        <w:t>Computers and Education Open</w:t>
      </w:r>
      <w:r w:rsidRPr="00C34F89">
        <w:t xml:space="preserve">, </w:t>
      </w:r>
      <w:r w:rsidRPr="00C34F89">
        <w:rPr>
          <w:i/>
        </w:rPr>
        <w:t>3</w:t>
      </w:r>
      <w:r w:rsidRPr="00C34F89">
        <w:t>, 100093.</w:t>
      </w:r>
    </w:p>
    <w:p w14:paraId="00000144" w14:textId="77777777" w:rsidR="00E84757" w:rsidRPr="00C34F89" w:rsidRDefault="00E84757">
      <w:pPr>
        <w:spacing w:line="240" w:lineRule="auto"/>
      </w:pPr>
    </w:p>
    <w:p w14:paraId="00000145" w14:textId="77777777" w:rsidR="00E84757" w:rsidRPr="00C34F89" w:rsidRDefault="007661A5">
      <w:pPr>
        <w:spacing w:after="240" w:line="240" w:lineRule="auto"/>
        <w:jc w:val="both"/>
        <w:rPr>
          <w:u w:val="single"/>
        </w:rPr>
      </w:pPr>
      <w:r w:rsidRPr="00C34F89">
        <w:t xml:space="preserve">Bogers, M., Chesbrough, H., Heaton, S., &amp; Teece, D. J. (2019). Strategic Management of Open Innovation: a dynamic capabilities perspective. </w:t>
      </w:r>
      <w:r w:rsidRPr="00C34F89">
        <w:rPr>
          <w:i/>
        </w:rPr>
        <w:t>California Management Review</w:t>
      </w:r>
      <w:r w:rsidRPr="00C34F89">
        <w:t xml:space="preserve">, 62(1), 77-94. </w:t>
      </w:r>
      <w:hyperlink r:id="rId18">
        <w:r w:rsidRPr="00C34F89">
          <w:rPr>
            <w:u w:val="single"/>
          </w:rPr>
          <w:t>https://doi.org/10.1177/0008125619885150</w:t>
        </w:r>
      </w:hyperlink>
    </w:p>
    <w:p w14:paraId="00000146" w14:textId="77777777" w:rsidR="00E84757" w:rsidRPr="00C34F89" w:rsidRDefault="007661A5">
      <w:pPr>
        <w:pBdr>
          <w:top w:val="nil"/>
          <w:left w:val="nil"/>
          <w:bottom w:val="nil"/>
          <w:right w:val="nil"/>
          <w:between w:val="nil"/>
        </w:pBdr>
        <w:spacing w:line="240" w:lineRule="auto"/>
      </w:pPr>
      <w:proofErr w:type="spellStart"/>
      <w:r w:rsidRPr="00C34F89">
        <w:t>Bouncken</w:t>
      </w:r>
      <w:proofErr w:type="spellEnd"/>
      <w:r w:rsidRPr="00C34F89">
        <w:t xml:space="preserve"> R. B., &amp; Fredrich, V. (2012). Coopetition: performance implications and management antecedents. </w:t>
      </w:r>
      <w:r w:rsidRPr="00C34F89">
        <w:rPr>
          <w:i/>
        </w:rPr>
        <w:t>International Journal of Innovation Management,</w:t>
      </w:r>
      <w:r w:rsidRPr="00C34F89">
        <w:t xml:space="preserve"> 16(5), 1250028.</w:t>
      </w:r>
    </w:p>
    <w:p w14:paraId="00000147" w14:textId="77777777" w:rsidR="00E84757" w:rsidRPr="00C34F89" w:rsidRDefault="00E84757">
      <w:pPr>
        <w:pBdr>
          <w:top w:val="nil"/>
          <w:left w:val="nil"/>
          <w:bottom w:val="nil"/>
          <w:right w:val="nil"/>
          <w:between w:val="nil"/>
        </w:pBdr>
        <w:spacing w:line="240" w:lineRule="auto"/>
      </w:pPr>
    </w:p>
    <w:p w14:paraId="00000148" w14:textId="77777777" w:rsidR="00E84757" w:rsidRPr="00C34F89" w:rsidRDefault="007661A5">
      <w:pPr>
        <w:pBdr>
          <w:top w:val="nil"/>
          <w:left w:val="nil"/>
          <w:bottom w:val="nil"/>
          <w:right w:val="nil"/>
          <w:between w:val="nil"/>
        </w:pBdr>
        <w:spacing w:line="240" w:lineRule="auto"/>
      </w:pPr>
      <w:proofErr w:type="spellStart"/>
      <w:r w:rsidRPr="00C34F89">
        <w:t>Breiman</w:t>
      </w:r>
      <w:proofErr w:type="spellEnd"/>
      <w:r w:rsidRPr="00C34F89">
        <w:t xml:space="preserve">, L., Friedman, J. H., </w:t>
      </w:r>
      <w:proofErr w:type="spellStart"/>
      <w:r w:rsidRPr="00C34F89">
        <w:t>Olshen</w:t>
      </w:r>
      <w:proofErr w:type="spellEnd"/>
      <w:r w:rsidRPr="00C34F89">
        <w:t xml:space="preserve">, R. A., &amp; Stone, C. J. (1984). </w:t>
      </w:r>
      <w:r w:rsidRPr="00C34F89">
        <w:rPr>
          <w:i/>
        </w:rPr>
        <w:t>Classification and regression trees</w:t>
      </w:r>
      <w:r w:rsidRPr="00C34F89">
        <w:t>. Wadsworth.</w:t>
      </w:r>
    </w:p>
    <w:p w14:paraId="00000149" w14:textId="77777777" w:rsidR="00E84757" w:rsidRPr="00C34F89" w:rsidRDefault="00E84757">
      <w:pPr>
        <w:pBdr>
          <w:top w:val="nil"/>
          <w:left w:val="nil"/>
          <w:bottom w:val="nil"/>
          <w:right w:val="nil"/>
          <w:between w:val="nil"/>
        </w:pBdr>
        <w:spacing w:line="240" w:lineRule="auto"/>
      </w:pPr>
    </w:p>
    <w:p w14:paraId="0000014A" w14:textId="77777777" w:rsidR="00E84757" w:rsidRPr="00C34F89" w:rsidRDefault="007661A5">
      <w:pPr>
        <w:spacing w:after="240" w:line="240" w:lineRule="auto"/>
      </w:pPr>
      <w:r w:rsidRPr="00C34F89">
        <w:t xml:space="preserve">Brennan, A., King, F., &amp; Travers, J., (2021). Supporting the enactment of inclusive pedagogy in a primary school. </w:t>
      </w:r>
      <w:r w:rsidRPr="00C34F89">
        <w:rPr>
          <w:i/>
        </w:rPr>
        <w:t>International Journal of Inclusive Education, 25</w:t>
      </w:r>
      <w:r w:rsidRPr="00C34F89">
        <w:t>(13), 1540-1557.</w:t>
      </w:r>
    </w:p>
    <w:p w14:paraId="0000014B" w14:textId="77777777" w:rsidR="00E84757" w:rsidRPr="00C34F89" w:rsidRDefault="007661A5">
      <w:pPr>
        <w:spacing w:line="240" w:lineRule="auto"/>
      </w:pPr>
      <w:r w:rsidRPr="00C34F89">
        <w:t xml:space="preserve">Brown, C. (2021) </w:t>
      </w:r>
      <w:r w:rsidRPr="00C34F89">
        <w:rPr>
          <w:i/>
        </w:rPr>
        <w:t>The Amazing Power of Networks. A [research-informed] choose your own destiny book</w:t>
      </w:r>
      <w:r w:rsidRPr="00C34F89">
        <w:t>. John Catt.</w:t>
      </w:r>
    </w:p>
    <w:p w14:paraId="0000014C" w14:textId="77777777" w:rsidR="00E84757" w:rsidRPr="00C34F89" w:rsidRDefault="00E84757">
      <w:pPr>
        <w:spacing w:line="240" w:lineRule="auto"/>
      </w:pPr>
    </w:p>
    <w:p w14:paraId="0000014D" w14:textId="77777777" w:rsidR="00E84757" w:rsidRPr="00C34F89" w:rsidRDefault="007661A5">
      <w:pPr>
        <w:spacing w:line="240" w:lineRule="auto"/>
      </w:pPr>
      <w:r w:rsidRPr="00C34F89">
        <w:t xml:space="preserve">Brown, C., &amp; Graydon, J. (2017). </w:t>
      </w:r>
      <w:r w:rsidRPr="00C34F89">
        <w:rPr>
          <w:i/>
        </w:rPr>
        <w:t>An Evaluation of Renfrew County Catholic District School Board’s Efforts to Deepen the Practice of Pedagogical Documentation Across Their District.</w:t>
      </w:r>
      <w:r w:rsidRPr="00C34F89">
        <w:t xml:space="preserve"> Renfrew County Catholic District School Board.</w:t>
      </w:r>
    </w:p>
    <w:p w14:paraId="0000014E" w14:textId="77777777" w:rsidR="00E84757" w:rsidRPr="00C34F89" w:rsidRDefault="00E84757">
      <w:pPr>
        <w:spacing w:line="240" w:lineRule="auto"/>
      </w:pPr>
    </w:p>
    <w:p w14:paraId="0000014F" w14:textId="77777777" w:rsidR="00E84757" w:rsidRPr="00C34F89" w:rsidRDefault="007661A5">
      <w:pPr>
        <w:spacing w:after="240" w:line="240" w:lineRule="auto"/>
      </w:pPr>
      <w:r w:rsidRPr="00C34F89">
        <w:t>Brown,</w:t>
      </w:r>
      <w:r w:rsidRPr="00C34F89">
        <w:rPr>
          <w:vertAlign w:val="superscript"/>
        </w:rPr>
        <w:t xml:space="preserve"> </w:t>
      </w:r>
      <w:r w:rsidRPr="00C34F89">
        <w:t xml:space="preserve">C., </w:t>
      </w:r>
      <w:proofErr w:type="spellStart"/>
      <w:r w:rsidRPr="00C34F89">
        <w:t>Luzmore</w:t>
      </w:r>
      <w:proofErr w:type="spellEnd"/>
      <w:r w:rsidRPr="00C34F89">
        <w:t xml:space="preserve">, L., O’Donovan, R., Ji, G., &amp; Patnaik, S. (2024). How educational leaders can </w:t>
      </w:r>
      <w:proofErr w:type="spellStart"/>
      <w:r w:rsidRPr="00C34F89">
        <w:t>maximise</w:t>
      </w:r>
      <w:proofErr w:type="spellEnd"/>
      <w:r w:rsidRPr="00C34F89">
        <w:t xml:space="preserve"> the social capital benefits of inter-school networks: findings from a systematic </w:t>
      </w:r>
      <w:r w:rsidRPr="00C34F89">
        <w:lastRenderedPageBreak/>
        <w:t xml:space="preserve">review. </w:t>
      </w:r>
      <w:r w:rsidRPr="00C34F89">
        <w:rPr>
          <w:i/>
        </w:rPr>
        <w:t>International Journal of Educational Management,</w:t>
      </w:r>
      <w:r w:rsidRPr="00C34F89">
        <w:t xml:space="preserve"> 38(1), 213-264.</w:t>
      </w:r>
      <w:r w:rsidRPr="00C34F89">
        <w:rPr>
          <w:i/>
        </w:rPr>
        <w:t xml:space="preserve"> </w:t>
      </w:r>
      <w:hyperlink r:id="rId19">
        <w:r w:rsidRPr="00C34F89">
          <w:rPr>
            <w:u w:val="single"/>
          </w:rPr>
          <w:t>https://doi.org/10.1108/IJEM-09-2023-0447</w:t>
        </w:r>
      </w:hyperlink>
      <w:r w:rsidRPr="00C34F89">
        <w:t>.</w:t>
      </w:r>
    </w:p>
    <w:p w14:paraId="00000150" w14:textId="77777777" w:rsidR="00E84757" w:rsidRPr="00C34F89" w:rsidRDefault="007661A5">
      <w:pPr>
        <w:spacing w:after="240" w:line="240" w:lineRule="auto"/>
      </w:pPr>
      <w:r w:rsidRPr="00C34F89">
        <w:t xml:space="preserve">Bryk, A. S. (2010). Organizing schools for improvement. </w:t>
      </w:r>
      <w:r w:rsidRPr="00C34F89">
        <w:rPr>
          <w:i/>
        </w:rPr>
        <w:t xml:space="preserve">Phi Delta </w:t>
      </w:r>
      <w:proofErr w:type="spellStart"/>
      <w:r w:rsidRPr="00C34F89">
        <w:rPr>
          <w:i/>
        </w:rPr>
        <w:t>Kappan</w:t>
      </w:r>
      <w:proofErr w:type="spellEnd"/>
      <w:r w:rsidRPr="00C34F89">
        <w:rPr>
          <w:i/>
        </w:rPr>
        <w:t>,</w:t>
      </w:r>
      <w:r w:rsidRPr="00C34F89">
        <w:t xml:space="preserve"> </w:t>
      </w:r>
      <w:r w:rsidRPr="00C34F89">
        <w:rPr>
          <w:i/>
        </w:rPr>
        <w:t>91</w:t>
      </w:r>
      <w:r w:rsidRPr="00C34F89">
        <w:t>(7), 23–30.</w:t>
      </w:r>
    </w:p>
    <w:p w14:paraId="00000151" w14:textId="77777777" w:rsidR="00E84757" w:rsidRPr="00C34F89" w:rsidRDefault="007661A5">
      <w:pPr>
        <w:spacing w:after="240" w:line="240" w:lineRule="auto"/>
      </w:pPr>
      <w:r w:rsidRPr="00C34F89">
        <w:rPr>
          <w:lang w:val="sv-SE"/>
        </w:rPr>
        <w:t xml:space="preserve">Carrasco-Carvajal, O., Castillo-Vergara, M., &amp; García-Pérez-de-Lema, D. (2023). </w:t>
      </w:r>
      <w:r w:rsidRPr="00C34F89">
        <w:t xml:space="preserve">Measuring open innovation in SMEs: an overview of current research. </w:t>
      </w:r>
      <w:r w:rsidRPr="00C34F89">
        <w:rPr>
          <w:i/>
        </w:rPr>
        <w:t>Review of Managerial Science</w:t>
      </w:r>
      <w:r w:rsidRPr="00C34F89">
        <w:t xml:space="preserve">, </w:t>
      </w:r>
      <w:r w:rsidRPr="00C34F89">
        <w:rPr>
          <w:i/>
        </w:rPr>
        <w:t>17</w:t>
      </w:r>
      <w:r w:rsidRPr="00C34F89">
        <w:t xml:space="preserve">(2), 397-442. </w:t>
      </w:r>
      <w:hyperlink r:id="rId20">
        <w:r w:rsidRPr="00C34F89">
          <w:rPr>
            <w:color w:val="1155CC"/>
            <w:u w:val="single"/>
          </w:rPr>
          <w:t>https://doi.org/10.1007/s11846-022-00533-9</w:t>
        </w:r>
      </w:hyperlink>
      <w:r w:rsidRPr="00C34F89">
        <w:t xml:space="preserve">  </w:t>
      </w:r>
    </w:p>
    <w:p w14:paraId="00000152" w14:textId="77777777" w:rsidR="00E84757" w:rsidRPr="00C34F89" w:rsidRDefault="007661A5">
      <w:pPr>
        <w:spacing w:after="240" w:line="240" w:lineRule="auto"/>
        <w:jc w:val="both"/>
      </w:pPr>
      <w:r w:rsidRPr="00C34F89">
        <w:t xml:space="preserve">Castaneda D.I., &amp; Cuellar S. (2020). Knowledge sharing and innovation: A systematic review. </w:t>
      </w:r>
      <w:r w:rsidRPr="00C34F89">
        <w:rPr>
          <w:i/>
        </w:rPr>
        <w:t>Knowledge and Process Management</w:t>
      </w:r>
      <w:r w:rsidRPr="00C34F89">
        <w:t xml:space="preserve">, 27, 159–173. </w:t>
      </w:r>
      <w:hyperlink r:id="rId21">
        <w:r w:rsidRPr="00C34F89">
          <w:t>https://doi.org/10.1002/kpm.1637</w:t>
        </w:r>
      </w:hyperlink>
      <w:r w:rsidRPr="00C34F89">
        <w:t xml:space="preserve">  </w:t>
      </w:r>
    </w:p>
    <w:p w14:paraId="00000153" w14:textId="77777777" w:rsidR="00E84757" w:rsidRPr="00C34F89" w:rsidRDefault="007661A5">
      <w:pPr>
        <w:spacing w:after="240" w:line="240" w:lineRule="auto"/>
        <w:jc w:val="both"/>
      </w:pPr>
      <w:r w:rsidRPr="00C34F89">
        <w:t xml:space="preserve">Chen, Y. &amp; Vanhaverbeke, W. (2019), “Open innovation”. In: A. Brem, E. </w:t>
      </w:r>
      <w:proofErr w:type="spellStart"/>
      <w:r w:rsidRPr="00C34F89">
        <w:t>Viardot</w:t>
      </w:r>
      <w:proofErr w:type="spellEnd"/>
      <w:r w:rsidRPr="00C34F89">
        <w:t>, P.K.; Wong, &amp; J. Chen, J. (Eds.), The Routledge Companion to Innovation Management, Routledge, London, pp. 180-203.</w:t>
      </w:r>
    </w:p>
    <w:p w14:paraId="00000154" w14:textId="77777777" w:rsidR="00E84757" w:rsidRPr="00C34F89" w:rsidRDefault="007661A5">
      <w:pPr>
        <w:spacing w:after="240" w:line="240" w:lineRule="auto"/>
        <w:jc w:val="both"/>
      </w:pPr>
      <w:r w:rsidRPr="00C34F89">
        <w:rPr>
          <w:lang w:val="de-DE"/>
        </w:rPr>
        <w:t xml:space="preserve">Cohen, W. M., &amp; </w:t>
      </w:r>
      <w:proofErr w:type="spellStart"/>
      <w:r w:rsidRPr="00C34F89">
        <w:rPr>
          <w:lang w:val="de-DE"/>
        </w:rPr>
        <w:t>Levinthal</w:t>
      </w:r>
      <w:proofErr w:type="spellEnd"/>
      <w:r w:rsidRPr="00C34F89">
        <w:rPr>
          <w:lang w:val="de-DE"/>
        </w:rPr>
        <w:t xml:space="preserve">, D. A. (1990). </w:t>
      </w:r>
      <w:r w:rsidRPr="00C34F89">
        <w:t xml:space="preserve">Absorptive Capacity. A New Perspective on Learning and Innovation. </w:t>
      </w:r>
      <w:r w:rsidRPr="00C34F89">
        <w:rPr>
          <w:i/>
        </w:rPr>
        <w:t>Administrative Science Quarterly</w:t>
      </w:r>
      <w:r w:rsidRPr="00C34F89">
        <w:t>, 35, 128-152.</w:t>
      </w:r>
    </w:p>
    <w:p w14:paraId="00000155" w14:textId="77777777" w:rsidR="00E84757" w:rsidRPr="00C34F89" w:rsidRDefault="007661A5">
      <w:pPr>
        <w:spacing w:after="240" w:line="240" w:lineRule="auto"/>
        <w:jc w:val="both"/>
      </w:pPr>
      <w:r w:rsidRPr="00C34F89">
        <w:t xml:space="preserve">Consoli, T., </w:t>
      </w:r>
      <w:proofErr w:type="spellStart"/>
      <w:r w:rsidRPr="00C34F89">
        <w:t>Désiron</w:t>
      </w:r>
      <w:proofErr w:type="spellEnd"/>
      <w:r w:rsidRPr="00C34F89">
        <w:t xml:space="preserve">, J., &amp; Cattaneo, A. (2023). What is “technology integration” and how is it measured in K-12 education? A systematic review of survey instruments from 2010 to 2021. </w:t>
      </w:r>
      <w:r w:rsidRPr="00C34F89">
        <w:rPr>
          <w:i/>
        </w:rPr>
        <w:t>Computers &amp; Education</w:t>
      </w:r>
      <w:r w:rsidRPr="00C34F89">
        <w:t xml:space="preserve">, </w:t>
      </w:r>
      <w:r w:rsidRPr="00C34F89">
        <w:rPr>
          <w:i/>
        </w:rPr>
        <w:t>197</w:t>
      </w:r>
      <w:r w:rsidRPr="00C34F89">
        <w:t>, 104742. https://doi.org/10.1016/j.compedu.2023.104742</w:t>
      </w:r>
    </w:p>
    <w:p w14:paraId="00000156" w14:textId="77777777" w:rsidR="00E84757" w:rsidRPr="00C34F89" w:rsidRDefault="007661A5">
      <w:pPr>
        <w:pBdr>
          <w:top w:val="nil"/>
          <w:left w:val="nil"/>
          <w:bottom w:val="nil"/>
          <w:right w:val="nil"/>
          <w:between w:val="nil"/>
        </w:pBdr>
        <w:spacing w:after="240" w:line="240" w:lineRule="auto"/>
        <w:jc w:val="both"/>
      </w:pPr>
      <w:r w:rsidRPr="00C34F89">
        <w:t xml:space="preserve">CO-PI, (2021). </w:t>
      </w:r>
      <w:r w:rsidRPr="00C34F89">
        <w:rPr>
          <w:i/>
        </w:rPr>
        <w:t>Copenhagen Manual: A guide on how and why your country can benefit from measuring public sector innovation</w:t>
      </w:r>
      <w:r w:rsidRPr="00C34F89">
        <w:t>. Copenhagen: The Danish National Center for Public Sector Innovation.</w:t>
      </w:r>
      <w:hyperlink r:id="rId22">
        <w:r w:rsidRPr="00C34F89">
          <w:t xml:space="preserve"> https://innovationbarometer.org/copenhagen-manual/</w:t>
        </w:r>
      </w:hyperlink>
    </w:p>
    <w:p w14:paraId="00000157" w14:textId="77777777" w:rsidR="00E84757" w:rsidRPr="00C34F89" w:rsidRDefault="007661A5">
      <w:pPr>
        <w:spacing w:after="240" w:line="240" w:lineRule="auto"/>
        <w:jc w:val="both"/>
      </w:pPr>
      <w:r w:rsidRPr="00C34F89">
        <w:t xml:space="preserve">Corbo, L., Kraus, S., </w:t>
      </w:r>
      <w:proofErr w:type="spellStart"/>
      <w:r w:rsidRPr="00C34F89">
        <w:t>Vlačić</w:t>
      </w:r>
      <w:proofErr w:type="spellEnd"/>
      <w:r w:rsidRPr="00C34F89">
        <w:t xml:space="preserve">, B., </w:t>
      </w:r>
      <w:proofErr w:type="spellStart"/>
      <w:r w:rsidRPr="00C34F89">
        <w:t>Dabić</w:t>
      </w:r>
      <w:proofErr w:type="spellEnd"/>
      <w:r w:rsidRPr="00C34F89">
        <w:t xml:space="preserve">, M., Caputo, A., &amp; Pellegrini, M. M. (2023). Coopetition and innovation: A review and research agenda. </w:t>
      </w:r>
      <w:proofErr w:type="spellStart"/>
      <w:r w:rsidRPr="00C34F89">
        <w:rPr>
          <w:i/>
        </w:rPr>
        <w:t>Technovation</w:t>
      </w:r>
      <w:proofErr w:type="spellEnd"/>
      <w:r w:rsidRPr="00C34F89">
        <w:t xml:space="preserve">, </w:t>
      </w:r>
      <w:r w:rsidRPr="00C34F89">
        <w:rPr>
          <w:i/>
        </w:rPr>
        <w:t>122</w:t>
      </w:r>
      <w:r w:rsidRPr="00C34F89">
        <w:t>, 102624.</w:t>
      </w:r>
    </w:p>
    <w:p w14:paraId="00000158" w14:textId="77777777" w:rsidR="00E84757" w:rsidRPr="00C34F89" w:rsidRDefault="007661A5">
      <w:pPr>
        <w:spacing w:after="240" w:line="240" w:lineRule="auto"/>
        <w:jc w:val="both"/>
      </w:pPr>
      <w:r w:rsidRPr="00C34F89">
        <w:t xml:space="preserve">Crain-Dorough, M., &amp; Elde, A. C. (2021). Absorptive Capacity as a Means of Understanding and Addressing the Disconnects Between Research and Practice. </w:t>
      </w:r>
      <w:r w:rsidRPr="00C34F89">
        <w:rPr>
          <w:i/>
        </w:rPr>
        <w:t>Review of Research in Education</w:t>
      </w:r>
      <w:r w:rsidRPr="00C34F89">
        <w:t xml:space="preserve">, 45(1), 67-100. </w:t>
      </w:r>
      <w:hyperlink r:id="rId23">
        <w:r w:rsidRPr="00C34F89">
          <w:rPr>
            <w:u w:val="single"/>
          </w:rPr>
          <w:t>https://doi.org/10.3102/0091732X21990614</w:t>
        </w:r>
      </w:hyperlink>
      <w:r w:rsidRPr="00C34F89">
        <w:t xml:space="preserve"> </w:t>
      </w:r>
    </w:p>
    <w:p w14:paraId="00000159" w14:textId="77777777" w:rsidR="00E84757" w:rsidRPr="00C34F89" w:rsidRDefault="007661A5">
      <w:pPr>
        <w:spacing w:line="240" w:lineRule="auto"/>
      </w:pPr>
      <w:r w:rsidRPr="00C34F89">
        <w:t xml:space="preserve">Crompton, H., &amp; Burke, D. (2020). Mobile learning and pedagogical opportunities: A configurative systematic review of PreK-12 research using the SAMR framework. </w:t>
      </w:r>
      <w:r w:rsidRPr="00C34F89">
        <w:rPr>
          <w:i/>
        </w:rPr>
        <w:t>Computers &amp; Education</w:t>
      </w:r>
      <w:r w:rsidRPr="00C34F89">
        <w:t xml:space="preserve">, </w:t>
      </w:r>
      <w:r w:rsidRPr="00C34F89">
        <w:rPr>
          <w:i/>
        </w:rPr>
        <w:t>156</w:t>
      </w:r>
      <w:r w:rsidRPr="00C34F89">
        <w:t>, 103945.</w:t>
      </w:r>
    </w:p>
    <w:p w14:paraId="0000015A" w14:textId="77777777" w:rsidR="00E84757" w:rsidRPr="00C34F89" w:rsidRDefault="00E84757">
      <w:pPr>
        <w:spacing w:line="240" w:lineRule="auto"/>
      </w:pPr>
    </w:p>
    <w:p w14:paraId="0000015B" w14:textId="77777777" w:rsidR="00E84757" w:rsidRPr="00C34F89" w:rsidRDefault="007661A5">
      <w:pPr>
        <w:spacing w:line="240" w:lineRule="auto"/>
      </w:pPr>
      <w:proofErr w:type="spellStart"/>
      <w:r w:rsidRPr="00C34F89">
        <w:t>Da’as</w:t>
      </w:r>
      <w:proofErr w:type="spellEnd"/>
      <w:r w:rsidRPr="00C34F89">
        <w:t xml:space="preserve">, R. A., &amp; </w:t>
      </w:r>
      <w:proofErr w:type="spellStart"/>
      <w:r w:rsidRPr="00C34F89">
        <w:t>Qadach</w:t>
      </w:r>
      <w:proofErr w:type="spellEnd"/>
      <w:r w:rsidRPr="00C34F89">
        <w:t xml:space="preserve">, M. (2020). Examining organizational absorptive capacity construct: A validation study in the school context. </w:t>
      </w:r>
      <w:r w:rsidRPr="00C34F89">
        <w:rPr>
          <w:i/>
        </w:rPr>
        <w:t>Leadership and Policy in Schools</w:t>
      </w:r>
      <w:r w:rsidRPr="00C34F89">
        <w:t xml:space="preserve">, </w:t>
      </w:r>
      <w:r w:rsidRPr="00C34F89">
        <w:rPr>
          <w:i/>
        </w:rPr>
        <w:t>19</w:t>
      </w:r>
      <w:r w:rsidRPr="00C34F89">
        <w:t>(3), 327-345.</w:t>
      </w:r>
    </w:p>
    <w:p w14:paraId="0000015C" w14:textId="77777777" w:rsidR="00E84757" w:rsidRPr="00C34F89" w:rsidRDefault="00E84757">
      <w:pPr>
        <w:spacing w:line="240" w:lineRule="auto"/>
      </w:pPr>
    </w:p>
    <w:p w14:paraId="0000015D" w14:textId="77777777" w:rsidR="00E84757" w:rsidRPr="00C34F89" w:rsidRDefault="007661A5">
      <w:pPr>
        <w:spacing w:line="240" w:lineRule="auto"/>
      </w:pPr>
      <w:proofErr w:type="spellStart"/>
      <w:r w:rsidRPr="00C34F89">
        <w:t>Da’as</w:t>
      </w:r>
      <w:proofErr w:type="spellEnd"/>
      <w:r w:rsidRPr="00C34F89">
        <w:t xml:space="preserve">, R. A., Schechter, C., &amp; </w:t>
      </w:r>
      <w:proofErr w:type="spellStart"/>
      <w:r w:rsidRPr="00C34F89">
        <w:t>Qadach</w:t>
      </w:r>
      <w:proofErr w:type="spellEnd"/>
      <w:r w:rsidRPr="00C34F89">
        <w:t xml:space="preserve">, M. (2020). From principal cognitive complexity to teacher intent to leave: Exploring the mediating role of school absorptive capacity and teacher commitment. </w:t>
      </w:r>
      <w:r w:rsidRPr="00C34F89">
        <w:rPr>
          <w:i/>
        </w:rPr>
        <w:t>Journal of educational administration</w:t>
      </w:r>
      <w:r w:rsidRPr="00C34F89">
        <w:t xml:space="preserve">, </w:t>
      </w:r>
      <w:r w:rsidRPr="00C34F89">
        <w:rPr>
          <w:i/>
        </w:rPr>
        <w:t>58</w:t>
      </w:r>
      <w:r w:rsidRPr="00C34F89">
        <w:t>(2), 227-245.</w:t>
      </w:r>
    </w:p>
    <w:p w14:paraId="0000015E" w14:textId="77777777" w:rsidR="00E84757" w:rsidRPr="00C34F89" w:rsidRDefault="00E84757">
      <w:pPr>
        <w:spacing w:line="240" w:lineRule="auto"/>
      </w:pPr>
    </w:p>
    <w:p w14:paraId="0000015F" w14:textId="77777777" w:rsidR="00E84757" w:rsidRPr="00C34F89" w:rsidRDefault="007661A5">
      <w:pPr>
        <w:spacing w:after="240" w:line="240" w:lineRule="auto"/>
      </w:pPr>
      <w:r w:rsidRPr="00C34F89">
        <w:t xml:space="preserve">Darling-Hammond, L., Hyler, M. E., &amp; Gardner, M., (2017). Effective Teacher Professional Development. Learning Policy Institute.  </w:t>
      </w:r>
      <w:hyperlink r:id="rId24">
        <w:r w:rsidRPr="00C34F89">
          <w:rPr>
            <w:u w:val="single"/>
          </w:rPr>
          <w:t>https://learningpolicyinstitute.org/product/teacher-prof-dev</w:t>
        </w:r>
      </w:hyperlink>
      <w:r w:rsidRPr="00C34F89">
        <w:t>.</w:t>
      </w:r>
    </w:p>
    <w:p w14:paraId="00000160" w14:textId="77777777" w:rsidR="00E84757" w:rsidRPr="00C34F89" w:rsidRDefault="007661A5">
      <w:pPr>
        <w:spacing w:line="240" w:lineRule="auto"/>
      </w:pPr>
      <w:r w:rsidRPr="00C34F89">
        <w:lastRenderedPageBreak/>
        <w:t xml:space="preserve">Da Silva Meireles, R., Azevedo, A., &amp; Boaventura, J. (2022) Open innovation and collaboration: A systematic literature review, </w:t>
      </w:r>
      <w:r w:rsidRPr="00C34F89">
        <w:rPr>
          <w:i/>
        </w:rPr>
        <w:t>Journal of Engineering and Technology Management</w:t>
      </w:r>
      <w:r w:rsidRPr="00C34F89">
        <w:t xml:space="preserve">, 65, </w:t>
      </w:r>
      <w:hyperlink r:id="rId25">
        <w:r w:rsidRPr="00C34F89">
          <w:rPr>
            <w:u w:val="single"/>
          </w:rPr>
          <w:t>https://doi.org/10.1016/j.jengtecman.2022.101702</w:t>
        </w:r>
      </w:hyperlink>
    </w:p>
    <w:p w14:paraId="00000161" w14:textId="77777777" w:rsidR="00E84757" w:rsidRPr="00C34F89" w:rsidRDefault="00E84757">
      <w:pPr>
        <w:spacing w:line="240" w:lineRule="auto"/>
      </w:pPr>
    </w:p>
    <w:p w14:paraId="00000162" w14:textId="77777777" w:rsidR="00E84757" w:rsidRPr="00C34F89" w:rsidRDefault="007661A5">
      <w:r w:rsidRPr="00C34F89">
        <w:t xml:space="preserve">Dexter, S., &amp; Richardson, J. W. (2020). What does technology integration research tell us about the leadership of technology? </w:t>
      </w:r>
      <w:r w:rsidRPr="00C34F89">
        <w:rPr>
          <w:i/>
        </w:rPr>
        <w:t>Journal of Research on Technology in Education</w:t>
      </w:r>
      <w:r w:rsidRPr="00C34F89">
        <w:t>, 52(1), 17–36.</w:t>
      </w:r>
    </w:p>
    <w:p w14:paraId="00000163" w14:textId="77777777" w:rsidR="00E84757" w:rsidRPr="00C34F89" w:rsidRDefault="007661A5">
      <w:pPr>
        <w:spacing w:line="240" w:lineRule="auto"/>
      </w:pPr>
      <w:r w:rsidRPr="00C34F89">
        <w:t xml:space="preserve"> </w:t>
      </w:r>
    </w:p>
    <w:p w14:paraId="00000164" w14:textId="77777777" w:rsidR="00E84757" w:rsidRPr="00C34F89" w:rsidRDefault="007661A5">
      <w:pPr>
        <w:spacing w:line="240" w:lineRule="auto"/>
      </w:pPr>
      <w:r w:rsidRPr="00C34F89">
        <w:t xml:space="preserve">Ertmer, P. A. (1999). Addressing first-and second-order barriers to change: Strategies for technology integration. </w:t>
      </w:r>
      <w:r w:rsidRPr="00C34F89">
        <w:rPr>
          <w:i/>
        </w:rPr>
        <w:t>Educational technology research and development</w:t>
      </w:r>
      <w:r w:rsidRPr="00C34F89">
        <w:t xml:space="preserve">, </w:t>
      </w:r>
      <w:r w:rsidRPr="00C34F89">
        <w:rPr>
          <w:i/>
        </w:rPr>
        <w:t>47</w:t>
      </w:r>
      <w:r w:rsidRPr="00C34F89">
        <w:t>(4), 47-61.</w:t>
      </w:r>
    </w:p>
    <w:p w14:paraId="00000165" w14:textId="77777777" w:rsidR="00E84757" w:rsidRPr="00C34F89" w:rsidRDefault="00E84757">
      <w:pPr>
        <w:spacing w:line="240" w:lineRule="auto"/>
      </w:pPr>
    </w:p>
    <w:p w14:paraId="00000166" w14:textId="77777777" w:rsidR="00E84757" w:rsidRPr="00C34F89" w:rsidRDefault="007661A5">
      <w:pPr>
        <w:spacing w:after="240" w:line="240" w:lineRule="auto"/>
      </w:pPr>
      <w:r w:rsidRPr="00C34F89">
        <w:t xml:space="preserve">European Commission (2023). </w:t>
      </w:r>
      <w:r w:rsidRPr="00C34F89">
        <w:rPr>
          <w:i/>
        </w:rPr>
        <w:t>Boosting Digital Skills of young pupils, in particular girls</w:t>
      </w:r>
      <w:r w:rsidRPr="00C34F89">
        <w:t xml:space="preserve">. </w:t>
      </w:r>
      <w:hyperlink r:id="rId26">
        <w:r w:rsidRPr="00C34F89">
          <w:rPr>
            <w:u w:val="single"/>
          </w:rPr>
          <w:t>https://hadea.ec.europa.eu/calls-proposals/boosting-digital-skills-young-pupils-particular-girls_en</w:t>
        </w:r>
      </w:hyperlink>
    </w:p>
    <w:p w14:paraId="00000167" w14:textId="77777777" w:rsidR="00E84757" w:rsidRPr="00C34F89" w:rsidRDefault="007661A5">
      <w:pPr>
        <w:spacing w:after="240" w:line="240" w:lineRule="auto"/>
        <w:jc w:val="both"/>
      </w:pPr>
      <w:r w:rsidRPr="00C34F89">
        <w:t xml:space="preserve">Farrell, C. C., &amp; Coburn, C. E. (2016). Absorptive capacity: A conceptual framework for understanding district central office learning. </w:t>
      </w:r>
      <w:r w:rsidRPr="00C34F89">
        <w:rPr>
          <w:i/>
        </w:rPr>
        <w:t>Journal of Educational Change</w:t>
      </w:r>
      <w:r w:rsidRPr="00C34F89">
        <w:t xml:space="preserve">, 18,135–159. </w:t>
      </w:r>
      <w:hyperlink r:id="rId27">
        <w:r w:rsidRPr="00C34F89">
          <w:rPr>
            <w:u w:val="single"/>
          </w:rPr>
          <w:t>https://doi.org/10.1007/s10833-016-9291-7</w:t>
        </w:r>
      </w:hyperlink>
      <w:r w:rsidRPr="00C34F89">
        <w:t xml:space="preserve"> </w:t>
      </w:r>
    </w:p>
    <w:p w14:paraId="00000168" w14:textId="77777777" w:rsidR="00E84757" w:rsidRPr="00C34F89" w:rsidRDefault="007661A5">
      <w:pPr>
        <w:spacing w:after="240" w:line="240" w:lineRule="auto"/>
        <w:jc w:val="both"/>
        <w:rPr>
          <w:u w:val="single"/>
        </w:rPr>
      </w:pPr>
      <w:r w:rsidRPr="00C34F89">
        <w:t xml:space="preserve">Farrell, C. C., Coburn, C. E., &amp; Chong, S. (2019). Under what conditions do school districts learn from external partners? The role of absorptive capacity. </w:t>
      </w:r>
      <w:r w:rsidRPr="00C34F89">
        <w:rPr>
          <w:i/>
        </w:rPr>
        <w:t>American Educational Research Journal</w:t>
      </w:r>
      <w:r w:rsidRPr="00C34F89">
        <w:t xml:space="preserve">, 56(3), 955-994. </w:t>
      </w:r>
      <w:hyperlink r:id="rId28">
        <w:r w:rsidRPr="00C34F89">
          <w:rPr>
            <w:u w:val="single"/>
          </w:rPr>
          <w:t>https://doi.org/10.3102/0002831218808219</w:t>
        </w:r>
      </w:hyperlink>
    </w:p>
    <w:p w14:paraId="00000169" w14:textId="77777777" w:rsidR="00E84757" w:rsidRPr="00C34F89" w:rsidRDefault="007661A5">
      <w:pPr>
        <w:spacing w:after="240" w:line="240" w:lineRule="auto"/>
        <w:jc w:val="both"/>
        <w:rPr>
          <w:u w:val="single"/>
        </w:rPr>
      </w:pPr>
      <w:r w:rsidRPr="00C34F89">
        <w:t>Farrell, C. C., Penuel, W. R., Allen, A., Anderson, E. R., Bohannon, A. X., Coburn, C. E., &amp;</w:t>
      </w:r>
      <w:r w:rsidRPr="00C34F89">
        <w:rPr>
          <w:u w:val="single"/>
        </w:rPr>
        <w:t xml:space="preserve"> </w:t>
      </w:r>
      <w:r w:rsidRPr="00C34F89">
        <w:t xml:space="preserve">Brown, S. L. (2022). Learning at the Boundaries of Research and Practice: A Framework for Understanding Research–Practice Partnerships. </w:t>
      </w:r>
      <w:r w:rsidRPr="00C34F89">
        <w:rPr>
          <w:i/>
        </w:rPr>
        <w:t>Educational Researcher</w:t>
      </w:r>
      <w:r w:rsidRPr="00C34F89">
        <w:t xml:space="preserve">, </w:t>
      </w:r>
      <w:r w:rsidRPr="00C34F89">
        <w:rPr>
          <w:i/>
        </w:rPr>
        <w:t>51</w:t>
      </w:r>
      <w:r w:rsidRPr="00C34F89">
        <w:t>(3), 197–208.</w:t>
      </w:r>
      <w:hyperlink r:id="rId29">
        <w:r w:rsidRPr="00C34F89">
          <w:t xml:space="preserve"> </w:t>
        </w:r>
      </w:hyperlink>
      <w:hyperlink r:id="rId30">
        <w:r w:rsidRPr="00C34F89">
          <w:rPr>
            <w:u w:val="single"/>
          </w:rPr>
          <w:t>https://doi.org/10.3102/0013189X211069073</w:t>
        </w:r>
      </w:hyperlink>
    </w:p>
    <w:p w14:paraId="0000016A" w14:textId="77777777" w:rsidR="00E84757" w:rsidRPr="00C34F89" w:rsidRDefault="007661A5">
      <w:pPr>
        <w:pBdr>
          <w:top w:val="nil"/>
          <w:left w:val="nil"/>
          <w:bottom w:val="nil"/>
          <w:right w:val="nil"/>
          <w:between w:val="nil"/>
        </w:pBdr>
        <w:spacing w:after="240" w:line="240" w:lineRule="auto"/>
        <w:jc w:val="both"/>
      </w:pPr>
      <w:r w:rsidRPr="00C34F89">
        <w:t xml:space="preserve">Fenstermacher, G. D. (1994). Chapter 1: The knower and the known: The nature of knowledge in research on teaching. </w:t>
      </w:r>
      <w:r w:rsidRPr="00C34F89">
        <w:rPr>
          <w:i/>
        </w:rPr>
        <w:t>Review of research in education</w:t>
      </w:r>
      <w:r w:rsidRPr="00C34F89">
        <w:t xml:space="preserve">, 20(1), 3-56. </w:t>
      </w:r>
      <w:hyperlink r:id="rId31">
        <w:r w:rsidRPr="00C34F89">
          <w:rPr>
            <w:color w:val="1155CC"/>
            <w:u w:val="single"/>
          </w:rPr>
          <w:t>https://doi.org/10.3102/0091732X020001003</w:t>
        </w:r>
      </w:hyperlink>
      <w:r w:rsidRPr="00C34F89">
        <w:t xml:space="preserve"> </w:t>
      </w:r>
    </w:p>
    <w:p w14:paraId="0000016B" w14:textId="77777777" w:rsidR="00E84757" w:rsidRPr="00C34F89" w:rsidRDefault="007661A5">
      <w:pPr>
        <w:spacing w:after="280" w:line="240" w:lineRule="auto"/>
      </w:pPr>
      <w:r w:rsidRPr="00C34F89">
        <w:t xml:space="preserve">Fey, C. F., Hu, T., &amp; </w:t>
      </w:r>
      <w:proofErr w:type="spellStart"/>
      <w:r w:rsidRPr="00C34F89">
        <w:t>Delios</w:t>
      </w:r>
      <w:proofErr w:type="spellEnd"/>
      <w:r w:rsidRPr="00C34F89">
        <w:t xml:space="preserve">, A. (2023). </w:t>
      </w:r>
      <w:proofErr w:type="gramStart"/>
      <w:r w:rsidRPr="00C34F89">
        <w:t>The measurement</w:t>
      </w:r>
      <w:proofErr w:type="gramEnd"/>
      <w:r w:rsidRPr="00C34F89">
        <w:t xml:space="preserve"> and communication of effect sizes in management research. </w:t>
      </w:r>
      <w:r w:rsidRPr="00C34F89">
        <w:rPr>
          <w:i/>
        </w:rPr>
        <w:t>Management and Organization Review</w:t>
      </w:r>
      <w:r w:rsidRPr="00C34F89">
        <w:t xml:space="preserve">, </w:t>
      </w:r>
      <w:r w:rsidRPr="00C34F89">
        <w:rPr>
          <w:i/>
        </w:rPr>
        <w:t>19</w:t>
      </w:r>
      <w:r w:rsidRPr="00C34F89">
        <w:t>(1), 176-197.</w:t>
      </w:r>
    </w:p>
    <w:p w14:paraId="0000016C" w14:textId="77777777" w:rsidR="00E84757" w:rsidRPr="00C34F89" w:rsidRDefault="007661A5">
      <w:pPr>
        <w:spacing w:after="240" w:line="240" w:lineRule="auto"/>
        <w:jc w:val="both"/>
        <w:rPr>
          <w:lang w:val="de-DE"/>
        </w:rPr>
      </w:pPr>
      <w:r w:rsidRPr="00C34F89">
        <w:t xml:space="preserve">Fischer-Schöneborn, S., &amp; Ehmke, T. (2023). Evaluating Boundary-Crossing Collaboration in Research-Practice Partnerships: Empirical Insights on Co-Construction, Motivation, Satisfaction, Trust, and Competence Enhancement. </w:t>
      </w:r>
      <w:r w:rsidRPr="00C34F89">
        <w:rPr>
          <w:i/>
          <w:lang w:val="de-DE"/>
        </w:rPr>
        <w:t>Studies in Educational Evaluation</w:t>
      </w:r>
      <w:r w:rsidRPr="00C34F89">
        <w:rPr>
          <w:lang w:val="de-DE"/>
        </w:rPr>
        <w:t xml:space="preserve">, 79, 101305, 1-11, </w:t>
      </w:r>
      <w:hyperlink r:id="rId32">
        <w:r w:rsidRPr="00C34F89">
          <w:rPr>
            <w:u w:val="single"/>
            <w:lang w:val="de-DE"/>
          </w:rPr>
          <w:t>https://doi.org/10.1016/j.stueduc.2023.101305</w:t>
        </w:r>
      </w:hyperlink>
      <w:r w:rsidRPr="00C34F89">
        <w:rPr>
          <w:lang w:val="de-DE"/>
        </w:rPr>
        <w:t xml:space="preserve"> </w:t>
      </w:r>
    </w:p>
    <w:p w14:paraId="0000016D" w14:textId="77777777" w:rsidR="00E84757" w:rsidRPr="00C34F89" w:rsidRDefault="007661A5">
      <w:pPr>
        <w:spacing w:after="240" w:line="240" w:lineRule="auto"/>
        <w:jc w:val="both"/>
      </w:pPr>
      <w:r w:rsidRPr="00C34F89">
        <w:rPr>
          <w:lang w:val="de-DE"/>
        </w:rPr>
        <w:t xml:space="preserve">Fischer-Schöneborn, S., Körner, D. &amp; Beuter, A. (2025). Campusschulen, Entwicklungsteams, Partnerschulnetzwerk – Zu den Herausforderungen und Erträgen von Schul-Hochschulkooperationen im Rahmen der Qualitätsoffensive Lehrerbildung [Campus </w:t>
      </w:r>
      <w:proofErr w:type="spellStart"/>
      <w:r w:rsidRPr="00C34F89">
        <w:rPr>
          <w:lang w:val="de-DE"/>
        </w:rPr>
        <w:t>schools</w:t>
      </w:r>
      <w:proofErr w:type="spellEnd"/>
      <w:r w:rsidRPr="00C34F89">
        <w:rPr>
          <w:lang w:val="de-DE"/>
        </w:rPr>
        <w:t xml:space="preserve">, </w:t>
      </w:r>
      <w:proofErr w:type="spellStart"/>
      <w:r w:rsidRPr="00C34F89">
        <w:rPr>
          <w:lang w:val="de-DE"/>
        </w:rPr>
        <w:t>development</w:t>
      </w:r>
      <w:proofErr w:type="spellEnd"/>
      <w:r w:rsidRPr="00C34F89">
        <w:rPr>
          <w:lang w:val="de-DE"/>
        </w:rPr>
        <w:t xml:space="preserve"> </w:t>
      </w:r>
      <w:proofErr w:type="spellStart"/>
      <w:r w:rsidRPr="00C34F89">
        <w:rPr>
          <w:lang w:val="de-DE"/>
        </w:rPr>
        <w:t>teams</w:t>
      </w:r>
      <w:proofErr w:type="spellEnd"/>
      <w:r w:rsidRPr="00C34F89">
        <w:rPr>
          <w:lang w:val="de-DE"/>
        </w:rPr>
        <w:t xml:space="preserve">, </w:t>
      </w:r>
      <w:proofErr w:type="spellStart"/>
      <w:r w:rsidRPr="00C34F89">
        <w:rPr>
          <w:lang w:val="de-DE"/>
        </w:rPr>
        <w:t>partner</w:t>
      </w:r>
      <w:proofErr w:type="spellEnd"/>
      <w:r w:rsidRPr="00C34F89">
        <w:rPr>
          <w:lang w:val="de-DE"/>
        </w:rPr>
        <w:t xml:space="preserve"> </w:t>
      </w:r>
      <w:proofErr w:type="spellStart"/>
      <w:r w:rsidRPr="00C34F89">
        <w:rPr>
          <w:lang w:val="de-DE"/>
        </w:rPr>
        <w:t>school</w:t>
      </w:r>
      <w:proofErr w:type="spellEnd"/>
      <w:r w:rsidRPr="00C34F89">
        <w:rPr>
          <w:lang w:val="de-DE"/>
        </w:rPr>
        <w:t xml:space="preserve"> network – On </w:t>
      </w:r>
      <w:proofErr w:type="spellStart"/>
      <w:r w:rsidRPr="00C34F89">
        <w:rPr>
          <w:lang w:val="de-DE"/>
        </w:rPr>
        <w:t>the</w:t>
      </w:r>
      <w:proofErr w:type="spellEnd"/>
      <w:r w:rsidRPr="00C34F89">
        <w:rPr>
          <w:lang w:val="de-DE"/>
        </w:rPr>
        <w:t xml:space="preserve"> </w:t>
      </w:r>
      <w:proofErr w:type="spellStart"/>
      <w:r w:rsidRPr="00C34F89">
        <w:rPr>
          <w:lang w:val="de-DE"/>
        </w:rPr>
        <w:t>challenges</w:t>
      </w:r>
      <w:proofErr w:type="spellEnd"/>
      <w:r w:rsidRPr="00C34F89">
        <w:rPr>
          <w:lang w:val="de-DE"/>
        </w:rPr>
        <w:t xml:space="preserve"> and </w:t>
      </w:r>
      <w:proofErr w:type="spellStart"/>
      <w:r w:rsidRPr="00C34F89">
        <w:rPr>
          <w:lang w:val="de-DE"/>
        </w:rPr>
        <w:t>benefits</w:t>
      </w:r>
      <w:proofErr w:type="spellEnd"/>
      <w:r w:rsidRPr="00C34F89">
        <w:rPr>
          <w:lang w:val="de-DE"/>
        </w:rPr>
        <w:t xml:space="preserve"> </w:t>
      </w:r>
      <w:proofErr w:type="spellStart"/>
      <w:r w:rsidRPr="00C34F89">
        <w:rPr>
          <w:lang w:val="de-DE"/>
        </w:rPr>
        <w:t>of</w:t>
      </w:r>
      <w:proofErr w:type="spellEnd"/>
      <w:r w:rsidRPr="00C34F89">
        <w:rPr>
          <w:lang w:val="de-DE"/>
        </w:rPr>
        <w:t xml:space="preserve"> </w:t>
      </w:r>
      <w:proofErr w:type="spellStart"/>
      <w:r w:rsidRPr="00C34F89">
        <w:rPr>
          <w:lang w:val="de-DE"/>
        </w:rPr>
        <w:t>university</w:t>
      </w:r>
      <w:proofErr w:type="spellEnd"/>
      <w:r w:rsidRPr="00C34F89">
        <w:rPr>
          <w:lang w:val="de-DE"/>
        </w:rPr>
        <w:t xml:space="preserve">-school </w:t>
      </w:r>
      <w:proofErr w:type="spellStart"/>
      <w:r w:rsidRPr="00C34F89">
        <w:rPr>
          <w:lang w:val="de-DE"/>
        </w:rPr>
        <w:t>cooperation</w:t>
      </w:r>
      <w:proofErr w:type="spellEnd"/>
      <w:r w:rsidRPr="00C34F89">
        <w:rPr>
          <w:lang w:val="de-DE"/>
        </w:rPr>
        <w:t xml:space="preserve"> </w:t>
      </w:r>
      <w:proofErr w:type="spellStart"/>
      <w:r w:rsidRPr="00C34F89">
        <w:rPr>
          <w:lang w:val="de-DE"/>
        </w:rPr>
        <w:t>as</w:t>
      </w:r>
      <w:proofErr w:type="spellEnd"/>
      <w:r w:rsidRPr="00C34F89">
        <w:rPr>
          <w:lang w:val="de-DE"/>
        </w:rPr>
        <w:t xml:space="preserve"> </w:t>
      </w:r>
      <w:proofErr w:type="spellStart"/>
      <w:r w:rsidRPr="00C34F89">
        <w:rPr>
          <w:lang w:val="de-DE"/>
        </w:rPr>
        <w:t>part</w:t>
      </w:r>
      <w:proofErr w:type="spellEnd"/>
      <w:r w:rsidRPr="00C34F89">
        <w:rPr>
          <w:lang w:val="de-DE"/>
        </w:rPr>
        <w:t xml:space="preserve"> </w:t>
      </w:r>
      <w:proofErr w:type="spellStart"/>
      <w:r w:rsidRPr="00C34F89">
        <w:rPr>
          <w:lang w:val="de-DE"/>
        </w:rPr>
        <w:t>of</w:t>
      </w:r>
      <w:proofErr w:type="spellEnd"/>
      <w:r w:rsidRPr="00C34F89">
        <w:rPr>
          <w:lang w:val="de-DE"/>
        </w:rPr>
        <w:t xml:space="preserve"> </w:t>
      </w:r>
      <w:proofErr w:type="spellStart"/>
      <w:r w:rsidRPr="00C34F89">
        <w:rPr>
          <w:lang w:val="de-DE"/>
        </w:rPr>
        <w:t>the</w:t>
      </w:r>
      <w:proofErr w:type="spellEnd"/>
      <w:r w:rsidRPr="00C34F89">
        <w:rPr>
          <w:lang w:val="de-DE"/>
        </w:rPr>
        <w:t xml:space="preserve"> Quality Initiative Teacher Education]. </w:t>
      </w:r>
      <w:proofErr w:type="spellStart"/>
      <w:r w:rsidRPr="00C34F89">
        <w:rPr>
          <w:i/>
        </w:rPr>
        <w:t>Beiträge</w:t>
      </w:r>
      <w:proofErr w:type="spellEnd"/>
      <w:r w:rsidRPr="00C34F89">
        <w:rPr>
          <w:i/>
        </w:rPr>
        <w:t xml:space="preserve"> </w:t>
      </w:r>
      <w:proofErr w:type="spellStart"/>
      <w:r w:rsidRPr="00C34F89">
        <w:rPr>
          <w:i/>
        </w:rPr>
        <w:t>zur</w:t>
      </w:r>
      <w:proofErr w:type="spellEnd"/>
      <w:r w:rsidRPr="00C34F89">
        <w:rPr>
          <w:i/>
        </w:rPr>
        <w:t xml:space="preserve"> </w:t>
      </w:r>
      <w:proofErr w:type="spellStart"/>
      <w:r w:rsidRPr="00C34F89">
        <w:rPr>
          <w:i/>
        </w:rPr>
        <w:t>Lehrerinnen</w:t>
      </w:r>
      <w:proofErr w:type="spellEnd"/>
      <w:r w:rsidRPr="00C34F89">
        <w:rPr>
          <w:i/>
        </w:rPr>
        <w:t xml:space="preserve">- und </w:t>
      </w:r>
      <w:proofErr w:type="spellStart"/>
      <w:r w:rsidRPr="00C34F89">
        <w:rPr>
          <w:i/>
        </w:rPr>
        <w:t>Lehrerbildung</w:t>
      </w:r>
      <w:proofErr w:type="spellEnd"/>
      <w:r w:rsidRPr="00C34F89">
        <w:rPr>
          <w:i/>
        </w:rPr>
        <w:t xml:space="preserve"> (</w:t>
      </w:r>
      <w:proofErr w:type="spellStart"/>
      <w:r w:rsidRPr="00C34F89">
        <w:rPr>
          <w:i/>
        </w:rPr>
        <w:t>BzL</w:t>
      </w:r>
      <w:proofErr w:type="spellEnd"/>
      <w:r w:rsidRPr="00C34F89">
        <w:rPr>
          <w:i/>
        </w:rPr>
        <w:t>).</w:t>
      </w:r>
    </w:p>
    <w:p w14:paraId="0000016E" w14:textId="77777777" w:rsidR="00E84757" w:rsidRPr="00C34F89" w:rsidRDefault="007661A5">
      <w:pPr>
        <w:spacing w:before="240" w:after="240" w:line="240" w:lineRule="auto"/>
        <w:jc w:val="both"/>
      </w:pPr>
      <w:r w:rsidRPr="00C34F89">
        <w:t>Flyvbjerg, B. (2001). Making Social Science Matter: Why social inquiry fails and how it can succeed again. Trans. Sampson, S. Cambridge: Cambridge University Press.</w:t>
      </w:r>
    </w:p>
    <w:p w14:paraId="0000016F" w14:textId="77777777" w:rsidR="00E84757" w:rsidRPr="00C34F89" w:rsidRDefault="007661A5">
      <w:pPr>
        <w:spacing w:line="240" w:lineRule="auto"/>
        <w:jc w:val="both"/>
      </w:pPr>
      <w:proofErr w:type="spellStart"/>
      <w:r w:rsidRPr="00C34F89">
        <w:t>Fraillon</w:t>
      </w:r>
      <w:proofErr w:type="spellEnd"/>
      <w:r w:rsidRPr="00C34F89">
        <w:t xml:space="preserve">, J., Ainley, J., Schulz, W., Friedman, T., &amp; Duckworth, D. (2019). </w:t>
      </w:r>
      <w:r w:rsidRPr="00C34F89">
        <w:rPr>
          <w:i/>
        </w:rPr>
        <w:t>IEA international computer and information literacy Study 2018 assessment framework</w:t>
      </w:r>
      <w:r w:rsidRPr="00C34F89">
        <w:t>. IEA</w:t>
      </w:r>
    </w:p>
    <w:p w14:paraId="00000170" w14:textId="77777777" w:rsidR="00E84757" w:rsidRPr="00C34F89" w:rsidRDefault="00E84757">
      <w:pPr>
        <w:spacing w:line="240" w:lineRule="auto"/>
        <w:jc w:val="both"/>
        <w:rPr>
          <w:u w:val="single"/>
        </w:rPr>
      </w:pPr>
    </w:p>
    <w:p w14:paraId="00000171" w14:textId="77777777" w:rsidR="00E84757" w:rsidRPr="00C34F89" w:rsidRDefault="007661A5">
      <w:pPr>
        <w:pBdr>
          <w:top w:val="nil"/>
          <w:left w:val="nil"/>
          <w:bottom w:val="nil"/>
          <w:right w:val="nil"/>
          <w:between w:val="nil"/>
        </w:pBdr>
        <w:spacing w:line="240" w:lineRule="auto"/>
      </w:pPr>
      <w:r w:rsidRPr="00C34F89">
        <w:t xml:space="preserve">Fullan, M. (2002). The role of leadership in the promotion of knowledge management in schools. </w:t>
      </w:r>
      <w:r w:rsidRPr="00C34F89">
        <w:rPr>
          <w:i/>
        </w:rPr>
        <w:t>Teachers and Teaching,</w:t>
      </w:r>
      <w:r w:rsidRPr="00C34F89">
        <w:t xml:space="preserve"> </w:t>
      </w:r>
      <w:r w:rsidRPr="00C34F89">
        <w:rPr>
          <w:i/>
        </w:rPr>
        <w:t>8</w:t>
      </w:r>
      <w:r w:rsidRPr="00C34F89">
        <w:t>(3), 409–419.</w:t>
      </w:r>
    </w:p>
    <w:p w14:paraId="00000172" w14:textId="77777777" w:rsidR="00E84757" w:rsidRPr="00C34F89" w:rsidRDefault="00E84757">
      <w:pPr>
        <w:pBdr>
          <w:top w:val="nil"/>
          <w:left w:val="nil"/>
          <w:bottom w:val="nil"/>
          <w:right w:val="nil"/>
          <w:between w:val="nil"/>
        </w:pBdr>
        <w:spacing w:line="240" w:lineRule="auto"/>
      </w:pPr>
    </w:p>
    <w:p w14:paraId="00000173" w14:textId="77777777" w:rsidR="00E84757" w:rsidRPr="00C34F89" w:rsidRDefault="00183BFD">
      <w:pPr>
        <w:pBdr>
          <w:top w:val="nil"/>
          <w:left w:val="nil"/>
          <w:bottom w:val="nil"/>
          <w:right w:val="nil"/>
          <w:between w:val="nil"/>
        </w:pBdr>
        <w:spacing w:line="240" w:lineRule="auto"/>
      </w:pPr>
      <w:sdt>
        <w:sdtPr>
          <w:tag w:val="goog_rdk_0"/>
          <w:id w:val="-1134104318"/>
        </w:sdtPr>
        <w:sdtEndPr/>
        <w:sdtContent/>
      </w:sdt>
      <w:r w:rsidR="007661A5" w:rsidRPr="00C34F89">
        <w:t xml:space="preserve">Gilster, P. (1997). </w:t>
      </w:r>
      <w:r w:rsidR="007661A5" w:rsidRPr="00C34F89">
        <w:rPr>
          <w:i/>
        </w:rPr>
        <w:t>Digital literacy</w:t>
      </w:r>
      <w:r w:rsidR="007661A5" w:rsidRPr="00C34F89">
        <w:t>. Wiley.</w:t>
      </w:r>
    </w:p>
    <w:p w14:paraId="00000174" w14:textId="77777777" w:rsidR="00E84757" w:rsidRPr="00C34F89" w:rsidRDefault="00E84757">
      <w:pPr>
        <w:pBdr>
          <w:top w:val="nil"/>
          <w:left w:val="nil"/>
          <w:bottom w:val="nil"/>
          <w:right w:val="nil"/>
          <w:between w:val="nil"/>
        </w:pBdr>
        <w:spacing w:line="240" w:lineRule="auto"/>
      </w:pPr>
    </w:p>
    <w:p w14:paraId="00000175" w14:textId="77777777" w:rsidR="00E84757" w:rsidRPr="00C34F89" w:rsidRDefault="007661A5">
      <w:pPr>
        <w:rPr>
          <w:sz w:val="24"/>
          <w:szCs w:val="24"/>
        </w:rPr>
      </w:pPr>
      <w:r w:rsidRPr="00C34F89">
        <w:t xml:space="preserve">Grewal, R., Cote, J. A., &amp; Baumgartner, H. (2004). Multicollinearity and measurement error in structural equation models: Implications for theory testing. </w:t>
      </w:r>
      <w:r w:rsidRPr="00C34F89">
        <w:rPr>
          <w:i/>
        </w:rPr>
        <w:t>Marketing science</w:t>
      </w:r>
      <w:r w:rsidRPr="00C34F89">
        <w:t xml:space="preserve">, </w:t>
      </w:r>
      <w:r w:rsidRPr="00C34F89">
        <w:rPr>
          <w:i/>
        </w:rPr>
        <w:t>23</w:t>
      </w:r>
      <w:r w:rsidRPr="00C34F89">
        <w:t>(4), 519-529.</w:t>
      </w:r>
    </w:p>
    <w:p w14:paraId="00000176" w14:textId="77777777" w:rsidR="00E84757" w:rsidRPr="00C34F89" w:rsidRDefault="00E84757">
      <w:pPr>
        <w:pBdr>
          <w:top w:val="nil"/>
          <w:left w:val="nil"/>
          <w:bottom w:val="nil"/>
          <w:right w:val="nil"/>
          <w:between w:val="nil"/>
        </w:pBdr>
        <w:spacing w:line="240" w:lineRule="auto"/>
      </w:pPr>
    </w:p>
    <w:p w14:paraId="00000177" w14:textId="77777777" w:rsidR="00E84757" w:rsidRPr="00C34F89" w:rsidRDefault="007661A5">
      <w:pPr>
        <w:pBdr>
          <w:top w:val="nil"/>
          <w:left w:val="nil"/>
          <w:bottom w:val="nil"/>
          <w:right w:val="nil"/>
          <w:between w:val="nil"/>
        </w:pBdr>
        <w:spacing w:line="240" w:lineRule="auto"/>
      </w:pPr>
      <w:r w:rsidRPr="00C34F89">
        <w:t xml:space="preserve">Hamilton, E. R., Rosenberg, J. M., &amp; </w:t>
      </w:r>
      <w:proofErr w:type="spellStart"/>
      <w:r w:rsidRPr="00C34F89">
        <w:t>Akcaoglu</w:t>
      </w:r>
      <w:proofErr w:type="spellEnd"/>
      <w:r w:rsidRPr="00C34F89">
        <w:t xml:space="preserve">, M. (2016). The substitution augmentation modification redefinition (SAMR) model: A critical review and suggestions for its use. </w:t>
      </w:r>
      <w:proofErr w:type="spellStart"/>
      <w:r w:rsidRPr="00C34F89">
        <w:rPr>
          <w:i/>
        </w:rPr>
        <w:t>TechTrends</w:t>
      </w:r>
      <w:proofErr w:type="spellEnd"/>
      <w:r w:rsidRPr="00C34F89">
        <w:rPr>
          <w:i/>
        </w:rPr>
        <w:t>,</w:t>
      </w:r>
      <w:r w:rsidRPr="00C34F89">
        <w:t xml:space="preserve"> </w:t>
      </w:r>
      <w:r w:rsidRPr="00C34F89">
        <w:rPr>
          <w:i/>
        </w:rPr>
        <w:t>60</w:t>
      </w:r>
      <w:r w:rsidRPr="00C34F89">
        <w:t>(5), 433–441.</w:t>
      </w:r>
    </w:p>
    <w:p w14:paraId="00000178" w14:textId="77777777" w:rsidR="00E84757" w:rsidRPr="00C34F89" w:rsidRDefault="00E84757"/>
    <w:p w14:paraId="00000179" w14:textId="77777777" w:rsidR="00E84757" w:rsidRPr="00C34F89" w:rsidRDefault="007661A5">
      <w:r w:rsidRPr="00C34F89">
        <w:t xml:space="preserve">Hakkarainen, K. (2009). A knowledge-practice perspective on technology-mediated learning. </w:t>
      </w:r>
      <w:r w:rsidRPr="00C34F89">
        <w:rPr>
          <w:i/>
        </w:rPr>
        <w:t>International Journal of Computer-Supported Collaborative Learning</w:t>
      </w:r>
      <w:r w:rsidRPr="00C34F89">
        <w:t xml:space="preserve">, </w:t>
      </w:r>
      <w:r w:rsidRPr="00C34F89">
        <w:rPr>
          <w:i/>
        </w:rPr>
        <w:t>4</w:t>
      </w:r>
      <w:r w:rsidRPr="00C34F89">
        <w:t xml:space="preserve">, 213-231. </w:t>
      </w:r>
      <w:hyperlink r:id="rId33">
        <w:r w:rsidRPr="00C34F89">
          <w:rPr>
            <w:color w:val="1155CC"/>
            <w:u w:val="single"/>
          </w:rPr>
          <w:t>https://doi.org/10.1007/s11412-009-9064-x</w:t>
        </w:r>
      </w:hyperlink>
      <w:r w:rsidRPr="00C34F89">
        <w:t xml:space="preserve"> </w:t>
      </w:r>
    </w:p>
    <w:p w14:paraId="0000017A" w14:textId="77777777" w:rsidR="00E84757" w:rsidRPr="00C34F89" w:rsidRDefault="00E84757"/>
    <w:p w14:paraId="0000017B" w14:textId="77777777" w:rsidR="00E84757" w:rsidRPr="00C34F89" w:rsidRDefault="007661A5">
      <w:pPr>
        <w:pBdr>
          <w:top w:val="nil"/>
          <w:left w:val="nil"/>
          <w:bottom w:val="nil"/>
          <w:right w:val="nil"/>
          <w:between w:val="nil"/>
        </w:pBdr>
        <w:spacing w:line="240" w:lineRule="auto"/>
      </w:pPr>
      <w:r w:rsidRPr="00C34F89">
        <w:t xml:space="preserve">Harvey, G., Skelcher, C., Spencer, E., Jas, P., &amp; Walshe, K. (2009). Absorptive Capacity in a Non-Market Environment: A knowledge-based approach to </w:t>
      </w:r>
      <w:proofErr w:type="spellStart"/>
      <w:r w:rsidRPr="00C34F89">
        <w:t>analysing</w:t>
      </w:r>
      <w:proofErr w:type="spellEnd"/>
      <w:r w:rsidRPr="00C34F89">
        <w:t xml:space="preserve"> the performance of sector organizations. </w:t>
      </w:r>
      <w:r w:rsidRPr="00C34F89">
        <w:rPr>
          <w:i/>
        </w:rPr>
        <w:t>Public Management Review</w:t>
      </w:r>
      <w:r w:rsidRPr="00C34F89">
        <w:t xml:space="preserve">, </w:t>
      </w:r>
      <w:r w:rsidRPr="00C34F89">
        <w:rPr>
          <w:i/>
        </w:rPr>
        <w:t>12</w:t>
      </w:r>
      <w:r w:rsidRPr="00C34F89">
        <w:t xml:space="preserve">(1), 77–97. </w:t>
      </w:r>
      <w:hyperlink r:id="rId34">
        <w:r w:rsidRPr="00C34F89">
          <w:rPr>
            <w:u w:val="single"/>
          </w:rPr>
          <w:t>https://doi.org/10.1080/14719030902817923</w:t>
        </w:r>
      </w:hyperlink>
    </w:p>
    <w:p w14:paraId="0000017C" w14:textId="77777777" w:rsidR="00E84757" w:rsidRPr="00C34F89" w:rsidRDefault="00E84757">
      <w:pPr>
        <w:pBdr>
          <w:top w:val="nil"/>
          <w:left w:val="nil"/>
          <w:bottom w:val="nil"/>
          <w:right w:val="nil"/>
          <w:between w:val="nil"/>
        </w:pBdr>
        <w:spacing w:line="240" w:lineRule="auto"/>
      </w:pPr>
    </w:p>
    <w:p w14:paraId="0000017D" w14:textId="77777777" w:rsidR="00E84757" w:rsidRPr="00C34F89" w:rsidRDefault="007661A5">
      <w:pPr>
        <w:spacing w:after="240" w:line="240" w:lineRule="auto"/>
        <w:jc w:val="both"/>
        <w:rPr>
          <w:u w:val="single"/>
        </w:rPr>
      </w:pPr>
      <w:r w:rsidRPr="00C34F89">
        <w:t xml:space="preserve">Harvey, G., Jas, P., Walshe, K., &amp; Skelcher, C. (2011). Absorptive capacity: how </w:t>
      </w:r>
      <w:proofErr w:type="spellStart"/>
      <w:r w:rsidRPr="00C34F89">
        <w:t>organisations</w:t>
      </w:r>
      <w:proofErr w:type="spellEnd"/>
      <w:r w:rsidRPr="00C34F89">
        <w:t xml:space="preserve"> assimilate and apply knowledge to improve performance. In: K. Walshe; G. Harvey &amp; P. Jas (Eds.). </w:t>
      </w:r>
      <w:r w:rsidRPr="00C34F89">
        <w:rPr>
          <w:i/>
        </w:rPr>
        <w:t>Connecting Knowledge and Performance in Public Services: From Knowing to Doing</w:t>
      </w:r>
      <w:r w:rsidRPr="00C34F89">
        <w:t xml:space="preserve">. Cambridge University Press; pp. 226-250. </w:t>
      </w:r>
      <w:hyperlink r:id="rId35">
        <w:r w:rsidRPr="00C34F89">
          <w:rPr>
            <w:u w:val="single"/>
          </w:rPr>
          <w:t>https://doi.org/10.1017/CBO9780511762000.012</w:t>
        </w:r>
      </w:hyperlink>
    </w:p>
    <w:p w14:paraId="0000017E" w14:textId="77777777" w:rsidR="00E84757" w:rsidRPr="00C34F89" w:rsidRDefault="007661A5">
      <w:pPr>
        <w:spacing w:line="240" w:lineRule="auto"/>
      </w:pPr>
      <w:r w:rsidRPr="00C34F89">
        <w:t xml:space="preserve">Hayes, A. F. (2018). Partial, conditional, and moderated </w:t>
      </w:r>
      <w:proofErr w:type="spellStart"/>
      <w:proofErr w:type="gramStart"/>
      <w:r w:rsidRPr="00C34F89">
        <w:t>moderated</w:t>
      </w:r>
      <w:proofErr w:type="spellEnd"/>
      <w:proofErr w:type="gramEnd"/>
      <w:r w:rsidRPr="00C34F89">
        <w:t xml:space="preserve"> mediation: Quantification, inference, and interpretation. </w:t>
      </w:r>
      <w:r w:rsidRPr="00C34F89">
        <w:rPr>
          <w:i/>
        </w:rPr>
        <w:t>Communication monographs</w:t>
      </w:r>
      <w:r w:rsidRPr="00C34F89">
        <w:t xml:space="preserve">, </w:t>
      </w:r>
      <w:r w:rsidRPr="00C34F89">
        <w:rPr>
          <w:i/>
        </w:rPr>
        <w:t>85</w:t>
      </w:r>
      <w:r w:rsidRPr="00C34F89">
        <w:t>(1), 4-40.</w:t>
      </w:r>
    </w:p>
    <w:p w14:paraId="0000017F" w14:textId="77777777" w:rsidR="00E84757" w:rsidRPr="00C34F89" w:rsidRDefault="00E84757">
      <w:pPr>
        <w:spacing w:line="240" w:lineRule="auto"/>
      </w:pPr>
    </w:p>
    <w:p w14:paraId="00000180" w14:textId="77777777" w:rsidR="00E84757" w:rsidRPr="00C34F89" w:rsidRDefault="007661A5">
      <w:pPr>
        <w:spacing w:after="240" w:line="240" w:lineRule="auto"/>
        <w:jc w:val="both"/>
      </w:pPr>
      <w:r w:rsidRPr="00C34F89">
        <w:t xml:space="preserve">Hew, K. F., &amp; Brush, T. (2007). Integrating technology into K-12 teaching and learning: Current knowledge gaps and recommendations for future research. </w:t>
      </w:r>
      <w:r w:rsidRPr="00C34F89">
        <w:rPr>
          <w:i/>
        </w:rPr>
        <w:t>Educational technology research and development</w:t>
      </w:r>
      <w:r w:rsidRPr="00C34F89">
        <w:t xml:space="preserve">, </w:t>
      </w:r>
      <w:r w:rsidRPr="00C34F89">
        <w:rPr>
          <w:i/>
        </w:rPr>
        <w:t>55</w:t>
      </w:r>
      <w:r w:rsidRPr="00C34F89">
        <w:t>, 223-252.</w:t>
      </w:r>
    </w:p>
    <w:p w14:paraId="00000181" w14:textId="77777777" w:rsidR="00E84757" w:rsidRPr="00C34F89" w:rsidRDefault="007661A5">
      <w:pPr>
        <w:spacing w:after="240" w:line="240" w:lineRule="auto"/>
      </w:pPr>
      <w:r w:rsidRPr="00C34F89">
        <w:t xml:space="preserve">Higgins, S., Xiao, Z., &amp; </w:t>
      </w:r>
      <w:proofErr w:type="spellStart"/>
      <w:r w:rsidRPr="00C34F89">
        <w:t>Katsipataki</w:t>
      </w:r>
      <w:proofErr w:type="spellEnd"/>
      <w:r w:rsidRPr="00C34F89">
        <w:t xml:space="preserve">, M. (2012). </w:t>
      </w:r>
      <w:r w:rsidRPr="00C34F89">
        <w:rPr>
          <w:i/>
        </w:rPr>
        <w:t>The Impact of Digital Technology on Learning: A Summary for the Education Endowment Foundation</w:t>
      </w:r>
      <w:r w:rsidRPr="00C34F89">
        <w:t>.  Education Endowment Foundation.</w:t>
      </w:r>
    </w:p>
    <w:p w14:paraId="00000182" w14:textId="77777777" w:rsidR="00E84757" w:rsidRPr="00C34F89" w:rsidRDefault="007661A5">
      <w:pPr>
        <w:pBdr>
          <w:top w:val="nil"/>
          <w:left w:val="nil"/>
          <w:bottom w:val="nil"/>
          <w:right w:val="nil"/>
          <w:between w:val="nil"/>
        </w:pBdr>
        <w:spacing w:line="240" w:lineRule="auto"/>
        <w:rPr>
          <w:u w:val="single"/>
        </w:rPr>
      </w:pPr>
      <w:r w:rsidRPr="00C34F89">
        <w:t xml:space="preserve">Hilbert, S., Coors, S., Kraus, E., </w:t>
      </w:r>
      <w:proofErr w:type="spellStart"/>
      <w:r w:rsidRPr="00C34F89">
        <w:t>Bischl</w:t>
      </w:r>
      <w:proofErr w:type="spellEnd"/>
      <w:r w:rsidRPr="00C34F89">
        <w:t xml:space="preserve">, B., Lindl, A., Frei, M., &amp; </w:t>
      </w:r>
      <w:proofErr w:type="spellStart"/>
      <w:r w:rsidRPr="00C34F89">
        <w:t>Stachl</w:t>
      </w:r>
      <w:proofErr w:type="spellEnd"/>
      <w:r w:rsidRPr="00C34F89">
        <w:t xml:space="preserve">, C. (2021). Machine learning for the educational sciences. </w:t>
      </w:r>
      <w:r w:rsidRPr="00C34F89">
        <w:rPr>
          <w:i/>
        </w:rPr>
        <w:t>Review of Education</w:t>
      </w:r>
      <w:r w:rsidRPr="00C34F89">
        <w:t xml:space="preserve">, </w:t>
      </w:r>
      <w:hyperlink r:id="rId36">
        <w:r w:rsidRPr="00C34F89">
          <w:rPr>
            <w:u w:val="single"/>
          </w:rPr>
          <w:t xml:space="preserve">https://doi.org/10.1002/rev3.3310 </w:t>
        </w:r>
      </w:hyperlink>
    </w:p>
    <w:p w14:paraId="00000183" w14:textId="77777777" w:rsidR="00E84757" w:rsidRPr="00C34F89" w:rsidRDefault="00E84757">
      <w:pPr>
        <w:pBdr>
          <w:top w:val="nil"/>
          <w:left w:val="nil"/>
          <w:bottom w:val="nil"/>
          <w:right w:val="nil"/>
          <w:between w:val="nil"/>
        </w:pBdr>
        <w:spacing w:line="240" w:lineRule="auto"/>
      </w:pPr>
    </w:p>
    <w:p w14:paraId="00000184" w14:textId="77777777" w:rsidR="00E84757" w:rsidRPr="00C34F89" w:rsidRDefault="007661A5">
      <w:pPr>
        <w:spacing w:after="240" w:line="240" w:lineRule="auto"/>
      </w:pPr>
      <w:r w:rsidRPr="00C34F89">
        <w:t xml:space="preserve">Hixon, E., &amp; Buckenmeyer, J. (2009). Revisiting technology integration in schools: Implications for professional development. </w:t>
      </w:r>
      <w:r w:rsidRPr="00C34F89">
        <w:rPr>
          <w:i/>
        </w:rPr>
        <w:t>Computers in the Schools</w:t>
      </w:r>
      <w:r w:rsidRPr="00C34F89">
        <w:t xml:space="preserve">, </w:t>
      </w:r>
      <w:r w:rsidRPr="00C34F89">
        <w:rPr>
          <w:i/>
        </w:rPr>
        <w:t>26</w:t>
      </w:r>
      <w:r w:rsidRPr="00C34F89">
        <w:t>(2), 130-146.</w:t>
      </w:r>
    </w:p>
    <w:p w14:paraId="00000185" w14:textId="77777777" w:rsidR="00E84757" w:rsidRPr="00C34F89" w:rsidRDefault="007661A5">
      <w:pPr>
        <w:spacing w:before="240" w:after="240" w:line="240" w:lineRule="auto"/>
      </w:pPr>
      <w:r w:rsidRPr="00C34F89">
        <w:t xml:space="preserve">Hodges, C., Moore, S., Lockee, B., Trust, T., &amp; Bond, A. (2020). The Difference Between Emergency Remote Teaching and Online Learning. </w:t>
      </w:r>
      <w:r w:rsidRPr="00C34F89">
        <w:rPr>
          <w:i/>
        </w:rPr>
        <w:t>Educause Review</w:t>
      </w:r>
      <w:r w:rsidRPr="00C34F89">
        <w:t xml:space="preserve">. </w:t>
      </w:r>
      <w:hyperlink r:id="rId37">
        <w:r w:rsidRPr="00C34F89">
          <w:rPr>
            <w:u w:val="single"/>
          </w:rPr>
          <w:t>https://er.educause.edu/articles/2020/3/the-difference-between-emergency-remote-teaching-and-online-learning</w:t>
        </w:r>
      </w:hyperlink>
      <w:r w:rsidRPr="00C34F89">
        <w:t xml:space="preserve"> </w:t>
      </w:r>
    </w:p>
    <w:p w14:paraId="00000186" w14:textId="77777777" w:rsidR="00E84757" w:rsidRPr="00C34F89" w:rsidRDefault="007661A5">
      <w:pPr>
        <w:spacing w:line="240" w:lineRule="auto"/>
      </w:pPr>
      <w:r w:rsidRPr="00C34F89">
        <w:t xml:space="preserve">Holland, P. E. (2001). Professional development in technology: Catalyst for school reform. </w:t>
      </w:r>
      <w:r w:rsidRPr="00C34F89">
        <w:rPr>
          <w:i/>
        </w:rPr>
        <w:t>Journal of technology and teacher education</w:t>
      </w:r>
      <w:r w:rsidRPr="00C34F89">
        <w:t xml:space="preserve">, </w:t>
      </w:r>
      <w:r w:rsidRPr="00C34F89">
        <w:rPr>
          <w:i/>
        </w:rPr>
        <w:t>9</w:t>
      </w:r>
      <w:r w:rsidRPr="00C34F89">
        <w:t>(2), 245-267.</w:t>
      </w:r>
    </w:p>
    <w:p w14:paraId="00000187" w14:textId="77777777" w:rsidR="00E84757" w:rsidRPr="00C34F89" w:rsidRDefault="00E84757">
      <w:pPr>
        <w:spacing w:line="240" w:lineRule="auto"/>
      </w:pPr>
    </w:p>
    <w:p w14:paraId="00000188" w14:textId="77777777" w:rsidR="00E84757" w:rsidRPr="00C34F89" w:rsidRDefault="007661A5">
      <w:pPr>
        <w:spacing w:after="240" w:line="240" w:lineRule="auto"/>
      </w:pPr>
      <w:r w:rsidRPr="00C34F89">
        <w:t xml:space="preserve">Hong, H. Y., Lin, P. Y., &amp; Lee, Y. H. (2019). Developing effective knowledge-building environments through constructivist teaching beliefs and technology-integration knowledge: A survey of middle-school teachers in northern Taiwan. </w:t>
      </w:r>
      <w:r w:rsidRPr="00C34F89">
        <w:rPr>
          <w:i/>
        </w:rPr>
        <w:t>Learning and Individual Differences</w:t>
      </w:r>
      <w:r w:rsidRPr="00C34F89">
        <w:t xml:space="preserve">, </w:t>
      </w:r>
      <w:r w:rsidRPr="00C34F89">
        <w:rPr>
          <w:i/>
        </w:rPr>
        <w:t>76</w:t>
      </w:r>
      <w:r w:rsidRPr="00C34F89">
        <w:t>, 101787.</w:t>
      </w:r>
    </w:p>
    <w:p w14:paraId="00000189" w14:textId="77777777" w:rsidR="00E84757" w:rsidRPr="00C34F89" w:rsidRDefault="007661A5">
      <w:pPr>
        <w:pBdr>
          <w:top w:val="nil"/>
          <w:left w:val="nil"/>
          <w:bottom w:val="nil"/>
          <w:right w:val="nil"/>
          <w:between w:val="nil"/>
        </w:pBdr>
        <w:spacing w:before="240" w:after="240" w:line="240" w:lineRule="auto"/>
      </w:pPr>
      <w:r w:rsidRPr="00C34F89">
        <w:t xml:space="preserve">Hübner, N., Fahrbach, T., Lachner, A., &amp; Scherer, R. (2023). What predicts students’ future ICT literacy? Evidence from a large-scale study conducted in different stages of secondary school. </w:t>
      </w:r>
      <w:r w:rsidRPr="00C34F89">
        <w:rPr>
          <w:i/>
        </w:rPr>
        <w:t>Computers &amp; Education</w:t>
      </w:r>
      <w:r w:rsidRPr="00C34F89">
        <w:t>, 203, 104847.</w:t>
      </w:r>
    </w:p>
    <w:p w14:paraId="0000018A" w14:textId="77777777" w:rsidR="00E84757" w:rsidRPr="00C34F89" w:rsidRDefault="007661A5">
      <w:pPr>
        <w:pBdr>
          <w:top w:val="nil"/>
          <w:left w:val="nil"/>
          <w:bottom w:val="nil"/>
          <w:right w:val="nil"/>
          <w:between w:val="nil"/>
        </w:pBdr>
        <w:spacing w:line="240" w:lineRule="auto"/>
      </w:pPr>
      <w:r w:rsidRPr="00C34F89">
        <w:t xml:space="preserve">Hünermund, P., &amp; Louw, B. (2020). </w:t>
      </w:r>
      <w:r w:rsidRPr="00C34F89">
        <w:rPr>
          <w:i/>
        </w:rPr>
        <w:t xml:space="preserve">On the nuisance of control variables in regression analysis </w:t>
      </w:r>
      <w:r w:rsidRPr="00C34F89">
        <w:t>(working paper no. 4). Cornell University.</w:t>
      </w:r>
      <w:hyperlink r:id="rId38">
        <w:r w:rsidRPr="00C34F89">
          <w:t xml:space="preserve"> </w:t>
        </w:r>
      </w:hyperlink>
      <w:hyperlink r:id="rId39">
        <w:r w:rsidRPr="00C34F89">
          <w:rPr>
            <w:u w:val="single"/>
          </w:rPr>
          <w:t>https://doi.org/10.48550/arXiv.2005.10314</w:t>
        </w:r>
      </w:hyperlink>
      <w:r w:rsidRPr="00C34F89">
        <w:t xml:space="preserve">   </w:t>
      </w:r>
    </w:p>
    <w:p w14:paraId="0000018B" w14:textId="77777777" w:rsidR="00E84757" w:rsidRPr="00C34F89" w:rsidRDefault="007661A5">
      <w:pPr>
        <w:spacing w:before="240" w:after="240" w:line="240" w:lineRule="auto"/>
      </w:pPr>
      <w:r w:rsidRPr="00183BFD">
        <w:t xml:space="preserve">Hwang, G.-J., &amp; Tsai, C.-C. (2011). </w:t>
      </w:r>
      <w:r w:rsidRPr="00C34F89">
        <w:t xml:space="preserve">Research trends in mobile and ubiquitous learning: A review of publications in selected journals from 2001 to 2010. </w:t>
      </w:r>
      <w:r w:rsidRPr="00C34F89">
        <w:rPr>
          <w:i/>
        </w:rPr>
        <w:t>British Journal of Educational Technology, 42</w:t>
      </w:r>
      <w:r w:rsidRPr="00C34F89">
        <w:t xml:space="preserve">(4), E65–E70. </w:t>
      </w:r>
      <w:hyperlink r:id="rId40">
        <w:r w:rsidRPr="00C34F89">
          <w:rPr>
            <w:u w:val="single"/>
          </w:rPr>
          <w:t>https://doi.org/10.1111/j.1467-8535.2011.01183.x</w:t>
        </w:r>
      </w:hyperlink>
      <w:r w:rsidRPr="00C34F89">
        <w:t xml:space="preserve"> </w:t>
      </w:r>
    </w:p>
    <w:p w14:paraId="0000018C" w14:textId="77777777" w:rsidR="00E84757" w:rsidRPr="00C34F89" w:rsidRDefault="007661A5">
      <w:pPr>
        <w:spacing w:after="240" w:line="240" w:lineRule="auto"/>
      </w:pPr>
      <w:r w:rsidRPr="00C34F89">
        <w:t xml:space="preserve">Ilomäki, L., </w:t>
      </w:r>
      <w:proofErr w:type="spellStart"/>
      <w:r w:rsidRPr="00C34F89">
        <w:t>Lakkala</w:t>
      </w:r>
      <w:proofErr w:type="spellEnd"/>
      <w:r w:rsidRPr="00C34F89">
        <w:t xml:space="preserve">, M. Digital technology and practices for school improvement: innovative digital school model. </w:t>
      </w:r>
      <w:r w:rsidRPr="00C34F89">
        <w:rPr>
          <w:i/>
        </w:rPr>
        <w:t>RPTEL</w:t>
      </w:r>
      <w:r w:rsidRPr="00C34F89">
        <w:t xml:space="preserve"> 13, 25 (2018). https://doi.org/10.1186/s41039-018-0094-8</w:t>
      </w:r>
    </w:p>
    <w:p w14:paraId="0000018D" w14:textId="77777777" w:rsidR="00E84757" w:rsidRPr="00C34F89" w:rsidRDefault="007661A5">
      <w:pPr>
        <w:spacing w:after="240" w:line="240" w:lineRule="auto"/>
      </w:pPr>
      <w:r w:rsidRPr="00C34F89">
        <w:t xml:space="preserve">Jorde, T. M., &amp; Teece, D. J. (1990). Innovation and cooperation: implications for competition and antitrust. </w:t>
      </w:r>
      <w:r w:rsidRPr="00C34F89">
        <w:rPr>
          <w:i/>
        </w:rPr>
        <w:t xml:space="preserve">Journal of </w:t>
      </w:r>
      <w:proofErr w:type="gramStart"/>
      <w:r w:rsidRPr="00C34F89">
        <w:rPr>
          <w:i/>
        </w:rPr>
        <w:t>economic</w:t>
      </w:r>
      <w:proofErr w:type="gramEnd"/>
      <w:r w:rsidRPr="00C34F89">
        <w:rPr>
          <w:i/>
        </w:rPr>
        <w:t xml:space="preserve"> perspectives</w:t>
      </w:r>
      <w:r w:rsidRPr="00C34F89">
        <w:t xml:space="preserve">, </w:t>
      </w:r>
      <w:r w:rsidRPr="00C34F89">
        <w:rPr>
          <w:i/>
        </w:rPr>
        <w:t>4</w:t>
      </w:r>
      <w:r w:rsidRPr="00C34F89">
        <w:t>(3), 75-96.</w:t>
      </w:r>
    </w:p>
    <w:p w14:paraId="0000018E" w14:textId="77777777" w:rsidR="00E84757" w:rsidRPr="00C34F89" w:rsidRDefault="007661A5">
      <w:pPr>
        <w:spacing w:after="240" w:line="240" w:lineRule="auto"/>
        <w:rPr>
          <w:u w:val="single"/>
        </w:rPr>
      </w:pPr>
      <w:r w:rsidRPr="00C34F89">
        <w:t xml:space="preserve">Juuti, K., Kervinen, A., &amp; </w:t>
      </w:r>
      <w:proofErr w:type="spellStart"/>
      <w:r w:rsidRPr="00C34F89">
        <w:t>Loukomies</w:t>
      </w:r>
      <w:proofErr w:type="spellEnd"/>
      <w:r w:rsidRPr="00C34F89">
        <w:t xml:space="preserve">, A. (2022). Quality over frequency in using digital technology: Measuring </w:t>
      </w:r>
      <w:proofErr w:type="gramStart"/>
      <w:r w:rsidRPr="00C34F89">
        <w:t>the experienced</w:t>
      </w:r>
      <w:proofErr w:type="gramEnd"/>
      <w:r w:rsidRPr="00C34F89">
        <w:t xml:space="preserve"> functional use. </w:t>
      </w:r>
      <w:r w:rsidRPr="00C34F89">
        <w:rPr>
          <w:i/>
        </w:rPr>
        <w:t>Computers &amp; Education,</w:t>
      </w:r>
      <w:r w:rsidRPr="00C34F89">
        <w:t xml:space="preserve"> 176, 104361. </w:t>
      </w:r>
      <w:hyperlink r:id="rId41">
        <w:r w:rsidRPr="00C34F89">
          <w:rPr>
            <w:u w:val="single"/>
          </w:rPr>
          <w:t>https://doi.org/10.1016/j.compedu.2021.104361</w:t>
        </w:r>
      </w:hyperlink>
    </w:p>
    <w:p w14:paraId="0000018F" w14:textId="77777777" w:rsidR="00E84757" w:rsidRPr="00C34F89" w:rsidRDefault="007661A5">
      <w:pPr>
        <w:spacing w:after="240" w:line="240" w:lineRule="auto"/>
      </w:pPr>
      <w:r w:rsidRPr="00C34F89">
        <w:t xml:space="preserve">Kahn, K. B. (2018). Understanding innovation. </w:t>
      </w:r>
      <w:r w:rsidRPr="00C34F89">
        <w:rPr>
          <w:i/>
        </w:rPr>
        <w:t>Business Horizons</w:t>
      </w:r>
      <w:r w:rsidRPr="00C34F89">
        <w:t>, 61(3), 453-460.</w:t>
      </w:r>
    </w:p>
    <w:p w14:paraId="00000190" w14:textId="77777777" w:rsidR="00E84757" w:rsidRPr="00C34F89" w:rsidRDefault="007661A5">
      <w:pPr>
        <w:spacing w:after="240" w:line="240" w:lineRule="auto"/>
        <w:rPr>
          <w:u w:val="single"/>
        </w:rPr>
      </w:pPr>
      <w:r w:rsidRPr="00C34F89">
        <w:t xml:space="preserve">Katz, I. R. (2007). Testing information literacy in digital environments: ETS's </w:t>
      </w:r>
      <w:proofErr w:type="spellStart"/>
      <w:r w:rsidRPr="00C34F89">
        <w:t>iSkills</w:t>
      </w:r>
      <w:proofErr w:type="spellEnd"/>
      <w:r w:rsidRPr="00C34F89">
        <w:t xml:space="preserve"> assessment. </w:t>
      </w:r>
      <w:r w:rsidRPr="00C34F89">
        <w:rPr>
          <w:i/>
        </w:rPr>
        <w:t>Information technology and Libraries</w:t>
      </w:r>
      <w:r w:rsidRPr="00C34F89">
        <w:t xml:space="preserve">, </w:t>
      </w:r>
      <w:r w:rsidRPr="00C34F89">
        <w:rPr>
          <w:i/>
        </w:rPr>
        <w:t>26</w:t>
      </w:r>
      <w:r w:rsidRPr="00C34F89">
        <w:t>(3), 3-12.</w:t>
      </w:r>
    </w:p>
    <w:p w14:paraId="00000191" w14:textId="77777777" w:rsidR="00E84757" w:rsidRPr="00C34F89" w:rsidRDefault="007661A5">
      <w:pPr>
        <w:spacing w:line="240" w:lineRule="auto"/>
      </w:pPr>
      <w:r w:rsidRPr="00C34F89">
        <w:t xml:space="preserve">Kimmons, R., Graham, C. R., &amp; West, R. E. (2020). The PICRAT model for technology integration in teacher preparation. </w:t>
      </w:r>
      <w:r w:rsidRPr="00C34F89">
        <w:rPr>
          <w:i/>
        </w:rPr>
        <w:t>Contemporary Issues in Technology and Teacher Education</w:t>
      </w:r>
      <w:r w:rsidRPr="00C34F89">
        <w:t xml:space="preserve">, </w:t>
      </w:r>
      <w:r w:rsidRPr="00C34F89">
        <w:rPr>
          <w:i/>
        </w:rPr>
        <w:t>20</w:t>
      </w:r>
      <w:r w:rsidRPr="00C34F89">
        <w:t>(1), 176-198.</w:t>
      </w:r>
    </w:p>
    <w:p w14:paraId="00000192" w14:textId="77777777" w:rsidR="00E84757" w:rsidRPr="00C34F89" w:rsidRDefault="00E84757">
      <w:pPr>
        <w:spacing w:line="240" w:lineRule="auto"/>
      </w:pPr>
    </w:p>
    <w:p w14:paraId="00000193" w14:textId="77777777" w:rsidR="00E84757" w:rsidRPr="00C34F89" w:rsidRDefault="007661A5">
      <w:r w:rsidRPr="00C34F89">
        <w:t xml:space="preserve">Kline, R. B. (2016). </w:t>
      </w:r>
      <w:r w:rsidRPr="00C34F89">
        <w:rPr>
          <w:i/>
        </w:rPr>
        <w:t>Principles and practice of structural equation modeling</w:t>
      </w:r>
      <w:r w:rsidRPr="00C34F89">
        <w:t xml:space="preserve"> (4th ed.). Guilford Press.</w:t>
      </w:r>
    </w:p>
    <w:p w14:paraId="00000194" w14:textId="77777777" w:rsidR="00E84757" w:rsidRPr="00C34F89" w:rsidRDefault="00E84757">
      <w:pPr>
        <w:spacing w:line="240" w:lineRule="auto"/>
      </w:pPr>
    </w:p>
    <w:p w14:paraId="00000195" w14:textId="77777777" w:rsidR="00E84757" w:rsidRPr="00C34F89" w:rsidRDefault="007661A5">
      <w:pPr>
        <w:spacing w:after="240" w:line="240" w:lineRule="auto"/>
      </w:pPr>
      <w:r w:rsidRPr="00C34F89">
        <w:t xml:space="preserve">Koehler, M. J., &amp; Mishra, P. (2005). What happens when teachers design educational technology? The development of technological pedagogical content knowledge. </w:t>
      </w:r>
      <w:r w:rsidRPr="00C34F89">
        <w:rPr>
          <w:i/>
        </w:rPr>
        <w:t>Journal of educational computing research</w:t>
      </w:r>
      <w:r w:rsidRPr="00C34F89">
        <w:t xml:space="preserve">, </w:t>
      </w:r>
      <w:r w:rsidRPr="00C34F89">
        <w:rPr>
          <w:i/>
        </w:rPr>
        <w:t>32</w:t>
      </w:r>
      <w:r w:rsidRPr="00C34F89">
        <w:t>(2), 131-152.</w:t>
      </w:r>
    </w:p>
    <w:p w14:paraId="00000196" w14:textId="77777777" w:rsidR="00E84757" w:rsidRPr="00C34F89" w:rsidRDefault="007661A5">
      <w:pPr>
        <w:pBdr>
          <w:top w:val="nil"/>
          <w:left w:val="nil"/>
          <w:bottom w:val="nil"/>
          <w:right w:val="nil"/>
          <w:between w:val="nil"/>
        </w:pBdr>
        <w:spacing w:line="240" w:lineRule="auto"/>
        <w:rPr>
          <w:u w:val="single"/>
        </w:rPr>
      </w:pPr>
      <w:r w:rsidRPr="00C34F89">
        <w:t xml:space="preserve">Kuhn, M. (2008). Building predictive models in R using the caret package. </w:t>
      </w:r>
      <w:r w:rsidRPr="00C34F89">
        <w:rPr>
          <w:i/>
        </w:rPr>
        <w:t>Journal of Statistical Software,</w:t>
      </w:r>
      <w:r w:rsidRPr="00C34F89">
        <w:t xml:space="preserve"> </w:t>
      </w:r>
      <w:r w:rsidRPr="00C34F89">
        <w:rPr>
          <w:i/>
        </w:rPr>
        <w:t>28</w:t>
      </w:r>
      <w:r w:rsidRPr="00C34F89">
        <w:t xml:space="preserve">, 1–26. </w:t>
      </w:r>
      <w:hyperlink r:id="rId42">
        <w:r w:rsidRPr="00C34F89">
          <w:rPr>
            <w:u w:val="single"/>
          </w:rPr>
          <w:t>https://doi.org/10.18637/jss.v028.i05</w:t>
        </w:r>
      </w:hyperlink>
    </w:p>
    <w:p w14:paraId="00000197" w14:textId="77777777" w:rsidR="00E84757" w:rsidRPr="00C34F89" w:rsidRDefault="00E84757">
      <w:pPr>
        <w:pBdr>
          <w:top w:val="nil"/>
          <w:left w:val="nil"/>
          <w:bottom w:val="nil"/>
          <w:right w:val="nil"/>
          <w:between w:val="nil"/>
        </w:pBdr>
        <w:spacing w:line="240" w:lineRule="auto"/>
      </w:pPr>
    </w:p>
    <w:p w14:paraId="00000198" w14:textId="77777777" w:rsidR="00E84757" w:rsidRPr="00C34F89" w:rsidRDefault="007661A5">
      <w:pPr>
        <w:spacing w:after="240" w:line="240" w:lineRule="auto"/>
        <w:jc w:val="both"/>
      </w:pPr>
      <w:r w:rsidRPr="00C34F89">
        <w:t xml:space="preserve">Lane, P. J., Salk, J. E., &amp; Lyles, M. A. (2001). Absorptive capacity, learning, and performance in international joint ventures. </w:t>
      </w:r>
      <w:r w:rsidRPr="00C34F89">
        <w:rPr>
          <w:i/>
        </w:rPr>
        <w:t>Strategic Management Journal</w:t>
      </w:r>
      <w:r w:rsidRPr="00C34F89">
        <w:t xml:space="preserve">, 22, 1139-1161. </w:t>
      </w:r>
      <w:hyperlink r:id="rId43">
        <w:r w:rsidRPr="00C34F89">
          <w:rPr>
            <w:u w:val="single"/>
          </w:rPr>
          <w:t>https://doi.org/10.1002/smj.206</w:t>
        </w:r>
      </w:hyperlink>
    </w:p>
    <w:p w14:paraId="00000199" w14:textId="77777777" w:rsidR="00E84757" w:rsidRPr="00C34F89" w:rsidRDefault="007661A5">
      <w:pPr>
        <w:spacing w:after="240" w:line="240" w:lineRule="auto"/>
        <w:jc w:val="both"/>
        <w:rPr>
          <w:u w:val="single"/>
        </w:rPr>
      </w:pPr>
      <w:r w:rsidRPr="00C34F89">
        <w:lastRenderedPageBreak/>
        <w:t xml:space="preserve">Lane, P. J., Koka, B. R., &amp;. Seemantini, P. (2006). The reification of absorptive capacity: a critical review and rejuvenation of the construct. </w:t>
      </w:r>
      <w:r w:rsidRPr="00C34F89">
        <w:rPr>
          <w:i/>
        </w:rPr>
        <w:t>Academy of Management Review</w:t>
      </w:r>
      <w:r w:rsidRPr="00C34F89">
        <w:t xml:space="preserve">, 31(4). </w:t>
      </w:r>
      <w:hyperlink r:id="rId44">
        <w:r w:rsidRPr="00C34F89">
          <w:rPr>
            <w:u w:val="single"/>
          </w:rPr>
          <w:t>https://doi.org/10.5465/amr.2006.22527456</w:t>
        </w:r>
      </w:hyperlink>
    </w:p>
    <w:p w14:paraId="0000019A" w14:textId="77777777" w:rsidR="00E84757" w:rsidRPr="00C34F89" w:rsidRDefault="007661A5">
      <w:pPr>
        <w:pBdr>
          <w:top w:val="nil"/>
          <w:left w:val="nil"/>
          <w:bottom w:val="nil"/>
          <w:right w:val="nil"/>
          <w:between w:val="nil"/>
        </w:pBdr>
        <w:spacing w:line="240" w:lineRule="auto"/>
        <w:rPr>
          <w:u w:val="single"/>
        </w:rPr>
      </w:pPr>
      <w:r w:rsidRPr="00C34F89">
        <w:t xml:space="preserve">Laursen, K., &amp; Salter, A. (2006). Open for innovation: The role of openness in explaining </w:t>
      </w:r>
      <w:proofErr w:type="gramStart"/>
      <w:r w:rsidRPr="00C34F89">
        <w:t>innovation</w:t>
      </w:r>
      <w:proofErr w:type="gramEnd"/>
      <w:r w:rsidRPr="00C34F89">
        <w:t xml:space="preserve"> performance among UK manufacturing firms. </w:t>
      </w:r>
      <w:r w:rsidRPr="00C34F89">
        <w:rPr>
          <w:i/>
        </w:rPr>
        <w:t>Strategic Management Journal,</w:t>
      </w:r>
      <w:r w:rsidRPr="00C34F89">
        <w:t xml:space="preserve"> </w:t>
      </w:r>
      <w:r w:rsidRPr="00C34F89">
        <w:rPr>
          <w:i/>
        </w:rPr>
        <w:t>27</w:t>
      </w:r>
      <w:r w:rsidRPr="00C34F89">
        <w:t xml:space="preserve">(2), 131–150. </w:t>
      </w:r>
      <w:hyperlink r:id="rId45">
        <w:r w:rsidRPr="00C34F89">
          <w:rPr>
            <w:u w:val="single"/>
          </w:rPr>
          <w:t>https://doi.org/10.1002/smj.507</w:t>
        </w:r>
      </w:hyperlink>
    </w:p>
    <w:p w14:paraId="0000019B" w14:textId="77777777" w:rsidR="00E84757" w:rsidRPr="00C34F89" w:rsidRDefault="00E84757">
      <w:pPr>
        <w:pBdr>
          <w:top w:val="nil"/>
          <w:left w:val="nil"/>
          <w:bottom w:val="nil"/>
          <w:right w:val="nil"/>
          <w:between w:val="nil"/>
        </w:pBdr>
        <w:spacing w:line="240" w:lineRule="auto"/>
        <w:rPr>
          <w:u w:val="single"/>
        </w:rPr>
      </w:pPr>
    </w:p>
    <w:p w14:paraId="0000019C" w14:textId="77777777" w:rsidR="00E84757" w:rsidRPr="00C34F89" w:rsidRDefault="007661A5">
      <w:pPr>
        <w:pBdr>
          <w:top w:val="nil"/>
          <w:left w:val="nil"/>
          <w:bottom w:val="nil"/>
          <w:right w:val="nil"/>
          <w:between w:val="nil"/>
        </w:pBdr>
        <w:spacing w:line="240" w:lineRule="auto"/>
      </w:pPr>
      <w:r w:rsidRPr="00C34F89">
        <w:t xml:space="preserve">Leavitt, K., </w:t>
      </w:r>
      <w:proofErr w:type="spellStart"/>
      <w:r w:rsidRPr="00C34F89">
        <w:t>Schabram</w:t>
      </w:r>
      <w:proofErr w:type="spellEnd"/>
      <w:r w:rsidRPr="00C34F89">
        <w:t xml:space="preserve">, K., Hariharan, P., &amp; Barnes, C. M. (2021). Ghost in the machine: On organizational theory in the age of machine learning. </w:t>
      </w:r>
      <w:r w:rsidRPr="00C34F89">
        <w:rPr>
          <w:i/>
        </w:rPr>
        <w:t>Academy of Management Review,</w:t>
      </w:r>
      <w:r w:rsidRPr="00C34F89">
        <w:t xml:space="preserve"> </w:t>
      </w:r>
      <w:r w:rsidRPr="00C34F89">
        <w:rPr>
          <w:i/>
        </w:rPr>
        <w:t>46</w:t>
      </w:r>
      <w:r w:rsidRPr="00C34F89">
        <w:t xml:space="preserve">(4), 750–777. </w:t>
      </w:r>
      <w:hyperlink r:id="rId46">
        <w:r w:rsidRPr="00C34F89">
          <w:rPr>
            <w:u w:val="single"/>
          </w:rPr>
          <w:t>https://doi.org/10.5465/amr.2019.0247</w:t>
        </w:r>
      </w:hyperlink>
    </w:p>
    <w:p w14:paraId="0000019D" w14:textId="77777777" w:rsidR="00E84757" w:rsidRPr="00C34F89" w:rsidRDefault="00E84757">
      <w:pPr>
        <w:pBdr>
          <w:top w:val="nil"/>
          <w:left w:val="nil"/>
          <w:bottom w:val="nil"/>
          <w:right w:val="nil"/>
          <w:between w:val="nil"/>
        </w:pBdr>
        <w:spacing w:line="240" w:lineRule="auto"/>
        <w:rPr>
          <w:u w:val="single"/>
        </w:rPr>
      </w:pPr>
    </w:p>
    <w:p w14:paraId="0000019E" w14:textId="77777777" w:rsidR="00E84757" w:rsidRPr="00C34F89" w:rsidRDefault="007661A5">
      <w:pPr>
        <w:spacing w:line="240" w:lineRule="auto"/>
      </w:pPr>
      <w:r w:rsidRPr="00C34F89">
        <w:t xml:space="preserve">Lei, P. W., &amp; Shiverdecker, L. K. (2020). Performance of estimators for confirmatory factor analysis of ordinal variables with missing data. </w:t>
      </w:r>
      <w:r w:rsidRPr="00C34F89">
        <w:rPr>
          <w:i/>
        </w:rPr>
        <w:t>Structural Equation Modeling: A Multidisciplinary Journal</w:t>
      </w:r>
      <w:r w:rsidRPr="00C34F89">
        <w:t xml:space="preserve">, </w:t>
      </w:r>
      <w:r w:rsidRPr="00C34F89">
        <w:rPr>
          <w:i/>
        </w:rPr>
        <w:t>27</w:t>
      </w:r>
      <w:r w:rsidRPr="00C34F89">
        <w:t>(4), 584-601.</w:t>
      </w:r>
    </w:p>
    <w:p w14:paraId="0000019F" w14:textId="77777777" w:rsidR="00E84757" w:rsidRPr="00C34F89" w:rsidRDefault="00E84757">
      <w:pPr>
        <w:pBdr>
          <w:top w:val="nil"/>
          <w:left w:val="nil"/>
          <w:bottom w:val="nil"/>
          <w:right w:val="nil"/>
          <w:between w:val="nil"/>
        </w:pBdr>
        <w:spacing w:line="240" w:lineRule="auto"/>
      </w:pPr>
    </w:p>
    <w:p w14:paraId="000001A0" w14:textId="77777777" w:rsidR="00E84757" w:rsidRPr="00C34F89" w:rsidRDefault="007661A5">
      <w:pPr>
        <w:spacing w:line="240" w:lineRule="auto"/>
      </w:pPr>
      <w:r w:rsidRPr="00C34F89">
        <w:t>Lenart-</w:t>
      </w:r>
      <w:proofErr w:type="spellStart"/>
      <w:r w:rsidRPr="00C34F89">
        <w:t>Gansiniec</w:t>
      </w:r>
      <w:proofErr w:type="spellEnd"/>
      <w:r w:rsidRPr="00C34F89">
        <w:t xml:space="preserve">, R., </w:t>
      </w:r>
      <w:proofErr w:type="spellStart"/>
      <w:r w:rsidRPr="00C34F89">
        <w:t>Czakon</w:t>
      </w:r>
      <w:proofErr w:type="spellEnd"/>
      <w:r w:rsidRPr="00C34F89">
        <w:t xml:space="preserve">, W., &amp; Pellegrini, M. M. (2022). In search of virtuous learning circles: absorptive capacity and its antecedents in the education sector. </w:t>
      </w:r>
      <w:r w:rsidRPr="00C34F89">
        <w:rPr>
          <w:i/>
        </w:rPr>
        <w:t>Journal of Knowledge Management</w:t>
      </w:r>
      <w:r w:rsidRPr="00C34F89">
        <w:t xml:space="preserve">, </w:t>
      </w:r>
      <w:r w:rsidRPr="00C34F89">
        <w:rPr>
          <w:i/>
        </w:rPr>
        <w:t>26</w:t>
      </w:r>
      <w:r w:rsidRPr="00C34F89">
        <w:t>(11), 42-70.</w:t>
      </w:r>
    </w:p>
    <w:p w14:paraId="000001A1" w14:textId="77777777" w:rsidR="00E84757" w:rsidRPr="00C34F89" w:rsidRDefault="00E84757">
      <w:pPr>
        <w:spacing w:line="240" w:lineRule="auto"/>
      </w:pPr>
    </w:p>
    <w:p w14:paraId="000001A2" w14:textId="77777777" w:rsidR="00E84757" w:rsidRPr="00C34F89" w:rsidRDefault="007661A5">
      <w:pPr>
        <w:spacing w:line="240" w:lineRule="auto"/>
      </w:pPr>
      <w:r w:rsidRPr="00C34F89">
        <w:t xml:space="preserve">Ley, T., Tammets, K., Sarmiento-Márquez, E. M., </w:t>
      </w:r>
      <w:proofErr w:type="spellStart"/>
      <w:r w:rsidRPr="00C34F89">
        <w:t>Leoste</w:t>
      </w:r>
      <w:proofErr w:type="spellEnd"/>
      <w:r w:rsidRPr="00C34F89">
        <w:t>, J., Hallik, M., &amp; Poom-</w:t>
      </w:r>
      <w:proofErr w:type="spellStart"/>
      <w:r w:rsidRPr="00C34F89">
        <w:t>Valickis</w:t>
      </w:r>
      <w:proofErr w:type="spellEnd"/>
      <w:r w:rsidRPr="00C34F89">
        <w:t xml:space="preserve">, K. (2022). Adopting technology in schools: modelling, measuring and supporting knowledge appropriation. </w:t>
      </w:r>
      <w:r w:rsidRPr="00C34F89">
        <w:rPr>
          <w:i/>
        </w:rPr>
        <w:t>European Journal of Teacher Education</w:t>
      </w:r>
      <w:r w:rsidRPr="00C34F89">
        <w:t xml:space="preserve">, </w:t>
      </w:r>
      <w:r w:rsidRPr="00C34F89">
        <w:rPr>
          <w:i/>
        </w:rPr>
        <w:t>45</w:t>
      </w:r>
      <w:r w:rsidRPr="00C34F89">
        <w:t>(4), 548-571.</w:t>
      </w:r>
    </w:p>
    <w:p w14:paraId="000001A3" w14:textId="77777777" w:rsidR="00E84757" w:rsidRPr="00C34F89" w:rsidRDefault="00E84757">
      <w:pPr>
        <w:spacing w:line="240" w:lineRule="auto"/>
      </w:pPr>
    </w:p>
    <w:p w14:paraId="000001A4" w14:textId="77777777" w:rsidR="00E84757" w:rsidRPr="00C34F89" w:rsidRDefault="007661A5">
      <w:pPr>
        <w:spacing w:line="240" w:lineRule="auto"/>
      </w:pPr>
      <w:proofErr w:type="spellStart"/>
      <w:r w:rsidRPr="00C34F89">
        <w:t>Lichtenthaler</w:t>
      </w:r>
      <w:proofErr w:type="spellEnd"/>
      <w:r w:rsidRPr="00C34F89">
        <w:t xml:space="preserve">, U., &amp; </w:t>
      </w:r>
      <w:proofErr w:type="spellStart"/>
      <w:r w:rsidRPr="00C34F89">
        <w:t>Lichtenthaler</w:t>
      </w:r>
      <w:proofErr w:type="spellEnd"/>
      <w:r w:rsidRPr="00C34F89">
        <w:t xml:space="preserve">, E. (2010). Technology transfer across organizational boundaries: absorptive capacity and </w:t>
      </w:r>
      <w:proofErr w:type="spellStart"/>
      <w:r w:rsidRPr="00C34F89">
        <w:t>desorptive</w:t>
      </w:r>
      <w:proofErr w:type="spellEnd"/>
      <w:r w:rsidRPr="00C34F89">
        <w:t xml:space="preserve"> capacity. </w:t>
      </w:r>
      <w:r w:rsidRPr="00C34F89">
        <w:rPr>
          <w:i/>
        </w:rPr>
        <w:t>California Management Review</w:t>
      </w:r>
      <w:r w:rsidRPr="00C34F89">
        <w:t xml:space="preserve">, </w:t>
      </w:r>
      <w:r w:rsidRPr="00C34F89">
        <w:rPr>
          <w:i/>
        </w:rPr>
        <w:t>53</w:t>
      </w:r>
      <w:r w:rsidRPr="00C34F89">
        <w:t>(1), 154-170.</w:t>
      </w:r>
    </w:p>
    <w:p w14:paraId="000001A5" w14:textId="77777777" w:rsidR="00E84757" w:rsidRPr="00C34F89" w:rsidRDefault="00E84757">
      <w:pPr>
        <w:spacing w:line="240" w:lineRule="auto"/>
      </w:pPr>
    </w:p>
    <w:p w14:paraId="000001A6" w14:textId="77777777" w:rsidR="00E84757" w:rsidRPr="00C34F89" w:rsidRDefault="007661A5">
      <w:pPr>
        <w:spacing w:line="240" w:lineRule="auto"/>
      </w:pPr>
      <w:proofErr w:type="spellStart"/>
      <w:r w:rsidRPr="00C34F89">
        <w:t>Lichtenthaler</w:t>
      </w:r>
      <w:proofErr w:type="spellEnd"/>
      <w:r w:rsidRPr="00C34F89">
        <w:t xml:space="preserve">, U., &amp; </w:t>
      </w:r>
      <w:proofErr w:type="spellStart"/>
      <w:r w:rsidRPr="00C34F89">
        <w:t>Lichtenthaler</w:t>
      </w:r>
      <w:proofErr w:type="spellEnd"/>
      <w:r w:rsidRPr="00C34F89">
        <w:t>, E. (2009). A capability</w:t>
      </w:r>
      <w:r w:rsidRPr="00C34F89">
        <w:rPr>
          <w:rFonts w:ascii="Cambria Math" w:eastAsia="Cambria Math" w:hAnsi="Cambria Math" w:cs="Cambria Math"/>
        </w:rPr>
        <w:t>‐</w:t>
      </w:r>
      <w:r w:rsidRPr="00C34F89">
        <w:t xml:space="preserve">based framework for open innovation: Complementing absorptive capacity. </w:t>
      </w:r>
      <w:r w:rsidRPr="00C34F89">
        <w:rPr>
          <w:i/>
        </w:rPr>
        <w:t>Journal of management studies</w:t>
      </w:r>
      <w:r w:rsidRPr="00C34F89">
        <w:t xml:space="preserve">, </w:t>
      </w:r>
      <w:r w:rsidRPr="00C34F89">
        <w:rPr>
          <w:i/>
        </w:rPr>
        <w:t>46</w:t>
      </w:r>
      <w:r w:rsidRPr="00C34F89">
        <w:t>(8), 1315-1338.</w:t>
      </w:r>
    </w:p>
    <w:p w14:paraId="000001A7" w14:textId="77777777" w:rsidR="00E84757" w:rsidRPr="00C34F89" w:rsidRDefault="00E84757">
      <w:pPr>
        <w:spacing w:line="240" w:lineRule="auto"/>
      </w:pPr>
    </w:p>
    <w:p w14:paraId="000001A8" w14:textId="77777777" w:rsidR="00E84757" w:rsidRPr="00C34F89" w:rsidRDefault="007661A5">
      <w:pPr>
        <w:spacing w:line="240" w:lineRule="auto"/>
      </w:pPr>
      <w:proofErr w:type="spellStart"/>
      <w:r w:rsidRPr="00C34F89">
        <w:t>Lowik</w:t>
      </w:r>
      <w:proofErr w:type="spellEnd"/>
      <w:r w:rsidRPr="00C34F89">
        <w:t xml:space="preserve">, S., </w:t>
      </w:r>
      <w:proofErr w:type="spellStart"/>
      <w:r w:rsidRPr="00C34F89">
        <w:t>Kraaijenbrink</w:t>
      </w:r>
      <w:proofErr w:type="spellEnd"/>
      <w:r w:rsidRPr="00C34F89">
        <w:t xml:space="preserve">, J., &amp; Groen, A. J. (2012). The effects of prior knowledge, networks, and cognitive style on individuals' absorptive capacity. </w:t>
      </w:r>
      <w:r w:rsidRPr="00C34F89">
        <w:rPr>
          <w:i/>
        </w:rPr>
        <w:t>Academy of Management Proceedings</w:t>
      </w:r>
      <w:r w:rsidRPr="00C34F89">
        <w:t xml:space="preserve">,1, 10776. </w:t>
      </w:r>
      <w:hyperlink r:id="rId47">
        <w:r w:rsidRPr="00C34F89">
          <w:rPr>
            <w:u w:val="single"/>
          </w:rPr>
          <w:t>https://doi.org/10.5465/AMBPP.2012.197</w:t>
        </w:r>
      </w:hyperlink>
    </w:p>
    <w:p w14:paraId="000001A9" w14:textId="77777777" w:rsidR="00E84757" w:rsidRPr="00C34F89" w:rsidRDefault="00E84757">
      <w:pPr>
        <w:spacing w:line="240" w:lineRule="auto"/>
      </w:pPr>
    </w:p>
    <w:p w14:paraId="000001AA" w14:textId="77777777" w:rsidR="00E84757" w:rsidRPr="00C34F89" w:rsidRDefault="007661A5">
      <w:pPr>
        <w:spacing w:line="240" w:lineRule="auto"/>
      </w:pPr>
      <w:r w:rsidRPr="00C34F89">
        <w:t xml:space="preserve">Lynn, L. H., Reddy, N. M., &amp; Aram, J. D. (1996). Linking technology and institutions: the innovation community framework. </w:t>
      </w:r>
      <w:r w:rsidRPr="00C34F89">
        <w:rPr>
          <w:i/>
        </w:rPr>
        <w:t>Research policy</w:t>
      </w:r>
      <w:r w:rsidRPr="00C34F89">
        <w:t xml:space="preserve">, </w:t>
      </w:r>
      <w:r w:rsidRPr="00C34F89">
        <w:rPr>
          <w:i/>
        </w:rPr>
        <w:t>25</w:t>
      </w:r>
      <w:r w:rsidRPr="00C34F89">
        <w:t>(1), 91-106.</w:t>
      </w:r>
    </w:p>
    <w:p w14:paraId="000001AB" w14:textId="77777777" w:rsidR="00E84757" w:rsidRPr="00C34F89" w:rsidRDefault="00E84757">
      <w:pPr>
        <w:spacing w:line="240" w:lineRule="auto"/>
      </w:pPr>
    </w:p>
    <w:p w14:paraId="000001AC" w14:textId="77777777" w:rsidR="00E84757" w:rsidRPr="00C34F89" w:rsidRDefault="007661A5">
      <w:pPr>
        <w:spacing w:line="240" w:lineRule="auto"/>
      </w:pPr>
      <w:r w:rsidRPr="00C34F89">
        <w:t xml:space="preserve">Maldonado, T., Salaiz, A., Vera, D., &amp; Keller, R. T. (2018). Taking stock of the absorptive capacity construct and its dimensions in the context of technological innovation: A meta-analytic approach. </w:t>
      </w:r>
      <w:r w:rsidRPr="00C34F89">
        <w:rPr>
          <w:i/>
        </w:rPr>
        <w:t>IEEE Transactions on Engineering Management</w:t>
      </w:r>
      <w:r w:rsidRPr="00C34F89">
        <w:t xml:space="preserve">, </w:t>
      </w:r>
      <w:r w:rsidRPr="00C34F89">
        <w:rPr>
          <w:i/>
        </w:rPr>
        <w:t>66</w:t>
      </w:r>
      <w:r w:rsidRPr="00C34F89">
        <w:t>(2), 193-207.</w:t>
      </w:r>
    </w:p>
    <w:p w14:paraId="000001AD" w14:textId="77777777" w:rsidR="00E84757" w:rsidRPr="00C34F89" w:rsidRDefault="00E84757">
      <w:pPr>
        <w:spacing w:line="240" w:lineRule="auto"/>
      </w:pPr>
    </w:p>
    <w:p w14:paraId="000001AE" w14:textId="77777777" w:rsidR="00E84757" w:rsidRPr="00C34F89" w:rsidRDefault="007661A5">
      <w:pPr>
        <w:spacing w:line="240" w:lineRule="auto"/>
      </w:pPr>
      <w:r w:rsidRPr="00C34F89">
        <w:t xml:space="preserve">McClure, J., Zheng, J., Bickel, F., Jiang, S., Rosé, C. P., Chao, J., &amp; </w:t>
      </w:r>
      <w:proofErr w:type="spellStart"/>
      <w:r w:rsidRPr="00C34F89">
        <w:t>Winling</w:t>
      </w:r>
      <w:proofErr w:type="spellEnd"/>
      <w:r w:rsidRPr="00C34F89">
        <w:t xml:space="preserve">, L. (2024). Modeling with Primary Sources: An Approach to Teach Data Bias for Artificial Intelligence and Machine Learning Education. </w:t>
      </w:r>
      <w:r w:rsidRPr="00C34F89">
        <w:rPr>
          <w:i/>
        </w:rPr>
        <w:t>Proceedings of the 18th International Conference of the Learning Sciences-ICLS 2024, 514-521</w:t>
      </w:r>
      <w:r w:rsidRPr="00C34F89">
        <w:t>. International Society of the Learning Sciences.</w:t>
      </w:r>
    </w:p>
    <w:p w14:paraId="000001AF" w14:textId="77777777" w:rsidR="00E84757" w:rsidRPr="00C34F89" w:rsidRDefault="00E84757">
      <w:pPr>
        <w:spacing w:line="240" w:lineRule="auto"/>
      </w:pPr>
    </w:p>
    <w:p w14:paraId="000001B0" w14:textId="77777777" w:rsidR="00E84757" w:rsidRPr="00C34F89" w:rsidRDefault="007661A5">
      <w:pPr>
        <w:spacing w:line="240" w:lineRule="auto"/>
      </w:pPr>
      <w:r w:rsidRPr="00C34F89">
        <w:t xml:space="preserve">Means, B., Toyama, Y., Murphy, R., </w:t>
      </w:r>
      <w:proofErr w:type="spellStart"/>
      <w:r w:rsidRPr="00C34F89">
        <w:t>Bakia</w:t>
      </w:r>
      <w:proofErr w:type="spellEnd"/>
      <w:r w:rsidRPr="00C34F89">
        <w:t xml:space="preserve">, M., &amp; Jones, K. (2010). Evaluation of Evidence-Based Practices in Online Learning: A Meta-Analysis and Review of Online Learning Studies. </w:t>
      </w:r>
      <w:r w:rsidRPr="00C34F89">
        <w:rPr>
          <w:i/>
        </w:rPr>
        <w:t>U.S. Department of Education</w:t>
      </w:r>
      <w:r w:rsidRPr="00C34F89">
        <w:t xml:space="preserve">. </w:t>
      </w:r>
      <w:hyperlink r:id="rId48">
        <w:r w:rsidRPr="00C34F89">
          <w:rPr>
            <w:u w:val="single"/>
          </w:rPr>
          <w:t>https://eric.ed.gov/?id=ED505824</w:t>
        </w:r>
      </w:hyperlink>
      <w:r w:rsidRPr="00C34F89">
        <w:t xml:space="preserve"> </w:t>
      </w:r>
    </w:p>
    <w:p w14:paraId="000001B1" w14:textId="77777777" w:rsidR="00E84757" w:rsidRPr="00C34F89" w:rsidRDefault="00E84757">
      <w:pPr>
        <w:spacing w:line="240" w:lineRule="auto"/>
      </w:pPr>
    </w:p>
    <w:p w14:paraId="000001B2" w14:textId="77777777" w:rsidR="00E84757" w:rsidRPr="00C34F89" w:rsidRDefault="007661A5">
      <w:pPr>
        <w:pBdr>
          <w:top w:val="nil"/>
          <w:left w:val="nil"/>
          <w:bottom w:val="nil"/>
          <w:right w:val="nil"/>
          <w:between w:val="nil"/>
        </w:pBdr>
        <w:spacing w:line="240" w:lineRule="auto"/>
      </w:pPr>
      <w:r w:rsidRPr="00C34F89">
        <w:rPr>
          <w:lang w:val="sv-SE"/>
        </w:rPr>
        <w:lastRenderedPageBreak/>
        <w:t xml:space="preserve">Mena, J., Hennissen, P., &amp; Loughran, J. (2017). </w:t>
      </w:r>
      <w:r w:rsidRPr="00C34F89">
        <w:t xml:space="preserve">Developing pre-service teachers' professional knowledge of teaching: The influence of mentoring. </w:t>
      </w:r>
      <w:r w:rsidRPr="00C34F89">
        <w:rPr>
          <w:i/>
        </w:rPr>
        <w:t>Teaching and teacher education</w:t>
      </w:r>
      <w:r w:rsidRPr="00C34F89">
        <w:t>, 66, 47-59.</w:t>
      </w:r>
    </w:p>
    <w:p w14:paraId="000001B3" w14:textId="77777777" w:rsidR="00E84757" w:rsidRPr="00C34F89" w:rsidRDefault="00E84757">
      <w:pPr>
        <w:spacing w:line="240" w:lineRule="auto"/>
      </w:pPr>
    </w:p>
    <w:p w14:paraId="000001B4" w14:textId="77777777" w:rsidR="00E84757" w:rsidRPr="00C34F89" w:rsidRDefault="007661A5">
      <w:pPr>
        <w:pBdr>
          <w:top w:val="nil"/>
          <w:left w:val="nil"/>
          <w:bottom w:val="nil"/>
          <w:right w:val="nil"/>
          <w:between w:val="nil"/>
        </w:pBdr>
        <w:spacing w:line="240" w:lineRule="auto"/>
      </w:pPr>
      <w:r w:rsidRPr="00C34F89">
        <w:t xml:space="preserve">Mishra, P., &amp; Koehler, M. J. (2006). Technological pedagogical content knowledge: A framework for teacher knowledge. </w:t>
      </w:r>
      <w:proofErr w:type="gramStart"/>
      <w:r w:rsidRPr="00C34F89">
        <w:rPr>
          <w:i/>
        </w:rPr>
        <w:t>Teachers</w:t>
      </w:r>
      <w:proofErr w:type="gramEnd"/>
      <w:r w:rsidRPr="00C34F89">
        <w:rPr>
          <w:i/>
        </w:rPr>
        <w:t xml:space="preserve"> college record</w:t>
      </w:r>
      <w:r w:rsidRPr="00C34F89">
        <w:t>, 108(6), 1017-1054.</w:t>
      </w:r>
    </w:p>
    <w:p w14:paraId="000001B5" w14:textId="77777777" w:rsidR="00E84757" w:rsidRPr="00C34F89" w:rsidRDefault="00E84757">
      <w:pPr>
        <w:spacing w:line="240" w:lineRule="auto"/>
      </w:pPr>
    </w:p>
    <w:p w14:paraId="000001B6" w14:textId="77777777" w:rsidR="00E84757" w:rsidRPr="00C34F89" w:rsidRDefault="007661A5">
      <w:pPr>
        <w:spacing w:after="240" w:line="240" w:lineRule="auto"/>
      </w:pPr>
      <w:r w:rsidRPr="00C34F89">
        <w:t xml:space="preserve">Mo, Y., Appel, M., Kim, J. W., &amp; Lee, M., (2021). Pre-service teachers’ international study experiences or in-service teachers’ professional learning communities: what comes into play in Finnish teachers’ self-efficacy in multicultural classrooms? </w:t>
      </w:r>
      <w:r w:rsidRPr="00C34F89">
        <w:rPr>
          <w:i/>
        </w:rPr>
        <w:t>Teachers and Teaching, 27</w:t>
      </w:r>
      <w:r w:rsidRPr="00C34F89">
        <w:t>(7), 602-624.</w:t>
      </w:r>
    </w:p>
    <w:p w14:paraId="000001B7" w14:textId="77777777" w:rsidR="00E84757" w:rsidRPr="00C34F89" w:rsidRDefault="007661A5">
      <w:pPr>
        <w:spacing w:after="240" w:line="240" w:lineRule="auto"/>
      </w:pPr>
      <w:r w:rsidRPr="00C34F89">
        <w:t>Moolenaar, N., &amp; Sleegers, P. J. C. (2010). Social networks, trust, and innovation. The role of relationships in supporting an innovative climate in Dutch schools. In A. J. Daly (Ed.), Social network theory and educational change (pp. 97e114). Harvard University Press.</w:t>
      </w:r>
    </w:p>
    <w:p w14:paraId="000001B8" w14:textId="77777777" w:rsidR="00E84757" w:rsidRPr="00C34F89" w:rsidRDefault="007661A5">
      <w:pPr>
        <w:pBdr>
          <w:top w:val="nil"/>
          <w:left w:val="nil"/>
          <w:bottom w:val="nil"/>
          <w:right w:val="nil"/>
          <w:between w:val="nil"/>
        </w:pBdr>
        <w:spacing w:line="240" w:lineRule="auto"/>
      </w:pPr>
      <w:proofErr w:type="spellStart"/>
      <w:r w:rsidRPr="00C34F89">
        <w:t>Muthén</w:t>
      </w:r>
      <w:proofErr w:type="spellEnd"/>
      <w:r w:rsidRPr="00C34F89">
        <w:t xml:space="preserve">, L. K., &amp; </w:t>
      </w:r>
      <w:proofErr w:type="spellStart"/>
      <w:r w:rsidRPr="00C34F89">
        <w:t>Muthén</w:t>
      </w:r>
      <w:proofErr w:type="spellEnd"/>
      <w:r w:rsidRPr="00C34F89">
        <w:t xml:space="preserve">, B. 0. (2021). </w:t>
      </w:r>
      <w:proofErr w:type="spellStart"/>
      <w:r w:rsidRPr="00C34F89">
        <w:t>Mplus</w:t>
      </w:r>
      <w:proofErr w:type="spellEnd"/>
      <w:r w:rsidRPr="00C34F89">
        <w:t xml:space="preserve"> User´s guide, Eighth Edition. </w:t>
      </w:r>
      <w:proofErr w:type="spellStart"/>
      <w:r w:rsidRPr="00C34F89">
        <w:t>Muthén</w:t>
      </w:r>
      <w:proofErr w:type="spellEnd"/>
      <w:r w:rsidRPr="00C34F89">
        <w:t xml:space="preserve"> &amp; </w:t>
      </w:r>
      <w:proofErr w:type="spellStart"/>
      <w:r w:rsidRPr="00C34F89">
        <w:t>Muthén</w:t>
      </w:r>
      <w:proofErr w:type="spellEnd"/>
      <w:r w:rsidRPr="00C34F89">
        <w:t>.</w:t>
      </w:r>
    </w:p>
    <w:p w14:paraId="000001B9" w14:textId="77777777" w:rsidR="00E84757" w:rsidRPr="00C34F89" w:rsidRDefault="00E84757">
      <w:pPr>
        <w:pBdr>
          <w:top w:val="nil"/>
          <w:left w:val="nil"/>
          <w:bottom w:val="nil"/>
          <w:right w:val="nil"/>
          <w:between w:val="nil"/>
        </w:pBdr>
        <w:spacing w:line="240" w:lineRule="auto"/>
      </w:pPr>
    </w:p>
    <w:p w14:paraId="000001BA" w14:textId="77777777" w:rsidR="00E84757" w:rsidRPr="00C34F89" w:rsidRDefault="007661A5">
      <w:proofErr w:type="spellStart"/>
      <w:r w:rsidRPr="00C34F89">
        <w:t>Navaridas</w:t>
      </w:r>
      <w:proofErr w:type="spellEnd"/>
      <w:r w:rsidRPr="00C34F89">
        <w:t xml:space="preserve">-Nalda, F., Clavel-San Emeterio, M., Fernández-Ortiz, R., &amp; Arias-Oliva, M. (2020). The strategic influence of school </w:t>
      </w:r>
      <w:proofErr w:type="spellStart"/>
      <w:r w:rsidRPr="00C34F89">
        <w:t>school</w:t>
      </w:r>
      <w:proofErr w:type="spellEnd"/>
      <w:r w:rsidRPr="00C34F89">
        <w:t xml:space="preserve"> leader leadership in the digital transformation of schools. </w:t>
      </w:r>
      <w:r w:rsidRPr="00C34F89">
        <w:rPr>
          <w:i/>
        </w:rPr>
        <w:t>Computers in Human Behavior</w:t>
      </w:r>
      <w:r w:rsidRPr="00C34F89">
        <w:t xml:space="preserve">, </w:t>
      </w:r>
      <w:r w:rsidRPr="00C34F89">
        <w:rPr>
          <w:i/>
        </w:rPr>
        <w:t>112</w:t>
      </w:r>
      <w:r w:rsidRPr="00C34F89">
        <w:t>, 106481.</w:t>
      </w:r>
    </w:p>
    <w:p w14:paraId="000001BB" w14:textId="77777777" w:rsidR="00E84757" w:rsidRPr="00C34F89" w:rsidRDefault="007661A5">
      <w:pPr>
        <w:spacing w:before="240" w:after="240" w:line="240" w:lineRule="auto"/>
      </w:pPr>
      <w:r w:rsidRPr="00C34F89">
        <w:t>Nonaka, I., &amp; Takeuchi, H. (1995) The Knowledge-Creating Company: How Japanese companies create the dynamics of innovation. New York: Oxford University Press.</w:t>
      </w:r>
    </w:p>
    <w:p w14:paraId="000001BC" w14:textId="77777777" w:rsidR="00E84757" w:rsidRPr="00C34F89" w:rsidRDefault="007661A5">
      <w:pPr>
        <w:spacing w:before="240" w:after="240" w:line="240" w:lineRule="auto"/>
      </w:pPr>
      <w:r w:rsidRPr="00C34F89">
        <w:t xml:space="preserve">OECD (2015), </w:t>
      </w:r>
      <w:r w:rsidRPr="00C34F89">
        <w:rPr>
          <w:i/>
        </w:rPr>
        <w:t>Frascati Manual 2015: Guidelines for Collecting and Reporting Data on Research and Experimental Development, The Measurement of Scientific, Technological and Innovation Activities</w:t>
      </w:r>
      <w:r w:rsidRPr="00C34F89">
        <w:t xml:space="preserve">. OECD: Paris. </w:t>
      </w:r>
      <w:hyperlink r:id="rId49">
        <w:r w:rsidRPr="00C34F89">
          <w:rPr>
            <w:u w:val="single"/>
          </w:rPr>
          <w:t>http://oe.cd/frascati</w:t>
        </w:r>
      </w:hyperlink>
      <w:r w:rsidRPr="00C34F89">
        <w:t xml:space="preserve"> .</w:t>
      </w:r>
    </w:p>
    <w:p w14:paraId="000001BD" w14:textId="77777777" w:rsidR="00E84757" w:rsidRPr="00C34F89" w:rsidRDefault="007661A5">
      <w:pPr>
        <w:spacing w:after="240" w:line="240" w:lineRule="auto"/>
        <w:jc w:val="both"/>
        <w:rPr>
          <w:u w:val="single"/>
          <w:lang w:val="sv-SE"/>
        </w:rPr>
      </w:pPr>
      <w:r w:rsidRPr="00C34F89">
        <w:t xml:space="preserve">OECD/Eurostat. (2018). </w:t>
      </w:r>
      <w:r w:rsidRPr="00C34F89">
        <w:rPr>
          <w:i/>
        </w:rPr>
        <w:t>Oslo manual 2018: Guidelines for collecting, reporting and using data on innovation</w:t>
      </w:r>
      <w:r w:rsidRPr="00C34F89">
        <w:t xml:space="preserve">. </w:t>
      </w:r>
      <w:r w:rsidRPr="00C34F89">
        <w:rPr>
          <w:lang w:val="sv-SE"/>
        </w:rPr>
        <w:t xml:space="preserve">OECD. </w:t>
      </w:r>
      <w:r w:rsidRPr="00C34F89">
        <w:fldChar w:fldCharType="begin"/>
      </w:r>
      <w:r w:rsidRPr="00C34F89">
        <w:rPr>
          <w:lang w:val="sv-SE"/>
        </w:rPr>
        <w:instrText>HYPERLINK "https://doi.org/10.1787/9789264304604-en" \h</w:instrText>
      </w:r>
      <w:r w:rsidRPr="00C34F89">
        <w:fldChar w:fldCharType="separate"/>
      </w:r>
      <w:r w:rsidRPr="00C34F89">
        <w:rPr>
          <w:u w:val="single"/>
          <w:lang w:val="sv-SE"/>
        </w:rPr>
        <w:t xml:space="preserve">https://doi.org/10.1787/9789264304604-en </w:t>
      </w:r>
      <w:r w:rsidRPr="00C34F89">
        <w:fldChar w:fldCharType="end"/>
      </w:r>
    </w:p>
    <w:p w14:paraId="000001BE" w14:textId="77777777" w:rsidR="00E84757" w:rsidRPr="00C34F89" w:rsidRDefault="007661A5">
      <w:pPr>
        <w:spacing w:line="240" w:lineRule="auto"/>
      </w:pPr>
      <w:r w:rsidRPr="00C34F89">
        <w:rPr>
          <w:lang w:val="sv-SE"/>
        </w:rPr>
        <w:t xml:space="preserve">Pata, K., Tammets, K., Väljataga, T., Külli, K., Laanpere, M. &amp; Rõbtsenkov, R. (2022). </w:t>
      </w:r>
      <w:r w:rsidRPr="00C34F89">
        <w:t xml:space="preserve">The Patterns of School Improvement in Digitally Innovative Schools. </w:t>
      </w:r>
      <w:r w:rsidRPr="00C34F89">
        <w:rPr>
          <w:i/>
        </w:rPr>
        <w:t>Tech Know Learn 2</w:t>
      </w:r>
      <w:r w:rsidRPr="00C34F89">
        <w:t xml:space="preserve">7, 823–841. </w:t>
      </w:r>
      <w:hyperlink r:id="rId50">
        <w:r w:rsidRPr="00C34F89">
          <w:rPr>
            <w:u w:val="single"/>
          </w:rPr>
          <w:t>https://doi.org/10.1007/s10758-021-09514-5</w:t>
        </w:r>
      </w:hyperlink>
      <w:r w:rsidRPr="00C34F89">
        <w:t xml:space="preserve">  </w:t>
      </w:r>
    </w:p>
    <w:p w14:paraId="000001BF" w14:textId="77777777" w:rsidR="00E84757" w:rsidRPr="00C34F89" w:rsidRDefault="00E84757">
      <w:pPr>
        <w:spacing w:line="240" w:lineRule="auto"/>
      </w:pPr>
    </w:p>
    <w:p w14:paraId="000001C0" w14:textId="77777777" w:rsidR="00E84757" w:rsidRPr="00C34F89" w:rsidRDefault="007661A5">
      <w:pPr>
        <w:spacing w:line="240" w:lineRule="auto"/>
      </w:pPr>
      <w:r w:rsidRPr="00C34F89">
        <w:t xml:space="preserve">Pelletier, K., Rober, J., </w:t>
      </w:r>
      <w:proofErr w:type="spellStart"/>
      <w:r w:rsidRPr="00C34F89">
        <w:t>Muscanell</w:t>
      </w:r>
      <w:proofErr w:type="spellEnd"/>
      <w:r w:rsidRPr="00C34F89">
        <w:t xml:space="preserve">, N., McCormack, M., Reeves, J., </w:t>
      </w:r>
      <w:proofErr w:type="spellStart"/>
      <w:r w:rsidRPr="00C34F89">
        <w:t>Arbino</w:t>
      </w:r>
      <w:proofErr w:type="spellEnd"/>
      <w:r w:rsidRPr="00C34F89">
        <w:t xml:space="preserve">, N., Grajek, S., Birdwell, T., Liu, D., Mandernach, J., Moore, A., Porcaro, A., Rutledge, R., &amp; Zimmern, J. (2023). </w:t>
      </w:r>
      <w:r w:rsidRPr="00C34F89">
        <w:rPr>
          <w:i/>
        </w:rPr>
        <w:t>2023 EDUCAUSE Horizon Report, Teaching and Learning Edition</w:t>
      </w:r>
      <w:r w:rsidRPr="00C34F89">
        <w:t>.</w:t>
      </w:r>
      <w:hyperlink r:id="rId51">
        <w:r w:rsidRPr="00C34F89">
          <w:t xml:space="preserve"> </w:t>
        </w:r>
      </w:hyperlink>
      <w:hyperlink r:id="rId52">
        <w:r w:rsidRPr="00C34F89">
          <w:rPr>
            <w:u w:val="single"/>
          </w:rPr>
          <w:t>https://library.educause.edu/-/media/files/library/2023/4/2023hrteachinglearning.pdf</w:t>
        </w:r>
      </w:hyperlink>
    </w:p>
    <w:p w14:paraId="000001C1" w14:textId="77777777" w:rsidR="00E84757" w:rsidRPr="00C34F89" w:rsidRDefault="00E84757">
      <w:pPr>
        <w:rPr>
          <w:u w:val="single"/>
        </w:rPr>
      </w:pPr>
    </w:p>
    <w:p w14:paraId="000001C2" w14:textId="77777777" w:rsidR="00E84757" w:rsidRPr="00C34F89" w:rsidRDefault="007661A5">
      <w:pPr>
        <w:spacing w:line="240" w:lineRule="auto"/>
        <w:rPr>
          <w:u w:val="single"/>
        </w:rPr>
      </w:pPr>
      <w:r w:rsidRPr="00C34F89">
        <w:t xml:space="preserve">Penuel, W. R., Allen, </w:t>
      </w:r>
      <w:proofErr w:type="gramStart"/>
      <w:r w:rsidRPr="00C34F89">
        <w:t>A.‑</w:t>
      </w:r>
      <w:proofErr w:type="gramEnd"/>
      <w:r w:rsidRPr="00C34F89">
        <w:t xml:space="preserve">R., Coburn, C. E., &amp; Farrell, C. (2015). Conceptualizing Research–Practice Partnerships as Joint Work at Boundaries. </w:t>
      </w:r>
      <w:r w:rsidRPr="00C34F89">
        <w:rPr>
          <w:i/>
        </w:rPr>
        <w:t>Journal of Education for Students Placed at Risk (JESPAR)</w:t>
      </w:r>
      <w:r w:rsidRPr="00C34F89">
        <w:t xml:space="preserve">, </w:t>
      </w:r>
      <w:r w:rsidRPr="00C34F89">
        <w:rPr>
          <w:i/>
        </w:rPr>
        <w:t>20</w:t>
      </w:r>
      <w:r w:rsidRPr="00C34F89">
        <w:t>(1-2), 182–197.</w:t>
      </w:r>
      <w:hyperlink r:id="rId53">
        <w:r w:rsidRPr="00C34F89">
          <w:t xml:space="preserve"> </w:t>
        </w:r>
      </w:hyperlink>
      <w:hyperlink r:id="rId54">
        <w:r w:rsidRPr="00C34F89">
          <w:rPr>
            <w:u w:val="single"/>
          </w:rPr>
          <w:t>https://doi.org/10.1080/10824669.2014.988334</w:t>
        </w:r>
      </w:hyperlink>
      <w:r w:rsidRPr="00C34F89">
        <w:rPr>
          <w:u w:val="single"/>
        </w:rPr>
        <w:t xml:space="preserve"> </w:t>
      </w:r>
    </w:p>
    <w:p w14:paraId="000001C3" w14:textId="77777777" w:rsidR="00E84757" w:rsidRPr="00C34F89" w:rsidRDefault="00E84757">
      <w:pPr>
        <w:spacing w:line="240" w:lineRule="auto"/>
      </w:pPr>
    </w:p>
    <w:p w14:paraId="000001C4" w14:textId="77777777" w:rsidR="00E84757" w:rsidRPr="00C34F89" w:rsidRDefault="007661A5">
      <w:pPr>
        <w:spacing w:line="240" w:lineRule="auto"/>
      </w:pPr>
      <w:r w:rsidRPr="00C34F89">
        <w:t xml:space="preserve">Pietsch, M., Aydin, B., Montecinos, C., &amp; </w:t>
      </w:r>
      <w:proofErr w:type="spellStart"/>
      <w:r w:rsidRPr="00C34F89">
        <w:t>Bellibaş</w:t>
      </w:r>
      <w:proofErr w:type="spellEnd"/>
      <w:r w:rsidRPr="00C34F89">
        <w:t xml:space="preserve">, M. Ş. (2025). Organizational ambidexterity and student achievement: Do knowledge exploration and exploitation in schools make a </w:t>
      </w:r>
      <w:proofErr w:type="gramStart"/>
      <w:r w:rsidRPr="00C34F89">
        <w:t>difference?.</w:t>
      </w:r>
      <w:proofErr w:type="gramEnd"/>
      <w:r w:rsidRPr="00C34F89">
        <w:t xml:space="preserve"> </w:t>
      </w:r>
      <w:r w:rsidRPr="00C34F89">
        <w:rPr>
          <w:i/>
        </w:rPr>
        <w:t>Journal of Innovation &amp; Knowledge</w:t>
      </w:r>
      <w:r w:rsidRPr="00C34F89">
        <w:t xml:space="preserve">, </w:t>
      </w:r>
      <w:r w:rsidRPr="00C34F89">
        <w:rPr>
          <w:i/>
        </w:rPr>
        <w:t>10</w:t>
      </w:r>
      <w:r w:rsidRPr="00C34F89">
        <w:t xml:space="preserve">(1). </w:t>
      </w:r>
      <w:hyperlink r:id="rId55">
        <w:r w:rsidRPr="00C34F89">
          <w:rPr>
            <w:u w:val="single"/>
          </w:rPr>
          <w:t>https://doi.org/10.1016/j.jik.2024.100636</w:t>
        </w:r>
      </w:hyperlink>
    </w:p>
    <w:p w14:paraId="000001C5" w14:textId="77777777" w:rsidR="00E84757" w:rsidRPr="00C34F89" w:rsidRDefault="00E84757">
      <w:pPr>
        <w:spacing w:line="240" w:lineRule="auto"/>
      </w:pPr>
    </w:p>
    <w:p w14:paraId="000001C6" w14:textId="77777777" w:rsidR="00E84757" w:rsidRPr="00C34F89" w:rsidRDefault="007661A5">
      <w:pPr>
        <w:spacing w:line="240" w:lineRule="auto"/>
      </w:pPr>
      <w:r w:rsidRPr="00C34F89">
        <w:lastRenderedPageBreak/>
        <w:t xml:space="preserve">Pietsch, M., Brown, C., Aydin, B., &amp; Cramer, C. (2023). Open innovation networks: a driver for knowledge </w:t>
      </w:r>
      <w:proofErr w:type="spellStart"/>
      <w:r w:rsidRPr="00C34F89">
        <w:t>mobilisation</w:t>
      </w:r>
      <w:proofErr w:type="spellEnd"/>
      <w:r w:rsidRPr="00C34F89">
        <w:t xml:space="preserve"> in </w:t>
      </w:r>
      <w:proofErr w:type="gramStart"/>
      <w:r w:rsidRPr="00C34F89">
        <w:t>schools?.</w:t>
      </w:r>
      <w:proofErr w:type="gramEnd"/>
      <w:r w:rsidRPr="00C34F89">
        <w:t xml:space="preserve"> </w:t>
      </w:r>
      <w:r w:rsidRPr="00C34F89">
        <w:rPr>
          <w:i/>
        </w:rPr>
        <w:t>Journal of Professional Capital and Community</w:t>
      </w:r>
      <w:r w:rsidRPr="00C34F89">
        <w:t xml:space="preserve">, </w:t>
      </w:r>
      <w:r w:rsidRPr="00C34F89">
        <w:rPr>
          <w:i/>
        </w:rPr>
        <w:t>8</w:t>
      </w:r>
      <w:r w:rsidRPr="00C34F89">
        <w:t>(3), 202-218.</w:t>
      </w:r>
    </w:p>
    <w:p w14:paraId="000001C7" w14:textId="77777777" w:rsidR="00E84757" w:rsidRPr="00C34F89" w:rsidRDefault="00E84757">
      <w:pPr>
        <w:spacing w:line="240" w:lineRule="auto"/>
      </w:pPr>
    </w:p>
    <w:p w14:paraId="000001C8" w14:textId="77777777" w:rsidR="00E84757" w:rsidRPr="00C34F89" w:rsidRDefault="007661A5">
      <w:pPr>
        <w:spacing w:after="240" w:line="240" w:lineRule="auto"/>
        <w:jc w:val="both"/>
      </w:pPr>
      <w:r w:rsidRPr="00C34F89">
        <w:t xml:space="preserve">Pietsch, M., Cramer, C., Brown, C., Aydin, B., &amp; </w:t>
      </w:r>
      <w:proofErr w:type="spellStart"/>
      <w:r w:rsidRPr="00C34F89">
        <w:t>Witthöft</w:t>
      </w:r>
      <w:proofErr w:type="spellEnd"/>
      <w:r w:rsidRPr="00C34F89">
        <w:t xml:space="preserve">, J. (2024). Open innovation in schools: a new imperative for </w:t>
      </w:r>
      <w:proofErr w:type="spellStart"/>
      <w:r w:rsidRPr="00C34F89">
        <w:t>organising</w:t>
      </w:r>
      <w:proofErr w:type="spellEnd"/>
      <w:r w:rsidRPr="00C34F89">
        <w:t xml:space="preserve"> innovation in education? </w:t>
      </w:r>
      <w:r w:rsidRPr="00C34F89">
        <w:rPr>
          <w:i/>
        </w:rPr>
        <w:t>Technology, Knowledge and Learning</w:t>
      </w:r>
      <w:r w:rsidRPr="00C34F89">
        <w:t xml:space="preserve">, </w:t>
      </w:r>
      <w:r w:rsidRPr="00C34F89">
        <w:rPr>
          <w:i/>
        </w:rPr>
        <w:t>29</w:t>
      </w:r>
      <w:r w:rsidRPr="00C34F89">
        <w:t>(2), 1051-1077.</w:t>
      </w:r>
    </w:p>
    <w:p w14:paraId="000001C9" w14:textId="77777777" w:rsidR="00E84757" w:rsidRPr="00C34F89" w:rsidRDefault="007661A5">
      <w:pPr>
        <w:spacing w:after="240" w:line="240" w:lineRule="auto"/>
        <w:jc w:val="both"/>
      </w:pPr>
      <w:r w:rsidRPr="00C34F89">
        <w:t xml:space="preserve">Pietsch, M. &amp; Mah, D. (2024). Leading the AI transformation in schools: it starts with a digital mindset. </w:t>
      </w:r>
      <w:r w:rsidRPr="00C34F89">
        <w:rPr>
          <w:i/>
        </w:rPr>
        <w:t>Educational Technology Research and Development</w:t>
      </w:r>
      <w:r w:rsidRPr="00C34F89">
        <w:t xml:space="preserve">. </w:t>
      </w:r>
      <w:hyperlink r:id="rId56">
        <w:r w:rsidRPr="00C34F89">
          <w:rPr>
            <w:color w:val="000000"/>
            <w:u w:val="single"/>
          </w:rPr>
          <w:t>https://doi.org/10.1007/s11423-024-10439-w</w:t>
        </w:r>
      </w:hyperlink>
    </w:p>
    <w:p w14:paraId="000001CA" w14:textId="77777777" w:rsidR="00E84757" w:rsidRPr="00C34F89" w:rsidRDefault="007661A5">
      <w:pPr>
        <w:spacing w:line="240" w:lineRule="auto"/>
      </w:pPr>
      <w:r w:rsidRPr="00C34F89">
        <w:t xml:space="preserve">Preacher, K. J., &amp; Hayes, A. F. (2008). Asymptotic and resampling strategies for assessing and comparing indirect effects in multiple mediator models. </w:t>
      </w:r>
      <w:r w:rsidRPr="00C34F89">
        <w:rPr>
          <w:i/>
        </w:rPr>
        <w:t>Behavior research methods</w:t>
      </w:r>
      <w:r w:rsidRPr="00C34F89">
        <w:t xml:space="preserve">, </w:t>
      </w:r>
      <w:r w:rsidRPr="00C34F89">
        <w:rPr>
          <w:i/>
        </w:rPr>
        <w:t>40</w:t>
      </w:r>
      <w:r w:rsidRPr="00C34F89">
        <w:t>(3), 879-891.</w:t>
      </w:r>
    </w:p>
    <w:p w14:paraId="000001CB" w14:textId="77777777" w:rsidR="00E84757" w:rsidRPr="00C34F89" w:rsidRDefault="00E84757">
      <w:pPr>
        <w:spacing w:line="240" w:lineRule="auto"/>
        <w:jc w:val="both"/>
      </w:pPr>
    </w:p>
    <w:p w14:paraId="000001CC" w14:textId="77777777" w:rsidR="00E84757" w:rsidRPr="00C34F89" w:rsidRDefault="007661A5">
      <w:pPr>
        <w:pBdr>
          <w:top w:val="nil"/>
          <w:left w:val="nil"/>
          <w:bottom w:val="nil"/>
          <w:right w:val="nil"/>
          <w:between w:val="nil"/>
        </w:pBdr>
        <w:spacing w:line="240" w:lineRule="auto"/>
      </w:pPr>
      <w:proofErr w:type="spellStart"/>
      <w:r w:rsidRPr="00C34F89">
        <w:t>Puentedura</w:t>
      </w:r>
      <w:proofErr w:type="spellEnd"/>
      <w:r w:rsidRPr="00C34F89">
        <w:t xml:space="preserve">, R. (2006). Transformation, technology, and education [Blog post]. </w:t>
      </w:r>
      <w:hyperlink r:id="rId57">
        <w:r w:rsidRPr="00C34F89">
          <w:rPr>
            <w:u w:val="single"/>
          </w:rPr>
          <w:t>http://hippasus.com/resources/tte/</w:t>
        </w:r>
      </w:hyperlink>
      <w:r w:rsidRPr="00C34F89">
        <w:t>.</w:t>
      </w:r>
    </w:p>
    <w:p w14:paraId="000001CD" w14:textId="77777777" w:rsidR="00E84757" w:rsidRPr="00C34F89" w:rsidRDefault="00E84757">
      <w:pPr>
        <w:spacing w:line="240" w:lineRule="auto"/>
      </w:pPr>
    </w:p>
    <w:p w14:paraId="000001CE" w14:textId="77777777" w:rsidR="00E84757" w:rsidRPr="00C34F89" w:rsidRDefault="007661A5">
      <w:pPr>
        <w:spacing w:line="240" w:lineRule="auto"/>
      </w:pPr>
      <w:r w:rsidRPr="00C34F89">
        <w:t xml:space="preserve">Reich, J. (2023). </w:t>
      </w:r>
      <w:r w:rsidRPr="00C34F89">
        <w:rPr>
          <w:i/>
        </w:rPr>
        <w:t>Iterate: The Secret to Innovation in Schools</w:t>
      </w:r>
      <w:r w:rsidRPr="00C34F89">
        <w:t>. John Wiley &amp; Sons.</w:t>
      </w:r>
    </w:p>
    <w:p w14:paraId="000001CF" w14:textId="77777777" w:rsidR="00E84757" w:rsidRPr="00C34F89" w:rsidRDefault="00E84757">
      <w:pPr>
        <w:spacing w:line="240" w:lineRule="auto"/>
        <w:jc w:val="both"/>
      </w:pPr>
    </w:p>
    <w:p w14:paraId="000001D0" w14:textId="77777777" w:rsidR="00E84757" w:rsidRPr="00C34F89" w:rsidRDefault="007661A5">
      <w:pPr>
        <w:spacing w:after="240" w:line="240" w:lineRule="auto"/>
        <w:jc w:val="both"/>
        <w:rPr>
          <w:lang w:val="de-DE"/>
        </w:rPr>
      </w:pPr>
      <w:r w:rsidRPr="00C34F89">
        <w:t>Sancho-Zamora, R., Gutiérrez-Broncano, S., Hernández-</w:t>
      </w:r>
      <w:proofErr w:type="spellStart"/>
      <w:r w:rsidRPr="00C34F89">
        <w:t>Perlines</w:t>
      </w:r>
      <w:proofErr w:type="spellEnd"/>
      <w:r w:rsidRPr="00C34F89">
        <w:t xml:space="preserve">, F., &amp; Peña-García, I. (2021). A Multidimensional Study of Absorptive Capacity and Innovation Capacity and Their Impact on Business Performance. </w:t>
      </w:r>
      <w:r w:rsidRPr="00C34F89">
        <w:rPr>
          <w:i/>
          <w:lang w:val="de-DE"/>
        </w:rPr>
        <w:t xml:space="preserve">Frontiers </w:t>
      </w:r>
      <w:proofErr w:type="gramStart"/>
      <w:r w:rsidRPr="00C34F89">
        <w:rPr>
          <w:i/>
          <w:lang w:val="de-DE"/>
        </w:rPr>
        <w:t xml:space="preserve">in  </w:t>
      </w:r>
      <w:proofErr w:type="spellStart"/>
      <w:r w:rsidRPr="00C34F89">
        <w:rPr>
          <w:i/>
          <w:lang w:val="de-DE"/>
        </w:rPr>
        <w:t>Psychology</w:t>
      </w:r>
      <w:proofErr w:type="spellEnd"/>
      <w:proofErr w:type="gramEnd"/>
      <w:r w:rsidRPr="00C34F89">
        <w:rPr>
          <w:lang w:val="de-DE"/>
        </w:rPr>
        <w:t xml:space="preserve">, 12, 751997. </w:t>
      </w:r>
      <w:hyperlink r:id="rId58">
        <w:r w:rsidRPr="00C34F89">
          <w:rPr>
            <w:u w:val="single"/>
            <w:lang w:val="de-DE"/>
          </w:rPr>
          <w:t>https://doi.org/10.3389/fpsyg.2021.751997</w:t>
        </w:r>
      </w:hyperlink>
      <w:r w:rsidRPr="00C34F89">
        <w:rPr>
          <w:lang w:val="de-DE"/>
        </w:rPr>
        <w:t>.</w:t>
      </w:r>
    </w:p>
    <w:p w14:paraId="000001D1" w14:textId="77777777" w:rsidR="00E84757" w:rsidRPr="00C34F89" w:rsidRDefault="007661A5">
      <w:pPr>
        <w:pBdr>
          <w:top w:val="nil"/>
          <w:left w:val="nil"/>
          <w:bottom w:val="nil"/>
          <w:right w:val="nil"/>
          <w:between w:val="nil"/>
        </w:pBdr>
        <w:spacing w:line="240" w:lineRule="auto"/>
        <w:rPr>
          <w:u w:val="single"/>
        </w:rPr>
      </w:pPr>
      <w:proofErr w:type="spellStart"/>
      <w:r w:rsidRPr="00C34F89">
        <w:rPr>
          <w:lang w:val="de-DE"/>
        </w:rPr>
        <w:t>Saubern</w:t>
      </w:r>
      <w:proofErr w:type="spellEnd"/>
      <w:r w:rsidRPr="00C34F89">
        <w:rPr>
          <w:lang w:val="de-DE"/>
        </w:rPr>
        <w:t xml:space="preserve">, R., Henderson, M., Heinrich, E., &amp; Redmond, P. (2020). </w:t>
      </w:r>
      <w:r w:rsidRPr="00C34F89">
        <w:t xml:space="preserve">TPACK–time to </w:t>
      </w:r>
      <w:proofErr w:type="gramStart"/>
      <w:r w:rsidRPr="00C34F89">
        <w:t>reboot?.</w:t>
      </w:r>
      <w:proofErr w:type="gramEnd"/>
      <w:r w:rsidRPr="00C34F89">
        <w:t xml:space="preserve"> </w:t>
      </w:r>
      <w:r w:rsidRPr="00C34F89">
        <w:rPr>
          <w:i/>
        </w:rPr>
        <w:t>Australasian Journal of Educational Technology</w:t>
      </w:r>
      <w:r w:rsidRPr="00C34F89">
        <w:t>, 36(3), 1-9.</w:t>
      </w:r>
    </w:p>
    <w:p w14:paraId="000001D2" w14:textId="77777777" w:rsidR="00E84757" w:rsidRPr="00C34F89" w:rsidRDefault="00E84757">
      <w:pPr>
        <w:spacing w:line="240" w:lineRule="auto"/>
      </w:pPr>
    </w:p>
    <w:p w14:paraId="000001D3" w14:textId="77777777" w:rsidR="00E84757" w:rsidRPr="00C34F89" w:rsidRDefault="007661A5">
      <w:pPr>
        <w:spacing w:line="240" w:lineRule="auto"/>
      </w:pPr>
      <w:proofErr w:type="spellStart"/>
      <w:r w:rsidRPr="00C34F89">
        <w:rPr>
          <w:lang w:val="de-DE"/>
        </w:rPr>
        <w:t>Schermelleh</w:t>
      </w:r>
      <w:proofErr w:type="spellEnd"/>
      <w:r w:rsidRPr="00C34F89">
        <w:rPr>
          <w:lang w:val="de-DE"/>
        </w:rPr>
        <w:t xml:space="preserve">-Engel, K., Moosbrugger, H., &amp; Müller, H. (2003). </w:t>
      </w:r>
      <w:r w:rsidRPr="00C34F89">
        <w:t xml:space="preserve">Evaluating the fit of structural equation models: Tests of significance and descriptive goodness-of-fit measures. </w:t>
      </w:r>
      <w:r w:rsidRPr="00C34F89">
        <w:rPr>
          <w:i/>
        </w:rPr>
        <w:t>Methods of psychological research online</w:t>
      </w:r>
      <w:r w:rsidRPr="00C34F89">
        <w:t xml:space="preserve">, </w:t>
      </w:r>
      <w:r w:rsidRPr="00C34F89">
        <w:rPr>
          <w:i/>
        </w:rPr>
        <w:t>8</w:t>
      </w:r>
      <w:r w:rsidRPr="00C34F89">
        <w:t>(2), 23-74.</w:t>
      </w:r>
    </w:p>
    <w:p w14:paraId="000001D4" w14:textId="77777777" w:rsidR="00E84757" w:rsidRPr="00C34F89" w:rsidRDefault="00E84757">
      <w:pPr>
        <w:spacing w:line="240" w:lineRule="auto"/>
      </w:pPr>
    </w:p>
    <w:p w14:paraId="000001D5" w14:textId="77777777" w:rsidR="00E84757" w:rsidRPr="00C34F89" w:rsidRDefault="007661A5">
      <w:pPr>
        <w:spacing w:after="240" w:line="240" w:lineRule="auto"/>
        <w:rPr>
          <w:u w:val="single"/>
        </w:rPr>
      </w:pPr>
      <w:r w:rsidRPr="00C34F89">
        <w:t xml:space="preserve">Schleicher, A. (2022). </w:t>
      </w:r>
      <w:r w:rsidRPr="00C34F89">
        <w:rPr>
          <w:i/>
        </w:rPr>
        <w:t xml:space="preserve">International Summit on the Teaching Profession: Building on COVID-19’s Innovation Momentum for Digital, Inclusive Education. </w:t>
      </w:r>
      <w:r w:rsidRPr="00C34F89">
        <w:t xml:space="preserve">OECD Publishing. </w:t>
      </w:r>
      <w:hyperlink r:id="rId59">
        <w:r w:rsidRPr="00C34F89">
          <w:rPr>
            <w:u w:val="single"/>
          </w:rPr>
          <w:t>https://doi.org/10.1787/24202496-en</w:t>
        </w:r>
      </w:hyperlink>
    </w:p>
    <w:p w14:paraId="000001D6" w14:textId="77777777" w:rsidR="00E84757" w:rsidRPr="00C34F89" w:rsidRDefault="007661A5">
      <w:pPr>
        <w:pBdr>
          <w:top w:val="nil"/>
          <w:left w:val="nil"/>
          <w:bottom w:val="nil"/>
          <w:right w:val="nil"/>
          <w:between w:val="nil"/>
        </w:pBdr>
        <w:spacing w:line="240" w:lineRule="auto"/>
      </w:pPr>
      <w:r w:rsidRPr="00C34F89">
        <w:t xml:space="preserve">Schmid, M., Brianza, E., Mok, S. Y., &amp; Petko, D. (2024). Running in circles: A systematic review of reviews on technological pedagogical content knowledge (TPACK). </w:t>
      </w:r>
      <w:r w:rsidRPr="00C34F89">
        <w:rPr>
          <w:i/>
        </w:rPr>
        <w:t>Computers &amp; Education</w:t>
      </w:r>
      <w:r w:rsidRPr="00C34F89">
        <w:t>, 105024.</w:t>
      </w:r>
    </w:p>
    <w:p w14:paraId="000001D7" w14:textId="77777777" w:rsidR="00E84757" w:rsidRPr="00C34F89" w:rsidRDefault="00E84757">
      <w:pPr>
        <w:pBdr>
          <w:top w:val="nil"/>
          <w:left w:val="nil"/>
          <w:bottom w:val="nil"/>
          <w:right w:val="nil"/>
          <w:between w:val="nil"/>
        </w:pBdr>
        <w:spacing w:line="240" w:lineRule="auto"/>
      </w:pPr>
    </w:p>
    <w:p w14:paraId="000001D8" w14:textId="77777777" w:rsidR="00E84757" w:rsidRPr="00C34F89" w:rsidRDefault="007661A5">
      <w:pPr>
        <w:spacing w:line="240" w:lineRule="auto"/>
      </w:pPr>
      <w:proofErr w:type="spellStart"/>
      <w:r w:rsidRPr="00C34F89">
        <w:t>Schweisfurth</w:t>
      </w:r>
      <w:proofErr w:type="spellEnd"/>
      <w:r w:rsidRPr="00C34F89">
        <w:t xml:space="preserve">, T. G., &amp; Raasch, C. (2018). Absorptive capacity for need knowledge: Antecedents and effects for employee innovativeness. </w:t>
      </w:r>
      <w:r w:rsidRPr="00C34F89">
        <w:rPr>
          <w:i/>
        </w:rPr>
        <w:t>Research policy</w:t>
      </w:r>
      <w:r w:rsidRPr="00C34F89">
        <w:t xml:space="preserve">, </w:t>
      </w:r>
      <w:r w:rsidRPr="00C34F89">
        <w:rPr>
          <w:i/>
        </w:rPr>
        <w:t>47</w:t>
      </w:r>
      <w:r w:rsidRPr="00C34F89">
        <w:t>(4), 687-699.</w:t>
      </w:r>
    </w:p>
    <w:p w14:paraId="000001D9" w14:textId="77777777" w:rsidR="00E84757" w:rsidRPr="00C34F89" w:rsidRDefault="00E84757">
      <w:pPr>
        <w:spacing w:line="240" w:lineRule="auto"/>
      </w:pPr>
    </w:p>
    <w:p w14:paraId="000001DA" w14:textId="77777777" w:rsidR="00E84757" w:rsidRPr="00C34F89" w:rsidRDefault="007661A5">
      <w:pPr>
        <w:spacing w:line="240" w:lineRule="auto"/>
      </w:pPr>
      <w:r w:rsidRPr="00C34F89">
        <w:t xml:space="preserve">Shi, D., &amp; </w:t>
      </w:r>
      <w:proofErr w:type="spellStart"/>
      <w:r w:rsidRPr="00C34F89">
        <w:t>Maydeu</w:t>
      </w:r>
      <w:proofErr w:type="spellEnd"/>
      <w:r w:rsidRPr="00C34F89">
        <w:t xml:space="preserve">-Olivares, A. (2020). The effect of estimation methods on SEM fit indices. </w:t>
      </w:r>
      <w:r w:rsidRPr="00C34F89">
        <w:rPr>
          <w:i/>
        </w:rPr>
        <w:t>Educational and psychological measurement</w:t>
      </w:r>
      <w:r w:rsidRPr="00C34F89">
        <w:t xml:space="preserve">, </w:t>
      </w:r>
      <w:r w:rsidRPr="00C34F89">
        <w:rPr>
          <w:i/>
        </w:rPr>
        <w:t>80</w:t>
      </w:r>
      <w:r w:rsidRPr="00C34F89">
        <w:t>(3), 421-445.</w:t>
      </w:r>
    </w:p>
    <w:p w14:paraId="000001DB" w14:textId="77777777" w:rsidR="00E84757" w:rsidRPr="00C34F89" w:rsidRDefault="00E84757">
      <w:pPr>
        <w:spacing w:line="240" w:lineRule="auto"/>
      </w:pPr>
    </w:p>
    <w:p w14:paraId="000001DC" w14:textId="77777777" w:rsidR="00E84757" w:rsidRPr="00C34F89" w:rsidRDefault="007661A5">
      <w:pPr>
        <w:pBdr>
          <w:top w:val="nil"/>
          <w:left w:val="nil"/>
          <w:bottom w:val="nil"/>
          <w:right w:val="nil"/>
          <w:between w:val="nil"/>
        </w:pBdr>
        <w:spacing w:line="240" w:lineRule="auto"/>
      </w:pPr>
      <w:r w:rsidRPr="00C34F89">
        <w:t>Shulman, L. S. (1986). Those who understand: Knowledge growth in teaching.</w:t>
      </w:r>
      <w:r w:rsidRPr="00C34F89">
        <w:rPr>
          <w:i/>
        </w:rPr>
        <w:t xml:space="preserve"> Educational Researcher</w:t>
      </w:r>
      <w:r w:rsidRPr="00C34F89">
        <w:t>, 15(2), 4-14.</w:t>
      </w:r>
    </w:p>
    <w:p w14:paraId="000001DD" w14:textId="77777777" w:rsidR="00E84757" w:rsidRPr="00C34F89" w:rsidRDefault="00E84757">
      <w:pPr>
        <w:pBdr>
          <w:top w:val="nil"/>
          <w:left w:val="nil"/>
          <w:bottom w:val="nil"/>
          <w:right w:val="nil"/>
          <w:between w:val="nil"/>
        </w:pBdr>
        <w:spacing w:line="240" w:lineRule="auto"/>
      </w:pPr>
    </w:p>
    <w:p w14:paraId="000001DE" w14:textId="77777777" w:rsidR="00E84757" w:rsidRPr="00C34F89" w:rsidRDefault="007661A5">
      <w:pPr>
        <w:pBdr>
          <w:top w:val="nil"/>
          <w:left w:val="nil"/>
          <w:bottom w:val="nil"/>
          <w:right w:val="nil"/>
          <w:between w:val="nil"/>
        </w:pBdr>
        <w:spacing w:line="240" w:lineRule="auto"/>
      </w:pPr>
      <w:r w:rsidRPr="00C34F89">
        <w:lastRenderedPageBreak/>
        <w:t xml:space="preserve">Siddiq, F., &amp; Scherer, R. (2019). Is there a gender gap? A meta-analysis of the gender differences in students' ICT literacy. </w:t>
      </w:r>
      <w:r w:rsidRPr="00C34F89">
        <w:rPr>
          <w:i/>
        </w:rPr>
        <w:t>Educational research review</w:t>
      </w:r>
      <w:r w:rsidRPr="00C34F89">
        <w:t>, 27, 205-217.</w:t>
      </w:r>
    </w:p>
    <w:p w14:paraId="000001DF" w14:textId="77777777" w:rsidR="00E84757" w:rsidRPr="00C34F89" w:rsidRDefault="00E84757">
      <w:pPr>
        <w:spacing w:line="240" w:lineRule="auto"/>
      </w:pPr>
    </w:p>
    <w:p w14:paraId="000001E0" w14:textId="77777777" w:rsidR="00E84757" w:rsidRPr="00C34F89" w:rsidRDefault="007661A5">
      <w:pPr>
        <w:spacing w:line="240" w:lineRule="auto"/>
        <w:rPr>
          <w:lang w:val="sv-SE"/>
        </w:rPr>
      </w:pPr>
      <w:r w:rsidRPr="00C34F89">
        <w:t xml:space="preserve">Slavin, R.E. (2005). Sand, bricks, and seeds: school change strategies and readiness for reform. In D. Hopkins (Ed.), </w:t>
      </w:r>
      <w:r w:rsidRPr="00C34F89">
        <w:rPr>
          <w:i/>
        </w:rPr>
        <w:t>The practice and theory of school improvement</w:t>
      </w:r>
      <w:r w:rsidRPr="00C34F89">
        <w:t xml:space="preserve">, pp. 265–279. </w:t>
      </w:r>
      <w:r w:rsidRPr="00C34F89">
        <w:rPr>
          <w:lang w:val="sv-SE"/>
        </w:rPr>
        <w:t>Springer.</w:t>
      </w:r>
    </w:p>
    <w:p w14:paraId="000001E1" w14:textId="77777777" w:rsidR="00E84757" w:rsidRPr="00C34F89" w:rsidRDefault="00E84757">
      <w:pPr>
        <w:pBdr>
          <w:top w:val="nil"/>
          <w:left w:val="nil"/>
          <w:bottom w:val="nil"/>
          <w:right w:val="nil"/>
          <w:between w:val="nil"/>
        </w:pBdr>
        <w:spacing w:line="240" w:lineRule="auto"/>
        <w:rPr>
          <w:lang w:val="sv-SE"/>
        </w:rPr>
      </w:pPr>
    </w:p>
    <w:p w14:paraId="000001E2" w14:textId="77777777" w:rsidR="00E84757" w:rsidRPr="00C34F89" w:rsidRDefault="007661A5">
      <w:pPr>
        <w:spacing w:after="240" w:line="240" w:lineRule="auto"/>
        <w:rPr>
          <w:u w:val="single"/>
        </w:rPr>
      </w:pPr>
      <w:r w:rsidRPr="00C34F89">
        <w:rPr>
          <w:lang w:val="sv-SE"/>
        </w:rPr>
        <w:t xml:space="preserve">Song, Y., Gnyawali, D. R., Srivastava, M. K., &amp; Asgari, E. (2018). </w:t>
      </w:r>
      <w:r w:rsidRPr="00C34F89">
        <w:t xml:space="preserve">In search of precision in absorptive capacity research: A synthesis of the literature and consolidation of findings. </w:t>
      </w:r>
      <w:r w:rsidRPr="00C34F89">
        <w:rPr>
          <w:i/>
        </w:rPr>
        <w:t>Journal of Management</w:t>
      </w:r>
      <w:r w:rsidRPr="00C34F89">
        <w:t xml:space="preserve">, </w:t>
      </w:r>
      <w:r w:rsidRPr="00C34F89">
        <w:rPr>
          <w:i/>
        </w:rPr>
        <w:t>44</w:t>
      </w:r>
      <w:r w:rsidRPr="00C34F89">
        <w:t>(6), 2343-2374.</w:t>
      </w:r>
    </w:p>
    <w:p w14:paraId="000001E3" w14:textId="77777777" w:rsidR="00E84757" w:rsidRPr="00C34F89" w:rsidRDefault="007661A5">
      <w:pPr>
        <w:pBdr>
          <w:top w:val="nil"/>
          <w:left w:val="nil"/>
          <w:bottom w:val="nil"/>
          <w:right w:val="nil"/>
          <w:between w:val="nil"/>
        </w:pBdr>
        <w:tabs>
          <w:tab w:val="left" w:pos="720"/>
          <w:tab w:val="left" w:pos="0"/>
        </w:tabs>
        <w:spacing w:line="240" w:lineRule="auto"/>
      </w:pPr>
      <w:r w:rsidRPr="00C34F89">
        <w:t xml:space="preserve">Stevens, S. S. (1946). On the Theory of Scales of Measurement. </w:t>
      </w:r>
      <w:r w:rsidRPr="00C34F89">
        <w:rPr>
          <w:i/>
        </w:rPr>
        <w:t>Science (New York, N.Y.)</w:t>
      </w:r>
      <w:r w:rsidRPr="00C34F89">
        <w:t xml:space="preserve">, </w:t>
      </w:r>
      <w:r w:rsidRPr="00C34F89">
        <w:rPr>
          <w:i/>
        </w:rPr>
        <w:t>103</w:t>
      </w:r>
      <w:r w:rsidRPr="00C34F89">
        <w:t xml:space="preserve">(2684), 677–680. </w:t>
      </w:r>
      <w:hyperlink r:id="rId60">
        <w:r w:rsidRPr="00C34F89">
          <w:rPr>
            <w:u w:val="single"/>
          </w:rPr>
          <w:t>https://doi.org/10.1126/science.103.2684.677</w:t>
        </w:r>
      </w:hyperlink>
    </w:p>
    <w:p w14:paraId="000001E4" w14:textId="77777777" w:rsidR="00E84757" w:rsidRPr="00C34F89" w:rsidRDefault="00E84757">
      <w:pPr>
        <w:pBdr>
          <w:top w:val="nil"/>
          <w:left w:val="nil"/>
          <w:bottom w:val="nil"/>
          <w:right w:val="nil"/>
          <w:between w:val="nil"/>
        </w:pBdr>
        <w:tabs>
          <w:tab w:val="left" w:pos="720"/>
        </w:tabs>
        <w:spacing w:line="240" w:lineRule="auto"/>
        <w:ind w:left="720" w:hanging="720"/>
      </w:pPr>
    </w:p>
    <w:p w14:paraId="000001E5" w14:textId="77777777" w:rsidR="00E84757" w:rsidRPr="00C34F89" w:rsidRDefault="007661A5">
      <w:pPr>
        <w:spacing w:after="240" w:line="240" w:lineRule="auto"/>
      </w:pPr>
      <w:r w:rsidRPr="00C34F89">
        <w:t xml:space="preserve">Teece, D. J., Pisano, G., &amp; </w:t>
      </w:r>
      <w:proofErr w:type="spellStart"/>
      <w:r w:rsidRPr="00C34F89">
        <w:t>Shuen</w:t>
      </w:r>
      <w:proofErr w:type="spellEnd"/>
      <w:r w:rsidRPr="00C34F89">
        <w:t xml:space="preserve">, A. (1997). Dynamic capabilities and strategic management. </w:t>
      </w:r>
      <w:r w:rsidRPr="00C34F89">
        <w:rPr>
          <w:i/>
        </w:rPr>
        <w:t>Strategic management journal</w:t>
      </w:r>
      <w:r w:rsidRPr="00C34F89">
        <w:t xml:space="preserve">, </w:t>
      </w:r>
      <w:r w:rsidRPr="00C34F89">
        <w:rPr>
          <w:i/>
        </w:rPr>
        <w:t>18</w:t>
      </w:r>
      <w:r w:rsidRPr="00C34F89">
        <w:t>(7), 509-533.</w:t>
      </w:r>
    </w:p>
    <w:p w14:paraId="000001E6" w14:textId="77777777" w:rsidR="00E84757" w:rsidRPr="00C34F89" w:rsidRDefault="007661A5">
      <w:pPr>
        <w:spacing w:after="240" w:line="240" w:lineRule="auto"/>
      </w:pPr>
      <w:r w:rsidRPr="00C34F89">
        <w:t xml:space="preserve">Teece, D. J. (1986). Profiting from technological innovation: Implications for integration, collaboration, licensing and public policy. </w:t>
      </w:r>
      <w:r w:rsidRPr="00C34F89">
        <w:rPr>
          <w:i/>
        </w:rPr>
        <w:t>Research policy</w:t>
      </w:r>
      <w:r w:rsidRPr="00C34F89">
        <w:t xml:space="preserve">, </w:t>
      </w:r>
      <w:r w:rsidRPr="00C34F89">
        <w:rPr>
          <w:i/>
        </w:rPr>
        <w:t>15</w:t>
      </w:r>
      <w:r w:rsidRPr="00C34F89">
        <w:t>(6), 285-305.</w:t>
      </w:r>
    </w:p>
    <w:p w14:paraId="000001E7" w14:textId="77777777" w:rsidR="00E84757" w:rsidRPr="00C34F89" w:rsidRDefault="007661A5">
      <w:pPr>
        <w:pBdr>
          <w:top w:val="nil"/>
          <w:left w:val="nil"/>
          <w:bottom w:val="nil"/>
          <w:right w:val="nil"/>
          <w:between w:val="nil"/>
        </w:pBdr>
        <w:spacing w:line="240" w:lineRule="auto"/>
        <w:rPr>
          <w:u w:val="single"/>
        </w:rPr>
      </w:pPr>
      <w:proofErr w:type="spellStart"/>
      <w:r w:rsidRPr="00C34F89">
        <w:t>Therneau</w:t>
      </w:r>
      <w:proofErr w:type="spellEnd"/>
      <w:r w:rsidRPr="00C34F89">
        <w:t xml:space="preserve">, T. M., &amp; Atkinson, B. (2014). An introduction to recursive partitioning using the </w:t>
      </w:r>
      <w:proofErr w:type="spellStart"/>
      <w:r w:rsidRPr="00C34F89">
        <w:t>rpart</w:t>
      </w:r>
      <w:proofErr w:type="spellEnd"/>
      <w:r w:rsidRPr="00C34F89">
        <w:t xml:space="preserve"> routines. R package version 4.1–19. </w:t>
      </w:r>
      <w:hyperlink r:id="rId61">
        <w:r w:rsidRPr="00C34F89">
          <w:rPr>
            <w:u w:val="single"/>
          </w:rPr>
          <w:t>http://cran.r-project.org/web/packages/rpart/rpart.pdf</w:t>
        </w:r>
      </w:hyperlink>
    </w:p>
    <w:p w14:paraId="000001E8" w14:textId="77777777" w:rsidR="00E84757" w:rsidRPr="00C34F89" w:rsidRDefault="00E84757">
      <w:pPr>
        <w:pBdr>
          <w:top w:val="nil"/>
          <w:left w:val="nil"/>
          <w:bottom w:val="nil"/>
          <w:right w:val="nil"/>
          <w:between w:val="nil"/>
        </w:pBdr>
        <w:spacing w:line="240" w:lineRule="auto"/>
      </w:pPr>
    </w:p>
    <w:p w14:paraId="000001E9" w14:textId="77777777" w:rsidR="00E84757" w:rsidRPr="00C34F89" w:rsidRDefault="007661A5">
      <w:pPr>
        <w:spacing w:after="240" w:line="240" w:lineRule="auto"/>
      </w:pPr>
      <w:r w:rsidRPr="00C34F89">
        <w:t xml:space="preserve">Todorova, G., &amp; </w:t>
      </w:r>
      <w:proofErr w:type="spellStart"/>
      <w:r w:rsidRPr="00C34F89">
        <w:t>Durisin</w:t>
      </w:r>
      <w:proofErr w:type="spellEnd"/>
      <w:r w:rsidRPr="00C34F89">
        <w:t xml:space="preserve">, B. (2007). Absorptive Capacity: Valuing </w:t>
      </w:r>
      <w:proofErr w:type="gramStart"/>
      <w:r w:rsidRPr="00C34F89">
        <w:t>a Reconceptualization</w:t>
      </w:r>
      <w:proofErr w:type="gramEnd"/>
      <w:r w:rsidRPr="00C34F89">
        <w:t xml:space="preserve">. </w:t>
      </w:r>
      <w:r w:rsidRPr="00C34F89">
        <w:rPr>
          <w:i/>
        </w:rPr>
        <w:t>The Academy of Management Review</w:t>
      </w:r>
      <w:r w:rsidRPr="00C34F89">
        <w:t xml:space="preserve">, </w:t>
      </w:r>
      <w:r w:rsidRPr="00C34F89">
        <w:rPr>
          <w:i/>
        </w:rPr>
        <w:t>32</w:t>
      </w:r>
      <w:r w:rsidRPr="00C34F89">
        <w:t xml:space="preserve">(3), 774–786. </w:t>
      </w:r>
      <w:hyperlink r:id="rId62">
        <w:r w:rsidRPr="00C34F89">
          <w:rPr>
            <w:u w:val="single"/>
          </w:rPr>
          <w:t>http://www.jstor.org/stable/20159334</w:t>
        </w:r>
      </w:hyperlink>
      <w:r w:rsidRPr="00C34F89">
        <w:t xml:space="preserve"> </w:t>
      </w:r>
    </w:p>
    <w:p w14:paraId="000001EA" w14:textId="77777777" w:rsidR="00E84757" w:rsidRPr="00C34F89" w:rsidRDefault="007661A5">
      <w:pPr>
        <w:spacing w:line="240" w:lineRule="auto"/>
        <w:jc w:val="both"/>
      </w:pPr>
      <w:proofErr w:type="spellStart"/>
      <w:r w:rsidRPr="00C34F89">
        <w:t>Tunjera</w:t>
      </w:r>
      <w:proofErr w:type="spellEnd"/>
      <w:r w:rsidRPr="00C34F89">
        <w:t xml:space="preserve">, N., &amp; </w:t>
      </w:r>
      <w:proofErr w:type="spellStart"/>
      <w:r w:rsidRPr="00C34F89">
        <w:t>Chigona</w:t>
      </w:r>
      <w:proofErr w:type="spellEnd"/>
      <w:r w:rsidRPr="00C34F89">
        <w:t xml:space="preserve">, A. (2020). Teacher Educators´ Appropriation of TPACK-SAMR Models for 21st Century Pre-Service Teacher Preparation. </w:t>
      </w:r>
      <w:r w:rsidRPr="00C34F89">
        <w:rPr>
          <w:i/>
        </w:rPr>
        <w:t>International Journal of Information and Communication Technology Education</w:t>
      </w:r>
      <w:r w:rsidRPr="00C34F89">
        <w:t xml:space="preserve">, 16(3). </w:t>
      </w:r>
      <w:hyperlink r:id="rId63">
        <w:r w:rsidRPr="00C34F89">
          <w:rPr>
            <w:u w:val="single"/>
          </w:rPr>
          <w:t>https://doi.org/10.4018/IJICTE.2020070110</w:t>
        </w:r>
      </w:hyperlink>
      <w:r w:rsidRPr="00C34F89">
        <w:t xml:space="preserve"> . </w:t>
      </w:r>
    </w:p>
    <w:p w14:paraId="000001EB" w14:textId="77777777" w:rsidR="00E84757" w:rsidRPr="00C34F89" w:rsidRDefault="00E84757">
      <w:pPr>
        <w:spacing w:line="240" w:lineRule="auto"/>
        <w:jc w:val="both"/>
      </w:pPr>
    </w:p>
    <w:p w14:paraId="000001EC" w14:textId="77777777" w:rsidR="00E84757" w:rsidRPr="00C34F89" w:rsidRDefault="007661A5">
      <w:pPr>
        <w:spacing w:line="240" w:lineRule="auto"/>
        <w:jc w:val="both"/>
        <w:rPr>
          <w:u w:val="single"/>
        </w:rPr>
      </w:pPr>
      <w:proofErr w:type="spellStart"/>
      <w:r w:rsidRPr="00C34F89">
        <w:t>Ventista</w:t>
      </w:r>
      <w:proofErr w:type="spellEnd"/>
      <w:r w:rsidRPr="00C34F89">
        <w:t xml:space="preserve">, O., </w:t>
      </w:r>
      <w:proofErr w:type="spellStart"/>
      <w:r w:rsidRPr="00C34F89">
        <w:t>Tsani</w:t>
      </w:r>
      <w:proofErr w:type="spellEnd"/>
      <w:r w:rsidRPr="00C34F89">
        <w:t xml:space="preserve">, P. Brown, C., Coe, R., </w:t>
      </w:r>
      <w:proofErr w:type="spellStart"/>
      <w:r w:rsidRPr="00C34F89">
        <w:t>Polydoros</w:t>
      </w:r>
      <w:proofErr w:type="spellEnd"/>
      <w:r w:rsidRPr="00C34F89">
        <w:t xml:space="preserve">, G., &amp; </w:t>
      </w:r>
      <w:proofErr w:type="spellStart"/>
      <w:r w:rsidRPr="00C34F89">
        <w:t>Artkis</w:t>
      </w:r>
      <w:proofErr w:type="spellEnd"/>
      <w:r w:rsidRPr="00C34F89">
        <w:t xml:space="preserve">, P. (2024). Technology Use and Integration in State-Funded Primary Schools: A Structural Equation Model, </w:t>
      </w:r>
      <w:r w:rsidRPr="00C34F89">
        <w:rPr>
          <w:i/>
        </w:rPr>
        <w:t xml:space="preserve">Education 3-13, </w:t>
      </w:r>
      <w:hyperlink r:id="rId64">
        <w:r w:rsidRPr="00C34F89">
          <w:rPr>
            <w:u w:val="single"/>
          </w:rPr>
          <w:t>https://doi.org/10.1080/03004279.2024.2351013</w:t>
        </w:r>
      </w:hyperlink>
    </w:p>
    <w:p w14:paraId="000001ED" w14:textId="77777777" w:rsidR="00E84757" w:rsidRPr="00C34F89" w:rsidRDefault="00E84757">
      <w:pPr>
        <w:spacing w:line="240" w:lineRule="auto"/>
        <w:jc w:val="both"/>
        <w:rPr>
          <w:u w:val="single"/>
        </w:rPr>
      </w:pPr>
    </w:p>
    <w:p w14:paraId="000001EE" w14:textId="77777777" w:rsidR="00E84757" w:rsidRPr="00C34F89" w:rsidRDefault="007661A5">
      <w:pPr>
        <w:spacing w:line="240" w:lineRule="auto"/>
      </w:pPr>
      <w:r w:rsidRPr="00C34F89">
        <w:rPr>
          <w:lang w:val="de-DE"/>
        </w:rPr>
        <w:t xml:space="preserve">Vogel, R., &amp; Güttel, W. H. (2013). </w:t>
      </w:r>
      <w:r w:rsidRPr="00C34F89">
        <w:t xml:space="preserve">The dynamic capability </w:t>
      </w:r>
      <w:proofErr w:type="gramStart"/>
      <w:r w:rsidRPr="00C34F89">
        <w:t>view</w:t>
      </w:r>
      <w:proofErr w:type="gramEnd"/>
      <w:r w:rsidRPr="00C34F89">
        <w:t xml:space="preserve"> in strategic management: A bibliometric review. </w:t>
      </w:r>
      <w:r w:rsidRPr="00C34F89">
        <w:rPr>
          <w:i/>
        </w:rPr>
        <w:t>International Journal of Management Reviews</w:t>
      </w:r>
      <w:r w:rsidRPr="00C34F89">
        <w:t xml:space="preserve">, </w:t>
      </w:r>
      <w:r w:rsidRPr="00C34F89">
        <w:rPr>
          <w:i/>
        </w:rPr>
        <w:t>15</w:t>
      </w:r>
      <w:r w:rsidRPr="00C34F89">
        <w:t>(4), 426-446.</w:t>
      </w:r>
    </w:p>
    <w:p w14:paraId="000001EF" w14:textId="77777777" w:rsidR="00E84757" w:rsidRPr="00C34F89" w:rsidRDefault="007661A5">
      <w:pPr>
        <w:spacing w:before="240" w:after="240" w:line="240" w:lineRule="auto"/>
      </w:pPr>
      <w:r w:rsidRPr="00C34F89">
        <w:t>Wenger, E., Trayner, B., &amp; de Laat, M. (2011). Promoting and Assessing Value Creation in Communities and Networks: A conceptual framework (Rapport 18). Heerlen: Ruud de Moor Centrum, Open Universiteit.</w:t>
      </w:r>
    </w:p>
    <w:p w14:paraId="000001F0" w14:textId="77777777" w:rsidR="00E84757" w:rsidRPr="00C34F89" w:rsidRDefault="007661A5">
      <w:pPr>
        <w:pBdr>
          <w:top w:val="nil"/>
          <w:left w:val="nil"/>
          <w:bottom w:val="nil"/>
          <w:right w:val="nil"/>
          <w:between w:val="nil"/>
        </w:pBdr>
        <w:spacing w:line="240" w:lineRule="auto"/>
      </w:pPr>
      <w:r w:rsidRPr="00C34F89">
        <w:t xml:space="preserve">Williams, G. (2011). </w:t>
      </w:r>
      <w:r w:rsidRPr="00C34F89">
        <w:rPr>
          <w:i/>
        </w:rPr>
        <w:t>Data mining with Rattle and R: The art of excavating data for knowledge discovery</w:t>
      </w:r>
      <w:r w:rsidRPr="00C34F89">
        <w:t>. Springer.</w:t>
      </w:r>
    </w:p>
    <w:p w14:paraId="000001F1" w14:textId="77777777" w:rsidR="00E84757" w:rsidRPr="00C34F89" w:rsidRDefault="00E84757">
      <w:pPr>
        <w:spacing w:line="240" w:lineRule="auto"/>
        <w:jc w:val="both"/>
        <w:rPr>
          <w:u w:val="single"/>
        </w:rPr>
      </w:pPr>
    </w:p>
    <w:p w14:paraId="000001F2" w14:textId="77777777" w:rsidR="00E84757" w:rsidRPr="00C34F89" w:rsidRDefault="007661A5">
      <w:pPr>
        <w:spacing w:line="240" w:lineRule="auto"/>
        <w:jc w:val="both"/>
      </w:pPr>
      <w:r w:rsidRPr="00C34F89">
        <w:t xml:space="preserve">Wilson, M. L., </w:t>
      </w:r>
      <w:proofErr w:type="spellStart"/>
      <w:r w:rsidRPr="00C34F89">
        <w:t>Ritzhaupt</w:t>
      </w:r>
      <w:proofErr w:type="spellEnd"/>
      <w:r w:rsidRPr="00C34F89">
        <w:t xml:space="preserve">, A. D., &amp; Cheng, L. (2020). The impact of teacher education courses for technology integration on pre-service teacher knowledge: A meta-analysis study. </w:t>
      </w:r>
      <w:r w:rsidRPr="00C34F89">
        <w:rPr>
          <w:i/>
        </w:rPr>
        <w:t>Computers &amp; Education</w:t>
      </w:r>
      <w:r w:rsidRPr="00C34F89">
        <w:t xml:space="preserve">, </w:t>
      </w:r>
      <w:r w:rsidRPr="00C34F89">
        <w:rPr>
          <w:i/>
        </w:rPr>
        <w:t>156</w:t>
      </w:r>
      <w:r w:rsidRPr="00C34F89">
        <w:t>, 103941.</w:t>
      </w:r>
    </w:p>
    <w:p w14:paraId="000001F3" w14:textId="77777777" w:rsidR="00E84757" w:rsidRPr="00C34F89" w:rsidRDefault="00E84757">
      <w:pPr>
        <w:spacing w:line="240" w:lineRule="auto"/>
        <w:jc w:val="both"/>
      </w:pPr>
    </w:p>
    <w:p w14:paraId="000001F4" w14:textId="77777777" w:rsidR="00E84757" w:rsidRPr="00C34F89" w:rsidRDefault="007661A5">
      <w:pPr>
        <w:spacing w:line="240" w:lineRule="auto"/>
        <w:jc w:val="both"/>
        <w:rPr>
          <w:u w:val="single"/>
        </w:rPr>
      </w:pPr>
      <w:proofErr w:type="spellStart"/>
      <w:r w:rsidRPr="00C34F89">
        <w:t>Witthöft</w:t>
      </w:r>
      <w:proofErr w:type="spellEnd"/>
      <w:r w:rsidRPr="00C34F89">
        <w:t xml:space="preserve">, J., Aydin, B., &amp; Pietsch, M. (2024). Leading digital innovation in schools: the role of the open innovation mindset. </w:t>
      </w:r>
      <w:r w:rsidRPr="00C34F89">
        <w:rPr>
          <w:i/>
        </w:rPr>
        <w:t>Journal of Research on Technology in Education</w:t>
      </w:r>
      <w:r w:rsidRPr="00C34F89">
        <w:t xml:space="preserve">. </w:t>
      </w:r>
      <w:hyperlink r:id="rId65">
        <w:r w:rsidRPr="00C34F89">
          <w:rPr>
            <w:u w:val="single"/>
          </w:rPr>
          <w:t>https://doi.org/10.1080/15391523.2024.2398528</w:t>
        </w:r>
      </w:hyperlink>
      <w:r w:rsidRPr="00C34F89">
        <w:br w:type="page"/>
      </w:r>
    </w:p>
    <w:p w14:paraId="000001F5" w14:textId="77777777" w:rsidR="00E84757" w:rsidRPr="00C34F89" w:rsidRDefault="007661A5">
      <w:pPr>
        <w:spacing w:line="240" w:lineRule="auto"/>
        <w:jc w:val="both"/>
      </w:pPr>
      <w:r w:rsidRPr="00C34F89">
        <w:rPr>
          <w:lang w:val="de-DE"/>
        </w:rPr>
        <w:lastRenderedPageBreak/>
        <w:t xml:space="preserve">Wullschleger, A., </w:t>
      </w:r>
      <w:proofErr w:type="spellStart"/>
      <w:r w:rsidRPr="00C34F89">
        <w:rPr>
          <w:lang w:val="de-DE"/>
        </w:rPr>
        <w:t>Vörös</w:t>
      </w:r>
      <w:proofErr w:type="spellEnd"/>
      <w:r w:rsidRPr="00C34F89">
        <w:rPr>
          <w:lang w:val="de-DE"/>
        </w:rPr>
        <w:t xml:space="preserve">, A., Rechsteiner, B., Rickenbacher, A., &amp; Merki, K. M. (2023). </w:t>
      </w:r>
      <w:r w:rsidRPr="00C34F89">
        <w:t xml:space="preserve">Improving teaching, teamwork, and school organization: Collaboration networks in school teams. </w:t>
      </w:r>
      <w:r w:rsidRPr="00C34F89">
        <w:rPr>
          <w:i/>
        </w:rPr>
        <w:t>Teaching and Teacher Education</w:t>
      </w:r>
      <w:r w:rsidRPr="00C34F89">
        <w:t xml:space="preserve">, </w:t>
      </w:r>
      <w:r w:rsidRPr="00C34F89">
        <w:rPr>
          <w:i/>
        </w:rPr>
        <w:t>121</w:t>
      </w:r>
      <w:r w:rsidRPr="00C34F89">
        <w:t>, 103909.</w:t>
      </w:r>
    </w:p>
    <w:p w14:paraId="000001F6" w14:textId="77777777" w:rsidR="00E84757" w:rsidRPr="00C34F89" w:rsidRDefault="00E84757">
      <w:pPr>
        <w:spacing w:line="240" w:lineRule="auto"/>
        <w:jc w:val="both"/>
      </w:pPr>
    </w:p>
    <w:p w14:paraId="000001F7" w14:textId="77777777" w:rsidR="00E84757" w:rsidRPr="00C34F89" w:rsidRDefault="007661A5">
      <w:pPr>
        <w:pBdr>
          <w:top w:val="nil"/>
          <w:left w:val="nil"/>
          <w:bottom w:val="nil"/>
          <w:right w:val="nil"/>
          <w:between w:val="nil"/>
        </w:pBdr>
        <w:spacing w:after="240" w:line="240" w:lineRule="auto"/>
        <w:jc w:val="both"/>
      </w:pPr>
      <w:r w:rsidRPr="00C34F89">
        <w:t xml:space="preserve">Yeh, Y. F., Chan, K. K. H., &amp; Hsu, Y. S. (2021). Toward a framework that connects individual TPACK and collective TPACK: A systematic review of TPACK studies investigating teacher collaborative discourse in the learning by design process. </w:t>
      </w:r>
      <w:r w:rsidRPr="00C34F89">
        <w:rPr>
          <w:i/>
        </w:rPr>
        <w:t>Computers &amp; education</w:t>
      </w:r>
      <w:r w:rsidRPr="00C34F89">
        <w:t>, 171, 104238.</w:t>
      </w:r>
    </w:p>
    <w:p w14:paraId="000001F8" w14:textId="77777777" w:rsidR="00E84757" w:rsidRPr="00C34F89" w:rsidRDefault="007661A5">
      <w:pPr>
        <w:spacing w:after="240" w:line="240" w:lineRule="auto"/>
        <w:jc w:val="both"/>
      </w:pPr>
      <w:r w:rsidRPr="00C34F89">
        <w:t xml:space="preserve">Zahra, S. A., &amp; George, G. (2002). Absorptive Capacity: </w:t>
      </w:r>
      <w:proofErr w:type="gramStart"/>
      <w:r w:rsidRPr="00C34F89">
        <w:t>A Review</w:t>
      </w:r>
      <w:proofErr w:type="gramEnd"/>
      <w:r w:rsidRPr="00C34F89">
        <w:t xml:space="preserve">, Reconceptualization, and Extension. </w:t>
      </w:r>
      <w:r w:rsidRPr="00C34F89">
        <w:rPr>
          <w:i/>
        </w:rPr>
        <w:t>The Academy of Management Review</w:t>
      </w:r>
      <w:r w:rsidRPr="00C34F89">
        <w:t xml:space="preserve">, 27 (2), 185-203. </w:t>
      </w:r>
      <w:hyperlink r:id="rId66">
        <w:r w:rsidRPr="00C34F89">
          <w:rPr>
            <w:u w:val="single"/>
          </w:rPr>
          <w:t>https://doi.org/10.2307/4134351</w:t>
        </w:r>
      </w:hyperlink>
      <w:r w:rsidRPr="00C34F89">
        <w:t xml:space="preserve"> </w:t>
      </w:r>
    </w:p>
    <w:p w14:paraId="000001F9" w14:textId="77777777" w:rsidR="00E84757" w:rsidRPr="00C34F89" w:rsidRDefault="007661A5">
      <w:pPr>
        <w:spacing w:after="240" w:line="240" w:lineRule="auto"/>
        <w:jc w:val="both"/>
      </w:pPr>
      <w:r w:rsidRPr="00C34F89">
        <w:t xml:space="preserve">Zhu, S., </w:t>
      </w:r>
      <w:proofErr w:type="spellStart"/>
      <w:r w:rsidRPr="00C34F89">
        <w:t>Hagedoorn</w:t>
      </w:r>
      <w:proofErr w:type="spellEnd"/>
      <w:r w:rsidRPr="00C34F89">
        <w:t xml:space="preserve">, J., Zhang, S., &amp; Liu, F. (2021). Effects of technological distance on innovation performance under heterogeneous technological orientations. </w:t>
      </w:r>
      <w:proofErr w:type="spellStart"/>
      <w:r w:rsidRPr="00C34F89">
        <w:rPr>
          <w:i/>
        </w:rPr>
        <w:t>Technovation</w:t>
      </w:r>
      <w:proofErr w:type="spellEnd"/>
      <w:r w:rsidRPr="00C34F89">
        <w:t xml:space="preserve">, </w:t>
      </w:r>
      <w:r w:rsidRPr="00C34F89">
        <w:rPr>
          <w:i/>
        </w:rPr>
        <w:t>106</w:t>
      </w:r>
      <w:r w:rsidRPr="00C34F89">
        <w:t>, 102301.</w:t>
      </w:r>
    </w:p>
    <w:p w14:paraId="000001FA" w14:textId="77777777" w:rsidR="00E84757" w:rsidRDefault="007661A5">
      <w:pPr>
        <w:spacing w:after="240" w:line="240" w:lineRule="auto"/>
        <w:jc w:val="both"/>
      </w:pPr>
      <w:r w:rsidRPr="00C34F89">
        <w:rPr>
          <w:lang w:val="de-DE"/>
        </w:rPr>
        <w:t xml:space="preserve">Zou, T., Ertug, G., &amp; George, G. (2018). </w:t>
      </w:r>
      <w:r w:rsidRPr="00C34F89">
        <w:t xml:space="preserve">The capacity to innovate: a meta-analysis of absorptive capacity. </w:t>
      </w:r>
      <w:r w:rsidRPr="00C34F89">
        <w:rPr>
          <w:i/>
        </w:rPr>
        <w:t>Innovation</w:t>
      </w:r>
      <w:r w:rsidRPr="00C34F89">
        <w:t xml:space="preserve">, </w:t>
      </w:r>
      <w:r w:rsidRPr="00C34F89">
        <w:rPr>
          <w:i/>
        </w:rPr>
        <w:t>20</w:t>
      </w:r>
      <w:r w:rsidRPr="00C34F89">
        <w:t xml:space="preserve">(2), 87–121. </w:t>
      </w:r>
      <w:hyperlink r:id="rId67">
        <w:r w:rsidRPr="00C34F89">
          <w:rPr>
            <w:u w:val="single"/>
          </w:rPr>
          <w:t>https://doi.org/10.1080/14479338.2018.1428105</w:t>
        </w:r>
      </w:hyperlink>
    </w:p>
    <w:sectPr w:rsidR="00E84757">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1F58B" w14:textId="77777777" w:rsidR="007661A5" w:rsidRDefault="007661A5">
      <w:pPr>
        <w:spacing w:line="240" w:lineRule="auto"/>
      </w:pPr>
      <w:r>
        <w:separator/>
      </w:r>
    </w:p>
  </w:endnote>
  <w:endnote w:type="continuationSeparator" w:id="0">
    <w:p w14:paraId="71A9E05A" w14:textId="77777777" w:rsidR="007661A5" w:rsidRDefault="00766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E6D6C9-63E7-4C5A-AFF7-D0D97014DC7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C481253F-E801-415D-9915-519CC4A26313}"/>
  </w:font>
  <w:font w:name="Calibri">
    <w:panose1 w:val="020F0502020204030204"/>
    <w:charset w:val="00"/>
    <w:family w:val="swiss"/>
    <w:pitch w:val="variable"/>
    <w:sig w:usb0="E4002EFF" w:usb1="C000247B" w:usb2="00000009" w:usb3="00000000" w:csb0="000001FF" w:csb1="00000000"/>
    <w:embedRegular r:id="rId3" w:fontKey="{9E649252-A2DE-4225-8FD0-E3A04256A9F7}"/>
  </w:font>
  <w:font w:name="Cambria">
    <w:panose1 w:val="02040503050406030204"/>
    <w:charset w:val="00"/>
    <w:family w:val="roman"/>
    <w:pitch w:val="variable"/>
    <w:sig w:usb0="E00006FF" w:usb1="420024FF" w:usb2="02000000" w:usb3="00000000" w:csb0="0000019F" w:csb1="00000000"/>
    <w:embedRegular r:id="rId4" w:fontKey="{B0FFB791-A702-415B-B0EB-1E9FA34B5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E" w14:textId="77777777" w:rsidR="00E84757" w:rsidRDefault="00E84757">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F" w14:textId="4D9F7964" w:rsidR="00E84757" w:rsidRDefault="007661A5">
    <w:pPr>
      <w:pBdr>
        <w:top w:val="nil"/>
        <w:left w:val="nil"/>
        <w:bottom w:val="nil"/>
        <w:right w:val="nil"/>
        <w:between w:val="nil"/>
      </w:pBdr>
      <w:tabs>
        <w:tab w:val="center" w:pos="4536"/>
        <w:tab w:val="right" w:pos="9072"/>
      </w:tabs>
      <w:spacing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15DCA">
      <w:rPr>
        <w:noProof/>
        <w:color w:val="000000"/>
        <w:sz w:val="20"/>
        <w:szCs w:val="20"/>
      </w:rPr>
      <w:t>1</w:t>
    </w:r>
    <w:r>
      <w:rPr>
        <w:color w:val="000000"/>
        <w:sz w:val="20"/>
        <w:szCs w:val="20"/>
      </w:rPr>
      <w:fldChar w:fldCharType="end"/>
    </w:r>
  </w:p>
  <w:p w14:paraId="00000200" w14:textId="77777777" w:rsidR="00E84757" w:rsidRDefault="00E84757">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1" w14:textId="77777777" w:rsidR="00E84757" w:rsidRDefault="00E84757">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8D7A9" w14:textId="77777777" w:rsidR="007661A5" w:rsidRDefault="007661A5">
      <w:pPr>
        <w:spacing w:line="240" w:lineRule="auto"/>
      </w:pPr>
      <w:r>
        <w:separator/>
      </w:r>
    </w:p>
  </w:footnote>
  <w:footnote w:type="continuationSeparator" w:id="0">
    <w:p w14:paraId="20F13678" w14:textId="77777777" w:rsidR="007661A5" w:rsidRDefault="007661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B" w14:textId="77777777" w:rsidR="00E84757" w:rsidRDefault="00E84757">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C" w14:textId="77777777" w:rsidR="00E84757" w:rsidRDefault="00E84757">
    <w:pPr>
      <w:pBdr>
        <w:top w:val="nil"/>
        <w:left w:val="nil"/>
        <w:bottom w:val="nil"/>
        <w:right w:val="nil"/>
        <w:between w:val="nil"/>
      </w:pBdr>
      <w:tabs>
        <w:tab w:val="center" w:pos="4536"/>
        <w:tab w:val="right" w:pos="9072"/>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D" w14:textId="77777777" w:rsidR="00E84757" w:rsidRDefault="00E84757">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F78F6"/>
    <w:multiLevelType w:val="multilevel"/>
    <w:tmpl w:val="719E2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4D1696"/>
    <w:multiLevelType w:val="multilevel"/>
    <w:tmpl w:val="5986F7F4"/>
    <w:lvl w:ilvl="0">
      <w:start w:val="1"/>
      <w:numFmt w:val="bullet"/>
      <w:lvlText w:val="●"/>
      <w:lvlJc w:val="left"/>
      <w:pPr>
        <w:ind w:left="765" w:hanging="40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1A0C06"/>
    <w:multiLevelType w:val="multilevel"/>
    <w:tmpl w:val="E592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F24EF4"/>
    <w:multiLevelType w:val="multilevel"/>
    <w:tmpl w:val="72B89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2545548">
    <w:abstractNumId w:val="1"/>
  </w:num>
  <w:num w:numId="2" w16cid:durableId="1394809676">
    <w:abstractNumId w:val="0"/>
  </w:num>
  <w:num w:numId="3" w16cid:durableId="1233658807">
    <w:abstractNumId w:val="2"/>
  </w:num>
  <w:num w:numId="4" w16cid:durableId="1409814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757"/>
    <w:rsid w:val="00183BFD"/>
    <w:rsid w:val="001F691D"/>
    <w:rsid w:val="003D2A01"/>
    <w:rsid w:val="007661A5"/>
    <w:rsid w:val="008F4D3A"/>
    <w:rsid w:val="00A15DCA"/>
    <w:rsid w:val="00C34F89"/>
    <w:rsid w:val="00E84757"/>
    <w:rsid w:val="00F472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6F773"/>
  <w15:docId w15:val="{227A30C3-73AA-4E1B-8A9F-91D999CE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B418EE"/>
    <w:rPr>
      <w:color w:val="0000FF" w:themeColor="hyperlink"/>
      <w:u w:val="single"/>
    </w:rPr>
  </w:style>
  <w:style w:type="character" w:styleId="NichtaufgelsteErwhnung">
    <w:name w:val="Unresolved Mention"/>
    <w:basedOn w:val="Absatz-Standardschriftart"/>
    <w:uiPriority w:val="99"/>
    <w:semiHidden/>
    <w:unhideWhenUsed/>
    <w:rsid w:val="00B418EE"/>
    <w:rPr>
      <w:color w:val="605E5C"/>
      <w:shd w:val="clear" w:color="auto" w:fill="E1DFDD"/>
    </w:r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hadea.ec.europa.eu/calls-proposals/boosting-digital-skills-young-pupils-particular-girls_en" TargetMode="External"/><Relationship Id="rId21" Type="http://schemas.openxmlformats.org/officeDocument/2006/relationships/hyperlink" Target="https://doi.org/10.1002/kpm.1637" TargetMode="External"/><Relationship Id="rId42" Type="http://schemas.openxmlformats.org/officeDocument/2006/relationships/hyperlink" Target="https://doi.org/10.18637/jss.v028.i05" TargetMode="External"/><Relationship Id="rId47" Type="http://schemas.openxmlformats.org/officeDocument/2006/relationships/hyperlink" Target="https://doi.org/10.5465/AMBPP.2012.197" TargetMode="External"/><Relationship Id="rId63" Type="http://schemas.openxmlformats.org/officeDocument/2006/relationships/hyperlink" Target="https://doi.org/10.4018/IJICTE.2020070110"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j.compedu.2021.104159" TargetMode="External"/><Relationship Id="rId29" Type="http://schemas.openxmlformats.org/officeDocument/2006/relationships/hyperlink" Target="https://doi.org/10.3102/0013189X211069073" TargetMode="External"/><Relationship Id="rId11" Type="http://schemas.openxmlformats.org/officeDocument/2006/relationships/image" Target="media/image3.jpg"/><Relationship Id="rId24" Type="http://schemas.openxmlformats.org/officeDocument/2006/relationships/hyperlink" Target="https://learningpolicyinstitute.org/product/teacher-prof-dev" TargetMode="External"/><Relationship Id="rId32" Type="http://schemas.openxmlformats.org/officeDocument/2006/relationships/hyperlink" Target="https://doi.org/10.1016/j.stueduc.2023.101305" TargetMode="External"/><Relationship Id="rId37" Type="http://schemas.openxmlformats.org/officeDocument/2006/relationships/hyperlink" Target="https://er.educause.edu/articles/2020/3/the-difference-between-emergency-remote-teaching-and-online-learning" TargetMode="External"/><Relationship Id="rId40" Type="http://schemas.openxmlformats.org/officeDocument/2006/relationships/hyperlink" Target="https://doi.org/10.1111/j.1467-8535.2011.01183.x" TargetMode="External"/><Relationship Id="rId45" Type="http://schemas.openxmlformats.org/officeDocument/2006/relationships/hyperlink" Target="https://doi.org/10.1002/smj.507" TargetMode="External"/><Relationship Id="rId53" Type="http://schemas.openxmlformats.org/officeDocument/2006/relationships/hyperlink" Target="https://doi.org/10.1080/10824669.2014.988334" TargetMode="External"/><Relationship Id="rId58" Type="http://schemas.openxmlformats.org/officeDocument/2006/relationships/hyperlink" Target="https://doi.org/10.3389/fpsyg.2021.751997" TargetMode="External"/><Relationship Id="rId66" Type="http://schemas.openxmlformats.org/officeDocument/2006/relationships/hyperlink" Target="https://doi.org/10.2307/4134351"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cran.r-project.org/web/packages/rpart/rpart.pdf" TargetMode="External"/><Relationship Id="rId19" Type="http://schemas.openxmlformats.org/officeDocument/2006/relationships/hyperlink" Target="https://doi.org/10.1108/IJEM-09-2023-0447" TargetMode="External"/><Relationship Id="rId14" Type="http://schemas.openxmlformats.org/officeDocument/2006/relationships/hyperlink" Target="https://doi.org/10.1108/MBE-04-2015-0018" TargetMode="External"/><Relationship Id="rId22" Type="http://schemas.openxmlformats.org/officeDocument/2006/relationships/hyperlink" Target="https://innovationbarometer.org/copenhagen-manual/" TargetMode="External"/><Relationship Id="rId27" Type="http://schemas.openxmlformats.org/officeDocument/2006/relationships/hyperlink" Target="https://doi.org/10.1007/s10833-016-9291-7" TargetMode="External"/><Relationship Id="rId30" Type="http://schemas.openxmlformats.org/officeDocument/2006/relationships/hyperlink" Target="https://doi.org/10.3102/0013189X211069073" TargetMode="External"/><Relationship Id="rId35" Type="http://schemas.openxmlformats.org/officeDocument/2006/relationships/hyperlink" Target="https://doi.org/10.1017/CBO9780511762000.012" TargetMode="External"/><Relationship Id="rId43" Type="http://schemas.openxmlformats.org/officeDocument/2006/relationships/hyperlink" Target="https://doi.org/10.1002/smj.206" TargetMode="External"/><Relationship Id="rId48" Type="http://schemas.openxmlformats.org/officeDocument/2006/relationships/hyperlink" Target="https://eric.ed.gov/?id=ED505824" TargetMode="External"/><Relationship Id="rId56" Type="http://schemas.openxmlformats.org/officeDocument/2006/relationships/hyperlink" Target="https://doi.org/10.1007/s11423-024-10439-w" TargetMode="External"/><Relationship Id="rId64" Type="http://schemas.openxmlformats.org/officeDocument/2006/relationships/hyperlink" Target="https://doi.org/10.1080/03004279.2024.2351013" TargetMode="External"/><Relationship Id="rId69" Type="http://schemas.openxmlformats.org/officeDocument/2006/relationships/header" Target="header2.xml"/><Relationship Id="rId8" Type="http://schemas.openxmlformats.org/officeDocument/2006/relationships/hyperlink" Target="https://education.ec.europa.eu/selfie" TargetMode="External"/><Relationship Id="rId51" Type="http://schemas.openxmlformats.org/officeDocument/2006/relationships/hyperlink" Target="https://library.educause.edu/-/media/files/library/2023/4/2023hrteachinglearning.pdf"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doi.org/10.1177/014920639101700108" TargetMode="External"/><Relationship Id="rId25" Type="http://schemas.openxmlformats.org/officeDocument/2006/relationships/hyperlink" Target="https://doi.org/10.1016/j.jengtecman.2022.101702" TargetMode="External"/><Relationship Id="rId33" Type="http://schemas.openxmlformats.org/officeDocument/2006/relationships/hyperlink" Target="https://doi.org/10.1007/s11412-009-9064-x" TargetMode="External"/><Relationship Id="rId38" Type="http://schemas.openxmlformats.org/officeDocument/2006/relationships/hyperlink" Target="https://doi.org/10.48550/arXiv.2005.10314" TargetMode="External"/><Relationship Id="rId46" Type="http://schemas.openxmlformats.org/officeDocument/2006/relationships/hyperlink" Target="https://doi.org/10.5465/amr.2019.0247" TargetMode="External"/><Relationship Id="rId59" Type="http://schemas.openxmlformats.org/officeDocument/2006/relationships/hyperlink" Target="https://doi.org/10.1787/24202496-en" TargetMode="External"/><Relationship Id="rId67" Type="http://schemas.openxmlformats.org/officeDocument/2006/relationships/hyperlink" Target="https://doi.org/10.1080/14479338.2018.1428105" TargetMode="External"/><Relationship Id="rId20" Type="http://schemas.openxmlformats.org/officeDocument/2006/relationships/hyperlink" Target="https://doi.org/10.1007/s11846-022-00533-9" TargetMode="External"/><Relationship Id="rId41" Type="http://schemas.openxmlformats.org/officeDocument/2006/relationships/hyperlink" Target="https://doi.org/10.1016/j.compedu.2021.104361" TargetMode="External"/><Relationship Id="rId54" Type="http://schemas.openxmlformats.org/officeDocument/2006/relationships/hyperlink" Target="https://doi.org/10.1080/10824669.2014.988334" TargetMode="External"/><Relationship Id="rId62" Type="http://schemas.openxmlformats.org/officeDocument/2006/relationships/hyperlink" Target="http://www.jstor.org/stable/20159334"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891/1945-8959.13.1.19" TargetMode="External"/><Relationship Id="rId23" Type="http://schemas.openxmlformats.org/officeDocument/2006/relationships/hyperlink" Target="https://doi.org/10.3102/0091732X21990614" TargetMode="External"/><Relationship Id="rId28" Type="http://schemas.openxmlformats.org/officeDocument/2006/relationships/hyperlink" Target="https://doi.org/10.3102/0002831218808219" TargetMode="External"/><Relationship Id="rId36" Type="http://schemas.openxmlformats.org/officeDocument/2006/relationships/hyperlink" Target="https://doi.org/10.1002/rev3.3310" TargetMode="External"/><Relationship Id="rId49" Type="http://schemas.openxmlformats.org/officeDocument/2006/relationships/hyperlink" Target="http://oe.cd/frascati" TargetMode="External"/><Relationship Id="rId57" Type="http://schemas.openxmlformats.org/officeDocument/2006/relationships/hyperlink" Target="http://hippasus.com/resources/tte/" TargetMode="External"/><Relationship Id="rId10" Type="http://schemas.openxmlformats.org/officeDocument/2006/relationships/image" Target="media/image2.png"/><Relationship Id="rId31" Type="http://schemas.openxmlformats.org/officeDocument/2006/relationships/hyperlink" Target="https://doi.org/10.3102/0091732X020001003" TargetMode="External"/><Relationship Id="rId44" Type="http://schemas.openxmlformats.org/officeDocument/2006/relationships/hyperlink" Target="https://doi.org/10.5465/amr.2006.22527456" TargetMode="External"/><Relationship Id="rId52" Type="http://schemas.openxmlformats.org/officeDocument/2006/relationships/hyperlink" Target="https://library.educause.edu/-/media/files/library/2023/4/2023hrteachinglearning.pdf" TargetMode="External"/><Relationship Id="rId60" Type="http://schemas.openxmlformats.org/officeDocument/2006/relationships/hyperlink" Target="https://doi.org/10.1126/science.103.2684.677" TargetMode="External"/><Relationship Id="rId65" Type="http://schemas.openxmlformats.org/officeDocument/2006/relationships/hyperlink" Target="https://doi.org/10.1080/15391523.2024.2398528"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doi.org/10.1177/0008125619885150" TargetMode="External"/><Relationship Id="rId39" Type="http://schemas.openxmlformats.org/officeDocument/2006/relationships/hyperlink" Target="https://doi.org/10.48550/arXiv.2005.10314" TargetMode="External"/><Relationship Id="rId34" Type="http://schemas.openxmlformats.org/officeDocument/2006/relationships/hyperlink" Target="https://doi.org/10.1080/14719030902817923" TargetMode="External"/><Relationship Id="rId50" Type="http://schemas.openxmlformats.org/officeDocument/2006/relationships/hyperlink" Target="https://doi.org/10.1007/s10758-021-09514-5" TargetMode="External"/><Relationship Id="rId55" Type="http://schemas.openxmlformats.org/officeDocument/2006/relationships/hyperlink" Target="https://doi.org/10.1016/j.jik.2024.100636" TargetMode="External"/><Relationship Id="rId7" Type="http://schemas.openxmlformats.org/officeDocument/2006/relationships/endnotes" Target="endnotes.xml"/><Relationship Id="rId7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olnRKuR5CvF/O6w6VgoACLlWhA==">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12480</Words>
  <Characters>78624</Characters>
  <Application>Microsoft Office Word</Application>
  <DocSecurity>0</DocSecurity>
  <Lines>655</Lines>
  <Paragraphs>181</Paragraphs>
  <ScaleCrop>false</ScaleCrop>
  <Company/>
  <LinksUpToDate>false</LinksUpToDate>
  <CharactersWithSpaces>90923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Fischer-Schöneborn, Sandra</dc:creator>
  <cp:lastModifiedBy>Fischer-Schöneborn, Sandra</cp:lastModifiedBy>
  <cp:revision>6</cp:revision>
  <dcterms:created xsi:type="dcterms:W3CDTF">2025-02-25T15:37:00Z</dcterms:created>
  <dcterms:modified xsi:type="dcterms:W3CDTF">2025-02-28T20:09:00Z</dcterms:modified>
</cp:coreProperties>
</file>