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D32B" w14:textId="77777777" w:rsidR="001239CC" w:rsidRPr="00615E85" w:rsidRDefault="001239CC" w:rsidP="001239CC">
      <w:pPr>
        <w:pStyle w:val="Heading1"/>
        <w:numPr>
          <w:ilvl w:val="0"/>
          <w:numId w:val="0"/>
        </w:numPr>
        <w:rPr>
          <w:rFonts w:ascii="Times New Roman" w:hAnsi="Times New Roman" w:cs="Times New Roman"/>
        </w:rPr>
      </w:pPr>
      <w:bookmarkStart w:id="0" w:name="_Toc176391385"/>
      <w:r w:rsidRPr="00615E85">
        <w:rPr>
          <w:rFonts w:ascii="Times New Roman" w:hAnsi="Times New Roman" w:cs="Times New Roman"/>
        </w:rPr>
        <w:t>A Qualitative Review and Thematic Synthesis of Resident Experiences in Prison-based Democratic Therapeutic Communities</w:t>
      </w:r>
    </w:p>
    <w:p w14:paraId="6A99AF89" w14:textId="4416EFCE" w:rsidR="009B5834" w:rsidRPr="00615E85" w:rsidRDefault="009B5834" w:rsidP="009B5834">
      <w:pPr>
        <w:pStyle w:val="Authornames"/>
      </w:pPr>
      <w:r w:rsidRPr="00615E85">
        <w:t xml:space="preserve">Dr Candida </w:t>
      </w:r>
      <w:proofErr w:type="spellStart"/>
      <w:r w:rsidRPr="00615E85">
        <w:t>Fernandes</w:t>
      </w:r>
      <w:r w:rsidRPr="00615E85">
        <w:rPr>
          <w:vertAlign w:val="superscript"/>
        </w:rPr>
        <w:t>a</w:t>
      </w:r>
      <w:proofErr w:type="spellEnd"/>
      <w:r w:rsidRPr="00615E85">
        <w:t xml:space="preserve">*, Dr Tessa </w:t>
      </w:r>
      <w:proofErr w:type="spellStart"/>
      <w:r w:rsidRPr="00615E85">
        <w:t>Maguire</w:t>
      </w:r>
      <w:r w:rsidRPr="00615E85">
        <w:rPr>
          <w:vertAlign w:val="superscript"/>
        </w:rPr>
        <w:t>b</w:t>
      </w:r>
      <w:proofErr w:type="spellEnd"/>
      <w:r w:rsidRPr="00615E85">
        <w:t xml:space="preserve"> , Dr Natasha Berthollier</w:t>
      </w:r>
      <w:r w:rsidRPr="00615E85">
        <w:rPr>
          <w:vertAlign w:val="superscript"/>
        </w:rPr>
        <w:t xml:space="preserve"> </w:t>
      </w:r>
      <w:r w:rsidRPr="00615E85">
        <w:t xml:space="preserve">ͨ,  Jasmine Cheung ͩ  and Dr Katy Sivyer ͤ </w:t>
      </w:r>
    </w:p>
    <w:p w14:paraId="24F019ED" w14:textId="5A7A7CFF" w:rsidR="009B5834" w:rsidRPr="00615E85" w:rsidRDefault="009B5834" w:rsidP="009B5834">
      <w:pPr>
        <w:pStyle w:val="Affiliation"/>
      </w:pPr>
      <w:proofErr w:type="spellStart"/>
      <w:r w:rsidRPr="00615E85">
        <w:rPr>
          <w:vertAlign w:val="superscript"/>
        </w:rPr>
        <w:t>a</w:t>
      </w:r>
      <w:r w:rsidRPr="00615E85">
        <w:t>School</w:t>
      </w:r>
      <w:proofErr w:type="spellEnd"/>
      <w:r w:rsidRPr="00615E85">
        <w:t xml:space="preserve"> of Psychology, University of Southampton, Southampton, England *cf1n21@soton.ac.uk; </w:t>
      </w:r>
      <w:proofErr w:type="spellStart"/>
      <w:r w:rsidRPr="00615E85">
        <w:rPr>
          <w:vertAlign w:val="superscript"/>
        </w:rPr>
        <w:t>b</w:t>
      </w:r>
      <w:r w:rsidRPr="00615E85">
        <w:t>School</w:t>
      </w:r>
      <w:proofErr w:type="spellEnd"/>
      <w:r w:rsidRPr="00615E85">
        <w:t xml:space="preserve"> of Psychology, University of Southampton, Southampton, England,</w:t>
      </w:r>
      <w:r w:rsidRPr="00615E85">
        <w:rPr>
          <w:vertAlign w:val="superscript"/>
        </w:rPr>
        <w:t xml:space="preserve">  </w:t>
      </w:r>
      <w:r w:rsidRPr="00615E85">
        <w:t xml:space="preserve">ͨ Berkshire NHS Foundation Trust, Slough, England, ͩ School of Psychology, University of Southampton, Southampton, England, , </w:t>
      </w:r>
      <w:r w:rsidRPr="00615E85">
        <w:rPr>
          <w:vertAlign w:val="superscript"/>
        </w:rPr>
        <w:t>ͤ</w:t>
      </w:r>
      <w:r w:rsidRPr="00615E85">
        <w:t>School of Psychology, University of Southampton, Southampton, England</w:t>
      </w:r>
    </w:p>
    <w:p w14:paraId="17B611B6" w14:textId="77777777" w:rsidR="001239CC" w:rsidRPr="00615E85" w:rsidRDefault="001239CC" w:rsidP="001239CC">
      <w:pPr>
        <w:pStyle w:val="Affiliation"/>
        <w:rPr>
          <w:i w:val="0"/>
          <w:iCs/>
          <w:color w:val="333333"/>
        </w:rPr>
      </w:pPr>
      <w:r w:rsidRPr="00615E85">
        <w:rPr>
          <w:i w:val="0"/>
          <w:iCs/>
          <w:color w:val="333333"/>
        </w:rPr>
        <w:t>The authors report there are no competing interests to declare.</w:t>
      </w:r>
    </w:p>
    <w:p w14:paraId="3ED22026" w14:textId="77777777" w:rsidR="001239CC" w:rsidRPr="00615E85" w:rsidRDefault="001239CC" w:rsidP="001239CC">
      <w:pPr>
        <w:pStyle w:val="Affiliation"/>
      </w:pPr>
      <w:r w:rsidRPr="00615E85">
        <w:rPr>
          <w:i w:val="0"/>
          <w:iCs/>
          <w:color w:val="333333"/>
        </w:rPr>
        <w:t xml:space="preserve">This research received no external funding. </w:t>
      </w:r>
    </w:p>
    <w:p w14:paraId="1E283204" w14:textId="77777777" w:rsidR="001239CC" w:rsidRPr="00615E85" w:rsidRDefault="001239CC" w:rsidP="001239CC">
      <w:pPr>
        <w:rPr>
          <w:lang w:eastAsia="en-US"/>
        </w:rPr>
      </w:pPr>
    </w:p>
    <w:p w14:paraId="07137FA0" w14:textId="77777777" w:rsidR="001239CC" w:rsidRPr="00615E85" w:rsidRDefault="001239CC" w:rsidP="001239CC">
      <w:pPr>
        <w:rPr>
          <w:lang w:eastAsia="en-US"/>
        </w:rPr>
      </w:pPr>
    </w:p>
    <w:p w14:paraId="1213CB22" w14:textId="77777777" w:rsidR="001239CC" w:rsidRPr="00615E85" w:rsidRDefault="001239CC" w:rsidP="001239CC">
      <w:pPr>
        <w:rPr>
          <w:lang w:eastAsia="en-US"/>
        </w:rPr>
      </w:pPr>
    </w:p>
    <w:p w14:paraId="1C649F0F" w14:textId="77777777" w:rsidR="001239CC" w:rsidRPr="00615E85" w:rsidRDefault="001239CC" w:rsidP="001239CC">
      <w:pPr>
        <w:rPr>
          <w:lang w:eastAsia="en-US"/>
        </w:rPr>
      </w:pPr>
    </w:p>
    <w:p w14:paraId="5B36D5C5" w14:textId="77777777" w:rsidR="001239CC" w:rsidRPr="00615E85" w:rsidRDefault="001239CC" w:rsidP="001239CC">
      <w:pPr>
        <w:rPr>
          <w:lang w:eastAsia="en-US"/>
        </w:rPr>
      </w:pPr>
    </w:p>
    <w:p w14:paraId="61B3BFCE" w14:textId="77777777" w:rsidR="001239CC" w:rsidRPr="00615E85" w:rsidRDefault="001239CC" w:rsidP="001239CC">
      <w:pPr>
        <w:rPr>
          <w:lang w:eastAsia="en-US"/>
        </w:rPr>
      </w:pPr>
    </w:p>
    <w:p w14:paraId="47D2287D" w14:textId="77777777" w:rsidR="001239CC" w:rsidRPr="00615E85" w:rsidRDefault="001239CC" w:rsidP="001239CC">
      <w:pPr>
        <w:rPr>
          <w:lang w:eastAsia="en-US"/>
        </w:rPr>
      </w:pPr>
    </w:p>
    <w:p w14:paraId="64681767" w14:textId="77777777" w:rsidR="001239CC" w:rsidRPr="00615E85" w:rsidRDefault="001239CC" w:rsidP="001239CC">
      <w:pPr>
        <w:rPr>
          <w:lang w:eastAsia="en-US"/>
        </w:rPr>
      </w:pPr>
    </w:p>
    <w:p w14:paraId="0856BC03" w14:textId="77777777" w:rsidR="001239CC" w:rsidRPr="00615E85" w:rsidRDefault="001239CC" w:rsidP="001239CC">
      <w:pPr>
        <w:rPr>
          <w:lang w:eastAsia="en-US"/>
        </w:rPr>
      </w:pPr>
    </w:p>
    <w:p w14:paraId="027780A8" w14:textId="77777777" w:rsidR="001239CC" w:rsidRPr="00615E85" w:rsidRDefault="001239CC" w:rsidP="001239CC">
      <w:pPr>
        <w:rPr>
          <w:lang w:eastAsia="en-US"/>
        </w:rPr>
      </w:pPr>
    </w:p>
    <w:p w14:paraId="3D8F5E09" w14:textId="77777777" w:rsidR="001239CC" w:rsidRPr="00615E85" w:rsidRDefault="001239CC" w:rsidP="001239CC">
      <w:pPr>
        <w:rPr>
          <w:lang w:eastAsia="en-US"/>
        </w:rPr>
      </w:pPr>
    </w:p>
    <w:p w14:paraId="4017512B" w14:textId="77777777" w:rsidR="001239CC" w:rsidRPr="00615E85" w:rsidRDefault="001239CC" w:rsidP="001239CC">
      <w:pPr>
        <w:rPr>
          <w:lang w:eastAsia="en-US"/>
        </w:rPr>
      </w:pPr>
    </w:p>
    <w:bookmarkEnd w:id="0"/>
    <w:p w14:paraId="5C137BA0" w14:textId="05926CA4" w:rsidR="006441A8" w:rsidRPr="00615E85" w:rsidRDefault="006441A8" w:rsidP="006441A8">
      <w:pPr>
        <w:pStyle w:val="Heading1"/>
        <w:numPr>
          <w:ilvl w:val="0"/>
          <w:numId w:val="0"/>
        </w:numPr>
        <w:rPr>
          <w:rFonts w:ascii="Times New Roman" w:hAnsi="Times New Roman" w:cs="Times New Roman"/>
        </w:rPr>
      </w:pPr>
      <w:r w:rsidRPr="00615E85">
        <w:rPr>
          <w:rFonts w:ascii="Times New Roman" w:hAnsi="Times New Roman" w:cs="Times New Roman"/>
        </w:rPr>
        <w:lastRenderedPageBreak/>
        <w:t>A Qualitative Review and Thematic Synthesis of Resident Experiences in Prison-based Democratic Therapeutic Communities</w:t>
      </w:r>
    </w:p>
    <w:p w14:paraId="728BEEB4" w14:textId="77777777" w:rsidR="00B72231" w:rsidRPr="00615E85" w:rsidRDefault="00B72231" w:rsidP="003850C0">
      <w:pPr>
        <w:pStyle w:val="Heading2"/>
        <w:numPr>
          <w:ilvl w:val="0"/>
          <w:numId w:val="0"/>
        </w:numPr>
        <w:ind w:left="851" w:hanging="851"/>
        <w:rPr>
          <w:rFonts w:ascii="Times New Roman" w:hAnsi="Times New Roman" w:cs="Times New Roman"/>
        </w:rPr>
      </w:pPr>
      <w:bookmarkStart w:id="1" w:name="_Toc176391386"/>
      <w:r w:rsidRPr="00615E85">
        <w:rPr>
          <w:rFonts w:ascii="Times New Roman" w:hAnsi="Times New Roman" w:cs="Times New Roman"/>
        </w:rPr>
        <w:t>Abstract</w:t>
      </w:r>
      <w:bookmarkEnd w:id="1"/>
    </w:p>
    <w:p w14:paraId="051DC71D" w14:textId="0D07B397" w:rsidR="00FA3D27" w:rsidRPr="00615E85" w:rsidRDefault="00AF2ADC" w:rsidP="00B72231">
      <w:pPr>
        <w:spacing w:line="480" w:lineRule="auto"/>
        <w:ind w:firstLine="567"/>
        <w:rPr>
          <w:rFonts w:ascii="Times New Roman" w:hAnsi="Times New Roman"/>
          <w:color w:val="FF0000"/>
          <w:lang w:eastAsia="en-GB"/>
        </w:rPr>
      </w:pPr>
      <w:r w:rsidRPr="00615E85">
        <w:rPr>
          <w:rFonts w:ascii="Times New Roman" w:hAnsi="Times New Roman"/>
          <w:lang w:eastAsia="en-GB"/>
        </w:rPr>
        <w:t>A qualitative systematic review and thematic synthesis was conducted to explore residents’ perspectives of prison-based democratic therapeutic communities (DTCs). This is important to inform effective treatment for residents of these communities. Five databases were searched for studies published between January</w:t>
      </w:r>
      <w:r w:rsidR="009B5834" w:rsidRPr="00615E85">
        <w:rPr>
          <w:rFonts w:ascii="Times New Roman" w:hAnsi="Times New Roman"/>
          <w:lang w:eastAsia="en-GB"/>
        </w:rPr>
        <w:t xml:space="preserve"> </w:t>
      </w:r>
      <w:r w:rsidRPr="00615E85">
        <w:rPr>
          <w:rFonts w:ascii="Times New Roman" w:hAnsi="Times New Roman"/>
          <w:lang w:eastAsia="en-GB"/>
        </w:rPr>
        <w:t xml:space="preserve">1962 and November 2023. Following screening, eleven qualitative studies were included in the review. </w:t>
      </w:r>
      <w:r w:rsidRPr="00615E85">
        <w:rPr>
          <w:rFonts w:ascii="Times New Roman" w:hAnsi="Times New Roman"/>
        </w:rPr>
        <w:t xml:space="preserve">Collectively, the review sample were 153 male residents of prison-based DTCs. </w:t>
      </w:r>
      <w:r w:rsidRPr="00615E85">
        <w:rPr>
          <w:rFonts w:ascii="Times New Roman" w:hAnsi="Times New Roman"/>
          <w:lang w:eastAsia="en-GB"/>
        </w:rPr>
        <w:t xml:space="preserve">Three themes were generated by thematic synthesis: (1) The Importance of Safety in the Therapeutic Environment, (2) Opening Up to Vulnerability and (3) Life Within and Beyond the DTC. Experiences were highlighted within the papers reviewed where progress in each of these areas was comprised for some residents, due to inequalities, stigma, and disconnection. Further training and awareness to support residents who experience such difficulties is needed. </w:t>
      </w:r>
      <w:r w:rsidRPr="00615E85">
        <w:rPr>
          <w:rFonts w:ascii="Times New Roman" w:hAnsi="Times New Roman"/>
        </w:rPr>
        <w:t xml:space="preserve">Interventions within prison-based DTCs to help reduce toxic masculinity and promote emotional vulnerability are also recommended. </w:t>
      </w:r>
      <w:r w:rsidRPr="00615E85">
        <w:rPr>
          <w:rFonts w:ascii="Times New Roman" w:hAnsi="Times New Roman"/>
          <w:lang w:eastAsia="en-GB"/>
        </w:rPr>
        <w:t>In addition, there is a</w:t>
      </w:r>
      <w:r w:rsidRPr="00615E85">
        <w:rPr>
          <w:rFonts w:ascii="Times New Roman" w:hAnsi="Times New Roman"/>
        </w:rPr>
        <w:t xml:space="preserve"> need for culturally informed and adapted practices to help those from minoritized background integrate into prison-based DTC communities. Further qualitative research across UK prison-based DTC settings incorporating the voices of those participating in therapeutic communities would be beneficial to expand the generalisability and diversity of findings.</w:t>
      </w:r>
    </w:p>
    <w:p w14:paraId="352ACEE2" w14:textId="77777777" w:rsidR="00B72231" w:rsidRPr="00615E85" w:rsidRDefault="00B72231" w:rsidP="00B72231">
      <w:pPr>
        <w:spacing w:line="480" w:lineRule="auto"/>
        <w:rPr>
          <w:rFonts w:ascii="Times New Roman" w:hAnsi="Times New Roman"/>
          <w:lang w:eastAsia="en-GB"/>
        </w:rPr>
      </w:pPr>
      <w:r w:rsidRPr="00615E85">
        <w:rPr>
          <w:rFonts w:ascii="Times New Roman" w:hAnsi="Times New Roman"/>
          <w:lang w:eastAsia="en-GB"/>
        </w:rPr>
        <w:t>Keywords: Prison, Therapeutic Communities, Experiences, Residents</w:t>
      </w:r>
    </w:p>
    <w:p w14:paraId="7607DC95" w14:textId="77777777" w:rsidR="00B72231" w:rsidRPr="00615E85" w:rsidRDefault="00B72231" w:rsidP="004B5EE9">
      <w:pPr>
        <w:spacing w:line="480" w:lineRule="auto"/>
        <w:rPr>
          <w:rFonts w:ascii="Times New Roman" w:hAnsi="Times New Roman"/>
          <w:lang w:eastAsia="en-GB"/>
        </w:rPr>
      </w:pPr>
    </w:p>
    <w:p w14:paraId="26A62642" w14:textId="77777777" w:rsidR="00B72231" w:rsidRPr="00615E85" w:rsidRDefault="00B72231" w:rsidP="00B72231">
      <w:pPr>
        <w:spacing w:line="480" w:lineRule="auto"/>
        <w:ind w:firstLine="567"/>
        <w:rPr>
          <w:rFonts w:ascii="Times New Roman" w:hAnsi="Times New Roman"/>
          <w:sz w:val="24"/>
          <w:szCs w:val="24"/>
          <w:lang w:eastAsia="en-GB"/>
        </w:rPr>
      </w:pPr>
    </w:p>
    <w:p w14:paraId="2C91BE89" w14:textId="77777777" w:rsidR="00B72231" w:rsidRPr="00615E85" w:rsidRDefault="00B72231" w:rsidP="00B72231">
      <w:pPr>
        <w:spacing w:line="480" w:lineRule="auto"/>
        <w:ind w:firstLine="567"/>
        <w:rPr>
          <w:rFonts w:ascii="Times New Roman" w:hAnsi="Times New Roman"/>
          <w:sz w:val="24"/>
          <w:szCs w:val="24"/>
          <w:lang w:eastAsia="en-GB"/>
        </w:rPr>
      </w:pPr>
    </w:p>
    <w:p w14:paraId="6E474896" w14:textId="77777777" w:rsidR="00B72231" w:rsidRPr="00615E85" w:rsidRDefault="00B72231" w:rsidP="00B72231">
      <w:pPr>
        <w:spacing w:line="480" w:lineRule="auto"/>
        <w:ind w:firstLine="567"/>
        <w:rPr>
          <w:rFonts w:ascii="Times New Roman" w:hAnsi="Times New Roman"/>
          <w:sz w:val="24"/>
          <w:szCs w:val="24"/>
          <w:lang w:eastAsia="en-GB"/>
        </w:rPr>
      </w:pPr>
    </w:p>
    <w:p w14:paraId="3FB892E3" w14:textId="77777777" w:rsidR="00B72231" w:rsidRPr="00615E85" w:rsidRDefault="00B72231" w:rsidP="00B72231">
      <w:pPr>
        <w:spacing w:line="480" w:lineRule="auto"/>
        <w:ind w:firstLine="567"/>
        <w:rPr>
          <w:rFonts w:ascii="Times New Roman" w:hAnsi="Times New Roman"/>
          <w:sz w:val="24"/>
          <w:szCs w:val="24"/>
          <w:lang w:eastAsia="en-GB"/>
        </w:rPr>
      </w:pPr>
    </w:p>
    <w:p w14:paraId="26E7D3A0" w14:textId="77777777" w:rsidR="00B72231" w:rsidRPr="00615E85" w:rsidRDefault="00B72231" w:rsidP="00B72231">
      <w:pPr>
        <w:rPr>
          <w:rFonts w:ascii="Times New Roman" w:hAnsi="Times New Roman"/>
          <w:sz w:val="24"/>
          <w:szCs w:val="24"/>
          <w:lang w:eastAsia="en-GB"/>
        </w:rPr>
      </w:pPr>
    </w:p>
    <w:p w14:paraId="26AE6DB4" w14:textId="77777777" w:rsidR="00B72231" w:rsidRPr="00615E85" w:rsidRDefault="00B72231" w:rsidP="003850C0">
      <w:pPr>
        <w:pStyle w:val="Heading2"/>
        <w:numPr>
          <w:ilvl w:val="0"/>
          <w:numId w:val="0"/>
        </w:numPr>
        <w:ind w:left="851" w:hanging="851"/>
        <w:rPr>
          <w:rFonts w:ascii="Times New Roman" w:hAnsi="Times New Roman" w:cs="Times New Roman"/>
          <w:sz w:val="24"/>
        </w:rPr>
      </w:pPr>
      <w:bookmarkStart w:id="2" w:name="_Toc176391387"/>
      <w:bookmarkStart w:id="3" w:name="_Hlk175097044"/>
      <w:r w:rsidRPr="00615E85">
        <w:rPr>
          <w:rFonts w:ascii="Times New Roman" w:hAnsi="Times New Roman" w:cs="Times New Roman"/>
          <w:sz w:val="24"/>
        </w:rPr>
        <w:t>Introduction</w:t>
      </w:r>
      <w:bookmarkEnd w:id="2"/>
    </w:p>
    <w:p w14:paraId="0CB35E4C" w14:textId="45F6C6AB" w:rsidR="00B72231" w:rsidRPr="00615E85" w:rsidRDefault="00B72231" w:rsidP="00B72231">
      <w:pPr>
        <w:spacing w:line="480" w:lineRule="auto"/>
        <w:ind w:firstLine="567"/>
        <w:rPr>
          <w:rFonts w:ascii="Times New Roman" w:hAnsi="Times New Roman"/>
          <w:sz w:val="24"/>
          <w:szCs w:val="24"/>
          <w:lang w:eastAsia="en-GB"/>
        </w:rPr>
      </w:pPr>
      <w:r w:rsidRPr="00615E85">
        <w:rPr>
          <w:rFonts w:ascii="Times New Roman" w:hAnsi="Times New Roman"/>
          <w:sz w:val="24"/>
          <w:szCs w:val="24"/>
          <w:lang w:eastAsia="en-GB"/>
        </w:rPr>
        <w:t xml:space="preserve">Approximately 95,526 prisoners reside in prisons across the United Kingdom (UK) (Sturge, 2023). Prisoners with complex mental health needs and severe risk-presentations to self and others can be referred for specialist support within the Offender Personality Disorder (OPD) Pathway (National Health Service (NHS) England, 2023). The OPD pathway replaced the National Personality Disorder Programme (NPDP) and was developed in 2011 jointly between His Majesty's Prison and Probation Service (HMPPS) and NHS England. The pathway was designed to provide evidence-based rehabilitation to better suit the growing complex needs of high-risk offenders across prison sectors using a range of therapeutic approaches(Haigh &amp; Benefield, 2019; HMPPS, 2018; </w:t>
      </w:r>
      <w:proofErr w:type="spellStart"/>
      <w:r w:rsidRPr="00615E85">
        <w:rPr>
          <w:rFonts w:ascii="Times New Roman" w:hAnsi="Times New Roman"/>
          <w:sz w:val="24"/>
          <w:szCs w:val="24"/>
          <w:lang w:eastAsia="en-GB"/>
        </w:rPr>
        <w:t>Skett</w:t>
      </w:r>
      <w:proofErr w:type="spellEnd"/>
      <w:r w:rsidRPr="00615E85">
        <w:rPr>
          <w:rFonts w:ascii="Times New Roman" w:hAnsi="Times New Roman"/>
          <w:sz w:val="24"/>
          <w:szCs w:val="24"/>
          <w:lang w:eastAsia="en-GB"/>
        </w:rPr>
        <w:t xml:space="preserve"> &amp; Lewis, 2019). The pathway is designed to support residents to access  formulation-driven interventions, across their journey through prison and beyond, if applicable (Joseph &amp; Benefield, 2012).</w:t>
      </w:r>
    </w:p>
    <w:p w14:paraId="58353D29" w14:textId="27307A9E" w:rsidR="00B72231" w:rsidRPr="00615E85" w:rsidRDefault="00B72231" w:rsidP="00B72231">
      <w:pPr>
        <w:spacing w:line="480" w:lineRule="auto"/>
        <w:ind w:firstLine="567"/>
        <w:rPr>
          <w:rFonts w:ascii="Times New Roman" w:hAnsi="Times New Roman"/>
          <w:sz w:val="24"/>
          <w:szCs w:val="24"/>
          <w:lang w:eastAsia="en-GB"/>
        </w:rPr>
      </w:pPr>
      <w:r w:rsidRPr="00615E85">
        <w:rPr>
          <w:rFonts w:ascii="Times New Roman" w:hAnsi="Times New Roman"/>
          <w:sz w:val="24"/>
          <w:szCs w:val="24"/>
          <w:lang w:eastAsia="en-GB"/>
        </w:rPr>
        <w:t>Prison-Based Democratic Therapeutic Community (DTC) treatment is one of many interventions offered within the OPD pathway (Ross &amp; Page, 2023). Prison-based DTCs differ to hierarchical substance-misuse prison TC programmes, which focus towards addressing substance-use cessation, with external drug and alcohol services informing the intervention (Kennard, 2004). Prison-based DTCs adopt a greater holistic approach, enabling eligible residents with complex mental health needs to live together in a structured prison wing (Rawlings &amp; Haigh, 2017). This is crucial, as an individual’s environment plays a key role in the development or dysfunctionality of core life areas, including their sense of identity, their meaning or purpose in life, their sense of agency and belongingness within a community (Ashforth, 2001, as cited in, Needs &amp; Adair-</w:t>
      </w:r>
      <w:proofErr w:type="spellStart"/>
      <w:r w:rsidRPr="00615E85">
        <w:rPr>
          <w:rFonts w:ascii="Times New Roman" w:hAnsi="Times New Roman"/>
          <w:sz w:val="24"/>
          <w:szCs w:val="24"/>
          <w:lang w:eastAsia="en-GB"/>
        </w:rPr>
        <w:t>Stantiall</w:t>
      </w:r>
      <w:proofErr w:type="spellEnd"/>
      <w:r w:rsidRPr="00615E85">
        <w:rPr>
          <w:rFonts w:ascii="Times New Roman" w:hAnsi="Times New Roman"/>
          <w:sz w:val="24"/>
          <w:szCs w:val="24"/>
          <w:lang w:eastAsia="en-GB"/>
        </w:rPr>
        <w:t xml:space="preserve">, 2018). Underdevelopment in these areas, coupled with adverse life events across the lifespan and experiences of societal disorganisation are associated with poorer mental health outcomes and increased chances of </w:t>
      </w:r>
      <w:r w:rsidRPr="00615E85">
        <w:rPr>
          <w:rFonts w:ascii="Times New Roman" w:hAnsi="Times New Roman"/>
          <w:sz w:val="24"/>
          <w:szCs w:val="24"/>
          <w:lang w:eastAsia="en-GB"/>
        </w:rPr>
        <w:lastRenderedPageBreak/>
        <w:t xml:space="preserve">individuals engaging in criminal behaviours (Haigh &amp; Benefield, 2019; Sahni &amp; Krishnakumar, 2021).  </w:t>
      </w:r>
    </w:p>
    <w:p w14:paraId="0D78268A" w14:textId="3C32CF52" w:rsidR="00B72231" w:rsidRPr="00615E85" w:rsidRDefault="00B72231" w:rsidP="00B72231">
      <w:pPr>
        <w:spacing w:line="480" w:lineRule="auto"/>
        <w:ind w:firstLine="567"/>
        <w:rPr>
          <w:rFonts w:ascii="Times New Roman" w:hAnsi="Times New Roman"/>
          <w:sz w:val="24"/>
          <w:szCs w:val="24"/>
          <w:lang w:eastAsia="en-GB"/>
        </w:rPr>
      </w:pPr>
      <w:r w:rsidRPr="00615E85">
        <w:rPr>
          <w:rFonts w:ascii="Times New Roman" w:hAnsi="Times New Roman"/>
          <w:sz w:val="24"/>
          <w:szCs w:val="24"/>
          <w:lang w:eastAsia="en-GB"/>
        </w:rPr>
        <w:t xml:space="preserve">DTCs serve to meet the psychosocial needs of residents, encouraging the development of routine, individual expression and alternative ways of thinking (Bennett &amp; Shuker, 2017). DTCs are additionally shown to effectively reduce repeat reoffending in residents with therapy promoting the development of relational skills and exploration of new narratives (Stevens, 2012). Reductions in reoffending appear more robust when DTC treatment is followed by appropriate community intervention (Beaudry et al., 2021). The programme incorporates pre-group and community meetings to discuss current affairs , allocate roles to residents and explore group dynamics. Small therapy groups  enable residents to talk openly about life experiences. The collaborative reflective feedback spaces ensure all residents are briefed about small therapy group topics. Residents also participate in other structured activities and events with others, to further develop relationships outside of therapy (Akerman, 2021). </w:t>
      </w:r>
    </w:p>
    <w:p w14:paraId="556B2B09" w14:textId="77777777" w:rsidR="00B72231" w:rsidRPr="00615E85" w:rsidRDefault="00B72231" w:rsidP="00B72231">
      <w:pPr>
        <w:spacing w:line="480" w:lineRule="auto"/>
        <w:ind w:firstLine="567"/>
        <w:rPr>
          <w:rFonts w:ascii="Times New Roman" w:hAnsi="Times New Roman"/>
          <w:sz w:val="24"/>
          <w:szCs w:val="24"/>
          <w:lang w:eastAsia="en-GB"/>
        </w:rPr>
      </w:pPr>
      <w:r w:rsidRPr="00615E85">
        <w:rPr>
          <w:rFonts w:ascii="Times New Roman" w:hAnsi="Times New Roman"/>
          <w:sz w:val="24"/>
          <w:szCs w:val="24"/>
          <w:lang w:eastAsia="en-GB"/>
        </w:rPr>
        <w:t xml:space="preserve">Prison-based DTCs are heterogenous interventions which can evolve, within reason, to fit around residents’ needs, making for an effective intervention (Bennett &amp; Shuker, 2017). Moreover, residents can experience the DTC in different ways. As residents enter the community, they can bring in a wealth of diversity, which can be impactful on their own and others’ experiences. This may be relative to their individual backgrounds and life experiences to what criminal offences they committed. Although essential, quantitative outcomes research can be difficult due to the individualised approach of the DTC (Capone et al., 2016; Pearce &amp; Haigh, 2017; Richardson &amp; Zini, 2021).  Therefore, it remains important to understand experiences from residents directly engaging in interventions to ensure they are receiving effective treatment and to inform service development accordingly (Seers, 2015). </w:t>
      </w:r>
    </w:p>
    <w:p w14:paraId="53BFDF07" w14:textId="36FECB67" w:rsidR="00B72231" w:rsidRPr="00615E85" w:rsidRDefault="00B72231" w:rsidP="00B72231">
      <w:pPr>
        <w:spacing w:line="480" w:lineRule="auto"/>
        <w:ind w:firstLine="567"/>
        <w:rPr>
          <w:rFonts w:ascii="Times New Roman" w:hAnsi="Times New Roman"/>
          <w:sz w:val="24"/>
          <w:szCs w:val="24"/>
          <w:lang w:eastAsia="en-GB"/>
        </w:rPr>
      </w:pPr>
      <w:r w:rsidRPr="00615E85">
        <w:rPr>
          <w:rFonts w:ascii="Times New Roman" w:hAnsi="Times New Roman"/>
          <w:sz w:val="24"/>
          <w:szCs w:val="24"/>
          <w:lang w:eastAsia="en-GB"/>
        </w:rPr>
        <w:t xml:space="preserve">The aim of this review was to systematically synthesise qualitative research articles pertaining to understanding experiences of residents participating in UK prison-based DTCs. </w:t>
      </w:r>
      <w:r w:rsidRPr="00615E85">
        <w:rPr>
          <w:rFonts w:ascii="Times New Roman" w:hAnsi="Times New Roman"/>
          <w:sz w:val="24"/>
          <w:szCs w:val="24"/>
          <w:lang w:eastAsia="en-GB"/>
        </w:rPr>
        <w:lastRenderedPageBreak/>
        <w:t>This may help towards conceptualising the impact of DTC therapy and capture a broader understanding of how they work  from residents’ perspectives. This can support the development and adaptation of DTCs and further expand to inform the recovery and rehabilitation aims of the OPD pathway.</w:t>
      </w:r>
    </w:p>
    <w:p w14:paraId="02DBED48" w14:textId="77777777" w:rsidR="00B72231" w:rsidRPr="00615E85" w:rsidRDefault="00B72231" w:rsidP="003850C0">
      <w:pPr>
        <w:pStyle w:val="Heading2"/>
        <w:numPr>
          <w:ilvl w:val="0"/>
          <w:numId w:val="0"/>
        </w:numPr>
        <w:ind w:left="851" w:hanging="851"/>
        <w:rPr>
          <w:rFonts w:ascii="Times New Roman" w:hAnsi="Times New Roman" w:cs="Times New Roman"/>
          <w:sz w:val="24"/>
        </w:rPr>
      </w:pPr>
      <w:bookmarkStart w:id="4" w:name="_Toc176391388"/>
      <w:r w:rsidRPr="00615E85">
        <w:rPr>
          <w:rFonts w:ascii="Times New Roman" w:hAnsi="Times New Roman" w:cs="Times New Roman"/>
          <w:sz w:val="24"/>
        </w:rPr>
        <w:t>Method</w:t>
      </w:r>
      <w:bookmarkEnd w:id="4"/>
    </w:p>
    <w:p w14:paraId="4A2A9F8C"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5" w:name="_Toc176391389"/>
      <w:r w:rsidRPr="00615E85">
        <w:rPr>
          <w:rFonts w:ascii="Times New Roman" w:hAnsi="Times New Roman" w:cs="Times New Roman"/>
          <w:i/>
          <w:iCs/>
          <w:sz w:val="24"/>
          <w:szCs w:val="24"/>
        </w:rPr>
        <w:t>Pre-registration</w:t>
      </w:r>
      <w:bookmarkEnd w:id="5"/>
    </w:p>
    <w:p w14:paraId="6037A722" w14:textId="0923A4FC" w:rsidR="00B72231" w:rsidRPr="00615E85" w:rsidRDefault="00B72231" w:rsidP="00B72231">
      <w:pPr>
        <w:spacing w:line="480" w:lineRule="auto"/>
        <w:ind w:firstLine="567"/>
        <w:rPr>
          <w:rFonts w:ascii="Times New Roman" w:hAnsi="Times New Roman"/>
          <w:color w:val="FF0000"/>
          <w:sz w:val="24"/>
          <w:szCs w:val="24"/>
          <w:lang w:eastAsia="en-US"/>
        </w:rPr>
      </w:pPr>
      <w:r w:rsidRPr="00615E85">
        <w:rPr>
          <w:rFonts w:ascii="Times New Roman" w:hAnsi="Times New Roman"/>
          <w:sz w:val="24"/>
          <w:szCs w:val="24"/>
          <w:lang w:eastAsia="en-US"/>
        </w:rPr>
        <w:t>Prior to starting, the review was registered on the International Prospective Register of Systematic Reviews (PROSPERO) (ID: CRD42023583085).</w:t>
      </w:r>
      <w:r w:rsidR="000F460B" w:rsidRPr="00615E85">
        <w:rPr>
          <w:rFonts w:ascii="Times New Roman" w:hAnsi="Times New Roman"/>
          <w:sz w:val="24"/>
          <w:szCs w:val="24"/>
          <w:lang w:eastAsia="en-US"/>
        </w:rPr>
        <w:t xml:space="preserve"> This served to ensure the review was novel, increase the transparency of the process the review was conducted by and minimise bias (Pieper &amp; </w:t>
      </w:r>
      <w:proofErr w:type="spellStart"/>
      <w:r w:rsidR="000F460B" w:rsidRPr="00615E85">
        <w:rPr>
          <w:rFonts w:ascii="Times New Roman" w:hAnsi="Times New Roman"/>
          <w:sz w:val="24"/>
          <w:szCs w:val="24"/>
          <w:lang w:eastAsia="en-US"/>
        </w:rPr>
        <w:t>Rombey</w:t>
      </w:r>
      <w:proofErr w:type="spellEnd"/>
      <w:r w:rsidR="000F460B" w:rsidRPr="00615E85">
        <w:rPr>
          <w:rFonts w:ascii="Times New Roman" w:hAnsi="Times New Roman"/>
          <w:sz w:val="24"/>
          <w:szCs w:val="24"/>
          <w:lang w:eastAsia="en-US"/>
        </w:rPr>
        <w:t>, 2022).</w:t>
      </w:r>
    </w:p>
    <w:p w14:paraId="5213BC0F"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6" w:name="_Toc176391390"/>
      <w:r w:rsidRPr="00615E85">
        <w:rPr>
          <w:rFonts w:ascii="Times New Roman" w:hAnsi="Times New Roman" w:cs="Times New Roman"/>
          <w:i/>
          <w:iCs/>
          <w:sz w:val="24"/>
          <w:szCs w:val="24"/>
        </w:rPr>
        <w:t>Search Strategy</w:t>
      </w:r>
      <w:bookmarkEnd w:id="6"/>
    </w:p>
    <w:p w14:paraId="5A227D30" w14:textId="77777777"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 xml:space="preserve">The conduct and reporting of this review was based on systematic reviews guidance recommended by the Centre for Reviews and Dissemination (CRD, 2009) and Boland et al. (2017). Following scoping searches, five bibliographic databases (APA PsycINFO, MEDLINE, CINAHL Plus, Scopus and ProQuest) were searched to determine any published or unpublished research, relevant to the topic area. These searches either covered the period from 1962-to November 2023 (as the first prison-based democratic therapeutic community was established in 1962 (Rawlings &amp; Haigh, 2017) or the date the database commenced. Each bibliographic database housed on the EBSCO interface was searched individually. A hand search of the International Journal of Therapeutic Communities (IJTC, 2023) was also conducted from available journal issues from its online start date of 2012-2023. Experts known to the field of prison-based therapeutic communities were contacted to obtain any potential unpublished literature that could be included. </w:t>
      </w:r>
    </w:p>
    <w:p w14:paraId="7829904C" w14:textId="59F5555F"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lastRenderedPageBreak/>
        <w:t xml:space="preserve">The search strategy was devised based on the results of the scoping searches, including terms that appeared frequently in relation to descriptions of the population "(MH "Incarcerated" OR MH "Incarceration" OR MH "Prisons" OR  (prison* OR forensic* OR </w:t>
      </w:r>
      <w:proofErr w:type="spellStart"/>
      <w:r w:rsidRPr="00615E85">
        <w:rPr>
          <w:rFonts w:ascii="Times New Roman" w:hAnsi="Times New Roman"/>
          <w:sz w:val="24"/>
          <w:szCs w:val="24"/>
          <w:lang w:eastAsia="en-US"/>
        </w:rPr>
        <w:t>incarcerat</w:t>
      </w:r>
      <w:proofErr w:type="spellEnd"/>
      <w:r w:rsidRPr="00615E85">
        <w:rPr>
          <w:rFonts w:ascii="Times New Roman" w:hAnsi="Times New Roman"/>
          <w:sz w:val="24"/>
          <w:szCs w:val="24"/>
          <w:lang w:eastAsia="en-US"/>
        </w:rPr>
        <w:t xml:space="preserve">* OR offender* OR </w:t>
      </w:r>
      <w:proofErr w:type="spellStart"/>
      <w:r w:rsidRPr="00615E85">
        <w:rPr>
          <w:rFonts w:ascii="Times New Roman" w:hAnsi="Times New Roman"/>
          <w:sz w:val="24"/>
          <w:szCs w:val="24"/>
          <w:lang w:eastAsia="en-US"/>
        </w:rPr>
        <w:t>perpetrat</w:t>
      </w:r>
      <w:proofErr w:type="spellEnd"/>
      <w:r w:rsidRPr="00615E85">
        <w:rPr>
          <w:rFonts w:ascii="Times New Roman" w:hAnsi="Times New Roman"/>
          <w:sz w:val="24"/>
          <w:szCs w:val="24"/>
          <w:lang w:eastAsia="en-US"/>
        </w:rPr>
        <w:t>* OR imprison* OR convict* OR inmate* OR detain* OR resident*)  and type of qualitative research or phenomena investigated (</w:t>
      </w:r>
      <w:proofErr w:type="spellStart"/>
      <w:r w:rsidRPr="00615E85">
        <w:rPr>
          <w:rFonts w:ascii="Times New Roman" w:hAnsi="Times New Roman"/>
          <w:sz w:val="24"/>
          <w:szCs w:val="24"/>
          <w:lang w:eastAsia="en-US"/>
        </w:rPr>
        <w:t>experienc</w:t>
      </w:r>
      <w:proofErr w:type="spellEnd"/>
      <w:r w:rsidRPr="00615E85">
        <w:rPr>
          <w:rFonts w:ascii="Times New Roman" w:hAnsi="Times New Roman"/>
          <w:sz w:val="24"/>
          <w:szCs w:val="24"/>
          <w:lang w:eastAsia="en-US"/>
        </w:rPr>
        <w:t xml:space="preserve">* OR perception* OR view* OR understanding* OR opinion* OR response* OR qualitative* OR theme* OR attitude* OR perspective* OR interview* OR “focus group*” OR observation* OR </w:t>
      </w:r>
      <w:proofErr w:type="spellStart"/>
      <w:r w:rsidRPr="00615E85">
        <w:rPr>
          <w:rFonts w:ascii="Times New Roman" w:hAnsi="Times New Roman"/>
          <w:sz w:val="24"/>
          <w:szCs w:val="24"/>
          <w:lang w:eastAsia="en-US"/>
        </w:rPr>
        <w:t>explorat</w:t>
      </w:r>
      <w:proofErr w:type="spellEnd"/>
      <w:r w:rsidRPr="00615E85">
        <w:rPr>
          <w:rFonts w:ascii="Times New Roman" w:hAnsi="Times New Roman"/>
          <w:sz w:val="24"/>
          <w:szCs w:val="24"/>
          <w:lang w:eastAsia="en-US"/>
        </w:rPr>
        <w:t xml:space="preserve">* OR </w:t>
      </w:r>
      <w:proofErr w:type="spellStart"/>
      <w:r w:rsidRPr="00615E85">
        <w:rPr>
          <w:rFonts w:ascii="Times New Roman" w:hAnsi="Times New Roman"/>
          <w:sz w:val="24"/>
          <w:szCs w:val="24"/>
          <w:lang w:eastAsia="en-US"/>
        </w:rPr>
        <w:t>investigat</w:t>
      </w:r>
      <w:proofErr w:type="spellEnd"/>
      <w:r w:rsidRPr="00615E85">
        <w:rPr>
          <w:rFonts w:ascii="Times New Roman" w:hAnsi="Times New Roman"/>
          <w:sz w:val="24"/>
          <w:szCs w:val="24"/>
          <w:lang w:eastAsia="en-US"/>
        </w:rPr>
        <w:t xml:space="preserve">* OR </w:t>
      </w:r>
      <w:proofErr w:type="spellStart"/>
      <w:r w:rsidRPr="00615E85">
        <w:rPr>
          <w:rFonts w:ascii="Times New Roman" w:hAnsi="Times New Roman"/>
          <w:sz w:val="24"/>
          <w:szCs w:val="24"/>
          <w:lang w:eastAsia="en-US"/>
        </w:rPr>
        <w:t>analys</w:t>
      </w:r>
      <w:proofErr w:type="spellEnd"/>
      <w:r w:rsidRPr="00615E85">
        <w:rPr>
          <w:rFonts w:ascii="Times New Roman" w:hAnsi="Times New Roman"/>
          <w:sz w:val="24"/>
          <w:szCs w:val="24"/>
          <w:lang w:eastAsia="en-US"/>
        </w:rPr>
        <w:t xml:space="preserve">*. The term “therapeutic </w:t>
      </w:r>
      <w:proofErr w:type="spellStart"/>
      <w:r w:rsidRPr="00615E85">
        <w:rPr>
          <w:rFonts w:ascii="Times New Roman" w:hAnsi="Times New Roman"/>
          <w:sz w:val="24"/>
          <w:szCs w:val="24"/>
          <w:lang w:eastAsia="en-US"/>
        </w:rPr>
        <w:t>communi</w:t>
      </w:r>
      <w:proofErr w:type="spellEnd"/>
      <w:r w:rsidRPr="00615E85">
        <w:rPr>
          <w:rFonts w:ascii="Times New Roman" w:hAnsi="Times New Roman"/>
          <w:sz w:val="24"/>
          <w:szCs w:val="24"/>
          <w:lang w:eastAsia="en-US"/>
        </w:rPr>
        <w:t xml:space="preserve">*” was used to define the type of intervention. Boolean operators of AND or </w:t>
      </w:r>
      <w:proofErr w:type="spellStart"/>
      <w:r w:rsidRPr="00615E85">
        <w:rPr>
          <w:rFonts w:ascii="Times New Roman" w:hAnsi="Times New Roman"/>
          <w:sz w:val="24"/>
          <w:szCs w:val="24"/>
          <w:lang w:eastAsia="en-US"/>
        </w:rPr>
        <w:t>OR</w:t>
      </w:r>
      <w:proofErr w:type="spellEnd"/>
      <w:r w:rsidRPr="00615E85">
        <w:rPr>
          <w:rFonts w:ascii="Times New Roman" w:hAnsi="Times New Roman"/>
          <w:sz w:val="24"/>
          <w:szCs w:val="24"/>
          <w:lang w:eastAsia="en-US"/>
        </w:rPr>
        <w:t xml:space="preserve"> were used to search accordingly. Where possible, </w:t>
      </w:r>
      <w:proofErr w:type="spellStart"/>
      <w:r w:rsidRPr="00615E85">
        <w:rPr>
          <w:rFonts w:ascii="Times New Roman" w:hAnsi="Times New Roman"/>
          <w:sz w:val="24"/>
          <w:szCs w:val="24"/>
          <w:lang w:eastAsia="en-US"/>
        </w:rPr>
        <w:t>MeSH</w:t>
      </w:r>
      <w:proofErr w:type="spellEnd"/>
      <w:r w:rsidRPr="00615E85">
        <w:rPr>
          <w:rFonts w:ascii="Times New Roman" w:hAnsi="Times New Roman"/>
          <w:sz w:val="24"/>
          <w:szCs w:val="24"/>
          <w:lang w:eastAsia="en-US"/>
        </w:rPr>
        <w:t xml:space="preserve"> and subject terms were included. Librarians were additionally consulted during the development of the search strategies. A table of the full search strategy is included in </w:t>
      </w:r>
      <w:r w:rsidR="00ED4D0A" w:rsidRPr="00615E85">
        <w:rPr>
          <w:rFonts w:ascii="Times New Roman" w:hAnsi="Times New Roman"/>
          <w:sz w:val="24"/>
          <w:szCs w:val="24"/>
          <w:lang w:eastAsia="en-US"/>
        </w:rPr>
        <w:t>supplementary materials</w:t>
      </w:r>
      <w:r w:rsidRPr="00615E85">
        <w:rPr>
          <w:rFonts w:ascii="Times New Roman" w:hAnsi="Times New Roman"/>
          <w:sz w:val="24"/>
          <w:szCs w:val="24"/>
          <w:lang w:eastAsia="en-US"/>
        </w:rPr>
        <w:t xml:space="preserve">. </w:t>
      </w:r>
    </w:p>
    <w:p w14:paraId="6D91A918"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7" w:name="_Toc176391391"/>
      <w:r w:rsidRPr="00615E85">
        <w:rPr>
          <w:rFonts w:ascii="Times New Roman" w:hAnsi="Times New Roman" w:cs="Times New Roman"/>
          <w:i/>
          <w:iCs/>
          <w:sz w:val="24"/>
          <w:szCs w:val="24"/>
        </w:rPr>
        <w:t>Inclusion and Exclusion Criteria</w:t>
      </w:r>
      <w:bookmarkEnd w:id="7"/>
    </w:p>
    <w:p w14:paraId="0810F6BB" w14:textId="77777777" w:rsidR="00B72231" w:rsidRPr="00615E85" w:rsidRDefault="00B72231" w:rsidP="00B72231">
      <w:pPr>
        <w:spacing w:line="480" w:lineRule="auto"/>
        <w:rPr>
          <w:rFonts w:ascii="Times New Roman" w:hAnsi="Times New Roman"/>
          <w:sz w:val="24"/>
          <w:szCs w:val="24"/>
        </w:rPr>
      </w:pPr>
      <w:r w:rsidRPr="00615E85">
        <w:rPr>
          <w:rFonts w:ascii="Times New Roman" w:hAnsi="Times New Roman"/>
          <w:sz w:val="24"/>
          <w:szCs w:val="24"/>
        </w:rPr>
        <w:t>Table 1 highlights the inclusion and exclusion criteria for the review.</w:t>
      </w:r>
    </w:p>
    <w:p w14:paraId="0DD624E6" w14:textId="77777777" w:rsidR="00B72231" w:rsidRPr="00615E85" w:rsidRDefault="00B72231" w:rsidP="00B72231">
      <w:pPr>
        <w:pStyle w:val="Caption"/>
        <w:keepNext/>
        <w:rPr>
          <w:rFonts w:ascii="Times New Roman" w:hAnsi="Times New Roman"/>
          <w:b/>
          <w:bCs/>
          <w:sz w:val="24"/>
          <w:szCs w:val="24"/>
        </w:rPr>
      </w:pPr>
      <w:bookmarkStart w:id="8" w:name="_Toc166859344"/>
      <w:r w:rsidRPr="00615E85">
        <w:rPr>
          <w:rFonts w:ascii="Times New Roman" w:hAnsi="Times New Roman"/>
          <w:b/>
          <w:bCs/>
          <w:sz w:val="24"/>
          <w:szCs w:val="24"/>
        </w:rPr>
        <w:t xml:space="preserve">Table </w:t>
      </w:r>
      <w:r w:rsidRPr="00615E85">
        <w:rPr>
          <w:rFonts w:ascii="Times New Roman" w:hAnsi="Times New Roman"/>
          <w:b/>
          <w:bCs/>
          <w:sz w:val="24"/>
          <w:szCs w:val="24"/>
        </w:rPr>
        <w:fldChar w:fldCharType="begin"/>
      </w:r>
      <w:r w:rsidRPr="00615E85">
        <w:rPr>
          <w:rFonts w:ascii="Times New Roman" w:hAnsi="Times New Roman"/>
          <w:b/>
          <w:bCs/>
          <w:sz w:val="24"/>
          <w:szCs w:val="24"/>
        </w:rPr>
        <w:instrText xml:space="preserve"> SEQ Table \* ARABIC </w:instrText>
      </w:r>
      <w:r w:rsidRPr="00615E85">
        <w:rPr>
          <w:rFonts w:ascii="Times New Roman" w:hAnsi="Times New Roman"/>
          <w:b/>
          <w:bCs/>
          <w:sz w:val="24"/>
          <w:szCs w:val="24"/>
        </w:rPr>
        <w:fldChar w:fldCharType="separate"/>
      </w:r>
      <w:r w:rsidRPr="00615E85">
        <w:rPr>
          <w:rFonts w:ascii="Times New Roman" w:hAnsi="Times New Roman"/>
          <w:b/>
          <w:bCs/>
          <w:noProof/>
          <w:sz w:val="24"/>
          <w:szCs w:val="24"/>
        </w:rPr>
        <w:t>1</w:t>
      </w:r>
      <w:bookmarkEnd w:id="8"/>
      <w:r w:rsidRPr="00615E85">
        <w:rPr>
          <w:rFonts w:ascii="Times New Roman" w:hAnsi="Times New Roman"/>
          <w:b/>
          <w:bCs/>
          <w:sz w:val="24"/>
          <w:szCs w:val="24"/>
        </w:rPr>
        <w:fldChar w:fldCharType="end"/>
      </w:r>
    </w:p>
    <w:p w14:paraId="6B525189" w14:textId="77777777" w:rsidR="00B72231" w:rsidRPr="00615E85" w:rsidRDefault="00B72231" w:rsidP="00B72231">
      <w:pPr>
        <w:spacing w:line="480" w:lineRule="auto"/>
        <w:rPr>
          <w:rFonts w:ascii="Times New Roman" w:hAnsi="Times New Roman"/>
          <w:i/>
          <w:iCs/>
          <w:sz w:val="24"/>
          <w:szCs w:val="24"/>
        </w:rPr>
      </w:pPr>
      <w:bookmarkStart w:id="9" w:name="_Hlk166835321"/>
      <w:r w:rsidRPr="00615E85">
        <w:rPr>
          <w:rFonts w:ascii="Times New Roman" w:hAnsi="Times New Roman"/>
          <w:i/>
          <w:iCs/>
          <w:sz w:val="24"/>
          <w:szCs w:val="24"/>
        </w:rPr>
        <w:t>Inclusion and Exclusion Criteria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337"/>
      </w:tblGrid>
      <w:tr w:rsidR="00B72231" w:rsidRPr="00615E85" w14:paraId="3242F8B6" w14:textId="77777777" w:rsidTr="001D53FD">
        <w:tc>
          <w:tcPr>
            <w:tcW w:w="0" w:type="auto"/>
            <w:tcBorders>
              <w:top w:val="single" w:sz="4" w:space="0" w:color="auto"/>
              <w:bottom w:val="single" w:sz="4" w:space="0" w:color="auto"/>
            </w:tcBorders>
          </w:tcPr>
          <w:bookmarkEnd w:id="9"/>
          <w:p w14:paraId="500EE7A2" w14:textId="77777777" w:rsidR="00B72231" w:rsidRPr="00615E85" w:rsidRDefault="00B72231" w:rsidP="001D53FD">
            <w:pPr>
              <w:jc w:val="center"/>
              <w:rPr>
                <w:rFonts w:ascii="Times New Roman" w:hAnsi="Times New Roman"/>
                <w:b/>
                <w:bCs/>
                <w:sz w:val="24"/>
                <w:szCs w:val="24"/>
              </w:rPr>
            </w:pPr>
            <w:r w:rsidRPr="00615E85">
              <w:rPr>
                <w:rFonts w:ascii="Times New Roman" w:hAnsi="Times New Roman"/>
                <w:b/>
                <w:bCs/>
                <w:sz w:val="24"/>
                <w:szCs w:val="24"/>
              </w:rPr>
              <w:t>Inclusion Criteria</w:t>
            </w:r>
          </w:p>
        </w:tc>
        <w:tc>
          <w:tcPr>
            <w:tcW w:w="0" w:type="auto"/>
            <w:tcBorders>
              <w:top w:val="single" w:sz="4" w:space="0" w:color="auto"/>
              <w:bottom w:val="single" w:sz="4" w:space="0" w:color="auto"/>
            </w:tcBorders>
          </w:tcPr>
          <w:p w14:paraId="66D91D39" w14:textId="77777777" w:rsidR="00B72231" w:rsidRPr="00615E85" w:rsidRDefault="00B72231" w:rsidP="001D53FD">
            <w:pPr>
              <w:jc w:val="center"/>
              <w:rPr>
                <w:rFonts w:ascii="Times New Roman" w:hAnsi="Times New Roman"/>
                <w:b/>
                <w:bCs/>
                <w:sz w:val="24"/>
                <w:szCs w:val="24"/>
              </w:rPr>
            </w:pPr>
            <w:r w:rsidRPr="00615E85">
              <w:rPr>
                <w:rFonts w:ascii="Times New Roman" w:hAnsi="Times New Roman"/>
                <w:b/>
                <w:bCs/>
                <w:sz w:val="24"/>
                <w:szCs w:val="24"/>
              </w:rPr>
              <w:t>Exclusion Criteria</w:t>
            </w:r>
          </w:p>
        </w:tc>
      </w:tr>
      <w:tr w:rsidR="00B72231" w:rsidRPr="00615E85" w14:paraId="60DFED8C" w14:textId="77777777" w:rsidTr="001D53FD">
        <w:tc>
          <w:tcPr>
            <w:tcW w:w="0" w:type="auto"/>
            <w:tcBorders>
              <w:top w:val="single" w:sz="4" w:space="0" w:color="auto"/>
            </w:tcBorders>
          </w:tcPr>
          <w:p w14:paraId="4E4C324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Adult (18+) prisoners who are engaging or had engaged in UK prison-based democratic TCs or specialist learning disability (LD) TC+ communities</w:t>
            </w:r>
          </w:p>
        </w:tc>
        <w:tc>
          <w:tcPr>
            <w:tcW w:w="0" w:type="auto"/>
            <w:tcBorders>
              <w:top w:val="single" w:sz="4" w:space="0" w:color="auto"/>
            </w:tcBorders>
          </w:tcPr>
          <w:p w14:paraId="5C310D8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Experiences of residents in substance-misuse prison TCs </w:t>
            </w:r>
          </w:p>
        </w:tc>
      </w:tr>
      <w:tr w:rsidR="00B72231" w:rsidRPr="00615E85" w14:paraId="122DD1EF" w14:textId="77777777" w:rsidTr="001D53FD">
        <w:tc>
          <w:tcPr>
            <w:tcW w:w="0" w:type="auto"/>
          </w:tcPr>
          <w:p w14:paraId="09A8EBF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Mixed method reviews, where qualitative data findings could be extracted</w:t>
            </w:r>
          </w:p>
        </w:tc>
        <w:tc>
          <w:tcPr>
            <w:tcW w:w="0" w:type="auto"/>
          </w:tcPr>
          <w:p w14:paraId="3071A0A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Studies of Prison-Based DTCs outside the UK due to differences in legal systems/prison management policies</w:t>
            </w:r>
          </w:p>
        </w:tc>
      </w:tr>
      <w:tr w:rsidR="00B72231" w:rsidRPr="00615E85" w14:paraId="5EC974DF" w14:textId="77777777" w:rsidTr="001D53FD">
        <w:tc>
          <w:tcPr>
            <w:tcW w:w="0" w:type="auto"/>
          </w:tcPr>
          <w:p w14:paraId="02DB837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Qualitative research studies</w:t>
            </w:r>
          </w:p>
        </w:tc>
        <w:tc>
          <w:tcPr>
            <w:tcW w:w="0" w:type="auto"/>
          </w:tcPr>
          <w:p w14:paraId="3A4E095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Studies that explored additional therapies or psychotherapeutic groups (e.g., psychodrama, art therapy) offered within prison-based TCs as they are not offered to every resident/not compulsory</w:t>
            </w:r>
          </w:p>
        </w:tc>
      </w:tr>
      <w:tr w:rsidR="00B72231" w:rsidRPr="00615E85" w14:paraId="682AA114" w14:textId="77777777" w:rsidTr="001D53FD">
        <w:tc>
          <w:tcPr>
            <w:tcW w:w="0" w:type="auto"/>
          </w:tcPr>
          <w:p w14:paraId="7195822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Mixed method reviews where qualitative data could be extracted</w:t>
            </w:r>
          </w:p>
        </w:tc>
        <w:tc>
          <w:tcPr>
            <w:tcW w:w="0" w:type="auto"/>
          </w:tcPr>
          <w:p w14:paraId="0FAFD92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Research related to participant experiences of pre-engagement strategies or aftercare of prison-based democratic therapeutic communities</w:t>
            </w:r>
          </w:p>
        </w:tc>
      </w:tr>
      <w:tr w:rsidR="00B72231" w:rsidRPr="00615E85" w14:paraId="72DE7533" w14:textId="77777777" w:rsidTr="001D53FD">
        <w:tc>
          <w:tcPr>
            <w:tcW w:w="0" w:type="auto"/>
          </w:tcPr>
          <w:p w14:paraId="46727C65"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Studies written in English</w:t>
            </w:r>
          </w:p>
        </w:tc>
        <w:tc>
          <w:tcPr>
            <w:tcW w:w="0" w:type="auto"/>
          </w:tcPr>
          <w:p w14:paraId="311AF965"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Alternative treatment interventions pertaining to the Offender Personality Disorder (OPD) Pathway</w:t>
            </w:r>
            <w:r w:rsidRPr="00615E85">
              <w:rPr>
                <w:rFonts w:ascii="Times New Roman" w:hAnsi="Times New Roman"/>
              </w:rPr>
              <w:t xml:space="preserve"> or </w:t>
            </w:r>
            <w:r w:rsidRPr="00615E85">
              <w:rPr>
                <w:rFonts w:ascii="Times New Roman" w:hAnsi="Times New Roman"/>
                <w:sz w:val="24"/>
                <w:szCs w:val="24"/>
              </w:rPr>
              <w:t>other prison therapy programmes (e.g. Sex Offender, Self-Change, Healthy Relationships Programmes)</w:t>
            </w:r>
          </w:p>
        </w:tc>
      </w:tr>
      <w:tr w:rsidR="00B72231" w:rsidRPr="00615E85" w14:paraId="71EDED0F" w14:textId="77777777" w:rsidTr="001D53FD">
        <w:tc>
          <w:tcPr>
            <w:tcW w:w="0" w:type="auto"/>
          </w:tcPr>
          <w:p w14:paraId="5B4319BD" w14:textId="77777777" w:rsidR="00B72231" w:rsidRPr="00615E85" w:rsidRDefault="00B72231" w:rsidP="001D53FD">
            <w:pPr>
              <w:rPr>
                <w:rFonts w:ascii="Times New Roman" w:hAnsi="Times New Roman"/>
                <w:sz w:val="24"/>
                <w:szCs w:val="24"/>
              </w:rPr>
            </w:pPr>
          </w:p>
        </w:tc>
        <w:tc>
          <w:tcPr>
            <w:tcW w:w="0" w:type="auto"/>
          </w:tcPr>
          <w:p w14:paraId="383F5D6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Children/adolescents in therapeutic communities/Young Offenders Institutions</w:t>
            </w:r>
          </w:p>
        </w:tc>
      </w:tr>
      <w:tr w:rsidR="00B72231" w:rsidRPr="00615E85" w14:paraId="110F1D57" w14:textId="77777777" w:rsidTr="001D53FD">
        <w:tc>
          <w:tcPr>
            <w:tcW w:w="0" w:type="auto"/>
          </w:tcPr>
          <w:p w14:paraId="4FAC59B3" w14:textId="77777777" w:rsidR="00B72231" w:rsidRPr="00615E85" w:rsidRDefault="00B72231" w:rsidP="001D53FD">
            <w:pPr>
              <w:rPr>
                <w:rFonts w:ascii="Times New Roman" w:hAnsi="Times New Roman"/>
                <w:sz w:val="24"/>
                <w:szCs w:val="24"/>
              </w:rPr>
            </w:pPr>
          </w:p>
        </w:tc>
        <w:tc>
          <w:tcPr>
            <w:tcW w:w="0" w:type="auto"/>
          </w:tcPr>
          <w:p w14:paraId="21FA0E9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Research focused on staff experiences</w:t>
            </w:r>
          </w:p>
        </w:tc>
      </w:tr>
      <w:tr w:rsidR="00B72231" w:rsidRPr="00615E85" w14:paraId="55BF2BAB" w14:textId="77777777" w:rsidTr="001D53FD">
        <w:tc>
          <w:tcPr>
            <w:tcW w:w="0" w:type="auto"/>
          </w:tcPr>
          <w:p w14:paraId="0BE53B98" w14:textId="77777777" w:rsidR="00B72231" w:rsidRPr="00615E85" w:rsidRDefault="00B72231" w:rsidP="001D53FD">
            <w:pPr>
              <w:rPr>
                <w:rFonts w:ascii="Times New Roman" w:hAnsi="Times New Roman"/>
                <w:sz w:val="24"/>
                <w:szCs w:val="24"/>
              </w:rPr>
            </w:pPr>
          </w:p>
        </w:tc>
        <w:tc>
          <w:tcPr>
            <w:tcW w:w="0" w:type="auto"/>
          </w:tcPr>
          <w:p w14:paraId="742BF76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Quantitative research studies</w:t>
            </w:r>
          </w:p>
        </w:tc>
      </w:tr>
      <w:tr w:rsidR="00B72231" w:rsidRPr="00615E85" w14:paraId="0DB51570" w14:textId="77777777" w:rsidTr="001D53FD">
        <w:tc>
          <w:tcPr>
            <w:tcW w:w="0" w:type="auto"/>
          </w:tcPr>
          <w:p w14:paraId="21FB25B3" w14:textId="77777777" w:rsidR="00B72231" w:rsidRPr="00615E85" w:rsidRDefault="00B72231" w:rsidP="001D53FD">
            <w:pPr>
              <w:rPr>
                <w:rFonts w:ascii="Times New Roman" w:hAnsi="Times New Roman"/>
                <w:sz w:val="24"/>
                <w:szCs w:val="24"/>
              </w:rPr>
            </w:pPr>
          </w:p>
        </w:tc>
        <w:tc>
          <w:tcPr>
            <w:tcW w:w="0" w:type="auto"/>
          </w:tcPr>
          <w:p w14:paraId="3AE2110E"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Books, book chapters, ethnographies, editorials, conference abstracts, short articles with incomplete data</w:t>
            </w:r>
          </w:p>
        </w:tc>
      </w:tr>
      <w:tr w:rsidR="00B72231" w:rsidRPr="00615E85" w14:paraId="3A4326EB" w14:textId="77777777" w:rsidTr="001D53FD">
        <w:tc>
          <w:tcPr>
            <w:tcW w:w="0" w:type="auto"/>
          </w:tcPr>
          <w:p w14:paraId="77042ADF" w14:textId="77777777" w:rsidR="00B72231" w:rsidRPr="00615E85" w:rsidRDefault="00B72231" w:rsidP="001D53FD">
            <w:pPr>
              <w:rPr>
                <w:rFonts w:ascii="Times New Roman" w:hAnsi="Times New Roman"/>
                <w:sz w:val="24"/>
                <w:szCs w:val="24"/>
              </w:rPr>
            </w:pPr>
          </w:p>
        </w:tc>
        <w:tc>
          <w:tcPr>
            <w:tcW w:w="0" w:type="auto"/>
          </w:tcPr>
          <w:p w14:paraId="75EDAE4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Studies not written in English</w:t>
            </w:r>
          </w:p>
        </w:tc>
      </w:tr>
    </w:tbl>
    <w:p w14:paraId="3D38D279" w14:textId="77777777" w:rsidR="00B72231" w:rsidRPr="00615E85" w:rsidRDefault="00B72231" w:rsidP="003850C0">
      <w:pPr>
        <w:pStyle w:val="Heading3"/>
        <w:numPr>
          <w:ilvl w:val="0"/>
          <w:numId w:val="0"/>
        </w:numPr>
        <w:rPr>
          <w:rFonts w:ascii="Times New Roman" w:hAnsi="Times New Roman" w:cs="Times New Roman"/>
          <w:i/>
          <w:iCs/>
          <w:sz w:val="24"/>
          <w:szCs w:val="24"/>
        </w:rPr>
      </w:pPr>
      <w:bookmarkStart w:id="10" w:name="_Toc176391392"/>
      <w:r w:rsidRPr="00615E85">
        <w:rPr>
          <w:rFonts w:ascii="Times New Roman" w:hAnsi="Times New Roman" w:cs="Times New Roman"/>
          <w:i/>
          <w:iCs/>
          <w:sz w:val="24"/>
          <w:szCs w:val="24"/>
        </w:rPr>
        <w:t>Data Screening</w:t>
      </w:r>
      <w:bookmarkEnd w:id="10"/>
    </w:p>
    <w:p w14:paraId="47EF4246" w14:textId="39EAAB81"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A total of 4174 papers were found across all databases, as shown in Figure 1. Once databases were searched, the results were transferred to Rayyan (</w:t>
      </w:r>
      <w:proofErr w:type="spellStart"/>
      <w:r w:rsidRPr="00615E85">
        <w:rPr>
          <w:rFonts w:ascii="Times New Roman" w:hAnsi="Times New Roman"/>
          <w:sz w:val="24"/>
          <w:szCs w:val="24"/>
          <w:lang w:eastAsia="en-US"/>
        </w:rPr>
        <w:t>Ouzzani</w:t>
      </w:r>
      <w:proofErr w:type="spellEnd"/>
      <w:r w:rsidRPr="00615E85">
        <w:rPr>
          <w:rFonts w:ascii="Times New Roman" w:hAnsi="Times New Roman"/>
          <w:sz w:val="24"/>
          <w:szCs w:val="24"/>
          <w:lang w:eastAsia="en-US"/>
        </w:rPr>
        <w:t xml:space="preserve"> et al., 2016), a free systematic review software package. Articles that were not published in English (n=49) were excluded using an automated feature within Rayyan. Articles were de-duplicated leaving 2007 articles. An independent reviewer second screened 10% of abstracts (n=207) with excellent agreement (100%) (</w:t>
      </w:r>
      <w:proofErr w:type="spellStart"/>
      <w:r w:rsidRPr="00615E85">
        <w:rPr>
          <w:rFonts w:ascii="Times New Roman" w:hAnsi="Times New Roman"/>
          <w:sz w:val="24"/>
          <w:szCs w:val="24"/>
          <w:lang w:eastAsia="en-US"/>
        </w:rPr>
        <w:t>Polanin</w:t>
      </w:r>
      <w:proofErr w:type="spellEnd"/>
      <w:r w:rsidRPr="00615E85">
        <w:rPr>
          <w:rFonts w:ascii="Times New Roman" w:hAnsi="Times New Roman"/>
          <w:sz w:val="24"/>
          <w:szCs w:val="24"/>
          <w:lang w:eastAsia="en-US"/>
        </w:rPr>
        <w:t xml:space="preserve"> et al., 2019). These were first screened for their relevance to the review via title and abstract, retaining 49 articles. Upon searching for full texts, (n=1) report </w:t>
      </w:r>
      <w:r w:rsidRPr="00615E85">
        <w:rPr>
          <w:rFonts w:ascii="Times New Roman" w:hAnsi="Times New Roman"/>
          <w:sz w:val="24"/>
          <w:szCs w:val="24"/>
          <w:lang w:eastAsia="en-US"/>
        </w:rPr>
        <w:lastRenderedPageBreak/>
        <w:t>could not be sourced. The remaining 48 articles were full text screened with application of the inclusion criteria by the primary researcher and the independent reviewer with four discrepancies. These were discussed and decided upon inclusion or exclusion with the research supervisory team.  Eleven articles were included in the review.</w:t>
      </w:r>
    </w:p>
    <w:p w14:paraId="4780852F" w14:textId="39EAAB81" w:rsidR="00B72231" w:rsidRPr="00615E85" w:rsidRDefault="00B72231" w:rsidP="003850C0">
      <w:pPr>
        <w:pStyle w:val="Heading3"/>
        <w:numPr>
          <w:ilvl w:val="0"/>
          <w:numId w:val="0"/>
        </w:numPr>
        <w:rPr>
          <w:rFonts w:ascii="Times New Roman" w:hAnsi="Times New Roman" w:cs="Times New Roman"/>
          <w:i/>
          <w:iCs/>
          <w:sz w:val="24"/>
          <w:szCs w:val="24"/>
        </w:rPr>
      </w:pPr>
      <w:bookmarkStart w:id="11" w:name="_Toc176391393"/>
      <w:r w:rsidRPr="00615E85">
        <w:rPr>
          <w:rFonts w:ascii="Times New Roman" w:hAnsi="Times New Roman" w:cs="Times New Roman"/>
          <w:i/>
          <w:iCs/>
          <w:sz w:val="24"/>
          <w:szCs w:val="24"/>
        </w:rPr>
        <w:t>Data Extraction</w:t>
      </w:r>
      <w:bookmarkEnd w:id="11"/>
    </w:p>
    <w:p w14:paraId="28823F0E" w14:textId="77777777" w:rsidR="00B72231" w:rsidRPr="00615E85" w:rsidRDefault="00B72231" w:rsidP="00B72231">
      <w:pPr>
        <w:spacing w:line="480" w:lineRule="auto"/>
        <w:ind w:firstLine="567"/>
        <w:rPr>
          <w:rFonts w:ascii="Times New Roman" w:hAnsi="Times New Roman"/>
          <w:color w:val="000000" w:themeColor="text1"/>
          <w:sz w:val="24"/>
          <w:szCs w:val="24"/>
        </w:rPr>
      </w:pPr>
      <w:r w:rsidRPr="00615E85">
        <w:rPr>
          <w:rFonts w:ascii="Times New Roman" w:hAnsi="Times New Roman"/>
          <w:sz w:val="24"/>
          <w:szCs w:val="24"/>
        </w:rPr>
        <w:t xml:space="preserve">Data was extracted using a premade data extraction form using the following parameters: Author, Setting, Aims, Main Themes, Participant Sample Characteristics, Data Collection Method, and Research </w:t>
      </w:r>
      <w:r w:rsidRPr="00615E85">
        <w:rPr>
          <w:rFonts w:ascii="Times New Roman" w:hAnsi="Times New Roman"/>
          <w:color w:val="000000" w:themeColor="text1"/>
          <w:sz w:val="24"/>
          <w:szCs w:val="24"/>
        </w:rPr>
        <w:t xml:space="preserve">Design (see Table 2). </w:t>
      </w:r>
    </w:p>
    <w:p w14:paraId="27B9D3E7"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12" w:name="_Toc176391394"/>
      <w:r w:rsidRPr="00615E85">
        <w:rPr>
          <w:rFonts w:ascii="Times New Roman" w:hAnsi="Times New Roman" w:cs="Times New Roman"/>
          <w:i/>
          <w:iCs/>
          <w:sz w:val="24"/>
          <w:szCs w:val="24"/>
        </w:rPr>
        <w:t>Quality Assessment</w:t>
      </w:r>
      <w:bookmarkEnd w:id="12"/>
    </w:p>
    <w:p w14:paraId="1F031A43"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quality of the papers was assessed using the Critical Appraisal Skills Programme Qualitative Studies Checklist (CASP, 2023). The CASP checklist has 10 questions in total; each question was marked Yes (Y), No (N) or Cannot Tell (C/T). No scores were ascertained, as CASP (2023) does not recommend this. The primary researcher and independent reviewer used the tool separately, with high inter-rater agreement (92%). Discrepancies resolved through discussion with a second independent reviewer (trainee clinical psychologist).  </w:t>
      </w:r>
    </w:p>
    <w:p w14:paraId="551351E8"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13" w:name="_Toc176391395"/>
      <w:r w:rsidRPr="00615E85">
        <w:rPr>
          <w:rFonts w:ascii="Times New Roman" w:hAnsi="Times New Roman" w:cs="Times New Roman"/>
          <w:i/>
          <w:iCs/>
          <w:sz w:val="24"/>
          <w:szCs w:val="24"/>
        </w:rPr>
        <w:t>Data Synthesis</w:t>
      </w:r>
      <w:bookmarkEnd w:id="13"/>
    </w:p>
    <w:p w14:paraId="613A1BC1" w14:textId="21A968CC" w:rsidR="00B72231" w:rsidRPr="00615E85" w:rsidRDefault="00B72231" w:rsidP="00B72231">
      <w:pPr>
        <w:spacing w:line="480" w:lineRule="auto"/>
        <w:rPr>
          <w:rFonts w:ascii="Times New Roman" w:hAnsi="Times New Roman"/>
          <w:sz w:val="24"/>
          <w:szCs w:val="24"/>
          <w:lang w:eastAsia="en-US"/>
        </w:rPr>
      </w:pPr>
      <w:r w:rsidRPr="00615E85">
        <w:rPr>
          <w:rFonts w:ascii="Times New Roman" w:hAnsi="Times New Roman"/>
          <w:sz w:val="24"/>
          <w:szCs w:val="24"/>
          <w:lang w:eastAsia="en-US"/>
        </w:rPr>
        <w:t>Data synthesis was undertaken qualitatively using thematic synthesis, as outlined by Thomas &amp; Harden (2008). The results section of each paper was extracted and read several times, with the author making any initial notes of their thoughts in the margins. Line-by-line’ coding was completed using NVivo Version 14 (</w:t>
      </w:r>
      <w:proofErr w:type="spellStart"/>
      <w:r w:rsidRPr="00615E85">
        <w:rPr>
          <w:rFonts w:ascii="Times New Roman" w:hAnsi="Times New Roman"/>
          <w:sz w:val="24"/>
          <w:szCs w:val="24"/>
          <w:lang w:eastAsia="en-US"/>
        </w:rPr>
        <w:t>Lumivero</w:t>
      </w:r>
      <w:proofErr w:type="spellEnd"/>
      <w:r w:rsidRPr="00615E85">
        <w:rPr>
          <w:rFonts w:ascii="Times New Roman" w:hAnsi="Times New Roman"/>
          <w:sz w:val="24"/>
          <w:szCs w:val="24"/>
          <w:lang w:eastAsia="en-US"/>
        </w:rPr>
        <w:t xml:space="preserve">, 2023), with at least one or more codes assigned to each line. This was to ensure meaning was captured effectively and was data driven, aligning with the researcher’s critical realist epistemological stance (Fryer, 2022). Critical realism considers the experiences elaborated upon within participants’ accounts, including their thoughts, emotions and behaviours, are shaped by context and the </w:t>
      </w:r>
      <w:r w:rsidRPr="00615E85">
        <w:rPr>
          <w:rFonts w:ascii="Times New Roman" w:hAnsi="Times New Roman"/>
          <w:sz w:val="24"/>
          <w:szCs w:val="24"/>
          <w:lang w:eastAsia="en-US"/>
        </w:rPr>
        <w:lastRenderedPageBreak/>
        <w:t xml:space="preserve">environment. The author further developed codes, moving from descriptive coding of individual experiences to consolidation coding, using theoretical concepts that group experiences together (Fryer, 2022). The initial codes were shared with the supervisory team. The primary author and the supervisory team were acknowledged to bring their own ideas and views into the interpretation of participants’ realities (Pilgrim &amp; Bentall, 1999).   Descriptive themes were developed by grouping codes that  related to similar experiences of residents. Thematic mapping on paper was used to group concepts visually which was then transferred accordingly into the NVivo datafile. The descriptive themes were then developed further and grouped into analytical themes in line with the research question. </w:t>
      </w:r>
      <w:r w:rsidRPr="00615E85">
        <w:rPr>
          <w:rFonts w:ascii="Times New Roman" w:hAnsi="Times New Roman"/>
          <w:sz w:val="24"/>
          <w:szCs w:val="24"/>
        </w:rPr>
        <w:t xml:space="preserve">The final codebook is included in </w:t>
      </w:r>
      <w:r w:rsidR="00ED4D0A" w:rsidRPr="00615E85">
        <w:rPr>
          <w:rFonts w:ascii="Times New Roman" w:hAnsi="Times New Roman"/>
          <w:sz w:val="24"/>
          <w:szCs w:val="24"/>
        </w:rPr>
        <w:t>supplementary materials</w:t>
      </w:r>
      <w:r w:rsidRPr="00615E85">
        <w:rPr>
          <w:rFonts w:ascii="Times New Roman" w:hAnsi="Times New Roman"/>
          <w:sz w:val="24"/>
          <w:szCs w:val="24"/>
        </w:rPr>
        <w:t>.</w:t>
      </w:r>
    </w:p>
    <w:p w14:paraId="0D47993A" w14:textId="77777777" w:rsidR="00B72231" w:rsidRPr="00615E85" w:rsidRDefault="00B72231" w:rsidP="004B5EE9">
      <w:pPr>
        <w:spacing w:line="480" w:lineRule="auto"/>
        <w:ind w:firstLine="567"/>
        <w:rPr>
          <w:rFonts w:ascii="Times New Roman" w:hAnsi="Times New Roman"/>
          <w:sz w:val="24"/>
          <w:szCs w:val="24"/>
          <w:lang w:eastAsia="en-US"/>
        </w:rPr>
      </w:pPr>
    </w:p>
    <w:p w14:paraId="0ECDFEF2" w14:textId="77777777" w:rsidR="00B72231" w:rsidRPr="00615E85" w:rsidRDefault="00B72231" w:rsidP="004B5EE9">
      <w:pPr>
        <w:spacing w:line="480" w:lineRule="auto"/>
        <w:ind w:firstLine="567"/>
        <w:rPr>
          <w:rFonts w:ascii="Times New Roman" w:hAnsi="Times New Roman"/>
          <w:sz w:val="24"/>
          <w:szCs w:val="24"/>
        </w:rPr>
      </w:pPr>
    </w:p>
    <w:p w14:paraId="0FBA3839" w14:textId="77777777" w:rsidR="00B72231" w:rsidRPr="00615E85" w:rsidRDefault="00B72231" w:rsidP="00B72231">
      <w:pPr>
        <w:spacing w:line="480" w:lineRule="auto"/>
        <w:rPr>
          <w:rFonts w:ascii="Times New Roman" w:hAnsi="Times New Roman"/>
          <w:sz w:val="24"/>
          <w:szCs w:val="24"/>
        </w:rPr>
        <w:sectPr w:rsidR="00B72231" w:rsidRPr="00615E85" w:rsidSect="00B72231">
          <w:headerReference w:type="even" r:id="rId7"/>
          <w:headerReference w:type="default" r:id="rId8"/>
          <w:footerReference w:type="even" r:id="rId9"/>
          <w:footerReference w:type="default" r:id="rId10"/>
          <w:pgSz w:w="11907" w:h="16840" w:code="9"/>
          <w:pgMar w:top="851" w:right="1418" w:bottom="851" w:left="1418" w:header="283" w:footer="283" w:gutter="0"/>
          <w:cols w:space="708"/>
          <w:formProt w:val="0"/>
          <w:docGrid w:linePitch="360"/>
        </w:sectPr>
      </w:pPr>
    </w:p>
    <w:p w14:paraId="370309EF" w14:textId="2409D7EE" w:rsidR="00B72231" w:rsidRPr="00615E85" w:rsidRDefault="00B72231" w:rsidP="003850C0">
      <w:pPr>
        <w:spacing w:line="480" w:lineRule="auto"/>
        <w:ind w:firstLine="567"/>
        <w:rPr>
          <w:rFonts w:ascii="Times New Roman" w:hAnsi="Times New Roman"/>
          <w:sz w:val="24"/>
          <w:szCs w:val="24"/>
        </w:rPr>
        <w:sectPr w:rsidR="00B72231" w:rsidRPr="00615E85" w:rsidSect="00B72231">
          <w:pgSz w:w="16840" w:h="11907" w:orient="landscape" w:code="9"/>
          <w:pgMar w:top="1418" w:right="851" w:bottom="1418" w:left="851" w:header="284" w:footer="284" w:gutter="0"/>
          <w:cols w:space="708"/>
          <w:formProt w:val="0"/>
          <w:docGrid w:linePitch="360"/>
        </w:sectPr>
      </w:pPr>
      <w:r w:rsidRPr="00615E85">
        <w:rPr>
          <w:rFonts w:ascii="Times New Roman" w:hAnsi="Times New Roman"/>
          <w:noProof/>
        </w:rPr>
        <w:lastRenderedPageBreak/>
        <w:drawing>
          <wp:anchor distT="0" distB="0" distL="114300" distR="114300" simplePos="0" relativeHeight="251659264" behindDoc="1" locked="0" layoutInCell="1" allowOverlap="1" wp14:anchorId="5ACCAFBB" wp14:editId="797E8042">
            <wp:simplePos x="0" y="0"/>
            <wp:positionH relativeFrom="margin">
              <wp:posOffset>742315</wp:posOffset>
            </wp:positionH>
            <wp:positionV relativeFrom="paragraph">
              <wp:posOffset>327660</wp:posOffset>
            </wp:positionV>
            <wp:extent cx="8789035" cy="5369560"/>
            <wp:effectExtent l="0" t="0" r="0" b="2540"/>
            <wp:wrapTight wrapText="bothSides">
              <wp:wrapPolygon edited="0">
                <wp:start x="2341" y="0"/>
                <wp:lineTo x="2341" y="1456"/>
                <wp:lineTo x="3464" y="2605"/>
                <wp:lineTo x="2809" y="3219"/>
                <wp:lineTo x="2575" y="3525"/>
                <wp:lineTo x="2575" y="7970"/>
                <wp:lineTo x="4354" y="8736"/>
                <wp:lineTo x="2762" y="8813"/>
                <wp:lineTo x="2528" y="8889"/>
                <wp:lineTo x="2528" y="18622"/>
                <wp:lineTo x="3418" y="19771"/>
                <wp:lineTo x="3511" y="21534"/>
                <wp:lineTo x="7772" y="21534"/>
                <wp:lineTo x="7865" y="19005"/>
                <wp:lineTo x="7491" y="18775"/>
                <wp:lineTo x="16807" y="18315"/>
                <wp:lineTo x="16807" y="14100"/>
                <wp:lineTo x="16339" y="13947"/>
                <wp:lineTo x="13156" y="13640"/>
                <wp:lineTo x="13156" y="8736"/>
                <wp:lineTo x="15356" y="8736"/>
                <wp:lineTo x="19382" y="7970"/>
                <wp:lineTo x="19476" y="2146"/>
                <wp:lineTo x="4963" y="1303"/>
                <wp:lineTo x="4354" y="766"/>
                <wp:lineTo x="3652" y="0"/>
                <wp:lineTo x="234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9035" cy="536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E85">
        <w:rPr>
          <w:noProof/>
        </w:rPr>
        <mc:AlternateContent>
          <mc:Choice Requires="wps">
            <w:drawing>
              <wp:anchor distT="0" distB="0" distL="114300" distR="114300" simplePos="0" relativeHeight="251660288" behindDoc="1" locked="0" layoutInCell="1" allowOverlap="1" wp14:anchorId="050B5054" wp14:editId="1E154CCE">
                <wp:simplePos x="0" y="0"/>
                <wp:positionH relativeFrom="column">
                  <wp:posOffset>1383030</wp:posOffset>
                </wp:positionH>
                <wp:positionV relativeFrom="paragraph">
                  <wp:posOffset>138430</wp:posOffset>
                </wp:positionV>
                <wp:extent cx="996950" cy="457200"/>
                <wp:effectExtent l="0" t="0" r="0" b="0"/>
                <wp:wrapTight wrapText="bothSides">
                  <wp:wrapPolygon edited="0">
                    <wp:start x="0" y="0"/>
                    <wp:lineTo x="0" y="20700"/>
                    <wp:lineTo x="21050" y="20700"/>
                    <wp:lineTo x="2105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457200"/>
                        </a:xfrm>
                        <a:prstGeom prst="rect">
                          <a:avLst/>
                        </a:prstGeom>
                        <a:solidFill>
                          <a:prstClr val="white"/>
                        </a:solidFill>
                        <a:ln>
                          <a:noFill/>
                        </a:ln>
                      </wps:spPr>
                      <wps:txbx>
                        <w:txbxContent>
                          <w:p w14:paraId="6F9DDC26" w14:textId="0AD6737B" w:rsidR="00B72231" w:rsidRPr="004B5EE9" w:rsidRDefault="00B72231" w:rsidP="00B72231">
                            <w:pPr>
                              <w:pStyle w:val="Caption"/>
                              <w:rPr>
                                <w:rFonts w:ascii="Times New Roman" w:hAnsi="Times New Roman"/>
                                <w:b/>
                                <w:bCs/>
                                <w:lang w:eastAsia="zh-CN"/>
                              </w:rPr>
                            </w:pPr>
                            <w:bookmarkStart w:id="14" w:name="_Toc174994590"/>
                            <w:r w:rsidRPr="004B5EE9">
                              <w:rPr>
                                <w:rFonts w:ascii="Times New Roman" w:hAnsi="Times New Roman"/>
                                <w:b/>
                                <w:bCs/>
                              </w:rPr>
                              <w:t xml:space="preserve">Figure </w:t>
                            </w:r>
                            <w:bookmarkEnd w:id="14"/>
                            <w:r w:rsidR="004B5EE9">
                              <w:rPr>
                                <w:rFonts w:ascii="Times New Roman" w:hAnsi="Times New Roman"/>
                                <w:b/>
                                <w:bCs/>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0B5054" id="_x0000_t202" coordsize="21600,21600" o:spt="202" path="m,l,21600r21600,l21600,xe">
                <v:stroke joinstyle="miter"/>
                <v:path gradientshapeok="t" o:connecttype="rect"/>
              </v:shapetype>
              <v:shape id="Text Box 2" o:spid="_x0000_s1026" type="#_x0000_t202" style="position:absolute;left:0;text-align:left;margin-left:108.9pt;margin-top:10.9pt;width:7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" stroked="f">
                <v:textbox inset="0,0,0,0">
                  <w:txbxContent>
                    <w:p w14:paraId="6F9DDC26" w14:textId="0AD6737B" w:rsidR="00B72231" w:rsidRPr="004B5EE9" w:rsidRDefault="00B72231" w:rsidP="00B72231">
                      <w:pPr>
                        <w:pStyle w:val="Caption"/>
                        <w:rPr>
                          <w:rFonts w:ascii="Times New Roman" w:hAnsi="Times New Roman"/>
                          <w:b/>
                          <w:bCs/>
                          <w:lang w:eastAsia="zh-CN"/>
                        </w:rPr>
                      </w:pPr>
                      <w:bookmarkStart w:id="15" w:name="_Toc174994590"/>
                      <w:r w:rsidRPr="004B5EE9">
                        <w:rPr>
                          <w:rFonts w:ascii="Times New Roman" w:hAnsi="Times New Roman"/>
                          <w:b/>
                          <w:bCs/>
                        </w:rPr>
                        <w:t xml:space="preserve">Figure </w:t>
                      </w:r>
                      <w:bookmarkEnd w:id="15"/>
                      <w:r w:rsidR="004B5EE9">
                        <w:rPr>
                          <w:rFonts w:ascii="Times New Roman" w:hAnsi="Times New Roman"/>
                          <w:b/>
                          <w:bCs/>
                        </w:rPr>
                        <w:t>1</w:t>
                      </w:r>
                    </w:p>
                  </w:txbxContent>
                </v:textbox>
                <w10:wrap type="tight"/>
              </v:shape>
            </w:pict>
          </mc:Fallback>
        </mc:AlternateContent>
      </w:r>
    </w:p>
    <w:p w14:paraId="0AA0F091"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16" w:name="_Toc176391396"/>
      <w:r w:rsidRPr="00615E85">
        <w:rPr>
          <w:rFonts w:ascii="Times New Roman" w:hAnsi="Times New Roman" w:cs="Times New Roman"/>
          <w:i/>
          <w:iCs/>
          <w:sz w:val="24"/>
          <w:szCs w:val="24"/>
        </w:rPr>
        <w:lastRenderedPageBreak/>
        <w:t>Reflexivity</w:t>
      </w:r>
      <w:bookmarkEnd w:id="16"/>
      <w:r w:rsidRPr="00615E85">
        <w:rPr>
          <w:rFonts w:ascii="Times New Roman" w:hAnsi="Times New Roman" w:cs="Times New Roman"/>
          <w:i/>
          <w:iCs/>
          <w:sz w:val="24"/>
          <w:szCs w:val="24"/>
        </w:rPr>
        <w:t xml:space="preserve"> </w:t>
      </w:r>
    </w:p>
    <w:p w14:paraId="5B399CE0" w14:textId="0C49189E"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The research team was made up of the primary researcher (trainee Clinical Psychologist), with previous experience of working in a community-based TC, a voluntary undergraduate psychology student, a research psychologist, a clinical psychologist, and counselling psychologist who led a community-based TC.  The primary researcher used a reflexive journal to document thoughts</w:t>
      </w:r>
      <w:r w:rsidR="000F460B" w:rsidRPr="00615E85">
        <w:rPr>
          <w:rFonts w:ascii="Times New Roman" w:hAnsi="Times New Roman"/>
          <w:sz w:val="24"/>
          <w:szCs w:val="24"/>
          <w:lang w:eastAsia="en-US"/>
        </w:rPr>
        <w:t>,</w:t>
      </w:r>
      <w:r w:rsidRPr="00615E85">
        <w:rPr>
          <w:rFonts w:ascii="Times New Roman" w:hAnsi="Times New Roman"/>
          <w:sz w:val="24"/>
          <w:szCs w:val="24"/>
          <w:lang w:eastAsia="en-US"/>
        </w:rPr>
        <w:t xml:space="preserve"> experiences and discussion with their supervisory team</w:t>
      </w:r>
      <w:r w:rsidR="000F460B" w:rsidRPr="00615E85">
        <w:rPr>
          <w:rFonts w:ascii="Times New Roman" w:hAnsi="Times New Roman"/>
          <w:sz w:val="24"/>
          <w:szCs w:val="24"/>
          <w:lang w:eastAsia="en-US"/>
        </w:rPr>
        <w:t xml:space="preserve">. </w:t>
      </w:r>
      <w:r w:rsidR="00076D0F" w:rsidRPr="00615E85">
        <w:rPr>
          <w:rFonts w:ascii="Times New Roman" w:hAnsi="Times New Roman"/>
          <w:sz w:val="24"/>
          <w:szCs w:val="24"/>
        </w:rPr>
        <w:t xml:space="preserve">This served to identify influences the researcher may have incorporated into both the design and analysis to minimise bias in the research process. Therefore this kept the decision-making process transparent </w:t>
      </w:r>
      <w:r w:rsidRPr="00615E85">
        <w:rPr>
          <w:rFonts w:ascii="Times New Roman" w:hAnsi="Times New Roman"/>
          <w:sz w:val="24"/>
          <w:szCs w:val="24"/>
          <w:lang w:eastAsia="en-US"/>
        </w:rPr>
        <w:t xml:space="preserve">(Jasper, 2005; </w:t>
      </w:r>
      <w:proofErr w:type="spellStart"/>
      <w:r w:rsidRPr="00615E85">
        <w:rPr>
          <w:rFonts w:ascii="Times New Roman" w:hAnsi="Times New Roman"/>
          <w:sz w:val="24"/>
          <w:szCs w:val="24"/>
          <w:lang w:eastAsia="en-US"/>
        </w:rPr>
        <w:t>Ortlipp</w:t>
      </w:r>
      <w:proofErr w:type="spellEnd"/>
      <w:r w:rsidRPr="00615E85">
        <w:rPr>
          <w:rFonts w:ascii="Times New Roman" w:hAnsi="Times New Roman"/>
          <w:sz w:val="24"/>
          <w:szCs w:val="24"/>
          <w:lang w:eastAsia="en-US"/>
        </w:rPr>
        <w:t>, 2008). Versions of codebooks and thematic maps were created at each stage of analysis and explored with supervisors to ensure analytical themes were true to the data.</w:t>
      </w:r>
    </w:p>
    <w:p w14:paraId="4C44320A" w14:textId="77777777" w:rsidR="00B72231" w:rsidRPr="00615E85" w:rsidRDefault="00B72231" w:rsidP="003850C0">
      <w:pPr>
        <w:pStyle w:val="Heading2"/>
        <w:numPr>
          <w:ilvl w:val="0"/>
          <w:numId w:val="0"/>
        </w:numPr>
        <w:ind w:left="851" w:hanging="851"/>
        <w:rPr>
          <w:rFonts w:ascii="Times New Roman" w:hAnsi="Times New Roman" w:cs="Times New Roman"/>
          <w:sz w:val="24"/>
        </w:rPr>
      </w:pPr>
      <w:bookmarkStart w:id="17" w:name="_Toc176391397"/>
      <w:r w:rsidRPr="00615E85">
        <w:rPr>
          <w:rFonts w:ascii="Times New Roman" w:hAnsi="Times New Roman" w:cs="Times New Roman"/>
          <w:sz w:val="24"/>
        </w:rPr>
        <w:t>Results</w:t>
      </w:r>
      <w:bookmarkEnd w:id="17"/>
    </w:p>
    <w:p w14:paraId="6F407C5A"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18" w:name="_Toc176391398"/>
      <w:r w:rsidRPr="00615E85">
        <w:rPr>
          <w:rFonts w:ascii="Times New Roman" w:hAnsi="Times New Roman" w:cs="Times New Roman"/>
          <w:i/>
          <w:iCs/>
          <w:sz w:val="24"/>
          <w:szCs w:val="24"/>
        </w:rPr>
        <w:t>Study Characteristics</w:t>
      </w:r>
      <w:bookmarkEnd w:id="18"/>
    </w:p>
    <w:p w14:paraId="17EF76EB" w14:textId="0338AD6F"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 xml:space="preserve">Collectively, the review sample were 153 male residents (this was excluding nine residents from two studies (Sullivan, 2007; Sullivan, 2006) who were sent back to mainstream prison from the assessment wing, thus did not </w:t>
      </w:r>
      <w:r w:rsidR="003850C0" w:rsidRPr="00615E85">
        <w:rPr>
          <w:rFonts w:ascii="Times New Roman" w:hAnsi="Times New Roman"/>
          <w:sz w:val="24"/>
          <w:szCs w:val="24"/>
          <w:lang w:eastAsia="en-US"/>
        </w:rPr>
        <w:t>enter</w:t>
      </w:r>
      <w:r w:rsidRPr="00615E85">
        <w:rPr>
          <w:rFonts w:ascii="Times New Roman" w:hAnsi="Times New Roman"/>
          <w:sz w:val="24"/>
          <w:szCs w:val="24"/>
          <w:lang w:eastAsia="en-US"/>
        </w:rPr>
        <w:t xml:space="preserve"> DTC treatment). From studies that reported age, residents ranged from 22-70 years old. The time residents spent in the DTC varied from one week to five years. Forty-six residents were those leaving the DTC; these were either planned having completed treatment or unplanned (been made to leave) or self-deselected from treatment (Duncan et al., 2022; Sullivan, 2007; Sullivan, 2006). The rest of the sample were active residents. Most studies were conducted within HMP Grendon (Akerman &amp; Geraghty, 2016; Brookes et al., 2012; Dolan, 2017; Jacobs &amp; Shuker, 2019; Jones et al., 2013; </w:t>
      </w:r>
      <w:proofErr w:type="spellStart"/>
      <w:r w:rsidRPr="00615E85">
        <w:rPr>
          <w:rFonts w:ascii="Times New Roman" w:hAnsi="Times New Roman"/>
          <w:sz w:val="24"/>
          <w:szCs w:val="24"/>
          <w:lang w:eastAsia="en-US"/>
        </w:rPr>
        <w:t>Kontosthenous</w:t>
      </w:r>
      <w:proofErr w:type="spellEnd"/>
      <w:r w:rsidRPr="00615E85">
        <w:rPr>
          <w:rFonts w:ascii="Times New Roman" w:hAnsi="Times New Roman"/>
          <w:sz w:val="24"/>
          <w:szCs w:val="24"/>
          <w:lang w:eastAsia="en-US"/>
        </w:rPr>
        <w:t xml:space="preserve">, 2020; Sullivan, 2007; Sullivan, 2006), one in HMP </w:t>
      </w:r>
      <w:proofErr w:type="spellStart"/>
      <w:r w:rsidRPr="00615E85">
        <w:rPr>
          <w:rFonts w:ascii="Times New Roman" w:hAnsi="Times New Roman"/>
          <w:sz w:val="24"/>
          <w:szCs w:val="24"/>
          <w:lang w:eastAsia="en-US"/>
        </w:rPr>
        <w:t>Dovegate</w:t>
      </w:r>
      <w:proofErr w:type="spellEnd"/>
      <w:r w:rsidRPr="00615E85">
        <w:rPr>
          <w:rFonts w:ascii="Times New Roman" w:hAnsi="Times New Roman"/>
          <w:sz w:val="24"/>
          <w:szCs w:val="24"/>
          <w:lang w:eastAsia="en-US"/>
        </w:rPr>
        <w:t xml:space="preserve"> (Miller et al., 2006), one in HMP Gartree (Ross &amp; Auty, 2018), and one in an unidentified Category B prison (Duncan et al., 2022). Only one study included residents from </w:t>
      </w:r>
      <w:r w:rsidRPr="00615E85">
        <w:rPr>
          <w:rFonts w:ascii="Times New Roman" w:hAnsi="Times New Roman"/>
          <w:sz w:val="24"/>
          <w:szCs w:val="24"/>
          <w:lang w:eastAsia="en-US"/>
        </w:rPr>
        <w:lastRenderedPageBreak/>
        <w:t>a TC+ wing, an adapted TC for individuals with learning disabilities (Duncan et al., 2022). As seven studies did not present ethnicities of participants, it was not possible to aggregate; however, from those that did residents were described as White British (</w:t>
      </w:r>
      <w:proofErr w:type="spellStart"/>
      <w:r w:rsidRPr="00615E85">
        <w:rPr>
          <w:rFonts w:ascii="Times New Roman" w:hAnsi="Times New Roman"/>
          <w:sz w:val="24"/>
          <w:szCs w:val="24"/>
          <w:lang w:eastAsia="en-US"/>
        </w:rPr>
        <w:t>Kontosthenous</w:t>
      </w:r>
      <w:proofErr w:type="spellEnd"/>
      <w:r w:rsidRPr="00615E85">
        <w:rPr>
          <w:rFonts w:ascii="Times New Roman" w:hAnsi="Times New Roman"/>
          <w:sz w:val="24"/>
          <w:szCs w:val="24"/>
          <w:lang w:eastAsia="en-US"/>
        </w:rPr>
        <w:t xml:space="preserve">, 2020), Black (Brookes et al., 2012), Black Caribbean, Black British, Mixed/White/Black Caribbean, White Other, White Irish and Asian Other (Jones et al., 2013). </w:t>
      </w:r>
    </w:p>
    <w:p w14:paraId="58B1D057" w14:textId="12E92CE7"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Ten out of the eleven qualitative studies were published papers, one was an unpublished thesis (</w:t>
      </w:r>
      <w:proofErr w:type="spellStart"/>
      <w:r w:rsidRPr="00615E85">
        <w:rPr>
          <w:rFonts w:ascii="Times New Roman" w:hAnsi="Times New Roman"/>
          <w:sz w:val="24"/>
          <w:szCs w:val="24"/>
          <w:lang w:eastAsia="en-US"/>
        </w:rPr>
        <w:t>Kontosthenous</w:t>
      </w:r>
      <w:proofErr w:type="spellEnd"/>
      <w:r w:rsidRPr="00615E85">
        <w:rPr>
          <w:rFonts w:ascii="Times New Roman" w:hAnsi="Times New Roman"/>
          <w:sz w:val="24"/>
          <w:szCs w:val="24"/>
          <w:lang w:eastAsia="en-US"/>
        </w:rPr>
        <w:t>, 2020). Seven studies were authored by directors, clinical psychologists, forensic psychologists, or research officers who were employed by HMP Grendon (Ackerman &amp; Geraghty, 2016; Brookes et al., 2012; Jacobs &amp; Shuker, 2019; Jones et al., 2013; Sullivan, 2006; Sullivan 2007) and HMP Gartree (Ross &amp; Auty, 2012). Four studies were authored by trainees (</w:t>
      </w:r>
      <w:proofErr w:type="spellStart"/>
      <w:r w:rsidRPr="00615E85">
        <w:rPr>
          <w:rFonts w:ascii="Times New Roman" w:hAnsi="Times New Roman"/>
          <w:sz w:val="24"/>
          <w:szCs w:val="24"/>
          <w:lang w:eastAsia="en-US"/>
        </w:rPr>
        <w:t>Kontostenous</w:t>
      </w:r>
      <w:proofErr w:type="spellEnd"/>
      <w:r w:rsidRPr="00615E85">
        <w:rPr>
          <w:rFonts w:ascii="Times New Roman" w:hAnsi="Times New Roman"/>
          <w:sz w:val="24"/>
          <w:szCs w:val="24"/>
          <w:lang w:eastAsia="en-US"/>
        </w:rPr>
        <w:t>, 2020) and university research fellows and lecturers (Dolan, 2017; Duncan et al., 2022; Miller et al., 2006). Two studies utilised focus groups to collect data, and the rest used semi-structured interviews. Two studies did not use formal qualitative methodology, the rest either utilised Interpretative Phenomenological Analysis  (n=4), Thematic Analysis  (n=2), a Mechanical and Interpretive Approach (n=1), Grounded Theory (n=1) or Framework Analysis (n=1). One study used a mixed methods study design (Dolan, 2017), whereby questionnaire data informed the production of the interview schedules. As such, only the qualitative findings were included in the analysis for this review. Table 2 shows the full table of Study Characteristics and Main Themes of Included Studies.</w:t>
      </w:r>
    </w:p>
    <w:p w14:paraId="38927192"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19" w:name="_Toc176391399"/>
      <w:r w:rsidRPr="00615E85">
        <w:rPr>
          <w:rFonts w:ascii="Times New Roman" w:hAnsi="Times New Roman" w:cs="Times New Roman"/>
          <w:i/>
          <w:iCs/>
          <w:sz w:val="24"/>
          <w:szCs w:val="24"/>
        </w:rPr>
        <w:t>Quality Assessment</w:t>
      </w:r>
      <w:bookmarkEnd w:id="19"/>
    </w:p>
    <w:p w14:paraId="1B2FFAF0" w14:textId="241FF0DA" w:rsidR="004B5EE9" w:rsidRPr="00615E85" w:rsidRDefault="00B72231" w:rsidP="004B5EE9">
      <w:pPr>
        <w:spacing w:line="480" w:lineRule="auto"/>
        <w:ind w:firstLine="567"/>
        <w:rPr>
          <w:rFonts w:ascii="Times New Roman" w:hAnsi="Times New Roman"/>
          <w:sz w:val="24"/>
          <w:szCs w:val="24"/>
          <w:lang w:eastAsia="en-US"/>
        </w:rPr>
        <w:sectPr w:rsidR="004B5EE9" w:rsidRPr="00615E85" w:rsidSect="004B5EE9">
          <w:pgSz w:w="11907" w:h="16840" w:code="9"/>
          <w:pgMar w:top="851" w:right="1418" w:bottom="851" w:left="1418" w:header="284" w:footer="284" w:gutter="0"/>
          <w:cols w:space="708"/>
          <w:formProt w:val="0"/>
          <w:docGrid w:linePitch="360"/>
        </w:sectPr>
      </w:pPr>
      <w:r w:rsidRPr="00615E85">
        <w:rPr>
          <w:rFonts w:ascii="Times New Roman" w:hAnsi="Times New Roman"/>
          <w:sz w:val="24"/>
          <w:szCs w:val="24"/>
          <w:lang w:eastAsia="en-US"/>
        </w:rPr>
        <w:t>Overall, the quality of evidence was mixed; the table of ratings following conduction of the CASP qualitative assessments are illustrated in</w:t>
      </w:r>
      <w:r w:rsidR="00ED4D0A" w:rsidRPr="00615E85">
        <w:rPr>
          <w:rFonts w:ascii="Times New Roman" w:hAnsi="Times New Roman"/>
          <w:sz w:val="24"/>
          <w:szCs w:val="24"/>
          <w:lang w:eastAsia="en-US"/>
        </w:rPr>
        <w:t xml:space="preserve"> supplementary materials</w:t>
      </w:r>
      <w:r w:rsidRPr="00615E85">
        <w:rPr>
          <w:rFonts w:ascii="Times New Roman" w:hAnsi="Times New Roman"/>
          <w:sz w:val="24"/>
          <w:szCs w:val="24"/>
          <w:lang w:eastAsia="en-US"/>
        </w:rPr>
        <w:t xml:space="preserve">. Two studies met the full criteria of the CASP, thus were regarded as high-quality research (Jacobs &amp; Shuker, 2019; </w:t>
      </w:r>
      <w:proofErr w:type="spellStart"/>
      <w:r w:rsidRPr="00615E85">
        <w:rPr>
          <w:rFonts w:ascii="Times New Roman" w:hAnsi="Times New Roman"/>
          <w:sz w:val="24"/>
          <w:szCs w:val="24"/>
          <w:lang w:eastAsia="en-US"/>
        </w:rPr>
        <w:t>Kontosthenous</w:t>
      </w:r>
      <w:proofErr w:type="spellEnd"/>
      <w:r w:rsidRPr="00615E85">
        <w:rPr>
          <w:rFonts w:ascii="Times New Roman" w:hAnsi="Times New Roman"/>
          <w:sz w:val="24"/>
          <w:szCs w:val="24"/>
          <w:lang w:eastAsia="en-US"/>
        </w:rPr>
        <w:t xml:space="preserve">, 2020). Three studies used input from residents to help inform the construction of interview schedules and build up trust with residents (Brookes et al., 2012; </w:t>
      </w:r>
      <w:r w:rsidRPr="00615E85">
        <w:rPr>
          <w:rFonts w:ascii="Times New Roman" w:hAnsi="Times New Roman"/>
          <w:sz w:val="24"/>
          <w:szCs w:val="24"/>
          <w:lang w:eastAsia="en-US"/>
        </w:rPr>
        <w:lastRenderedPageBreak/>
        <w:t>Dolan, 2017; Sullivan, 2006). Six studies did not fully state how participants were identified and recruited to take part in the studies, thus were subject to selection bias. Seven studies did not comment on reflexivity of the research; thus it was not clear how authors’ subjectivity and experiences (as some worked within prison-based DTC settings) influenced the research process (Olmos-Vega et al., 2023).  Five studies did not mention obtaining the relevant ethical approvals to conduct the research. Some studies lacked details of methodological processes they undertook when conducting interviews., For example, there were no descriptions of the topic guide used to guide interviews, no details about where the research took place and how interview data was c</w:t>
      </w:r>
      <w:r w:rsidR="004B5EE9" w:rsidRPr="00615E85">
        <w:rPr>
          <w:rFonts w:ascii="Times New Roman" w:hAnsi="Times New Roman"/>
          <w:sz w:val="24"/>
          <w:szCs w:val="24"/>
          <w:lang w:eastAsia="en-US"/>
        </w:rPr>
        <w:t>o</w:t>
      </w:r>
      <w:r w:rsidRPr="00615E85">
        <w:rPr>
          <w:rFonts w:ascii="Times New Roman" w:hAnsi="Times New Roman"/>
          <w:sz w:val="24"/>
          <w:szCs w:val="24"/>
          <w:lang w:eastAsia="en-US"/>
        </w:rPr>
        <w:t>llected and analysed.</w:t>
      </w:r>
    </w:p>
    <w:p w14:paraId="214069E1" w14:textId="77777777" w:rsidR="00B72231" w:rsidRPr="00615E85" w:rsidRDefault="00B72231" w:rsidP="004B5EE9">
      <w:pPr>
        <w:pStyle w:val="Caption"/>
        <w:keepNext/>
        <w:ind w:left="0" w:firstLine="0"/>
        <w:rPr>
          <w:rFonts w:ascii="Times New Roman" w:hAnsi="Times New Roman"/>
          <w:b/>
          <w:bCs/>
          <w:sz w:val="24"/>
          <w:szCs w:val="24"/>
        </w:rPr>
      </w:pPr>
      <w:bookmarkStart w:id="20" w:name="_Toc166859345"/>
      <w:r w:rsidRPr="00615E85">
        <w:rPr>
          <w:rFonts w:ascii="Times New Roman" w:hAnsi="Times New Roman"/>
          <w:b/>
          <w:bCs/>
          <w:sz w:val="24"/>
          <w:szCs w:val="24"/>
        </w:rPr>
        <w:lastRenderedPageBreak/>
        <w:t xml:space="preserve">Table </w:t>
      </w:r>
      <w:r w:rsidRPr="00615E85">
        <w:rPr>
          <w:rFonts w:ascii="Times New Roman" w:hAnsi="Times New Roman"/>
          <w:b/>
          <w:bCs/>
          <w:sz w:val="24"/>
          <w:szCs w:val="24"/>
        </w:rPr>
        <w:fldChar w:fldCharType="begin"/>
      </w:r>
      <w:r w:rsidRPr="00615E85">
        <w:rPr>
          <w:rFonts w:ascii="Times New Roman" w:hAnsi="Times New Roman"/>
          <w:b/>
          <w:bCs/>
          <w:sz w:val="24"/>
          <w:szCs w:val="24"/>
        </w:rPr>
        <w:instrText xml:space="preserve"> SEQ Table \* ARABIC </w:instrText>
      </w:r>
      <w:r w:rsidRPr="00615E85">
        <w:rPr>
          <w:rFonts w:ascii="Times New Roman" w:hAnsi="Times New Roman"/>
          <w:b/>
          <w:bCs/>
          <w:sz w:val="24"/>
          <w:szCs w:val="24"/>
        </w:rPr>
        <w:fldChar w:fldCharType="separate"/>
      </w:r>
      <w:r w:rsidRPr="00615E85">
        <w:rPr>
          <w:rFonts w:ascii="Times New Roman" w:hAnsi="Times New Roman"/>
          <w:b/>
          <w:bCs/>
          <w:noProof/>
          <w:sz w:val="24"/>
          <w:szCs w:val="24"/>
        </w:rPr>
        <w:t>2</w:t>
      </w:r>
      <w:bookmarkEnd w:id="20"/>
      <w:r w:rsidRPr="00615E85">
        <w:rPr>
          <w:rFonts w:ascii="Times New Roman" w:hAnsi="Times New Roman"/>
          <w:b/>
          <w:bCs/>
          <w:sz w:val="24"/>
          <w:szCs w:val="24"/>
        </w:rPr>
        <w:fldChar w:fldCharType="end"/>
      </w:r>
    </w:p>
    <w:p w14:paraId="3F2AB035" w14:textId="77777777" w:rsidR="00B72231" w:rsidRPr="00615E85" w:rsidRDefault="00B72231" w:rsidP="00B72231">
      <w:pPr>
        <w:rPr>
          <w:rFonts w:ascii="Times New Roman" w:hAnsi="Times New Roman"/>
          <w:i/>
          <w:iCs/>
          <w:sz w:val="24"/>
          <w:szCs w:val="24"/>
        </w:rPr>
      </w:pPr>
      <w:r w:rsidRPr="00615E85">
        <w:rPr>
          <w:rFonts w:ascii="Times New Roman" w:hAnsi="Times New Roman"/>
          <w:i/>
          <w:iCs/>
          <w:sz w:val="24"/>
          <w:szCs w:val="24"/>
        </w:rPr>
        <w:t>Study Characteristics and Main Themes of Included Studies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505"/>
        <w:gridCol w:w="1414"/>
        <w:gridCol w:w="4999"/>
        <w:gridCol w:w="2078"/>
        <w:gridCol w:w="1336"/>
        <w:gridCol w:w="222"/>
        <w:gridCol w:w="1961"/>
      </w:tblGrid>
      <w:tr w:rsidR="00B72231" w:rsidRPr="00615E85" w14:paraId="7E28B96F" w14:textId="77777777" w:rsidTr="001D53FD">
        <w:trPr>
          <w:trHeight w:val="486"/>
          <w:tblHeader/>
        </w:trPr>
        <w:tc>
          <w:tcPr>
            <w:tcW w:w="1701" w:type="dxa"/>
            <w:tcBorders>
              <w:top w:val="single" w:sz="4" w:space="0" w:color="auto"/>
              <w:bottom w:val="single" w:sz="4" w:space="0" w:color="auto"/>
            </w:tcBorders>
          </w:tcPr>
          <w:p w14:paraId="63B6C86E" w14:textId="77777777" w:rsidR="00B72231" w:rsidRPr="00615E85" w:rsidRDefault="00B72231" w:rsidP="001D53FD">
            <w:pPr>
              <w:rPr>
                <w:rFonts w:ascii="Times New Roman" w:hAnsi="Times New Roman"/>
                <w:b/>
                <w:bCs/>
                <w:sz w:val="24"/>
                <w:szCs w:val="24"/>
              </w:rPr>
            </w:pPr>
            <w:r w:rsidRPr="00615E85">
              <w:rPr>
                <w:rFonts w:ascii="Times New Roman" w:hAnsi="Times New Roman"/>
                <w:b/>
                <w:bCs/>
                <w:sz w:val="24"/>
                <w:szCs w:val="24"/>
              </w:rPr>
              <w:t>Authors</w:t>
            </w:r>
          </w:p>
        </w:tc>
        <w:tc>
          <w:tcPr>
            <w:tcW w:w="1427" w:type="dxa"/>
            <w:tcBorders>
              <w:top w:val="single" w:sz="4" w:space="0" w:color="auto"/>
              <w:bottom w:val="single" w:sz="4" w:space="0" w:color="auto"/>
            </w:tcBorders>
          </w:tcPr>
          <w:p w14:paraId="7634025E" w14:textId="77777777" w:rsidR="00B72231" w:rsidRPr="00615E85" w:rsidRDefault="00B72231" w:rsidP="001D53FD">
            <w:pPr>
              <w:rPr>
                <w:rFonts w:ascii="Times New Roman" w:hAnsi="Times New Roman"/>
                <w:b/>
                <w:bCs/>
                <w:sz w:val="24"/>
                <w:szCs w:val="24"/>
              </w:rPr>
            </w:pPr>
            <w:r w:rsidRPr="00615E85">
              <w:rPr>
                <w:rFonts w:ascii="Times New Roman" w:hAnsi="Times New Roman"/>
                <w:b/>
                <w:bCs/>
                <w:sz w:val="24"/>
                <w:szCs w:val="24"/>
              </w:rPr>
              <w:t xml:space="preserve">Setting </w:t>
            </w:r>
          </w:p>
        </w:tc>
        <w:tc>
          <w:tcPr>
            <w:tcW w:w="1414" w:type="dxa"/>
            <w:tcBorders>
              <w:top w:val="single" w:sz="4" w:space="0" w:color="auto"/>
              <w:bottom w:val="single" w:sz="4" w:space="0" w:color="auto"/>
            </w:tcBorders>
          </w:tcPr>
          <w:p w14:paraId="444BCB41" w14:textId="77777777" w:rsidR="00B72231" w:rsidRPr="00615E85" w:rsidRDefault="00B72231" w:rsidP="001D53FD">
            <w:pPr>
              <w:tabs>
                <w:tab w:val="right" w:pos="6304"/>
              </w:tabs>
              <w:rPr>
                <w:rFonts w:ascii="Times New Roman" w:hAnsi="Times New Roman"/>
                <w:b/>
                <w:bCs/>
                <w:sz w:val="24"/>
                <w:szCs w:val="24"/>
              </w:rPr>
            </w:pPr>
            <w:r w:rsidRPr="00615E85">
              <w:rPr>
                <w:rFonts w:ascii="Times New Roman" w:hAnsi="Times New Roman"/>
                <w:b/>
                <w:bCs/>
                <w:sz w:val="24"/>
                <w:szCs w:val="24"/>
              </w:rPr>
              <w:t>Aims</w:t>
            </w:r>
          </w:p>
        </w:tc>
        <w:tc>
          <w:tcPr>
            <w:tcW w:w="0" w:type="auto"/>
            <w:tcBorders>
              <w:top w:val="single" w:sz="4" w:space="0" w:color="auto"/>
              <w:bottom w:val="single" w:sz="4" w:space="0" w:color="auto"/>
            </w:tcBorders>
          </w:tcPr>
          <w:p w14:paraId="2AC1673D" w14:textId="77777777" w:rsidR="00B72231" w:rsidRPr="00615E85" w:rsidRDefault="00B72231" w:rsidP="001D53FD">
            <w:pPr>
              <w:tabs>
                <w:tab w:val="right" w:pos="6304"/>
              </w:tabs>
              <w:rPr>
                <w:rFonts w:ascii="Times New Roman" w:hAnsi="Times New Roman"/>
                <w:b/>
                <w:bCs/>
                <w:sz w:val="24"/>
                <w:szCs w:val="24"/>
              </w:rPr>
            </w:pPr>
            <w:r w:rsidRPr="00615E85">
              <w:rPr>
                <w:rFonts w:ascii="Times New Roman" w:hAnsi="Times New Roman"/>
                <w:b/>
                <w:bCs/>
                <w:sz w:val="24"/>
                <w:szCs w:val="24"/>
              </w:rPr>
              <w:t>Main Themes</w:t>
            </w:r>
            <w:r w:rsidRPr="00615E85">
              <w:rPr>
                <w:rFonts w:ascii="Times New Roman" w:hAnsi="Times New Roman"/>
                <w:b/>
                <w:bCs/>
                <w:sz w:val="24"/>
                <w:szCs w:val="24"/>
              </w:rPr>
              <w:tab/>
            </w:r>
          </w:p>
        </w:tc>
        <w:tc>
          <w:tcPr>
            <w:tcW w:w="0" w:type="auto"/>
            <w:tcBorders>
              <w:top w:val="single" w:sz="4" w:space="0" w:color="auto"/>
              <w:bottom w:val="single" w:sz="4" w:space="0" w:color="auto"/>
            </w:tcBorders>
          </w:tcPr>
          <w:p w14:paraId="58A254D8" w14:textId="77777777" w:rsidR="00B72231" w:rsidRPr="00615E85" w:rsidRDefault="00B72231" w:rsidP="001D53FD">
            <w:pPr>
              <w:tabs>
                <w:tab w:val="right" w:pos="6304"/>
              </w:tabs>
              <w:rPr>
                <w:rFonts w:ascii="Times New Roman" w:hAnsi="Times New Roman"/>
                <w:b/>
                <w:bCs/>
                <w:sz w:val="24"/>
                <w:szCs w:val="24"/>
              </w:rPr>
            </w:pPr>
            <w:r w:rsidRPr="00615E85">
              <w:rPr>
                <w:rFonts w:ascii="Times New Roman" w:hAnsi="Times New Roman"/>
                <w:b/>
                <w:bCs/>
                <w:sz w:val="24"/>
                <w:szCs w:val="24"/>
              </w:rPr>
              <w:t>Sample Size and Demographics</w:t>
            </w:r>
          </w:p>
        </w:tc>
        <w:tc>
          <w:tcPr>
            <w:tcW w:w="0" w:type="auto"/>
            <w:tcBorders>
              <w:top w:val="single" w:sz="4" w:space="0" w:color="auto"/>
              <w:bottom w:val="single" w:sz="4" w:space="0" w:color="auto"/>
            </w:tcBorders>
          </w:tcPr>
          <w:p w14:paraId="669DB975" w14:textId="77777777" w:rsidR="00B72231" w:rsidRPr="00615E85" w:rsidRDefault="00B72231" w:rsidP="001D53FD">
            <w:pPr>
              <w:tabs>
                <w:tab w:val="right" w:pos="6304"/>
              </w:tabs>
              <w:rPr>
                <w:rFonts w:ascii="Times New Roman" w:hAnsi="Times New Roman"/>
                <w:b/>
                <w:bCs/>
                <w:sz w:val="24"/>
                <w:szCs w:val="24"/>
              </w:rPr>
            </w:pPr>
            <w:r w:rsidRPr="00615E85">
              <w:rPr>
                <w:rFonts w:ascii="Times New Roman" w:hAnsi="Times New Roman"/>
                <w:b/>
                <w:bCs/>
                <w:sz w:val="24"/>
                <w:szCs w:val="24"/>
              </w:rPr>
              <w:t>Data Collection Method</w:t>
            </w:r>
          </w:p>
        </w:tc>
        <w:tc>
          <w:tcPr>
            <w:tcW w:w="0" w:type="auto"/>
            <w:tcBorders>
              <w:top w:val="single" w:sz="4" w:space="0" w:color="auto"/>
              <w:bottom w:val="single" w:sz="4" w:space="0" w:color="auto"/>
            </w:tcBorders>
          </w:tcPr>
          <w:p w14:paraId="4BE0B949" w14:textId="77777777" w:rsidR="00B72231" w:rsidRPr="00615E85" w:rsidRDefault="00B72231" w:rsidP="001D53FD">
            <w:pPr>
              <w:tabs>
                <w:tab w:val="right" w:pos="6304"/>
              </w:tabs>
              <w:rPr>
                <w:rFonts w:ascii="Times New Roman" w:hAnsi="Times New Roman"/>
                <w:b/>
                <w:bCs/>
                <w:sz w:val="24"/>
                <w:szCs w:val="24"/>
              </w:rPr>
            </w:pPr>
          </w:p>
        </w:tc>
        <w:tc>
          <w:tcPr>
            <w:tcW w:w="0" w:type="auto"/>
            <w:tcBorders>
              <w:top w:val="single" w:sz="4" w:space="0" w:color="auto"/>
              <w:bottom w:val="single" w:sz="4" w:space="0" w:color="auto"/>
            </w:tcBorders>
          </w:tcPr>
          <w:p w14:paraId="0731020F" w14:textId="77777777" w:rsidR="00B72231" w:rsidRPr="00615E85" w:rsidRDefault="00B72231" w:rsidP="001D53FD">
            <w:pPr>
              <w:tabs>
                <w:tab w:val="right" w:pos="6304"/>
              </w:tabs>
              <w:rPr>
                <w:rFonts w:ascii="Times New Roman" w:hAnsi="Times New Roman"/>
                <w:b/>
                <w:bCs/>
                <w:sz w:val="24"/>
                <w:szCs w:val="24"/>
              </w:rPr>
            </w:pPr>
            <w:r w:rsidRPr="00615E85">
              <w:rPr>
                <w:rFonts w:ascii="Times New Roman" w:hAnsi="Times New Roman"/>
                <w:b/>
                <w:bCs/>
                <w:sz w:val="24"/>
                <w:szCs w:val="24"/>
              </w:rPr>
              <w:t>Research Design</w:t>
            </w:r>
          </w:p>
        </w:tc>
      </w:tr>
      <w:tr w:rsidR="00B72231" w:rsidRPr="00615E85" w14:paraId="115E0273" w14:textId="77777777" w:rsidTr="001D53FD">
        <w:trPr>
          <w:trHeight w:val="588"/>
        </w:trPr>
        <w:tc>
          <w:tcPr>
            <w:tcW w:w="1701" w:type="dxa"/>
            <w:tcBorders>
              <w:top w:val="single" w:sz="4" w:space="0" w:color="auto"/>
              <w:bottom w:val="single" w:sz="4" w:space="0" w:color="auto"/>
            </w:tcBorders>
          </w:tcPr>
          <w:p w14:paraId="7B5EDC2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Ackerman &amp; Geraghty (2016)</w:t>
            </w:r>
          </w:p>
        </w:tc>
        <w:tc>
          <w:tcPr>
            <w:tcW w:w="1427" w:type="dxa"/>
            <w:tcBorders>
              <w:top w:val="single" w:sz="4" w:space="0" w:color="auto"/>
              <w:bottom w:val="single" w:sz="4" w:space="0" w:color="auto"/>
            </w:tcBorders>
          </w:tcPr>
          <w:p w14:paraId="01315FC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5E33F60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To explore how residents hold discussions in a prison DTC </w:t>
            </w:r>
          </w:p>
        </w:tc>
        <w:tc>
          <w:tcPr>
            <w:tcW w:w="0" w:type="auto"/>
            <w:tcBorders>
              <w:top w:val="single" w:sz="4" w:space="0" w:color="auto"/>
              <w:bottom w:val="single" w:sz="4" w:space="0" w:color="auto"/>
            </w:tcBorders>
          </w:tcPr>
          <w:p w14:paraId="0A729F9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Type of material that affects residents during therapy</w:t>
            </w:r>
          </w:p>
          <w:p w14:paraId="6A60835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Impact of the material on group members</w:t>
            </w:r>
          </w:p>
          <w:p w14:paraId="139BC8F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How residents manage the material</w:t>
            </w:r>
          </w:p>
        </w:tc>
        <w:tc>
          <w:tcPr>
            <w:tcW w:w="0" w:type="auto"/>
            <w:tcBorders>
              <w:top w:val="single" w:sz="4" w:space="0" w:color="auto"/>
              <w:bottom w:val="single" w:sz="4" w:space="0" w:color="auto"/>
            </w:tcBorders>
          </w:tcPr>
          <w:p w14:paraId="5A79B18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 10 male. Committed violent/sexual offences</w:t>
            </w:r>
          </w:p>
          <w:p w14:paraId="099D57CD" w14:textId="77777777" w:rsidR="00B72231" w:rsidRPr="00615E85" w:rsidRDefault="00B72231" w:rsidP="001D53FD">
            <w:pPr>
              <w:rPr>
                <w:rFonts w:ascii="Times New Roman" w:hAnsi="Times New Roman"/>
                <w:sz w:val="24"/>
                <w:szCs w:val="24"/>
              </w:rPr>
            </w:pPr>
          </w:p>
          <w:p w14:paraId="743E045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ages, ethnicity, time spent in TC</w:t>
            </w:r>
          </w:p>
          <w:p w14:paraId="0A38CE7B"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4055EE92"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Focus Group, Thematic Analysis</w:t>
            </w:r>
          </w:p>
        </w:tc>
        <w:tc>
          <w:tcPr>
            <w:tcW w:w="0" w:type="auto"/>
            <w:tcBorders>
              <w:top w:val="single" w:sz="4" w:space="0" w:color="auto"/>
              <w:bottom w:val="single" w:sz="4" w:space="0" w:color="auto"/>
            </w:tcBorders>
          </w:tcPr>
          <w:p w14:paraId="3BAE1F1F"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21ECB81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Thematic Analysis</w:t>
            </w:r>
          </w:p>
        </w:tc>
      </w:tr>
      <w:tr w:rsidR="00B72231" w:rsidRPr="00615E85" w14:paraId="72901809" w14:textId="77777777" w:rsidTr="001D53FD">
        <w:trPr>
          <w:trHeight w:val="677"/>
        </w:trPr>
        <w:tc>
          <w:tcPr>
            <w:tcW w:w="1701" w:type="dxa"/>
            <w:tcBorders>
              <w:top w:val="single" w:sz="4" w:space="0" w:color="auto"/>
              <w:bottom w:val="single" w:sz="4" w:space="0" w:color="auto"/>
            </w:tcBorders>
          </w:tcPr>
          <w:p w14:paraId="5E90B7F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Brookes et al. (2012)</w:t>
            </w:r>
          </w:p>
        </w:tc>
        <w:tc>
          <w:tcPr>
            <w:tcW w:w="1427" w:type="dxa"/>
            <w:tcBorders>
              <w:top w:val="single" w:sz="4" w:space="0" w:color="auto"/>
              <w:bottom w:val="single" w:sz="4" w:space="0" w:color="auto"/>
            </w:tcBorders>
          </w:tcPr>
          <w:p w14:paraId="70ED5AEF"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5CC6807A"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To investigate experiences of ‘black’ </w:t>
            </w:r>
            <w:r w:rsidRPr="00615E85">
              <w:rPr>
                <w:rFonts w:ascii="Times New Roman" w:hAnsi="Times New Roman"/>
                <w:sz w:val="24"/>
                <w:szCs w:val="24"/>
              </w:rPr>
              <w:lastRenderedPageBreak/>
              <w:t>prisoners who participate in DTCs</w:t>
            </w:r>
          </w:p>
        </w:tc>
        <w:tc>
          <w:tcPr>
            <w:tcW w:w="0" w:type="auto"/>
            <w:tcBorders>
              <w:top w:val="single" w:sz="4" w:space="0" w:color="auto"/>
              <w:bottom w:val="single" w:sz="4" w:space="0" w:color="auto"/>
            </w:tcBorders>
          </w:tcPr>
          <w:p w14:paraId="463BB9B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1. Grendon</w:t>
            </w:r>
            <w:r w:rsidRPr="00615E85">
              <w:rPr>
                <w:rFonts w:ascii="Times New Roman" w:hAnsi="Times New Roman"/>
                <w:sz w:val="24"/>
                <w:szCs w:val="24"/>
              </w:rPr>
              <w:br/>
              <w:t>2. Father Deficit</w:t>
            </w:r>
            <w:r w:rsidRPr="00615E85">
              <w:rPr>
                <w:rFonts w:ascii="Times New Roman" w:hAnsi="Times New Roman"/>
                <w:sz w:val="24"/>
                <w:szCs w:val="24"/>
              </w:rPr>
              <w:br/>
              <w:t>3. Self-Concept</w:t>
            </w:r>
          </w:p>
          <w:p w14:paraId="7C4F67F4"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lastRenderedPageBreak/>
              <w:t>4. Desistance – “knifing off”</w:t>
            </w:r>
          </w:p>
        </w:tc>
        <w:tc>
          <w:tcPr>
            <w:tcW w:w="0" w:type="auto"/>
            <w:tcBorders>
              <w:top w:val="single" w:sz="4" w:space="0" w:color="auto"/>
              <w:bottom w:val="single" w:sz="4" w:space="0" w:color="auto"/>
            </w:tcBorders>
          </w:tcPr>
          <w:p w14:paraId="0D5405B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N= 11 male, black</w:t>
            </w:r>
          </w:p>
          <w:p w14:paraId="6B6CCE24" w14:textId="77777777" w:rsidR="00B72231" w:rsidRPr="00615E85" w:rsidRDefault="00B72231" w:rsidP="001D53FD">
            <w:pPr>
              <w:rPr>
                <w:rFonts w:ascii="Times New Roman" w:hAnsi="Times New Roman"/>
                <w:sz w:val="24"/>
                <w:szCs w:val="24"/>
              </w:rPr>
            </w:pPr>
          </w:p>
          <w:p w14:paraId="482D3AE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Unknown: Age, offence or time spent in TC</w:t>
            </w:r>
          </w:p>
        </w:tc>
        <w:tc>
          <w:tcPr>
            <w:tcW w:w="0" w:type="auto"/>
            <w:tcBorders>
              <w:top w:val="single" w:sz="4" w:space="0" w:color="auto"/>
              <w:bottom w:val="single" w:sz="4" w:space="0" w:color="auto"/>
            </w:tcBorders>
          </w:tcPr>
          <w:p w14:paraId="0A39ABA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 xml:space="preserve">Semi-structured interviews, </w:t>
            </w:r>
            <w:r w:rsidRPr="00615E85">
              <w:rPr>
                <w:rFonts w:ascii="Times New Roman" w:hAnsi="Times New Roman"/>
                <w:sz w:val="24"/>
                <w:szCs w:val="24"/>
              </w:rPr>
              <w:lastRenderedPageBreak/>
              <w:t>Grounded Theory</w:t>
            </w:r>
          </w:p>
        </w:tc>
        <w:tc>
          <w:tcPr>
            <w:tcW w:w="0" w:type="auto"/>
            <w:tcBorders>
              <w:top w:val="single" w:sz="4" w:space="0" w:color="auto"/>
              <w:bottom w:val="single" w:sz="4" w:space="0" w:color="auto"/>
            </w:tcBorders>
          </w:tcPr>
          <w:p w14:paraId="6179EEB1"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1DC6E6C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Grounded Theory</w:t>
            </w:r>
          </w:p>
        </w:tc>
      </w:tr>
      <w:tr w:rsidR="00B72231" w:rsidRPr="00615E85" w14:paraId="2CE26E17" w14:textId="77777777" w:rsidTr="001D53FD">
        <w:trPr>
          <w:trHeight w:val="611"/>
        </w:trPr>
        <w:tc>
          <w:tcPr>
            <w:tcW w:w="1701" w:type="dxa"/>
            <w:tcBorders>
              <w:top w:val="single" w:sz="4" w:space="0" w:color="auto"/>
              <w:bottom w:val="single" w:sz="4" w:space="0" w:color="auto"/>
            </w:tcBorders>
          </w:tcPr>
          <w:p w14:paraId="1CF716D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Dolan (2017)</w:t>
            </w:r>
          </w:p>
        </w:tc>
        <w:tc>
          <w:tcPr>
            <w:tcW w:w="1427" w:type="dxa"/>
            <w:tcBorders>
              <w:top w:val="single" w:sz="4" w:space="0" w:color="auto"/>
              <w:bottom w:val="single" w:sz="4" w:space="0" w:color="auto"/>
            </w:tcBorders>
          </w:tcPr>
          <w:p w14:paraId="4E35176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65CF41E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which factors which are most effective in changing behaviour within DTC</w:t>
            </w:r>
          </w:p>
        </w:tc>
        <w:tc>
          <w:tcPr>
            <w:tcW w:w="0" w:type="auto"/>
            <w:tcBorders>
              <w:top w:val="single" w:sz="4" w:space="0" w:color="auto"/>
              <w:bottom w:val="single" w:sz="4" w:space="0" w:color="auto"/>
            </w:tcBorders>
          </w:tcPr>
          <w:p w14:paraId="5B1F137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Small Group Therapy</w:t>
            </w:r>
          </w:p>
          <w:p w14:paraId="523A244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Background and Family</w:t>
            </w:r>
          </w:p>
          <w:p w14:paraId="1B8DA6A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Discussing Offence Details/Impact</w:t>
            </w:r>
          </w:p>
          <w:p w14:paraId="243F5B1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Resolving Problems</w:t>
            </w:r>
          </w:p>
          <w:p w14:paraId="2D9655F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5. Feeling Responsible for Self and Actions</w:t>
            </w:r>
          </w:p>
          <w:p w14:paraId="7B6C27E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6. Open Communication</w:t>
            </w:r>
          </w:p>
          <w:p w14:paraId="7F431CC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7. Feeling Safe, Trust and Empathy</w:t>
            </w:r>
          </w:p>
        </w:tc>
        <w:tc>
          <w:tcPr>
            <w:tcW w:w="0" w:type="auto"/>
            <w:tcBorders>
              <w:top w:val="single" w:sz="4" w:space="0" w:color="auto"/>
              <w:bottom w:val="single" w:sz="4" w:space="0" w:color="auto"/>
            </w:tcBorders>
          </w:tcPr>
          <w:p w14:paraId="4CB42575" w14:textId="77777777" w:rsidR="00B72231" w:rsidRPr="00615E85" w:rsidRDefault="00B72231" w:rsidP="001D53FD">
            <w:pPr>
              <w:rPr>
                <w:rFonts w:ascii="Times New Roman" w:hAnsi="Times New Roman"/>
                <w:sz w:val="24"/>
                <w:szCs w:val="24"/>
              </w:rPr>
            </w:pPr>
            <w:r w:rsidRPr="00615E85">
              <w:rPr>
                <w:rFonts w:ascii="Times New Roman" w:hAnsi="Times New Roman"/>
                <w:color w:val="202124"/>
                <w:shd w:val="clear" w:color="auto" w:fill="FFFFFF"/>
              </w:rPr>
              <w:t xml:space="preserve">‡ </w:t>
            </w:r>
            <w:r w:rsidRPr="00615E85">
              <w:rPr>
                <w:rFonts w:ascii="Times New Roman" w:hAnsi="Times New Roman"/>
                <w:sz w:val="24"/>
                <w:szCs w:val="24"/>
              </w:rPr>
              <w:t>N= 36 male, aged 22-70</w:t>
            </w:r>
          </w:p>
          <w:p w14:paraId="360DDCA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 1-60 months</w:t>
            </w:r>
          </w:p>
          <w:p w14:paraId="4CD6189B" w14:textId="77777777" w:rsidR="00B72231" w:rsidRPr="00615E85" w:rsidRDefault="00B72231" w:rsidP="001D53FD">
            <w:pPr>
              <w:rPr>
                <w:rFonts w:ascii="Times New Roman" w:hAnsi="Times New Roman"/>
                <w:sz w:val="24"/>
                <w:szCs w:val="24"/>
              </w:rPr>
            </w:pPr>
          </w:p>
          <w:p w14:paraId="4C7ABF6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Ethnicity, Offence</w:t>
            </w:r>
          </w:p>
          <w:p w14:paraId="1C0DF577"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5E8E934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Semi-structured Interviews </w:t>
            </w:r>
          </w:p>
        </w:tc>
        <w:tc>
          <w:tcPr>
            <w:tcW w:w="0" w:type="auto"/>
            <w:tcBorders>
              <w:top w:val="single" w:sz="4" w:space="0" w:color="auto"/>
              <w:bottom w:val="single" w:sz="4" w:space="0" w:color="auto"/>
            </w:tcBorders>
          </w:tcPr>
          <w:p w14:paraId="1EB5A5E0"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39A93EFE"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Framework Analysis</w:t>
            </w:r>
          </w:p>
        </w:tc>
      </w:tr>
      <w:tr w:rsidR="00B72231" w:rsidRPr="00615E85" w14:paraId="4E9A72C0" w14:textId="77777777" w:rsidTr="001D53FD">
        <w:trPr>
          <w:trHeight w:val="545"/>
        </w:trPr>
        <w:tc>
          <w:tcPr>
            <w:tcW w:w="1701" w:type="dxa"/>
            <w:tcBorders>
              <w:top w:val="single" w:sz="4" w:space="0" w:color="auto"/>
              <w:bottom w:val="single" w:sz="4" w:space="0" w:color="auto"/>
            </w:tcBorders>
          </w:tcPr>
          <w:p w14:paraId="05A63DB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Duncan et al. (2022)</w:t>
            </w:r>
          </w:p>
        </w:tc>
        <w:tc>
          <w:tcPr>
            <w:tcW w:w="1427" w:type="dxa"/>
            <w:tcBorders>
              <w:top w:val="single" w:sz="4" w:space="0" w:color="auto"/>
              <w:bottom w:val="single" w:sz="4" w:space="0" w:color="auto"/>
            </w:tcBorders>
          </w:tcPr>
          <w:p w14:paraId="5599D198" w14:textId="77777777" w:rsidR="00B72231" w:rsidRPr="00615E85" w:rsidRDefault="00B72231" w:rsidP="001D53FD">
            <w:pPr>
              <w:autoSpaceDE w:val="0"/>
              <w:autoSpaceDN w:val="0"/>
              <w:adjustRightInd w:val="0"/>
              <w:rPr>
                <w:rFonts w:ascii="Times New Roman" w:hAnsi="Times New Roman"/>
                <w:sz w:val="24"/>
                <w:szCs w:val="24"/>
              </w:rPr>
            </w:pPr>
            <w:r w:rsidRPr="00615E85">
              <w:rPr>
                <w:rFonts w:ascii="Times New Roman" w:hAnsi="Times New Roman"/>
                <w:sz w:val="24"/>
                <w:szCs w:val="24"/>
              </w:rPr>
              <w:t>Category B UK Prison</w:t>
            </w:r>
          </w:p>
          <w:p w14:paraId="090A9EB2"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lastRenderedPageBreak/>
              <w:t>(unidentified)</w:t>
            </w:r>
          </w:p>
        </w:tc>
        <w:tc>
          <w:tcPr>
            <w:tcW w:w="1414" w:type="dxa"/>
            <w:tcBorders>
              <w:top w:val="single" w:sz="4" w:space="0" w:color="auto"/>
              <w:bottom w:val="single" w:sz="4" w:space="0" w:color="auto"/>
            </w:tcBorders>
          </w:tcPr>
          <w:p w14:paraId="7776CA6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 xml:space="preserve">To explore residents’ reasons for </w:t>
            </w:r>
            <w:r w:rsidRPr="00615E85">
              <w:rPr>
                <w:rFonts w:ascii="Times New Roman" w:hAnsi="Times New Roman"/>
                <w:sz w:val="24"/>
                <w:szCs w:val="24"/>
              </w:rPr>
              <w:lastRenderedPageBreak/>
              <w:t>dropping out of the DTC, prior to completing therapy</w:t>
            </w:r>
          </w:p>
        </w:tc>
        <w:tc>
          <w:tcPr>
            <w:tcW w:w="0" w:type="auto"/>
            <w:tcBorders>
              <w:top w:val="single" w:sz="4" w:space="0" w:color="auto"/>
              <w:bottom w:val="single" w:sz="4" w:space="0" w:color="auto"/>
            </w:tcBorders>
          </w:tcPr>
          <w:p w14:paraId="233FFD6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1: (Un)therapeutic Climate.</w:t>
            </w:r>
            <w:r w:rsidRPr="00615E85">
              <w:rPr>
                <w:rFonts w:ascii="Times New Roman" w:hAnsi="Times New Roman"/>
                <w:sz w:val="24"/>
                <w:szCs w:val="24"/>
              </w:rPr>
              <w:br/>
              <w:t>2: Disillusionment with the Illusion</w:t>
            </w:r>
          </w:p>
        </w:tc>
        <w:tc>
          <w:tcPr>
            <w:tcW w:w="0" w:type="auto"/>
            <w:tcBorders>
              <w:top w:val="single" w:sz="4" w:space="0" w:color="auto"/>
              <w:bottom w:val="single" w:sz="4" w:space="0" w:color="auto"/>
            </w:tcBorders>
          </w:tcPr>
          <w:p w14:paraId="68E846F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N=7 male Committed sexual offences</w:t>
            </w:r>
          </w:p>
          <w:p w14:paraId="31F7F5B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Time spent in TC = 4 months-5 years</w:t>
            </w:r>
          </w:p>
          <w:p w14:paraId="109AEC04" w14:textId="77777777" w:rsidR="00B72231" w:rsidRPr="00615E85" w:rsidRDefault="00B72231" w:rsidP="001D53FD">
            <w:pPr>
              <w:rPr>
                <w:rFonts w:ascii="Times New Roman" w:hAnsi="Times New Roman"/>
                <w:sz w:val="24"/>
                <w:szCs w:val="24"/>
              </w:rPr>
            </w:pPr>
          </w:p>
          <w:p w14:paraId="225D0A3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Age, Ethnicity</w:t>
            </w:r>
          </w:p>
          <w:p w14:paraId="665D41EF"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22B74DE2"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Semi-structured Interviews</w:t>
            </w:r>
          </w:p>
        </w:tc>
        <w:tc>
          <w:tcPr>
            <w:tcW w:w="0" w:type="auto"/>
            <w:tcBorders>
              <w:top w:val="single" w:sz="4" w:space="0" w:color="auto"/>
              <w:bottom w:val="single" w:sz="4" w:space="0" w:color="auto"/>
            </w:tcBorders>
          </w:tcPr>
          <w:p w14:paraId="6D33ABB1"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724EA84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Interpretative Phenomenological Analysis</w:t>
            </w:r>
          </w:p>
        </w:tc>
      </w:tr>
      <w:tr w:rsidR="00B72231" w:rsidRPr="00615E85" w14:paraId="74FD16E0" w14:textId="77777777" w:rsidTr="001D53FD">
        <w:trPr>
          <w:trHeight w:val="545"/>
        </w:trPr>
        <w:tc>
          <w:tcPr>
            <w:tcW w:w="1701" w:type="dxa"/>
            <w:tcBorders>
              <w:top w:val="single" w:sz="4" w:space="0" w:color="auto"/>
              <w:bottom w:val="single" w:sz="4" w:space="0" w:color="auto"/>
            </w:tcBorders>
          </w:tcPr>
          <w:p w14:paraId="16310A3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Jacobs &amp; Shuker (2019)</w:t>
            </w:r>
          </w:p>
        </w:tc>
        <w:tc>
          <w:tcPr>
            <w:tcW w:w="1427" w:type="dxa"/>
            <w:tcBorders>
              <w:top w:val="single" w:sz="4" w:space="0" w:color="auto"/>
              <w:bottom w:val="single" w:sz="4" w:space="0" w:color="auto"/>
            </w:tcBorders>
          </w:tcPr>
          <w:p w14:paraId="7260B67D"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0345DE9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treatment experiences of residents within a prison DTC</w:t>
            </w:r>
          </w:p>
        </w:tc>
        <w:tc>
          <w:tcPr>
            <w:tcW w:w="0" w:type="auto"/>
            <w:tcBorders>
              <w:top w:val="single" w:sz="4" w:space="0" w:color="auto"/>
              <w:bottom w:val="single" w:sz="4" w:space="0" w:color="auto"/>
            </w:tcBorders>
          </w:tcPr>
          <w:p w14:paraId="2A77E54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Therapeutic Process</w:t>
            </w:r>
          </w:p>
          <w:p w14:paraId="54A27EC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Acceptance</w:t>
            </w:r>
          </w:p>
          <w:p w14:paraId="78E751F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Insight</w:t>
            </w:r>
          </w:p>
          <w:p w14:paraId="5D3F71BA"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Relationships</w:t>
            </w:r>
          </w:p>
          <w:p w14:paraId="65FACB0E"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5. Barriers</w:t>
            </w:r>
          </w:p>
        </w:tc>
        <w:tc>
          <w:tcPr>
            <w:tcW w:w="0" w:type="auto"/>
            <w:tcBorders>
              <w:top w:val="single" w:sz="4" w:space="0" w:color="auto"/>
              <w:bottom w:val="single" w:sz="4" w:space="0" w:color="auto"/>
            </w:tcBorders>
          </w:tcPr>
          <w:p w14:paraId="614CB3C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 4 male, aged 28-49 (M=40), committed filicide</w:t>
            </w:r>
          </w:p>
          <w:p w14:paraId="569A7F8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 14-97 months (M= 56 months)</w:t>
            </w:r>
          </w:p>
          <w:p w14:paraId="001B903A" w14:textId="77777777" w:rsidR="00B72231" w:rsidRPr="00615E85" w:rsidRDefault="00B72231" w:rsidP="001D53FD">
            <w:pPr>
              <w:rPr>
                <w:rFonts w:ascii="Times New Roman" w:hAnsi="Times New Roman"/>
                <w:sz w:val="24"/>
                <w:szCs w:val="24"/>
              </w:rPr>
            </w:pPr>
          </w:p>
          <w:p w14:paraId="3C78B24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Unknown: Ethnicity</w:t>
            </w:r>
          </w:p>
        </w:tc>
        <w:tc>
          <w:tcPr>
            <w:tcW w:w="0" w:type="auto"/>
            <w:tcBorders>
              <w:top w:val="single" w:sz="4" w:space="0" w:color="auto"/>
              <w:bottom w:val="single" w:sz="4" w:space="0" w:color="auto"/>
            </w:tcBorders>
          </w:tcPr>
          <w:p w14:paraId="7D5CF46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Semi-structured Interviews</w:t>
            </w:r>
          </w:p>
        </w:tc>
        <w:tc>
          <w:tcPr>
            <w:tcW w:w="0" w:type="auto"/>
            <w:tcBorders>
              <w:top w:val="single" w:sz="4" w:space="0" w:color="auto"/>
              <w:bottom w:val="single" w:sz="4" w:space="0" w:color="auto"/>
            </w:tcBorders>
          </w:tcPr>
          <w:p w14:paraId="72195076"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5030A37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Interpretative Phenomenological Analysis</w:t>
            </w:r>
          </w:p>
        </w:tc>
      </w:tr>
      <w:tr w:rsidR="00B72231" w:rsidRPr="00615E85" w14:paraId="6D75CEA4" w14:textId="77777777" w:rsidTr="001D53FD">
        <w:trPr>
          <w:trHeight w:val="545"/>
        </w:trPr>
        <w:tc>
          <w:tcPr>
            <w:tcW w:w="1701" w:type="dxa"/>
            <w:tcBorders>
              <w:top w:val="single" w:sz="4" w:space="0" w:color="auto"/>
              <w:bottom w:val="single" w:sz="4" w:space="0" w:color="auto"/>
            </w:tcBorders>
          </w:tcPr>
          <w:p w14:paraId="2C63841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Jones et al. (2013)</w:t>
            </w:r>
          </w:p>
        </w:tc>
        <w:tc>
          <w:tcPr>
            <w:tcW w:w="1427" w:type="dxa"/>
            <w:tcBorders>
              <w:top w:val="single" w:sz="4" w:space="0" w:color="auto"/>
              <w:bottom w:val="single" w:sz="4" w:space="0" w:color="auto"/>
            </w:tcBorders>
          </w:tcPr>
          <w:p w14:paraId="00D02661"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4C5D028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experiences of DTC therapy and determine how sensitive therapy was to their cultural backgrounds</w:t>
            </w:r>
          </w:p>
        </w:tc>
        <w:tc>
          <w:tcPr>
            <w:tcW w:w="0" w:type="auto"/>
            <w:tcBorders>
              <w:top w:val="single" w:sz="4" w:space="0" w:color="auto"/>
              <w:bottom w:val="single" w:sz="4" w:space="0" w:color="auto"/>
            </w:tcBorders>
          </w:tcPr>
          <w:p w14:paraId="27378E4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Therapy and Cultural Values</w:t>
            </w:r>
          </w:p>
          <w:p w14:paraId="195906F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Relating to Others</w:t>
            </w:r>
          </w:p>
          <w:p w14:paraId="076C0F4A"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Cultural Competency</w:t>
            </w:r>
          </w:p>
          <w:p w14:paraId="5793452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Cultural Understanding/Awareness</w:t>
            </w:r>
          </w:p>
          <w:p w14:paraId="47D0B6A5" w14:textId="77777777" w:rsidR="00B72231" w:rsidRPr="00615E85" w:rsidRDefault="00B72231" w:rsidP="001D53FD">
            <w:pPr>
              <w:autoSpaceDE w:val="0"/>
              <w:autoSpaceDN w:val="0"/>
              <w:adjustRightInd w:val="0"/>
              <w:rPr>
                <w:rFonts w:ascii="Times New Roman" w:hAnsi="Times New Roman"/>
                <w:color w:val="000000"/>
                <w:sz w:val="24"/>
                <w:szCs w:val="24"/>
              </w:rPr>
            </w:pPr>
            <w:r w:rsidRPr="00615E85">
              <w:rPr>
                <w:rFonts w:ascii="Times New Roman" w:hAnsi="Times New Roman"/>
                <w:sz w:val="24"/>
                <w:szCs w:val="24"/>
              </w:rPr>
              <w:t>5. Responses to Experiences</w:t>
            </w:r>
          </w:p>
        </w:tc>
        <w:tc>
          <w:tcPr>
            <w:tcW w:w="0" w:type="auto"/>
            <w:tcBorders>
              <w:top w:val="single" w:sz="4" w:space="0" w:color="auto"/>
              <w:bottom w:val="single" w:sz="4" w:space="0" w:color="auto"/>
            </w:tcBorders>
          </w:tcPr>
          <w:p w14:paraId="2CFBAAB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N= 8 male </w:t>
            </w:r>
          </w:p>
          <w:p w14:paraId="4DD1E37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Ethnicities: Black Caribbean, Black British, Mixed/White/Black Caribbean, White Other, White Irish and Asian Other (N of each = unknown)</w:t>
            </w:r>
          </w:p>
          <w:p w14:paraId="0810E93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 Minimum of 12 months</w:t>
            </w:r>
          </w:p>
          <w:p w14:paraId="0BCE8173" w14:textId="77777777" w:rsidR="00B72231" w:rsidRPr="00615E85" w:rsidRDefault="00B72231" w:rsidP="001D53FD">
            <w:pPr>
              <w:rPr>
                <w:rFonts w:ascii="Times New Roman" w:hAnsi="Times New Roman"/>
                <w:sz w:val="24"/>
                <w:szCs w:val="24"/>
              </w:rPr>
            </w:pPr>
          </w:p>
          <w:p w14:paraId="0C48D64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Age, Offences</w:t>
            </w:r>
          </w:p>
          <w:p w14:paraId="6151D9F4"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1C23564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Semi-Structured Interviews</w:t>
            </w:r>
          </w:p>
        </w:tc>
        <w:tc>
          <w:tcPr>
            <w:tcW w:w="0" w:type="auto"/>
            <w:tcBorders>
              <w:top w:val="single" w:sz="4" w:space="0" w:color="auto"/>
              <w:bottom w:val="single" w:sz="4" w:space="0" w:color="auto"/>
            </w:tcBorders>
          </w:tcPr>
          <w:p w14:paraId="12B0FC0B"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2AC1F23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Thematic analysis</w:t>
            </w:r>
          </w:p>
        </w:tc>
      </w:tr>
      <w:tr w:rsidR="00B72231" w:rsidRPr="00615E85" w14:paraId="651855FE" w14:textId="77777777" w:rsidTr="001D53FD">
        <w:trPr>
          <w:trHeight w:val="611"/>
        </w:trPr>
        <w:tc>
          <w:tcPr>
            <w:tcW w:w="1701" w:type="dxa"/>
            <w:tcBorders>
              <w:top w:val="single" w:sz="4" w:space="0" w:color="auto"/>
              <w:bottom w:val="single" w:sz="4" w:space="0" w:color="auto"/>
            </w:tcBorders>
          </w:tcPr>
          <w:p w14:paraId="5B855F4A" w14:textId="77777777" w:rsidR="00B72231" w:rsidRPr="00615E85" w:rsidRDefault="00B72231" w:rsidP="001D53FD">
            <w:pPr>
              <w:rPr>
                <w:rFonts w:ascii="Times New Roman" w:hAnsi="Times New Roman"/>
                <w:sz w:val="24"/>
                <w:szCs w:val="24"/>
              </w:rPr>
            </w:pP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xml:space="preserve"> (2020)</w:t>
            </w:r>
          </w:p>
        </w:tc>
        <w:tc>
          <w:tcPr>
            <w:tcW w:w="1427" w:type="dxa"/>
            <w:tcBorders>
              <w:top w:val="single" w:sz="4" w:space="0" w:color="auto"/>
              <w:bottom w:val="single" w:sz="4" w:space="0" w:color="auto"/>
            </w:tcBorders>
          </w:tcPr>
          <w:p w14:paraId="26A5818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HMP Grendon</w:t>
            </w:r>
          </w:p>
        </w:tc>
        <w:tc>
          <w:tcPr>
            <w:tcW w:w="1414" w:type="dxa"/>
            <w:tcBorders>
              <w:top w:val="single" w:sz="4" w:space="0" w:color="auto"/>
              <w:bottom w:val="single" w:sz="4" w:space="0" w:color="auto"/>
            </w:tcBorders>
          </w:tcPr>
          <w:p w14:paraId="36663A15"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experiences of residents engaging in DTCs</w:t>
            </w:r>
          </w:p>
        </w:tc>
        <w:tc>
          <w:tcPr>
            <w:tcW w:w="0" w:type="auto"/>
            <w:tcBorders>
              <w:top w:val="single" w:sz="4" w:space="0" w:color="auto"/>
              <w:bottom w:val="single" w:sz="4" w:space="0" w:color="auto"/>
            </w:tcBorders>
          </w:tcPr>
          <w:p w14:paraId="0ACF1A0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Relating to others</w:t>
            </w:r>
          </w:p>
          <w:p w14:paraId="4625AB8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Community living</w:t>
            </w:r>
          </w:p>
          <w:p w14:paraId="2E3203A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Motivation to engage</w:t>
            </w:r>
          </w:p>
        </w:tc>
        <w:tc>
          <w:tcPr>
            <w:tcW w:w="0" w:type="auto"/>
            <w:tcBorders>
              <w:top w:val="single" w:sz="4" w:space="0" w:color="auto"/>
              <w:bottom w:val="single" w:sz="4" w:space="0" w:color="auto"/>
            </w:tcBorders>
          </w:tcPr>
          <w:p w14:paraId="4FC20A0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 6, male, aged 26-64 years old (M=39), White British Committed violent or sexual offences</w:t>
            </w:r>
          </w:p>
          <w:p w14:paraId="6208C1B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TC:1 week - 5 years</w:t>
            </w:r>
          </w:p>
        </w:tc>
        <w:tc>
          <w:tcPr>
            <w:tcW w:w="0" w:type="auto"/>
            <w:tcBorders>
              <w:top w:val="single" w:sz="4" w:space="0" w:color="auto"/>
              <w:bottom w:val="single" w:sz="4" w:space="0" w:color="auto"/>
            </w:tcBorders>
          </w:tcPr>
          <w:p w14:paraId="04FD0C70"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Semi-structured Interviews</w:t>
            </w:r>
          </w:p>
        </w:tc>
        <w:tc>
          <w:tcPr>
            <w:tcW w:w="0" w:type="auto"/>
            <w:tcBorders>
              <w:top w:val="single" w:sz="4" w:space="0" w:color="auto"/>
              <w:bottom w:val="single" w:sz="4" w:space="0" w:color="auto"/>
            </w:tcBorders>
          </w:tcPr>
          <w:p w14:paraId="7AD2CE92"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044BA57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Interpretative Phenomenological Analysis</w:t>
            </w:r>
          </w:p>
        </w:tc>
      </w:tr>
      <w:tr w:rsidR="00B72231" w:rsidRPr="00615E85" w14:paraId="155E72D9" w14:textId="77777777" w:rsidTr="001D53FD">
        <w:trPr>
          <w:trHeight w:val="611"/>
        </w:trPr>
        <w:tc>
          <w:tcPr>
            <w:tcW w:w="1701" w:type="dxa"/>
            <w:tcBorders>
              <w:top w:val="single" w:sz="4" w:space="0" w:color="auto"/>
              <w:bottom w:val="single" w:sz="4" w:space="0" w:color="auto"/>
            </w:tcBorders>
          </w:tcPr>
          <w:p w14:paraId="71A7EA3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Miller et al. (2006)</w:t>
            </w:r>
          </w:p>
        </w:tc>
        <w:tc>
          <w:tcPr>
            <w:tcW w:w="1427" w:type="dxa"/>
            <w:tcBorders>
              <w:top w:val="single" w:sz="4" w:space="0" w:color="auto"/>
              <w:bottom w:val="single" w:sz="4" w:space="0" w:color="auto"/>
            </w:tcBorders>
          </w:tcPr>
          <w:p w14:paraId="51D0D38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HMP </w:t>
            </w:r>
            <w:proofErr w:type="spellStart"/>
            <w:r w:rsidRPr="00615E85">
              <w:rPr>
                <w:rFonts w:ascii="Times New Roman" w:hAnsi="Times New Roman"/>
                <w:sz w:val="24"/>
                <w:szCs w:val="24"/>
              </w:rPr>
              <w:t>Dovegate</w:t>
            </w:r>
            <w:proofErr w:type="spellEnd"/>
          </w:p>
        </w:tc>
        <w:tc>
          <w:tcPr>
            <w:tcW w:w="1414" w:type="dxa"/>
            <w:tcBorders>
              <w:top w:val="single" w:sz="4" w:space="0" w:color="auto"/>
              <w:bottom w:val="single" w:sz="4" w:space="0" w:color="auto"/>
            </w:tcBorders>
          </w:tcPr>
          <w:p w14:paraId="5350185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understand resident’s experiences of change within DTCs compared to Grendon and if this type of research be done within focus groups.</w:t>
            </w:r>
          </w:p>
        </w:tc>
        <w:tc>
          <w:tcPr>
            <w:tcW w:w="0" w:type="auto"/>
            <w:tcBorders>
              <w:top w:val="single" w:sz="4" w:space="0" w:color="auto"/>
              <w:bottom w:val="single" w:sz="4" w:space="0" w:color="auto"/>
            </w:tcBorders>
          </w:tcPr>
          <w:p w14:paraId="42C2BF2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Change is a Process</w:t>
            </w:r>
          </w:p>
          <w:p w14:paraId="442D586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Self-Properties and Self-Agency</w:t>
            </w:r>
          </w:p>
          <w:p w14:paraId="1AA5113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Inter-personal Facets</w:t>
            </w:r>
          </w:p>
          <w:p w14:paraId="4992C58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Change is Challenging</w:t>
            </w:r>
          </w:p>
        </w:tc>
        <w:tc>
          <w:tcPr>
            <w:tcW w:w="0" w:type="auto"/>
            <w:tcBorders>
              <w:top w:val="single" w:sz="4" w:space="0" w:color="auto"/>
              <w:bottom w:val="single" w:sz="4" w:space="0" w:color="auto"/>
            </w:tcBorders>
          </w:tcPr>
          <w:p w14:paraId="1EB15FC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 27, male, aged 22-57 years (M=34)</w:t>
            </w:r>
          </w:p>
          <w:p w14:paraId="15B43FE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Offences were robbery, violence or sexual related.</w:t>
            </w:r>
          </w:p>
          <w:p w14:paraId="3F04E00E"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 1-18 months.</w:t>
            </w:r>
          </w:p>
          <w:p w14:paraId="3914501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Ethnicity</w:t>
            </w:r>
          </w:p>
          <w:p w14:paraId="5B50E4AF"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4961EA1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Exploratory Focus Groups </w:t>
            </w:r>
          </w:p>
        </w:tc>
        <w:tc>
          <w:tcPr>
            <w:tcW w:w="0" w:type="auto"/>
            <w:tcBorders>
              <w:top w:val="single" w:sz="4" w:space="0" w:color="auto"/>
              <w:bottom w:val="single" w:sz="4" w:space="0" w:color="auto"/>
            </w:tcBorders>
          </w:tcPr>
          <w:p w14:paraId="4C5F1A86"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7789652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Two Stage Analysis:</w:t>
            </w:r>
          </w:p>
          <w:p w14:paraId="6CFAD7F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Mechanical Stage</w:t>
            </w:r>
          </w:p>
          <w:p w14:paraId="6E3C2B85"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Interpretative Stage</w:t>
            </w:r>
          </w:p>
        </w:tc>
      </w:tr>
      <w:tr w:rsidR="00B72231" w:rsidRPr="00615E85" w14:paraId="0752B0A2" w14:textId="77777777" w:rsidTr="001D53FD">
        <w:trPr>
          <w:trHeight w:val="611"/>
        </w:trPr>
        <w:tc>
          <w:tcPr>
            <w:tcW w:w="1701" w:type="dxa"/>
            <w:tcBorders>
              <w:top w:val="single" w:sz="4" w:space="0" w:color="auto"/>
              <w:bottom w:val="single" w:sz="4" w:space="0" w:color="auto"/>
            </w:tcBorders>
          </w:tcPr>
          <w:p w14:paraId="6368A71A"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Ross &amp; Auty (2018)</w:t>
            </w:r>
          </w:p>
        </w:tc>
        <w:tc>
          <w:tcPr>
            <w:tcW w:w="1427" w:type="dxa"/>
            <w:tcBorders>
              <w:top w:val="single" w:sz="4" w:space="0" w:color="auto"/>
              <w:bottom w:val="single" w:sz="4" w:space="0" w:color="auto"/>
            </w:tcBorders>
          </w:tcPr>
          <w:p w14:paraId="40DF7A1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HMP Gartree</w:t>
            </w:r>
          </w:p>
        </w:tc>
        <w:tc>
          <w:tcPr>
            <w:tcW w:w="1414" w:type="dxa"/>
            <w:tcBorders>
              <w:top w:val="single" w:sz="4" w:space="0" w:color="auto"/>
              <w:bottom w:val="single" w:sz="4" w:space="0" w:color="auto"/>
            </w:tcBorders>
          </w:tcPr>
          <w:p w14:paraId="585BC8E7" w14:textId="55CA9760"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experiences of residents  making change within DTCs</w:t>
            </w:r>
          </w:p>
        </w:tc>
        <w:tc>
          <w:tcPr>
            <w:tcW w:w="0" w:type="auto"/>
            <w:tcBorders>
              <w:top w:val="single" w:sz="4" w:space="0" w:color="auto"/>
              <w:bottom w:val="single" w:sz="4" w:space="0" w:color="auto"/>
            </w:tcBorders>
          </w:tcPr>
          <w:p w14:paraId="54372C1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1. Motivation to change</w:t>
            </w:r>
          </w:p>
          <w:p w14:paraId="63A471C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Environment</w:t>
            </w:r>
          </w:p>
          <w:p w14:paraId="36AEF62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Removal of Masks</w:t>
            </w:r>
          </w:p>
          <w:p w14:paraId="71261BD8"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Relationships</w:t>
            </w:r>
          </w:p>
        </w:tc>
        <w:tc>
          <w:tcPr>
            <w:tcW w:w="0" w:type="auto"/>
            <w:tcBorders>
              <w:top w:val="single" w:sz="4" w:space="0" w:color="auto"/>
              <w:bottom w:val="single" w:sz="4" w:space="0" w:color="auto"/>
            </w:tcBorders>
          </w:tcPr>
          <w:p w14:paraId="5E0719F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N=5 males, aged 38-58, </w:t>
            </w:r>
          </w:p>
          <w:p w14:paraId="517BF32B"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Committed Murder</w:t>
            </w:r>
          </w:p>
          <w:p w14:paraId="1B2C9BAE"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Time spent in TC: 34-41 months</w:t>
            </w:r>
          </w:p>
          <w:p w14:paraId="195D1AA2" w14:textId="77777777" w:rsidR="00B72231" w:rsidRPr="00615E85" w:rsidRDefault="00B72231" w:rsidP="001D53FD">
            <w:pPr>
              <w:rPr>
                <w:rFonts w:ascii="Times New Roman" w:hAnsi="Times New Roman"/>
                <w:sz w:val="24"/>
                <w:szCs w:val="24"/>
              </w:rPr>
            </w:pPr>
          </w:p>
          <w:p w14:paraId="23D38A1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Unknown: Ethnicity</w:t>
            </w:r>
          </w:p>
          <w:p w14:paraId="0564D0D9"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07ACD56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Semi-Structured Interviews </w:t>
            </w:r>
          </w:p>
        </w:tc>
        <w:tc>
          <w:tcPr>
            <w:tcW w:w="0" w:type="auto"/>
            <w:tcBorders>
              <w:top w:val="single" w:sz="4" w:space="0" w:color="auto"/>
              <w:bottom w:val="single" w:sz="4" w:space="0" w:color="auto"/>
            </w:tcBorders>
          </w:tcPr>
          <w:p w14:paraId="0C8459BE"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4C7388C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Interpretative Phenomenological Analysis</w:t>
            </w:r>
          </w:p>
        </w:tc>
      </w:tr>
      <w:tr w:rsidR="00B72231" w:rsidRPr="00615E85" w14:paraId="63DC2F99" w14:textId="77777777" w:rsidTr="001D53FD">
        <w:trPr>
          <w:trHeight w:val="611"/>
        </w:trPr>
        <w:tc>
          <w:tcPr>
            <w:tcW w:w="1701" w:type="dxa"/>
            <w:tcBorders>
              <w:top w:val="single" w:sz="4" w:space="0" w:color="auto"/>
              <w:bottom w:val="single" w:sz="4" w:space="0" w:color="auto"/>
            </w:tcBorders>
          </w:tcPr>
          <w:p w14:paraId="0A4ED9C6"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Sullivan (2006)*</w:t>
            </w:r>
          </w:p>
          <w:p w14:paraId="0E0526C6" w14:textId="77777777" w:rsidR="00B72231" w:rsidRPr="00615E85" w:rsidRDefault="00B72231" w:rsidP="001D53FD">
            <w:pPr>
              <w:rPr>
                <w:rFonts w:ascii="Times New Roman" w:hAnsi="Times New Roman"/>
                <w:sz w:val="24"/>
                <w:szCs w:val="24"/>
              </w:rPr>
            </w:pPr>
          </w:p>
          <w:p w14:paraId="76AD22FD" w14:textId="77777777" w:rsidR="00B72231" w:rsidRPr="00615E85" w:rsidRDefault="00B72231" w:rsidP="001D53FD">
            <w:pPr>
              <w:rPr>
                <w:rFonts w:ascii="Times New Roman" w:hAnsi="Times New Roman"/>
                <w:sz w:val="24"/>
                <w:szCs w:val="24"/>
              </w:rPr>
            </w:pPr>
          </w:p>
          <w:p w14:paraId="6B24326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Sullivan (2007)*</w:t>
            </w:r>
          </w:p>
        </w:tc>
        <w:tc>
          <w:tcPr>
            <w:tcW w:w="1427" w:type="dxa"/>
            <w:tcBorders>
              <w:top w:val="single" w:sz="4" w:space="0" w:color="auto"/>
              <w:bottom w:val="single" w:sz="4" w:space="0" w:color="auto"/>
            </w:tcBorders>
          </w:tcPr>
          <w:p w14:paraId="66AF7CC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HMP Grendon</w:t>
            </w:r>
          </w:p>
        </w:tc>
        <w:tc>
          <w:tcPr>
            <w:tcW w:w="1414" w:type="dxa"/>
            <w:tcBorders>
              <w:top w:val="single" w:sz="4" w:space="0" w:color="auto"/>
              <w:bottom w:val="single" w:sz="4" w:space="0" w:color="auto"/>
            </w:tcBorders>
          </w:tcPr>
          <w:p w14:paraId="7553B264"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 xml:space="preserve">To explore residents’ perspectives on leaving </w:t>
            </w:r>
            <w:r w:rsidRPr="00615E85">
              <w:rPr>
                <w:rFonts w:ascii="Times New Roman" w:hAnsi="Times New Roman"/>
                <w:sz w:val="24"/>
                <w:szCs w:val="24"/>
              </w:rPr>
              <w:lastRenderedPageBreak/>
              <w:t xml:space="preserve">the prison-based DTC. </w:t>
            </w:r>
          </w:p>
          <w:p w14:paraId="26EF9214" w14:textId="77777777" w:rsidR="00B72231" w:rsidRPr="00615E85" w:rsidRDefault="00B72231" w:rsidP="001D53FD">
            <w:pPr>
              <w:rPr>
                <w:rFonts w:ascii="Times New Roman" w:hAnsi="Times New Roman"/>
                <w:sz w:val="24"/>
                <w:szCs w:val="24"/>
              </w:rPr>
            </w:pPr>
          </w:p>
          <w:p w14:paraId="4FC3C48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To explore residents’ perspectives of the DTC</w:t>
            </w:r>
          </w:p>
        </w:tc>
        <w:tc>
          <w:tcPr>
            <w:tcW w:w="0" w:type="auto"/>
            <w:tcBorders>
              <w:top w:val="single" w:sz="4" w:space="0" w:color="auto"/>
              <w:bottom w:val="single" w:sz="4" w:space="0" w:color="auto"/>
            </w:tcBorders>
          </w:tcPr>
          <w:p w14:paraId="2457893F"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1. Therapy Wing Dropouts</w:t>
            </w:r>
          </w:p>
          <w:p w14:paraId="4D3908AF" w14:textId="77777777" w:rsidR="00B72231" w:rsidRPr="00615E85" w:rsidRDefault="00B72231" w:rsidP="001D53FD">
            <w:pPr>
              <w:rPr>
                <w:rFonts w:ascii="Times New Roman" w:hAnsi="Times New Roman"/>
                <w:sz w:val="24"/>
                <w:szCs w:val="24"/>
              </w:rPr>
            </w:pPr>
          </w:p>
          <w:p w14:paraId="200EF067" w14:textId="77777777" w:rsidR="00B72231" w:rsidRPr="00615E85" w:rsidRDefault="00B72231" w:rsidP="001D53FD">
            <w:pPr>
              <w:rPr>
                <w:rFonts w:ascii="Times New Roman" w:hAnsi="Times New Roman"/>
                <w:sz w:val="24"/>
                <w:szCs w:val="24"/>
              </w:rPr>
            </w:pPr>
          </w:p>
          <w:p w14:paraId="78295630" w14:textId="77777777" w:rsidR="00B72231" w:rsidRPr="00615E85" w:rsidRDefault="00B72231" w:rsidP="001D53FD">
            <w:pPr>
              <w:rPr>
                <w:rFonts w:ascii="Times New Roman" w:hAnsi="Times New Roman"/>
                <w:sz w:val="24"/>
                <w:szCs w:val="24"/>
              </w:rPr>
            </w:pPr>
          </w:p>
          <w:p w14:paraId="64DC672C"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1. New Arrivals</w:t>
            </w:r>
          </w:p>
          <w:p w14:paraId="766EE70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2. Staff</w:t>
            </w:r>
          </w:p>
          <w:p w14:paraId="17A14AB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3. Visits</w:t>
            </w:r>
          </w:p>
          <w:p w14:paraId="21BCF6D3"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4. Food</w:t>
            </w:r>
          </w:p>
          <w:p w14:paraId="6955BF0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5. Bullying</w:t>
            </w:r>
          </w:p>
          <w:p w14:paraId="198EB9ED"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6. What men say they gain from Grendon</w:t>
            </w:r>
          </w:p>
        </w:tc>
        <w:tc>
          <w:tcPr>
            <w:tcW w:w="0" w:type="auto"/>
            <w:tcBorders>
              <w:top w:val="single" w:sz="4" w:space="0" w:color="auto"/>
              <w:bottom w:val="single" w:sz="4" w:space="0" w:color="auto"/>
            </w:tcBorders>
          </w:tcPr>
          <w:p w14:paraId="137F8407" w14:textId="77777777" w:rsidR="00B72231" w:rsidRPr="00615E85" w:rsidRDefault="00B72231" w:rsidP="001D53FD">
            <w:pPr>
              <w:rPr>
                <w:rFonts w:ascii="Times New Roman" w:hAnsi="Times New Roman"/>
                <w:sz w:val="24"/>
                <w:szCs w:val="24"/>
              </w:rPr>
            </w:pPr>
            <w:r w:rsidRPr="00615E85">
              <w:rPr>
                <w:rFonts w:ascii="Times New Roman" w:hAnsi="Times New Roman"/>
                <w:color w:val="202124"/>
                <w:shd w:val="clear" w:color="auto" w:fill="FFFFFF"/>
              </w:rPr>
              <w:lastRenderedPageBreak/>
              <w:t>†</w:t>
            </w:r>
            <w:r w:rsidRPr="00615E85">
              <w:rPr>
                <w:rFonts w:ascii="Times New Roman" w:hAnsi="Times New Roman"/>
                <w:sz w:val="24"/>
                <w:szCs w:val="24"/>
              </w:rPr>
              <w:t xml:space="preserve"> N= 48 males</w:t>
            </w:r>
          </w:p>
          <w:p w14:paraId="1DF8CC99" w14:textId="77777777" w:rsidR="00B72231" w:rsidRPr="00615E85" w:rsidRDefault="00B72231" w:rsidP="001D53FD">
            <w:pPr>
              <w:rPr>
                <w:rFonts w:ascii="Times New Roman" w:hAnsi="Times New Roman"/>
                <w:sz w:val="24"/>
                <w:szCs w:val="24"/>
              </w:rPr>
            </w:pPr>
          </w:p>
          <w:p w14:paraId="6CCDCB11"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Unknown: Age, ethnicity, offences, time spent in TC</w:t>
            </w:r>
          </w:p>
          <w:p w14:paraId="2DF441F0"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0E926A49"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lastRenderedPageBreak/>
              <w:t>Semi-structured interviews</w:t>
            </w:r>
          </w:p>
        </w:tc>
        <w:tc>
          <w:tcPr>
            <w:tcW w:w="0" w:type="auto"/>
            <w:tcBorders>
              <w:top w:val="single" w:sz="4" w:space="0" w:color="auto"/>
              <w:bottom w:val="single" w:sz="4" w:space="0" w:color="auto"/>
            </w:tcBorders>
          </w:tcPr>
          <w:p w14:paraId="22041AAF" w14:textId="77777777" w:rsidR="00B72231" w:rsidRPr="00615E85" w:rsidRDefault="00B72231" w:rsidP="001D53FD">
            <w:pPr>
              <w:rPr>
                <w:rFonts w:ascii="Times New Roman" w:hAnsi="Times New Roman"/>
                <w:sz w:val="24"/>
                <w:szCs w:val="24"/>
              </w:rPr>
            </w:pPr>
          </w:p>
        </w:tc>
        <w:tc>
          <w:tcPr>
            <w:tcW w:w="0" w:type="auto"/>
            <w:tcBorders>
              <w:top w:val="single" w:sz="4" w:space="0" w:color="auto"/>
              <w:bottom w:val="single" w:sz="4" w:space="0" w:color="auto"/>
            </w:tcBorders>
          </w:tcPr>
          <w:p w14:paraId="12806CD7" w14:textId="77777777" w:rsidR="00B72231" w:rsidRPr="00615E85" w:rsidRDefault="00B72231" w:rsidP="001D53FD">
            <w:pPr>
              <w:rPr>
                <w:rFonts w:ascii="Times New Roman" w:hAnsi="Times New Roman"/>
                <w:sz w:val="24"/>
                <w:szCs w:val="24"/>
              </w:rPr>
            </w:pPr>
            <w:r w:rsidRPr="00615E85">
              <w:rPr>
                <w:rFonts w:ascii="Times New Roman" w:hAnsi="Times New Roman"/>
                <w:sz w:val="24"/>
                <w:szCs w:val="24"/>
              </w:rPr>
              <w:t>No formal analysis method identified</w:t>
            </w:r>
          </w:p>
        </w:tc>
      </w:tr>
    </w:tbl>
    <w:p w14:paraId="111AE2F7" w14:textId="77777777" w:rsidR="00B72231" w:rsidRPr="00615E85" w:rsidRDefault="00B72231" w:rsidP="00B72231">
      <w:pPr>
        <w:rPr>
          <w:rFonts w:ascii="Times New Roman" w:hAnsi="Times New Roman"/>
          <w:sz w:val="20"/>
          <w:szCs w:val="20"/>
        </w:rPr>
      </w:pPr>
      <w:r w:rsidRPr="00615E85">
        <w:rPr>
          <w:rFonts w:ascii="Times New Roman" w:hAnsi="Times New Roman"/>
          <w:sz w:val="20"/>
          <w:szCs w:val="20"/>
        </w:rPr>
        <w:t>* Sullivan (2006) and Sullivan (2007) used the same sample of participants for both papers</w:t>
      </w:r>
    </w:p>
    <w:p w14:paraId="4F81E42A" w14:textId="77777777" w:rsidR="00B72231" w:rsidRPr="00615E85" w:rsidRDefault="00B72231" w:rsidP="00B72231">
      <w:pPr>
        <w:rPr>
          <w:rFonts w:ascii="Times New Roman" w:hAnsi="Times New Roman"/>
          <w:sz w:val="20"/>
          <w:szCs w:val="20"/>
        </w:rPr>
      </w:pPr>
      <w:r w:rsidRPr="00615E85">
        <w:rPr>
          <w:rFonts w:ascii="Times New Roman" w:hAnsi="Times New Roman"/>
          <w:sz w:val="20"/>
          <w:szCs w:val="20"/>
          <w:shd w:val="clear" w:color="auto" w:fill="FFFFFF"/>
        </w:rPr>
        <w:t xml:space="preserve">† </w:t>
      </w:r>
      <w:r w:rsidRPr="00615E85">
        <w:rPr>
          <w:rFonts w:ascii="Times New Roman" w:hAnsi="Times New Roman"/>
          <w:sz w:val="20"/>
          <w:szCs w:val="20"/>
        </w:rPr>
        <w:t>Return to Unit participants (n=9) were excluded from the analysis as they did not participate in the TC intervention.</w:t>
      </w:r>
    </w:p>
    <w:p w14:paraId="451AEF35" w14:textId="77777777" w:rsidR="00B72231" w:rsidRPr="00615E85" w:rsidRDefault="00B72231" w:rsidP="00B72231">
      <w:pPr>
        <w:rPr>
          <w:rFonts w:ascii="Times New Roman" w:hAnsi="Times New Roman"/>
          <w:sz w:val="20"/>
          <w:szCs w:val="20"/>
        </w:rPr>
        <w:sectPr w:rsidR="00B72231" w:rsidRPr="00615E85" w:rsidSect="004B5EE9">
          <w:pgSz w:w="16840" w:h="11907" w:orient="landscape" w:code="9"/>
          <w:pgMar w:top="1418" w:right="851" w:bottom="1418" w:left="851" w:header="284" w:footer="284" w:gutter="0"/>
          <w:cols w:space="708"/>
          <w:formProt w:val="0"/>
          <w:docGrid w:linePitch="360"/>
        </w:sectPr>
      </w:pPr>
      <w:r w:rsidRPr="00615E85">
        <w:rPr>
          <w:rFonts w:ascii="Times New Roman" w:hAnsi="Times New Roman"/>
          <w:sz w:val="20"/>
          <w:szCs w:val="20"/>
          <w:shd w:val="clear" w:color="auto" w:fill="FFFFFF"/>
        </w:rPr>
        <w:t>‡ N=2 are from the TC+ wing (specialist DTC wing for residents with Learning Disabilities)</w:t>
      </w:r>
    </w:p>
    <w:p w14:paraId="355796D3" w14:textId="77777777" w:rsidR="00B72231" w:rsidRPr="00615E85" w:rsidRDefault="00B72231" w:rsidP="003850C0">
      <w:pPr>
        <w:pStyle w:val="Heading3"/>
        <w:numPr>
          <w:ilvl w:val="0"/>
          <w:numId w:val="0"/>
        </w:numPr>
        <w:rPr>
          <w:rFonts w:ascii="Times New Roman" w:hAnsi="Times New Roman" w:cs="Times New Roman"/>
          <w:i/>
          <w:iCs/>
          <w:sz w:val="24"/>
          <w:szCs w:val="24"/>
        </w:rPr>
      </w:pPr>
      <w:bookmarkStart w:id="21" w:name="_Toc176391400"/>
      <w:r w:rsidRPr="00615E85">
        <w:rPr>
          <w:rFonts w:ascii="Times New Roman" w:hAnsi="Times New Roman" w:cs="Times New Roman"/>
          <w:i/>
          <w:iCs/>
          <w:sz w:val="24"/>
          <w:szCs w:val="24"/>
        </w:rPr>
        <w:lastRenderedPageBreak/>
        <w:t>Study Findings</w:t>
      </w:r>
      <w:bookmarkEnd w:id="21"/>
    </w:p>
    <w:p w14:paraId="7C41FCEF" w14:textId="581E3396"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Thematic synthesis revealed three main themes: The Importance of Safety in the Therapeutic Environment, Opening Up to Vulnerability and Life Within and Beyond the DTC. Main themes  and corresponding subthemes are depicted in Figure 2.</w:t>
      </w:r>
    </w:p>
    <w:p w14:paraId="0A914654" w14:textId="3FD225E2" w:rsidR="00B72231" w:rsidRPr="00615E85" w:rsidRDefault="00B72231" w:rsidP="004B5EE9">
      <w:pPr>
        <w:pStyle w:val="Caption"/>
        <w:rPr>
          <w:rFonts w:ascii="Times New Roman" w:hAnsi="Times New Roman"/>
          <w:b/>
          <w:bCs/>
          <w:sz w:val="24"/>
          <w:szCs w:val="24"/>
        </w:rPr>
      </w:pPr>
      <w:bookmarkStart w:id="22" w:name="_Toc174994591"/>
      <w:r w:rsidRPr="00615E85">
        <w:rPr>
          <w:rFonts w:ascii="Times New Roman" w:hAnsi="Times New Roman"/>
          <w:b/>
          <w:bCs/>
          <w:sz w:val="24"/>
          <w:szCs w:val="24"/>
        </w:rPr>
        <w:t xml:space="preserve">Figure </w:t>
      </w:r>
      <w:r w:rsidRPr="00615E85">
        <w:rPr>
          <w:rFonts w:ascii="Times New Roman" w:hAnsi="Times New Roman"/>
          <w:b/>
          <w:bCs/>
          <w:sz w:val="24"/>
          <w:szCs w:val="24"/>
        </w:rPr>
        <w:fldChar w:fldCharType="begin"/>
      </w:r>
      <w:r w:rsidRPr="00615E85">
        <w:rPr>
          <w:rFonts w:ascii="Times New Roman" w:hAnsi="Times New Roman"/>
          <w:b/>
          <w:bCs/>
          <w:sz w:val="24"/>
          <w:szCs w:val="24"/>
        </w:rPr>
        <w:instrText xml:space="preserve"> SEQ Figure \* ARABIC </w:instrText>
      </w:r>
      <w:r w:rsidRPr="00615E85">
        <w:rPr>
          <w:rFonts w:ascii="Times New Roman" w:hAnsi="Times New Roman"/>
          <w:b/>
          <w:bCs/>
          <w:sz w:val="24"/>
          <w:szCs w:val="24"/>
        </w:rPr>
        <w:fldChar w:fldCharType="separate"/>
      </w:r>
      <w:r w:rsidRPr="00615E85">
        <w:rPr>
          <w:rFonts w:ascii="Times New Roman" w:hAnsi="Times New Roman"/>
          <w:b/>
          <w:bCs/>
          <w:noProof/>
          <w:sz w:val="24"/>
          <w:szCs w:val="24"/>
        </w:rPr>
        <w:t>2</w:t>
      </w:r>
      <w:bookmarkEnd w:id="22"/>
      <w:r w:rsidRPr="00615E85">
        <w:rPr>
          <w:rFonts w:ascii="Times New Roman" w:hAnsi="Times New Roman"/>
          <w:b/>
          <w:bCs/>
          <w:sz w:val="24"/>
          <w:szCs w:val="24"/>
        </w:rPr>
        <w:fldChar w:fldCharType="end"/>
      </w:r>
    </w:p>
    <w:p w14:paraId="0243AE68" w14:textId="77777777" w:rsidR="00B72231" w:rsidRPr="00615E85" w:rsidRDefault="00B72231" w:rsidP="00B72231">
      <w:pPr>
        <w:spacing w:line="480" w:lineRule="auto"/>
        <w:rPr>
          <w:rFonts w:ascii="Times New Roman" w:hAnsi="Times New Roman"/>
          <w:i/>
          <w:iCs/>
          <w:sz w:val="24"/>
          <w:szCs w:val="24"/>
          <w:lang w:eastAsia="en-US"/>
        </w:rPr>
      </w:pPr>
      <w:r w:rsidRPr="00615E85">
        <w:rPr>
          <w:rFonts w:ascii="Times New Roman" w:hAnsi="Times New Roman"/>
          <w:i/>
          <w:iCs/>
          <w:sz w:val="24"/>
          <w:szCs w:val="24"/>
          <w:lang w:eastAsia="en-US"/>
        </w:rPr>
        <w:t>Thematic map of themes and subthemes of Prison-based DTC Experiences</w:t>
      </w:r>
    </w:p>
    <w:p w14:paraId="79866D7F" w14:textId="77777777" w:rsidR="00B72231" w:rsidRPr="00615E85" w:rsidRDefault="00B72231" w:rsidP="004B5EE9">
      <w:pPr>
        <w:ind w:firstLine="567"/>
        <w:rPr>
          <w:rFonts w:ascii="Times New Roman" w:hAnsi="Times New Roman"/>
          <w:sz w:val="24"/>
          <w:szCs w:val="24"/>
          <w:lang w:eastAsia="en-US"/>
        </w:rPr>
      </w:pPr>
      <w:r w:rsidRPr="00615E85">
        <w:rPr>
          <w:rFonts w:ascii="Times New Roman" w:hAnsi="Times New Roman"/>
          <w:noProof/>
          <w:sz w:val="24"/>
          <w:szCs w:val="24"/>
        </w:rPr>
        <w:drawing>
          <wp:inline distT="0" distB="0" distL="0" distR="0" wp14:anchorId="32304DB5" wp14:editId="0221EE8D">
            <wp:extent cx="5429250" cy="3724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355" t="19992" r="21618" b="6802"/>
                    <a:stretch/>
                  </pic:blipFill>
                  <pic:spPr bwMode="auto">
                    <a:xfrm>
                      <a:off x="0" y="0"/>
                      <a:ext cx="5441366" cy="3732507"/>
                    </a:xfrm>
                    <a:prstGeom prst="rect">
                      <a:avLst/>
                    </a:prstGeom>
                    <a:ln>
                      <a:noFill/>
                    </a:ln>
                    <a:extLst>
                      <a:ext uri="{53640926-AAD7-44D8-BBD7-CCE9431645EC}">
                        <a14:shadowObscured xmlns:a14="http://schemas.microsoft.com/office/drawing/2010/main"/>
                      </a:ext>
                    </a:extLst>
                  </pic:spPr>
                </pic:pic>
              </a:graphicData>
            </a:graphic>
          </wp:inline>
        </w:drawing>
      </w:r>
    </w:p>
    <w:p w14:paraId="3523974D" w14:textId="77777777" w:rsidR="00B72231" w:rsidRPr="00615E85" w:rsidRDefault="00B72231" w:rsidP="003850C0">
      <w:pPr>
        <w:pStyle w:val="Heading3"/>
        <w:numPr>
          <w:ilvl w:val="0"/>
          <w:numId w:val="0"/>
        </w:numPr>
        <w:ind w:left="1021" w:hanging="1021"/>
        <w:rPr>
          <w:rFonts w:ascii="Times New Roman" w:hAnsi="Times New Roman" w:cs="Times New Roman"/>
          <w:i/>
          <w:iCs/>
          <w:sz w:val="24"/>
          <w:szCs w:val="24"/>
        </w:rPr>
      </w:pPr>
      <w:bookmarkStart w:id="23" w:name="_Toc176391401"/>
      <w:r w:rsidRPr="00615E85">
        <w:rPr>
          <w:rFonts w:ascii="Times New Roman" w:hAnsi="Times New Roman" w:cs="Times New Roman"/>
          <w:i/>
          <w:iCs/>
          <w:sz w:val="24"/>
          <w:szCs w:val="24"/>
        </w:rPr>
        <w:t>Theme 1: The Importance of Safety in the Therapeutic Environment</w:t>
      </w:r>
      <w:bookmarkEnd w:id="23"/>
    </w:p>
    <w:p w14:paraId="3170409C" w14:textId="77777777"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 xml:space="preserve">The importance of safety was highlighted in studies as foundational towards engaging in DTC therapy. The DTC is characteristically illustrated as a contained safe space created by both the TC set-up and the members of the community. Whilst this was achieved for some residents, other residents reported opposing experiences. Factors for the diversity of experiences appeared to be due to changes in structure and the coming together of a range of </w:t>
      </w:r>
      <w:r w:rsidRPr="00615E85">
        <w:rPr>
          <w:rFonts w:ascii="Times New Roman" w:hAnsi="Times New Roman"/>
          <w:sz w:val="24"/>
          <w:szCs w:val="24"/>
          <w:lang w:eastAsia="en-US"/>
        </w:rPr>
        <w:lastRenderedPageBreak/>
        <w:t>individuals with different offending backgrounds and ethnic origins. The following subthemes explore resident’s experiences of the physical environment and those encompassing relational safety with peers and staff.</w:t>
      </w:r>
    </w:p>
    <w:p w14:paraId="3A6B8022" w14:textId="77777777" w:rsidR="00B72231" w:rsidRPr="00615E85" w:rsidRDefault="00B72231" w:rsidP="003850C0">
      <w:pPr>
        <w:pStyle w:val="Heading4"/>
        <w:numPr>
          <w:ilvl w:val="0"/>
          <w:numId w:val="0"/>
        </w:numPr>
        <w:ind w:left="1134" w:hanging="1134"/>
        <w:rPr>
          <w:rFonts w:ascii="Times New Roman" w:hAnsi="Times New Roman" w:cs="Times New Roman"/>
          <w:b w:val="0"/>
          <w:bCs/>
          <w:i/>
          <w:sz w:val="24"/>
        </w:rPr>
      </w:pPr>
      <w:bookmarkStart w:id="24" w:name="_Toc176391402"/>
      <w:r w:rsidRPr="00615E85">
        <w:rPr>
          <w:rFonts w:ascii="Times New Roman" w:hAnsi="Times New Roman" w:cs="Times New Roman"/>
          <w:b w:val="0"/>
          <w:bCs/>
          <w:i/>
          <w:sz w:val="24"/>
        </w:rPr>
        <w:t xml:space="preserve">Subtheme 1: </w:t>
      </w:r>
      <w:bookmarkStart w:id="25" w:name="_Hlk166687852"/>
      <w:r w:rsidRPr="00615E85">
        <w:rPr>
          <w:rFonts w:ascii="Times New Roman" w:hAnsi="Times New Roman" w:cs="Times New Roman"/>
          <w:b w:val="0"/>
          <w:bCs/>
          <w:i/>
          <w:sz w:val="24"/>
        </w:rPr>
        <w:t>Establishing Safety in the Physical Environment</w:t>
      </w:r>
      <w:bookmarkEnd w:id="24"/>
      <w:bookmarkEnd w:id="25"/>
    </w:p>
    <w:p w14:paraId="491F5B90"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DTC invites a range of serious offenders to live together. Given the level of risk involved, the environment appears paramount to ensuring residents feel comfortable and secure enough to live as part of the community:</w:t>
      </w:r>
    </w:p>
    <w:p w14:paraId="53087A87"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‘individuals convicted of sexual offences were more likely to engage in treatment if they perceived the prison environment to be safe.’(Author, Duncan et al., 2022)</w:t>
      </w:r>
    </w:p>
    <w:p w14:paraId="0751775F" w14:textId="094749B5"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Some residents expressed concern regarding access to amenities, impacting on their ability to sustain through therapy. This was compared to mainstream facilities, which residents in one study appeared to have found more accommodating than those of the DTC:</w:t>
      </w:r>
    </w:p>
    <w:p w14:paraId="1ED42E44" w14:textId="28AD8F6B" w:rsidR="00B72231" w:rsidRPr="00615E85" w:rsidRDefault="00B72231" w:rsidP="003850C0">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‘Conditions we live in: sanitation facilities, lack of amenities or upkeep…Other prisons stay on top of all infrastructure faults… here they aren’t so complaints get in the way of therapy’ (Resident, Sullivan, 2006)</w:t>
      </w:r>
    </w:p>
    <w:p w14:paraId="4CFFBA9F"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authors in another study reflected on the importance of residents’ nutrition and the impact a poor diet could have on resident’s mood and subsequent behaviours (Sullivan, 2007).</w:t>
      </w:r>
    </w:p>
    <w:p w14:paraId="09A75063"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Whilst some residents were dissatisfied with provisions, others appeared surprised at what the DTC offered. The creation of normality, in providing living spaces like bedrooms and gardens, were beneficial in increasing a sense of comfort and homeliness:</w:t>
      </w:r>
    </w:p>
    <w:p w14:paraId="72C3ABA5"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 xml:space="preserve">‘I felt a bit on edge… I've come down here and I’ve unpacked straight away, put all my stuff in my cell, made it a bit like a bedroom as much as I can.  (Resident,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xml:space="preserve">, 2020). </w:t>
      </w:r>
    </w:p>
    <w:p w14:paraId="579CD64C"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Alongside facilities, the structure of DTC therapy appeared pertinent in creating a predictable routine for residents. Residents felt contained by DTC boundaries. Boundaries served to enable residents to engage freely and feel safe that the community would manage challenging, volatile behaviour if displayed. The possibility of exclusion from the DTC, for violent behaviour provided peace of mind. </w:t>
      </w:r>
    </w:p>
    <w:p w14:paraId="36D5F71A"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‘everyone knows like the constitution up there […] the boundaries up there helped me be comfortable and take on board what other people were saying (Resident, Ross &amp; Auty, 2018) </w:t>
      </w:r>
    </w:p>
    <w:p w14:paraId="497583F3"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There’s bullying in every prison, but a lot less here because of the structure and challenging’(Resident, Sullivan, 2007). </w:t>
      </w:r>
    </w:p>
    <w:p w14:paraId="3C53E382"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Alongside boundaries implemented by the DTC, one study commented on the skills residents learnt through DTC programme, which enabled them to manage their emotions and aggression. This had potential in maintaining the safe environment for all residents, whilst equipping residents with the skills needed to manage long term:</w:t>
      </w:r>
    </w:p>
    <w:p w14:paraId="794BD115"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‘Linked to this was developing new skills to manage the material …this included developing their perspective taking skills and alternative viewpoints, which can be difficult to those prone to black and white thinking’ (Author, Akerman &amp; Geraghty, 2016). </w:t>
      </w:r>
    </w:p>
    <w:p w14:paraId="6CA1112E"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Whilst residents noted positives in safety management, two studies highlighted residents who had doubts about the competence of staff, in adhering to boundaries pertaining </w:t>
      </w:r>
      <w:r w:rsidRPr="00615E85">
        <w:rPr>
          <w:rFonts w:ascii="Times New Roman" w:hAnsi="Times New Roman"/>
          <w:sz w:val="24"/>
          <w:szCs w:val="24"/>
        </w:rPr>
        <w:lastRenderedPageBreak/>
        <w:t>to bad behaviour of other residents. They also questioned staff’s commitment in keeping the community secure. Being unaware of how to contain small-therapy groups were similarly commented on. This may have led residents to feel uncontained and uncared for, given their concerns were perceived to not be taken seriously:</w:t>
      </w:r>
    </w:p>
    <w:p w14:paraId="7A1D09F8"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 will say to [staff] I will be sat in the office…someone will be doing something, and I’ll go well why is that happening… they won’t do what they’re supposed to.’ (Resident, Duncan et al., 2022)</w:t>
      </w:r>
    </w:p>
    <w:p w14:paraId="47145D77"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‘Well sometimes the facilitators don’t deal with the structure as they are supposed to’ (Resident, Dolan, 2017)</w:t>
      </w:r>
    </w:p>
    <w:p w14:paraId="73526722"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One study discussed the impact of high turnover of staff. This may have been disruptive to the consistency of resident’s therapy, given the frequent changes experienced. Taken with the above, this highlights how much staff are integral to the facilitation of safety and the overall therapeutic process:</w:t>
      </w:r>
    </w:p>
    <w:p w14:paraId="3B4B7970" w14:textId="77777777" w:rsidR="00B72231" w:rsidRPr="00615E85" w:rsidRDefault="00B72231" w:rsidP="00B72231">
      <w:pPr>
        <w:pStyle w:val="Quote"/>
        <w:spacing w:line="480" w:lineRule="auto"/>
        <w:rPr>
          <w:rFonts w:ascii="Times New Roman" w:hAnsi="Times New Roman" w:cs="Times New Roman"/>
          <w:i w:val="0"/>
          <w:iCs w:val="0"/>
          <w:color w:val="auto"/>
          <w:sz w:val="24"/>
          <w:szCs w:val="24"/>
        </w:rPr>
      </w:pPr>
      <w:r w:rsidRPr="00615E85">
        <w:rPr>
          <w:rFonts w:ascii="Times New Roman" w:hAnsi="Times New Roman" w:cs="Times New Roman"/>
          <w:color w:val="auto"/>
          <w:sz w:val="24"/>
          <w:szCs w:val="24"/>
        </w:rPr>
        <w:t>‘There has been changes in the uniformed staff as well which makes a big change because you have got to discuss your personal issues your private issues…with one personal officer and (then another) again’ (Resident, Dolan, 2017)</w:t>
      </w:r>
    </w:p>
    <w:p w14:paraId="597EA1B7" w14:textId="4BBA139E" w:rsidR="00B72231" w:rsidRPr="00615E85" w:rsidRDefault="00B72231" w:rsidP="003850C0">
      <w:pPr>
        <w:pStyle w:val="Heading4"/>
        <w:numPr>
          <w:ilvl w:val="0"/>
          <w:numId w:val="0"/>
        </w:numPr>
        <w:spacing w:line="480" w:lineRule="auto"/>
        <w:ind w:left="1134" w:hanging="1134"/>
        <w:rPr>
          <w:rFonts w:ascii="Times New Roman" w:hAnsi="Times New Roman" w:cs="Times New Roman"/>
          <w:b w:val="0"/>
          <w:bCs/>
          <w:i/>
          <w:iCs w:val="0"/>
          <w:sz w:val="24"/>
        </w:rPr>
      </w:pPr>
      <w:bookmarkStart w:id="26" w:name="_Toc176391403"/>
      <w:r w:rsidRPr="00615E85">
        <w:rPr>
          <w:rFonts w:ascii="Times New Roman" w:hAnsi="Times New Roman" w:cs="Times New Roman"/>
          <w:b w:val="0"/>
          <w:bCs/>
          <w:i/>
          <w:iCs w:val="0"/>
          <w:sz w:val="24"/>
        </w:rPr>
        <w:t xml:space="preserve">Subtheme 2: Navigating Relational Safety and Unsafety </w:t>
      </w:r>
      <w:bookmarkEnd w:id="26"/>
    </w:p>
    <w:p w14:paraId="6A0ED620"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 xml:space="preserve">Alongside a safe physical environment was the importance of a safe relational network, to promote residents’ sense of connection, belongingness, and inclusivity with peers and staff. </w:t>
      </w:r>
    </w:p>
    <w:p w14:paraId="56397200"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 xml:space="preserve">All studies commented on residents’ experiences of connection with peers within the DTC. Three studies alluded to small groups being more conducive in developing connection </w:t>
      </w:r>
      <w:r w:rsidRPr="00615E85">
        <w:rPr>
          <w:rFonts w:ascii="Times New Roman" w:hAnsi="Times New Roman"/>
          <w:sz w:val="24"/>
          <w:szCs w:val="24"/>
        </w:rPr>
        <w:lastRenderedPageBreak/>
        <w:t xml:space="preserve">and trust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 whereas one study acknowledged the whole group’s role in this process:</w:t>
      </w:r>
    </w:p>
    <w:p w14:paraId="74D744C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Style w:val="QuoteChar"/>
          <w:rFonts w:ascii="Times New Roman" w:hAnsi="Times New Roman" w:cs="Times New Roman"/>
          <w:color w:val="auto"/>
          <w:sz w:val="24"/>
          <w:szCs w:val="24"/>
        </w:rPr>
        <w:t xml:space="preserve"> ‘It’s like thinking that you’re in a big family and somebody’s caring for you, somebody’s watching out for you. It is a nice warm feeling you get’ (Resident, Ross &amp; Auty, 2018)</w:t>
      </w:r>
      <w:r w:rsidRPr="00615E85">
        <w:rPr>
          <w:rFonts w:ascii="Times New Roman" w:hAnsi="Times New Roman" w:cs="Times New Roman"/>
          <w:color w:val="auto"/>
          <w:sz w:val="24"/>
          <w:szCs w:val="24"/>
        </w:rPr>
        <w:t>.</w:t>
      </w:r>
      <w:r w:rsidRPr="00615E85">
        <w:rPr>
          <w:rFonts w:ascii="Times New Roman" w:hAnsi="Times New Roman" w:cs="Times New Roman"/>
          <w:color w:val="auto"/>
          <w:sz w:val="24"/>
          <w:szCs w:val="24"/>
        </w:rPr>
        <w:br/>
      </w:r>
    </w:p>
    <w:p w14:paraId="0177BF1A"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Increasing connection included exercising acceptance of others and for who they are. This involved conveying respect for their situations (Miller et al., 2006). The impact on residents’ positivity when seen as a person, rather than a prisoner, was detailed across three studies (Dolan, 2017; Jacobs &amp; Shuker, 2019; Jones et al., 2013). The reciprocal nature of respect was further portrayed (Sullivan, 2007):</w:t>
      </w:r>
    </w:p>
    <w:p w14:paraId="69EAEC55"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‘It’s having that human contact that makes you more human…You treat people like animals then they are going to become animals. You treat them like people, they are </w:t>
      </w:r>
      <w:proofErr w:type="spellStart"/>
      <w:r w:rsidRPr="00615E85">
        <w:rPr>
          <w:rFonts w:ascii="Times New Roman" w:hAnsi="Times New Roman" w:cs="Times New Roman"/>
          <w:color w:val="auto"/>
          <w:sz w:val="24"/>
          <w:szCs w:val="24"/>
        </w:rPr>
        <w:t>gonna</w:t>
      </w:r>
      <w:proofErr w:type="spellEnd"/>
      <w:r w:rsidRPr="00615E85">
        <w:rPr>
          <w:rFonts w:ascii="Times New Roman" w:hAnsi="Times New Roman" w:cs="Times New Roman"/>
          <w:color w:val="auto"/>
          <w:sz w:val="24"/>
          <w:szCs w:val="24"/>
        </w:rPr>
        <w:t xml:space="preserve"> become people.’ (Resident, Jacobs &amp; Shuker, 2019)</w:t>
      </w:r>
    </w:p>
    <w:p w14:paraId="7479794E" w14:textId="7DE5C882"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‘Men with long histories of prolific and serious offending… may find themselves being consistently treated with respect and positive guard for the first time…after their initial wariness has subsided, [they] may repay that treatment.’ (Author, Sullivan, 2007)</w:t>
      </w:r>
    </w:p>
    <w:p w14:paraId="732F9760"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Group cohesion was highlighted to build slowly but once achieved, residents benefited from these interactions (Miller et al., 2006). Spending time with each other appeared to grow closeness and create solidarity. One study highlighted how residents celebrated others’ achievements:</w:t>
      </w:r>
    </w:p>
    <w:p w14:paraId="3D73FAB5" w14:textId="2563BA10" w:rsidR="00B72231" w:rsidRPr="00615E85" w:rsidRDefault="00B72231" w:rsidP="003850C0">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‘There’s a camaraderie between you and your group members when you are with them for a long time…you get a big buzz when you see someone complete’ (Resident, Ross &amp; Auty, 2018).</w:t>
      </w:r>
    </w:p>
    <w:p w14:paraId="2565C4A0"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 xml:space="preserve">Relationships with staff were accounted for in developing relational safety. Six studies recognised residents’ appreciation of staff for their consistent kindness and humane treatment (e.g. shaking hands, first-name introductions, welcomed into staff offices etc). This appeared significantly different from some interactions encountered in mainstream prison environments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 Miller et al., 2006; Ross &amp; Auty, 2018; Sullivan, 2007):</w:t>
      </w:r>
    </w:p>
    <w:p w14:paraId="4C3503EB"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‘how (staff) interact with inmates, their honesty, care, not taking sides, respect they show. They’re the crucial components of success’. (Resident, Sullivan, 2007)</w:t>
      </w:r>
    </w:p>
    <w:p w14:paraId="28E42763"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‘If I’m having a spill out and I’m swearing…I was just put in segregation…whereas here staff tend to say look come and sit down and talk’ (Resident, Dolan, 2017)</w:t>
      </w:r>
    </w:p>
    <w:p w14:paraId="53C7D2B6" w14:textId="77777777" w:rsidR="00B72231" w:rsidRPr="00615E85" w:rsidRDefault="00B72231" w:rsidP="00B72231">
      <w:pPr>
        <w:pStyle w:val="Normal0"/>
        <w:spacing w:line="480" w:lineRule="auto"/>
        <w:ind w:left="144" w:firstLine="576"/>
        <w:rPr>
          <w:rFonts w:ascii="Times New Roman" w:hAnsi="Times New Roman" w:cs="Times New Roman"/>
        </w:rPr>
      </w:pPr>
    </w:p>
    <w:p w14:paraId="33EB707A" w14:textId="77777777" w:rsidR="00B72231" w:rsidRPr="00615E85" w:rsidRDefault="00B72231" w:rsidP="00B72231">
      <w:pPr>
        <w:pStyle w:val="Normal0"/>
        <w:spacing w:line="480" w:lineRule="auto"/>
        <w:ind w:left="144" w:firstLine="576"/>
        <w:rPr>
          <w:rFonts w:ascii="Times New Roman" w:hAnsi="Times New Roman" w:cs="Times New Roman"/>
        </w:rPr>
      </w:pPr>
      <w:r w:rsidRPr="00615E85">
        <w:rPr>
          <w:rFonts w:ascii="Times New Roman" w:hAnsi="Times New Roman" w:cs="Times New Roman"/>
        </w:rPr>
        <w:t xml:space="preserve">In two studies, residents reported minimal conflict, with violence not being present at all: </w:t>
      </w:r>
    </w:p>
    <w:p w14:paraId="379D9BBA" w14:textId="734A151D" w:rsidR="00B72231" w:rsidRPr="00615E85" w:rsidRDefault="00B72231" w:rsidP="003850C0">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 done 33 months up there and I never saw one fist connect to anyone… So it is safe. (Resident, Ross and Auty, 2018)</w:t>
      </w:r>
    </w:p>
    <w:p w14:paraId="346BF707"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 xml:space="preserve">However, not all residents could relate to experiencing positive interactions in the DTC, with some experiencing minimal relational safety. Five studies illustrated experiences of residents who found peer relationships difficult. Some residents felt isolated in only being </w:t>
      </w:r>
      <w:r w:rsidRPr="00615E85">
        <w:rPr>
          <w:rFonts w:ascii="Times New Roman" w:hAnsi="Times New Roman"/>
          <w:sz w:val="24"/>
          <w:szCs w:val="24"/>
        </w:rPr>
        <w:lastRenderedPageBreak/>
        <w:t>able to achieve a sense of connection with those from the same background. Other residents experienced racism from peers and felt the need to accept the situation as it was, to continue with therapy in the DTC:</w:t>
      </w:r>
    </w:p>
    <w:p w14:paraId="2CF093D2"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‘[There] was one, one black person… it was only me and him .. . it was a bit hard…with regard to the cultural background, I couldn’t really link in with anyone else’ (Resident, Jones et al., 2013)</w:t>
      </w:r>
    </w:p>
    <w:p w14:paraId="2463B5A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‘Well it made me angry [receiving racist comments] but I came here for a reason so I had to swallow that’ (Resident, Jones et al., 2013)</w:t>
      </w:r>
    </w:p>
    <w:p w14:paraId="203DBE9D"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Residents convicted of sex offending experienced stigma and bullying from others and retreated from connecting. Indeed, views from one resident detailed how much they struggled to be in the presence of an offender and wanted to physically harm them. Those who received abuse from peers felt deserving of it and experienced increased shame and isolation:</w:t>
      </w:r>
    </w:p>
    <w:p w14:paraId="7BC63DC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You know we’re still sex offenders, and the people still hate us…it’s not equal at all… it’s just still that mainstream mentality. I hear it most days, you know, f******* rapist’(Resident, Duncan et al., 2022)</w:t>
      </w:r>
    </w:p>
    <w:p w14:paraId="7F3E37EA"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  ‘lad in my group who was a sex offender and I didn't know before that … when he said it… the blood had drained up on my face… I was shaking…. I was really struggling’(Resident,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xml:space="preserve">, 2020). </w:t>
      </w:r>
    </w:p>
    <w:p w14:paraId="10F406D2"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Two studies reported strained resident-staff relationships. Residents felt staff lacked the understanding of their cultural norms, behaviours and issues and unfairly challenged their use of language dialects in the DTC. Some residents felt they had to change parts of themselves or lie to fit in:</w:t>
      </w:r>
    </w:p>
    <w:p w14:paraId="7CB64EAC"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‘You know [staff] would pull you about using slang… but this isn’t slang this is Caribbean banter…. Meanwhile people using cockney they were fine…’ (Resident, Jones et al., 2013).</w:t>
      </w:r>
    </w:p>
    <w:p w14:paraId="78F51903"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‘You’ll get a group of black guys walking on the yard and they’re automatically labelled as, ‘‘ah look at them they’re back into their gang culture behaviour, loud, walking with a bit of a swagger…”. You get a number of white people walking in their group but it’s not an issue, when they do it.’ (Brookes et al.,2012)</w:t>
      </w:r>
      <w:r w:rsidRPr="00615E85" w:rsidDel="00511F00">
        <w:rPr>
          <w:rFonts w:ascii="Times New Roman" w:hAnsi="Times New Roman" w:cs="Times New Roman"/>
          <w:color w:val="auto"/>
          <w:sz w:val="24"/>
          <w:szCs w:val="24"/>
        </w:rPr>
        <w:t xml:space="preserve"> </w:t>
      </w:r>
    </w:p>
    <w:p w14:paraId="6DCD8418"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 was the only West Indian… I felt lonely and lost. I use Jamaican patois and I’ve had to change the way I talk. (Resident, Brookes et al., 2012)</w:t>
      </w:r>
    </w:p>
    <w:p w14:paraId="00517E3D"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 could tell straight away… they want you to ﬁt in with their middle-class white people.’ (Resident, Brookes et al., 2012)</w:t>
      </w:r>
    </w:p>
    <w:p w14:paraId="5164A4D4" w14:textId="77777777" w:rsidR="00B72231" w:rsidRPr="00615E85" w:rsidRDefault="00B72231" w:rsidP="00B72231">
      <w:pPr>
        <w:spacing w:line="480" w:lineRule="auto"/>
        <w:ind w:firstLine="720"/>
        <w:rPr>
          <w:rFonts w:ascii="Times New Roman" w:hAnsi="Times New Roman"/>
          <w:sz w:val="24"/>
          <w:szCs w:val="24"/>
        </w:rPr>
      </w:pPr>
      <w:r w:rsidRPr="00615E85">
        <w:rPr>
          <w:rFonts w:ascii="Times New Roman" w:hAnsi="Times New Roman"/>
          <w:sz w:val="24"/>
          <w:szCs w:val="24"/>
        </w:rPr>
        <w:t>However, Jones and colleague’s (2013) study highlight an experience of residents having members of the same religion around in the DTC, indicating a sense of connection, if not with the whole community, a small group:</w:t>
      </w:r>
    </w:p>
    <w:p w14:paraId="1D143B7A"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‘Nearly all the participants expressed that they had increased relatedness with other BME prisoners… One of the staff is Muslim ... a practicing Muslim ... oh it, it makes the atmosphere here a lot different.’ (Author/Resident, Jones et al., 2013)</w:t>
      </w:r>
    </w:p>
    <w:p w14:paraId="2C3A6CBF" w14:textId="77777777" w:rsidR="00B72231" w:rsidRPr="00615E85" w:rsidRDefault="00B72231" w:rsidP="003850C0">
      <w:pPr>
        <w:pStyle w:val="Heading3"/>
        <w:numPr>
          <w:ilvl w:val="0"/>
          <w:numId w:val="0"/>
        </w:numPr>
        <w:spacing w:line="480" w:lineRule="auto"/>
        <w:ind w:left="1021" w:hanging="1021"/>
        <w:rPr>
          <w:rFonts w:ascii="Times New Roman" w:hAnsi="Times New Roman" w:cs="Times New Roman"/>
          <w:i/>
          <w:iCs/>
          <w:sz w:val="24"/>
          <w:szCs w:val="24"/>
        </w:rPr>
      </w:pPr>
      <w:bookmarkStart w:id="27" w:name="_Toc176391404"/>
      <w:r w:rsidRPr="00615E85">
        <w:rPr>
          <w:rFonts w:ascii="Times New Roman" w:hAnsi="Times New Roman" w:cs="Times New Roman"/>
          <w:i/>
          <w:iCs/>
          <w:sz w:val="24"/>
          <w:szCs w:val="24"/>
        </w:rPr>
        <w:t>Theme 2: Opening Up to Vulnerability</w:t>
      </w:r>
      <w:bookmarkEnd w:id="27"/>
    </w:p>
    <w:p w14:paraId="586AA26B" w14:textId="3C8F8085" w:rsidR="00B72231" w:rsidRPr="00615E85" w:rsidRDefault="00B72231" w:rsidP="00B72231">
      <w:pPr>
        <w:spacing w:line="480" w:lineRule="auto"/>
        <w:ind w:firstLine="567"/>
        <w:rPr>
          <w:rFonts w:ascii="Times New Roman" w:hAnsi="Times New Roman"/>
          <w:sz w:val="24"/>
          <w:szCs w:val="24"/>
          <w:lang w:eastAsia="en-US"/>
        </w:rPr>
      </w:pPr>
      <w:r w:rsidRPr="00615E85">
        <w:rPr>
          <w:rFonts w:ascii="Times New Roman" w:hAnsi="Times New Roman"/>
          <w:sz w:val="24"/>
          <w:szCs w:val="24"/>
          <w:lang w:eastAsia="en-US"/>
        </w:rPr>
        <w:t xml:space="preserve">The act of vulnerability within the group setting required members to trust other residents and share triggering stories that could potentially result in rejection or shame. By </w:t>
      </w:r>
      <w:r w:rsidRPr="00615E85">
        <w:rPr>
          <w:rFonts w:ascii="Times New Roman" w:hAnsi="Times New Roman"/>
          <w:sz w:val="24"/>
          <w:szCs w:val="24"/>
          <w:lang w:eastAsia="en-US"/>
        </w:rPr>
        <w:lastRenderedPageBreak/>
        <w:t>doing this, residents could take away reflections that arose from other members’ ideas and perspectives. Authentically opening up to vulnerability appeared easier for some residents than others in the DTC. Experiences of unsafety alongside societal, familial, and cultural narratives carried by residents may have fed into the barriers to expression and reflection. The following subthemes depict residents’ experiences of sharing with others and the process of learning and reflecting in therapy.</w:t>
      </w:r>
    </w:p>
    <w:p w14:paraId="0DE5C435" w14:textId="77777777" w:rsidR="00B72231" w:rsidRPr="00615E85" w:rsidRDefault="00B72231" w:rsidP="003850C0">
      <w:pPr>
        <w:pStyle w:val="Heading4"/>
        <w:numPr>
          <w:ilvl w:val="0"/>
          <w:numId w:val="0"/>
        </w:numPr>
        <w:spacing w:line="480" w:lineRule="auto"/>
        <w:ind w:left="1134" w:hanging="1134"/>
        <w:rPr>
          <w:rFonts w:ascii="Times New Roman" w:hAnsi="Times New Roman" w:cs="Times New Roman"/>
          <w:b w:val="0"/>
          <w:bCs/>
          <w:i/>
          <w:iCs w:val="0"/>
          <w:sz w:val="24"/>
        </w:rPr>
      </w:pPr>
      <w:bookmarkStart w:id="28" w:name="_Toc176391405"/>
      <w:r w:rsidRPr="00615E85">
        <w:rPr>
          <w:rFonts w:ascii="Times New Roman" w:hAnsi="Times New Roman" w:cs="Times New Roman"/>
          <w:b w:val="0"/>
          <w:bCs/>
          <w:i/>
          <w:iCs w:val="0"/>
          <w:sz w:val="24"/>
        </w:rPr>
        <w:t>Subtheme 1: Sharing with Others in Therapy</w:t>
      </w:r>
      <w:bookmarkEnd w:id="28"/>
    </w:p>
    <w:p w14:paraId="42A4D6DB" w14:textId="77777777" w:rsidR="00B72231" w:rsidRPr="00615E85" w:rsidRDefault="00B72231" w:rsidP="00B72231">
      <w:pPr>
        <w:pStyle w:val="NoSpacing"/>
        <w:spacing w:line="480" w:lineRule="auto"/>
        <w:ind w:firstLine="567"/>
        <w:rPr>
          <w:rFonts w:ascii="Times New Roman" w:hAnsi="Times New Roman"/>
          <w:sz w:val="24"/>
          <w:szCs w:val="24"/>
        </w:rPr>
      </w:pPr>
      <w:r w:rsidRPr="00615E85">
        <w:rPr>
          <w:rFonts w:ascii="Times New Roman" w:hAnsi="Times New Roman"/>
          <w:sz w:val="24"/>
          <w:szCs w:val="24"/>
        </w:rPr>
        <w:t xml:space="preserve">The process of sharing appeared a vulnerable experience for many residents. Seven studies conveyed the need for residents to authentically share and have confidence to explore experiences and feelings with others, to benefit fully from DTC treatment (Akerman &amp; Geraghty, 2016;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 Miller et al., 2006; Ross &amp; Auty, 2018; Sullivan, 2007):</w:t>
      </w:r>
    </w:p>
    <w:p w14:paraId="48D372D7"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‘Participants talked of being out of their comfort zone and allowing their “masks” to come off, exposing themselves to potential ridicule by others’ (Author, Akerman &amp; Geraghty, 2016)</w:t>
      </w:r>
    </w:p>
    <w:p w14:paraId="72E96F6E"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‘I’ve talked to about stuff that I never discussed with my own family’ (Resident, Jacobs &amp; Shuker, 2019)</w:t>
      </w:r>
    </w:p>
    <w:p w14:paraId="0064BA30" w14:textId="77777777" w:rsidR="00B72231" w:rsidRPr="00615E85" w:rsidRDefault="00B72231" w:rsidP="00B72231">
      <w:pPr>
        <w:spacing w:line="480" w:lineRule="auto"/>
        <w:rPr>
          <w:rFonts w:ascii="Times New Roman" w:hAnsi="Times New Roman"/>
          <w:sz w:val="24"/>
          <w:szCs w:val="24"/>
        </w:rPr>
      </w:pPr>
      <w:r w:rsidRPr="00615E85">
        <w:rPr>
          <w:rFonts w:ascii="Times New Roman" w:hAnsi="Times New Roman"/>
          <w:sz w:val="24"/>
          <w:szCs w:val="24"/>
        </w:rPr>
        <w:br/>
        <w:t xml:space="preserve"> </w:t>
      </w:r>
      <w:r w:rsidRPr="00615E85">
        <w:rPr>
          <w:rFonts w:ascii="Times New Roman" w:hAnsi="Times New Roman"/>
          <w:sz w:val="24"/>
          <w:szCs w:val="24"/>
        </w:rPr>
        <w:tab/>
        <w:t xml:space="preserve">Four studies highlighted residents’ need to trust their peers when sharing, due to the sensitive nature of experiences (Akerman &amp; Geraghty, 2016;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w:t>
      </w:r>
    </w:p>
    <w:p w14:paraId="33477438"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 xml:space="preserve">‘Trust is huge…when you’ve got to sit with these people and talk about your own trauma and trust that they’re not going to use that against you (Resident,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2020)</w:t>
      </w:r>
    </w:p>
    <w:p w14:paraId="57424556"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Two studies showed that residents found it helpful to learn how to share by following peers’ examples:</w:t>
      </w:r>
    </w:p>
    <w:p w14:paraId="246AD6ED" w14:textId="68424C46"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‘I was thinking well he speaks… so let me speak. We’re all in the same boat… So I wasn’t alone’ (Resident, Ross &amp; Auty, 2018) </w:t>
      </w:r>
    </w:p>
    <w:p w14:paraId="31C3FE0B" w14:textId="14DF0C50" w:rsidR="00B72231" w:rsidRPr="00615E85" w:rsidRDefault="00BE4360" w:rsidP="00B72231">
      <w:pPr>
        <w:spacing w:line="480" w:lineRule="auto"/>
        <w:jc w:val="center"/>
        <w:rPr>
          <w:rFonts w:ascii="Times New Roman" w:hAnsi="Times New Roman"/>
          <w:sz w:val="24"/>
          <w:szCs w:val="24"/>
        </w:rPr>
      </w:pPr>
      <w:r w:rsidRPr="00615E85">
        <w:rPr>
          <w:rStyle w:val="QuoteChar"/>
          <w:rFonts w:ascii="Times New Roman" w:hAnsi="Times New Roman"/>
          <w:color w:val="auto"/>
          <w:sz w:val="24"/>
          <w:szCs w:val="24"/>
        </w:rPr>
        <w:t>‘</w:t>
      </w:r>
      <w:r w:rsidR="00B72231" w:rsidRPr="00615E85">
        <w:rPr>
          <w:rStyle w:val="QuoteChar"/>
          <w:rFonts w:ascii="Times New Roman" w:hAnsi="Times New Roman"/>
          <w:color w:val="auto"/>
          <w:sz w:val="24"/>
          <w:szCs w:val="24"/>
        </w:rPr>
        <w:t>By seeing other people expressing emotion, and being supported for it…, then that only encourages you to do the same.’ (Resident, Jacobs &amp; Shuker, 2019)</w:t>
      </w:r>
    </w:p>
    <w:p w14:paraId="46F5AB76"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Once residents did share, some experienced relief and comfort in having a non-judgemental, understanding platform to voice their thoughts and feelings. This meant that residents could continue to live in the community without fear that they would act out on anguishing thoughts (Dolan, 2017; Miller et al., 2006; G. E. Ross &amp; Auty, 2018):</w:t>
      </w:r>
    </w:p>
    <w:p w14:paraId="59BFA1E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‘It was important for me to speak about things that I wasn’t able to…Because of the nature of my offence… in the system it was eating me up in a way’ (Resident, Dolan, 2017)</w:t>
      </w:r>
    </w:p>
    <w:p w14:paraId="27B44663"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‘To be able to go to vulnerable places to speak about something from the past is one thing… [it] gets you into a good habit of doing it in the [present]…So instead of brushing stuff under the carpet… you’re… more willing to deal with it as it happens.’ (Resident, Ross &amp; Auty, 2018)</w:t>
      </w:r>
    </w:p>
    <w:p w14:paraId="49FD0168"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Two studies recognised residents’ desire to help others benefit from therapy and reflected on how this could help themselves too (Jacobs &amp; Shuker, 2019; Miller et al., 2006):</w:t>
      </w:r>
    </w:p>
    <w:p w14:paraId="0A2BCA87"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‘I’ve helped people in therapy and they’ve helped me, it’s a 50/50 thing, you take on board some of theirs and you off load some of yours.’ (Resident, Jacobs &amp; Shuker, 2019)</w:t>
      </w:r>
    </w:p>
    <w:p w14:paraId="4D05450E"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Group therapy exposed members to situations they may not have encountered in other settings. For example, a prisoner who experienced childhood sexual abuse was suggested by the group, to talk about his experience with a sex offender, which they hoped was beneficial:</w:t>
      </w:r>
    </w:p>
    <w:p w14:paraId="5E3703C6"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‘he would have the opportunity to communicate the ways in which victims can suffer and potentially gain an understanding of the reasons behind some sex offending.’</w:t>
      </w:r>
      <w:r w:rsidRPr="00615E85">
        <w:rPr>
          <w:rFonts w:ascii="Times New Roman" w:hAnsi="Times New Roman" w:cs="Times New Roman"/>
          <w:i w:val="0"/>
          <w:iCs w:val="0"/>
          <w:color w:val="auto"/>
          <w:sz w:val="24"/>
          <w:szCs w:val="24"/>
        </w:rPr>
        <w:t xml:space="preserve">(Author, Miller et al., 2006) </w:t>
      </w:r>
    </w:p>
    <w:p w14:paraId="7F98AD06"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For some residents, the experiences of sharing were too difficult. Some residents struggled to grasp the concept of therapy or did not see how the processes were relevant:</w:t>
      </w:r>
    </w:p>
    <w:p w14:paraId="1F32C72D"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 couldn’t understand the TC concept at all to begin with’ (Resident, Miller et al., 2006)</w:t>
      </w:r>
    </w:p>
    <w:p w14:paraId="7A0FD6E5"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Some residents struggled to trust others from childhood (Duncan et al., 2022) and within prison (Dolan, 2017). Some acknowledged that residents were ‘criminals’ who stereotypically could not be trusted (Dolan, 2017; Jacobs &amp; Shuker, 2019):</w:t>
      </w:r>
    </w:p>
    <w:p w14:paraId="4CB40F51"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‘I’m a criminal myself… I know than better to trust the buggers. Like you want me to walk into a room and start trusting them? nah they have had a life of being devious and everything’. (Resident, Dolan, 2017)</w:t>
      </w:r>
    </w:p>
    <w:p w14:paraId="32BC87A5"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Five studies illustrated residents’ fears of how they would be perceived by others.  One study highlighted residents feeling </w:t>
      </w:r>
      <w:r w:rsidRPr="00615E85">
        <w:rPr>
          <w:rStyle w:val="QuoteChar"/>
          <w:rFonts w:ascii="Times New Roman" w:hAnsi="Times New Roman"/>
          <w:sz w:val="24"/>
          <w:szCs w:val="24"/>
        </w:rPr>
        <w:t>‘childlike’</w:t>
      </w:r>
      <w:r w:rsidRPr="00615E85">
        <w:rPr>
          <w:rFonts w:ascii="Times New Roman" w:hAnsi="Times New Roman"/>
          <w:sz w:val="24"/>
          <w:szCs w:val="24"/>
        </w:rPr>
        <w:t xml:space="preserve"> in exposing vulnerability (Miller et al., 2006). The breakdown of the male masculine norms in not showing emotions was also difficult for </w:t>
      </w:r>
      <w:r w:rsidRPr="00615E85">
        <w:rPr>
          <w:rFonts w:ascii="Times New Roman" w:hAnsi="Times New Roman"/>
          <w:sz w:val="24"/>
          <w:szCs w:val="24"/>
        </w:rPr>
        <w:lastRenderedPageBreak/>
        <w:t xml:space="preserve">residents to adjust to. Residents experienced fears of losing control if they opened up (Duncan et al., 2022;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 Ross &amp; Auty, 2018):</w:t>
      </w:r>
    </w:p>
    <w:p w14:paraId="05AC8A07"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‘I should have gained a bit of strength seeing these fellas, who I would call strong characters, talking…I was thinking “they’re in bits here”. You know I didn’t really </w:t>
      </w:r>
      <w:proofErr w:type="spellStart"/>
      <w:r w:rsidRPr="00615E85">
        <w:rPr>
          <w:rFonts w:ascii="Times New Roman" w:hAnsi="Times New Roman" w:cs="Times New Roman"/>
          <w:color w:val="auto"/>
          <w:sz w:val="24"/>
          <w:szCs w:val="24"/>
        </w:rPr>
        <w:t>wanna</w:t>
      </w:r>
      <w:proofErr w:type="spellEnd"/>
      <w:r w:rsidRPr="00615E85">
        <w:rPr>
          <w:rFonts w:ascii="Times New Roman" w:hAnsi="Times New Roman" w:cs="Times New Roman"/>
          <w:color w:val="auto"/>
          <w:sz w:val="24"/>
          <w:szCs w:val="24"/>
        </w:rPr>
        <w:t xml:space="preserve"> be like that (Resident, Ross &amp; Auty, 2018)</w:t>
      </w:r>
    </w:p>
    <w:p w14:paraId="4737F427"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Three studies described how residents felt others ‘faked’ their way through therapy, thereby being disingenuous. This led them to feel duped and question their need to be genuine (Duncan et al., 2022;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 Miller et al., 2006):</w:t>
      </w:r>
    </w:p>
    <w:p w14:paraId="489E4C31"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‘(residents) pull out because they think that it’s all s***…they can’t quite get to the point where it means something to them…everyone else is being fake…you think why the f*** am I doing this? No one else is f****** doing it’ (Resident, Duncan et al., 2022)</w:t>
      </w:r>
    </w:p>
    <w:p w14:paraId="7BDDCD56"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In one study, residents expressed cultural barriers in sharing with other residents, which misaligned with familial norms of keeping stories within family boundaries:</w:t>
      </w:r>
    </w:p>
    <w:p w14:paraId="071B5EC5"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Style w:val="QuoteChar"/>
          <w:rFonts w:ascii="Times New Roman" w:hAnsi="Times New Roman" w:cs="Times New Roman"/>
          <w:i/>
          <w:iCs/>
          <w:color w:val="auto"/>
          <w:sz w:val="24"/>
          <w:szCs w:val="24"/>
        </w:rPr>
        <w:t xml:space="preserve"> 'it was hard for me because my culture played too much part, I keep things in the family…express[</w:t>
      </w:r>
      <w:proofErr w:type="spellStart"/>
      <w:r w:rsidRPr="00615E85">
        <w:rPr>
          <w:rStyle w:val="QuoteChar"/>
          <w:rFonts w:ascii="Times New Roman" w:hAnsi="Times New Roman" w:cs="Times New Roman"/>
          <w:i/>
          <w:iCs/>
          <w:color w:val="auto"/>
          <w:sz w:val="24"/>
          <w:szCs w:val="24"/>
        </w:rPr>
        <w:t>ing</w:t>
      </w:r>
      <w:proofErr w:type="spellEnd"/>
      <w:r w:rsidRPr="00615E85">
        <w:rPr>
          <w:rStyle w:val="QuoteChar"/>
          <w:rFonts w:ascii="Times New Roman" w:hAnsi="Times New Roman" w:cs="Times New Roman"/>
          <w:i/>
          <w:iCs/>
          <w:color w:val="auto"/>
          <w:sz w:val="24"/>
          <w:szCs w:val="24"/>
        </w:rPr>
        <w:t>] your feelings, what’s going on in your family…it’s like you have broken the code of the family’ (Resident, Jones et al., 2013)</w:t>
      </w:r>
      <w:r w:rsidRPr="00615E85">
        <w:rPr>
          <w:rFonts w:ascii="Times New Roman" w:hAnsi="Times New Roman" w:cs="Times New Roman"/>
          <w:color w:val="auto"/>
          <w:sz w:val="24"/>
          <w:szCs w:val="24"/>
        </w:rPr>
        <w:t xml:space="preserve"> </w:t>
      </w:r>
    </w:p>
    <w:p w14:paraId="400F6F3A" w14:textId="701D7C44"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perceived inability for residents to bring their authentic selves to the DTC, for fear they would not be understood (Jacobs &amp; Shuker, 2019) or shut down when expressing thoughts about sensitive topics (e.g. racism) was also evident (Brookes et al., 2012; Jones et al., 2013):</w:t>
      </w:r>
    </w:p>
    <w:p w14:paraId="2B2ADEBC"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‘You are judged straight away…I feel that they don’t really understand where I’m coming from…they’re not letting me still be black, they’re not letting me still have my culture, and they’re trying to take that away from me.’ (Resident, Brookes et al., 2012)</w:t>
      </w:r>
    </w:p>
    <w:p w14:paraId="26AFA3E5"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Four studies highlighted residents’ opinions of staff not being fully involved or invested in therapeutic processes, as staff are generally expected to be, in a ‘flattened hierarchy’ DTC. This left residents reluctant to engage given the perceived unfairness of the process </w:t>
      </w:r>
      <w:r w:rsidRPr="00615E85">
        <w:rPr>
          <w:rFonts w:ascii="Times New Roman" w:hAnsi="Times New Roman"/>
          <w:sz w:val="24"/>
          <w:szCs w:val="24"/>
          <w:lang w:val="fr-FR"/>
        </w:rPr>
        <w:t>(</w:t>
      </w:r>
      <w:proofErr w:type="spellStart"/>
      <w:r w:rsidRPr="00615E85">
        <w:rPr>
          <w:rFonts w:ascii="Times New Roman" w:hAnsi="Times New Roman"/>
          <w:sz w:val="24"/>
          <w:szCs w:val="24"/>
          <w:lang w:val="fr-FR"/>
        </w:rPr>
        <w:t>Brookes</w:t>
      </w:r>
      <w:proofErr w:type="spellEnd"/>
      <w:r w:rsidRPr="00615E85">
        <w:rPr>
          <w:rFonts w:ascii="Times New Roman" w:hAnsi="Times New Roman"/>
          <w:sz w:val="24"/>
          <w:szCs w:val="24"/>
          <w:lang w:val="fr-FR"/>
        </w:rPr>
        <w:t xml:space="preserve"> et al., 2012; Duncan et al., 2022; Miller et al., 2006; Sullivan, 2006):</w:t>
      </w:r>
    </w:p>
    <w:p w14:paraId="3B2F5A9D"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Style w:val="QuoteChar"/>
          <w:rFonts w:ascii="Times New Roman" w:hAnsi="Times New Roman" w:cs="Times New Roman"/>
          <w:color w:val="auto"/>
          <w:sz w:val="24"/>
          <w:szCs w:val="24"/>
        </w:rPr>
        <w:t>‘(Staff) don’t like you challenging them. It’s about you, not about them…you’re (staff) part of the community, so you should be up for challenging as much as we are, so I challenged them and they didn’t like it.’ (Resident, Duncan et al., 2022)</w:t>
      </w:r>
    </w:p>
    <w:p w14:paraId="22B40B62" w14:textId="77777777" w:rsidR="00B72231" w:rsidRPr="00615E85" w:rsidRDefault="00B72231" w:rsidP="00BE4360">
      <w:pPr>
        <w:pStyle w:val="Heading4"/>
        <w:numPr>
          <w:ilvl w:val="0"/>
          <w:numId w:val="0"/>
        </w:numPr>
        <w:ind w:left="1134" w:hanging="1134"/>
        <w:rPr>
          <w:rFonts w:ascii="Times New Roman" w:hAnsi="Times New Roman" w:cs="Times New Roman"/>
          <w:b w:val="0"/>
          <w:bCs/>
          <w:i/>
          <w:iCs w:val="0"/>
          <w:sz w:val="24"/>
        </w:rPr>
      </w:pPr>
      <w:bookmarkStart w:id="29" w:name="_Toc176391406"/>
      <w:r w:rsidRPr="00615E85">
        <w:rPr>
          <w:rFonts w:ascii="Times New Roman" w:hAnsi="Times New Roman" w:cs="Times New Roman"/>
          <w:b w:val="0"/>
          <w:bCs/>
          <w:i/>
          <w:iCs w:val="0"/>
          <w:sz w:val="24"/>
        </w:rPr>
        <w:t>Subtheme 2: Learning and Reflecting Through Therapy</w:t>
      </w:r>
      <w:bookmarkEnd w:id="29"/>
    </w:p>
    <w:p w14:paraId="702579FA"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Sharing with peers in therapy appeared to enable residents to acknowledge their past and understand why they offend, increasing their levels of self-awareness. This was again, an exposing and vulnerable process for many residents. Four studies highlighted how residents felt therapy was slow and time-consuming, but beneficial for progress and growth (Jacobs &amp; Shuker, 2019; Jones et al., 2013; Miller et al., 2006; Ross &amp; Auty, 2018):  </w:t>
      </w:r>
    </w:p>
    <w:p w14:paraId="68C561AE"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‘you have to take it step-by-step . . . there’s a lot to take in . . .’ and: ‘I expected more at the start, but I soon realised that things took time’. (Resident, Miller et al., 2006)</w:t>
      </w:r>
    </w:p>
    <w:p w14:paraId="774145C5"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Five studies highlighted that gaining feedback from others on things they brought to therapy, was an enlightening process for some residents. It appeared to help them understand </w:t>
      </w:r>
      <w:r w:rsidRPr="00615E85">
        <w:rPr>
          <w:rFonts w:ascii="Times New Roman" w:hAnsi="Times New Roman"/>
          <w:sz w:val="24"/>
          <w:szCs w:val="24"/>
        </w:rPr>
        <w:lastRenderedPageBreak/>
        <w:t xml:space="preserve">themselves and situations clearly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xml:space="preserve">, 2020; Miller et al., 2006; Ross &amp; Auty, 2018). Feedback also helped to inform and reflect on decisions made in the DTC: </w:t>
      </w:r>
    </w:p>
    <w:p w14:paraId="1E1E968C"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‘other residents and TC therapy staff helped him ﬁnd the ‘pieces’, but that it was up to himself to put the pieces together and see the ‘full picture’’ (Author, Miller et al., 2006)</w:t>
      </w:r>
    </w:p>
    <w:p w14:paraId="168235A1"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‘It took me quite a while…over a year of twenty-one people telling me “what!?!” “that’s not ok”…it took quite a while to think “could it be me – could I be in the wrong here’ (Resident, Ross &amp; Auty, 2018)</w:t>
      </w:r>
    </w:p>
    <w:p w14:paraId="1C5020E1"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‘they’ve said listen, you’re hanging around with the wrong person here, you need to look at why he’s hanging around with you…this fella is going to drag you down (Resident,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2020)</w:t>
      </w:r>
    </w:p>
    <w:p w14:paraId="490A24D7"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Six studies highlighted how residents were able to reflect on how aspects of their childhood had shaped their behaviours in adulthood. Some residents acknowledged similarities to their peer’s experiences, which appeared uncomfortable and revealing, but allowed for viewing themselves from different perspectives (Akerman &amp; Geraghty, 2016; Brookes et al., 2012; Dolan, 2017; Jacobs &amp; Shuker, 2019; Miller et al., 2006; Ross &amp; Auty, 2018):</w:t>
      </w:r>
    </w:p>
    <w:p w14:paraId="2534226D"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‘Another man talked about the signiﬁcance of ﬁnding out that his childhood [influenced] the way he lived…as an adult. He referred to this as ‘making a link’… about how it helped him understand… a ‘part of myself that has been hidden for a long time’.(Author and Resident, Miller et al., 2006)</w:t>
      </w:r>
    </w:p>
    <w:p w14:paraId="5C196CAA"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‘And hearing people talk, how they follow the pattern…well 90% of their lifestyle their upbringings have been so parallel with mine’ (Resident, Dolan, 2017)</w:t>
      </w:r>
    </w:p>
    <w:p w14:paraId="566A9105"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They were also exposed to how past relationships were being played out within the DTC, which sometimes were impactful on staff (Ross &amp; Auty, 2018): </w:t>
      </w:r>
    </w:p>
    <w:p w14:paraId="514A4FCC"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‘...their relationships with staff and community members would mirror difficult relationships in their life, helping them reflect on repeating patterns…staff were “quite happy to suffer through transference” (Author, Ross and Auty, 2018)</w:t>
      </w:r>
    </w:p>
    <w:p w14:paraId="2AE41CED"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Three studies illustrated how residents used therapy to reflect upon the impacts their offences they committed had on their victims and families and the need to make a conscious decision to not reoffend (Brookes et al., 2012; Dolan, 2017; Sullivan, 2007). </w:t>
      </w:r>
    </w:p>
    <w:p w14:paraId="0C368572"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‘You’ve got to think about other people – if you don’t think about other people you’re not going to care about yourself and then you’re going to create more victims’ (Resident, Brookes et al., 2012)</w:t>
      </w:r>
    </w:p>
    <w:p w14:paraId="22AA159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‘Equally important is the ability to understand the consequences of one’s actions, to develop victim empathy, to take responsibility for one’s actions and not to justify one’s criminal behaviours’ (Author, Sullivan, 2007)</w:t>
      </w:r>
    </w:p>
    <w:p w14:paraId="720C38DE"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These experiences are difficult and three studies highlighted residents, who found the process overwhelming and shaming (Akerman &amp; Geraghty, 2016; Jacobs &amp; Shuker, 2019; Sullivan, 2006). Some residents drew upon strategies to manage difficult feelings, including overeating, humour and making inferior comparisons to other residents (Akerman &amp; Geraghty, 2016).</w:t>
      </w:r>
    </w:p>
    <w:p w14:paraId="59EEA11F"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lastRenderedPageBreak/>
        <w:t>‘…therapy can encourage group members to face reality which evokes feelings of shame, guilt and self-loathing (Author, Akerman &amp; Geraghty, 2016)</w:t>
      </w:r>
    </w:p>
    <w:p w14:paraId="32A8017F"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Residents acknowledged how helpful it was reflecting upon how their mind works and </w:t>
      </w:r>
    </w:p>
    <w:p w14:paraId="724E39CE" w14:textId="77777777" w:rsidR="00B72231" w:rsidRPr="00615E85" w:rsidRDefault="00B72231" w:rsidP="00B72231">
      <w:pPr>
        <w:spacing w:line="480" w:lineRule="auto"/>
        <w:rPr>
          <w:rFonts w:ascii="Times New Roman" w:hAnsi="Times New Roman"/>
          <w:sz w:val="24"/>
          <w:szCs w:val="24"/>
        </w:rPr>
      </w:pPr>
      <w:r w:rsidRPr="00615E85">
        <w:rPr>
          <w:rFonts w:ascii="Times New Roman" w:hAnsi="Times New Roman"/>
          <w:sz w:val="24"/>
          <w:szCs w:val="24"/>
        </w:rPr>
        <w:t>learning more about themselves in the present:</w:t>
      </w:r>
    </w:p>
    <w:p w14:paraId="3E0C776B"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Another reason for being at Grendon is so I can learn a bit about myself, why I do these things, to try and change my thought process and my behaviour to a better way. To stop doing things that make me end up in trouble (Brookes et al., 2012).</w:t>
      </w:r>
    </w:p>
    <w:p w14:paraId="7F4E06C7"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For some residents, reflecting on self-development and change appeared difficult. This may highlight difficulties or unwillingness in exercising introspection (Miller et al., 2006; Ross &amp; Auty, 2018): </w:t>
      </w:r>
    </w:p>
    <w:p w14:paraId="6F67085C" w14:textId="77777777" w:rsidR="00B72231" w:rsidRPr="00615E85" w:rsidRDefault="00B72231" w:rsidP="00B72231">
      <w:pPr>
        <w:pStyle w:val="Quote"/>
        <w:spacing w:line="480" w:lineRule="auto"/>
        <w:rPr>
          <w:rFonts w:ascii="Times New Roman" w:hAnsi="Times New Roman" w:cs="Times New Roman"/>
          <w:color w:val="auto"/>
          <w:sz w:val="24"/>
          <w:szCs w:val="24"/>
        </w:rPr>
      </w:pPr>
      <w:r w:rsidRPr="00615E85">
        <w:rPr>
          <w:rFonts w:ascii="Times New Roman" w:hAnsi="Times New Roman" w:cs="Times New Roman"/>
          <w:color w:val="auto"/>
          <w:sz w:val="24"/>
          <w:szCs w:val="24"/>
        </w:rPr>
        <w:t>‘Sometimes, in your own situation you can’t see the wood for the trees but you can see the same stuff for other people – it’s easier. I don’t think you want to see if in yourself.’ (Resident, Ross &amp; Auty, 2018)</w:t>
      </w:r>
    </w:p>
    <w:p w14:paraId="5EB8AC3A" w14:textId="77777777" w:rsidR="00B72231" w:rsidRPr="00615E85" w:rsidRDefault="00B72231" w:rsidP="00BE4360">
      <w:pPr>
        <w:pStyle w:val="Heading3"/>
        <w:numPr>
          <w:ilvl w:val="0"/>
          <w:numId w:val="0"/>
        </w:numPr>
        <w:ind w:left="1021" w:hanging="1021"/>
        <w:rPr>
          <w:rFonts w:ascii="Times New Roman" w:hAnsi="Times New Roman" w:cs="Times New Roman"/>
          <w:i/>
          <w:iCs/>
          <w:sz w:val="24"/>
          <w:szCs w:val="24"/>
        </w:rPr>
      </w:pPr>
      <w:bookmarkStart w:id="30" w:name="_Toc176391407"/>
      <w:r w:rsidRPr="00615E85">
        <w:rPr>
          <w:rFonts w:ascii="Times New Roman" w:hAnsi="Times New Roman" w:cs="Times New Roman"/>
          <w:i/>
          <w:iCs/>
          <w:sz w:val="24"/>
          <w:szCs w:val="24"/>
        </w:rPr>
        <w:t>Theme 3: Life Within and Beyond the DTC</w:t>
      </w:r>
      <w:bookmarkEnd w:id="30"/>
    </w:p>
    <w:p w14:paraId="6DB4222E" w14:textId="6956ED98"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DTC ultimately allowed residents to explore other perspectives, including a chance to experience what life could be like, if they engaged in personal development and change. Alongside residents sharing and expressing themselves in the group, DTC therapy promoted opportunities to safely engage with external organisations and learn new skills. For some residents, learning life skills appeared integral to fostering growth, agency and independence whilst they completed their time in the DTC.  </w:t>
      </w:r>
    </w:p>
    <w:p w14:paraId="32903B3E"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lastRenderedPageBreak/>
        <w:t xml:space="preserve">Three studies acknowledged the opportunities of roles (e.g. TC jobs) on giving residents a sense of purpose and responsibility that evolved over time. (Dolan, 2017; Jacobs &amp; Shuker, 2019;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2020).</w:t>
      </w:r>
    </w:p>
    <w:p w14:paraId="623D8F2A"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‘…I was amazed at the sort of inclusion that the prisoners have and there's certain jobs that you can get that in a way helps that process along with the individual’ (Resident,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2020)</w:t>
      </w:r>
    </w:p>
    <w:p w14:paraId="6EAA2FB2"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‘Being trusted with responsibility was… hugely important in terms of changing behaviour…many had never previously had any type of job, or responsibility…this led to increased feelings of self-worth’ (Author, Dolan, 2017) </w:t>
      </w:r>
    </w:p>
    <w:p w14:paraId="11F4C005" w14:textId="77777777" w:rsidR="00B72231" w:rsidRPr="00615E85" w:rsidRDefault="00B72231" w:rsidP="00B72231">
      <w:pPr>
        <w:pStyle w:val="Normal0"/>
        <w:rPr>
          <w:rFonts w:ascii="Times New Roman" w:hAnsi="Times New Roman" w:cs="Times New Roman"/>
        </w:rPr>
      </w:pPr>
    </w:p>
    <w:p w14:paraId="75773922"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One study acknowledged the potential for residents to assist staff in recruitment for DTC employees, which was a novel experience. They reflected on opportunities to engage with external institutions and charities:</w:t>
      </w:r>
    </w:p>
    <w:p w14:paraId="79D7CBD4"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‘We do a lot here [in Grendon]…It's not about just being locked up 23 hours a day…and attending [mainstream prison] work. …there's a lot more social engagement here with the outside’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xml:space="preserve">, 2020). </w:t>
      </w:r>
    </w:p>
    <w:p w14:paraId="66B3753B"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Whilst some residents perceived work opportunities as beneficial, other residents commented on how jobs detracted from engagement in ‘real’ therapy:</w:t>
      </w:r>
    </w:p>
    <w:p w14:paraId="0DA543F6"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‘Why can’t it just be the work? . . . Why does there have to be stuff like rep jobs and jobs thrown into the mix to test you, I don’t see that as therapeutic, it kind of is challenging my thought process of therapy.’ (Resident, Duncan et al., 2022)</w:t>
      </w:r>
    </w:p>
    <w:p w14:paraId="182CDA95" w14:textId="77777777" w:rsidR="00B72231" w:rsidRPr="00615E85" w:rsidRDefault="00B72231" w:rsidP="00B72231">
      <w:pPr>
        <w:pStyle w:val="Normal0"/>
        <w:rPr>
          <w:rFonts w:ascii="Times New Roman" w:hAnsi="Times New Roman" w:cs="Times New Roman"/>
        </w:rPr>
      </w:pPr>
    </w:p>
    <w:p w14:paraId="0BCA5209"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ability to engage with family members on family days at the DTC, which they found positive and necessary (Sullivan, 2007):</w:t>
      </w:r>
    </w:p>
    <w:p w14:paraId="6BB9D6D1"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‘Visits occupy a place of great importance to men in prison and to long-serving prisoners in particular’ (Author, Sullivan, 2007)</w:t>
      </w:r>
      <w:r w:rsidRPr="00615E85">
        <w:rPr>
          <w:rFonts w:ascii="Times New Roman" w:hAnsi="Times New Roman" w:cs="Times New Roman"/>
          <w:color w:val="auto"/>
          <w:sz w:val="24"/>
          <w:szCs w:val="24"/>
        </w:rPr>
        <w:br/>
      </w:r>
    </w:p>
    <w:p w14:paraId="53730EEE"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lastRenderedPageBreak/>
        <w:t>Family appeared to be a motivating factor for residents in three studies, offering opportunities of hope in the future (Akerman &amp; Geraghty, 2016; Miller et al., 2006; Ross &amp; Auty, 2018):</w:t>
      </w:r>
    </w:p>
    <w:p w14:paraId="001095CF"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‘My family spurs me on and motivates me. [This is]…part of my transition of who I want to become’ (Resident, Akerman &amp; Geraghty, 2016).</w:t>
      </w:r>
    </w:p>
    <w:p w14:paraId="174FD568" w14:textId="77777777" w:rsidR="00B72231" w:rsidRPr="00615E85" w:rsidRDefault="00B72231" w:rsidP="00B72231">
      <w:pPr>
        <w:spacing w:line="480" w:lineRule="auto"/>
        <w:rPr>
          <w:rFonts w:ascii="Times New Roman" w:hAnsi="Times New Roman"/>
          <w:sz w:val="24"/>
          <w:szCs w:val="24"/>
        </w:rPr>
      </w:pPr>
      <w:r w:rsidRPr="00615E85">
        <w:rPr>
          <w:rFonts w:ascii="Times New Roman" w:hAnsi="Times New Roman"/>
          <w:sz w:val="24"/>
          <w:szCs w:val="24"/>
        </w:rPr>
        <w:br/>
        <w:t xml:space="preserve"> </w:t>
      </w:r>
      <w:r w:rsidRPr="00615E85">
        <w:rPr>
          <w:rFonts w:ascii="Times New Roman" w:hAnsi="Times New Roman"/>
          <w:sz w:val="24"/>
          <w:szCs w:val="24"/>
        </w:rPr>
        <w:tab/>
        <w:t>When asked about the future, one study illustrated residents’ acknowledgement that life in the ‘real world’ would be difficult:</w:t>
      </w:r>
    </w:p>
    <w:p w14:paraId="6CBABAE4"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 xml:space="preserve">I have to understand and acknowledge, the first two years…when I'm released.. I will be a vulnerable human being… …I just have to acknowledge that actually…, I've got lots of faults… [there’s still more] I’ve got to learn.  (Resident, </w:t>
      </w:r>
      <w:proofErr w:type="spellStart"/>
      <w:r w:rsidRPr="00615E85">
        <w:rPr>
          <w:rFonts w:ascii="Times New Roman" w:hAnsi="Times New Roman" w:cs="Times New Roman"/>
          <w:color w:val="auto"/>
          <w:sz w:val="24"/>
          <w:szCs w:val="24"/>
        </w:rPr>
        <w:t>Kontosthenous</w:t>
      </w:r>
      <w:proofErr w:type="spellEnd"/>
      <w:r w:rsidRPr="00615E85">
        <w:rPr>
          <w:rFonts w:ascii="Times New Roman" w:hAnsi="Times New Roman" w:cs="Times New Roman"/>
          <w:color w:val="auto"/>
          <w:sz w:val="24"/>
          <w:szCs w:val="24"/>
        </w:rPr>
        <w:t xml:space="preserve">, 2020). </w:t>
      </w:r>
    </w:p>
    <w:p w14:paraId="52A0A898"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However, four studies reflected upon residents’ concerns about reintegration with life outside of the DTC. Systemic pressures (e.g., mainstream prison culture, location, street culture, familial values) conflicting with progress made in therapy. Residents highlighted potential to inevitably revert back to ‘old’ ways of behaving to fit into their environment (Brookes et al., 2012; Jones et al., 2013; </w:t>
      </w:r>
      <w:proofErr w:type="spellStart"/>
      <w:r w:rsidRPr="00615E85">
        <w:rPr>
          <w:rFonts w:ascii="Times New Roman" w:hAnsi="Times New Roman"/>
          <w:sz w:val="24"/>
          <w:szCs w:val="24"/>
        </w:rPr>
        <w:t>Kontosthenous</w:t>
      </w:r>
      <w:proofErr w:type="spellEnd"/>
      <w:r w:rsidRPr="00615E85">
        <w:rPr>
          <w:rFonts w:ascii="Times New Roman" w:hAnsi="Times New Roman"/>
          <w:sz w:val="24"/>
          <w:szCs w:val="24"/>
        </w:rPr>
        <w:t xml:space="preserve">, 2020). </w:t>
      </w:r>
    </w:p>
    <w:p w14:paraId="7870A8E8"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t>‘If I was to adapt to the way therapy expect me to adapt…do my therapy and address my offending behaviour, if I was to go back within my culture that would be a problem.’ (Resident, Jones et al; 2013)</w:t>
      </w:r>
    </w:p>
    <w:p w14:paraId="150CB662" w14:textId="77777777" w:rsidR="00B72231" w:rsidRPr="00615E85" w:rsidRDefault="00B72231" w:rsidP="00B72231">
      <w:pPr>
        <w:pStyle w:val="Quote"/>
        <w:rPr>
          <w:rFonts w:ascii="Times New Roman" w:hAnsi="Times New Roman" w:cs="Times New Roman"/>
          <w:color w:val="auto"/>
          <w:sz w:val="24"/>
          <w:szCs w:val="24"/>
        </w:rPr>
      </w:pPr>
      <w:r w:rsidRPr="00615E85">
        <w:rPr>
          <w:rFonts w:ascii="Times New Roman" w:hAnsi="Times New Roman" w:cs="Times New Roman"/>
          <w:color w:val="auto"/>
          <w:sz w:val="24"/>
          <w:szCs w:val="24"/>
        </w:rPr>
        <w:br/>
        <w:t xml:space="preserve">‘returning to mainstream is a problem because people will think you are over-analysing everything, that you’ve gone soft… so, do you try and tell them you’ve changed or hide it?’ (Resident, Miller et al., 2006). </w:t>
      </w:r>
    </w:p>
    <w:p w14:paraId="23BD88DF" w14:textId="77777777" w:rsidR="00B72231" w:rsidRPr="00615E85" w:rsidRDefault="00B72231" w:rsidP="00BE4360">
      <w:pPr>
        <w:pStyle w:val="Heading2"/>
        <w:numPr>
          <w:ilvl w:val="0"/>
          <w:numId w:val="0"/>
        </w:numPr>
        <w:ind w:left="851" w:hanging="851"/>
        <w:rPr>
          <w:rFonts w:ascii="Times New Roman" w:hAnsi="Times New Roman" w:cs="Times New Roman"/>
          <w:sz w:val="24"/>
        </w:rPr>
      </w:pPr>
      <w:bookmarkStart w:id="31" w:name="_Toc176391408"/>
      <w:r w:rsidRPr="00615E85">
        <w:rPr>
          <w:rFonts w:ascii="Times New Roman" w:hAnsi="Times New Roman" w:cs="Times New Roman"/>
          <w:sz w:val="24"/>
        </w:rPr>
        <w:t>Discussion</w:t>
      </w:r>
      <w:bookmarkEnd w:id="31"/>
    </w:p>
    <w:p w14:paraId="3938A07D"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qualitative review aimed to explore residents’ experiences of prison-based DTC treatment. The results of the synthesis highlighted how safety can evolve and be borne from the DTC environment, if the structure and boundaries are adhered to by residents and staff. </w:t>
      </w:r>
      <w:r w:rsidRPr="00615E85">
        <w:rPr>
          <w:rFonts w:ascii="Times New Roman" w:hAnsi="Times New Roman"/>
          <w:sz w:val="24"/>
          <w:szCs w:val="24"/>
        </w:rPr>
        <w:lastRenderedPageBreak/>
        <w:t>The safety of the community’s relational network enhanced belongingness, respect and acceptance between residents and staff. However, residents from ethnic minority backgrounds or sex offenders struggled to integrate, with some experiencing disconnection, isolation, and racism from the community. In therapy, residents were exposed to vulnerability, in sharing experiences with others. This became easier over time for some as they learnt to trust. For other residents, the fear of being judged or misunderstood hindered this process. Residents used therapy with their peers to reflect on their life, their relationships, and offences. This was often a revealing process, but residents recognised the necessity for personal growth. Finally, residents engaged with roles both internally and externally within society as part of treatment. This appeared to develop agency, life-skills, and a sense of purpose, crucial for growth and the move away from the criminal identity to a law-abiding citizen identity (Needs &amp; Adair-</w:t>
      </w:r>
      <w:proofErr w:type="spellStart"/>
      <w:r w:rsidRPr="00615E85">
        <w:rPr>
          <w:rFonts w:ascii="Times New Roman" w:hAnsi="Times New Roman"/>
          <w:sz w:val="24"/>
          <w:szCs w:val="24"/>
        </w:rPr>
        <w:t>Stantiall</w:t>
      </w:r>
      <w:proofErr w:type="spellEnd"/>
      <w:r w:rsidRPr="00615E85">
        <w:rPr>
          <w:rFonts w:ascii="Times New Roman" w:hAnsi="Times New Roman"/>
          <w:sz w:val="24"/>
          <w:szCs w:val="24"/>
        </w:rPr>
        <w:t xml:space="preserve">, 2018). Opportunities to connect with relatives appeared to increase hope and optimism for some residents. Some residents held a more pessimistic outlook on reintegration into life outside of the DTC. Some felt their new ways of living learnt in therapy, failed to be accepted in mainstream prison or their home community, due to perceived systemic, familial, and cultural values. </w:t>
      </w:r>
    </w:p>
    <w:p w14:paraId="4C71AE35" w14:textId="631FA50F"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results of our review crucially highlighted experiences of residents from minority backgrounds who endured marginalisation and racism within the DTC. Our findings showed that sex offenders experienced similar treatment, which has been shown across prisons in general (</w:t>
      </w:r>
      <w:proofErr w:type="spellStart"/>
      <w:r w:rsidRPr="00615E85">
        <w:rPr>
          <w:rFonts w:ascii="Times New Roman" w:hAnsi="Times New Roman"/>
          <w:sz w:val="24"/>
          <w:szCs w:val="24"/>
        </w:rPr>
        <w:t>Ievins</w:t>
      </w:r>
      <w:proofErr w:type="spellEnd"/>
      <w:r w:rsidRPr="00615E85">
        <w:rPr>
          <w:rFonts w:ascii="Times New Roman" w:hAnsi="Times New Roman"/>
          <w:sz w:val="24"/>
          <w:szCs w:val="24"/>
        </w:rPr>
        <w:t xml:space="preserve"> &amp; Crewe, 2015). Bennett (2013) identifies how such narratives and power imbalances are imported into prison systems and acted upon by other residents and staff.  Such experiences hindered and halted progress in therapy. A review by Sullivan (2007) exemplifies black men’s experiences of negative stereotyping by peers and staff and lack of belonging. However, other named reasons for disengagement were language barriers, being unable to name their criminal behaviours as crimes (e.g. honour killings) and not wanting to </w:t>
      </w:r>
      <w:r w:rsidRPr="00615E85">
        <w:rPr>
          <w:rFonts w:ascii="Times New Roman" w:hAnsi="Times New Roman"/>
          <w:sz w:val="24"/>
          <w:szCs w:val="24"/>
        </w:rPr>
        <w:lastRenderedPageBreak/>
        <w:t>‘grass’ others up by naming their crimes.  These named experiences question the current generalisability of the DTC’s model ‘the quintessence of a therapeutic environment’ (Haigh, 2013, p.6). The model stipulates that all DTCs encompass five main qualities: belongingness, safety, openness, participation, and empowerment, of which some residents did not experience.</w:t>
      </w:r>
    </w:p>
    <w:p w14:paraId="4AD13A67" w14:textId="7333B8BE"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cultural dissonance hypothesis outlined by De Leon and colleagues (1993) emphasise how individuals of an ethnic minority background may struggle to integrate into a TC constructed by and for those from a majority background. Given our findings of feeling marginalised applied to sex offenders, the dissonance hypothesis can be extended to this population. Bunt and colleagues (2008) reviewed how substance-misuse TCs worldwide have adapted their practices to better fit cultural backgrounds. Suggestions for adaptations ranged from TCs incorporating religious practices in treatment, to cultural training for staff. Our findings illustrated how prison services are more diversified, (i.e., one resident appreciating the presence of a Muslim officer in the TC). A culturally informed workforce could support residents with ethnic minority backgrounds integrate successfully into the DTC (Newberry, 2010).  Further adaptations recognising faith, cultural practice could be beneficial for prison-based DTCs in improving interventions for residents, reducing cultural dissonance and increasing a positive social climate (Williams &amp; Winship, 2018). The DTC helped residents to reflect on the past and present, which appeared important in instigating behavioural change (Bennett, 2013). Stevens (2012) illustrated how residents practiced creating and connecting to a different version of themselves which required vulnerability and openness to do so effectively. Residents appeared to learn that looking back at the past provided a pathway forward towards developing a ‘new’ self that fits coherently with their ideas of a valued life. Again, our findings showed there were some residents who found engagement with this process difficult. Residents may not have experienced what being vulnerable was like, </w:t>
      </w:r>
      <w:r w:rsidRPr="00615E85">
        <w:rPr>
          <w:rFonts w:ascii="Times New Roman" w:hAnsi="Times New Roman"/>
          <w:sz w:val="24"/>
          <w:szCs w:val="24"/>
        </w:rPr>
        <w:lastRenderedPageBreak/>
        <w:t>inadvertently make therapy feel threatening (</w:t>
      </w:r>
      <w:proofErr w:type="spellStart"/>
      <w:r w:rsidRPr="00615E85">
        <w:rPr>
          <w:rFonts w:ascii="Times New Roman" w:hAnsi="Times New Roman"/>
          <w:sz w:val="24"/>
          <w:szCs w:val="24"/>
        </w:rPr>
        <w:t>Ayonrinde</w:t>
      </w:r>
      <w:proofErr w:type="spellEnd"/>
      <w:r w:rsidRPr="00615E85">
        <w:rPr>
          <w:rFonts w:ascii="Times New Roman" w:hAnsi="Times New Roman"/>
          <w:sz w:val="24"/>
          <w:szCs w:val="24"/>
        </w:rPr>
        <w:t>, 2003). Residents also expressed a loss of masculinity, making them appear ‘weaker’. Crewe et al., (2014, p.67) illustrates how prisons have ‘emotion zones’ to allow residents to temporarily halt the bravado and express vulnerability where needed. Group counselling programmes like ‘The Inside Circle Programme’ in a mainstream prison in Massachusetts work similarly to small group therapy in the DTC (Karp, 2010).  More opportunities to practice</w:t>
      </w:r>
      <w:r w:rsidR="000F460B" w:rsidRPr="00615E85">
        <w:rPr>
          <w:rFonts w:ascii="Times New Roman" w:hAnsi="Times New Roman"/>
          <w:sz w:val="24"/>
          <w:szCs w:val="24"/>
        </w:rPr>
        <w:t xml:space="preserve"> elements of these ideas</w:t>
      </w:r>
      <w:r w:rsidRPr="00615E85">
        <w:rPr>
          <w:rFonts w:ascii="Times New Roman" w:hAnsi="Times New Roman"/>
          <w:sz w:val="24"/>
          <w:szCs w:val="24"/>
        </w:rPr>
        <w:t xml:space="preserve"> within DTCs may be beneficial. Mainstream prisons c</w:t>
      </w:r>
      <w:r w:rsidR="000F460B" w:rsidRPr="00615E85">
        <w:rPr>
          <w:rFonts w:ascii="Times New Roman" w:hAnsi="Times New Roman"/>
          <w:sz w:val="24"/>
          <w:szCs w:val="24"/>
        </w:rPr>
        <w:t>ould</w:t>
      </w:r>
      <w:r w:rsidRPr="00615E85">
        <w:rPr>
          <w:rFonts w:ascii="Times New Roman" w:hAnsi="Times New Roman"/>
          <w:sz w:val="24"/>
          <w:szCs w:val="24"/>
        </w:rPr>
        <w:t xml:space="preserve"> further work to</w:t>
      </w:r>
      <w:r w:rsidR="000F460B" w:rsidRPr="00615E85">
        <w:rPr>
          <w:rFonts w:ascii="Times New Roman" w:hAnsi="Times New Roman"/>
          <w:sz w:val="24"/>
          <w:szCs w:val="24"/>
        </w:rPr>
        <w:t xml:space="preserve"> embed some of these principles, for example with staff encouraging residents to speak about their difficulties confidentially on a 1-1 or voluntary small peer-group basis (Ramesh, 2023). </w:t>
      </w:r>
      <w:r w:rsidRPr="00615E85">
        <w:rPr>
          <w:rFonts w:ascii="Times New Roman" w:hAnsi="Times New Roman"/>
          <w:sz w:val="24"/>
          <w:szCs w:val="24"/>
        </w:rPr>
        <w:t xml:space="preserve"> </w:t>
      </w:r>
      <w:r w:rsidR="000F460B" w:rsidRPr="00615E85">
        <w:rPr>
          <w:rFonts w:ascii="Times New Roman" w:hAnsi="Times New Roman"/>
          <w:sz w:val="24"/>
          <w:szCs w:val="24"/>
        </w:rPr>
        <w:t xml:space="preserve">This </w:t>
      </w:r>
      <w:r w:rsidRPr="00615E85">
        <w:rPr>
          <w:rFonts w:ascii="Times New Roman" w:hAnsi="Times New Roman"/>
          <w:sz w:val="24"/>
          <w:szCs w:val="24"/>
        </w:rPr>
        <w:t>can help enable systemic change, enabling men to break barriers of toxic masculinity.</w:t>
      </w:r>
    </w:p>
    <w:p w14:paraId="57BA52CA"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opportunity to hold responsibility and engage in wider societal events appeared key to the growth of residents. Shuker (2022) acknowledges that this is one of the many parts towards encouraging togetherness and empowerment. Residents were additionally able connect with family members through family events. This has been shown to strengthen family bonds and help with successful community integration (Folk et al., 2019). Bridging the gap between prison and society means residents are better placed to move forward and build better lives (Whiteford, 2000). However, our findings indicated ethnic minority residents worried about difficulties reintegrating back into community life. These were similarly documented in research, with uncontrollable systemic factors (e.g. social stigma, access to services etc) being key barriers (Buck et al., 2022). Healy’s (2014) research on desistence in offenders demonstrated an offender’s motivation to change depended on how valued and attainable the ‘new’ identity would be to them. A lack of support from their community or their environment to keep up their learning, likely placing them in a vulnerable position.  The DTC could implement joint-working with community interventions within the OPD pathway, to promote seamless care for residents. This could ensure they are well </w:t>
      </w:r>
      <w:r w:rsidRPr="00615E85">
        <w:rPr>
          <w:rFonts w:ascii="Times New Roman" w:hAnsi="Times New Roman"/>
          <w:sz w:val="24"/>
          <w:szCs w:val="24"/>
        </w:rPr>
        <w:lastRenderedPageBreak/>
        <w:t>equipped and able to continue working on self-development and minimise the risk of repeat reoffending once completed DTC therapy (</w:t>
      </w:r>
      <w:proofErr w:type="spellStart"/>
      <w:r w:rsidRPr="00615E85">
        <w:rPr>
          <w:rFonts w:ascii="Times New Roman" w:hAnsi="Times New Roman"/>
          <w:sz w:val="24"/>
          <w:szCs w:val="24"/>
        </w:rPr>
        <w:t>Chouhy</w:t>
      </w:r>
      <w:proofErr w:type="spellEnd"/>
      <w:r w:rsidRPr="00615E85">
        <w:rPr>
          <w:rFonts w:ascii="Times New Roman" w:hAnsi="Times New Roman"/>
          <w:sz w:val="24"/>
          <w:szCs w:val="24"/>
        </w:rPr>
        <w:t xml:space="preserve"> et al., 2020; Logan &amp; Ramsden, 2015). </w:t>
      </w:r>
    </w:p>
    <w:p w14:paraId="2206F344" w14:textId="467AD5DD"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Taken together, the results of this synthesis suggest prison-based DTC employees may benefit from further training to inform practice. Training, and reflective practice could enhance connection and engagement with residents. The Boundary Seesaw Model, developed by Hamilton (2010) within forensic settings, exemplifies the idea that staff can hold specific roles. These may include: a ‘controller’ (who is more controlled, less flexible towards residents), a ‘pacifier’ (who is over-involved and too flexible) or a ‘negotiator’ (who holds consistent boundaries but exercises appropriate and necessary flexibility). From our findings, it appeared that most staff in a DTC fit the ‘negotiator’ role, as staff treated some residents with respect and equality. However, our findings also showed some residents may have felt staff fit into more ‘controller’ roles, when perceived as unwilling to participate in therapeutic processes (Duncan et al., 2022). An opportunity to reflect on how this model fits within DTC communities and could potentially</w:t>
      </w:r>
      <w:r w:rsidR="000F460B" w:rsidRPr="00615E85">
        <w:rPr>
          <w:rFonts w:ascii="Times New Roman" w:hAnsi="Times New Roman"/>
          <w:sz w:val="24"/>
          <w:szCs w:val="24"/>
        </w:rPr>
        <w:t xml:space="preserve"> filter</w:t>
      </w:r>
      <w:r w:rsidRPr="00615E85">
        <w:rPr>
          <w:rFonts w:ascii="Times New Roman" w:hAnsi="Times New Roman"/>
          <w:sz w:val="24"/>
          <w:szCs w:val="24"/>
        </w:rPr>
        <w:t xml:space="preserve"> down to inform residents as they become more autonomous within the DTC, may build an informed therapeutic environment. This could serve to increase shared learning between residents and staff; a principle that is pivotal to the values of the OPD Pathway (</w:t>
      </w:r>
      <w:proofErr w:type="spellStart"/>
      <w:r w:rsidRPr="00615E85">
        <w:rPr>
          <w:rFonts w:ascii="Times New Roman" w:hAnsi="Times New Roman"/>
          <w:sz w:val="24"/>
          <w:szCs w:val="24"/>
        </w:rPr>
        <w:t>Skett</w:t>
      </w:r>
      <w:proofErr w:type="spellEnd"/>
      <w:r w:rsidRPr="00615E85">
        <w:rPr>
          <w:rFonts w:ascii="Times New Roman" w:hAnsi="Times New Roman"/>
          <w:sz w:val="24"/>
          <w:szCs w:val="24"/>
        </w:rPr>
        <w:t xml:space="preserve"> &amp; Lewis, 2019). </w:t>
      </w:r>
    </w:p>
    <w:p w14:paraId="7FAF300C" w14:textId="77777777" w:rsidR="00B72231" w:rsidRPr="00615E85" w:rsidRDefault="00B72231" w:rsidP="00BE4360">
      <w:pPr>
        <w:pStyle w:val="Heading3"/>
        <w:numPr>
          <w:ilvl w:val="0"/>
          <w:numId w:val="0"/>
        </w:numPr>
        <w:ind w:left="1021" w:hanging="1021"/>
        <w:rPr>
          <w:rFonts w:ascii="Times New Roman" w:hAnsi="Times New Roman" w:cs="Times New Roman"/>
          <w:i/>
          <w:iCs/>
          <w:sz w:val="24"/>
          <w:szCs w:val="24"/>
        </w:rPr>
      </w:pPr>
      <w:bookmarkStart w:id="32" w:name="_Toc176391409"/>
      <w:r w:rsidRPr="00615E85">
        <w:rPr>
          <w:rFonts w:ascii="Times New Roman" w:hAnsi="Times New Roman" w:cs="Times New Roman"/>
          <w:i/>
          <w:iCs/>
          <w:sz w:val="24"/>
          <w:szCs w:val="24"/>
        </w:rPr>
        <w:t>Strengths and Limitations</w:t>
      </w:r>
      <w:bookmarkEnd w:id="32"/>
    </w:p>
    <w:p w14:paraId="7ED32CF9" w14:textId="13F12EA2"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The current review included studies that captured a range of residents’ voices, providing a broader picture into their experiences. The review also searched and included grey literature, which helped reduce publication bias (Mahood et al., 2014). Most studies were conducted by employees of prison DTCs, which may have influenced the validity of answers given by residents and how results were interpretated and written up by authors. The results of the quality assessment  highlight how future qualitative research could benefit from </w:t>
      </w:r>
      <w:r w:rsidRPr="00615E85">
        <w:rPr>
          <w:rFonts w:ascii="Times New Roman" w:hAnsi="Times New Roman"/>
          <w:sz w:val="24"/>
          <w:szCs w:val="24"/>
        </w:rPr>
        <w:lastRenderedPageBreak/>
        <w:t xml:space="preserve">more reflexivity from authors and more thorough reporting of methods and analysis plans, to increase transparency. </w:t>
      </w:r>
    </w:p>
    <w:p w14:paraId="06714CF7" w14:textId="1D5816A4"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The sample of this review was limited to male residents across all eleven papers. As such, there remains an inherent lack of research pertaining to DTC treatment experiences of women (Richardson &amp; Zini, 2021).</w:t>
      </w:r>
      <w:r w:rsidR="000F460B" w:rsidRPr="00615E85">
        <w:rPr>
          <w:rFonts w:ascii="Times New Roman" w:hAnsi="Times New Roman"/>
          <w:sz w:val="24"/>
          <w:szCs w:val="24"/>
        </w:rPr>
        <w:t xml:space="preserve"> </w:t>
      </w:r>
      <w:r w:rsidR="00CA3D64" w:rsidRPr="00615E85">
        <w:rPr>
          <w:rFonts w:ascii="Times New Roman" w:hAnsi="Times New Roman"/>
          <w:sz w:val="24"/>
          <w:szCs w:val="24"/>
        </w:rPr>
        <w:t>Similarly, most studies included in our review were conducted within HMP Grendon, thus lacks generalisability across other prison-based DTC settings.</w:t>
      </w:r>
      <w:r w:rsidR="00CA3D64" w:rsidRPr="00615E85">
        <w:t xml:space="preserve"> </w:t>
      </w:r>
      <w:r w:rsidRPr="00615E85">
        <w:rPr>
          <w:rFonts w:ascii="Times New Roman" w:hAnsi="Times New Roman"/>
          <w:sz w:val="24"/>
          <w:szCs w:val="24"/>
        </w:rPr>
        <w:t>Ethnographic research conducted by Stevens (2013) captured experiences of female residents within a female prison-based DTC, inclusion of which may have surfaced further insight into gender specific experiences. Our review did not include ethnographic research as the authors voice may be too integrated into findings, limiting its representativeness of the studied sample. However, future reviews may wish to consider inclusion of such studies to broaden understandings of prison-based DTC experiences. Further research and reviews into exploring resident’s experiences post-release may provide vital insights into the sustainability and longevity of prison-based DTC treatment in such populations (Stevens, 2012).</w:t>
      </w:r>
    </w:p>
    <w:p w14:paraId="43A240A0" w14:textId="77777777"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As prison-based DTCs sit within the OPD pathway, it would helpful to consider how well it integrates within the whole pathway. Evaluations on this have commenced, exploring resident and staff data quantitatively and qualitatively, over the first five years of the pathway, with initial findings looking positive (Moran et al., 2022). Future longitudinal studies and reviews, exploring experiences of the whole pathway from start to finish will be beneficial.</w:t>
      </w:r>
    </w:p>
    <w:p w14:paraId="42960A00" w14:textId="77777777" w:rsidR="00B72231" w:rsidRPr="00615E85" w:rsidRDefault="00B72231" w:rsidP="00BE4360">
      <w:pPr>
        <w:pStyle w:val="Heading3"/>
        <w:numPr>
          <w:ilvl w:val="0"/>
          <w:numId w:val="0"/>
        </w:numPr>
        <w:ind w:left="1021" w:hanging="1021"/>
        <w:rPr>
          <w:rFonts w:ascii="Times New Roman" w:hAnsi="Times New Roman" w:cs="Times New Roman"/>
          <w:i/>
          <w:iCs/>
          <w:sz w:val="24"/>
          <w:szCs w:val="24"/>
        </w:rPr>
      </w:pPr>
      <w:bookmarkStart w:id="33" w:name="_Toc176391410"/>
      <w:r w:rsidRPr="00615E85">
        <w:rPr>
          <w:rFonts w:ascii="Times New Roman" w:hAnsi="Times New Roman" w:cs="Times New Roman"/>
          <w:i/>
          <w:iCs/>
          <w:sz w:val="24"/>
          <w:szCs w:val="24"/>
        </w:rPr>
        <w:t>Conclusion</w:t>
      </w:r>
      <w:bookmarkEnd w:id="33"/>
    </w:p>
    <w:p w14:paraId="110A6D9B" w14:textId="576952EA" w:rsidR="00B72231" w:rsidRPr="00615E85" w:rsidRDefault="00B72231" w:rsidP="00B72231">
      <w:pPr>
        <w:spacing w:line="480" w:lineRule="auto"/>
        <w:ind w:firstLine="567"/>
        <w:rPr>
          <w:rFonts w:ascii="Times New Roman" w:hAnsi="Times New Roman"/>
          <w:sz w:val="24"/>
          <w:szCs w:val="24"/>
        </w:rPr>
      </w:pPr>
      <w:r w:rsidRPr="00615E85">
        <w:rPr>
          <w:rFonts w:ascii="Times New Roman" w:hAnsi="Times New Roman"/>
          <w:sz w:val="24"/>
          <w:szCs w:val="24"/>
        </w:rPr>
        <w:t xml:space="preserve">Residents’ experiences of the DTC are integral towards understanding how therapy works towards recovery and rehabilitation. The following review has captured both the highlights and the challenges residents’ experience. It remains important to recognise the </w:t>
      </w:r>
      <w:r w:rsidRPr="00615E85">
        <w:rPr>
          <w:rFonts w:ascii="Times New Roman" w:hAnsi="Times New Roman"/>
          <w:sz w:val="24"/>
          <w:szCs w:val="24"/>
        </w:rPr>
        <w:lastRenderedPageBreak/>
        <w:t>intricacies within resident populations, which may result in some feeling unsafe and disconnected from the community. The review further shows there is a need for culturally informed and adapted practices to help those from minoritized background integrate into the community. Furthermore, inherent systemic barriers may prevent some residents from accessing opportunities and support in the future once they have completed DTC treatment. Further training, awareness, and joint working within the Offenders Personality Disorder Pathway (</w:t>
      </w:r>
      <w:proofErr w:type="spellStart"/>
      <w:r w:rsidRPr="00615E85">
        <w:rPr>
          <w:rFonts w:ascii="Times New Roman" w:hAnsi="Times New Roman"/>
          <w:sz w:val="24"/>
          <w:szCs w:val="24"/>
        </w:rPr>
        <w:t>Skett</w:t>
      </w:r>
      <w:proofErr w:type="spellEnd"/>
      <w:r w:rsidRPr="00615E85">
        <w:rPr>
          <w:rFonts w:ascii="Times New Roman" w:hAnsi="Times New Roman"/>
          <w:sz w:val="24"/>
          <w:szCs w:val="24"/>
        </w:rPr>
        <w:t xml:space="preserve"> &amp; Lewis, 2019) may help support such residents in future.</w:t>
      </w:r>
    </w:p>
    <w:p w14:paraId="581B9159" w14:textId="77777777" w:rsidR="00B72231" w:rsidRPr="00615E85" w:rsidRDefault="00B72231" w:rsidP="00B72231">
      <w:pPr>
        <w:rPr>
          <w:rFonts w:ascii="Times New Roman" w:hAnsi="Times New Roman"/>
          <w:lang w:eastAsia="en-US"/>
        </w:rPr>
      </w:pPr>
    </w:p>
    <w:p w14:paraId="34A3EC75" w14:textId="77777777" w:rsidR="00B72231" w:rsidRPr="00615E85" w:rsidRDefault="00B72231" w:rsidP="00B72231">
      <w:pPr>
        <w:pStyle w:val="Contents"/>
        <w:rPr>
          <w:rFonts w:ascii="Times New Roman" w:hAnsi="Times New Roman" w:cs="Times New Roman"/>
        </w:rPr>
      </w:pPr>
      <w:bookmarkStart w:id="34" w:name="_Toc176391411"/>
      <w:bookmarkEnd w:id="3"/>
      <w:r w:rsidRPr="00615E85">
        <w:rPr>
          <w:rFonts w:ascii="Times New Roman" w:hAnsi="Times New Roman" w:cs="Times New Roman"/>
        </w:rPr>
        <w:t>References</w:t>
      </w:r>
      <w:bookmarkEnd w:id="34"/>
    </w:p>
    <w:p w14:paraId="0FB31847"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Akerman, G. (2021). Providing Treatment in a Prison-Based Therapeutic Community for Those Who Have Committed Sexual Offences. </w:t>
      </w:r>
      <w:r w:rsidRPr="00615E85">
        <w:rPr>
          <w:rFonts w:ascii="Times New Roman" w:eastAsia="Calibri" w:hAnsi="Times New Roman"/>
          <w:i/>
          <w:iCs/>
          <w:sz w:val="24"/>
          <w:szCs w:val="24"/>
          <w:lang w:eastAsia="en-US"/>
        </w:rPr>
        <w:t>International Journal of Offender Therapy and Comparative Criminology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65</w:t>
      </w:r>
      <w:r w:rsidRPr="00615E85">
        <w:rPr>
          <w:rFonts w:ascii="Times New Roman" w:eastAsia="Calibri" w:hAnsi="Times New Roman"/>
          <w:sz w:val="24"/>
          <w:szCs w:val="24"/>
          <w:lang w:eastAsia="en-US"/>
        </w:rPr>
        <w:t>(12), 1267–1281. https://doi.org/10.1177/0306624X17752275</w:t>
      </w:r>
    </w:p>
    <w:p w14:paraId="64B7121D"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Akerman, G., &amp; Geraghty, K. A. (2016). An exploration of clients’ experiences of group therapy.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37</w:t>
      </w:r>
      <w:r w:rsidRPr="00615E85">
        <w:rPr>
          <w:rFonts w:ascii="Times New Roman" w:eastAsia="Calibri" w:hAnsi="Times New Roman"/>
          <w:sz w:val="24"/>
          <w:szCs w:val="24"/>
          <w:lang w:eastAsia="en-US"/>
        </w:rPr>
        <w:t>(2), 101–108. https://doi.org/10.1108/TC-12-2015-0026</w:t>
      </w:r>
    </w:p>
    <w:p w14:paraId="5E3ED6D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Ayonrinde</w:t>
      </w:r>
      <w:proofErr w:type="spellEnd"/>
      <w:r w:rsidRPr="00615E85">
        <w:rPr>
          <w:rFonts w:ascii="Times New Roman" w:eastAsia="Calibri" w:hAnsi="Times New Roman"/>
          <w:sz w:val="24"/>
          <w:szCs w:val="24"/>
          <w:lang w:eastAsia="en-US"/>
        </w:rPr>
        <w:t xml:space="preserve">, O. (2003). Importance of Cultural Sensitivity in Therapeutic Transactions. </w:t>
      </w:r>
      <w:r w:rsidRPr="00615E85">
        <w:rPr>
          <w:rFonts w:ascii="Times New Roman" w:eastAsia="Calibri" w:hAnsi="Times New Roman"/>
          <w:i/>
          <w:iCs/>
          <w:sz w:val="24"/>
          <w:szCs w:val="24"/>
          <w:lang w:eastAsia="en-US"/>
        </w:rPr>
        <w:t>Disease Management &amp; Health Outcomes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11</w:t>
      </w:r>
      <w:r w:rsidRPr="00615E85">
        <w:rPr>
          <w:rFonts w:ascii="Times New Roman" w:eastAsia="Calibri" w:hAnsi="Times New Roman"/>
          <w:sz w:val="24"/>
          <w:szCs w:val="24"/>
          <w:lang w:eastAsia="en-US"/>
        </w:rPr>
        <w:t>(4), 233–248. https://doi.org/10.2165/00115677-200311040-00004</w:t>
      </w:r>
    </w:p>
    <w:p w14:paraId="2BC432E5" w14:textId="77777777" w:rsidR="00B72231" w:rsidRPr="00615E85" w:rsidRDefault="00B72231" w:rsidP="00B72231">
      <w:pPr>
        <w:pStyle w:val="Bibliography"/>
        <w:rPr>
          <w:rFonts w:ascii="Times New Roman" w:hAnsi="Times New Roman"/>
          <w:sz w:val="24"/>
          <w:szCs w:val="24"/>
        </w:rPr>
      </w:pPr>
      <w:r w:rsidRPr="00615E85">
        <w:rPr>
          <w:rFonts w:ascii="Times New Roman" w:hAnsi="Times New Roman"/>
          <w:sz w:val="24"/>
          <w:szCs w:val="24"/>
        </w:rPr>
        <w:t xml:space="preserve">Beaudry, G., Yu, R., Perry, A., &amp; Fazel, S. (2021). Effectiveness of psychological </w:t>
      </w:r>
    </w:p>
    <w:p w14:paraId="20E157A8" w14:textId="77777777" w:rsidR="00B72231" w:rsidRPr="00615E85" w:rsidRDefault="00B72231" w:rsidP="00B72231">
      <w:pPr>
        <w:pStyle w:val="Bibliography"/>
        <w:ind w:firstLine="567"/>
        <w:rPr>
          <w:rFonts w:ascii="Times New Roman" w:hAnsi="Times New Roman"/>
          <w:sz w:val="24"/>
          <w:szCs w:val="24"/>
        </w:rPr>
      </w:pPr>
      <w:r w:rsidRPr="00615E85">
        <w:rPr>
          <w:rFonts w:ascii="Times New Roman" w:hAnsi="Times New Roman"/>
          <w:sz w:val="24"/>
          <w:szCs w:val="24"/>
        </w:rPr>
        <w:t xml:space="preserve">interventions in prison to reduce recidivism: A systematic review and meta-analysis of </w:t>
      </w:r>
    </w:p>
    <w:p w14:paraId="7FEC810C" w14:textId="77777777" w:rsidR="00B72231" w:rsidRPr="00615E85" w:rsidRDefault="00B72231" w:rsidP="00B72231">
      <w:pPr>
        <w:pStyle w:val="Bibliography"/>
        <w:ind w:firstLine="567"/>
        <w:rPr>
          <w:rFonts w:ascii="Times New Roman" w:hAnsi="Times New Roman"/>
          <w:sz w:val="24"/>
          <w:szCs w:val="24"/>
        </w:rPr>
      </w:pPr>
      <w:r w:rsidRPr="00615E85">
        <w:rPr>
          <w:rFonts w:ascii="Times New Roman" w:hAnsi="Times New Roman"/>
          <w:sz w:val="24"/>
          <w:szCs w:val="24"/>
        </w:rPr>
        <w:t xml:space="preserve">randomised controlled trials. </w:t>
      </w:r>
      <w:r w:rsidRPr="00615E85">
        <w:rPr>
          <w:rFonts w:ascii="Times New Roman" w:hAnsi="Times New Roman"/>
          <w:i/>
          <w:iCs/>
          <w:sz w:val="24"/>
          <w:szCs w:val="24"/>
        </w:rPr>
        <w:t>Lancet Psychiatry</w:t>
      </w:r>
      <w:r w:rsidRPr="00615E85">
        <w:rPr>
          <w:rFonts w:ascii="Times New Roman" w:hAnsi="Times New Roman"/>
          <w:sz w:val="24"/>
          <w:szCs w:val="24"/>
        </w:rPr>
        <w:t xml:space="preserve">, </w:t>
      </w:r>
      <w:r w:rsidRPr="00615E85">
        <w:rPr>
          <w:rFonts w:ascii="Times New Roman" w:hAnsi="Times New Roman"/>
          <w:i/>
          <w:iCs/>
          <w:sz w:val="24"/>
          <w:szCs w:val="24"/>
        </w:rPr>
        <w:t>8</w:t>
      </w:r>
      <w:r w:rsidRPr="00615E85">
        <w:rPr>
          <w:rFonts w:ascii="Times New Roman" w:hAnsi="Times New Roman"/>
          <w:sz w:val="24"/>
          <w:szCs w:val="24"/>
        </w:rPr>
        <w:t xml:space="preserve">(9), 759–773. </w:t>
      </w:r>
    </w:p>
    <w:p w14:paraId="2F1FB254" w14:textId="77777777" w:rsidR="00B72231" w:rsidRPr="00615E85" w:rsidRDefault="00B72231" w:rsidP="004B5EE9">
      <w:pPr>
        <w:pStyle w:val="Bibliography"/>
        <w:ind w:firstLine="567"/>
        <w:rPr>
          <w:rFonts w:ascii="Times New Roman" w:hAnsi="Times New Roman"/>
          <w:sz w:val="24"/>
          <w:szCs w:val="24"/>
        </w:rPr>
      </w:pPr>
      <w:hyperlink r:id="rId13" w:history="1">
        <w:r w:rsidRPr="00615E85">
          <w:rPr>
            <w:rStyle w:val="Hyperlink"/>
            <w:rFonts w:ascii="Times New Roman" w:eastAsiaTheme="majorEastAsia" w:hAnsi="Times New Roman"/>
            <w:sz w:val="24"/>
            <w:szCs w:val="24"/>
          </w:rPr>
          <w:t>https://doi.org/10.1016/S2215-0366(21)00170-X</w:t>
        </w:r>
      </w:hyperlink>
      <w:r w:rsidRPr="00615E85">
        <w:rPr>
          <w:rFonts w:ascii="Times New Roman" w:hAnsi="Times New Roman"/>
          <w:sz w:val="24"/>
          <w:szCs w:val="24"/>
        </w:rPr>
        <w:br/>
      </w:r>
    </w:p>
    <w:p w14:paraId="6E091BDA"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Bennett, J. (2013). Race and power: The potential and limitations of prison-based democratic therapeutic communities. </w:t>
      </w:r>
      <w:r w:rsidRPr="00615E85">
        <w:rPr>
          <w:rFonts w:ascii="Times New Roman" w:eastAsia="Calibri" w:hAnsi="Times New Roman"/>
          <w:i/>
          <w:iCs/>
          <w:sz w:val="24"/>
          <w:szCs w:val="24"/>
          <w:lang w:eastAsia="en-US"/>
        </w:rPr>
        <w:t>Race and Justice</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w:t>
      </w:r>
      <w:r w:rsidRPr="00615E85">
        <w:rPr>
          <w:rFonts w:ascii="Times New Roman" w:eastAsia="Calibri" w:hAnsi="Times New Roman"/>
          <w:sz w:val="24"/>
          <w:szCs w:val="24"/>
          <w:lang w:eastAsia="en-US"/>
        </w:rPr>
        <w:t>(2), 130–143. https://doi.org/10.1177/2153368713483323</w:t>
      </w:r>
    </w:p>
    <w:p w14:paraId="6E7E6424"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Bennett, J., &amp; Shuker, R. (2017). The potential of prison-based democratic therapeutic communities. </w:t>
      </w:r>
      <w:r w:rsidRPr="00615E85">
        <w:rPr>
          <w:rFonts w:ascii="Times New Roman" w:eastAsia="Calibri" w:hAnsi="Times New Roman"/>
          <w:i/>
          <w:iCs/>
          <w:sz w:val="24"/>
          <w:szCs w:val="24"/>
          <w:lang w:eastAsia="en-US"/>
        </w:rPr>
        <w:t>International Journal of Prisoner Health</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13</w:t>
      </w:r>
      <w:r w:rsidRPr="00615E85">
        <w:rPr>
          <w:rFonts w:ascii="Times New Roman" w:eastAsia="Calibri" w:hAnsi="Times New Roman"/>
          <w:sz w:val="24"/>
          <w:szCs w:val="24"/>
          <w:lang w:eastAsia="en-US"/>
        </w:rPr>
        <w:t>(1), 19–24. https://doi.org/10.1108/IJPH-08-2016-0036</w:t>
      </w:r>
    </w:p>
    <w:p w14:paraId="01D4B34A"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Boland, A., Cherry, M. G., &amp; Dickson, R. (2017). </w:t>
      </w:r>
      <w:r w:rsidRPr="00615E85">
        <w:rPr>
          <w:rFonts w:ascii="Times New Roman" w:eastAsia="Calibri" w:hAnsi="Times New Roman"/>
          <w:i/>
          <w:iCs/>
          <w:sz w:val="24"/>
          <w:szCs w:val="24"/>
          <w:lang w:eastAsia="en-US"/>
        </w:rPr>
        <w:t>Doing a Systematic Review: A Student’s Guide</w:t>
      </w:r>
      <w:r w:rsidRPr="00615E85">
        <w:rPr>
          <w:rFonts w:ascii="Times New Roman" w:eastAsia="Calibri" w:hAnsi="Times New Roman"/>
          <w:sz w:val="24"/>
          <w:szCs w:val="24"/>
          <w:lang w:eastAsia="en-US"/>
        </w:rPr>
        <w:t xml:space="preserve"> (2nd Edition). Sage Publications.</w:t>
      </w:r>
    </w:p>
    <w:p w14:paraId="57EEDB3F"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Brookes, M., Glynn, M., &amp; Wilson, D. (2012). Black men, therapeutic communities and HMP Grendon.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33</w:t>
      </w:r>
      <w:r w:rsidRPr="00615E85">
        <w:rPr>
          <w:rFonts w:ascii="Times New Roman" w:eastAsia="Calibri" w:hAnsi="Times New Roman"/>
          <w:sz w:val="24"/>
          <w:szCs w:val="24"/>
          <w:lang w:eastAsia="en-US"/>
        </w:rPr>
        <w:t>(1), 16–26. https://doi.org/10.1108/09641861211286294</w:t>
      </w:r>
    </w:p>
    <w:p w14:paraId="015DF707"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Buck, K., Cochran, A., Young, H., Gordon, M. J., Yuen, H. K., &amp; Tucker, S. C. (2022). The Facilitators and Barriers Faced When Transitioning Back into the Community Following a Prison Sentence. </w:t>
      </w:r>
      <w:r w:rsidRPr="00615E85">
        <w:rPr>
          <w:rFonts w:ascii="Times New Roman" w:eastAsia="Calibri" w:hAnsi="Times New Roman"/>
          <w:i/>
          <w:iCs/>
          <w:sz w:val="24"/>
          <w:szCs w:val="24"/>
          <w:lang w:eastAsia="en-US"/>
        </w:rPr>
        <w:t>International Journal of Offender Therapy and Comparative Criminology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66</w:t>
      </w:r>
      <w:r w:rsidRPr="00615E85">
        <w:rPr>
          <w:rFonts w:ascii="Times New Roman" w:eastAsia="Calibri" w:hAnsi="Times New Roman"/>
          <w:sz w:val="24"/>
          <w:szCs w:val="24"/>
          <w:lang w:eastAsia="en-US"/>
        </w:rPr>
        <w:t>(10–11), 1156–1174. https://doi.org/10.1177/0306624X211013518</w:t>
      </w:r>
    </w:p>
    <w:p w14:paraId="0CDA8AAF"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Bunt, G. C., Muehlbach, B., &amp; Moed, C. O. (2008). The Therapeutic Community: An International Perspective. </w:t>
      </w:r>
      <w:r w:rsidRPr="00615E85">
        <w:rPr>
          <w:rFonts w:ascii="Times New Roman" w:eastAsia="Calibri" w:hAnsi="Times New Roman"/>
          <w:i/>
          <w:iCs/>
          <w:sz w:val="24"/>
          <w:szCs w:val="24"/>
          <w:lang w:eastAsia="en-US"/>
        </w:rPr>
        <w:t>Substance Abuse</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29</w:t>
      </w:r>
      <w:r w:rsidRPr="00615E85">
        <w:rPr>
          <w:rFonts w:ascii="Times New Roman" w:eastAsia="Calibri" w:hAnsi="Times New Roman"/>
          <w:sz w:val="24"/>
          <w:szCs w:val="24"/>
          <w:lang w:eastAsia="en-US"/>
        </w:rPr>
        <w:t>(3), 81–87. https://doi.org/10.1080/08897070802218844</w:t>
      </w:r>
    </w:p>
    <w:p w14:paraId="37070576" w14:textId="2696C7A2"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Capone, G., Schroder, T., Clarke, S., &amp; Braham, L. (2016). Outcomes of therapeutic community treatment for personality disorder.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37</w:t>
      </w:r>
      <w:r w:rsidRPr="00615E85">
        <w:rPr>
          <w:rFonts w:ascii="Times New Roman" w:eastAsia="Calibri" w:hAnsi="Times New Roman"/>
          <w:sz w:val="24"/>
          <w:szCs w:val="24"/>
          <w:lang w:eastAsia="en-US"/>
        </w:rPr>
        <w:t>(2), 84–100.. https://doi.org/10.1108/TC-12-2015-0025</w:t>
      </w:r>
    </w:p>
    <w:p w14:paraId="23695374"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i/>
          <w:iCs/>
          <w:sz w:val="24"/>
          <w:szCs w:val="24"/>
          <w:lang w:eastAsia="en-US"/>
        </w:rPr>
        <w:t>CASP</w:t>
      </w:r>
      <w:r w:rsidRPr="00615E85">
        <w:rPr>
          <w:rFonts w:ascii="Times New Roman" w:eastAsia="Calibri" w:hAnsi="Times New Roman"/>
          <w:sz w:val="24"/>
          <w:szCs w:val="24"/>
          <w:lang w:eastAsia="en-US"/>
        </w:rPr>
        <w:t>. (2023). Critical Appraisals Checklists. https://casp-uk.net/casp-tools-checklists/</w:t>
      </w:r>
    </w:p>
    <w:p w14:paraId="1AB34131"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lastRenderedPageBreak/>
        <w:t>Chouhy</w:t>
      </w:r>
      <w:proofErr w:type="spellEnd"/>
      <w:r w:rsidRPr="00615E85">
        <w:rPr>
          <w:rFonts w:ascii="Times New Roman" w:eastAsia="Calibri" w:hAnsi="Times New Roman"/>
          <w:sz w:val="24"/>
          <w:szCs w:val="24"/>
          <w:lang w:eastAsia="en-US"/>
        </w:rPr>
        <w:t xml:space="preserve">, C., Cullen, F.T. &amp; Lee, H. A. (2020). A Social Support Theory of Desistance. </w:t>
      </w:r>
      <w:r w:rsidRPr="00615E85">
        <w:rPr>
          <w:rFonts w:ascii="Times New Roman" w:eastAsia="Calibri" w:hAnsi="Times New Roman"/>
          <w:i/>
          <w:iCs/>
          <w:sz w:val="24"/>
          <w:szCs w:val="24"/>
          <w:lang w:eastAsia="en-US"/>
        </w:rPr>
        <w:t>Journal of Developmental and Life-Course Criminology 6</w:t>
      </w:r>
      <w:r w:rsidRPr="00615E85">
        <w:rPr>
          <w:rFonts w:ascii="Times New Roman" w:eastAsia="Calibri" w:hAnsi="Times New Roman"/>
          <w:sz w:val="24"/>
          <w:szCs w:val="24"/>
          <w:lang w:eastAsia="en-US"/>
        </w:rPr>
        <w:t>(2), 204–223. https://doi.org/10.1007/s40865-020-00146-4</w:t>
      </w:r>
    </w:p>
    <w:p w14:paraId="69D8A32E"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CRD, U. of Y. (2009). </w:t>
      </w:r>
      <w:r w:rsidRPr="00615E85">
        <w:rPr>
          <w:rFonts w:ascii="Times New Roman" w:eastAsia="Calibri" w:hAnsi="Times New Roman"/>
          <w:i/>
          <w:iCs/>
          <w:sz w:val="24"/>
          <w:szCs w:val="24"/>
          <w:lang w:eastAsia="en-US"/>
        </w:rPr>
        <w:t>Centre for Reviews and Dissemination (CRD) ‘Systematic Reviews CRD’s guidance for undertaking reviews in health care’</w:t>
      </w:r>
      <w:r w:rsidRPr="00615E85">
        <w:rPr>
          <w:rFonts w:ascii="Times New Roman" w:eastAsia="Calibri" w:hAnsi="Times New Roman"/>
          <w:sz w:val="24"/>
          <w:szCs w:val="24"/>
          <w:lang w:eastAsia="en-US"/>
        </w:rPr>
        <w:t>. York Publishing Services. https://www.york.ac.uk/crd/guidance/</w:t>
      </w:r>
    </w:p>
    <w:p w14:paraId="36F9064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Crewe, B., Warr, J., Bennett, P., &amp; Smith, A. (2014). The emotional geography of prison life. </w:t>
      </w:r>
      <w:r w:rsidRPr="00615E85">
        <w:rPr>
          <w:rFonts w:ascii="Times New Roman" w:eastAsia="Calibri" w:hAnsi="Times New Roman"/>
          <w:i/>
          <w:iCs/>
          <w:sz w:val="24"/>
          <w:szCs w:val="24"/>
          <w:lang w:eastAsia="en-US"/>
        </w:rPr>
        <w:t>Theoretical Criminology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18</w:t>
      </w:r>
      <w:r w:rsidRPr="00615E85">
        <w:rPr>
          <w:rFonts w:ascii="Times New Roman" w:eastAsia="Calibri" w:hAnsi="Times New Roman"/>
          <w:sz w:val="24"/>
          <w:szCs w:val="24"/>
          <w:lang w:eastAsia="en-US"/>
        </w:rPr>
        <w:t>(1), 56–74. https://doi.org/10.1177/1362480613497778</w:t>
      </w:r>
    </w:p>
    <w:p w14:paraId="0A71F70F"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De Leon, G., Melnick, G., </w:t>
      </w:r>
      <w:proofErr w:type="spellStart"/>
      <w:r w:rsidRPr="00615E85">
        <w:rPr>
          <w:rFonts w:ascii="Times New Roman" w:eastAsia="Calibri" w:hAnsi="Times New Roman"/>
          <w:sz w:val="24"/>
          <w:szCs w:val="24"/>
          <w:lang w:eastAsia="en-US"/>
        </w:rPr>
        <w:t>Schoket</w:t>
      </w:r>
      <w:proofErr w:type="spellEnd"/>
      <w:r w:rsidRPr="00615E85">
        <w:rPr>
          <w:rFonts w:ascii="Times New Roman" w:eastAsia="Calibri" w:hAnsi="Times New Roman"/>
          <w:sz w:val="24"/>
          <w:szCs w:val="24"/>
          <w:lang w:eastAsia="en-US"/>
        </w:rPr>
        <w:t xml:space="preserve">, D., &amp; Jainchill, N. (1993). Is the Therapeutic Community Culturally Relevant? Findings on Race/Ethnic Differences in Retention in Treatment. </w:t>
      </w:r>
      <w:r w:rsidRPr="00615E85">
        <w:rPr>
          <w:rFonts w:ascii="Times New Roman" w:eastAsia="Calibri" w:hAnsi="Times New Roman"/>
          <w:i/>
          <w:iCs/>
          <w:sz w:val="24"/>
          <w:szCs w:val="24"/>
          <w:lang w:eastAsia="en-US"/>
        </w:rPr>
        <w:t>Journal of Psychoactive Drugs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25</w:t>
      </w:r>
      <w:r w:rsidRPr="00615E85">
        <w:rPr>
          <w:rFonts w:ascii="Times New Roman" w:eastAsia="Calibri" w:hAnsi="Times New Roman"/>
          <w:sz w:val="24"/>
          <w:szCs w:val="24"/>
          <w:lang w:eastAsia="en-US"/>
        </w:rPr>
        <w:t>(1), 77–86. https://doi.org/10.1080/02791072.1993.10472594</w:t>
      </w:r>
    </w:p>
    <w:p w14:paraId="511FAF3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Dolan, R. (2017). HMP Grendon therapeutic community: The residents’ perspective of the process of change.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38</w:t>
      </w:r>
      <w:r w:rsidRPr="00615E85">
        <w:rPr>
          <w:rFonts w:ascii="Times New Roman" w:eastAsia="Calibri" w:hAnsi="Times New Roman"/>
          <w:sz w:val="24"/>
          <w:szCs w:val="24"/>
          <w:lang w:eastAsia="en-US"/>
        </w:rPr>
        <w:t>(1), 23–31. https://doi.org/10.1108/TC-08-2016-0015</w:t>
      </w:r>
    </w:p>
    <w:p w14:paraId="229C1D19" w14:textId="5EFC2E3A" w:rsidR="00B72231" w:rsidRPr="00615E85" w:rsidRDefault="00B72231" w:rsidP="003850C0">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Duncan, K., Winder, B., Blagden, N., &amp; Norman, C. (2022). “I’ve Got the Energy to Change, But I Haven’t Got the Energy for This Kinda Therapy”: A Qualitative Analysis of the Motivations Behind Democratic Therapeutic Community Drop-Out for Men With Sexual Convictions. </w:t>
      </w:r>
      <w:r w:rsidRPr="00615E85">
        <w:rPr>
          <w:rFonts w:ascii="Times New Roman" w:eastAsia="Calibri" w:hAnsi="Times New Roman"/>
          <w:i/>
          <w:iCs/>
          <w:sz w:val="24"/>
          <w:szCs w:val="24"/>
          <w:lang w:eastAsia="en-US"/>
        </w:rPr>
        <w:t>International Journal of Offender Therapy and Comparative Criminology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66</w:t>
      </w:r>
      <w:r w:rsidRPr="00615E85">
        <w:rPr>
          <w:rFonts w:ascii="Times New Roman" w:eastAsia="Calibri" w:hAnsi="Times New Roman"/>
          <w:sz w:val="24"/>
          <w:szCs w:val="24"/>
          <w:lang w:eastAsia="en-US"/>
        </w:rPr>
        <w:t>(12), 1213–1236.  https://doi.org/10.1177/0306624X20956957</w:t>
      </w:r>
    </w:p>
    <w:p w14:paraId="5A151CAD"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Folk, J. B., </w:t>
      </w:r>
      <w:proofErr w:type="spellStart"/>
      <w:r w:rsidRPr="00615E85">
        <w:rPr>
          <w:rFonts w:ascii="Times New Roman" w:eastAsia="Calibri" w:hAnsi="Times New Roman"/>
          <w:sz w:val="24"/>
          <w:szCs w:val="24"/>
          <w:lang w:eastAsia="en-US"/>
        </w:rPr>
        <w:t>Stuewig</w:t>
      </w:r>
      <w:proofErr w:type="spellEnd"/>
      <w:r w:rsidRPr="00615E85">
        <w:rPr>
          <w:rFonts w:ascii="Times New Roman" w:eastAsia="Calibri" w:hAnsi="Times New Roman"/>
          <w:sz w:val="24"/>
          <w:szCs w:val="24"/>
          <w:lang w:eastAsia="en-US"/>
        </w:rPr>
        <w:t xml:space="preserve">, J., Mashek, D., Tangney, J. P., &amp; Grossmann, J. (2019). Behind Bars but Connected to Family: Evidence for the Benefits of Family Contact During Incarceration. </w:t>
      </w:r>
      <w:r w:rsidRPr="00615E85">
        <w:rPr>
          <w:rFonts w:ascii="Times New Roman" w:eastAsia="Calibri" w:hAnsi="Times New Roman"/>
          <w:i/>
          <w:iCs/>
          <w:sz w:val="24"/>
          <w:szCs w:val="24"/>
          <w:lang w:eastAsia="en-US"/>
        </w:rPr>
        <w:t>Journal of Family Psychology : JFP : Journal of the Division of Family Psychology of the American Psychological Association (Division 43)</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33</w:t>
      </w:r>
      <w:r w:rsidRPr="00615E85">
        <w:rPr>
          <w:rFonts w:ascii="Times New Roman" w:eastAsia="Calibri" w:hAnsi="Times New Roman"/>
          <w:sz w:val="24"/>
          <w:szCs w:val="24"/>
          <w:lang w:eastAsia="en-US"/>
        </w:rPr>
        <w:t>(4), 453–464. https://doi.org/10.1037/fam0000520</w:t>
      </w:r>
    </w:p>
    <w:p w14:paraId="76F9F575"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Fryer, T. (2022). A Critical Realist Approach to Thematic Analysis: Producing Causal Explanations. </w:t>
      </w:r>
      <w:r w:rsidRPr="00615E85">
        <w:rPr>
          <w:rFonts w:ascii="Times New Roman" w:eastAsia="Calibri" w:hAnsi="Times New Roman"/>
          <w:i/>
          <w:iCs/>
          <w:sz w:val="24"/>
          <w:szCs w:val="24"/>
          <w:lang w:eastAsia="en-US"/>
        </w:rPr>
        <w:t>Journal of Critical Realism, 21</w:t>
      </w:r>
      <w:r w:rsidRPr="00615E85">
        <w:rPr>
          <w:rFonts w:ascii="Times New Roman" w:eastAsia="Calibri" w:hAnsi="Times New Roman"/>
          <w:sz w:val="24"/>
          <w:szCs w:val="24"/>
          <w:lang w:eastAsia="en-US"/>
        </w:rPr>
        <w:t>(4), 365-384.</w:t>
      </w:r>
      <w:r w:rsidRPr="00615E85">
        <w:t xml:space="preserve"> </w:t>
      </w:r>
      <w:r w:rsidRPr="00615E85">
        <w:rPr>
          <w:rFonts w:ascii="Times New Roman" w:eastAsia="Calibri" w:hAnsi="Times New Roman"/>
          <w:sz w:val="24"/>
          <w:szCs w:val="24"/>
          <w:lang w:eastAsia="en-US"/>
        </w:rPr>
        <w:t>https://doi.org/10.1080/14767430.2022.2076776</w:t>
      </w:r>
    </w:p>
    <w:p w14:paraId="6E4A76D2"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Haigh, R. &amp; Benefield, N. (2019). Towards a Unified Model of Human Development. </w:t>
      </w:r>
      <w:r w:rsidRPr="00615E85">
        <w:rPr>
          <w:rFonts w:ascii="Times New Roman" w:eastAsia="Calibri" w:hAnsi="Times New Roman"/>
          <w:i/>
          <w:iCs/>
          <w:sz w:val="24"/>
          <w:szCs w:val="24"/>
          <w:lang w:eastAsia="en-US"/>
        </w:rPr>
        <w:t>Mental Health Journal Review, 24</w:t>
      </w:r>
      <w:r w:rsidRPr="00615E85">
        <w:rPr>
          <w:rFonts w:ascii="Times New Roman" w:eastAsia="Calibri" w:hAnsi="Times New Roman"/>
          <w:sz w:val="24"/>
          <w:szCs w:val="24"/>
          <w:lang w:eastAsia="en-US"/>
        </w:rPr>
        <w:t>(2), 124-132. https://doi.org/10.1108/MHRJ-11-2018-0038</w:t>
      </w:r>
    </w:p>
    <w:p w14:paraId="2FC2F07D" w14:textId="01754FF9"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Haigh, R. (2013). The quintessence of a therapeutic environment. </w:t>
      </w:r>
      <w:r w:rsidRPr="00615E85">
        <w:rPr>
          <w:rFonts w:ascii="Times New Roman" w:eastAsia="Calibri" w:hAnsi="Times New Roman"/>
          <w:i/>
          <w:iCs/>
          <w:sz w:val="24"/>
          <w:szCs w:val="24"/>
          <w:lang w:eastAsia="en-US"/>
        </w:rPr>
        <w:t>Therapeutic Communities: The International Journal of 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34</w:t>
      </w:r>
      <w:r w:rsidRPr="00615E85">
        <w:rPr>
          <w:rFonts w:ascii="Times New Roman" w:eastAsia="Calibri" w:hAnsi="Times New Roman"/>
          <w:sz w:val="24"/>
          <w:szCs w:val="24"/>
          <w:lang w:eastAsia="en-US"/>
        </w:rPr>
        <w:t>(1), 6–15. https://doi.org/10.1108/09641861311330464</w:t>
      </w:r>
    </w:p>
    <w:p w14:paraId="6490AACC"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Hamilton, L. (2010). The Boundary Seesaw Model: Good Fences Make for Good Neighbours. In </w:t>
      </w:r>
      <w:r w:rsidRPr="00615E85">
        <w:rPr>
          <w:rFonts w:ascii="Times New Roman" w:eastAsia="Calibri" w:hAnsi="Times New Roman"/>
          <w:i/>
          <w:iCs/>
          <w:sz w:val="24"/>
          <w:szCs w:val="24"/>
          <w:lang w:eastAsia="en-US"/>
        </w:rPr>
        <w:t>Using Time, Not Doing Time: Practitioner Perspectives on Personality Disorder and Risk</w:t>
      </w:r>
      <w:r w:rsidRPr="00615E85">
        <w:rPr>
          <w:rFonts w:ascii="Times New Roman" w:eastAsia="Calibri" w:hAnsi="Times New Roman"/>
          <w:sz w:val="24"/>
          <w:szCs w:val="24"/>
          <w:lang w:eastAsia="en-US"/>
        </w:rPr>
        <w:t xml:space="preserve"> (pp. 181–194). https://doi.org/10.1002/9780470710647.ch13</w:t>
      </w:r>
    </w:p>
    <w:p w14:paraId="08C7A8B9" w14:textId="0C89A6D4" w:rsidR="00B72231" w:rsidRPr="00615E85" w:rsidRDefault="00B72231" w:rsidP="00B72231">
      <w:pPr>
        <w:spacing w:before="0" w:line="480" w:lineRule="auto"/>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HMPPS. (2018). </w:t>
      </w:r>
      <w:r w:rsidRPr="00615E85">
        <w:rPr>
          <w:rFonts w:ascii="Times New Roman" w:eastAsia="Calibri" w:hAnsi="Times New Roman"/>
          <w:i/>
          <w:iCs/>
          <w:sz w:val="24"/>
          <w:szCs w:val="24"/>
          <w:lang w:eastAsia="en-US"/>
        </w:rPr>
        <w:t>Offending behaviour programmes and interventions</w:t>
      </w:r>
      <w:r w:rsidRPr="00615E85">
        <w:rPr>
          <w:rFonts w:ascii="Times New Roman" w:eastAsia="Calibri" w:hAnsi="Times New Roman"/>
          <w:sz w:val="24"/>
          <w:szCs w:val="24"/>
          <w:lang w:eastAsia="en-US"/>
        </w:rPr>
        <w:t xml:space="preserve">. https://www.gov.uk/guidance/offending-behaviour-programmes-and-interventionsIevins, A., &amp; Crewe, B. (2015). ‘Nobody’s better than you, nobody’s worse than you’: Moral </w:t>
      </w:r>
    </w:p>
    <w:p w14:paraId="6EA07E45" w14:textId="77777777" w:rsidR="00B72231" w:rsidRPr="00615E85" w:rsidRDefault="00B72231" w:rsidP="00B72231">
      <w:pPr>
        <w:spacing w:before="0" w:line="480" w:lineRule="auto"/>
        <w:ind w:firstLine="567"/>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community among prisoners convicted of sexual offences. </w:t>
      </w:r>
      <w:r w:rsidRPr="00615E85">
        <w:rPr>
          <w:rFonts w:ascii="Times New Roman" w:eastAsia="Calibri" w:hAnsi="Times New Roman"/>
          <w:i/>
          <w:iCs/>
          <w:sz w:val="24"/>
          <w:szCs w:val="24"/>
          <w:lang w:eastAsia="en-US"/>
        </w:rPr>
        <w:t>Punishment &amp; Society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17</w:t>
      </w:r>
      <w:r w:rsidRPr="00615E85">
        <w:rPr>
          <w:rFonts w:ascii="Times New Roman" w:eastAsia="Calibri" w:hAnsi="Times New Roman"/>
          <w:sz w:val="24"/>
          <w:szCs w:val="24"/>
          <w:lang w:eastAsia="en-US"/>
        </w:rPr>
        <w:t xml:space="preserve">(4), </w:t>
      </w:r>
    </w:p>
    <w:p w14:paraId="1E191EB2" w14:textId="77777777" w:rsidR="00B72231" w:rsidRPr="00615E85" w:rsidRDefault="00B72231" w:rsidP="004B5EE9">
      <w:pPr>
        <w:spacing w:before="0" w:line="480" w:lineRule="auto"/>
        <w:ind w:firstLine="567"/>
        <w:rPr>
          <w:rFonts w:ascii="Times New Roman" w:eastAsia="Calibri" w:hAnsi="Times New Roman"/>
          <w:sz w:val="24"/>
          <w:szCs w:val="24"/>
          <w:lang w:eastAsia="en-US"/>
        </w:rPr>
      </w:pPr>
      <w:r w:rsidRPr="00615E85">
        <w:rPr>
          <w:rFonts w:ascii="Times New Roman" w:eastAsia="Calibri" w:hAnsi="Times New Roman"/>
          <w:sz w:val="24"/>
          <w:szCs w:val="24"/>
          <w:lang w:eastAsia="en-US"/>
        </w:rPr>
        <w:t>482–501. https://doi.org/10.1177/1462474515603803</w:t>
      </w:r>
    </w:p>
    <w:p w14:paraId="44BB4F6E" w14:textId="77777777" w:rsidR="00B72231" w:rsidRPr="00615E85" w:rsidRDefault="00B72231" w:rsidP="00B72231">
      <w:pPr>
        <w:spacing w:before="0" w:line="480" w:lineRule="auto"/>
        <w:rPr>
          <w:rFonts w:ascii="Times New Roman" w:eastAsia="Calibri" w:hAnsi="Times New Roman"/>
          <w:sz w:val="24"/>
          <w:szCs w:val="24"/>
          <w:lang w:eastAsia="en-US"/>
        </w:rPr>
      </w:pPr>
      <w:r w:rsidRPr="00615E85">
        <w:rPr>
          <w:rFonts w:ascii="Times New Roman" w:eastAsia="Calibri" w:hAnsi="Times New Roman"/>
          <w:i/>
          <w:iCs/>
          <w:sz w:val="24"/>
          <w:szCs w:val="24"/>
          <w:lang w:eastAsia="en-US"/>
        </w:rPr>
        <w:t>International Journal of Therapeutic Communities</w:t>
      </w:r>
      <w:r w:rsidRPr="00615E85">
        <w:rPr>
          <w:rFonts w:ascii="Times New Roman" w:eastAsia="Calibri" w:hAnsi="Times New Roman"/>
          <w:sz w:val="24"/>
          <w:szCs w:val="24"/>
          <w:lang w:eastAsia="en-US"/>
        </w:rPr>
        <w:t xml:space="preserve"> (IJTC) (2023). </w:t>
      </w:r>
    </w:p>
    <w:p w14:paraId="60E314B6" w14:textId="77777777" w:rsidR="00B72231" w:rsidRPr="00615E85" w:rsidRDefault="00B72231" w:rsidP="004B5EE9">
      <w:pPr>
        <w:spacing w:before="0" w:line="480" w:lineRule="auto"/>
        <w:ind w:firstLine="567"/>
        <w:rPr>
          <w:rFonts w:ascii="Times New Roman" w:eastAsia="Calibri" w:hAnsi="Times New Roman"/>
          <w:sz w:val="24"/>
          <w:szCs w:val="24"/>
          <w:lang w:eastAsia="en-US"/>
        </w:rPr>
      </w:pPr>
      <w:r w:rsidRPr="00615E85">
        <w:rPr>
          <w:rFonts w:ascii="Times New Roman" w:eastAsia="Calibri" w:hAnsi="Times New Roman"/>
          <w:sz w:val="24"/>
          <w:szCs w:val="24"/>
          <w:lang w:eastAsia="en-US"/>
        </w:rPr>
        <w:t>https://www.emerald.com/insight/publication/issn/0964-1866</w:t>
      </w:r>
    </w:p>
    <w:p w14:paraId="029E7D96"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Jacobs, L., &amp; Shuker, R. (2019). The experiences of perpetrators of filicide participating in treatment within a prison therapeutic community.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40</w:t>
      </w:r>
      <w:r w:rsidRPr="00615E85">
        <w:rPr>
          <w:rFonts w:ascii="Times New Roman" w:eastAsia="Calibri" w:hAnsi="Times New Roman"/>
          <w:sz w:val="24"/>
          <w:szCs w:val="24"/>
          <w:lang w:eastAsia="en-US"/>
        </w:rPr>
        <w:t>(1), 66–76. https://doi.org/10.1108/TC-08-2018-0018</w:t>
      </w:r>
    </w:p>
    <w:p w14:paraId="1544937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Jasper, M. A. (2005). Using reflective writing within research. </w:t>
      </w:r>
      <w:r w:rsidRPr="00615E85">
        <w:rPr>
          <w:rFonts w:ascii="Times New Roman" w:eastAsia="Calibri" w:hAnsi="Times New Roman"/>
          <w:i/>
          <w:iCs/>
          <w:sz w:val="24"/>
          <w:szCs w:val="24"/>
          <w:lang w:eastAsia="en-US"/>
        </w:rPr>
        <w:t>Journal of Research in Nursing</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10</w:t>
      </w:r>
      <w:r w:rsidRPr="00615E85">
        <w:rPr>
          <w:rFonts w:ascii="Times New Roman" w:eastAsia="Calibri" w:hAnsi="Times New Roman"/>
          <w:sz w:val="24"/>
          <w:szCs w:val="24"/>
          <w:lang w:eastAsia="en-US"/>
        </w:rPr>
        <w:t>(3), 247–260. https://doi.org/10.1177/174498710501000303</w:t>
      </w:r>
    </w:p>
    <w:p w14:paraId="02D95FDA" w14:textId="17D1BC4E"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Jones, L., Brookes, M., &amp; Shuker, R. (2013). An Exploration of Cultural Sensitivity: The Experiences of Offenders Within a Therapeutic Community Prison. </w:t>
      </w:r>
      <w:r w:rsidRPr="00615E85">
        <w:rPr>
          <w:rFonts w:ascii="Times New Roman" w:eastAsia="Calibri" w:hAnsi="Times New Roman"/>
          <w:i/>
          <w:iCs/>
          <w:sz w:val="24"/>
          <w:szCs w:val="24"/>
          <w:lang w:eastAsia="en-US"/>
        </w:rPr>
        <w:t>The Journal of Race and Justice</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w:t>
      </w:r>
      <w:r w:rsidRPr="00615E85">
        <w:rPr>
          <w:rFonts w:ascii="Times New Roman" w:eastAsia="Calibri" w:hAnsi="Times New Roman"/>
          <w:sz w:val="24"/>
          <w:szCs w:val="24"/>
          <w:lang w:eastAsia="en-US"/>
        </w:rPr>
        <w:t xml:space="preserve">(2), 144–158. https://doi.org/10.1177/2153368713483324 </w:t>
      </w:r>
    </w:p>
    <w:p w14:paraId="683ED3BB"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Joseph, N., &amp; Benefield, N. (2012). A joint offender personality disorder pathway strategy: An outline summary. </w:t>
      </w:r>
      <w:r w:rsidRPr="00615E85">
        <w:rPr>
          <w:rFonts w:ascii="Times New Roman" w:eastAsia="Calibri" w:hAnsi="Times New Roman"/>
          <w:i/>
          <w:iCs/>
          <w:sz w:val="24"/>
          <w:szCs w:val="24"/>
          <w:lang w:eastAsia="en-US"/>
        </w:rPr>
        <w:t>Criminal Behaviour and Mental Health</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22</w:t>
      </w:r>
      <w:r w:rsidRPr="00615E85">
        <w:rPr>
          <w:rFonts w:ascii="Times New Roman" w:eastAsia="Calibri" w:hAnsi="Times New Roman"/>
          <w:sz w:val="24"/>
          <w:szCs w:val="24"/>
          <w:lang w:eastAsia="en-US"/>
        </w:rPr>
        <w:t>(3), 210–217. https://doi.org/10.1002/cbm.1835</w:t>
      </w:r>
    </w:p>
    <w:p w14:paraId="4D4DAD36"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Karp, D. R. (2010). Unlocking Men, Unmasking Masculinities: Doing Men’s Work in Prison. </w:t>
      </w:r>
      <w:r w:rsidRPr="00615E85">
        <w:rPr>
          <w:rFonts w:ascii="Times New Roman" w:eastAsia="Calibri" w:hAnsi="Times New Roman"/>
          <w:i/>
          <w:iCs/>
          <w:sz w:val="24"/>
          <w:szCs w:val="24"/>
          <w:lang w:eastAsia="en-US"/>
        </w:rPr>
        <w:t>The Journal of Men’s Studies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18</w:t>
      </w:r>
      <w:r w:rsidRPr="00615E85">
        <w:rPr>
          <w:rFonts w:ascii="Times New Roman" w:eastAsia="Calibri" w:hAnsi="Times New Roman"/>
          <w:sz w:val="24"/>
          <w:szCs w:val="24"/>
          <w:lang w:eastAsia="en-US"/>
        </w:rPr>
        <w:t>(1), 63–83. https://doi.org/10.3149/jms.1801.63</w:t>
      </w:r>
    </w:p>
    <w:p w14:paraId="37FAE04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Kennard, D. (2004). The therapeutic community as an adaptable treatment modality across different settings. </w:t>
      </w:r>
      <w:r w:rsidRPr="00615E85">
        <w:rPr>
          <w:rFonts w:ascii="Times New Roman" w:eastAsia="Calibri" w:hAnsi="Times New Roman"/>
          <w:i/>
          <w:iCs/>
          <w:sz w:val="24"/>
          <w:szCs w:val="24"/>
          <w:lang w:eastAsia="en-US"/>
        </w:rPr>
        <w:t>The Psychiatric Quarterly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75</w:t>
      </w:r>
      <w:r w:rsidRPr="00615E85">
        <w:rPr>
          <w:rFonts w:ascii="Times New Roman" w:eastAsia="Calibri" w:hAnsi="Times New Roman"/>
          <w:sz w:val="24"/>
          <w:szCs w:val="24"/>
          <w:lang w:eastAsia="en-US"/>
        </w:rPr>
        <w:t>(3), 295–307. https://doi.org/10.1023/b:psaq.0000031798.95075.26</w:t>
      </w:r>
    </w:p>
    <w:p w14:paraId="2E7A368B"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Kontosthenous</w:t>
      </w:r>
      <w:proofErr w:type="spellEnd"/>
      <w:r w:rsidRPr="00615E85">
        <w:rPr>
          <w:rFonts w:ascii="Times New Roman" w:eastAsia="Calibri" w:hAnsi="Times New Roman"/>
          <w:sz w:val="24"/>
          <w:szCs w:val="24"/>
          <w:lang w:eastAsia="en-US"/>
        </w:rPr>
        <w:t xml:space="preserve">, E. J. (2020). Intersubjectivity, Social Inclusion and Meaning Making in Prison Environments [Ph.D., University of Portsmouth (United Kingdom)]. In </w:t>
      </w:r>
      <w:r w:rsidRPr="00615E85">
        <w:rPr>
          <w:rFonts w:ascii="Times New Roman" w:eastAsia="Calibri" w:hAnsi="Times New Roman"/>
          <w:i/>
          <w:iCs/>
          <w:sz w:val="24"/>
          <w:szCs w:val="24"/>
          <w:lang w:eastAsia="en-US"/>
        </w:rPr>
        <w:t>PQDT - UK &amp; Ireland</w:t>
      </w:r>
      <w:r w:rsidRPr="00615E85">
        <w:rPr>
          <w:rFonts w:ascii="Times New Roman" w:eastAsia="Calibri" w:hAnsi="Times New Roman"/>
          <w:sz w:val="24"/>
          <w:szCs w:val="24"/>
          <w:lang w:eastAsia="en-US"/>
        </w:rPr>
        <w:t xml:space="preserve"> (2685172990). ProQuest One Academic. https://www.proquest.com/dissertations-theses/intersubjectivity-social-inclusion-meaning-making/docview/2685172990/se-2?accountid=13963</w:t>
      </w:r>
    </w:p>
    <w:p w14:paraId="218B41EC"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Logan, C., &amp; Ramsden, J. (2015). Working in partnership: Making it happen for high risk personality disordered offenders. </w:t>
      </w:r>
      <w:r w:rsidRPr="00615E85">
        <w:rPr>
          <w:rFonts w:ascii="Times New Roman" w:eastAsia="Calibri" w:hAnsi="Times New Roman"/>
          <w:i/>
          <w:iCs/>
          <w:sz w:val="24"/>
          <w:szCs w:val="24"/>
          <w:lang w:eastAsia="en-US"/>
        </w:rPr>
        <w:t>Journal of Forensic Practice</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17</w:t>
      </w:r>
      <w:r w:rsidRPr="00615E85">
        <w:rPr>
          <w:rFonts w:ascii="Times New Roman" w:eastAsia="Calibri" w:hAnsi="Times New Roman"/>
          <w:sz w:val="24"/>
          <w:szCs w:val="24"/>
          <w:lang w:eastAsia="en-US"/>
        </w:rPr>
        <w:t>(3), 1–9. https://doi.org/10.1108/JFP-03-2015-0023</w:t>
      </w:r>
    </w:p>
    <w:p w14:paraId="766CC2E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Lumivero</w:t>
      </w:r>
      <w:proofErr w:type="spellEnd"/>
      <w:r w:rsidRPr="00615E85">
        <w:rPr>
          <w:rFonts w:ascii="Times New Roman" w:eastAsia="Calibri" w:hAnsi="Times New Roman"/>
          <w:sz w:val="24"/>
          <w:szCs w:val="24"/>
          <w:lang w:eastAsia="en-US"/>
        </w:rPr>
        <w:t xml:space="preserve">. (2023). </w:t>
      </w:r>
      <w:r w:rsidRPr="00615E85">
        <w:rPr>
          <w:rFonts w:ascii="Times New Roman" w:eastAsia="Calibri" w:hAnsi="Times New Roman"/>
          <w:i/>
          <w:iCs/>
          <w:sz w:val="24"/>
          <w:szCs w:val="24"/>
          <w:lang w:eastAsia="en-US"/>
        </w:rPr>
        <w:t>NVivo (Version 14)</w:t>
      </w:r>
      <w:r w:rsidRPr="00615E85">
        <w:rPr>
          <w:rFonts w:ascii="Times New Roman" w:eastAsia="Calibri" w:hAnsi="Times New Roman"/>
          <w:sz w:val="24"/>
          <w:szCs w:val="24"/>
          <w:lang w:eastAsia="en-US"/>
        </w:rPr>
        <w:t xml:space="preserve"> (Version 14) [Computer software]. www.lumivero.com</w:t>
      </w:r>
    </w:p>
    <w:p w14:paraId="457D7B98"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Mahood, Q., Van </w:t>
      </w:r>
      <w:proofErr w:type="spellStart"/>
      <w:r w:rsidRPr="00615E85">
        <w:rPr>
          <w:rFonts w:ascii="Times New Roman" w:eastAsia="Calibri" w:hAnsi="Times New Roman"/>
          <w:sz w:val="24"/>
          <w:szCs w:val="24"/>
          <w:lang w:eastAsia="en-US"/>
        </w:rPr>
        <w:t>Eerd</w:t>
      </w:r>
      <w:proofErr w:type="spellEnd"/>
      <w:r w:rsidRPr="00615E85">
        <w:rPr>
          <w:rFonts w:ascii="Times New Roman" w:eastAsia="Calibri" w:hAnsi="Times New Roman"/>
          <w:sz w:val="24"/>
          <w:szCs w:val="24"/>
          <w:lang w:eastAsia="en-US"/>
        </w:rPr>
        <w:t xml:space="preserve">, D., &amp; Irvin, E. (2014). Searching for grey literature for systematic reviews: Challenges and benefits. </w:t>
      </w:r>
      <w:r w:rsidRPr="00615E85">
        <w:rPr>
          <w:rFonts w:ascii="Times New Roman" w:eastAsia="Calibri" w:hAnsi="Times New Roman"/>
          <w:i/>
          <w:iCs/>
          <w:sz w:val="24"/>
          <w:szCs w:val="24"/>
          <w:lang w:eastAsia="en-US"/>
        </w:rPr>
        <w:t>Research Synthesis Methods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5</w:t>
      </w:r>
      <w:r w:rsidRPr="00615E85">
        <w:rPr>
          <w:rFonts w:ascii="Times New Roman" w:eastAsia="Calibri" w:hAnsi="Times New Roman"/>
          <w:sz w:val="24"/>
          <w:szCs w:val="24"/>
          <w:lang w:eastAsia="en-US"/>
        </w:rPr>
        <w:t>(3), 221–234. https://doi.org/10.1002/jrsm.1106</w:t>
      </w:r>
    </w:p>
    <w:p w14:paraId="79FB5D3E" w14:textId="6431BE88"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Miller, S., Sees, C., &amp; Brown, J. (2006). Key Aspects of Psychological Change in Residents of a Prison Therapeutic Community: A Focus Group Approach. </w:t>
      </w:r>
      <w:r w:rsidRPr="00615E85">
        <w:rPr>
          <w:rFonts w:ascii="Times New Roman" w:eastAsia="Calibri" w:hAnsi="Times New Roman"/>
          <w:i/>
          <w:iCs/>
          <w:sz w:val="24"/>
          <w:szCs w:val="24"/>
          <w:lang w:eastAsia="en-US"/>
        </w:rPr>
        <w:t>Howard Journal of Criminal Justice</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45</w:t>
      </w:r>
      <w:r w:rsidRPr="00615E85">
        <w:rPr>
          <w:rFonts w:ascii="Times New Roman" w:eastAsia="Calibri" w:hAnsi="Times New Roman"/>
          <w:sz w:val="24"/>
          <w:szCs w:val="24"/>
          <w:lang w:eastAsia="en-US"/>
        </w:rPr>
        <w:t>(2), 116–128.. https://doi.org/10.1111/j.1468-2311.2006.00409.x</w:t>
      </w:r>
    </w:p>
    <w:p w14:paraId="3B350A5C"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Moran, P., Jarrett, M., </w:t>
      </w:r>
      <w:proofErr w:type="spellStart"/>
      <w:r w:rsidRPr="00615E85">
        <w:rPr>
          <w:rFonts w:ascii="Times New Roman" w:eastAsia="Calibri" w:hAnsi="Times New Roman"/>
          <w:sz w:val="24"/>
          <w:szCs w:val="24"/>
          <w:lang w:eastAsia="en-US"/>
        </w:rPr>
        <w:t>Vamvakas</w:t>
      </w:r>
      <w:proofErr w:type="spellEnd"/>
      <w:r w:rsidRPr="00615E85">
        <w:rPr>
          <w:rFonts w:ascii="Times New Roman" w:eastAsia="Calibri" w:hAnsi="Times New Roman"/>
          <w:sz w:val="24"/>
          <w:szCs w:val="24"/>
          <w:lang w:eastAsia="en-US"/>
        </w:rPr>
        <w:t xml:space="preserve">, G., Roberts, S., Barrett, B., Campbell, C., </w:t>
      </w:r>
      <w:proofErr w:type="spellStart"/>
      <w:r w:rsidRPr="00615E85">
        <w:rPr>
          <w:rFonts w:ascii="Times New Roman" w:eastAsia="Calibri" w:hAnsi="Times New Roman"/>
          <w:sz w:val="24"/>
          <w:szCs w:val="24"/>
          <w:lang w:eastAsia="en-US"/>
        </w:rPr>
        <w:t>Khondoker</w:t>
      </w:r>
      <w:proofErr w:type="spellEnd"/>
      <w:r w:rsidRPr="00615E85">
        <w:rPr>
          <w:rFonts w:ascii="Times New Roman" w:eastAsia="Calibri" w:hAnsi="Times New Roman"/>
          <w:sz w:val="24"/>
          <w:szCs w:val="24"/>
          <w:lang w:eastAsia="en-US"/>
        </w:rPr>
        <w:t xml:space="preserve">, M., Trebilcock, J., Weaver, T., Walker, J., Crawford, M., &amp; Forrester, A. (2022). </w:t>
      </w:r>
      <w:r w:rsidRPr="00615E85">
        <w:rPr>
          <w:rFonts w:ascii="Times New Roman" w:eastAsia="Calibri" w:hAnsi="Times New Roman"/>
          <w:i/>
          <w:iCs/>
          <w:sz w:val="24"/>
          <w:szCs w:val="24"/>
          <w:lang w:eastAsia="en-US"/>
        </w:rPr>
        <w:t>National Evaluation of the Male OPD Pathway</w:t>
      </w:r>
      <w:r w:rsidRPr="00615E85">
        <w:rPr>
          <w:rFonts w:ascii="Times New Roman" w:eastAsia="Calibri" w:hAnsi="Times New Roman"/>
          <w:sz w:val="24"/>
          <w:szCs w:val="24"/>
          <w:lang w:eastAsia="en-US"/>
        </w:rPr>
        <w:t>. Ministry of Justice. https://www.gov.uk/government/publications/national-evaluation-of-the-male-opd-pathway</w:t>
      </w:r>
    </w:p>
    <w:p w14:paraId="7CDB488E" w14:textId="77777777" w:rsidR="00B72231" w:rsidRPr="00615E85" w:rsidRDefault="00B72231" w:rsidP="00B72231">
      <w:pPr>
        <w:pStyle w:val="Bibliography"/>
        <w:rPr>
          <w:rFonts w:ascii="Times New Roman" w:hAnsi="Times New Roman"/>
          <w:sz w:val="24"/>
          <w:szCs w:val="24"/>
        </w:rPr>
      </w:pPr>
      <w:r w:rsidRPr="00615E85">
        <w:rPr>
          <w:rFonts w:ascii="Times New Roman" w:hAnsi="Times New Roman"/>
          <w:sz w:val="24"/>
          <w:szCs w:val="24"/>
        </w:rPr>
        <w:t>Needs, A. &amp; Adair-</w:t>
      </w:r>
      <w:proofErr w:type="spellStart"/>
      <w:r w:rsidRPr="00615E85">
        <w:rPr>
          <w:rFonts w:ascii="Times New Roman" w:hAnsi="Times New Roman"/>
          <w:sz w:val="24"/>
          <w:szCs w:val="24"/>
        </w:rPr>
        <w:t>Stantiall</w:t>
      </w:r>
      <w:proofErr w:type="spellEnd"/>
      <w:r w:rsidRPr="00615E85">
        <w:rPr>
          <w:rFonts w:ascii="Times New Roman" w:hAnsi="Times New Roman"/>
          <w:sz w:val="24"/>
          <w:szCs w:val="24"/>
        </w:rPr>
        <w:t xml:space="preserve">, A. (2018). The Social Context. In G. Akerman, A. Needs, &amp; C. </w:t>
      </w:r>
    </w:p>
    <w:p w14:paraId="037B6753" w14:textId="77777777" w:rsidR="00B72231" w:rsidRPr="00615E85" w:rsidRDefault="00B72231" w:rsidP="00B72231">
      <w:pPr>
        <w:pStyle w:val="Bibliography"/>
        <w:ind w:firstLine="567"/>
        <w:rPr>
          <w:rFonts w:ascii="Times New Roman" w:hAnsi="Times New Roman"/>
          <w:sz w:val="24"/>
          <w:szCs w:val="24"/>
        </w:rPr>
      </w:pPr>
      <w:r w:rsidRPr="00615E85">
        <w:rPr>
          <w:rFonts w:ascii="Times New Roman" w:hAnsi="Times New Roman"/>
          <w:sz w:val="24"/>
          <w:szCs w:val="24"/>
        </w:rPr>
        <w:t xml:space="preserve">Bainbridge (Eds). </w:t>
      </w:r>
      <w:r w:rsidRPr="00615E85">
        <w:rPr>
          <w:rFonts w:ascii="Times New Roman" w:hAnsi="Times New Roman"/>
          <w:i/>
          <w:iCs/>
          <w:sz w:val="24"/>
          <w:szCs w:val="24"/>
        </w:rPr>
        <w:t>Transforming Environments and Rehabilitation</w:t>
      </w:r>
      <w:r w:rsidRPr="00615E85">
        <w:rPr>
          <w:rFonts w:ascii="Times New Roman" w:hAnsi="Times New Roman"/>
          <w:sz w:val="24"/>
          <w:szCs w:val="24"/>
        </w:rPr>
        <w:t xml:space="preserve"> (pp 31-62). </w:t>
      </w:r>
    </w:p>
    <w:p w14:paraId="5FEE7692" w14:textId="0B864AA7" w:rsidR="00B72231" w:rsidRPr="00615E85" w:rsidRDefault="00B72231" w:rsidP="003850C0">
      <w:pPr>
        <w:pStyle w:val="Bibliography"/>
        <w:ind w:firstLine="567"/>
        <w:rPr>
          <w:rFonts w:ascii="Times New Roman" w:hAnsi="Times New Roman"/>
          <w:sz w:val="24"/>
          <w:szCs w:val="24"/>
        </w:rPr>
      </w:pPr>
      <w:r w:rsidRPr="00615E85">
        <w:rPr>
          <w:rFonts w:ascii="Times New Roman" w:hAnsi="Times New Roman"/>
          <w:sz w:val="24"/>
          <w:szCs w:val="24"/>
        </w:rPr>
        <w:t xml:space="preserve">Routledge. </w:t>
      </w:r>
    </w:p>
    <w:p w14:paraId="5A47A76A" w14:textId="636766D2"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Newberry, M. (2010). The Experiences of Black and Minority Ethnic (BME) Prisoners in a Therapeutic Community Prison. In </w:t>
      </w:r>
      <w:r w:rsidRPr="00615E85">
        <w:rPr>
          <w:rFonts w:ascii="Times New Roman" w:eastAsia="Calibri" w:hAnsi="Times New Roman"/>
          <w:i/>
          <w:iCs/>
          <w:sz w:val="24"/>
          <w:szCs w:val="24"/>
          <w:lang w:eastAsia="en-US"/>
        </w:rPr>
        <w:t>Grendon and the Emergence of Forensic Therapeutic Communities: Developments in Research and Practice</w:t>
      </w:r>
      <w:r w:rsidRPr="00615E85">
        <w:rPr>
          <w:rFonts w:ascii="Times New Roman" w:eastAsia="Calibri" w:hAnsi="Times New Roman"/>
          <w:sz w:val="24"/>
          <w:szCs w:val="24"/>
          <w:lang w:eastAsia="en-US"/>
        </w:rPr>
        <w:t xml:space="preserve"> (pp. 305–315).  https://doi.org/10.1002/9780470661444.ch19</w:t>
      </w:r>
    </w:p>
    <w:p w14:paraId="09EE685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NHS England. (2023). </w:t>
      </w:r>
      <w:r w:rsidRPr="00615E85">
        <w:rPr>
          <w:rFonts w:ascii="Times New Roman" w:eastAsia="Calibri" w:hAnsi="Times New Roman"/>
          <w:i/>
          <w:iCs/>
          <w:sz w:val="24"/>
          <w:szCs w:val="24"/>
          <w:lang w:eastAsia="en-US"/>
        </w:rPr>
        <w:t>The Offender Personality Disorder Pathway: A joint strategy for 2023 to 2028</w:t>
      </w:r>
      <w:r w:rsidRPr="00615E85">
        <w:rPr>
          <w:rFonts w:ascii="Times New Roman" w:eastAsia="Calibri" w:hAnsi="Times New Roman"/>
          <w:sz w:val="24"/>
          <w:szCs w:val="24"/>
          <w:lang w:eastAsia="en-US"/>
        </w:rPr>
        <w:t xml:space="preserve"> (PRN00321; pp. 1–50). NHS England. https://www.england.nhs.uk/long-read/the-offender-personality-disorder-pathway/</w:t>
      </w:r>
    </w:p>
    <w:p w14:paraId="1A24F15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Olmos-Vega, F. M., </w:t>
      </w:r>
      <w:proofErr w:type="spellStart"/>
      <w:r w:rsidRPr="00615E85">
        <w:rPr>
          <w:rFonts w:ascii="Times New Roman" w:eastAsia="Calibri" w:hAnsi="Times New Roman"/>
          <w:sz w:val="24"/>
          <w:szCs w:val="24"/>
          <w:lang w:eastAsia="en-US"/>
        </w:rPr>
        <w:t>Stalmeijer</w:t>
      </w:r>
      <w:proofErr w:type="spellEnd"/>
      <w:r w:rsidRPr="00615E85">
        <w:rPr>
          <w:rFonts w:ascii="Times New Roman" w:eastAsia="Calibri" w:hAnsi="Times New Roman"/>
          <w:sz w:val="24"/>
          <w:szCs w:val="24"/>
          <w:lang w:eastAsia="en-US"/>
        </w:rPr>
        <w:t xml:space="preserve">, R. E., </w:t>
      </w:r>
      <w:proofErr w:type="spellStart"/>
      <w:r w:rsidRPr="00615E85">
        <w:rPr>
          <w:rFonts w:ascii="Times New Roman" w:eastAsia="Calibri" w:hAnsi="Times New Roman"/>
          <w:sz w:val="24"/>
          <w:szCs w:val="24"/>
          <w:lang w:eastAsia="en-US"/>
        </w:rPr>
        <w:t>Varpio</w:t>
      </w:r>
      <w:proofErr w:type="spellEnd"/>
      <w:r w:rsidRPr="00615E85">
        <w:rPr>
          <w:rFonts w:ascii="Times New Roman" w:eastAsia="Calibri" w:hAnsi="Times New Roman"/>
          <w:sz w:val="24"/>
          <w:szCs w:val="24"/>
          <w:lang w:eastAsia="en-US"/>
        </w:rPr>
        <w:t xml:space="preserve">, L., &amp; Kahlke, R. (2023). A practical guide to reflexivity in qualitative research: AMEE Guide No. 149. </w:t>
      </w:r>
      <w:r w:rsidRPr="00615E85">
        <w:rPr>
          <w:rFonts w:ascii="Times New Roman" w:eastAsia="Calibri" w:hAnsi="Times New Roman"/>
          <w:i/>
          <w:iCs/>
          <w:sz w:val="24"/>
          <w:szCs w:val="24"/>
          <w:lang w:eastAsia="en-US"/>
        </w:rPr>
        <w:t>Medical Teacher</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45</w:t>
      </w:r>
      <w:r w:rsidRPr="00615E85">
        <w:rPr>
          <w:rFonts w:ascii="Times New Roman" w:eastAsia="Calibri" w:hAnsi="Times New Roman"/>
          <w:sz w:val="24"/>
          <w:szCs w:val="24"/>
          <w:lang w:eastAsia="en-US"/>
        </w:rPr>
        <w:t>(3), 241–251. https://doi.org/10.1080/0142159X.2022.2057287</w:t>
      </w:r>
    </w:p>
    <w:p w14:paraId="164AC756"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Ortlipp</w:t>
      </w:r>
      <w:proofErr w:type="spellEnd"/>
      <w:r w:rsidRPr="00615E85">
        <w:rPr>
          <w:rFonts w:ascii="Times New Roman" w:eastAsia="Calibri" w:hAnsi="Times New Roman"/>
          <w:sz w:val="24"/>
          <w:szCs w:val="24"/>
          <w:lang w:eastAsia="en-US"/>
        </w:rPr>
        <w:t xml:space="preserve">, M. (2008). Keeping and Using Reflective Journals in the Qualitative Research Process. </w:t>
      </w:r>
      <w:r w:rsidRPr="00615E85">
        <w:rPr>
          <w:rFonts w:ascii="Times New Roman" w:eastAsia="Calibri" w:hAnsi="Times New Roman"/>
          <w:i/>
          <w:iCs/>
          <w:sz w:val="24"/>
          <w:szCs w:val="24"/>
          <w:lang w:eastAsia="en-US"/>
        </w:rPr>
        <w:t>Qualitative Report</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13</w:t>
      </w:r>
      <w:r w:rsidRPr="00615E85">
        <w:rPr>
          <w:rFonts w:ascii="Times New Roman" w:eastAsia="Calibri" w:hAnsi="Times New Roman"/>
          <w:sz w:val="24"/>
          <w:szCs w:val="24"/>
          <w:lang w:eastAsia="en-US"/>
        </w:rPr>
        <w:t>(4), 695–705. https://doi.org/10.46743/2160-3715/2008.1579</w:t>
      </w:r>
    </w:p>
    <w:p w14:paraId="4DCDDAF9"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lastRenderedPageBreak/>
        <w:t>Ouzzani</w:t>
      </w:r>
      <w:proofErr w:type="spellEnd"/>
      <w:r w:rsidRPr="00615E85">
        <w:rPr>
          <w:rFonts w:ascii="Times New Roman" w:eastAsia="Calibri" w:hAnsi="Times New Roman"/>
          <w:sz w:val="24"/>
          <w:szCs w:val="24"/>
          <w:lang w:eastAsia="en-US"/>
        </w:rPr>
        <w:t xml:space="preserve">, M., Hammady, H., Fedorowicz, Z., &amp; </w:t>
      </w:r>
      <w:proofErr w:type="spellStart"/>
      <w:r w:rsidRPr="00615E85">
        <w:rPr>
          <w:rFonts w:ascii="Times New Roman" w:eastAsia="Calibri" w:hAnsi="Times New Roman"/>
          <w:sz w:val="24"/>
          <w:szCs w:val="24"/>
          <w:lang w:eastAsia="en-US"/>
        </w:rPr>
        <w:t>Elmagarmid</w:t>
      </w:r>
      <w:proofErr w:type="spellEnd"/>
      <w:r w:rsidRPr="00615E85">
        <w:rPr>
          <w:rFonts w:ascii="Times New Roman" w:eastAsia="Calibri" w:hAnsi="Times New Roman"/>
          <w:sz w:val="24"/>
          <w:szCs w:val="24"/>
          <w:lang w:eastAsia="en-US"/>
        </w:rPr>
        <w:t xml:space="preserve">, A. (2016). Rayyan—A web and mobile app for systematic reviews. </w:t>
      </w:r>
      <w:r w:rsidRPr="00615E85">
        <w:rPr>
          <w:rFonts w:ascii="Times New Roman" w:eastAsia="Calibri" w:hAnsi="Times New Roman"/>
          <w:i/>
          <w:iCs/>
          <w:sz w:val="24"/>
          <w:szCs w:val="24"/>
          <w:lang w:eastAsia="en-US"/>
        </w:rPr>
        <w:t>Systematic Reviews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5</w:t>
      </w:r>
      <w:r w:rsidRPr="00615E85">
        <w:rPr>
          <w:rFonts w:ascii="Times New Roman" w:eastAsia="Calibri" w:hAnsi="Times New Roman"/>
          <w:sz w:val="24"/>
          <w:szCs w:val="24"/>
          <w:lang w:eastAsia="en-US"/>
        </w:rPr>
        <w:t>(1), 1-10. https://doi.org/10.1186/s13643-016-0384-4</w:t>
      </w:r>
    </w:p>
    <w:p w14:paraId="27A6642F"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Pearce, S., &amp; Haigh, R. (2017). </w:t>
      </w:r>
      <w:r w:rsidRPr="00615E85">
        <w:rPr>
          <w:rFonts w:ascii="Times New Roman" w:eastAsia="Calibri" w:hAnsi="Times New Roman"/>
          <w:i/>
          <w:iCs/>
          <w:sz w:val="24"/>
          <w:szCs w:val="24"/>
          <w:lang w:eastAsia="en-US"/>
        </w:rPr>
        <w:t>The Theory and Practice of Democratic Therapeutic Community Treatment</w:t>
      </w:r>
      <w:r w:rsidRPr="00615E85">
        <w:rPr>
          <w:rFonts w:ascii="Times New Roman" w:eastAsia="Calibri" w:hAnsi="Times New Roman"/>
          <w:sz w:val="24"/>
          <w:szCs w:val="24"/>
          <w:lang w:eastAsia="en-US"/>
        </w:rPr>
        <w:t>. Jessica Kingsley Publishers.</w:t>
      </w:r>
    </w:p>
    <w:p w14:paraId="325F7C6C" w14:textId="0865C1BA" w:rsidR="000F460B" w:rsidRPr="00615E85" w:rsidRDefault="000F460B" w:rsidP="000F460B">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Pieper, D., &amp; </w:t>
      </w:r>
      <w:proofErr w:type="spellStart"/>
      <w:r w:rsidRPr="00615E85">
        <w:rPr>
          <w:rFonts w:ascii="Times New Roman" w:eastAsia="Calibri" w:hAnsi="Times New Roman"/>
          <w:sz w:val="24"/>
          <w:szCs w:val="24"/>
          <w:lang w:eastAsia="en-US"/>
        </w:rPr>
        <w:t>Rombey</w:t>
      </w:r>
      <w:proofErr w:type="spellEnd"/>
      <w:r w:rsidRPr="00615E85">
        <w:rPr>
          <w:rFonts w:ascii="Times New Roman" w:eastAsia="Calibri" w:hAnsi="Times New Roman"/>
          <w:sz w:val="24"/>
          <w:szCs w:val="24"/>
          <w:lang w:eastAsia="en-US"/>
        </w:rPr>
        <w:t>, T. (2022). Where to prospectively register a systematic review. </w:t>
      </w:r>
      <w:r w:rsidRPr="00615E85">
        <w:rPr>
          <w:rFonts w:ascii="Times New Roman" w:eastAsia="Calibri" w:hAnsi="Times New Roman"/>
          <w:i/>
          <w:iCs/>
          <w:sz w:val="24"/>
          <w:szCs w:val="24"/>
          <w:lang w:eastAsia="en-US"/>
        </w:rPr>
        <w:t>Systematic Review,</w:t>
      </w:r>
      <w:r w:rsidRPr="00615E85">
        <w:rPr>
          <w:rFonts w:ascii="Times New Roman" w:eastAsia="Calibri" w:hAnsi="Times New Roman"/>
          <w:sz w:val="24"/>
          <w:szCs w:val="24"/>
          <w:lang w:eastAsia="en-US"/>
        </w:rPr>
        <w:t> </w:t>
      </w:r>
      <w:r w:rsidRPr="00615E85">
        <w:rPr>
          <w:rFonts w:ascii="Times New Roman" w:eastAsia="Calibri" w:hAnsi="Times New Roman"/>
          <w:i/>
          <w:iCs/>
          <w:sz w:val="24"/>
          <w:szCs w:val="24"/>
          <w:lang w:eastAsia="en-US"/>
        </w:rPr>
        <w:t>11</w:t>
      </w:r>
      <w:r w:rsidRPr="00615E85">
        <w:rPr>
          <w:rFonts w:ascii="Times New Roman" w:eastAsia="Calibri" w:hAnsi="Times New Roman"/>
          <w:sz w:val="24"/>
          <w:szCs w:val="24"/>
          <w:lang w:eastAsia="en-US"/>
        </w:rPr>
        <w:t>(8), 1-8. https://doi.org/10.1186/s13643-021-01877-1</w:t>
      </w:r>
    </w:p>
    <w:p w14:paraId="355E3205" w14:textId="3952A3B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Pilgrim, D., &amp; Bentall, R. P. (1999). The medicalisation of misery: A critical realist analysis of the concept of depression. </w:t>
      </w:r>
      <w:r w:rsidRPr="00615E85">
        <w:rPr>
          <w:rFonts w:ascii="Times New Roman" w:eastAsia="Calibri" w:hAnsi="Times New Roman"/>
          <w:i/>
          <w:iCs/>
          <w:sz w:val="24"/>
          <w:szCs w:val="24"/>
          <w:lang w:eastAsia="en-US"/>
        </w:rPr>
        <w:t>Journal of Mental Health, 8</w:t>
      </w:r>
      <w:r w:rsidRPr="00615E85">
        <w:rPr>
          <w:rFonts w:ascii="Times New Roman" w:eastAsia="Calibri" w:hAnsi="Times New Roman"/>
          <w:sz w:val="24"/>
          <w:szCs w:val="24"/>
          <w:lang w:eastAsia="en-US"/>
        </w:rPr>
        <w:t>(3), 261–274.</w:t>
      </w:r>
      <w:r w:rsidRPr="00615E85">
        <w:t xml:space="preserve"> </w:t>
      </w:r>
      <w:r w:rsidRPr="00615E85">
        <w:rPr>
          <w:rFonts w:ascii="Times New Roman" w:eastAsia="Calibri" w:hAnsi="Times New Roman"/>
          <w:sz w:val="24"/>
          <w:szCs w:val="24"/>
          <w:lang w:eastAsia="en-US"/>
        </w:rPr>
        <w:t>https://doi.org/10.1080/09638239917427</w:t>
      </w:r>
    </w:p>
    <w:p w14:paraId="341BF0A9"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Polanin</w:t>
      </w:r>
      <w:proofErr w:type="spellEnd"/>
      <w:r w:rsidRPr="00615E85">
        <w:rPr>
          <w:rFonts w:ascii="Times New Roman" w:eastAsia="Calibri" w:hAnsi="Times New Roman"/>
          <w:sz w:val="24"/>
          <w:szCs w:val="24"/>
          <w:lang w:eastAsia="en-US"/>
        </w:rPr>
        <w:t xml:space="preserve">, J. R., Pigott, T. D., Espelage, D. L., &amp; </w:t>
      </w:r>
      <w:proofErr w:type="spellStart"/>
      <w:r w:rsidRPr="00615E85">
        <w:rPr>
          <w:rFonts w:ascii="Times New Roman" w:eastAsia="Calibri" w:hAnsi="Times New Roman"/>
          <w:sz w:val="24"/>
          <w:szCs w:val="24"/>
          <w:lang w:eastAsia="en-US"/>
        </w:rPr>
        <w:t>Grotpeter</w:t>
      </w:r>
      <w:proofErr w:type="spellEnd"/>
      <w:r w:rsidRPr="00615E85">
        <w:rPr>
          <w:rFonts w:ascii="Times New Roman" w:eastAsia="Calibri" w:hAnsi="Times New Roman"/>
          <w:sz w:val="24"/>
          <w:szCs w:val="24"/>
          <w:lang w:eastAsia="en-US"/>
        </w:rPr>
        <w:t xml:space="preserve">, J. K. (2019). Best practice guidelines for abstract screening large‐evidence systematic reviews and meta‐analyses. </w:t>
      </w:r>
      <w:r w:rsidRPr="00615E85">
        <w:rPr>
          <w:rFonts w:ascii="Times New Roman" w:eastAsia="Calibri" w:hAnsi="Times New Roman"/>
          <w:i/>
          <w:iCs/>
          <w:sz w:val="24"/>
          <w:szCs w:val="24"/>
          <w:lang w:eastAsia="en-US"/>
        </w:rPr>
        <w:t>Research Synthesis Methods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10</w:t>
      </w:r>
      <w:r w:rsidRPr="00615E85">
        <w:rPr>
          <w:rFonts w:ascii="Times New Roman" w:eastAsia="Calibri" w:hAnsi="Times New Roman"/>
          <w:sz w:val="24"/>
          <w:szCs w:val="24"/>
          <w:lang w:eastAsia="en-US"/>
        </w:rPr>
        <w:t>(3), 330–342. https://doi.org/10.1002/jrsm.1354</w:t>
      </w:r>
    </w:p>
    <w:p w14:paraId="14F35615" w14:textId="3B016122" w:rsidR="000F460B" w:rsidRPr="00615E85" w:rsidRDefault="000F460B" w:rsidP="000F460B">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Ramesh, T., Mercieca, M., Curran, H.V. &amp; Cabourne, J. (2023). Exploring Masculinity, Experience of Distress and Help-Seeking Within a UK Male Prison. </w:t>
      </w:r>
      <w:r w:rsidRPr="00615E85">
        <w:rPr>
          <w:rFonts w:ascii="Times New Roman" w:eastAsia="Calibri" w:hAnsi="Times New Roman"/>
          <w:i/>
          <w:iCs/>
          <w:sz w:val="24"/>
          <w:szCs w:val="24"/>
          <w:lang w:eastAsia="en-US"/>
        </w:rPr>
        <w:t>Journal of Men’s Health, 19</w:t>
      </w:r>
      <w:r w:rsidRPr="00615E85">
        <w:rPr>
          <w:rFonts w:ascii="Times New Roman" w:eastAsia="Calibri" w:hAnsi="Times New Roman"/>
          <w:sz w:val="24"/>
          <w:szCs w:val="24"/>
          <w:lang w:eastAsia="en-US"/>
        </w:rPr>
        <w:t>(12), 87-98. https://doi.org/</w:t>
      </w:r>
      <w:hyperlink r:id="rId14" w:history="1">
        <w:r w:rsidRPr="00615E85">
          <w:rPr>
            <w:rStyle w:val="Hyperlink"/>
            <w:rFonts w:ascii="Times New Roman" w:eastAsia="Calibri" w:hAnsi="Times New Roman"/>
            <w:sz w:val="24"/>
            <w:szCs w:val="24"/>
            <w:lang w:eastAsia="en-US"/>
          </w:rPr>
          <w:t>10.22514/jomh.2023.134</w:t>
        </w:r>
      </w:hyperlink>
    </w:p>
    <w:p w14:paraId="2EEC5598" w14:textId="42676DFD"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Rawlings, B., &amp; Haigh, R. (2017). Therapeutic communities and planned environments for serious offenders in English prisons. </w:t>
      </w:r>
      <w:proofErr w:type="spellStart"/>
      <w:r w:rsidRPr="00615E85">
        <w:rPr>
          <w:rFonts w:ascii="Times New Roman" w:eastAsia="Calibri" w:hAnsi="Times New Roman"/>
          <w:i/>
          <w:iCs/>
          <w:sz w:val="24"/>
          <w:szCs w:val="24"/>
          <w:lang w:eastAsia="en-US"/>
        </w:rPr>
        <w:t>BJPsych</w:t>
      </w:r>
      <w:proofErr w:type="spellEnd"/>
      <w:r w:rsidRPr="00615E85">
        <w:rPr>
          <w:rFonts w:ascii="Times New Roman" w:eastAsia="Calibri" w:hAnsi="Times New Roman"/>
          <w:i/>
          <w:iCs/>
          <w:sz w:val="24"/>
          <w:szCs w:val="24"/>
          <w:lang w:eastAsia="en-US"/>
        </w:rPr>
        <w:t xml:space="preserve"> Advances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23</w:t>
      </w:r>
      <w:r w:rsidRPr="00615E85">
        <w:rPr>
          <w:rFonts w:ascii="Times New Roman" w:eastAsia="Calibri" w:hAnsi="Times New Roman"/>
          <w:sz w:val="24"/>
          <w:szCs w:val="24"/>
          <w:lang w:eastAsia="en-US"/>
        </w:rPr>
        <w:t>(5), 338–346. https://doi.org/10.1192/apt.bp.115.015636</w:t>
      </w:r>
    </w:p>
    <w:p w14:paraId="3B9C65A9"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Richardson, J., &amp; Zini, V. (2021). Are prison-based therapeutic communities effective? Challenges and considerations. </w:t>
      </w:r>
      <w:r w:rsidRPr="00615E85">
        <w:rPr>
          <w:rFonts w:ascii="Times New Roman" w:eastAsia="Calibri" w:hAnsi="Times New Roman"/>
          <w:i/>
          <w:iCs/>
          <w:sz w:val="24"/>
          <w:szCs w:val="24"/>
          <w:lang w:eastAsia="en-US"/>
        </w:rPr>
        <w:t>International Journal of Prisoner Health</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17</w:t>
      </w:r>
      <w:r w:rsidRPr="00615E85">
        <w:rPr>
          <w:rFonts w:ascii="Times New Roman" w:eastAsia="Calibri" w:hAnsi="Times New Roman"/>
          <w:sz w:val="24"/>
          <w:szCs w:val="24"/>
          <w:lang w:eastAsia="en-US"/>
        </w:rPr>
        <w:t>(1), 42–53. https://doi.org/10.1108/IJPH-07-2020-0048</w:t>
      </w:r>
    </w:p>
    <w:p w14:paraId="79F4DC22" w14:textId="10E06EBE"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Ross, C., &amp; Page, R. (2023). Prison-based democratic therapeutic communities, medication, and the power to exclude. </w:t>
      </w:r>
      <w:r w:rsidRPr="00615E85">
        <w:rPr>
          <w:rFonts w:ascii="Times New Roman" w:eastAsia="Calibri" w:hAnsi="Times New Roman"/>
          <w:i/>
          <w:iCs/>
          <w:sz w:val="24"/>
          <w:szCs w:val="24"/>
          <w:lang w:eastAsia="en-US"/>
        </w:rPr>
        <w:t>Medicine, Science and the Law</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63</w:t>
      </w:r>
      <w:r w:rsidRPr="00615E85">
        <w:rPr>
          <w:rFonts w:ascii="Times New Roman" w:eastAsia="Calibri" w:hAnsi="Times New Roman"/>
          <w:sz w:val="24"/>
          <w:szCs w:val="24"/>
          <w:lang w:eastAsia="en-US"/>
        </w:rPr>
        <w:t>(3), 248–252. https://doi.org/10.1177/00258024221131451</w:t>
      </w:r>
    </w:p>
    <w:p w14:paraId="41ADF917" w14:textId="0D052A72"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Ross, G. E., &amp; Auty, J. M. (2018). The experience of change in a Prison Therapeutic Community: An Interpretative Phenomenological Analysis.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39</w:t>
      </w:r>
      <w:r w:rsidRPr="00615E85">
        <w:rPr>
          <w:rFonts w:ascii="Times New Roman" w:eastAsia="Calibri" w:hAnsi="Times New Roman"/>
          <w:sz w:val="24"/>
          <w:szCs w:val="24"/>
          <w:lang w:eastAsia="en-US"/>
        </w:rPr>
        <w:t>(1), 59–70.. https://doi.org/10.1108/TC-11-2016-0024</w:t>
      </w:r>
    </w:p>
    <w:p w14:paraId="4A39C132"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Sahni, S.P., Krishnakumar, A. (2021). Theoretical Approaches to Understanding Criminal Behaviour. In: Sahni, S.P., Bhadra, P. (Eds). </w:t>
      </w:r>
      <w:r w:rsidRPr="00615E85">
        <w:rPr>
          <w:rFonts w:ascii="Times New Roman" w:eastAsia="Calibri" w:hAnsi="Times New Roman"/>
          <w:i/>
          <w:iCs/>
          <w:sz w:val="24"/>
          <w:szCs w:val="24"/>
          <w:lang w:eastAsia="en-US"/>
        </w:rPr>
        <w:t>Criminal Psychology and the Criminal Justice System in India and Beyond.</w:t>
      </w:r>
      <w:r w:rsidRPr="00615E85">
        <w:rPr>
          <w:rFonts w:ascii="Times New Roman" w:eastAsia="Calibri" w:hAnsi="Times New Roman"/>
          <w:sz w:val="24"/>
          <w:szCs w:val="24"/>
          <w:lang w:eastAsia="en-US"/>
        </w:rPr>
        <w:t xml:space="preserve"> Springer, Singapore. https://doi.org/10.1007/978-981-16-4570-9_3</w:t>
      </w:r>
    </w:p>
    <w:p w14:paraId="24B56CD7"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Seers, K. (2015). Qualitative systematic reviews: Their importance for our understanding of research relevant to pain. </w:t>
      </w:r>
      <w:r w:rsidRPr="00615E85">
        <w:rPr>
          <w:rFonts w:ascii="Times New Roman" w:eastAsia="Calibri" w:hAnsi="Times New Roman"/>
          <w:i/>
          <w:iCs/>
          <w:sz w:val="24"/>
          <w:szCs w:val="24"/>
          <w:lang w:eastAsia="en-US"/>
        </w:rPr>
        <w:t>British Journal of Pain</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9</w:t>
      </w:r>
      <w:r w:rsidRPr="00615E85">
        <w:rPr>
          <w:rFonts w:ascii="Times New Roman" w:eastAsia="Calibri" w:hAnsi="Times New Roman"/>
          <w:sz w:val="24"/>
          <w:szCs w:val="24"/>
          <w:lang w:eastAsia="en-US"/>
        </w:rPr>
        <w:t>(1), 36–40. https://doi.org/10.1177/2049463714549777</w:t>
      </w:r>
    </w:p>
    <w:p w14:paraId="5F1D2721" w14:textId="67541D9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Shuker, R. (2022). Collaboration, cohesion and belonging: Can prison therapeutic communities provide a framework for imprisonment? In G. Akerman &amp; R. Shuker (Eds.), </w:t>
      </w:r>
      <w:r w:rsidRPr="00615E85">
        <w:rPr>
          <w:rFonts w:ascii="Times New Roman" w:eastAsia="Calibri" w:hAnsi="Times New Roman"/>
          <w:i/>
          <w:iCs/>
          <w:sz w:val="24"/>
          <w:szCs w:val="24"/>
          <w:lang w:eastAsia="en-US"/>
        </w:rPr>
        <w:t>Global perspectives on interventions in forensic therapeutic communities: A practitioner’s guide.</w:t>
      </w:r>
      <w:r w:rsidRPr="00615E85">
        <w:rPr>
          <w:rFonts w:ascii="Times New Roman" w:eastAsia="Calibri" w:hAnsi="Times New Roman"/>
          <w:sz w:val="24"/>
          <w:szCs w:val="24"/>
          <w:lang w:eastAsia="en-US"/>
        </w:rPr>
        <w:t xml:space="preserve"> (pp. 257–279). Routledge. </w:t>
      </w:r>
    </w:p>
    <w:p w14:paraId="7C73119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proofErr w:type="spellStart"/>
      <w:r w:rsidRPr="00615E85">
        <w:rPr>
          <w:rFonts w:ascii="Times New Roman" w:eastAsia="Calibri" w:hAnsi="Times New Roman"/>
          <w:sz w:val="24"/>
          <w:szCs w:val="24"/>
          <w:lang w:eastAsia="en-US"/>
        </w:rPr>
        <w:t>Skett</w:t>
      </w:r>
      <w:proofErr w:type="spellEnd"/>
      <w:r w:rsidRPr="00615E85">
        <w:rPr>
          <w:rFonts w:ascii="Times New Roman" w:eastAsia="Calibri" w:hAnsi="Times New Roman"/>
          <w:sz w:val="24"/>
          <w:szCs w:val="24"/>
          <w:lang w:eastAsia="en-US"/>
        </w:rPr>
        <w:t xml:space="preserve">, S., &amp; Lewis, C. (2019). Development of the Offender Personality Disorder Pathway: A summary of the underpinning evidence. </w:t>
      </w:r>
      <w:r w:rsidRPr="00615E85">
        <w:rPr>
          <w:rFonts w:ascii="Times New Roman" w:eastAsia="Calibri" w:hAnsi="Times New Roman"/>
          <w:i/>
          <w:iCs/>
          <w:sz w:val="24"/>
          <w:szCs w:val="24"/>
          <w:lang w:eastAsia="en-US"/>
        </w:rPr>
        <w:t>Probation Journal</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66</w:t>
      </w:r>
      <w:r w:rsidRPr="00615E85">
        <w:rPr>
          <w:rFonts w:ascii="Times New Roman" w:eastAsia="Calibri" w:hAnsi="Times New Roman"/>
          <w:sz w:val="24"/>
          <w:szCs w:val="24"/>
          <w:lang w:eastAsia="en-US"/>
        </w:rPr>
        <w:t>(2), 167–180. https://doi.org/10.1177/0264550519832370</w:t>
      </w:r>
    </w:p>
    <w:p w14:paraId="65762684" w14:textId="1DCA999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Stevens, A. (2012). ‘I am the person now I was always meant to be’: Identity reconstruction and narrative reframing in therapeutic community prisons. </w:t>
      </w:r>
      <w:r w:rsidRPr="00615E85">
        <w:rPr>
          <w:rFonts w:ascii="Times New Roman" w:eastAsia="Calibri" w:hAnsi="Times New Roman"/>
          <w:i/>
          <w:iCs/>
          <w:sz w:val="24"/>
          <w:szCs w:val="24"/>
          <w:lang w:eastAsia="en-US"/>
        </w:rPr>
        <w:t>Criminology &amp; Criminal Justice: An International Journal</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12</w:t>
      </w:r>
      <w:r w:rsidRPr="00615E85">
        <w:rPr>
          <w:rFonts w:ascii="Times New Roman" w:eastAsia="Calibri" w:hAnsi="Times New Roman"/>
          <w:sz w:val="24"/>
          <w:szCs w:val="24"/>
          <w:lang w:eastAsia="en-US"/>
        </w:rPr>
        <w:t>(5), 527–547. .https://doi.org/10.1177/1748895811432958</w:t>
      </w:r>
    </w:p>
    <w:p w14:paraId="00B0885F"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lastRenderedPageBreak/>
        <w:t xml:space="preserve">Stevens, A. (2013). </w:t>
      </w:r>
      <w:r w:rsidRPr="00615E85">
        <w:rPr>
          <w:rFonts w:ascii="Times New Roman" w:eastAsia="Calibri" w:hAnsi="Times New Roman"/>
          <w:i/>
          <w:iCs/>
          <w:sz w:val="24"/>
          <w:szCs w:val="24"/>
          <w:lang w:eastAsia="en-US"/>
        </w:rPr>
        <w:t>Offender rehabilitation and therapeutic communities: Enabling change the TC way</w:t>
      </w:r>
      <w:r w:rsidRPr="00615E85">
        <w:rPr>
          <w:rFonts w:ascii="Times New Roman" w:eastAsia="Calibri" w:hAnsi="Times New Roman"/>
          <w:sz w:val="24"/>
          <w:szCs w:val="24"/>
          <w:lang w:eastAsia="en-US"/>
        </w:rPr>
        <w:t>. Routledge. https://eprints.soton.ac.uk/341209/</w:t>
      </w:r>
    </w:p>
    <w:p w14:paraId="0F6C6601"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Sturge, G. (2023). </w:t>
      </w:r>
      <w:r w:rsidRPr="00615E85">
        <w:rPr>
          <w:rFonts w:ascii="Times New Roman" w:eastAsia="Calibri" w:hAnsi="Times New Roman"/>
          <w:i/>
          <w:iCs/>
          <w:sz w:val="24"/>
          <w:szCs w:val="24"/>
          <w:lang w:eastAsia="en-US"/>
        </w:rPr>
        <w:t>UK Prison Population Statistics</w:t>
      </w:r>
      <w:r w:rsidRPr="00615E85">
        <w:rPr>
          <w:rFonts w:ascii="Times New Roman" w:eastAsia="Calibri" w:hAnsi="Times New Roman"/>
          <w:sz w:val="24"/>
          <w:szCs w:val="24"/>
          <w:lang w:eastAsia="en-US"/>
        </w:rPr>
        <w:t>. House of Commons Library. https://commonslibrary.parliament.uk/research-briefings/sn04334/</w:t>
      </w:r>
    </w:p>
    <w:p w14:paraId="4C91DE66"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Sullivan, E. (2007). ‘Seeing beyond the Uniform’: Positive views of a prison through prisoners’ eyes. </w:t>
      </w:r>
      <w:r w:rsidRPr="00615E85">
        <w:rPr>
          <w:rFonts w:ascii="Times New Roman" w:eastAsia="Calibri" w:hAnsi="Times New Roman"/>
          <w:i/>
          <w:iCs/>
          <w:sz w:val="24"/>
          <w:szCs w:val="24"/>
          <w:lang w:eastAsia="en-US"/>
        </w:rPr>
        <w:t>Prison Service Journal</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173</w:t>
      </w:r>
      <w:r w:rsidRPr="00615E85">
        <w:rPr>
          <w:rFonts w:ascii="Times New Roman" w:eastAsia="Calibri" w:hAnsi="Times New Roman"/>
          <w:sz w:val="24"/>
          <w:szCs w:val="24"/>
          <w:lang w:eastAsia="en-US"/>
        </w:rPr>
        <w:t>, 27–33.</w:t>
      </w:r>
    </w:p>
    <w:p w14:paraId="130DD094" w14:textId="0072F71F"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Sullivan, E. L. (2006). Moving on: Exit interviews in a therapeutic community prison.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27</w:t>
      </w:r>
      <w:r w:rsidRPr="00615E85">
        <w:rPr>
          <w:rFonts w:ascii="Times New Roman" w:eastAsia="Calibri" w:hAnsi="Times New Roman"/>
          <w:sz w:val="24"/>
          <w:szCs w:val="24"/>
          <w:lang w:eastAsia="en-US"/>
        </w:rPr>
        <w:t>(3), 359–369. .</w:t>
      </w:r>
    </w:p>
    <w:p w14:paraId="14076D93"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Thomas, J., &amp; Harden, A. (2008). Methods for the thematic synthesis of qualitative research in systematic reviews. </w:t>
      </w:r>
      <w:r w:rsidRPr="00615E85">
        <w:rPr>
          <w:rFonts w:ascii="Times New Roman" w:eastAsia="Calibri" w:hAnsi="Times New Roman"/>
          <w:i/>
          <w:iCs/>
          <w:sz w:val="24"/>
          <w:szCs w:val="24"/>
          <w:lang w:eastAsia="en-US"/>
        </w:rPr>
        <w:t>BMC Medical Research Methodology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8</w:t>
      </w:r>
      <w:r w:rsidRPr="00615E85">
        <w:rPr>
          <w:rFonts w:ascii="Times New Roman" w:eastAsia="Calibri" w:hAnsi="Times New Roman"/>
          <w:sz w:val="24"/>
          <w:szCs w:val="24"/>
          <w:lang w:eastAsia="en-US"/>
        </w:rPr>
        <w:t>(1), 45. https://doi.org/10.1186/1471-2288-8-45</w:t>
      </w:r>
    </w:p>
    <w:p w14:paraId="260EF7EA" w14:textId="77777777" w:rsidR="00B72231" w:rsidRPr="00615E8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Whiteford, G. (2000). Occupational Deprivation: Global Challenge in the New Millennium. </w:t>
      </w:r>
      <w:r w:rsidRPr="00615E85">
        <w:rPr>
          <w:rFonts w:ascii="Times New Roman" w:eastAsia="Calibri" w:hAnsi="Times New Roman"/>
          <w:i/>
          <w:iCs/>
          <w:sz w:val="24"/>
          <w:szCs w:val="24"/>
          <w:lang w:eastAsia="en-US"/>
        </w:rPr>
        <w:t>British Journal of Occupational Therapy</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63</w:t>
      </w:r>
      <w:r w:rsidRPr="00615E85">
        <w:rPr>
          <w:rFonts w:ascii="Times New Roman" w:eastAsia="Calibri" w:hAnsi="Times New Roman"/>
          <w:sz w:val="24"/>
          <w:szCs w:val="24"/>
          <w:lang w:eastAsia="en-US"/>
        </w:rPr>
        <w:t>(5), 200–204. https://doi.org/10.1177/030802260006300503</w:t>
      </w:r>
    </w:p>
    <w:p w14:paraId="274987E1" w14:textId="557F1BC1" w:rsidR="00B72231" w:rsidRPr="00155015" w:rsidRDefault="00B72231" w:rsidP="00B72231">
      <w:pPr>
        <w:spacing w:before="0" w:line="480" w:lineRule="auto"/>
        <w:ind w:left="720" w:hanging="720"/>
        <w:rPr>
          <w:rFonts w:ascii="Times New Roman" w:eastAsia="Calibri" w:hAnsi="Times New Roman"/>
          <w:sz w:val="24"/>
          <w:szCs w:val="24"/>
          <w:lang w:eastAsia="en-US"/>
        </w:rPr>
      </w:pPr>
      <w:r w:rsidRPr="00615E85">
        <w:rPr>
          <w:rFonts w:ascii="Times New Roman" w:eastAsia="Calibri" w:hAnsi="Times New Roman"/>
          <w:sz w:val="24"/>
          <w:szCs w:val="24"/>
          <w:lang w:eastAsia="en-US"/>
        </w:rPr>
        <w:t xml:space="preserve">Williams, I., &amp; Winship, G. (2018). “Homeliness, hope and humour” (H3) – ingredients for creating a therapeutic milieu in prisons. </w:t>
      </w:r>
      <w:r w:rsidRPr="00615E85">
        <w:rPr>
          <w:rFonts w:ascii="Times New Roman" w:eastAsia="Calibri" w:hAnsi="Times New Roman"/>
          <w:i/>
          <w:iCs/>
          <w:sz w:val="24"/>
          <w:szCs w:val="24"/>
          <w:lang w:eastAsia="en-US"/>
        </w:rPr>
        <w:t>Therapeutic Communities</w:t>
      </w:r>
      <w:r w:rsidRPr="00615E85">
        <w:rPr>
          <w:rFonts w:ascii="Times New Roman" w:eastAsia="Calibri" w:hAnsi="Times New Roman"/>
          <w:sz w:val="24"/>
          <w:szCs w:val="24"/>
          <w:lang w:eastAsia="en-US"/>
        </w:rPr>
        <w:t xml:space="preserve">, </w:t>
      </w:r>
      <w:r w:rsidRPr="00615E85">
        <w:rPr>
          <w:rFonts w:ascii="Times New Roman" w:eastAsia="Calibri" w:hAnsi="Times New Roman"/>
          <w:i/>
          <w:iCs/>
          <w:sz w:val="24"/>
          <w:szCs w:val="24"/>
          <w:lang w:eastAsia="en-US"/>
        </w:rPr>
        <w:t>39</w:t>
      </w:r>
      <w:r w:rsidRPr="00615E85">
        <w:rPr>
          <w:rFonts w:ascii="Times New Roman" w:eastAsia="Calibri" w:hAnsi="Times New Roman"/>
          <w:sz w:val="24"/>
          <w:szCs w:val="24"/>
          <w:lang w:eastAsia="en-US"/>
        </w:rPr>
        <w:t>(1), 4–13. https://doi.org/10.1108/TC-05-2017-0015</w:t>
      </w:r>
    </w:p>
    <w:p w14:paraId="4AEE7B3C" w14:textId="77777777" w:rsidR="00B72231" w:rsidRPr="00155015" w:rsidRDefault="00B72231" w:rsidP="00B72231">
      <w:pPr>
        <w:rPr>
          <w:rFonts w:ascii="Times New Roman" w:hAnsi="Times New Roman"/>
          <w:sz w:val="24"/>
          <w:szCs w:val="24"/>
          <w:lang w:eastAsia="en-US"/>
        </w:rPr>
      </w:pPr>
    </w:p>
    <w:p w14:paraId="39FA84FD" w14:textId="77777777" w:rsidR="00B72231" w:rsidRPr="00155015" w:rsidRDefault="00B72231" w:rsidP="00B72231">
      <w:pPr>
        <w:rPr>
          <w:rFonts w:ascii="Times New Roman" w:hAnsi="Times New Roman"/>
          <w:sz w:val="24"/>
          <w:szCs w:val="24"/>
          <w:lang w:eastAsia="en-US"/>
        </w:rPr>
      </w:pPr>
    </w:p>
    <w:p w14:paraId="679CBDAB" w14:textId="77777777" w:rsidR="00EE5E27" w:rsidRDefault="00EE5E27"/>
    <w:sectPr w:rsidR="00EE5E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255D" w14:textId="77777777" w:rsidR="009A6056" w:rsidRDefault="009A6056" w:rsidP="008E565B">
      <w:pPr>
        <w:spacing w:before="0" w:line="240" w:lineRule="auto"/>
      </w:pPr>
      <w:r>
        <w:separator/>
      </w:r>
    </w:p>
  </w:endnote>
  <w:endnote w:type="continuationSeparator" w:id="0">
    <w:p w14:paraId="6F0C5C3E" w14:textId="77777777" w:rsidR="009A6056" w:rsidRDefault="009A6056" w:rsidP="008E56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0B36" w14:textId="77777777" w:rsidR="00DE6F06" w:rsidRDefault="00ED4D0A" w:rsidP="00DE2539">
    <w:pPr>
      <w:pStyle w:val="Footer"/>
      <w:tabs>
        <w:tab w:val="clear" w:pos="4153"/>
        <w:tab w:val="clear" w:pos="8306"/>
        <w:tab w:val="left" w:pos="4005"/>
      </w:tabs>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DF50" w14:textId="77777777" w:rsidR="00DE6F06" w:rsidRDefault="00ED4D0A" w:rsidP="00DE2539">
    <w:pPr>
      <w:pStyle w:val="Foo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A748" w14:textId="77777777" w:rsidR="009A6056" w:rsidRDefault="009A6056" w:rsidP="008E565B">
      <w:pPr>
        <w:spacing w:before="0" w:line="240" w:lineRule="auto"/>
      </w:pPr>
      <w:r>
        <w:separator/>
      </w:r>
    </w:p>
  </w:footnote>
  <w:footnote w:type="continuationSeparator" w:id="0">
    <w:p w14:paraId="25B79737" w14:textId="77777777" w:rsidR="009A6056" w:rsidRDefault="009A6056" w:rsidP="008E565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49DF" w14:textId="66828DE4" w:rsidR="00DE6F06" w:rsidRDefault="00ED4D0A" w:rsidP="00DE2539">
    <w:pPr>
      <w:pStyle w:val="Header"/>
      <w:tabs>
        <w:tab w:val="clear" w:pos="8306"/>
        <w:tab w:val="right" w:pos="8788"/>
      </w:tabs>
    </w:pPr>
    <w:r>
      <w:rPr>
        <w:noProof/>
      </w:rPr>
      <w:fldChar w:fldCharType="begin"/>
    </w:r>
    <w:r>
      <w:rPr>
        <w:noProof/>
      </w:rPr>
      <w:instrText xml:space="preserve"> STYLEREF  "Heading 1"  \n </w:instrText>
    </w:r>
    <w:r>
      <w:rPr>
        <w:noProof/>
      </w:rPr>
      <w:fldChar w:fldCharType="separate"/>
    </w:r>
    <w:r w:rsidR="004B5EE9">
      <w:rPr>
        <w:noProof/>
      </w:rPr>
      <w:t>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E49F" w14:textId="0A209534" w:rsidR="00DE6F06" w:rsidRDefault="00DE6F06" w:rsidP="00DE2539">
    <w:pPr>
      <w:pStyle w:val="Header"/>
      <w:tabs>
        <w:tab w:val="clear" w:pos="4153"/>
        <w:tab w:val="clear" w:pos="8306"/>
        <w:tab w:val="right" w:pos="8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431A4B"/>
    <w:multiLevelType w:val="multilevel"/>
    <w:tmpl w:val="030E6A40"/>
    <w:lvl w:ilvl="0">
      <w:start w:val="1"/>
      <w:numFmt w:val="upperLetter"/>
      <w:pStyle w:val="AppendixMain"/>
      <w:lvlText w:val="Appendix %1"/>
      <w:lvlJc w:val="left"/>
      <w:pPr>
        <w:ind w:left="360" w:hanging="360"/>
      </w:p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1F0023"/>
    <w:multiLevelType w:val="multilevel"/>
    <w:tmpl w:val="1144B3AC"/>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2" w15:restartNumberingAfterBreak="0">
    <w:nsid w:val="666D2157"/>
    <w:multiLevelType w:val="multilevel"/>
    <w:tmpl w:val="688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669182">
    <w:abstractNumId w:val="11"/>
  </w:num>
  <w:num w:numId="2" w16cid:durableId="1813207747">
    <w:abstractNumId w:val="10"/>
  </w:num>
  <w:num w:numId="3" w16cid:durableId="1475753268">
    <w:abstractNumId w:val="9"/>
  </w:num>
  <w:num w:numId="4" w16cid:durableId="958103021">
    <w:abstractNumId w:val="7"/>
  </w:num>
  <w:num w:numId="5" w16cid:durableId="1669938681">
    <w:abstractNumId w:val="6"/>
  </w:num>
  <w:num w:numId="6" w16cid:durableId="2144997857">
    <w:abstractNumId w:val="5"/>
  </w:num>
  <w:num w:numId="7" w16cid:durableId="1141465173">
    <w:abstractNumId w:val="4"/>
  </w:num>
  <w:num w:numId="8" w16cid:durableId="1493719620">
    <w:abstractNumId w:val="8"/>
  </w:num>
  <w:num w:numId="9" w16cid:durableId="578179160">
    <w:abstractNumId w:val="3"/>
  </w:num>
  <w:num w:numId="10" w16cid:durableId="1584754614">
    <w:abstractNumId w:val="2"/>
  </w:num>
  <w:num w:numId="11" w16cid:durableId="2125490945">
    <w:abstractNumId w:val="1"/>
  </w:num>
  <w:num w:numId="12" w16cid:durableId="1155993036">
    <w:abstractNumId w:val="0"/>
  </w:num>
  <w:num w:numId="13" w16cid:durableId="4247635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31"/>
    <w:rsid w:val="000416E9"/>
    <w:rsid w:val="00065507"/>
    <w:rsid w:val="00076D0F"/>
    <w:rsid w:val="000C4D0C"/>
    <w:rsid w:val="000D6338"/>
    <w:rsid w:val="000F460B"/>
    <w:rsid w:val="001239CC"/>
    <w:rsid w:val="00133FF6"/>
    <w:rsid w:val="00147538"/>
    <w:rsid w:val="001E7236"/>
    <w:rsid w:val="00230A3A"/>
    <w:rsid w:val="003158DF"/>
    <w:rsid w:val="00367F0F"/>
    <w:rsid w:val="003850C0"/>
    <w:rsid w:val="003D2EA0"/>
    <w:rsid w:val="0041246A"/>
    <w:rsid w:val="00445578"/>
    <w:rsid w:val="00495B48"/>
    <w:rsid w:val="004B5EE9"/>
    <w:rsid w:val="005B39AF"/>
    <w:rsid w:val="005D4D1B"/>
    <w:rsid w:val="005E1815"/>
    <w:rsid w:val="00615E85"/>
    <w:rsid w:val="00616F4D"/>
    <w:rsid w:val="00626BB2"/>
    <w:rsid w:val="00627C34"/>
    <w:rsid w:val="006441A8"/>
    <w:rsid w:val="006D6E25"/>
    <w:rsid w:val="0070056A"/>
    <w:rsid w:val="007202AA"/>
    <w:rsid w:val="00747556"/>
    <w:rsid w:val="007C3C97"/>
    <w:rsid w:val="007F7A56"/>
    <w:rsid w:val="0084276F"/>
    <w:rsid w:val="008E565B"/>
    <w:rsid w:val="008E7035"/>
    <w:rsid w:val="008F773B"/>
    <w:rsid w:val="00985223"/>
    <w:rsid w:val="009946C6"/>
    <w:rsid w:val="009A6056"/>
    <w:rsid w:val="009B2CA5"/>
    <w:rsid w:val="009B5834"/>
    <w:rsid w:val="00AF2ADC"/>
    <w:rsid w:val="00B13842"/>
    <w:rsid w:val="00B556AA"/>
    <w:rsid w:val="00B72231"/>
    <w:rsid w:val="00BB12A4"/>
    <w:rsid w:val="00BE4360"/>
    <w:rsid w:val="00C058ED"/>
    <w:rsid w:val="00C861B4"/>
    <w:rsid w:val="00CA3D64"/>
    <w:rsid w:val="00CB7C66"/>
    <w:rsid w:val="00DE6F06"/>
    <w:rsid w:val="00E5360E"/>
    <w:rsid w:val="00E67F7B"/>
    <w:rsid w:val="00E932EA"/>
    <w:rsid w:val="00ED4D0A"/>
    <w:rsid w:val="00EE5E27"/>
    <w:rsid w:val="00F27637"/>
    <w:rsid w:val="00F348DA"/>
    <w:rsid w:val="00FA3D27"/>
    <w:rsid w:val="00FF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4328"/>
  <w15:chartTrackingRefBased/>
  <w15:docId w15:val="{81B42B63-E2D5-4A2E-85C2-286C2EB4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31"/>
    <w:pPr>
      <w:spacing w:before="200" w:after="0" w:line="360" w:lineRule="auto"/>
    </w:pPr>
    <w:rPr>
      <w:rFonts w:ascii="Aptos" w:eastAsia="Times New Roman" w:hAnsi="Aptos" w:cs="Times New Roman"/>
      <w:kern w:val="0"/>
      <w:lang w:eastAsia="zh-CN"/>
      <w14:ligatures w14:val="none"/>
    </w:rPr>
  </w:style>
  <w:style w:type="paragraph" w:styleId="Heading1">
    <w:name w:val="heading 1"/>
    <w:basedOn w:val="Normal"/>
    <w:next w:val="Normal"/>
    <w:link w:val="Heading1Char"/>
    <w:qFormat/>
    <w:rsid w:val="00B72231"/>
    <w:pPr>
      <w:keepNext/>
      <w:keepLines/>
      <w:numPr>
        <w:numId w:val="1"/>
      </w:numPr>
      <w:tabs>
        <w:tab w:val="clear" w:pos="1985"/>
        <w:tab w:val="num" w:pos="1843"/>
      </w:tabs>
      <w:spacing w:after="240"/>
      <w:ind w:left="1843" w:hanging="1843"/>
      <w:outlineLvl w:val="0"/>
    </w:pPr>
    <w:rPr>
      <w:rFonts w:cs="Arial"/>
      <w:b/>
      <w:bCs/>
      <w:kern w:val="32"/>
      <w:sz w:val="36"/>
      <w:szCs w:val="32"/>
      <w:lang w:eastAsia="en-US"/>
    </w:rPr>
  </w:style>
  <w:style w:type="paragraph" w:styleId="Heading2">
    <w:name w:val="heading 2"/>
    <w:basedOn w:val="Heading1"/>
    <w:next w:val="Normal"/>
    <w:link w:val="Heading2Char"/>
    <w:qFormat/>
    <w:rsid w:val="00B72231"/>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B72231"/>
    <w:pPr>
      <w:numPr>
        <w:ilvl w:val="2"/>
      </w:numPr>
      <w:spacing w:before="360"/>
      <w:outlineLvl w:val="2"/>
    </w:pPr>
    <w:rPr>
      <w:bCs w:val="0"/>
      <w:sz w:val="22"/>
      <w:szCs w:val="26"/>
    </w:rPr>
  </w:style>
  <w:style w:type="paragraph" w:styleId="Heading4">
    <w:name w:val="heading 4"/>
    <w:basedOn w:val="Heading1"/>
    <w:next w:val="Normal"/>
    <w:link w:val="Heading4Char"/>
    <w:qFormat/>
    <w:rsid w:val="00B72231"/>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B72231"/>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B72231"/>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B72231"/>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B72231"/>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B72231"/>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231"/>
    <w:rPr>
      <w:rFonts w:ascii="Aptos" w:eastAsia="Times New Roman" w:hAnsi="Aptos" w:cs="Arial"/>
      <w:b/>
      <w:bCs/>
      <w:kern w:val="32"/>
      <w:sz w:val="36"/>
      <w:szCs w:val="32"/>
      <w14:ligatures w14:val="none"/>
    </w:rPr>
  </w:style>
  <w:style w:type="character" w:customStyle="1" w:styleId="Heading2Char">
    <w:name w:val="Heading 2 Char"/>
    <w:basedOn w:val="DefaultParagraphFont"/>
    <w:link w:val="Heading2"/>
    <w:rsid w:val="00B72231"/>
    <w:rPr>
      <w:rFonts w:ascii="Aptos" w:eastAsia="Times New Roman" w:hAnsi="Aptos" w:cs="Arial"/>
      <w:b/>
      <w:kern w:val="32"/>
      <w:sz w:val="28"/>
      <w:szCs w:val="24"/>
      <w:lang w:eastAsia="en-GB"/>
      <w14:ligatures w14:val="none"/>
    </w:rPr>
  </w:style>
  <w:style w:type="character" w:customStyle="1" w:styleId="Heading3Char">
    <w:name w:val="Heading 3 Char"/>
    <w:basedOn w:val="DefaultParagraphFont"/>
    <w:link w:val="Heading3"/>
    <w:rsid w:val="00B72231"/>
    <w:rPr>
      <w:rFonts w:ascii="Aptos" w:eastAsia="Times New Roman" w:hAnsi="Aptos" w:cs="Arial"/>
      <w:b/>
      <w:kern w:val="32"/>
      <w:szCs w:val="26"/>
      <w14:ligatures w14:val="none"/>
    </w:rPr>
  </w:style>
  <w:style w:type="character" w:customStyle="1" w:styleId="Heading4Char">
    <w:name w:val="Heading 4 Char"/>
    <w:basedOn w:val="DefaultParagraphFont"/>
    <w:link w:val="Heading4"/>
    <w:rsid w:val="00B72231"/>
    <w:rPr>
      <w:rFonts w:ascii="Aptos" w:eastAsiaTheme="majorEastAsia" w:hAnsi="Aptos" w:cstheme="majorBidi"/>
      <w:b/>
      <w:iCs/>
      <w:kern w:val="32"/>
      <w:szCs w:val="24"/>
      <w14:ligatures w14:val="none"/>
    </w:rPr>
  </w:style>
  <w:style w:type="character" w:customStyle="1" w:styleId="Heading5Char">
    <w:name w:val="Heading 5 Char"/>
    <w:basedOn w:val="DefaultParagraphFont"/>
    <w:link w:val="Heading5"/>
    <w:rsid w:val="00B72231"/>
    <w:rPr>
      <w:rFonts w:ascii="Aptos" w:eastAsiaTheme="majorEastAsia" w:hAnsi="Aptos" w:cstheme="majorBidi"/>
      <w:b/>
      <w:bCs/>
      <w:kern w:val="32"/>
      <w:szCs w:val="24"/>
      <w14:ligatures w14:val="none"/>
    </w:rPr>
  </w:style>
  <w:style w:type="character" w:customStyle="1" w:styleId="Heading6Char">
    <w:name w:val="Heading 6 Char"/>
    <w:basedOn w:val="DefaultParagraphFont"/>
    <w:link w:val="Heading6"/>
    <w:rsid w:val="00B72231"/>
    <w:rPr>
      <w:rFonts w:ascii="Aptos" w:eastAsiaTheme="majorEastAsia" w:hAnsi="Aptos" w:cstheme="majorBidi"/>
      <w:bCs/>
      <w:iCs/>
      <w:kern w:val="32"/>
      <w:szCs w:val="24"/>
      <w14:ligatures w14:val="none"/>
    </w:rPr>
  </w:style>
  <w:style w:type="character" w:customStyle="1" w:styleId="Heading7Char">
    <w:name w:val="Heading 7 Char"/>
    <w:basedOn w:val="DefaultParagraphFont"/>
    <w:link w:val="Heading7"/>
    <w:rsid w:val="00B72231"/>
    <w:rPr>
      <w:rFonts w:ascii="Aptos" w:eastAsiaTheme="majorEastAsia" w:hAnsi="Aptos" w:cstheme="majorBidi"/>
      <w:bCs/>
      <w:iCs/>
      <w:kern w:val="32"/>
      <w:szCs w:val="24"/>
      <w14:ligatures w14:val="none"/>
    </w:rPr>
  </w:style>
  <w:style w:type="character" w:customStyle="1" w:styleId="Heading8Char">
    <w:name w:val="Heading 8 Char"/>
    <w:basedOn w:val="DefaultParagraphFont"/>
    <w:link w:val="Heading8"/>
    <w:rsid w:val="00B72231"/>
    <w:rPr>
      <w:rFonts w:ascii="Aptos" w:eastAsiaTheme="majorEastAsia" w:hAnsi="Aptos" w:cstheme="majorBidi"/>
      <w:bCs/>
      <w:kern w:val="32"/>
      <w:szCs w:val="32"/>
      <w14:ligatures w14:val="none"/>
    </w:rPr>
  </w:style>
  <w:style w:type="character" w:customStyle="1" w:styleId="Heading9Char">
    <w:name w:val="Heading 9 Char"/>
    <w:basedOn w:val="DefaultParagraphFont"/>
    <w:link w:val="Heading9"/>
    <w:rsid w:val="00B72231"/>
    <w:rPr>
      <w:rFonts w:ascii="Aptos" w:eastAsiaTheme="majorEastAsia" w:hAnsi="Aptos" w:cstheme="majorBidi"/>
      <w:bCs/>
      <w:iCs/>
      <w:color w:val="000000" w:themeColor="text1"/>
      <w:kern w:val="32"/>
      <w:szCs w:val="32"/>
      <w14:ligatures w14:val="none"/>
    </w:rPr>
  </w:style>
  <w:style w:type="paragraph" w:styleId="BodyText">
    <w:name w:val="Body Text"/>
    <w:basedOn w:val="Normal"/>
    <w:link w:val="BodyTextChar"/>
    <w:semiHidden/>
    <w:rsid w:val="00B72231"/>
    <w:rPr>
      <w:lang w:eastAsia="en-GB"/>
    </w:rPr>
  </w:style>
  <w:style w:type="character" w:customStyle="1" w:styleId="BodyTextChar">
    <w:name w:val="Body Text Char"/>
    <w:basedOn w:val="DefaultParagraphFont"/>
    <w:link w:val="BodyText"/>
    <w:semiHidden/>
    <w:rsid w:val="00B72231"/>
    <w:rPr>
      <w:rFonts w:ascii="Aptos" w:eastAsia="Times New Roman" w:hAnsi="Aptos" w:cs="Times New Roman"/>
      <w:kern w:val="0"/>
      <w:lang w:eastAsia="en-GB"/>
      <w14:ligatures w14:val="none"/>
    </w:rPr>
  </w:style>
  <w:style w:type="paragraph" w:styleId="BodyTextIndent">
    <w:name w:val="Body Text Indent"/>
    <w:basedOn w:val="Normal"/>
    <w:link w:val="BodyTextIndentChar"/>
    <w:semiHidden/>
    <w:rsid w:val="00B72231"/>
    <w:pPr>
      <w:ind w:left="283"/>
    </w:pPr>
  </w:style>
  <w:style w:type="character" w:customStyle="1" w:styleId="BodyTextIndentChar">
    <w:name w:val="Body Text Indent Char"/>
    <w:basedOn w:val="DefaultParagraphFont"/>
    <w:link w:val="BodyTextIndent"/>
    <w:semiHidden/>
    <w:rsid w:val="00B72231"/>
    <w:rPr>
      <w:rFonts w:ascii="Aptos" w:eastAsia="Times New Roman" w:hAnsi="Aptos" w:cs="Times New Roman"/>
      <w:kern w:val="0"/>
      <w:lang w:eastAsia="zh-CN"/>
      <w14:ligatures w14:val="none"/>
    </w:rPr>
  </w:style>
  <w:style w:type="paragraph" w:styleId="BalloonText">
    <w:name w:val="Balloon Text"/>
    <w:basedOn w:val="Normal"/>
    <w:link w:val="BalloonTextChar"/>
    <w:semiHidden/>
    <w:rsid w:val="00B72231"/>
    <w:rPr>
      <w:rFonts w:ascii="Tahoma" w:hAnsi="Tahoma" w:cs="Tahoma"/>
      <w:sz w:val="16"/>
      <w:szCs w:val="16"/>
    </w:rPr>
  </w:style>
  <w:style w:type="character" w:customStyle="1" w:styleId="BalloonTextChar">
    <w:name w:val="Balloon Text Char"/>
    <w:basedOn w:val="DefaultParagraphFont"/>
    <w:link w:val="BalloonText"/>
    <w:semiHidden/>
    <w:rsid w:val="00B72231"/>
    <w:rPr>
      <w:rFonts w:ascii="Tahoma" w:eastAsia="Times New Roman" w:hAnsi="Tahoma" w:cs="Tahoma"/>
      <w:kern w:val="0"/>
      <w:sz w:val="16"/>
      <w:szCs w:val="16"/>
      <w:lang w:eastAsia="zh-CN"/>
      <w14:ligatures w14:val="none"/>
    </w:rPr>
  </w:style>
  <w:style w:type="paragraph" w:styleId="Footer">
    <w:name w:val="footer"/>
    <w:link w:val="FooterChar"/>
    <w:uiPriority w:val="99"/>
    <w:rsid w:val="00B72231"/>
    <w:pPr>
      <w:tabs>
        <w:tab w:val="center" w:pos="4153"/>
        <w:tab w:val="right" w:pos="8306"/>
      </w:tabs>
      <w:spacing w:before="200" w:after="120" w:line="360" w:lineRule="auto"/>
      <w:jc w:val="center"/>
    </w:pPr>
    <w:rPr>
      <w:rFonts w:ascii="Aptos" w:eastAsia="Times New Roman" w:hAnsi="Aptos" w:cs="Times New Roman"/>
      <w:kern w:val="0"/>
      <w:szCs w:val="24"/>
      <w14:ligatures w14:val="none"/>
    </w:rPr>
  </w:style>
  <w:style w:type="character" w:customStyle="1" w:styleId="FooterChar">
    <w:name w:val="Footer Char"/>
    <w:basedOn w:val="DefaultParagraphFont"/>
    <w:link w:val="Footer"/>
    <w:uiPriority w:val="99"/>
    <w:rsid w:val="00B72231"/>
    <w:rPr>
      <w:rFonts w:ascii="Aptos" w:eastAsia="Times New Roman" w:hAnsi="Aptos" w:cs="Times New Roman"/>
      <w:kern w:val="0"/>
      <w:szCs w:val="24"/>
      <w14:ligatures w14:val="none"/>
    </w:rPr>
  </w:style>
  <w:style w:type="character" w:styleId="PageNumber">
    <w:name w:val="page number"/>
    <w:basedOn w:val="DefaultParagraphFont"/>
    <w:unhideWhenUsed/>
    <w:rsid w:val="00B72231"/>
    <w:rPr>
      <w:rFonts w:ascii="Calibri" w:hAnsi="Calibri"/>
      <w:sz w:val="22"/>
      <w:lang w:val="en-GB"/>
    </w:rPr>
  </w:style>
  <w:style w:type="paragraph" w:styleId="DocumentMap">
    <w:name w:val="Document Map"/>
    <w:basedOn w:val="Normal"/>
    <w:link w:val="DocumentMapChar"/>
    <w:semiHidden/>
    <w:rsid w:val="00B72231"/>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72231"/>
    <w:rPr>
      <w:rFonts w:ascii="Tahoma" w:eastAsia="Times New Roman" w:hAnsi="Tahoma" w:cs="Tahoma"/>
      <w:kern w:val="0"/>
      <w:szCs w:val="20"/>
      <w:shd w:val="clear" w:color="auto" w:fill="000080"/>
      <w:lang w:eastAsia="zh-CN"/>
      <w14:ligatures w14:val="none"/>
    </w:rPr>
  </w:style>
  <w:style w:type="paragraph" w:styleId="Header">
    <w:name w:val="header"/>
    <w:basedOn w:val="Normal"/>
    <w:link w:val="HeaderChar"/>
    <w:uiPriority w:val="99"/>
    <w:rsid w:val="00B72231"/>
    <w:pPr>
      <w:tabs>
        <w:tab w:val="center" w:pos="4153"/>
        <w:tab w:val="right" w:pos="8306"/>
      </w:tabs>
      <w:spacing w:after="120"/>
      <w:jc w:val="center"/>
    </w:pPr>
    <w:rPr>
      <w:szCs w:val="24"/>
      <w:lang w:eastAsia="en-US"/>
    </w:rPr>
  </w:style>
  <w:style w:type="character" w:customStyle="1" w:styleId="HeaderChar">
    <w:name w:val="Header Char"/>
    <w:basedOn w:val="DefaultParagraphFont"/>
    <w:link w:val="Header"/>
    <w:uiPriority w:val="99"/>
    <w:rsid w:val="00B72231"/>
    <w:rPr>
      <w:rFonts w:ascii="Aptos" w:eastAsia="Times New Roman" w:hAnsi="Aptos" w:cs="Times New Roman"/>
      <w:kern w:val="0"/>
      <w:szCs w:val="24"/>
      <w14:ligatures w14:val="none"/>
    </w:rPr>
  </w:style>
  <w:style w:type="paragraph" w:styleId="Caption">
    <w:name w:val="caption"/>
    <w:basedOn w:val="Normal"/>
    <w:next w:val="Normal"/>
    <w:rsid w:val="00B72231"/>
    <w:pPr>
      <w:tabs>
        <w:tab w:val="left" w:pos="1418"/>
      </w:tabs>
      <w:spacing w:before="120" w:after="120"/>
      <w:ind w:left="1134" w:hanging="1134"/>
      <w:contextualSpacing/>
    </w:pPr>
    <w:rPr>
      <w:szCs w:val="26"/>
      <w:lang w:eastAsia="en-US"/>
    </w:rPr>
  </w:style>
  <w:style w:type="character" w:styleId="Hyperlink">
    <w:name w:val="Hyperlink"/>
    <w:basedOn w:val="DefaultParagraphFont"/>
    <w:uiPriority w:val="99"/>
    <w:unhideWhenUsed/>
    <w:rsid w:val="00B72231"/>
    <w:rPr>
      <w:color w:val="0563C1" w:themeColor="hyperlink"/>
      <w:u w:val="single"/>
    </w:rPr>
  </w:style>
  <w:style w:type="table" w:styleId="TableGrid">
    <w:name w:val="Table Grid"/>
    <w:basedOn w:val="TableNormal"/>
    <w:uiPriority w:val="39"/>
    <w:rsid w:val="00B72231"/>
    <w:pPr>
      <w:adjustRightInd w:val="0"/>
      <w:spacing w:before="40" w:after="40" w:line="360" w:lineRule="auto"/>
    </w:pPr>
    <w:rPr>
      <w:rFonts w:ascii="Aptos" w:eastAsia="Times New Roman" w:hAnsi="Aptos" w:cs="Times New Roman"/>
      <w:kern w:val="0"/>
      <w:lang w:eastAsia="zh-CN"/>
      <w14:ligatures w14:val="none"/>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B72231"/>
    <w:pPr>
      <w:spacing w:before="40" w:after="40"/>
      <w:ind w:left="6"/>
    </w:pPr>
  </w:style>
  <w:style w:type="table" w:customStyle="1" w:styleId="FigureNoOutline">
    <w:name w:val="Figure No Outline"/>
    <w:basedOn w:val="TableNormal"/>
    <w:rsid w:val="00B72231"/>
    <w:pPr>
      <w:spacing w:before="200" w:after="0" w:line="360" w:lineRule="auto"/>
    </w:pPr>
    <w:rPr>
      <w:rFonts w:ascii="Aptos" w:eastAsia="Times New Roman" w:hAnsi="Aptos" w:cs="Times New Roman"/>
      <w:kern w:val="0"/>
      <w:lang w:eastAsia="zh-CN"/>
      <w14:ligatures w14:val="none"/>
    </w:rPr>
    <w:tblPr>
      <w:tblCellMar>
        <w:left w:w="0" w:type="dxa"/>
        <w:right w:w="0" w:type="dxa"/>
      </w:tblCellMar>
    </w:tblPr>
  </w:style>
  <w:style w:type="table" w:customStyle="1" w:styleId="FigureOutline">
    <w:name w:val="Figure Outline"/>
    <w:basedOn w:val="TableNormal"/>
    <w:rsid w:val="00B72231"/>
    <w:pPr>
      <w:spacing w:before="200" w:after="0" w:line="360" w:lineRule="auto"/>
    </w:pPr>
    <w:rPr>
      <w:rFonts w:ascii="Aptos" w:eastAsia="Times New Roman" w:hAnsi="Aptos" w:cs="Times New Roman"/>
      <w:kern w:val="0"/>
      <w:lang w:eastAsia="zh-CN"/>
      <w14:ligatures w14:val="none"/>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B72231"/>
    <w:pPr>
      <w:tabs>
        <w:tab w:val="left" w:pos="1560"/>
        <w:tab w:val="right" w:leader="dot" w:pos="8505"/>
      </w:tabs>
      <w:ind w:left="1560" w:hanging="1560"/>
    </w:pPr>
    <w:rPr>
      <w:szCs w:val="24"/>
      <w:lang w:eastAsia="en-US"/>
    </w:rPr>
  </w:style>
  <w:style w:type="paragraph" w:customStyle="1" w:styleId="Contents">
    <w:name w:val="Contents"/>
    <w:basedOn w:val="Normal"/>
    <w:next w:val="Normal"/>
    <w:qFormat/>
    <w:rsid w:val="00B72231"/>
    <w:pPr>
      <w:spacing w:after="240"/>
      <w:outlineLvl w:val="0"/>
    </w:pPr>
    <w:rPr>
      <w:rFonts w:cs="Arial"/>
      <w:b/>
      <w:bCs/>
      <w:kern w:val="32"/>
      <w:sz w:val="36"/>
      <w:szCs w:val="32"/>
      <w:lang w:eastAsia="en-US"/>
    </w:rPr>
  </w:style>
  <w:style w:type="paragraph" w:customStyle="1" w:styleId="Quotation">
    <w:name w:val="Quotation"/>
    <w:basedOn w:val="Normal"/>
    <w:qFormat/>
    <w:rsid w:val="00B72231"/>
    <w:pPr>
      <w:ind w:left="425" w:right="425"/>
    </w:pPr>
    <w:rPr>
      <w:iCs/>
      <w:szCs w:val="24"/>
      <w:lang w:eastAsia="en-US"/>
    </w:rPr>
  </w:style>
  <w:style w:type="paragraph" w:styleId="TOC1">
    <w:name w:val="toc 1"/>
    <w:basedOn w:val="Normal"/>
    <w:next w:val="Normal"/>
    <w:autoRedefine/>
    <w:uiPriority w:val="39"/>
    <w:rsid w:val="00B72231"/>
    <w:pPr>
      <w:tabs>
        <w:tab w:val="left" w:pos="1361"/>
        <w:tab w:val="right" w:leader="dot" w:pos="8789"/>
      </w:tabs>
      <w:spacing w:after="100"/>
      <w:ind w:left="1361" w:hanging="1361"/>
      <w:contextualSpacing/>
    </w:pPr>
    <w:rPr>
      <w:b/>
      <w:noProof/>
      <w:sz w:val="26"/>
    </w:rPr>
  </w:style>
  <w:style w:type="paragraph" w:styleId="TOC2">
    <w:name w:val="toc 2"/>
    <w:basedOn w:val="Normal"/>
    <w:next w:val="Normal"/>
    <w:autoRedefine/>
    <w:uiPriority w:val="39"/>
    <w:rsid w:val="00B72231"/>
    <w:pPr>
      <w:tabs>
        <w:tab w:val="left" w:pos="709"/>
        <w:tab w:val="right" w:leader="dot" w:pos="8788"/>
      </w:tabs>
      <w:spacing w:before="0" w:after="80"/>
      <w:ind w:left="709" w:hanging="567"/>
    </w:pPr>
    <w:rPr>
      <w:b/>
      <w:sz w:val="24"/>
    </w:rPr>
  </w:style>
  <w:style w:type="paragraph" w:styleId="TOC3">
    <w:name w:val="toc 3"/>
    <w:basedOn w:val="Normal"/>
    <w:next w:val="Normal"/>
    <w:autoRedefine/>
    <w:uiPriority w:val="39"/>
    <w:rsid w:val="00B72231"/>
    <w:pPr>
      <w:tabs>
        <w:tab w:val="left" w:pos="1204"/>
        <w:tab w:val="right" w:leader="dot" w:pos="8788"/>
      </w:tabs>
      <w:spacing w:before="0" w:after="80"/>
      <w:ind w:left="1190" w:hanging="680"/>
    </w:pPr>
    <w:rPr>
      <w:sz w:val="24"/>
    </w:rPr>
  </w:style>
  <w:style w:type="paragraph" w:styleId="TOC4">
    <w:name w:val="toc 4"/>
    <w:basedOn w:val="Normal"/>
    <w:next w:val="Normal"/>
    <w:autoRedefine/>
    <w:uiPriority w:val="39"/>
    <w:rsid w:val="00B72231"/>
    <w:pPr>
      <w:tabs>
        <w:tab w:val="left" w:pos="1843"/>
        <w:tab w:val="right" w:leader="dot" w:pos="8788"/>
      </w:tabs>
      <w:spacing w:before="0" w:after="80"/>
      <w:ind w:left="1843" w:hanging="851"/>
    </w:pPr>
    <w:rPr>
      <w:sz w:val="24"/>
    </w:rPr>
  </w:style>
  <w:style w:type="paragraph" w:styleId="TOCHeading">
    <w:name w:val="TOC Heading"/>
    <w:basedOn w:val="Heading1"/>
    <w:next w:val="Normal"/>
    <w:uiPriority w:val="39"/>
    <w:semiHidden/>
    <w:unhideWhenUsed/>
    <w:qFormat/>
    <w:rsid w:val="00B72231"/>
    <w:pPr>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customStyle="1" w:styleId="ContentsSubheading">
    <w:name w:val="Contents Subheading"/>
    <w:basedOn w:val="Contents"/>
    <w:next w:val="Normal"/>
    <w:qFormat/>
    <w:rsid w:val="00B72231"/>
    <w:pPr>
      <w:outlineLvl w:val="1"/>
    </w:pPr>
    <w:rPr>
      <w:sz w:val="28"/>
    </w:rPr>
  </w:style>
  <w:style w:type="paragraph" w:styleId="TOC5">
    <w:name w:val="toc 5"/>
    <w:basedOn w:val="Normal"/>
    <w:next w:val="Normal"/>
    <w:autoRedefine/>
    <w:uiPriority w:val="39"/>
    <w:rsid w:val="00B72231"/>
    <w:pPr>
      <w:tabs>
        <w:tab w:val="left" w:pos="2268"/>
        <w:tab w:val="right" w:leader="dot" w:pos="8788"/>
      </w:tabs>
      <w:spacing w:before="0" w:after="80"/>
      <w:ind w:left="2268" w:hanging="992"/>
    </w:pPr>
  </w:style>
  <w:style w:type="paragraph" w:customStyle="1" w:styleId="AppendixMain">
    <w:name w:val="Appendix Main"/>
    <w:basedOn w:val="Contents"/>
    <w:next w:val="Normal"/>
    <w:autoRedefine/>
    <w:qFormat/>
    <w:rsid w:val="00B72231"/>
    <w:pPr>
      <w:keepNext/>
      <w:numPr>
        <w:numId w:val="2"/>
      </w:numPr>
      <w:tabs>
        <w:tab w:val="left" w:pos="2268"/>
      </w:tabs>
      <w:spacing w:before="360" w:after="0"/>
      <w:ind w:left="2268" w:hanging="2268"/>
    </w:pPr>
    <w:rPr>
      <w:rFonts w:cs="Segoe UI"/>
      <w:szCs w:val="36"/>
    </w:rPr>
  </w:style>
  <w:style w:type="paragraph" w:customStyle="1" w:styleId="AppendixSubheading">
    <w:name w:val="Appendix Subheading"/>
    <w:basedOn w:val="AppendixMain"/>
    <w:next w:val="Normal"/>
    <w:qFormat/>
    <w:rsid w:val="00B72231"/>
    <w:pPr>
      <w:numPr>
        <w:ilvl w:val="1"/>
      </w:numPr>
      <w:outlineLvl w:val="1"/>
    </w:pPr>
    <w:rPr>
      <w:sz w:val="28"/>
    </w:rPr>
  </w:style>
  <w:style w:type="paragraph" w:customStyle="1" w:styleId="AppendixThird">
    <w:name w:val="Appendix Third"/>
    <w:basedOn w:val="AppendixMain"/>
    <w:next w:val="Normal"/>
    <w:qFormat/>
    <w:rsid w:val="00B72231"/>
    <w:pPr>
      <w:numPr>
        <w:ilvl w:val="2"/>
      </w:numPr>
      <w:ind w:left="1077" w:hanging="1077"/>
      <w:outlineLvl w:val="2"/>
    </w:pPr>
    <w:rPr>
      <w:sz w:val="24"/>
    </w:rPr>
  </w:style>
  <w:style w:type="table" w:styleId="TableList8">
    <w:name w:val="Table List 8"/>
    <w:basedOn w:val="TableNormal"/>
    <w:rsid w:val="00B72231"/>
    <w:pPr>
      <w:spacing w:before="200" w:after="200" w:line="360" w:lineRule="auto"/>
    </w:pPr>
    <w:rPr>
      <w:rFonts w:ascii="Aptos" w:eastAsia="Times New Roman" w:hAnsi="Aptos" w:cs="Times New Roman"/>
      <w:kern w:val="0"/>
      <w:lang w:eastAsia="zh-CN"/>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B72231"/>
    <w:pPr>
      <w:spacing w:before="0"/>
      <w:ind w:firstLine="0"/>
    </w:pPr>
  </w:style>
  <w:style w:type="paragraph" w:styleId="Bibliography">
    <w:name w:val="Bibliography"/>
    <w:basedOn w:val="Normal"/>
    <w:next w:val="Normal"/>
    <w:uiPriority w:val="37"/>
    <w:unhideWhenUsed/>
    <w:rsid w:val="00B72231"/>
  </w:style>
  <w:style w:type="paragraph" w:styleId="BlockText">
    <w:name w:val="Block Text"/>
    <w:basedOn w:val="Normal"/>
    <w:semiHidden/>
    <w:unhideWhenUsed/>
    <w:rsid w:val="00B7223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B72231"/>
    <w:pPr>
      <w:spacing w:after="120" w:line="480" w:lineRule="auto"/>
    </w:pPr>
  </w:style>
  <w:style w:type="character" w:customStyle="1" w:styleId="BodyText2Char">
    <w:name w:val="Body Text 2 Char"/>
    <w:basedOn w:val="DefaultParagraphFont"/>
    <w:link w:val="BodyText2"/>
    <w:semiHidden/>
    <w:rsid w:val="00B72231"/>
    <w:rPr>
      <w:rFonts w:ascii="Aptos" w:eastAsia="Times New Roman" w:hAnsi="Aptos" w:cs="Times New Roman"/>
      <w:kern w:val="0"/>
      <w:lang w:eastAsia="zh-CN"/>
      <w14:ligatures w14:val="none"/>
    </w:rPr>
  </w:style>
  <w:style w:type="paragraph" w:styleId="BodyText3">
    <w:name w:val="Body Text 3"/>
    <w:basedOn w:val="Normal"/>
    <w:link w:val="BodyText3Char"/>
    <w:semiHidden/>
    <w:unhideWhenUsed/>
    <w:rsid w:val="00B72231"/>
    <w:pPr>
      <w:spacing w:after="120"/>
    </w:pPr>
    <w:rPr>
      <w:sz w:val="16"/>
      <w:szCs w:val="16"/>
    </w:rPr>
  </w:style>
  <w:style w:type="character" w:customStyle="1" w:styleId="BodyText3Char">
    <w:name w:val="Body Text 3 Char"/>
    <w:basedOn w:val="DefaultParagraphFont"/>
    <w:link w:val="BodyText3"/>
    <w:semiHidden/>
    <w:rsid w:val="00B72231"/>
    <w:rPr>
      <w:rFonts w:ascii="Aptos" w:eastAsia="Times New Roman" w:hAnsi="Aptos" w:cs="Times New Roman"/>
      <w:kern w:val="0"/>
      <w:sz w:val="16"/>
      <w:szCs w:val="16"/>
      <w:lang w:eastAsia="zh-CN"/>
      <w14:ligatures w14:val="none"/>
    </w:rPr>
  </w:style>
  <w:style w:type="paragraph" w:styleId="BodyTextFirstIndent2">
    <w:name w:val="Body Text First Indent 2"/>
    <w:basedOn w:val="BodyTextIndent"/>
    <w:link w:val="BodyTextFirstIndent2Char"/>
    <w:semiHidden/>
    <w:unhideWhenUsed/>
    <w:rsid w:val="00B72231"/>
    <w:pPr>
      <w:ind w:left="360" w:firstLine="360"/>
    </w:pPr>
  </w:style>
  <w:style w:type="character" w:customStyle="1" w:styleId="BodyTextFirstIndent2Char">
    <w:name w:val="Body Text First Indent 2 Char"/>
    <w:basedOn w:val="BodyTextIndentChar"/>
    <w:link w:val="BodyTextFirstIndent2"/>
    <w:semiHidden/>
    <w:rsid w:val="00B72231"/>
    <w:rPr>
      <w:rFonts w:ascii="Aptos" w:eastAsia="Times New Roman" w:hAnsi="Aptos" w:cs="Times New Roman"/>
      <w:kern w:val="0"/>
      <w:lang w:eastAsia="zh-CN"/>
      <w14:ligatures w14:val="none"/>
    </w:rPr>
  </w:style>
  <w:style w:type="paragraph" w:styleId="BodyTextIndent2">
    <w:name w:val="Body Text Indent 2"/>
    <w:basedOn w:val="Normal"/>
    <w:link w:val="BodyTextIndent2Char"/>
    <w:semiHidden/>
    <w:unhideWhenUsed/>
    <w:rsid w:val="00B72231"/>
    <w:pPr>
      <w:spacing w:after="120" w:line="480" w:lineRule="auto"/>
      <w:ind w:left="283"/>
    </w:pPr>
  </w:style>
  <w:style w:type="character" w:customStyle="1" w:styleId="BodyTextIndent2Char">
    <w:name w:val="Body Text Indent 2 Char"/>
    <w:basedOn w:val="DefaultParagraphFont"/>
    <w:link w:val="BodyTextIndent2"/>
    <w:semiHidden/>
    <w:rsid w:val="00B72231"/>
    <w:rPr>
      <w:rFonts w:ascii="Aptos" w:eastAsia="Times New Roman" w:hAnsi="Aptos" w:cs="Times New Roman"/>
      <w:kern w:val="0"/>
      <w:lang w:eastAsia="zh-CN"/>
      <w14:ligatures w14:val="none"/>
    </w:rPr>
  </w:style>
  <w:style w:type="paragraph" w:styleId="BodyTextIndent3">
    <w:name w:val="Body Text Indent 3"/>
    <w:basedOn w:val="Normal"/>
    <w:link w:val="BodyTextIndent3Char"/>
    <w:semiHidden/>
    <w:unhideWhenUsed/>
    <w:rsid w:val="00B72231"/>
    <w:pPr>
      <w:spacing w:after="120"/>
      <w:ind w:left="283"/>
    </w:pPr>
    <w:rPr>
      <w:sz w:val="16"/>
      <w:szCs w:val="16"/>
    </w:rPr>
  </w:style>
  <w:style w:type="character" w:customStyle="1" w:styleId="BodyTextIndent3Char">
    <w:name w:val="Body Text Indent 3 Char"/>
    <w:basedOn w:val="DefaultParagraphFont"/>
    <w:link w:val="BodyTextIndent3"/>
    <w:semiHidden/>
    <w:rsid w:val="00B72231"/>
    <w:rPr>
      <w:rFonts w:ascii="Aptos" w:eastAsia="Times New Roman" w:hAnsi="Aptos" w:cs="Times New Roman"/>
      <w:kern w:val="0"/>
      <w:sz w:val="16"/>
      <w:szCs w:val="16"/>
      <w:lang w:eastAsia="zh-CN"/>
      <w14:ligatures w14:val="none"/>
    </w:rPr>
  </w:style>
  <w:style w:type="paragraph" w:styleId="Closing">
    <w:name w:val="Closing"/>
    <w:basedOn w:val="Normal"/>
    <w:link w:val="ClosingChar"/>
    <w:semiHidden/>
    <w:unhideWhenUsed/>
    <w:rsid w:val="00B72231"/>
    <w:pPr>
      <w:spacing w:before="0" w:line="240" w:lineRule="auto"/>
      <w:ind w:left="4252"/>
    </w:pPr>
  </w:style>
  <w:style w:type="character" w:customStyle="1" w:styleId="ClosingChar">
    <w:name w:val="Closing Char"/>
    <w:basedOn w:val="DefaultParagraphFont"/>
    <w:link w:val="Closing"/>
    <w:semiHidden/>
    <w:rsid w:val="00B72231"/>
    <w:rPr>
      <w:rFonts w:ascii="Aptos" w:eastAsia="Times New Roman" w:hAnsi="Aptos" w:cs="Times New Roman"/>
      <w:kern w:val="0"/>
      <w:lang w:eastAsia="zh-CN"/>
      <w14:ligatures w14:val="none"/>
    </w:rPr>
  </w:style>
  <w:style w:type="paragraph" w:styleId="CommentText">
    <w:name w:val="annotation text"/>
    <w:basedOn w:val="Normal"/>
    <w:link w:val="CommentTextChar"/>
    <w:unhideWhenUsed/>
    <w:rsid w:val="00B72231"/>
    <w:pPr>
      <w:spacing w:line="240" w:lineRule="auto"/>
    </w:pPr>
    <w:rPr>
      <w:sz w:val="20"/>
      <w:szCs w:val="20"/>
    </w:rPr>
  </w:style>
  <w:style w:type="character" w:customStyle="1" w:styleId="CommentTextChar">
    <w:name w:val="Comment Text Char"/>
    <w:basedOn w:val="DefaultParagraphFont"/>
    <w:link w:val="CommentText"/>
    <w:rsid w:val="00B72231"/>
    <w:rPr>
      <w:rFonts w:ascii="Aptos" w:eastAsia="Times New Roman" w:hAnsi="Aptos" w:cs="Times New Roman"/>
      <w:kern w:val="0"/>
      <w:sz w:val="20"/>
      <w:szCs w:val="20"/>
      <w:lang w:eastAsia="zh-CN"/>
      <w14:ligatures w14:val="none"/>
    </w:rPr>
  </w:style>
  <w:style w:type="paragraph" w:styleId="CommentSubject">
    <w:name w:val="annotation subject"/>
    <w:basedOn w:val="CommentText"/>
    <w:next w:val="CommentText"/>
    <w:link w:val="CommentSubjectChar"/>
    <w:semiHidden/>
    <w:unhideWhenUsed/>
    <w:rsid w:val="00B72231"/>
    <w:rPr>
      <w:b/>
      <w:bCs/>
    </w:rPr>
  </w:style>
  <w:style w:type="character" w:customStyle="1" w:styleId="CommentSubjectChar">
    <w:name w:val="Comment Subject Char"/>
    <w:basedOn w:val="CommentTextChar"/>
    <w:link w:val="CommentSubject"/>
    <w:semiHidden/>
    <w:rsid w:val="00B72231"/>
    <w:rPr>
      <w:rFonts w:ascii="Aptos" w:eastAsia="Times New Roman" w:hAnsi="Aptos" w:cs="Times New Roman"/>
      <w:b/>
      <w:bCs/>
      <w:kern w:val="0"/>
      <w:sz w:val="20"/>
      <w:szCs w:val="20"/>
      <w:lang w:eastAsia="zh-CN"/>
      <w14:ligatures w14:val="none"/>
    </w:rPr>
  </w:style>
  <w:style w:type="paragraph" w:styleId="Date">
    <w:name w:val="Date"/>
    <w:basedOn w:val="Normal"/>
    <w:next w:val="Normal"/>
    <w:link w:val="DateChar"/>
    <w:rsid w:val="00B72231"/>
  </w:style>
  <w:style w:type="character" w:customStyle="1" w:styleId="DateChar">
    <w:name w:val="Date Char"/>
    <w:basedOn w:val="DefaultParagraphFont"/>
    <w:link w:val="Date"/>
    <w:rsid w:val="00B72231"/>
    <w:rPr>
      <w:rFonts w:ascii="Aptos" w:eastAsia="Times New Roman" w:hAnsi="Aptos" w:cs="Times New Roman"/>
      <w:kern w:val="0"/>
      <w:lang w:eastAsia="zh-CN"/>
      <w14:ligatures w14:val="none"/>
    </w:rPr>
  </w:style>
  <w:style w:type="paragraph" w:styleId="E-mailSignature">
    <w:name w:val="E-mail Signature"/>
    <w:basedOn w:val="Normal"/>
    <w:link w:val="E-mailSignatureChar"/>
    <w:semiHidden/>
    <w:unhideWhenUsed/>
    <w:rsid w:val="00B72231"/>
    <w:pPr>
      <w:spacing w:before="0" w:line="240" w:lineRule="auto"/>
    </w:pPr>
  </w:style>
  <w:style w:type="character" w:customStyle="1" w:styleId="E-mailSignatureChar">
    <w:name w:val="E-mail Signature Char"/>
    <w:basedOn w:val="DefaultParagraphFont"/>
    <w:link w:val="E-mailSignature"/>
    <w:semiHidden/>
    <w:rsid w:val="00B72231"/>
    <w:rPr>
      <w:rFonts w:ascii="Aptos" w:eastAsia="Times New Roman" w:hAnsi="Aptos" w:cs="Times New Roman"/>
      <w:kern w:val="0"/>
      <w:lang w:eastAsia="zh-CN"/>
      <w14:ligatures w14:val="none"/>
    </w:rPr>
  </w:style>
  <w:style w:type="paragraph" w:styleId="EndnoteText">
    <w:name w:val="endnote text"/>
    <w:basedOn w:val="Normal"/>
    <w:link w:val="EndnoteTextChar"/>
    <w:semiHidden/>
    <w:unhideWhenUsed/>
    <w:rsid w:val="00B72231"/>
    <w:pPr>
      <w:spacing w:before="0" w:line="240" w:lineRule="auto"/>
    </w:pPr>
    <w:rPr>
      <w:sz w:val="20"/>
      <w:szCs w:val="20"/>
    </w:rPr>
  </w:style>
  <w:style w:type="character" w:customStyle="1" w:styleId="EndnoteTextChar">
    <w:name w:val="Endnote Text Char"/>
    <w:basedOn w:val="DefaultParagraphFont"/>
    <w:link w:val="EndnoteText"/>
    <w:semiHidden/>
    <w:rsid w:val="00B72231"/>
    <w:rPr>
      <w:rFonts w:ascii="Aptos" w:eastAsia="Times New Roman" w:hAnsi="Aptos" w:cs="Times New Roman"/>
      <w:kern w:val="0"/>
      <w:sz w:val="20"/>
      <w:szCs w:val="20"/>
      <w:lang w:eastAsia="zh-CN"/>
      <w14:ligatures w14:val="none"/>
    </w:rPr>
  </w:style>
  <w:style w:type="paragraph" w:styleId="EnvelopeAddress">
    <w:name w:val="envelope address"/>
    <w:basedOn w:val="Normal"/>
    <w:semiHidden/>
    <w:unhideWhenUsed/>
    <w:rsid w:val="00B72231"/>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2231"/>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B72231"/>
    <w:pPr>
      <w:spacing w:before="0" w:line="240" w:lineRule="auto"/>
    </w:pPr>
    <w:rPr>
      <w:szCs w:val="20"/>
    </w:rPr>
  </w:style>
  <w:style w:type="character" w:customStyle="1" w:styleId="FootnoteTextChar">
    <w:name w:val="Footnote Text Char"/>
    <w:basedOn w:val="DefaultParagraphFont"/>
    <w:link w:val="FootnoteText"/>
    <w:semiHidden/>
    <w:rsid w:val="00B72231"/>
    <w:rPr>
      <w:rFonts w:ascii="Aptos" w:eastAsia="Times New Roman" w:hAnsi="Aptos" w:cs="Times New Roman"/>
      <w:kern w:val="0"/>
      <w:szCs w:val="20"/>
      <w:lang w:eastAsia="zh-CN"/>
      <w14:ligatures w14:val="none"/>
    </w:rPr>
  </w:style>
  <w:style w:type="paragraph" w:styleId="HTMLAddress">
    <w:name w:val="HTML Address"/>
    <w:basedOn w:val="Normal"/>
    <w:link w:val="HTMLAddressChar"/>
    <w:semiHidden/>
    <w:unhideWhenUsed/>
    <w:rsid w:val="00B72231"/>
    <w:pPr>
      <w:spacing w:before="0" w:line="240" w:lineRule="auto"/>
    </w:pPr>
    <w:rPr>
      <w:i/>
      <w:iCs/>
    </w:rPr>
  </w:style>
  <w:style w:type="character" w:customStyle="1" w:styleId="HTMLAddressChar">
    <w:name w:val="HTML Address Char"/>
    <w:basedOn w:val="DefaultParagraphFont"/>
    <w:link w:val="HTMLAddress"/>
    <w:semiHidden/>
    <w:rsid w:val="00B72231"/>
    <w:rPr>
      <w:rFonts w:ascii="Aptos" w:eastAsia="Times New Roman" w:hAnsi="Aptos" w:cs="Times New Roman"/>
      <w:i/>
      <w:iCs/>
      <w:kern w:val="0"/>
      <w:lang w:eastAsia="zh-CN"/>
      <w14:ligatures w14:val="none"/>
    </w:rPr>
  </w:style>
  <w:style w:type="paragraph" w:styleId="HTMLPreformatted">
    <w:name w:val="HTML Preformatted"/>
    <w:basedOn w:val="Normal"/>
    <w:link w:val="HTMLPreformattedChar"/>
    <w:semiHidden/>
    <w:unhideWhenUsed/>
    <w:rsid w:val="00B7223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72231"/>
    <w:rPr>
      <w:rFonts w:ascii="Consolas" w:eastAsia="Times New Roman" w:hAnsi="Consolas" w:cs="Times New Roman"/>
      <w:kern w:val="0"/>
      <w:sz w:val="20"/>
      <w:szCs w:val="20"/>
      <w:lang w:eastAsia="zh-CN"/>
      <w14:ligatures w14:val="none"/>
    </w:rPr>
  </w:style>
  <w:style w:type="paragraph" w:styleId="Index1">
    <w:name w:val="index 1"/>
    <w:basedOn w:val="Normal"/>
    <w:next w:val="Normal"/>
    <w:autoRedefine/>
    <w:semiHidden/>
    <w:unhideWhenUsed/>
    <w:rsid w:val="00B72231"/>
    <w:pPr>
      <w:spacing w:before="0" w:line="240" w:lineRule="auto"/>
      <w:ind w:left="220" w:hanging="220"/>
    </w:pPr>
  </w:style>
  <w:style w:type="paragraph" w:styleId="Index2">
    <w:name w:val="index 2"/>
    <w:basedOn w:val="Normal"/>
    <w:next w:val="Normal"/>
    <w:autoRedefine/>
    <w:semiHidden/>
    <w:unhideWhenUsed/>
    <w:rsid w:val="00B72231"/>
    <w:pPr>
      <w:spacing w:before="0" w:line="240" w:lineRule="auto"/>
      <w:ind w:left="440" w:hanging="220"/>
    </w:pPr>
  </w:style>
  <w:style w:type="paragraph" w:styleId="Index3">
    <w:name w:val="index 3"/>
    <w:basedOn w:val="Normal"/>
    <w:next w:val="Normal"/>
    <w:autoRedefine/>
    <w:semiHidden/>
    <w:unhideWhenUsed/>
    <w:rsid w:val="00B72231"/>
    <w:pPr>
      <w:spacing w:before="0" w:line="240" w:lineRule="auto"/>
      <w:ind w:left="660" w:hanging="220"/>
    </w:pPr>
  </w:style>
  <w:style w:type="paragraph" w:styleId="Index4">
    <w:name w:val="index 4"/>
    <w:basedOn w:val="Normal"/>
    <w:next w:val="Normal"/>
    <w:autoRedefine/>
    <w:semiHidden/>
    <w:unhideWhenUsed/>
    <w:rsid w:val="00B72231"/>
    <w:pPr>
      <w:spacing w:before="0" w:line="240" w:lineRule="auto"/>
      <w:ind w:left="880" w:hanging="220"/>
    </w:pPr>
  </w:style>
  <w:style w:type="paragraph" w:styleId="Index5">
    <w:name w:val="index 5"/>
    <w:basedOn w:val="Normal"/>
    <w:next w:val="Normal"/>
    <w:autoRedefine/>
    <w:semiHidden/>
    <w:unhideWhenUsed/>
    <w:rsid w:val="00B72231"/>
    <w:pPr>
      <w:spacing w:before="0" w:line="240" w:lineRule="auto"/>
      <w:ind w:left="1100" w:hanging="220"/>
    </w:pPr>
  </w:style>
  <w:style w:type="paragraph" w:styleId="Index6">
    <w:name w:val="index 6"/>
    <w:basedOn w:val="Normal"/>
    <w:next w:val="Normal"/>
    <w:autoRedefine/>
    <w:semiHidden/>
    <w:unhideWhenUsed/>
    <w:rsid w:val="00B72231"/>
    <w:pPr>
      <w:spacing w:before="0" w:line="240" w:lineRule="auto"/>
      <w:ind w:left="1320" w:hanging="220"/>
    </w:pPr>
  </w:style>
  <w:style w:type="paragraph" w:styleId="Index7">
    <w:name w:val="index 7"/>
    <w:basedOn w:val="Normal"/>
    <w:next w:val="Normal"/>
    <w:autoRedefine/>
    <w:semiHidden/>
    <w:unhideWhenUsed/>
    <w:rsid w:val="00B72231"/>
    <w:pPr>
      <w:spacing w:before="0" w:line="240" w:lineRule="auto"/>
      <w:ind w:left="1540" w:hanging="220"/>
    </w:pPr>
  </w:style>
  <w:style w:type="paragraph" w:styleId="Index8">
    <w:name w:val="index 8"/>
    <w:basedOn w:val="Normal"/>
    <w:next w:val="Normal"/>
    <w:autoRedefine/>
    <w:semiHidden/>
    <w:unhideWhenUsed/>
    <w:rsid w:val="00B72231"/>
    <w:pPr>
      <w:spacing w:before="0" w:line="240" w:lineRule="auto"/>
      <w:ind w:left="1760" w:hanging="220"/>
    </w:pPr>
  </w:style>
  <w:style w:type="paragraph" w:styleId="Index9">
    <w:name w:val="index 9"/>
    <w:basedOn w:val="Normal"/>
    <w:next w:val="Normal"/>
    <w:autoRedefine/>
    <w:semiHidden/>
    <w:unhideWhenUsed/>
    <w:rsid w:val="00B72231"/>
    <w:pPr>
      <w:spacing w:before="0" w:line="240" w:lineRule="auto"/>
      <w:ind w:left="1980" w:hanging="220"/>
    </w:pPr>
  </w:style>
  <w:style w:type="paragraph" w:styleId="IndexHeading">
    <w:name w:val="index heading"/>
    <w:basedOn w:val="Normal"/>
    <w:next w:val="Index1"/>
    <w:semiHidden/>
    <w:unhideWhenUsed/>
    <w:rsid w:val="00B72231"/>
    <w:rPr>
      <w:rFonts w:asciiTheme="majorHAnsi" w:eastAsiaTheme="majorEastAsia" w:hAnsiTheme="majorHAnsi" w:cstheme="majorBidi"/>
      <w:b/>
      <w:bCs/>
    </w:rPr>
  </w:style>
  <w:style w:type="paragraph" w:styleId="List">
    <w:name w:val="List"/>
    <w:basedOn w:val="Normal"/>
    <w:semiHidden/>
    <w:unhideWhenUsed/>
    <w:rsid w:val="00B72231"/>
    <w:pPr>
      <w:ind w:left="283" w:hanging="283"/>
      <w:contextualSpacing/>
    </w:pPr>
  </w:style>
  <w:style w:type="paragraph" w:styleId="List2">
    <w:name w:val="List 2"/>
    <w:basedOn w:val="Normal"/>
    <w:semiHidden/>
    <w:unhideWhenUsed/>
    <w:rsid w:val="00B72231"/>
    <w:pPr>
      <w:ind w:left="566" w:hanging="283"/>
      <w:contextualSpacing/>
    </w:pPr>
  </w:style>
  <w:style w:type="paragraph" w:styleId="List3">
    <w:name w:val="List 3"/>
    <w:basedOn w:val="Normal"/>
    <w:semiHidden/>
    <w:unhideWhenUsed/>
    <w:rsid w:val="00B72231"/>
    <w:pPr>
      <w:ind w:left="849" w:hanging="283"/>
      <w:contextualSpacing/>
    </w:pPr>
  </w:style>
  <w:style w:type="paragraph" w:styleId="List4">
    <w:name w:val="List 4"/>
    <w:basedOn w:val="Normal"/>
    <w:semiHidden/>
    <w:rsid w:val="00B72231"/>
    <w:pPr>
      <w:ind w:left="1132" w:hanging="283"/>
      <w:contextualSpacing/>
    </w:pPr>
  </w:style>
  <w:style w:type="paragraph" w:styleId="List5">
    <w:name w:val="List 5"/>
    <w:basedOn w:val="Normal"/>
    <w:semiHidden/>
    <w:rsid w:val="00B72231"/>
    <w:pPr>
      <w:ind w:left="1415" w:hanging="283"/>
      <w:contextualSpacing/>
    </w:pPr>
  </w:style>
  <w:style w:type="paragraph" w:styleId="ListBullet">
    <w:name w:val="List Bullet"/>
    <w:basedOn w:val="Normal"/>
    <w:semiHidden/>
    <w:unhideWhenUsed/>
    <w:rsid w:val="00B72231"/>
    <w:pPr>
      <w:numPr>
        <w:numId w:val="3"/>
      </w:numPr>
      <w:contextualSpacing/>
    </w:pPr>
  </w:style>
  <w:style w:type="paragraph" w:styleId="ListBullet2">
    <w:name w:val="List Bullet 2"/>
    <w:basedOn w:val="Normal"/>
    <w:semiHidden/>
    <w:unhideWhenUsed/>
    <w:rsid w:val="00B72231"/>
    <w:pPr>
      <w:numPr>
        <w:numId w:val="4"/>
      </w:numPr>
      <w:contextualSpacing/>
    </w:pPr>
  </w:style>
  <w:style w:type="paragraph" w:styleId="ListBullet3">
    <w:name w:val="List Bullet 3"/>
    <w:basedOn w:val="Normal"/>
    <w:semiHidden/>
    <w:unhideWhenUsed/>
    <w:rsid w:val="00B72231"/>
    <w:pPr>
      <w:numPr>
        <w:numId w:val="5"/>
      </w:numPr>
      <w:contextualSpacing/>
    </w:pPr>
  </w:style>
  <w:style w:type="paragraph" w:styleId="ListBullet4">
    <w:name w:val="List Bullet 4"/>
    <w:basedOn w:val="Normal"/>
    <w:semiHidden/>
    <w:unhideWhenUsed/>
    <w:rsid w:val="00B72231"/>
    <w:pPr>
      <w:numPr>
        <w:numId w:val="6"/>
      </w:numPr>
      <w:contextualSpacing/>
    </w:pPr>
  </w:style>
  <w:style w:type="paragraph" w:styleId="ListBullet5">
    <w:name w:val="List Bullet 5"/>
    <w:basedOn w:val="Normal"/>
    <w:semiHidden/>
    <w:unhideWhenUsed/>
    <w:rsid w:val="00B72231"/>
    <w:pPr>
      <w:numPr>
        <w:numId w:val="7"/>
      </w:numPr>
      <w:contextualSpacing/>
    </w:pPr>
  </w:style>
  <w:style w:type="paragraph" w:styleId="ListContinue">
    <w:name w:val="List Continue"/>
    <w:basedOn w:val="Normal"/>
    <w:semiHidden/>
    <w:unhideWhenUsed/>
    <w:rsid w:val="00B72231"/>
    <w:pPr>
      <w:spacing w:after="120"/>
      <w:ind w:left="283"/>
      <w:contextualSpacing/>
    </w:pPr>
  </w:style>
  <w:style w:type="paragraph" w:styleId="ListContinue2">
    <w:name w:val="List Continue 2"/>
    <w:basedOn w:val="Normal"/>
    <w:semiHidden/>
    <w:unhideWhenUsed/>
    <w:rsid w:val="00B72231"/>
    <w:pPr>
      <w:spacing w:after="120"/>
      <w:ind w:left="566"/>
      <w:contextualSpacing/>
    </w:pPr>
  </w:style>
  <w:style w:type="paragraph" w:styleId="ListContinue3">
    <w:name w:val="List Continue 3"/>
    <w:basedOn w:val="Normal"/>
    <w:semiHidden/>
    <w:unhideWhenUsed/>
    <w:rsid w:val="00B72231"/>
    <w:pPr>
      <w:spacing w:after="120"/>
      <w:ind w:left="849"/>
      <w:contextualSpacing/>
    </w:pPr>
  </w:style>
  <w:style w:type="paragraph" w:styleId="ListContinue4">
    <w:name w:val="List Continue 4"/>
    <w:basedOn w:val="Normal"/>
    <w:semiHidden/>
    <w:unhideWhenUsed/>
    <w:rsid w:val="00B72231"/>
    <w:pPr>
      <w:spacing w:after="120"/>
      <w:ind w:left="1132"/>
      <w:contextualSpacing/>
    </w:pPr>
  </w:style>
  <w:style w:type="paragraph" w:styleId="ListContinue5">
    <w:name w:val="List Continue 5"/>
    <w:basedOn w:val="Normal"/>
    <w:semiHidden/>
    <w:unhideWhenUsed/>
    <w:rsid w:val="00B72231"/>
    <w:pPr>
      <w:spacing w:after="120"/>
      <w:ind w:left="1415"/>
      <w:contextualSpacing/>
    </w:pPr>
  </w:style>
  <w:style w:type="paragraph" w:styleId="ListNumber">
    <w:name w:val="List Number"/>
    <w:basedOn w:val="Normal"/>
    <w:rsid w:val="00B72231"/>
    <w:pPr>
      <w:numPr>
        <w:numId w:val="8"/>
      </w:numPr>
      <w:ind w:left="357" w:hanging="357"/>
      <w:contextualSpacing/>
    </w:pPr>
  </w:style>
  <w:style w:type="paragraph" w:styleId="ListNumber2">
    <w:name w:val="List Number 2"/>
    <w:basedOn w:val="Normal"/>
    <w:semiHidden/>
    <w:unhideWhenUsed/>
    <w:rsid w:val="00B72231"/>
    <w:pPr>
      <w:numPr>
        <w:numId w:val="9"/>
      </w:numPr>
      <w:contextualSpacing/>
    </w:pPr>
  </w:style>
  <w:style w:type="paragraph" w:styleId="ListNumber3">
    <w:name w:val="List Number 3"/>
    <w:basedOn w:val="Normal"/>
    <w:semiHidden/>
    <w:unhideWhenUsed/>
    <w:rsid w:val="00B72231"/>
    <w:pPr>
      <w:numPr>
        <w:numId w:val="10"/>
      </w:numPr>
      <w:contextualSpacing/>
    </w:pPr>
  </w:style>
  <w:style w:type="paragraph" w:styleId="ListNumber4">
    <w:name w:val="List Number 4"/>
    <w:basedOn w:val="Normal"/>
    <w:semiHidden/>
    <w:unhideWhenUsed/>
    <w:rsid w:val="00B72231"/>
    <w:pPr>
      <w:numPr>
        <w:numId w:val="11"/>
      </w:numPr>
      <w:contextualSpacing/>
    </w:pPr>
  </w:style>
  <w:style w:type="paragraph" w:styleId="ListNumber5">
    <w:name w:val="List Number 5"/>
    <w:basedOn w:val="Normal"/>
    <w:semiHidden/>
    <w:unhideWhenUsed/>
    <w:rsid w:val="00B72231"/>
    <w:pPr>
      <w:numPr>
        <w:numId w:val="12"/>
      </w:numPr>
      <w:contextualSpacing/>
    </w:pPr>
  </w:style>
  <w:style w:type="paragraph" w:styleId="MacroText">
    <w:name w:val="macro"/>
    <w:link w:val="MacroTextChar"/>
    <w:semiHidden/>
    <w:unhideWhenUsed/>
    <w:rsid w:val="00B72231"/>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kern w:val="0"/>
      <w:sz w:val="20"/>
      <w:szCs w:val="20"/>
      <w:lang w:eastAsia="zh-CN"/>
      <w14:ligatures w14:val="none"/>
    </w:rPr>
  </w:style>
  <w:style w:type="character" w:customStyle="1" w:styleId="MacroTextChar">
    <w:name w:val="Macro Text Char"/>
    <w:basedOn w:val="DefaultParagraphFont"/>
    <w:link w:val="MacroText"/>
    <w:semiHidden/>
    <w:rsid w:val="00B72231"/>
    <w:rPr>
      <w:rFonts w:ascii="Consolas" w:eastAsia="Times New Roman" w:hAnsi="Consolas" w:cs="Times New Roman"/>
      <w:kern w:val="0"/>
      <w:sz w:val="20"/>
      <w:szCs w:val="20"/>
      <w:lang w:eastAsia="zh-CN"/>
      <w14:ligatures w14:val="none"/>
    </w:rPr>
  </w:style>
  <w:style w:type="paragraph" w:styleId="MessageHeader">
    <w:name w:val="Message Header"/>
    <w:basedOn w:val="Normal"/>
    <w:link w:val="MessageHeaderChar"/>
    <w:semiHidden/>
    <w:unhideWhenUsed/>
    <w:rsid w:val="00B7223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2231"/>
    <w:rPr>
      <w:rFonts w:asciiTheme="majorHAnsi" w:eastAsiaTheme="majorEastAsia" w:hAnsiTheme="majorHAnsi" w:cstheme="majorBidi"/>
      <w:kern w:val="0"/>
      <w:sz w:val="24"/>
      <w:szCs w:val="24"/>
      <w:shd w:val="pct20" w:color="auto" w:fill="auto"/>
      <w:lang w:eastAsia="zh-CN"/>
      <w14:ligatures w14:val="none"/>
    </w:rPr>
  </w:style>
  <w:style w:type="paragraph" w:styleId="NoSpacing">
    <w:name w:val="No Spacing"/>
    <w:uiPriority w:val="1"/>
    <w:qFormat/>
    <w:rsid w:val="00B72231"/>
    <w:pPr>
      <w:spacing w:after="0" w:line="240" w:lineRule="auto"/>
    </w:pPr>
    <w:rPr>
      <w:rFonts w:ascii="Aptos" w:eastAsia="Times New Roman" w:hAnsi="Aptos" w:cs="Times New Roman"/>
      <w:kern w:val="0"/>
      <w:lang w:eastAsia="zh-CN"/>
      <w14:ligatures w14:val="none"/>
    </w:rPr>
  </w:style>
  <w:style w:type="paragraph" w:styleId="NormalWeb">
    <w:name w:val="Normal (Web)"/>
    <w:basedOn w:val="Normal"/>
    <w:uiPriority w:val="99"/>
    <w:semiHidden/>
    <w:unhideWhenUsed/>
    <w:rsid w:val="00B72231"/>
    <w:rPr>
      <w:rFonts w:ascii="Times New Roman" w:hAnsi="Times New Roman"/>
      <w:sz w:val="24"/>
      <w:szCs w:val="24"/>
    </w:rPr>
  </w:style>
  <w:style w:type="paragraph" w:styleId="NormalIndent">
    <w:name w:val="Normal Indent"/>
    <w:basedOn w:val="Normal"/>
    <w:semiHidden/>
    <w:unhideWhenUsed/>
    <w:rsid w:val="00B72231"/>
    <w:pPr>
      <w:ind w:left="720"/>
    </w:pPr>
  </w:style>
  <w:style w:type="paragraph" w:styleId="NoteHeading">
    <w:name w:val="Note Heading"/>
    <w:basedOn w:val="Normal"/>
    <w:next w:val="Normal"/>
    <w:link w:val="NoteHeadingChar"/>
    <w:semiHidden/>
    <w:unhideWhenUsed/>
    <w:rsid w:val="00B72231"/>
    <w:pPr>
      <w:spacing w:before="0" w:line="240" w:lineRule="auto"/>
    </w:pPr>
  </w:style>
  <w:style w:type="character" w:customStyle="1" w:styleId="NoteHeadingChar">
    <w:name w:val="Note Heading Char"/>
    <w:basedOn w:val="DefaultParagraphFont"/>
    <w:link w:val="NoteHeading"/>
    <w:semiHidden/>
    <w:rsid w:val="00B72231"/>
    <w:rPr>
      <w:rFonts w:ascii="Aptos" w:eastAsia="Times New Roman" w:hAnsi="Aptos" w:cs="Times New Roman"/>
      <w:kern w:val="0"/>
      <w:lang w:eastAsia="zh-CN"/>
      <w14:ligatures w14:val="none"/>
    </w:rPr>
  </w:style>
  <w:style w:type="paragraph" w:styleId="PlainText">
    <w:name w:val="Plain Text"/>
    <w:basedOn w:val="Normal"/>
    <w:link w:val="PlainTextChar"/>
    <w:semiHidden/>
    <w:unhideWhenUsed/>
    <w:rsid w:val="00B72231"/>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B72231"/>
    <w:rPr>
      <w:rFonts w:ascii="Consolas" w:eastAsia="Times New Roman" w:hAnsi="Consolas" w:cs="Times New Roman"/>
      <w:kern w:val="0"/>
      <w:sz w:val="21"/>
      <w:szCs w:val="21"/>
      <w:lang w:eastAsia="zh-CN"/>
      <w14:ligatures w14:val="none"/>
    </w:rPr>
  </w:style>
  <w:style w:type="paragraph" w:styleId="Signature">
    <w:name w:val="Signature"/>
    <w:basedOn w:val="Normal"/>
    <w:link w:val="SignatureChar"/>
    <w:semiHidden/>
    <w:unhideWhenUsed/>
    <w:rsid w:val="00B72231"/>
    <w:pPr>
      <w:spacing w:before="0" w:line="240" w:lineRule="auto"/>
      <w:ind w:left="4252"/>
    </w:pPr>
  </w:style>
  <w:style w:type="character" w:customStyle="1" w:styleId="SignatureChar">
    <w:name w:val="Signature Char"/>
    <w:basedOn w:val="DefaultParagraphFont"/>
    <w:link w:val="Signature"/>
    <w:semiHidden/>
    <w:rsid w:val="00B72231"/>
    <w:rPr>
      <w:rFonts w:ascii="Aptos" w:eastAsia="Times New Roman" w:hAnsi="Aptos" w:cs="Times New Roman"/>
      <w:kern w:val="0"/>
      <w:lang w:eastAsia="zh-CN"/>
      <w14:ligatures w14:val="none"/>
    </w:rPr>
  </w:style>
  <w:style w:type="paragraph" w:styleId="TableofAuthorities">
    <w:name w:val="table of authorities"/>
    <w:basedOn w:val="Normal"/>
    <w:next w:val="Normal"/>
    <w:semiHidden/>
    <w:unhideWhenUsed/>
    <w:rsid w:val="00B72231"/>
    <w:pPr>
      <w:ind w:left="220" w:hanging="220"/>
    </w:pPr>
  </w:style>
  <w:style w:type="paragraph" w:styleId="TOAHeading">
    <w:name w:val="toa heading"/>
    <w:basedOn w:val="Normal"/>
    <w:next w:val="Normal"/>
    <w:semiHidden/>
    <w:unhideWhenUsed/>
    <w:rsid w:val="00B72231"/>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B72231"/>
    <w:pPr>
      <w:spacing w:after="100"/>
      <w:ind w:left="1100"/>
    </w:pPr>
  </w:style>
  <w:style w:type="paragraph" w:styleId="TOC7">
    <w:name w:val="toc 7"/>
    <w:basedOn w:val="Normal"/>
    <w:next w:val="Normal"/>
    <w:autoRedefine/>
    <w:semiHidden/>
    <w:unhideWhenUsed/>
    <w:rsid w:val="00B72231"/>
    <w:pPr>
      <w:spacing w:after="100"/>
      <w:ind w:left="1320"/>
    </w:pPr>
  </w:style>
  <w:style w:type="paragraph" w:styleId="TOC8">
    <w:name w:val="toc 8"/>
    <w:basedOn w:val="Normal"/>
    <w:next w:val="Normal"/>
    <w:autoRedefine/>
    <w:semiHidden/>
    <w:unhideWhenUsed/>
    <w:rsid w:val="00B72231"/>
    <w:pPr>
      <w:spacing w:after="100"/>
      <w:ind w:left="1540"/>
    </w:pPr>
  </w:style>
  <w:style w:type="paragraph" w:styleId="TOC9">
    <w:name w:val="toc 9"/>
    <w:basedOn w:val="Normal"/>
    <w:next w:val="Normal"/>
    <w:autoRedefine/>
    <w:semiHidden/>
    <w:unhideWhenUsed/>
    <w:rsid w:val="00B72231"/>
    <w:pPr>
      <w:spacing w:after="100"/>
      <w:ind w:left="1760"/>
    </w:pPr>
  </w:style>
  <w:style w:type="paragraph" w:customStyle="1" w:styleId="FooterLandscapedEven">
    <w:name w:val="Footer Landscaped Even"/>
    <w:basedOn w:val="Footer"/>
    <w:qFormat/>
    <w:rsid w:val="00B72231"/>
    <w:pPr>
      <w:tabs>
        <w:tab w:val="clear" w:pos="8306"/>
        <w:tab w:val="right" w:pos="8505"/>
      </w:tabs>
      <w:spacing w:before="0" w:after="1800" w:line="240" w:lineRule="auto"/>
    </w:pPr>
    <w:rPr>
      <w:noProof/>
    </w:rPr>
  </w:style>
  <w:style w:type="paragraph" w:customStyle="1" w:styleId="HeaderLandscapedOdd">
    <w:name w:val="Header Landscaped Odd"/>
    <w:basedOn w:val="Header"/>
    <w:qFormat/>
    <w:rsid w:val="00B72231"/>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B72231"/>
    <w:rPr>
      <w:b/>
    </w:rPr>
  </w:style>
  <w:style w:type="paragraph" w:customStyle="1" w:styleId="Insertedimage">
    <w:name w:val="Inserted image"/>
    <w:basedOn w:val="Normal"/>
    <w:next w:val="Normal"/>
    <w:qFormat/>
    <w:rsid w:val="00B72231"/>
    <w:pPr>
      <w:keepNext/>
      <w:spacing w:before="120" w:after="120" w:line="240" w:lineRule="auto"/>
      <w:jc w:val="center"/>
    </w:pPr>
    <w:rPr>
      <w:noProof/>
    </w:rPr>
  </w:style>
  <w:style w:type="paragraph" w:styleId="Title">
    <w:name w:val="Title"/>
    <w:basedOn w:val="Normal"/>
    <w:next w:val="Normal"/>
    <w:link w:val="TitleChar"/>
    <w:rsid w:val="00B72231"/>
    <w:pPr>
      <w:spacing w:before="360" w:after="360"/>
      <w:contextualSpacing/>
      <w:jc w:val="center"/>
    </w:pPr>
    <w:rPr>
      <w:rFonts w:asciiTheme="minorHAnsi" w:eastAsiaTheme="majorEastAsia" w:hAnsiTheme="minorHAnsi" w:cstheme="majorBidi"/>
      <w:b/>
      <w:spacing w:val="5"/>
      <w:kern w:val="28"/>
      <w:sz w:val="24"/>
      <w:szCs w:val="52"/>
    </w:rPr>
  </w:style>
  <w:style w:type="character" w:customStyle="1" w:styleId="TitleChar">
    <w:name w:val="Title Char"/>
    <w:basedOn w:val="DefaultParagraphFont"/>
    <w:link w:val="Title"/>
    <w:rsid w:val="00B72231"/>
    <w:rPr>
      <w:rFonts w:eastAsiaTheme="majorEastAsia" w:cstheme="majorBidi"/>
      <w:b/>
      <w:spacing w:val="5"/>
      <w:kern w:val="28"/>
      <w:sz w:val="24"/>
      <w:szCs w:val="52"/>
      <w:lang w:eastAsia="zh-CN"/>
      <w14:ligatures w14:val="none"/>
    </w:rPr>
  </w:style>
  <w:style w:type="character" w:styleId="FollowedHyperlink">
    <w:name w:val="FollowedHyperlink"/>
    <w:basedOn w:val="DefaultParagraphFont"/>
    <w:semiHidden/>
    <w:unhideWhenUsed/>
    <w:rsid w:val="00B72231"/>
    <w:rPr>
      <w:color w:val="954F72" w:themeColor="followedHyperlink"/>
      <w:u w:val="single"/>
    </w:rPr>
  </w:style>
  <w:style w:type="paragraph" w:styleId="ListParagraph">
    <w:name w:val="List Paragraph"/>
    <w:basedOn w:val="Normal"/>
    <w:uiPriority w:val="34"/>
    <w:qFormat/>
    <w:rsid w:val="00B72231"/>
    <w:pPr>
      <w:ind w:left="720"/>
      <w:contextualSpacing/>
    </w:pPr>
  </w:style>
  <w:style w:type="paragraph" w:customStyle="1" w:styleId="Default">
    <w:name w:val="Default"/>
    <w:rsid w:val="00B72231"/>
    <w:pPr>
      <w:autoSpaceDE w:val="0"/>
      <w:autoSpaceDN w:val="0"/>
      <w:adjustRightInd w:val="0"/>
      <w:spacing w:after="0" w:line="360" w:lineRule="auto"/>
    </w:pPr>
    <w:rPr>
      <w:rFonts w:ascii="Aptos" w:eastAsia="Times New Roman" w:hAnsi="Aptos" w:cs="Lucida Sans"/>
      <w:color w:val="000000"/>
      <w:kern w:val="0"/>
      <w:szCs w:val="24"/>
      <w:lang w:eastAsia="zh-CN"/>
      <w14:ligatures w14:val="none"/>
    </w:rPr>
  </w:style>
  <w:style w:type="character" w:customStyle="1" w:styleId="TableCellChar">
    <w:name w:val="Table Cell Char"/>
    <w:basedOn w:val="DefaultParagraphFont"/>
    <w:link w:val="TableCell"/>
    <w:locked/>
    <w:rsid w:val="00B72231"/>
    <w:rPr>
      <w:rFonts w:ascii="Aptos" w:eastAsia="Times New Roman" w:hAnsi="Aptos" w:cs="Times New Roman"/>
      <w:kern w:val="0"/>
      <w:lang w:eastAsia="zh-CN"/>
      <w14:ligatures w14:val="none"/>
    </w:rPr>
  </w:style>
  <w:style w:type="character" w:customStyle="1" w:styleId="TableHeaderChar">
    <w:name w:val="Table Header Char"/>
    <w:basedOn w:val="TableCellChar"/>
    <w:link w:val="TableHeader"/>
    <w:locked/>
    <w:rsid w:val="00B72231"/>
    <w:rPr>
      <w:rFonts w:ascii="Aptos" w:eastAsia="Times New Roman" w:hAnsi="Aptos" w:cs="Times New Roman"/>
      <w:b/>
      <w:bCs/>
      <w:kern w:val="0"/>
      <w:lang w:eastAsia="zh-CN"/>
      <w14:ligatures w14:val="none"/>
    </w:rPr>
  </w:style>
  <w:style w:type="paragraph" w:customStyle="1" w:styleId="TableHeader">
    <w:name w:val="Table Header"/>
    <w:basedOn w:val="TableCell"/>
    <w:next w:val="TableCell"/>
    <w:link w:val="TableHeaderChar"/>
    <w:qFormat/>
    <w:rsid w:val="00B72231"/>
    <w:pPr>
      <w:adjustRightInd w:val="0"/>
    </w:pPr>
    <w:rPr>
      <w:b/>
      <w:bCs/>
    </w:rPr>
  </w:style>
  <w:style w:type="paragraph" w:customStyle="1" w:styleId="Abstractfirstparagraph">
    <w:name w:val="Abstract first paragraph"/>
    <w:basedOn w:val="Normal"/>
    <w:next w:val="Abstractsubsequentparagraphs"/>
    <w:qFormat/>
    <w:rsid w:val="00B72231"/>
    <w:pPr>
      <w:spacing w:before="0" w:after="120" w:line="276" w:lineRule="auto"/>
    </w:pPr>
  </w:style>
  <w:style w:type="paragraph" w:customStyle="1" w:styleId="Abstractsubsequentparagraphs">
    <w:name w:val="Abstract subsequent paragraphs"/>
    <w:basedOn w:val="Abstractfirstparagraph"/>
    <w:qFormat/>
    <w:rsid w:val="00B72231"/>
    <w:pPr>
      <w:ind w:firstLine="284"/>
    </w:pPr>
  </w:style>
  <w:style w:type="paragraph" w:customStyle="1" w:styleId="Definitions">
    <w:name w:val="Definitions"/>
    <w:basedOn w:val="Normal"/>
    <w:qFormat/>
    <w:rsid w:val="00B72231"/>
    <w:pPr>
      <w:tabs>
        <w:tab w:val="left" w:leader="dot" w:pos="2552"/>
      </w:tabs>
      <w:spacing w:before="120" w:after="120"/>
      <w:ind w:left="2552" w:hanging="2552"/>
    </w:pPr>
    <w:rPr>
      <w:lang w:eastAsia="en-US"/>
    </w:rPr>
  </w:style>
  <w:style w:type="character" w:styleId="UnresolvedMention">
    <w:name w:val="Unresolved Mention"/>
    <w:basedOn w:val="DefaultParagraphFont"/>
    <w:uiPriority w:val="99"/>
    <w:semiHidden/>
    <w:unhideWhenUsed/>
    <w:rsid w:val="00B72231"/>
    <w:rPr>
      <w:color w:val="605E5C"/>
      <w:shd w:val="clear" w:color="auto" w:fill="E1DFDD"/>
    </w:rPr>
  </w:style>
  <w:style w:type="table" w:customStyle="1" w:styleId="TableGrid1">
    <w:name w:val="Table Grid1"/>
    <w:basedOn w:val="TableNormal"/>
    <w:next w:val="TableGrid"/>
    <w:uiPriority w:val="39"/>
    <w:rsid w:val="00B722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231"/>
    <w:rPr>
      <w:sz w:val="16"/>
      <w:szCs w:val="16"/>
    </w:rPr>
  </w:style>
  <w:style w:type="paragraph" w:styleId="Quote">
    <w:name w:val="Quote"/>
    <w:basedOn w:val="Normal"/>
    <w:next w:val="Normal"/>
    <w:link w:val="QuoteChar"/>
    <w:uiPriority w:val="29"/>
    <w:qFormat/>
    <w:rsid w:val="00B72231"/>
    <w:pPr>
      <w:spacing w:after="160" w:line="259" w:lineRule="auto"/>
      <w:ind w:left="864" w:right="864"/>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B72231"/>
    <w:rPr>
      <w:i/>
      <w:iCs/>
      <w:color w:val="404040" w:themeColor="text1" w:themeTint="BF"/>
      <w:kern w:val="0"/>
      <w14:ligatures w14:val="none"/>
    </w:rPr>
  </w:style>
  <w:style w:type="paragraph" w:customStyle="1" w:styleId="Normal0">
    <w:name w:val="[Normal]"/>
    <w:rsid w:val="00B72231"/>
    <w:pPr>
      <w:widowControl w:val="0"/>
      <w:autoSpaceDE w:val="0"/>
      <w:autoSpaceDN w:val="0"/>
      <w:adjustRightInd w:val="0"/>
      <w:spacing w:after="0" w:line="240" w:lineRule="auto"/>
    </w:pPr>
    <w:rPr>
      <w:rFonts w:ascii="Arial" w:hAnsi="Arial" w:cs="Arial"/>
      <w:kern w:val="0"/>
      <w:sz w:val="24"/>
      <w:szCs w:val="24"/>
      <w14:ligatures w14:val="none"/>
    </w:rPr>
  </w:style>
  <w:style w:type="character" w:customStyle="1" w:styleId="normaltextrun">
    <w:name w:val="normaltextrun"/>
    <w:basedOn w:val="DefaultParagraphFont"/>
    <w:rsid w:val="00B72231"/>
  </w:style>
  <w:style w:type="paragraph" w:customStyle="1" w:styleId="paragraph">
    <w:name w:val="paragraph"/>
    <w:basedOn w:val="Normal"/>
    <w:rsid w:val="00B72231"/>
    <w:pPr>
      <w:spacing w:before="100" w:beforeAutospacing="1" w:after="100" w:afterAutospacing="1" w:line="240" w:lineRule="auto"/>
    </w:pPr>
    <w:rPr>
      <w:rFonts w:ascii="Times New Roman" w:hAnsi="Times New Roman"/>
      <w:sz w:val="24"/>
      <w:szCs w:val="24"/>
      <w:lang w:eastAsia="en-GB"/>
    </w:rPr>
  </w:style>
  <w:style w:type="character" w:customStyle="1" w:styleId="eop">
    <w:name w:val="eop"/>
    <w:basedOn w:val="DefaultParagraphFont"/>
    <w:rsid w:val="00B72231"/>
  </w:style>
  <w:style w:type="character" w:customStyle="1" w:styleId="scxw51560287">
    <w:name w:val="scxw51560287"/>
    <w:basedOn w:val="DefaultParagraphFont"/>
    <w:rsid w:val="00B72231"/>
  </w:style>
  <w:style w:type="character" w:customStyle="1" w:styleId="contentcontrolboundarysink">
    <w:name w:val="contentcontrolboundarysink"/>
    <w:basedOn w:val="DefaultParagraphFont"/>
    <w:rsid w:val="00B72231"/>
  </w:style>
  <w:style w:type="character" w:customStyle="1" w:styleId="scxw12029762">
    <w:name w:val="scxw12029762"/>
    <w:basedOn w:val="DefaultParagraphFont"/>
    <w:rsid w:val="00B72231"/>
  </w:style>
  <w:style w:type="character" w:customStyle="1" w:styleId="tabchar">
    <w:name w:val="tabchar"/>
    <w:basedOn w:val="DefaultParagraphFont"/>
    <w:rsid w:val="00B72231"/>
  </w:style>
  <w:style w:type="character" w:customStyle="1" w:styleId="scxw177300986">
    <w:name w:val="scxw177300986"/>
    <w:basedOn w:val="DefaultParagraphFont"/>
    <w:rsid w:val="00B72231"/>
  </w:style>
  <w:style w:type="character" w:customStyle="1" w:styleId="scxw90212654">
    <w:name w:val="scxw90212654"/>
    <w:basedOn w:val="DefaultParagraphFont"/>
    <w:rsid w:val="00B72231"/>
  </w:style>
  <w:style w:type="character" w:customStyle="1" w:styleId="scxw57951284">
    <w:name w:val="scxw57951284"/>
    <w:basedOn w:val="DefaultParagraphFont"/>
    <w:rsid w:val="00B72231"/>
  </w:style>
  <w:style w:type="character" w:customStyle="1" w:styleId="scxw165419865">
    <w:name w:val="scxw165419865"/>
    <w:basedOn w:val="DefaultParagraphFont"/>
    <w:rsid w:val="00B72231"/>
  </w:style>
  <w:style w:type="character" w:customStyle="1" w:styleId="scxw83529001">
    <w:name w:val="scxw83529001"/>
    <w:basedOn w:val="DefaultParagraphFont"/>
    <w:rsid w:val="00B72231"/>
  </w:style>
  <w:style w:type="numbering" w:customStyle="1" w:styleId="NoList1">
    <w:name w:val="No List1"/>
    <w:next w:val="NoList"/>
    <w:uiPriority w:val="99"/>
    <w:semiHidden/>
    <w:unhideWhenUsed/>
    <w:rsid w:val="00B72231"/>
  </w:style>
  <w:style w:type="table" w:customStyle="1" w:styleId="TableGrid2">
    <w:name w:val="Table Grid2"/>
    <w:basedOn w:val="TableNormal"/>
    <w:next w:val="TableGrid"/>
    <w:uiPriority w:val="39"/>
    <w:rsid w:val="00B722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72231"/>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231"/>
    <w:pPr>
      <w:spacing w:after="0" w:line="240" w:lineRule="auto"/>
    </w:pPr>
    <w:rPr>
      <w:rFonts w:ascii="Aptos" w:eastAsia="Times New Roman" w:hAnsi="Aptos" w:cs="Times New Roman"/>
      <w:kern w:val="0"/>
      <w:lang w:eastAsia="zh-CN"/>
      <w14:ligatures w14:val="none"/>
    </w:rPr>
  </w:style>
  <w:style w:type="paragraph" w:customStyle="1" w:styleId="Authornames">
    <w:name w:val="Author names"/>
    <w:basedOn w:val="Normal"/>
    <w:next w:val="Normal"/>
    <w:qFormat/>
    <w:rsid w:val="006441A8"/>
    <w:pPr>
      <w:spacing w:before="240"/>
    </w:pPr>
    <w:rPr>
      <w:rFonts w:ascii="Times New Roman" w:hAnsi="Times New Roman"/>
      <w:sz w:val="28"/>
      <w:szCs w:val="24"/>
      <w:lang w:eastAsia="en-GB"/>
    </w:rPr>
  </w:style>
  <w:style w:type="paragraph" w:customStyle="1" w:styleId="Affiliation">
    <w:name w:val="Affiliation"/>
    <w:basedOn w:val="Normal"/>
    <w:qFormat/>
    <w:rsid w:val="006441A8"/>
    <w:pPr>
      <w:spacing w:before="240"/>
    </w:pPr>
    <w:rPr>
      <w:rFonts w:ascii="Times New Roman" w:hAnsi="Times New Roman"/>
      <w: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0439">
      <w:bodyDiv w:val="1"/>
      <w:marLeft w:val="0"/>
      <w:marRight w:val="0"/>
      <w:marTop w:val="0"/>
      <w:marBottom w:val="0"/>
      <w:divBdr>
        <w:top w:val="none" w:sz="0" w:space="0" w:color="auto"/>
        <w:left w:val="none" w:sz="0" w:space="0" w:color="auto"/>
        <w:bottom w:val="none" w:sz="0" w:space="0" w:color="auto"/>
        <w:right w:val="none" w:sz="0" w:space="0" w:color="auto"/>
      </w:divBdr>
    </w:div>
    <w:div w:id="11326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S2215-0366(21)00170-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omh.org/articles/10.22514/jomh.2023.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11348</Words>
  <Characters>64689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Fernandes</dc:creator>
  <cp:keywords/>
  <dc:description/>
  <cp:lastModifiedBy>Katy Sivyer</cp:lastModifiedBy>
  <cp:revision>3</cp:revision>
  <dcterms:created xsi:type="dcterms:W3CDTF">2025-06-03T15:31:00Z</dcterms:created>
  <dcterms:modified xsi:type="dcterms:W3CDTF">2025-06-03T15:38:00Z</dcterms:modified>
</cp:coreProperties>
</file>