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FE99" w14:textId="77777777" w:rsidR="00DB4AAF" w:rsidRDefault="00DB4AAF" w:rsidP="0040606B">
      <w:pPr>
        <w:spacing w:line="480" w:lineRule="auto"/>
        <w:rPr>
          <w:b/>
          <w:bCs/>
        </w:rPr>
      </w:pPr>
    </w:p>
    <w:p w14:paraId="166C7BC7" w14:textId="77777777" w:rsidR="00DB4AAF" w:rsidRDefault="00DB4AAF" w:rsidP="0040606B">
      <w:pPr>
        <w:spacing w:line="480" w:lineRule="auto"/>
        <w:rPr>
          <w:b/>
          <w:bCs/>
        </w:rPr>
      </w:pPr>
    </w:p>
    <w:p w14:paraId="35D503D8" w14:textId="1EDC2A58" w:rsidR="00DB4AAF" w:rsidRDefault="00DB4AAF" w:rsidP="0040606B">
      <w:pPr>
        <w:spacing w:line="480" w:lineRule="auto"/>
      </w:pPr>
      <w:r>
        <w:rPr>
          <w:b/>
          <w:bCs/>
        </w:rPr>
        <w:t xml:space="preserve">Title: </w:t>
      </w:r>
      <w:r w:rsidR="00760556">
        <w:t xml:space="preserve">Communities Against Cancer: a </w:t>
      </w:r>
      <w:r w:rsidR="006619BE">
        <w:t xml:space="preserve">qualitative </w:t>
      </w:r>
      <w:r w:rsidR="00760556">
        <w:t>study assessing the effectiveness of a community engagement initiative in improving cancer awareness for marginalised communities</w:t>
      </w:r>
    </w:p>
    <w:p w14:paraId="4019DDF4" w14:textId="48014052" w:rsidR="00DB4AAF" w:rsidRDefault="00DB4AAF" w:rsidP="0040606B">
      <w:pPr>
        <w:spacing w:line="480" w:lineRule="auto"/>
        <w:rPr>
          <w:b/>
          <w:bCs/>
        </w:rPr>
      </w:pPr>
    </w:p>
    <w:p w14:paraId="22AD9731" w14:textId="3EDDDEB0" w:rsidR="00DB4AAF" w:rsidRPr="00DB4AAF" w:rsidRDefault="00DB4AAF" w:rsidP="0040606B">
      <w:pPr>
        <w:spacing w:line="480" w:lineRule="auto"/>
      </w:pPr>
      <w:r>
        <w:rPr>
          <w:b/>
          <w:bCs/>
        </w:rPr>
        <w:t xml:space="preserve">Authors: </w:t>
      </w:r>
      <w:r>
        <w:t>Dr David Wright</w:t>
      </w:r>
      <w:r w:rsidR="00E8638C">
        <w:t>*</w:t>
      </w:r>
      <w:r>
        <w:rPr>
          <w:vertAlign w:val="superscript"/>
        </w:rPr>
        <w:t>1</w:t>
      </w:r>
      <w:r>
        <w:t xml:space="preserve">, Dr </w:t>
      </w:r>
      <w:r w:rsidR="00EA7F9D">
        <w:t>Rebecca</w:t>
      </w:r>
      <w:r>
        <w:t xml:space="preserve"> Foster</w:t>
      </w:r>
      <w:r>
        <w:rPr>
          <w:vertAlign w:val="superscript"/>
        </w:rPr>
        <w:t>1</w:t>
      </w:r>
      <w:r>
        <w:t>, Phoebe Miles</w:t>
      </w:r>
      <w:r>
        <w:rPr>
          <w:vertAlign w:val="superscript"/>
        </w:rPr>
        <w:t>1</w:t>
      </w:r>
      <w:r>
        <w:t>, Nicola Duffield</w:t>
      </w:r>
      <w:r w:rsidR="00E8638C">
        <w:rPr>
          <w:vertAlign w:val="superscript"/>
        </w:rPr>
        <w:t>2</w:t>
      </w:r>
      <w:r>
        <w:t>, Sally Rickard</w:t>
      </w:r>
      <w:r w:rsidR="00E8638C">
        <w:rPr>
          <w:vertAlign w:val="superscript"/>
        </w:rPr>
        <w:t>2</w:t>
      </w:r>
      <w:r>
        <w:t>, Dr Jane Frankland</w:t>
      </w:r>
      <w:r>
        <w:rPr>
          <w:vertAlign w:val="superscript"/>
        </w:rPr>
        <w:t>1</w:t>
      </w:r>
      <w:r>
        <w:t>, Prof Lynn Calman</w:t>
      </w:r>
      <w:r>
        <w:rPr>
          <w:vertAlign w:val="superscript"/>
        </w:rPr>
        <w:t>1</w:t>
      </w:r>
      <w:r>
        <w:t>, Prof Claire Foster</w:t>
      </w:r>
      <w:r>
        <w:rPr>
          <w:vertAlign w:val="superscript"/>
        </w:rPr>
        <w:t>1</w:t>
      </w:r>
    </w:p>
    <w:p w14:paraId="7A00FE58" w14:textId="77777777" w:rsidR="00DB4AAF" w:rsidRDefault="00DB4AAF" w:rsidP="0040606B">
      <w:pPr>
        <w:spacing w:line="480" w:lineRule="auto"/>
        <w:rPr>
          <w:b/>
          <w:bCs/>
        </w:rPr>
      </w:pPr>
    </w:p>
    <w:p w14:paraId="3509ED53" w14:textId="75C99DC2" w:rsidR="00DB4AAF" w:rsidRDefault="00DB4AAF" w:rsidP="0040606B">
      <w:pPr>
        <w:spacing w:line="480" w:lineRule="auto"/>
        <w:rPr>
          <w:b/>
          <w:bCs/>
        </w:rPr>
      </w:pPr>
      <w:r>
        <w:rPr>
          <w:b/>
          <w:bCs/>
        </w:rPr>
        <w:t>Institutional address:</w:t>
      </w:r>
    </w:p>
    <w:p w14:paraId="6979B4F0" w14:textId="07A542D0" w:rsidR="00DB4AAF" w:rsidRDefault="00DB4AAF" w:rsidP="0040606B">
      <w:pPr>
        <w:pStyle w:val="ListParagraph"/>
        <w:numPr>
          <w:ilvl w:val="0"/>
          <w:numId w:val="33"/>
        </w:numPr>
        <w:spacing w:line="480" w:lineRule="auto"/>
      </w:pPr>
      <w:r>
        <w:t xml:space="preserve">The </w:t>
      </w:r>
      <w:r w:rsidRPr="00DB4AAF">
        <w:t>Cent</w:t>
      </w:r>
      <w:r>
        <w:t xml:space="preserve">re for Psychosocial Research in Cancer, </w:t>
      </w:r>
      <w:r w:rsidRPr="00DB4AAF">
        <w:t xml:space="preserve">Building 67/4061, School of Health Sciences, Faculty of Environmental and Life Sciences, University of Southampton, University Road, </w:t>
      </w:r>
      <w:r w:rsidR="00E8638C">
        <w:t>Southampton, Hampshire</w:t>
      </w:r>
      <w:r w:rsidRPr="00DB4AAF">
        <w:t>, SO17 1BJ, UK</w:t>
      </w:r>
      <w:r w:rsidR="00760556">
        <w:t>.</w:t>
      </w:r>
    </w:p>
    <w:p w14:paraId="1F931918" w14:textId="6A00D211" w:rsidR="00DB4AAF" w:rsidRPr="00DB4AAF" w:rsidRDefault="00DB4AAF" w:rsidP="0040606B">
      <w:pPr>
        <w:pStyle w:val="ListParagraph"/>
        <w:numPr>
          <w:ilvl w:val="0"/>
          <w:numId w:val="33"/>
        </w:numPr>
        <w:spacing w:line="480" w:lineRule="auto"/>
      </w:pPr>
      <w:r w:rsidRPr="00DB4AAF">
        <w:t>Wessex Cancer Alliance</w:t>
      </w:r>
      <w:r>
        <w:t xml:space="preserve">, </w:t>
      </w:r>
      <w:r w:rsidRPr="00DB4AAF">
        <w:t>Oakley Road</w:t>
      </w:r>
      <w:r>
        <w:t xml:space="preserve">, </w:t>
      </w:r>
      <w:r w:rsidRPr="00DB4AAF">
        <w:t>Southampton</w:t>
      </w:r>
      <w:r>
        <w:t xml:space="preserve">, </w:t>
      </w:r>
      <w:r w:rsidR="00E8638C">
        <w:t xml:space="preserve">Hampshire. </w:t>
      </w:r>
      <w:r w:rsidRPr="00DB4AAF">
        <w:t>SO16 4GX</w:t>
      </w:r>
      <w:r w:rsidR="00E8638C">
        <w:t>, UK</w:t>
      </w:r>
      <w:r w:rsidR="00760556">
        <w:t>.</w:t>
      </w:r>
    </w:p>
    <w:p w14:paraId="4294C44F" w14:textId="77777777" w:rsidR="00DB4AAF" w:rsidRPr="00DB4AAF" w:rsidRDefault="00DB4AAF" w:rsidP="0040606B">
      <w:pPr>
        <w:spacing w:line="480" w:lineRule="auto"/>
      </w:pPr>
    </w:p>
    <w:p w14:paraId="3F755535" w14:textId="66DC25E3" w:rsidR="00DB4AAF" w:rsidRDefault="00E8638C" w:rsidP="0040606B">
      <w:pPr>
        <w:spacing w:line="480" w:lineRule="auto"/>
        <w:rPr>
          <w:b/>
          <w:bCs/>
        </w:rPr>
      </w:pPr>
      <w:r>
        <w:rPr>
          <w:b/>
          <w:bCs/>
        </w:rPr>
        <w:t>*Corresponding author:</w:t>
      </w:r>
    </w:p>
    <w:p w14:paraId="5728BEE4" w14:textId="2A1EB553" w:rsidR="00E8638C" w:rsidRDefault="00E8638C" w:rsidP="0040606B">
      <w:pPr>
        <w:spacing w:line="480" w:lineRule="auto"/>
      </w:pPr>
      <w:r w:rsidRPr="00E8638C">
        <w:t>Dr David Wright,</w:t>
      </w:r>
      <w:r>
        <w:t xml:space="preserve"> </w:t>
      </w:r>
      <w:r w:rsidRPr="00E8638C">
        <w:t xml:space="preserve">Senior Research Fellow. </w:t>
      </w:r>
      <w:hyperlink r:id="rId11" w:history="1">
        <w:r w:rsidRPr="00DF1DA5">
          <w:rPr>
            <w:rStyle w:val="Hyperlink"/>
          </w:rPr>
          <w:t>D.Wright@soton.ac.uk</w:t>
        </w:r>
      </w:hyperlink>
    </w:p>
    <w:p w14:paraId="1F39D90B" w14:textId="77777777" w:rsidR="00E8638C" w:rsidRDefault="00E8638C" w:rsidP="0040606B">
      <w:pPr>
        <w:spacing w:line="480" w:lineRule="auto"/>
      </w:pPr>
    </w:p>
    <w:p w14:paraId="4559C027" w14:textId="493C02EC" w:rsidR="00E8638C" w:rsidRPr="00E8638C" w:rsidRDefault="00E8638C" w:rsidP="0040606B">
      <w:pPr>
        <w:spacing w:line="480" w:lineRule="auto"/>
      </w:pPr>
    </w:p>
    <w:p w14:paraId="5FEFFD20" w14:textId="77777777" w:rsidR="00DB4AAF" w:rsidRDefault="00DB4AAF" w:rsidP="0040606B">
      <w:pPr>
        <w:spacing w:line="480" w:lineRule="auto"/>
        <w:rPr>
          <w:b/>
          <w:bCs/>
        </w:rPr>
      </w:pPr>
    </w:p>
    <w:p w14:paraId="5D6FB3A4" w14:textId="77777777" w:rsidR="00DB4AAF" w:rsidRDefault="00DB4AAF" w:rsidP="0040606B">
      <w:pPr>
        <w:spacing w:line="480" w:lineRule="auto"/>
        <w:rPr>
          <w:b/>
          <w:bCs/>
        </w:rPr>
        <w:sectPr w:rsidR="00DB4AAF" w:rsidSect="00FB54FE">
          <w:footerReference w:type="even" r:id="rId12"/>
          <w:footerReference w:type="default" r:id="rId13"/>
          <w:pgSz w:w="11900" w:h="16840"/>
          <w:pgMar w:top="1440" w:right="1440" w:bottom="1440" w:left="1440" w:header="708" w:footer="708" w:gutter="0"/>
          <w:cols w:space="708"/>
          <w:docGrid w:linePitch="360"/>
        </w:sectPr>
      </w:pPr>
    </w:p>
    <w:p w14:paraId="21D98EA7" w14:textId="7F512810" w:rsidR="00224C39" w:rsidRDefault="00224C39" w:rsidP="0040606B">
      <w:pPr>
        <w:spacing w:line="480" w:lineRule="auto"/>
      </w:pPr>
      <w:r w:rsidRPr="00E42C34">
        <w:rPr>
          <w:b/>
          <w:bCs/>
        </w:rPr>
        <w:lastRenderedPageBreak/>
        <w:t>Title:</w:t>
      </w:r>
      <w:r w:rsidR="00E42C34">
        <w:t xml:space="preserve"> </w:t>
      </w:r>
      <w:r w:rsidR="00760556">
        <w:t xml:space="preserve">Communities Against Cancer: a </w:t>
      </w:r>
      <w:r w:rsidR="006619BE">
        <w:t>qualitative</w:t>
      </w:r>
      <w:r w:rsidR="00760556">
        <w:t xml:space="preserve"> study assessing the effectiveness of a community engagement initiative in improving cancer awareness for marginalised communities</w:t>
      </w:r>
    </w:p>
    <w:p w14:paraId="04C2A166" w14:textId="77777777" w:rsidR="00E42C34" w:rsidRDefault="00E42C34" w:rsidP="0040606B">
      <w:pPr>
        <w:spacing w:line="480" w:lineRule="auto"/>
      </w:pPr>
    </w:p>
    <w:p w14:paraId="7DBA49D3" w14:textId="27D966E8" w:rsidR="008B5766" w:rsidRPr="00106158" w:rsidRDefault="008B5766" w:rsidP="0040606B">
      <w:pPr>
        <w:spacing w:line="480" w:lineRule="auto"/>
        <w:rPr>
          <w:rFonts w:cstheme="minorHAnsi"/>
          <w:b/>
          <w:bCs/>
        </w:rPr>
      </w:pPr>
      <w:r w:rsidRPr="00106158">
        <w:rPr>
          <w:rFonts w:cstheme="minorHAnsi"/>
          <w:b/>
          <w:bCs/>
        </w:rPr>
        <w:t>Abstract</w:t>
      </w:r>
    </w:p>
    <w:p w14:paraId="2B013560" w14:textId="30956E08" w:rsidR="00D62A76" w:rsidRPr="00CF5720" w:rsidRDefault="008B5766" w:rsidP="0040606B">
      <w:pPr>
        <w:spacing w:line="480" w:lineRule="auto"/>
        <w:rPr>
          <w:rFonts w:cstheme="minorHAnsi"/>
          <w:i/>
          <w:iCs/>
        </w:rPr>
      </w:pPr>
      <w:r w:rsidRPr="008B5766">
        <w:rPr>
          <w:rFonts w:cstheme="minorHAnsi"/>
          <w:b/>
          <w:bCs/>
          <w:i/>
          <w:iCs/>
        </w:rPr>
        <w:t>Background</w:t>
      </w:r>
    </w:p>
    <w:p w14:paraId="186C2558" w14:textId="1D9FBEAC" w:rsidR="00D62A76" w:rsidRDefault="00A8443E" w:rsidP="0040606B">
      <w:pPr>
        <w:autoSpaceDE w:val="0"/>
        <w:autoSpaceDN w:val="0"/>
        <w:adjustRightInd w:val="0"/>
        <w:spacing w:line="480" w:lineRule="auto"/>
        <w:rPr>
          <w:rFonts w:eastAsia="Calibri"/>
        </w:rPr>
      </w:pPr>
      <w:r w:rsidRPr="40C55922">
        <w:t>M</w:t>
      </w:r>
      <w:r w:rsidR="00D62A76" w:rsidRPr="40C55922">
        <w:t xml:space="preserve">arginalised communities (including </w:t>
      </w:r>
      <w:r w:rsidR="00247E7A">
        <w:t>minoritised ethnic</w:t>
      </w:r>
      <w:r w:rsidR="00D62A76" w:rsidRPr="40C55922">
        <w:t xml:space="preserve"> groups and people with lower socioeconomic status) often present </w:t>
      </w:r>
      <w:r w:rsidRPr="40C55922">
        <w:t xml:space="preserve">with a late cancer stage </w:t>
      </w:r>
      <w:r w:rsidR="00D62A76" w:rsidRPr="40C55922">
        <w:t>at diagnosis</w:t>
      </w:r>
      <w:r w:rsidRPr="40C55922">
        <w:t>, affecting survival</w:t>
      </w:r>
      <w:r w:rsidR="00D62A76" w:rsidRPr="40C55922">
        <w:t>. This is due to many factors including</w:t>
      </w:r>
      <w:r w:rsidR="00D62A76" w:rsidRPr="40C55922">
        <w:rPr>
          <w:rFonts w:eastAsia="Calibri"/>
        </w:rPr>
        <w:t xml:space="preserve"> cultural barriers, mistrust of health services and</w:t>
      </w:r>
      <w:r w:rsidR="00D62A76" w:rsidRPr="40C55922">
        <w:t xml:space="preserve"> low</w:t>
      </w:r>
      <w:r w:rsidR="00D62A76" w:rsidRPr="40C55922">
        <w:rPr>
          <w:rFonts w:eastAsia="Calibri"/>
        </w:rPr>
        <w:t xml:space="preserve"> levels of c</w:t>
      </w:r>
      <w:r w:rsidR="004E486D" w:rsidRPr="40C55922">
        <w:rPr>
          <w:rFonts w:eastAsia="Calibri"/>
        </w:rPr>
        <w:t xml:space="preserve">ancer </w:t>
      </w:r>
      <w:r w:rsidRPr="40C55922">
        <w:rPr>
          <w:rFonts w:eastAsia="Calibri"/>
        </w:rPr>
        <w:t>awareness</w:t>
      </w:r>
      <w:r w:rsidR="00D62A76" w:rsidRPr="40C55922">
        <w:rPr>
          <w:rFonts w:eastAsia="Calibri"/>
        </w:rPr>
        <w:t>.</w:t>
      </w:r>
      <w:r w:rsidR="004E486D" w:rsidRPr="40C55922">
        <w:rPr>
          <w:rFonts w:eastAsia="Calibri"/>
        </w:rPr>
        <w:t xml:space="preserve"> </w:t>
      </w:r>
      <w:r w:rsidR="00D62A76" w:rsidRPr="40C55922">
        <w:rPr>
          <w:rFonts w:eastAsia="Calibri"/>
        </w:rPr>
        <w:t xml:space="preserve">Communities Against Cancer (CAC) </w:t>
      </w:r>
      <w:r w:rsidR="004E486D" w:rsidRPr="40C55922">
        <w:rPr>
          <w:rFonts w:eastAsia="Calibri"/>
        </w:rPr>
        <w:t>aimed</w:t>
      </w:r>
      <w:r w:rsidR="00D62A76" w:rsidRPr="40C55922">
        <w:rPr>
          <w:rFonts w:eastAsia="Calibri"/>
        </w:rPr>
        <w:t xml:space="preserve"> to promote cancer awareness and healthy lifestyle</w:t>
      </w:r>
      <w:r w:rsidR="00050B14">
        <w:rPr>
          <w:rFonts w:eastAsia="Calibri"/>
        </w:rPr>
        <w:t>s</w:t>
      </w:r>
      <w:r w:rsidR="00D62A76" w:rsidRPr="40C55922">
        <w:rPr>
          <w:rFonts w:eastAsia="Calibri"/>
        </w:rPr>
        <w:t xml:space="preserve"> and help-seeking behaviours for</w:t>
      </w:r>
      <w:r w:rsidR="004E486D" w:rsidRPr="40C55922">
        <w:rPr>
          <w:rFonts w:eastAsia="Calibri"/>
        </w:rPr>
        <w:t xml:space="preserve"> </w:t>
      </w:r>
      <w:r w:rsidR="00D62A76" w:rsidRPr="40C55922">
        <w:rPr>
          <w:rFonts w:eastAsia="Calibri"/>
        </w:rPr>
        <w:t xml:space="preserve">marginalised communities </w:t>
      </w:r>
      <w:r w:rsidR="00247E7A">
        <w:rPr>
          <w:rFonts w:eastAsia="Calibri"/>
        </w:rPr>
        <w:t>through a grant-scheme that provided</w:t>
      </w:r>
      <w:r w:rsidR="00361279">
        <w:rPr>
          <w:rFonts w:eastAsia="Calibri"/>
        </w:rPr>
        <w:t xml:space="preserve"> </w:t>
      </w:r>
      <w:r w:rsidR="00247E7A">
        <w:rPr>
          <w:rFonts w:eastAsia="Calibri"/>
        </w:rPr>
        <w:t xml:space="preserve">funding for community-led </w:t>
      </w:r>
      <w:r w:rsidR="661A09CF" w:rsidRPr="40C55922">
        <w:rPr>
          <w:rFonts w:eastAsia="Calibri"/>
        </w:rPr>
        <w:t>projects</w:t>
      </w:r>
      <w:r w:rsidR="00A403AF">
        <w:rPr>
          <w:rFonts w:eastAsia="Calibri"/>
        </w:rPr>
        <w:t xml:space="preserve">, which ran from </w:t>
      </w:r>
      <w:r w:rsidR="00A403AF">
        <w:rPr>
          <w:rFonts w:cstheme="minorHAnsi"/>
        </w:rPr>
        <w:t>1</w:t>
      </w:r>
      <w:r w:rsidR="00A403AF" w:rsidRPr="00D45EEC">
        <w:rPr>
          <w:rFonts w:cstheme="minorHAnsi"/>
          <w:vertAlign w:val="superscript"/>
        </w:rPr>
        <w:t>st</w:t>
      </w:r>
      <w:r w:rsidR="00A403AF">
        <w:rPr>
          <w:rFonts w:cstheme="minorHAnsi"/>
        </w:rPr>
        <w:t xml:space="preserve"> January 2021 – 31</w:t>
      </w:r>
      <w:r w:rsidR="00A403AF" w:rsidRPr="00BA3A3C">
        <w:rPr>
          <w:rFonts w:cstheme="minorHAnsi"/>
          <w:vertAlign w:val="superscript"/>
        </w:rPr>
        <w:t>st</w:t>
      </w:r>
      <w:r w:rsidR="00A403AF">
        <w:rPr>
          <w:rFonts w:cstheme="minorHAnsi"/>
        </w:rPr>
        <w:t xml:space="preserve"> December 2022</w:t>
      </w:r>
      <w:r w:rsidR="00D62A76" w:rsidRPr="40C55922">
        <w:rPr>
          <w:rFonts w:eastAsia="Calibri"/>
        </w:rPr>
        <w:t xml:space="preserve">. </w:t>
      </w:r>
      <w:r w:rsidR="663E87CB" w:rsidRPr="40C55922">
        <w:rPr>
          <w:rFonts w:eastAsia="Calibri"/>
        </w:rPr>
        <w:t>This</w:t>
      </w:r>
      <w:r w:rsidR="00D62A76" w:rsidRPr="40C55922">
        <w:rPr>
          <w:rFonts w:eastAsia="Calibri"/>
        </w:rPr>
        <w:t xml:space="preserve"> paper reports findings from a study </w:t>
      </w:r>
      <w:r w:rsidR="004E486D" w:rsidRPr="40C55922">
        <w:rPr>
          <w:rFonts w:eastAsia="Calibri"/>
        </w:rPr>
        <w:t xml:space="preserve">that </w:t>
      </w:r>
      <w:r w:rsidR="00D62A76" w:rsidRPr="40C55922">
        <w:rPr>
          <w:rFonts w:eastAsia="Calibri"/>
        </w:rPr>
        <w:t>assess</w:t>
      </w:r>
      <w:r w:rsidR="004E486D" w:rsidRPr="40C55922">
        <w:rPr>
          <w:rFonts w:eastAsia="Calibri"/>
        </w:rPr>
        <w:t>e</w:t>
      </w:r>
      <w:r w:rsidRPr="40C55922">
        <w:rPr>
          <w:rFonts w:eastAsia="Calibri"/>
        </w:rPr>
        <w:t>d</w:t>
      </w:r>
      <w:r w:rsidR="00D62A76" w:rsidRPr="40C55922">
        <w:rPr>
          <w:rFonts w:eastAsia="Calibri"/>
        </w:rPr>
        <w:t xml:space="preserve"> </w:t>
      </w:r>
      <w:r w:rsidRPr="40C55922">
        <w:rPr>
          <w:rFonts w:eastAsia="Calibri"/>
        </w:rPr>
        <w:t>whether</w:t>
      </w:r>
      <w:r w:rsidR="004E486D" w:rsidRPr="40C55922">
        <w:rPr>
          <w:rFonts w:eastAsia="Calibri"/>
        </w:rPr>
        <w:t xml:space="preserve"> </w:t>
      </w:r>
      <w:r w:rsidR="00106158" w:rsidRPr="40C55922">
        <w:rPr>
          <w:rFonts w:eastAsia="Calibri"/>
        </w:rPr>
        <w:t>CAC</w:t>
      </w:r>
      <w:r w:rsidR="004E486D" w:rsidRPr="40C55922">
        <w:rPr>
          <w:rFonts w:eastAsia="Calibri"/>
        </w:rPr>
        <w:t xml:space="preserve"> met its aims and the characteristics of successful</w:t>
      </w:r>
      <w:r w:rsidR="00247E7A">
        <w:rPr>
          <w:rFonts w:eastAsia="Calibri"/>
        </w:rPr>
        <w:t>ly delivered</w:t>
      </w:r>
      <w:r w:rsidR="004E486D" w:rsidRPr="40C55922">
        <w:rPr>
          <w:rFonts w:eastAsia="Calibri"/>
        </w:rPr>
        <w:t xml:space="preserve"> </w:t>
      </w:r>
      <w:r w:rsidRPr="40C55922">
        <w:rPr>
          <w:rFonts w:eastAsia="Calibri"/>
        </w:rPr>
        <w:t>projects</w:t>
      </w:r>
      <w:r w:rsidR="004E486D" w:rsidRPr="40C55922">
        <w:rPr>
          <w:rFonts w:eastAsia="Calibri"/>
        </w:rPr>
        <w:t>.</w:t>
      </w:r>
    </w:p>
    <w:p w14:paraId="07E157BF" w14:textId="77777777" w:rsidR="00D62A76" w:rsidRDefault="00D62A76" w:rsidP="0040606B">
      <w:pPr>
        <w:spacing w:line="480" w:lineRule="auto"/>
      </w:pPr>
    </w:p>
    <w:p w14:paraId="1CEC49D6" w14:textId="6FAAF70E" w:rsidR="00D67522" w:rsidRPr="00CF5720" w:rsidRDefault="008B5766" w:rsidP="0040606B">
      <w:pPr>
        <w:spacing w:line="480" w:lineRule="auto"/>
        <w:rPr>
          <w:rFonts w:cstheme="minorHAnsi"/>
          <w:i/>
          <w:iCs/>
        </w:rPr>
      </w:pPr>
      <w:r w:rsidRPr="008B5766">
        <w:rPr>
          <w:rFonts w:cstheme="minorHAnsi"/>
          <w:b/>
          <w:bCs/>
          <w:i/>
          <w:iCs/>
        </w:rPr>
        <w:t>Methods</w:t>
      </w:r>
    </w:p>
    <w:p w14:paraId="158BE647" w14:textId="25103D69" w:rsidR="0083123C" w:rsidRDefault="00A8443E" w:rsidP="0040606B">
      <w:pPr>
        <w:spacing w:line="480" w:lineRule="auto"/>
      </w:pPr>
      <w:r>
        <w:t>A</w:t>
      </w:r>
      <w:r w:rsidR="00D67522">
        <w:t xml:space="preserve"> </w:t>
      </w:r>
      <w:r w:rsidR="006619BE">
        <w:t>qualitative</w:t>
      </w:r>
      <w:r w:rsidR="00D67522">
        <w:t xml:space="preserve"> approach </w:t>
      </w:r>
      <w:r>
        <w:t xml:space="preserve">was used </w:t>
      </w:r>
      <w:r w:rsidR="00D67522">
        <w:t>involving interviews</w:t>
      </w:r>
      <w:r w:rsidR="006619BE">
        <w:t xml:space="preserve"> and</w:t>
      </w:r>
      <w:r w:rsidR="00D67522">
        <w:t xml:space="preserve"> </w:t>
      </w:r>
      <w:r w:rsidR="00D67522" w:rsidRPr="40C55922">
        <w:t>observations of meetings</w:t>
      </w:r>
      <w:r w:rsidR="00B64A27" w:rsidRPr="40C55922">
        <w:t xml:space="preserve"> and </w:t>
      </w:r>
      <w:r w:rsidR="00D67522" w:rsidRPr="40C55922">
        <w:t>community activities</w:t>
      </w:r>
      <w:r w:rsidR="00B64A27" w:rsidRPr="40C55922">
        <w:t>,</w:t>
      </w:r>
      <w:r w:rsidR="00D67522" w:rsidRPr="40C55922">
        <w:t xml:space="preserve"> </w:t>
      </w:r>
      <w:r w:rsidR="006619BE">
        <w:t>support</w:t>
      </w:r>
      <w:r w:rsidR="00E04BB6">
        <w:t>ed</w:t>
      </w:r>
      <w:r w:rsidR="006619BE">
        <w:t xml:space="preserve"> by </w:t>
      </w:r>
      <w:r w:rsidR="00D67522" w:rsidRPr="40C55922">
        <w:t>documentary analysis</w:t>
      </w:r>
      <w:r w:rsidR="00B64A27" w:rsidRPr="40C55922">
        <w:t xml:space="preserve"> of </w:t>
      </w:r>
      <w:r w:rsidR="00D67522">
        <w:t xml:space="preserve">minutes, </w:t>
      </w:r>
      <w:r w:rsidR="6878ABB9">
        <w:t xml:space="preserve">grant </w:t>
      </w:r>
      <w:r w:rsidR="00D67522">
        <w:t>applications</w:t>
      </w:r>
      <w:r w:rsidR="00CB678C">
        <w:t>,</w:t>
      </w:r>
      <w:r w:rsidR="00D67522">
        <w:t xml:space="preserve"> reports</w:t>
      </w:r>
      <w:r w:rsidR="006619BE">
        <w:t xml:space="preserve"> and quantitative descriptions of grant-level data</w:t>
      </w:r>
      <w:r w:rsidR="00D67522">
        <w:t>.</w:t>
      </w:r>
      <w:r w:rsidR="00B64A27">
        <w:t xml:space="preserve"> P</w:t>
      </w:r>
      <w:r w:rsidR="00D67522">
        <w:t>articipants includ</w:t>
      </w:r>
      <w:r w:rsidR="00B64A27">
        <w:t>ed</w:t>
      </w:r>
      <w:r w:rsidR="00D67522">
        <w:t xml:space="preserve"> representatives from </w:t>
      </w:r>
      <w:r w:rsidR="00B64A27">
        <w:t>the</w:t>
      </w:r>
      <w:r w:rsidR="00D67522">
        <w:t xml:space="preserve"> fund</w:t>
      </w:r>
      <w:r>
        <w:t>er</w:t>
      </w:r>
      <w:r w:rsidR="00D67522">
        <w:t xml:space="preserve"> and grant distributor</w:t>
      </w:r>
      <w:r w:rsidR="00B64A27">
        <w:t>, c</w:t>
      </w:r>
      <w:r w:rsidR="00D67522">
        <w:t>ommunity advocates</w:t>
      </w:r>
      <w:r w:rsidR="00B64A27">
        <w:t xml:space="preserve">, </w:t>
      </w:r>
      <w:r w:rsidR="00D67522">
        <w:t>applicants</w:t>
      </w:r>
      <w:r w:rsidR="00F3667D">
        <w:t xml:space="preserve"> and</w:t>
      </w:r>
      <w:r w:rsidR="00B64A27">
        <w:t xml:space="preserve"> </w:t>
      </w:r>
      <w:r w:rsidR="489133D3">
        <w:t>recipients</w:t>
      </w:r>
      <w:r w:rsidR="00D67522">
        <w:t xml:space="preserve"> of CAC funding</w:t>
      </w:r>
      <w:r w:rsidR="00B64A27">
        <w:t>.</w:t>
      </w:r>
      <w:r>
        <w:t xml:space="preserve"> </w:t>
      </w:r>
      <w:r w:rsidR="00B64A27">
        <w:t xml:space="preserve">Thirty-seven </w:t>
      </w:r>
      <w:r w:rsidR="00D67522">
        <w:t xml:space="preserve">people </w:t>
      </w:r>
      <w:r>
        <w:t>were interviewed</w:t>
      </w:r>
      <w:r w:rsidR="00F313CF">
        <w:t xml:space="preserve">, all of whom were invited to a second follow-up interview. Twenty-one participants agreed to a second interview, resulting in </w:t>
      </w:r>
      <w:r w:rsidR="00D67522">
        <w:t xml:space="preserve">58 interviews </w:t>
      </w:r>
      <w:r>
        <w:t>in total</w:t>
      </w:r>
      <w:r w:rsidR="00D67522">
        <w:t xml:space="preserve">. </w:t>
      </w:r>
      <w:r w:rsidR="0083123C">
        <w:t>I</w:t>
      </w:r>
      <w:r w:rsidR="00B64A27">
        <w:t xml:space="preserve">nterview transcripts and observation fieldnotes </w:t>
      </w:r>
      <w:r w:rsidR="0083123C">
        <w:t xml:space="preserve">were analysed </w:t>
      </w:r>
      <w:r w:rsidR="00B64A27">
        <w:t>thematically</w:t>
      </w:r>
      <w:r w:rsidR="0083123C">
        <w:t>.</w:t>
      </w:r>
    </w:p>
    <w:p w14:paraId="4BA9B966" w14:textId="77777777" w:rsidR="00267835" w:rsidRDefault="00267835" w:rsidP="0040606B">
      <w:pPr>
        <w:spacing w:line="480" w:lineRule="auto"/>
      </w:pPr>
    </w:p>
    <w:p w14:paraId="65841032" w14:textId="539B6171" w:rsidR="008B5766" w:rsidRPr="004D2D32" w:rsidRDefault="008B5766" w:rsidP="0040606B">
      <w:pPr>
        <w:spacing w:line="480" w:lineRule="auto"/>
        <w:rPr>
          <w:rFonts w:cstheme="minorHAnsi"/>
          <w:b/>
          <w:bCs/>
          <w:i/>
          <w:iCs/>
        </w:rPr>
      </w:pPr>
      <w:r w:rsidRPr="004D2D32">
        <w:rPr>
          <w:rFonts w:cstheme="minorHAnsi"/>
          <w:b/>
          <w:bCs/>
          <w:i/>
          <w:iCs/>
        </w:rPr>
        <w:t>Results</w:t>
      </w:r>
    </w:p>
    <w:p w14:paraId="3101E405" w14:textId="47E6CFFC" w:rsidR="00CF5720" w:rsidRDefault="00CF5720" w:rsidP="0040606B">
      <w:pPr>
        <w:spacing w:line="480" w:lineRule="auto"/>
      </w:pPr>
      <w:r>
        <w:t xml:space="preserve">CAC </w:t>
      </w:r>
      <w:r w:rsidR="007D0707">
        <w:t>c</w:t>
      </w:r>
      <w:r>
        <w:t xml:space="preserve">ommunity grants </w:t>
      </w:r>
      <w:r w:rsidR="00361279">
        <w:t>encouraged</w:t>
      </w:r>
      <w:r>
        <w:t>: 1) healthy behaviours (e.g. families on low incomes reported healthier diet</w:t>
      </w:r>
      <w:r w:rsidR="00BE3F32">
        <w:t>s</w:t>
      </w:r>
      <w:r>
        <w:t>); 2) screening</w:t>
      </w:r>
      <w:r w:rsidR="00B2674E">
        <w:t xml:space="preserve"> and</w:t>
      </w:r>
      <w:r>
        <w:t xml:space="preserve"> </w:t>
      </w:r>
      <w:r w:rsidR="00B2674E">
        <w:t xml:space="preserve">PSA testing </w:t>
      </w:r>
      <w:r>
        <w:t>uptake (</w:t>
      </w:r>
      <w:r w:rsidR="00B2674E">
        <w:t xml:space="preserve">e.g. </w:t>
      </w:r>
      <w:r w:rsidR="00D023A2">
        <w:t>a</w:t>
      </w:r>
      <w:r>
        <w:t xml:space="preserve"> group representing neurodivergent </w:t>
      </w:r>
      <w:r w:rsidR="00361279">
        <w:t>people</w:t>
      </w:r>
      <w:r>
        <w:t xml:space="preserve"> </w:t>
      </w:r>
      <w:r w:rsidR="002E7503">
        <w:t>created a film of a</w:t>
      </w:r>
      <w:r>
        <w:t xml:space="preserve"> breast screening unit</w:t>
      </w:r>
      <w:r w:rsidR="00BE3F32" w:rsidRPr="40C55922">
        <w:rPr>
          <w:rStyle w:val="ui-provider"/>
        </w:rPr>
        <w:t>,</w:t>
      </w:r>
      <w:r w:rsidR="002E7503" w:rsidRPr="40C55922">
        <w:rPr>
          <w:rStyle w:val="ui-provider"/>
        </w:rPr>
        <w:t xml:space="preserve"> encourag</w:t>
      </w:r>
      <w:r w:rsidR="00BE3F32" w:rsidRPr="40C55922">
        <w:rPr>
          <w:rStyle w:val="ui-provider"/>
        </w:rPr>
        <w:t>ing</w:t>
      </w:r>
      <w:r w:rsidR="002E7503" w:rsidRPr="40C55922">
        <w:rPr>
          <w:rStyle w:val="ui-provider"/>
        </w:rPr>
        <w:t xml:space="preserve"> attendance); 3) awareness of signs and symptoms</w:t>
      </w:r>
      <w:r w:rsidR="002E7503" w:rsidRPr="40C55922">
        <w:rPr>
          <w:rStyle w:val="ui-provider"/>
          <w:b/>
          <w:bCs/>
          <w:i/>
          <w:iCs/>
        </w:rPr>
        <w:t xml:space="preserve"> </w:t>
      </w:r>
      <w:r w:rsidR="002E7503" w:rsidRPr="40C55922">
        <w:rPr>
          <w:rStyle w:val="ui-provider"/>
        </w:rPr>
        <w:t xml:space="preserve">(e.g. one radio station </w:t>
      </w:r>
      <w:r w:rsidR="00106158" w:rsidRPr="40C55922">
        <w:rPr>
          <w:rStyle w:val="ui-provider"/>
        </w:rPr>
        <w:t>for</w:t>
      </w:r>
      <w:r w:rsidR="002E7503" w:rsidRPr="40C55922">
        <w:rPr>
          <w:rStyle w:val="ui-provider"/>
        </w:rPr>
        <w:t xml:space="preserve"> South Asian communities </w:t>
      </w:r>
      <w:r w:rsidR="00106158" w:rsidRPr="40C55922">
        <w:rPr>
          <w:rStyle w:val="ui-provider"/>
        </w:rPr>
        <w:t>broadcast</w:t>
      </w:r>
      <w:r w:rsidR="002E7503" w:rsidRPr="40C55922">
        <w:rPr>
          <w:rStyle w:val="ui-provider"/>
        </w:rPr>
        <w:t xml:space="preserve"> a</w:t>
      </w:r>
      <w:r w:rsidR="007D0707" w:rsidRPr="40C55922">
        <w:rPr>
          <w:rStyle w:val="ui-provider"/>
        </w:rPr>
        <w:t>n episode on</w:t>
      </w:r>
      <w:r w:rsidR="002E7503" w:rsidRPr="40C55922">
        <w:rPr>
          <w:rStyle w:val="ui-provider"/>
        </w:rPr>
        <w:t xml:space="preserve"> s</w:t>
      </w:r>
      <w:r w:rsidRPr="40C55922">
        <w:rPr>
          <w:rStyle w:val="ui-provider"/>
        </w:rPr>
        <w:t>igns of prostate cancer</w:t>
      </w:r>
      <w:r w:rsidR="002E7503" w:rsidRPr="40C55922">
        <w:rPr>
          <w:rStyle w:val="ui-provider"/>
        </w:rPr>
        <w:t>, their most</w:t>
      </w:r>
      <w:r w:rsidRPr="40C55922">
        <w:rPr>
          <w:rStyle w:val="ui-provider"/>
        </w:rPr>
        <w:t xml:space="preserve"> downloaded</w:t>
      </w:r>
      <w:r w:rsidR="00BE3F32" w:rsidRPr="40C55922">
        <w:rPr>
          <w:rStyle w:val="ui-provider"/>
        </w:rPr>
        <w:t xml:space="preserve"> </w:t>
      </w:r>
      <w:r w:rsidR="007D0707" w:rsidRPr="40C55922">
        <w:rPr>
          <w:rStyle w:val="ui-provider"/>
        </w:rPr>
        <w:t>programme</w:t>
      </w:r>
      <w:r w:rsidR="002E7503" w:rsidRPr="40C55922">
        <w:rPr>
          <w:rStyle w:val="ui-provider"/>
        </w:rPr>
        <w:t>); 4)</w:t>
      </w:r>
      <w:r w:rsidRPr="40C55922">
        <w:rPr>
          <w:color w:val="000000" w:themeColor="text1"/>
        </w:rPr>
        <w:t xml:space="preserve"> help seeking behaviour</w:t>
      </w:r>
      <w:r w:rsidR="00361279">
        <w:rPr>
          <w:color w:val="000000" w:themeColor="text1"/>
        </w:rPr>
        <w:t>s</w:t>
      </w:r>
      <w:r w:rsidR="002E7503" w:rsidRPr="40C55922">
        <w:rPr>
          <w:color w:val="000000" w:themeColor="text1"/>
        </w:rPr>
        <w:t xml:space="preserve"> (e.g. one South Asian community group </w:t>
      </w:r>
      <w:r w:rsidR="00BE3F32" w:rsidRPr="40C55922">
        <w:rPr>
          <w:color w:val="000000" w:themeColor="text1"/>
        </w:rPr>
        <w:t>held</w:t>
      </w:r>
      <w:r w:rsidR="002E7503" w:rsidRPr="40C55922">
        <w:rPr>
          <w:color w:val="000000" w:themeColor="text1"/>
        </w:rPr>
        <w:t xml:space="preserve"> meeting</w:t>
      </w:r>
      <w:r w:rsidR="00BE3F32" w:rsidRPr="40C55922">
        <w:rPr>
          <w:color w:val="000000" w:themeColor="text1"/>
        </w:rPr>
        <w:t>s</w:t>
      </w:r>
      <w:r w:rsidR="002E7503" w:rsidRPr="40C55922">
        <w:rPr>
          <w:color w:val="000000" w:themeColor="text1"/>
        </w:rPr>
        <w:t xml:space="preserve"> with pharmacists, primary care and hospital staff, building trust with local </w:t>
      </w:r>
      <w:r w:rsidR="00BE3F32" w:rsidRPr="40C55922">
        <w:rPr>
          <w:color w:val="000000" w:themeColor="text1"/>
        </w:rPr>
        <w:t>services</w:t>
      </w:r>
      <w:r w:rsidR="002E7503" w:rsidRPr="40C55922">
        <w:rPr>
          <w:color w:val="000000" w:themeColor="text1"/>
        </w:rPr>
        <w:t xml:space="preserve">). Seven characteristics </w:t>
      </w:r>
      <w:r w:rsidR="0046493A">
        <w:rPr>
          <w:color w:val="000000" w:themeColor="text1"/>
        </w:rPr>
        <w:t xml:space="preserve">were identified for </w:t>
      </w:r>
      <w:r w:rsidR="002E7503" w:rsidRPr="40C55922">
        <w:rPr>
          <w:color w:val="000000" w:themeColor="text1"/>
        </w:rPr>
        <w:t>successful projects</w:t>
      </w:r>
      <w:r w:rsidR="0046493A">
        <w:rPr>
          <w:color w:val="000000" w:themeColor="text1"/>
        </w:rPr>
        <w:t xml:space="preserve"> (d</w:t>
      </w:r>
      <w:r w:rsidR="0046493A">
        <w:rPr>
          <w:rFonts w:cstheme="minorHAnsi"/>
        </w:rPr>
        <w:t xml:space="preserve">efined as meeting at least one of the initiative’s aims: </w:t>
      </w:r>
      <w:r w:rsidR="00EE1EAC">
        <w:t>raising awareness of</w:t>
      </w:r>
      <w:r w:rsidR="0046493A" w:rsidRPr="00806CB0">
        <w:t xml:space="preserve"> healthy behaviours</w:t>
      </w:r>
      <w:r w:rsidR="0046493A">
        <w:t xml:space="preserve">, </w:t>
      </w:r>
      <w:r w:rsidR="0046493A" w:rsidRPr="00806CB0">
        <w:t>screening uptake</w:t>
      </w:r>
      <w:r w:rsidR="0046493A">
        <w:t xml:space="preserve">, </w:t>
      </w:r>
      <w:r w:rsidR="0046493A" w:rsidRPr="00806CB0">
        <w:t>awareness of signs and symptoms</w:t>
      </w:r>
      <w:r w:rsidR="0046493A">
        <w:t>, and</w:t>
      </w:r>
      <w:r w:rsidR="0046493A" w:rsidRPr="00806CB0">
        <w:t xml:space="preserve"> help-seeking behaviour</w:t>
      </w:r>
      <w:r w:rsidR="0046493A">
        <w:t>).</w:t>
      </w:r>
      <w:r w:rsidR="0046493A">
        <w:rPr>
          <w:color w:val="000000" w:themeColor="text1"/>
        </w:rPr>
        <w:t xml:space="preserve"> The characteristics were:</w:t>
      </w:r>
      <w:r w:rsidR="002E7503" w:rsidRPr="40C55922">
        <w:rPr>
          <w:color w:val="000000" w:themeColor="text1"/>
        </w:rPr>
        <w:t xml:space="preserve"> 1) </w:t>
      </w:r>
      <w:r w:rsidR="00BE3F32" w:rsidRPr="40C55922">
        <w:rPr>
          <w:color w:val="000000" w:themeColor="text1"/>
        </w:rPr>
        <w:t>project</w:t>
      </w:r>
      <w:r w:rsidR="00F3667D" w:rsidRPr="40C55922">
        <w:rPr>
          <w:color w:val="000000" w:themeColor="text1"/>
        </w:rPr>
        <w:t xml:space="preserve">s </w:t>
      </w:r>
      <w:r w:rsidR="00361279">
        <w:rPr>
          <w:color w:val="000000" w:themeColor="text1"/>
        </w:rPr>
        <w:t xml:space="preserve">are </w:t>
      </w:r>
      <w:r w:rsidR="002E7503" w:rsidRPr="40C55922">
        <w:rPr>
          <w:color w:val="000000" w:themeColor="text1"/>
        </w:rPr>
        <w:t>designed with a</w:t>
      </w:r>
      <w:r w:rsidR="00B96583" w:rsidRPr="40C55922">
        <w:rPr>
          <w:color w:val="000000" w:themeColor="text1"/>
        </w:rPr>
        <w:t>n understanding of the community; 2) effecti</w:t>
      </w:r>
      <w:r w:rsidR="00BE3F32" w:rsidRPr="40C55922">
        <w:rPr>
          <w:color w:val="000000" w:themeColor="text1"/>
        </w:rPr>
        <w:t>ve</w:t>
      </w:r>
      <w:r w:rsidR="00B96583" w:rsidRPr="40C55922">
        <w:rPr>
          <w:color w:val="000000" w:themeColor="text1"/>
        </w:rPr>
        <w:t xml:space="preserve"> planning before delivery; 3)</w:t>
      </w:r>
      <w:r w:rsidR="00B96583" w:rsidRPr="40C55922">
        <w:rPr>
          <w:b/>
          <w:bCs/>
        </w:rPr>
        <w:t xml:space="preserve"> </w:t>
      </w:r>
      <w:r w:rsidR="00247E7A" w:rsidRPr="00247E7A">
        <w:t>projects</w:t>
      </w:r>
      <w:r w:rsidR="00247E7A">
        <w:rPr>
          <w:b/>
          <w:bCs/>
        </w:rPr>
        <w:t xml:space="preserve"> </w:t>
      </w:r>
      <w:r w:rsidR="00361279" w:rsidRPr="00361279">
        <w:t xml:space="preserve">are </w:t>
      </w:r>
      <w:r w:rsidR="00B96583">
        <w:t>co-creat</w:t>
      </w:r>
      <w:r w:rsidR="00247E7A">
        <w:t>ed</w:t>
      </w:r>
      <w:r w:rsidR="5FB1A953">
        <w:t xml:space="preserve"> with the community</w:t>
      </w:r>
      <w:r w:rsidR="00B96583">
        <w:t xml:space="preserve">; 4) alignment with </w:t>
      </w:r>
      <w:r>
        <w:t>group values</w:t>
      </w:r>
      <w:r w:rsidR="00B96583">
        <w:t>; 5) b</w:t>
      </w:r>
      <w:r>
        <w:t>uilding community members’ confidence</w:t>
      </w:r>
      <w:r w:rsidR="00B96583">
        <w:t xml:space="preserve">; 6) </w:t>
      </w:r>
      <w:r w:rsidR="00BE3F32" w:rsidRPr="40C55922">
        <w:t>e</w:t>
      </w:r>
      <w:r>
        <w:t>ffective communication</w:t>
      </w:r>
      <w:r w:rsidR="00B96583">
        <w:t xml:space="preserve">; 7) </w:t>
      </w:r>
      <w:r w:rsidR="00BE3F32">
        <w:t>a</w:t>
      </w:r>
      <w:r>
        <w:t>daptability and evaluation</w:t>
      </w:r>
      <w:r w:rsidR="00B96583">
        <w:t>.</w:t>
      </w:r>
    </w:p>
    <w:p w14:paraId="623BF8C6" w14:textId="77777777" w:rsidR="00F3667D" w:rsidRPr="008B5766" w:rsidRDefault="00F3667D" w:rsidP="0040606B">
      <w:pPr>
        <w:spacing w:line="480" w:lineRule="auto"/>
        <w:rPr>
          <w:rFonts w:cstheme="minorHAnsi"/>
        </w:rPr>
      </w:pPr>
    </w:p>
    <w:p w14:paraId="59BEFEC5" w14:textId="191B3CD3" w:rsidR="00B96583" w:rsidRPr="004D2D32" w:rsidRDefault="008B5766" w:rsidP="0040606B">
      <w:pPr>
        <w:spacing w:line="480" w:lineRule="auto"/>
        <w:rPr>
          <w:rFonts w:cstheme="minorHAnsi"/>
          <w:b/>
          <w:bCs/>
          <w:i/>
          <w:iCs/>
        </w:rPr>
      </w:pPr>
      <w:r w:rsidRPr="004D2D32">
        <w:rPr>
          <w:rFonts w:cstheme="minorHAnsi"/>
          <w:b/>
          <w:bCs/>
          <w:i/>
          <w:iCs/>
        </w:rPr>
        <w:t>Conclusions</w:t>
      </w:r>
    </w:p>
    <w:p w14:paraId="6243FCA8" w14:textId="09DE0F06" w:rsidR="008B5766" w:rsidRDefault="00601A25" w:rsidP="0040606B">
      <w:pPr>
        <w:spacing w:line="480" w:lineRule="auto"/>
        <w:rPr>
          <w:rFonts w:eastAsia="Calibri"/>
        </w:rPr>
      </w:pPr>
      <w:r w:rsidRPr="40C55922">
        <w:rPr>
          <w:rFonts w:eastAsia="Calibri"/>
        </w:rPr>
        <w:t xml:space="preserve">The community-based grant model </w:t>
      </w:r>
      <w:r>
        <w:rPr>
          <w:rFonts w:eastAsia="Calibri"/>
        </w:rPr>
        <w:t xml:space="preserve">adopted by CAC </w:t>
      </w:r>
      <w:r w:rsidRPr="40C55922">
        <w:rPr>
          <w:rFonts w:eastAsia="Calibri"/>
        </w:rPr>
        <w:t xml:space="preserve">enabled community </w:t>
      </w:r>
      <w:r w:rsidRPr="40C55922">
        <w:t xml:space="preserve">members to self-define effective strategies </w:t>
      </w:r>
      <w:r>
        <w:t>to deliver</w:t>
      </w:r>
      <w:r w:rsidRPr="40C55922">
        <w:t xml:space="preserve"> cancer messages</w:t>
      </w:r>
      <w:r>
        <w:t xml:space="preserve"> to their communities</w:t>
      </w:r>
      <w:r w:rsidRPr="40C55922">
        <w:t xml:space="preserve">. </w:t>
      </w:r>
      <w:r>
        <w:t xml:space="preserve">As a result, </w:t>
      </w:r>
      <w:r w:rsidR="00247E7A">
        <w:t>t</w:t>
      </w:r>
      <w:r w:rsidR="00B96583" w:rsidRPr="40C55922">
        <w:t>he CAC initiative met its aims</w:t>
      </w:r>
      <w:r w:rsidR="00247E7A">
        <w:t xml:space="preserve"> of</w:t>
      </w:r>
      <w:r w:rsidR="00B96583" w:rsidRPr="40C55922">
        <w:t xml:space="preserve"> </w:t>
      </w:r>
      <w:r w:rsidR="00B96583" w:rsidRPr="40C55922">
        <w:rPr>
          <w:rFonts w:eastAsia="Calibri"/>
        </w:rPr>
        <w:t>promot</w:t>
      </w:r>
      <w:r w:rsidR="005E6920" w:rsidRPr="40C55922">
        <w:rPr>
          <w:rFonts w:eastAsia="Calibri"/>
        </w:rPr>
        <w:t>ing</w:t>
      </w:r>
      <w:r w:rsidR="00B96583" w:rsidRPr="40C55922">
        <w:rPr>
          <w:rFonts w:eastAsia="Calibri"/>
        </w:rPr>
        <w:t xml:space="preserve"> cancer awareness</w:t>
      </w:r>
      <w:r w:rsidR="38788B77" w:rsidRPr="40C55922">
        <w:rPr>
          <w:rFonts w:eastAsia="Calibri"/>
        </w:rPr>
        <w:t>,</w:t>
      </w:r>
      <w:r w:rsidR="00B96583" w:rsidRPr="40C55922">
        <w:rPr>
          <w:rFonts w:eastAsia="Calibri"/>
        </w:rPr>
        <w:t xml:space="preserve"> </w:t>
      </w:r>
      <w:r w:rsidR="00EE1EAC">
        <w:rPr>
          <w:rFonts w:eastAsia="Calibri"/>
        </w:rPr>
        <w:t>encouraging</w:t>
      </w:r>
      <w:r w:rsidR="00BD1964" w:rsidRPr="40C55922">
        <w:rPr>
          <w:rFonts w:eastAsia="Calibri"/>
        </w:rPr>
        <w:t xml:space="preserve"> </w:t>
      </w:r>
      <w:r w:rsidR="00B96583" w:rsidRPr="40C55922">
        <w:rPr>
          <w:rFonts w:eastAsia="Calibri"/>
        </w:rPr>
        <w:t>healthy lifestyle</w:t>
      </w:r>
      <w:r w:rsidR="00166FAA">
        <w:rPr>
          <w:rFonts w:eastAsia="Calibri"/>
        </w:rPr>
        <w:t>s</w:t>
      </w:r>
      <w:r w:rsidR="00B96583" w:rsidRPr="40C55922">
        <w:rPr>
          <w:rFonts w:eastAsia="Calibri"/>
        </w:rPr>
        <w:t xml:space="preserve"> and</w:t>
      </w:r>
      <w:r w:rsidR="00247E7A">
        <w:rPr>
          <w:rFonts w:eastAsia="Calibri"/>
        </w:rPr>
        <w:t xml:space="preserve"> </w:t>
      </w:r>
      <w:r w:rsidR="00B96583" w:rsidRPr="40C55922">
        <w:rPr>
          <w:rFonts w:eastAsia="Calibri"/>
        </w:rPr>
        <w:t>help-seeking behaviours</w:t>
      </w:r>
      <w:r w:rsidR="00247E7A">
        <w:rPr>
          <w:rFonts w:eastAsia="Calibri"/>
        </w:rPr>
        <w:t xml:space="preserve"> by ensuring </w:t>
      </w:r>
      <w:proofErr w:type="spellStart"/>
      <w:r w:rsidR="00247E7A">
        <w:rPr>
          <w:rFonts w:eastAsia="Calibri"/>
        </w:rPr>
        <w:t>activites</w:t>
      </w:r>
      <w:proofErr w:type="spellEnd"/>
      <w:r w:rsidR="00247E7A">
        <w:rPr>
          <w:rFonts w:eastAsia="Calibri"/>
        </w:rPr>
        <w:t xml:space="preserve"> were fully tailored and co-created with </w:t>
      </w:r>
      <w:r w:rsidR="005E6920" w:rsidRPr="40C55922">
        <w:rPr>
          <w:rFonts w:eastAsia="Calibri"/>
        </w:rPr>
        <w:t>marginalised communities</w:t>
      </w:r>
      <w:r w:rsidR="00247E7A">
        <w:rPr>
          <w:rFonts w:eastAsia="Calibri"/>
        </w:rPr>
        <w:t>.</w:t>
      </w:r>
    </w:p>
    <w:p w14:paraId="71A97B5F" w14:textId="77777777" w:rsidR="00E8638C" w:rsidRDefault="00E8638C" w:rsidP="0040606B">
      <w:pPr>
        <w:spacing w:line="480" w:lineRule="auto"/>
        <w:rPr>
          <w:rFonts w:eastAsia="Calibri"/>
        </w:rPr>
      </w:pPr>
    </w:p>
    <w:p w14:paraId="1E9F8238" w14:textId="7B870AB0" w:rsidR="00E8638C" w:rsidRPr="00E8638C" w:rsidRDefault="00E8638C" w:rsidP="0040606B">
      <w:pPr>
        <w:spacing w:line="480" w:lineRule="auto"/>
        <w:rPr>
          <w:rFonts w:eastAsia="Calibri"/>
          <w:b/>
          <w:bCs/>
        </w:rPr>
      </w:pPr>
      <w:r w:rsidRPr="00E8638C">
        <w:rPr>
          <w:rFonts w:eastAsia="Calibri"/>
          <w:b/>
          <w:bCs/>
        </w:rPr>
        <w:lastRenderedPageBreak/>
        <w:t>Keywords:</w:t>
      </w:r>
    </w:p>
    <w:p w14:paraId="72687A85" w14:textId="7374FD17" w:rsidR="00E8638C" w:rsidRDefault="00E8638C" w:rsidP="0040606B">
      <w:pPr>
        <w:spacing w:line="480" w:lineRule="auto"/>
      </w:pPr>
      <w:r>
        <w:rPr>
          <w:rFonts w:eastAsia="Calibri"/>
        </w:rPr>
        <w:t>Equality and Diversity, Marginalised Communities, Cancer Awareness, Early Detection, Cancer Prevention.</w:t>
      </w:r>
    </w:p>
    <w:p w14:paraId="522181BC" w14:textId="77777777" w:rsidR="008B5766" w:rsidRDefault="008B5766" w:rsidP="0040606B">
      <w:pPr>
        <w:spacing w:line="480" w:lineRule="auto"/>
        <w:rPr>
          <w:rFonts w:cstheme="minorHAnsi"/>
        </w:rPr>
      </w:pPr>
    </w:p>
    <w:p w14:paraId="7B2E18A9" w14:textId="64A0F648" w:rsidR="00953007" w:rsidRDefault="00953007" w:rsidP="0040606B">
      <w:pPr>
        <w:spacing w:line="480" w:lineRule="auto"/>
        <w:rPr>
          <w:b/>
          <w:bCs/>
        </w:rPr>
      </w:pPr>
      <w:r w:rsidRPr="00953007">
        <w:rPr>
          <w:b/>
          <w:bCs/>
        </w:rPr>
        <w:t>Background</w:t>
      </w:r>
    </w:p>
    <w:p w14:paraId="1CB04567" w14:textId="52DDE19B" w:rsidR="001072F8" w:rsidRDefault="00885100" w:rsidP="0040606B">
      <w:pPr>
        <w:autoSpaceDE w:val="0"/>
        <w:autoSpaceDN w:val="0"/>
        <w:adjustRightInd w:val="0"/>
        <w:spacing w:line="480" w:lineRule="auto"/>
      </w:pPr>
      <w:r w:rsidRPr="40C55922">
        <w:t xml:space="preserve">Early detection and </w:t>
      </w:r>
      <w:r w:rsidR="4AB013F3" w:rsidRPr="40C55922">
        <w:t>early</w:t>
      </w:r>
      <w:r w:rsidRPr="40C55922">
        <w:t xml:space="preserve"> s</w:t>
      </w:r>
      <w:r w:rsidR="00D035FA" w:rsidRPr="40C55922">
        <w:t>tage at diagnosis are important factors in cancer survival</w:t>
      </w:r>
      <w:r w:rsidRPr="40C55922">
        <w:t>. E</w:t>
      </w:r>
      <w:r w:rsidR="00D857EB" w:rsidRPr="40C55922">
        <w:t xml:space="preserve">vidence </w:t>
      </w:r>
      <w:r w:rsidR="0004060A" w:rsidRPr="40C55922">
        <w:t>shows</w:t>
      </w:r>
      <w:r w:rsidR="00D857EB" w:rsidRPr="40C55922">
        <w:t xml:space="preserve"> that </w:t>
      </w:r>
      <w:r w:rsidR="0004060A" w:rsidRPr="40C55922">
        <w:t>people</w:t>
      </w:r>
      <w:r w:rsidR="004E5522" w:rsidRPr="40C55922">
        <w:t xml:space="preserve"> from</w:t>
      </w:r>
      <w:r w:rsidR="00D857EB" w:rsidRPr="40C55922">
        <w:t xml:space="preserve"> marginalised communities </w:t>
      </w:r>
      <w:r w:rsidR="0004060A" w:rsidRPr="40C55922">
        <w:t>often</w:t>
      </w:r>
      <w:r w:rsidR="00D857EB" w:rsidRPr="40C55922">
        <w:t xml:space="preserve"> </w:t>
      </w:r>
      <w:r w:rsidR="004E5522" w:rsidRPr="40C55922">
        <w:t xml:space="preserve">present </w:t>
      </w:r>
      <w:r w:rsidR="0004060A" w:rsidRPr="40C55922">
        <w:t xml:space="preserve">at diagnosis with a </w:t>
      </w:r>
      <w:r w:rsidR="00D857EB" w:rsidRPr="40C55922">
        <w:t>late cancer stage.</w:t>
      </w:r>
      <w:r w:rsidR="00401387" w:rsidRPr="40C55922">
        <w:rPr>
          <w:vertAlign w:val="superscript"/>
        </w:rPr>
        <w:t xml:space="preserve">1 </w:t>
      </w:r>
      <w:r w:rsidR="00502AA8" w:rsidRPr="40C55922">
        <w:t xml:space="preserve">In England, certain ethnicities (e.g. </w:t>
      </w:r>
      <w:r w:rsidR="00803026" w:rsidRPr="40C55922">
        <w:t xml:space="preserve">Caribbean, African </w:t>
      </w:r>
      <w:r w:rsidR="00502AA8" w:rsidRPr="40C55922">
        <w:t xml:space="preserve">or </w:t>
      </w:r>
      <w:r w:rsidR="00803026" w:rsidRPr="40C55922">
        <w:t>Asian British</w:t>
      </w:r>
      <w:r w:rsidR="00502AA8" w:rsidRPr="40C55922">
        <w:t xml:space="preserve">) have increased odds of late-stage disease at diagnosis compared with White British cohorts for </w:t>
      </w:r>
      <w:r w:rsidR="33563AFB" w:rsidRPr="40C55922">
        <w:t>some</w:t>
      </w:r>
      <w:r w:rsidR="00502AA8" w:rsidRPr="40C55922">
        <w:t xml:space="preserve"> cancers (e.g. </w:t>
      </w:r>
      <w:r w:rsidR="00803026" w:rsidRPr="40C55922">
        <w:t>breast</w:t>
      </w:r>
      <w:r w:rsidR="00502AA8" w:rsidRPr="40C55922">
        <w:t>,</w:t>
      </w:r>
      <w:r w:rsidR="00803026" w:rsidRPr="40C55922">
        <w:t xml:space="preserve"> ovarian cancer</w:t>
      </w:r>
      <w:r w:rsidR="00502AA8" w:rsidRPr="40C55922">
        <w:t xml:space="preserve"> or colon)</w:t>
      </w:r>
      <w:r w:rsidR="00803026" w:rsidRPr="40C55922">
        <w:t>.</w:t>
      </w:r>
      <w:r w:rsidR="00401387" w:rsidRPr="40C55922">
        <w:rPr>
          <w:vertAlign w:val="superscript"/>
        </w:rPr>
        <w:t>2</w:t>
      </w:r>
      <w:r w:rsidR="00B817B5" w:rsidRPr="40C55922">
        <w:rPr>
          <w:rFonts w:eastAsia="Calibri"/>
        </w:rPr>
        <w:t xml:space="preserve"> </w:t>
      </w:r>
      <w:r w:rsidR="00D857EB" w:rsidRPr="40C55922">
        <w:rPr>
          <w:rFonts w:eastAsia="Calibri"/>
        </w:rPr>
        <w:t>M</w:t>
      </w:r>
      <w:r w:rsidR="001072F8" w:rsidRPr="40C55922">
        <w:rPr>
          <w:rFonts w:eastAsia="Calibri"/>
        </w:rPr>
        <w:t xml:space="preserve">any factors </w:t>
      </w:r>
      <w:r w:rsidR="00BF761D" w:rsidRPr="40C55922">
        <w:rPr>
          <w:rFonts w:eastAsia="Calibri"/>
        </w:rPr>
        <w:t xml:space="preserve">contribute to </w:t>
      </w:r>
      <w:r w:rsidR="006D53CE">
        <w:rPr>
          <w:rFonts w:eastAsia="Calibri"/>
        </w:rPr>
        <w:t>this</w:t>
      </w:r>
      <w:r w:rsidR="00F2718B" w:rsidRPr="40C55922">
        <w:rPr>
          <w:rFonts w:eastAsia="Calibri"/>
        </w:rPr>
        <w:t xml:space="preserve">, including </w:t>
      </w:r>
      <w:r w:rsidR="001072F8" w:rsidRPr="40C55922">
        <w:rPr>
          <w:rFonts w:eastAsia="Calibri"/>
        </w:rPr>
        <w:t>cultural and linguistic barriers to accessing healthcare,</w:t>
      </w:r>
      <w:r w:rsidR="00401387" w:rsidRPr="40C55922">
        <w:rPr>
          <w:rFonts w:eastAsia="Calibri"/>
          <w:vertAlign w:val="superscript"/>
        </w:rPr>
        <w:t>3</w:t>
      </w:r>
      <w:r w:rsidR="001072F8" w:rsidRPr="40C55922">
        <w:rPr>
          <w:rFonts w:eastAsia="Calibri"/>
        </w:rPr>
        <w:t xml:space="preserve"> </w:t>
      </w:r>
      <w:r w:rsidR="00B817B5" w:rsidRPr="40C55922">
        <w:rPr>
          <w:rFonts w:eastAsia="Calibri"/>
        </w:rPr>
        <w:t>a</w:t>
      </w:r>
      <w:r w:rsidR="001072F8" w:rsidRPr="40C55922">
        <w:rPr>
          <w:rFonts w:eastAsia="Calibri"/>
        </w:rPr>
        <w:t xml:space="preserve"> mistrust </w:t>
      </w:r>
      <w:r w:rsidR="00D93B93" w:rsidRPr="40C55922">
        <w:rPr>
          <w:rFonts w:eastAsia="Calibri"/>
        </w:rPr>
        <w:t xml:space="preserve">of health services </w:t>
      </w:r>
      <w:r w:rsidR="001072F8" w:rsidRPr="40C55922">
        <w:rPr>
          <w:rFonts w:eastAsia="Calibri"/>
        </w:rPr>
        <w:t>due to historical and contemporary discrimination</w:t>
      </w:r>
      <w:r w:rsidR="00B817B5" w:rsidRPr="40C55922">
        <w:rPr>
          <w:rFonts w:eastAsia="Calibri"/>
        </w:rPr>
        <w:t>,</w:t>
      </w:r>
      <w:r w:rsidR="00401387" w:rsidRPr="40C55922">
        <w:rPr>
          <w:rFonts w:eastAsia="Calibri"/>
          <w:vertAlign w:val="superscript"/>
        </w:rPr>
        <w:t>4</w:t>
      </w:r>
      <w:r w:rsidR="001072F8" w:rsidRPr="40C55922">
        <w:rPr>
          <w:rFonts w:eastAsia="Calibri"/>
        </w:rPr>
        <w:t xml:space="preserve"> </w:t>
      </w:r>
      <w:r w:rsidR="00B817B5" w:rsidRPr="40C55922">
        <w:rPr>
          <w:rFonts w:eastAsia="Calibri"/>
        </w:rPr>
        <w:t>and</w:t>
      </w:r>
      <w:r w:rsidR="00BF761D" w:rsidRPr="40C55922">
        <w:t xml:space="preserve"> l</w:t>
      </w:r>
      <w:r w:rsidR="001072F8" w:rsidRPr="40C55922">
        <w:t>ow</w:t>
      </w:r>
      <w:r w:rsidR="00BF761D" w:rsidRPr="40C55922">
        <w:t>er</w:t>
      </w:r>
      <w:r w:rsidR="001072F8" w:rsidRPr="40C55922">
        <w:rPr>
          <w:rFonts w:eastAsia="Calibri"/>
        </w:rPr>
        <w:t xml:space="preserve"> levels of </w:t>
      </w:r>
      <w:r w:rsidR="00BF761D" w:rsidRPr="40C55922">
        <w:rPr>
          <w:rFonts w:eastAsia="Calibri"/>
        </w:rPr>
        <w:t xml:space="preserve">cancer </w:t>
      </w:r>
      <w:r w:rsidR="00EB74EA" w:rsidRPr="40C55922">
        <w:rPr>
          <w:rFonts w:eastAsia="Calibri"/>
        </w:rPr>
        <w:t xml:space="preserve">knowledge and </w:t>
      </w:r>
      <w:r w:rsidR="00BF761D" w:rsidRPr="40C55922">
        <w:rPr>
          <w:rFonts w:eastAsia="Calibri"/>
        </w:rPr>
        <w:t>awareness.</w:t>
      </w:r>
      <w:r w:rsidR="00401387" w:rsidRPr="40C55922">
        <w:rPr>
          <w:rFonts w:eastAsia="Calibri"/>
          <w:vertAlign w:val="superscript"/>
        </w:rPr>
        <w:t>5</w:t>
      </w:r>
      <w:r w:rsidR="00BF761D" w:rsidRPr="40C55922">
        <w:rPr>
          <w:rFonts w:eastAsia="Calibri"/>
          <w:vertAlign w:val="superscript"/>
        </w:rPr>
        <w:t>-</w:t>
      </w:r>
      <w:r w:rsidR="00401387" w:rsidRPr="40C55922">
        <w:rPr>
          <w:rFonts w:eastAsia="Calibri"/>
          <w:vertAlign w:val="superscript"/>
        </w:rPr>
        <w:t>7</w:t>
      </w:r>
      <w:r w:rsidR="00BF761D" w:rsidRPr="40C55922">
        <w:rPr>
          <w:rFonts w:eastAsia="Calibri"/>
        </w:rPr>
        <w:t xml:space="preserve"> </w:t>
      </w:r>
      <w:r w:rsidR="00644056" w:rsidRPr="40C55922">
        <w:t>A</w:t>
      </w:r>
      <w:r w:rsidR="001072F8" w:rsidRPr="40C55922">
        <w:t xml:space="preserve"> recent systematic review exploring barriers to breast and cervical cancer screening among Black, Asian and </w:t>
      </w:r>
      <w:r w:rsidR="00B4758F">
        <w:t>m</w:t>
      </w:r>
      <w:r w:rsidR="001072F8" w:rsidRPr="40C55922">
        <w:t xml:space="preserve">inority </w:t>
      </w:r>
      <w:r w:rsidR="00B4758F">
        <w:t>e</w:t>
      </w:r>
      <w:r w:rsidR="001072F8" w:rsidRPr="40C55922">
        <w:t>thnic</w:t>
      </w:r>
      <w:r w:rsidR="00880BB9" w:rsidRPr="40C55922">
        <w:t xml:space="preserve"> </w:t>
      </w:r>
      <w:r w:rsidR="001072F8" w:rsidRPr="40C55922">
        <w:t>women identified</w:t>
      </w:r>
      <w:r w:rsidR="00502AA8" w:rsidRPr="40C55922">
        <w:t xml:space="preserve"> numerous</w:t>
      </w:r>
      <w:r w:rsidR="001072F8" w:rsidRPr="40C55922">
        <w:t xml:space="preserve"> factors affect</w:t>
      </w:r>
      <w:r w:rsidR="00644056" w:rsidRPr="40C55922">
        <w:t xml:space="preserve">ing </w:t>
      </w:r>
      <w:r w:rsidR="00D93B93" w:rsidRPr="40C55922">
        <w:t>service</w:t>
      </w:r>
      <w:r w:rsidR="00644056" w:rsidRPr="40C55922">
        <w:t xml:space="preserve"> </w:t>
      </w:r>
      <w:r w:rsidR="001072F8" w:rsidRPr="40C55922">
        <w:t>uptake, including</w:t>
      </w:r>
      <w:r w:rsidR="00B817B5" w:rsidRPr="40C55922">
        <w:t xml:space="preserve"> </w:t>
      </w:r>
      <w:r w:rsidR="001072F8" w:rsidRPr="40C55922">
        <w:t>health service delivery (e.g. health professionals lacking cultural competence)</w:t>
      </w:r>
      <w:r w:rsidR="00BC3AD9" w:rsidRPr="40C55922">
        <w:t xml:space="preserve">, </w:t>
      </w:r>
      <w:r w:rsidR="001072F8" w:rsidRPr="40C55922">
        <w:t>cultural, religious and language issues (e.g. cancer stigma)</w:t>
      </w:r>
      <w:r w:rsidR="003C5A87" w:rsidRPr="40C55922">
        <w:t>, limited</w:t>
      </w:r>
      <w:r w:rsidR="001072F8" w:rsidRPr="40C55922">
        <w:t xml:space="preserve"> knowledge and awareness (</w:t>
      </w:r>
      <w:r w:rsidR="003C5A87" w:rsidRPr="40C55922">
        <w:t xml:space="preserve">e.g. </w:t>
      </w:r>
      <w:r w:rsidR="001072F8" w:rsidRPr="40C55922">
        <w:t>lack of knowledge of screening services)</w:t>
      </w:r>
      <w:r w:rsidR="003C5A87" w:rsidRPr="40C55922">
        <w:t xml:space="preserve">, and </w:t>
      </w:r>
      <w:r w:rsidR="001072F8" w:rsidRPr="40C55922">
        <w:t xml:space="preserve">emotional </w:t>
      </w:r>
      <w:r w:rsidR="00F51213" w:rsidRPr="40C55922">
        <w:t>factors</w:t>
      </w:r>
      <w:r w:rsidR="001072F8" w:rsidRPr="40C55922">
        <w:t xml:space="preserve"> (e.g. embarrassment</w:t>
      </w:r>
      <w:r w:rsidR="00B817B5" w:rsidRPr="40C55922">
        <w:t xml:space="preserve"> and</w:t>
      </w:r>
      <w:r w:rsidR="001072F8" w:rsidRPr="40C55922">
        <w:t xml:space="preserve"> fear)</w:t>
      </w:r>
      <w:r w:rsidR="008220DF" w:rsidRPr="40C55922">
        <w:t>.</w:t>
      </w:r>
      <w:r w:rsidR="00401387" w:rsidRPr="40C55922">
        <w:rPr>
          <w:vertAlign w:val="superscript"/>
        </w:rPr>
        <w:t>8</w:t>
      </w:r>
    </w:p>
    <w:p w14:paraId="14FDB8AE" w14:textId="77777777" w:rsidR="003C5A87" w:rsidRPr="003C5A87" w:rsidRDefault="003C5A87" w:rsidP="0040606B">
      <w:pPr>
        <w:autoSpaceDE w:val="0"/>
        <w:autoSpaceDN w:val="0"/>
        <w:adjustRightInd w:val="0"/>
        <w:spacing w:line="480" w:lineRule="auto"/>
        <w:rPr>
          <w:rFonts w:cstheme="minorHAnsi"/>
        </w:rPr>
      </w:pPr>
    </w:p>
    <w:p w14:paraId="611FF2BA" w14:textId="1661EB6A" w:rsidR="001072F8" w:rsidRDefault="00857322" w:rsidP="0040606B">
      <w:pPr>
        <w:autoSpaceDE w:val="0"/>
        <w:autoSpaceDN w:val="0"/>
        <w:adjustRightInd w:val="0"/>
        <w:spacing w:line="480" w:lineRule="auto"/>
        <w:rPr>
          <w:rFonts w:cstheme="minorHAnsi"/>
        </w:rPr>
      </w:pPr>
      <w:r>
        <w:rPr>
          <w:rFonts w:cstheme="minorHAnsi"/>
        </w:rPr>
        <w:t>P</w:t>
      </w:r>
      <w:r w:rsidR="00262CF9">
        <w:rPr>
          <w:rFonts w:cstheme="minorHAnsi"/>
        </w:rPr>
        <w:t>eople</w:t>
      </w:r>
      <w:r w:rsidR="00262CF9" w:rsidRPr="005F321A">
        <w:rPr>
          <w:rFonts w:cstheme="minorHAnsi"/>
        </w:rPr>
        <w:t xml:space="preserve"> with lower socioeconomic status</w:t>
      </w:r>
      <w:r w:rsidR="00262CF9">
        <w:rPr>
          <w:rFonts w:cstheme="minorHAnsi"/>
        </w:rPr>
        <w:t xml:space="preserve"> are more likely to present with advanced disease than those with higher socioeconomic status</w:t>
      </w:r>
      <w:r w:rsidR="00AD3A54">
        <w:rPr>
          <w:rFonts w:cstheme="minorHAnsi"/>
        </w:rPr>
        <w:t>,</w:t>
      </w:r>
      <w:r w:rsidR="00262CF9">
        <w:rPr>
          <w:rFonts w:cstheme="minorHAnsi"/>
        </w:rPr>
        <w:t xml:space="preserve"> due to </w:t>
      </w:r>
      <w:r w:rsidR="00262CF9" w:rsidRPr="00745943">
        <w:rPr>
          <w:rFonts w:cstheme="minorHAnsi"/>
        </w:rPr>
        <w:t>poor symptom knowledge, emotional barriers</w:t>
      </w:r>
      <w:r w:rsidR="00262CF9">
        <w:rPr>
          <w:rFonts w:cstheme="minorHAnsi"/>
        </w:rPr>
        <w:t xml:space="preserve"> and </w:t>
      </w:r>
      <w:r w:rsidR="00262CF9" w:rsidRPr="00745943">
        <w:rPr>
          <w:rFonts w:cstheme="minorHAnsi"/>
        </w:rPr>
        <w:t>de-prioriti</w:t>
      </w:r>
      <w:r w:rsidR="00262CF9">
        <w:rPr>
          <w:rFonts w:cstheme="minorHAnsi"/>
        </w:rPr>
        <w:t xml:space="preserve">sing </w:t>
      </w:r>
      <w:r w:rsidR="00262CF9" w:rsidRPr="00745943">
        <w:rPr>
          <w:rFonts w:cstheme="minorHAnsi"/>
        </w:rPr>
        <w:t xml:space="preserve">medical help-seeking </w:t>
      </w:r>
      <w:r w:rsidR="00AC701B">
        <w:rPr>
          <w:rFonts w:cstheme="minorHAnsi"/>
        </w:rPr>
        <w:t>against</w:t>
      </w:r>
      <w:r w:rsidR="00262CF9" w:rsidRPr="00745943">
        <w:rPr>
          <w:rFonts w:cstheme="minorHAnsi"/>
        </w:rPr>
        <w:t xml:space="preserve"> </w:t>
      </w:r>
      <w:r w:rsidR="00262CF9">
        <w:rPr>
          <w:rFonts w:cstheme="minorHAnsi"/>
        </w:rPr>
        <w:t>meeting</w:t>
      </w:r>
      <w:r w:rsidR="00262CF9" w:rsidRPr="00745943">
        <w:rPr>
          <w:rFonts w:cstheme="minorHAnsi"/>
        </w:rPr>
        <w:t xml:space="preserve"> daily needs</w:t>
      </w:r>
      <w:r w:rsidR="00262CF9">
        <w:rPr>
          <w:rFonts w:cstheme="minorHAnsi"/>
        </w:rPr>
        <w:t>.</w:t>
      </w:r>
      <w:r w:rsidR="00401387">
        <w:rPr>
          <w:rFonts w:cstheme="minorHAnsi"/>
          <w:vertAlign w:val="superscript"/>
        </w:rPr>
        <w:t>9</w:t>
      </w:r>
      <w:r w:rsidR="00262CF9">
        <w:rPr>
          <w:rFonts w:cstheme="minorHAnsi"/>
          <w:vertAlign w:val="superscript"/>
        </w:rPr>
        <w:t>-1</w:t>
      </w:r>
      <w:r w:rsidR="00401387">
        <w:rPr>
          <w:rFonts w:cstheme="minorHAnsi"/>
          <w:vertAlign w:val="superscript"/>
        </w:rPr>
        <w:t>1</w:t>
      </w:r>
      <w:r w:rsidR="00262CF9">
        <w:rPr>
          <w:rFonts w:cstheme="minorHAnsi"/>
          <w:vertAlign w:val="superscript"/>
        </w:rPr>
        <w:t xml:space="preserve"> </w:t>
      </w:r>
      <w:r w:rsidR="00262CF9">
        <w:rPr>
          <w:rFonts w:eastAsia="Calibri" w:cstheme="minorHAnsi"/>
        </w:rPr>
        <w:t>T</w:t>
      </w:r>
      <w:r w:rsidR="005F28C9">
        <w:rPr>
          <w:rFonts w:eastAsia="Calibri" w:cstheme="minorHAnsi"/>
        </w:rPr>
        <w:t xml:space="preserve">hose living with </w:t>
      </w:r>
      <w:r w:rsidR="001072F8" w:rsidRPr="00E807C0">
        <w:rPr>
          <w:rFonts w:eastAsia="Calibri" w:cstheme="minorHAnsi"/>
        </w:rPr>
        <w:t xml:space="preserve">autism and </w:t>
      </w:r>
      <w:r w:rsidR="007D0707">
        <w:rPr>
          <w:rFonts w:eastAsia="Calibri" w:cstheme="minorHAnsi"/>
        </w:rPr>
        <w:t>learning</w:t>
      </w:r>
      <w:r w:rsidR="001072F8" w:rsidRPr="00E807C0">
        <w:rPr>
          <w:rFonts w:eastAsia="Calibri" w:cstheme="minorHAnsi"/>
        </w:rPr>
        <w:t xml:space="preserve"> disabilit</w:t>
      </w:r>
      <w:r w:rsidR="005F28C9">
        <w:rPr>
          <w:rFonts w:eastAsia="Calibri" w:cstheme="minorHAnsi"/>
        </w:rPr>
        <w:t>ies</w:t>
      </w:r>
      <w:r w:rsidR="00262CF9">
        <w:rPr>
          <w:rFonts w:eastAsia="Calibri" w:cstheme="minorHAnsi"/>
        </w:rPr>
        <w:t xml:space="preserve"> are often marginalised </w:t>
      </w:r>
      <w:r w:rsidR="00A313A3">
        <w:rPr>
          <w:rFonts w:eastAsia="Calibri" w:cstheme="minorHAnsi"/>
        </w:rPr>
        <w:t xml:space="preserve">in accessing health services </w:t>
      </w:r>
      <w:r w:rsidR="00262CF9">
        <w:rPr>
          <w:rFonts w:eastAsia="Calibri" w:cstheme="minorHAnsi"/>
        </w:rPr>
        <w:t xml:space="preserve">as </w:t>
      </w:r>
      <w:r w:rsidR="00262CF9">
        <w:rPr>
          <w:rFonts w:eastAsia="Calibri" w:cstheme="minorHAnsi"/>
        </w:rPr>
        <w:lastRenderedPageBreak/>
        <w:t xml:space="preserve">they </w:t>
      </w:r>
      <w:r w:rsidR="005F28C9">
        <w:rPr>
          <w:rFonts w:eastAsia="Calibri" w:cstheme="minorHAnsi"/>
        </w:rPr>
        <w:t xml:space="preserve">can </w:t>
      </w:r>
      <w:r w:rsidR="001072F8" w:rsidRPr="00E807C0">
        <w:rPr>
          <w:rFonts w:eastAsia="Calibri" w:cstheme="minorHAnsi"/>
        </w:rPr>
        <w:t>f</w:t>
      </w:r>
      <w:r w:rsidR="00AF4A58">
        <w:rPr>
          <w:rFonts w:eastAsia="Calibri" w:cstheme="minorHAnsi"/>
        </w:rPr>
        <w:t xml:space="preserve">ind it </w:t>
      </w:r>
      <w:r w:rsidR="00262CF9">
        <w:rPr>
          <w:rFonts w:eastAsia="Calibri" w:cstheme="minorHAnsi"/>
        </w:rPr>
        <w:t>difficult</w:t>
      </w:r>
      <w:r w:rsidR="00AF4A58">
        <w:rPr>
          <w:rFonts w:eastAsia="Calibri" w:cstheme="minorHAnsi"/>
        </w:rPr>
        <w:t xml:space="preserve"> to </w:t>
      </w:r>
      <w:r w:rsidR="001072F8" w:rsidRPr="00E807C0">
        <w:rPr>
          <w:rFonts w:eastAsia="Calibri" w:cstheme="minorHAnsi"/>
        </w:rPr>
        <w:t>follow health information and communicat</w:t>
      </w:r>
      <w:r w:rsidR="00AF4A58">
        <w:rPr>
          <w:rFonts w:eastAsia="Calibri" w:cstheme="minorHAnsi"/>
        </w:rPr>
        <w:t>e</w:t>
      </w:r>
      <w:r w:rsidR="001072F8" w:rsidRPr="00E807C0">
        <w:rPr>
          <w:rFonts w:eastAsia="Calibri" w:cstheme="minorHAnsi"/>
        </w:rPr>
        <w:t xml:space="preserve"> needs to healthcare providers</w:t>
      </w:r>
      <w:r w:rsidR="00DB6B29">
        <w:rPr>
          <w:rFonts w:eastAsia="Calibri" w:cstheme="minorHAnsi"/>
        </w:rPr>
        <w:t>.</w:t>
      </w:r>
      <w:r w:rsidR="00DB6B29" w:rsidRPr="00DB6B29">
        <w:rPr>
          <w:rFonts w:eastAsia="Calibri" w:cstheme="minorHAnsi"/>
          <w:vertAlign w:val="superscript"/>
        </w:rPr>
        <w:t>1</w:t>
      </w:r>
      <w:r w:rsidR="00401387">
        <w:rPr>
          <w:rFonts w:eastAsia="Calibri" w:cstheme="minorHAnsi"/>
          <w:vertAlign w:val="superscript"/>
        </w:rPr>
        <w:t>2</w:t>
      </w:r>
      <w:r w:rsidR="001072F8" w:rsidRPr="00A07CB0">
        <w:rPr>
          <w:rFonts w:eastAsia="Calibri" w:cstheme="minorHAnsi"/>
        </w:rPr>
        <w:t xml:space="preserve"> </w:t>
      </w:r>
    </w:p>
    <w:p w14:paraId="3B2B2A5B" w14:textId="77777777" w:rsidR="007B23BE" w:rsidRDefault="007B23BE" w:rsidP="0040606B">
      <w:pPr>
        <w:autoSpaceDE w:val="0"/>
        <w:autoSpaceDN w:val="0"/>
        <w:adjustRightInd w:val="0"/>
        <w:spacing w:line="480" w:lineRule="auto"/>
        <w:rPr>
          <w:rFonts w:cstheme="minorHAnsi"/>
        </w:rPr>
      </w:pPr>
    </w:p>
    <w:p w14:paraId="5EB95775" w14:textId="07C0E89B" w:rsidR="00DE1D4A" w:rsidRPr="00384037" w:rsidRDefault="00262CF9" w:rsidP="0040606B">
      <w:pPr>
        <w:autoSpaceDE w:val="0"/>
        <w:autoSpaceDN w:val="0"/>
        <w:adjustRightInd w:val="0"/>
        <w:spacing w:line="480" w:lineRule="auto"/>
        <w:rPr>
          <w:rFonts w:eastAsia="Calibri"/>
        </w:rPr>
      </w:pPr>
      <w:r w:rsidRPr="40C55922">
        <w:rPr>
          <w:rFonts w:eastAsia="Calibri"/>
        </w:rPr>
        <w:t>T</w:t>
      </w:r>
      <w:r w:rsidR="00C0227A" w:rsidRPr="40C55922">
        <w:rPr>
          <w:rFonts w:eastAsia="Calibri"/>
        </w:rPr>
        <w:t xml:space="preserve">ailored </w:t>
      </w:r>
      <w:r w:rsidR="00A6689F" w:rsidRPr="40C55922">
        <w:rPr>
          <w:rFonts w:eastAsia="Calibri"/>
        </w:rPr>
        <w:t xml:space="preserve">interventions </w:t>
      </w:r>
      <w:r w:rsidRPr="40C55922">
        <w:rPr>
          <w:rFonts w:eastAsia="Calibri"/>
        </w:rPr>
        <w:t xml:space="preserve">have been recommended </w:t>
      </w:r>
      <w:r w:rsidR="006E1B83" w:rsidRPr="40C55922">
        <w:rPr>
          <w:rFonts w:eastAsia="Calibri"/>
        </w:rPr>
        <w:t xml:space="preserve">to </w:t>
      </w:r>
      <w:r w:rsidR="00FB6481" w:rsidRPr="40C55922">
        <w:rPr>
          <w:rFonts w:eastAsia="Calibri"/>
        </w:rPr>
        <w:t xml:space="preserve">encourage behaviour change and </w:t>
      </w:r>
      <w:r w:rsidR="006E1B83" w:rsidRPr="40C55922">
        <w:rPr>
          <w:rFonts w:eastAsia="Calibri"/>
        </w:rPr>
        <w:t>support</w:t>
      </w:r>
      <w:r w:rsidR="00C0227A" w:rsidRPr="40C55922">
        <w:rPr>
          <w:rFonts w:eastAsia="Calibri"/>
        </w:rPr>
        <w:t xml:space="preserve"> cancer screening among </w:t>
      </w:r>
      <w:r w:rsidRPr="40C55922">
        <w:rPr>
          <w:rFonts w:eastAsia="Calibri"/>
        </w:rPr>
        <w:t xml:space="preserve">marginalised </w:t>
      </w:r>
      <w:r w:rsidR="00C0227A" w:rsidRPr="40C55922">
        <w:rPr>
          <w:rFonts w:eastAsia="Calibri"/>
        </w:rPr>
        <w:t>communities.</w:t>
      </w:r>
      <w:r w:rsidR="00C0227A" w:rsidRPr="40C55922">
        <w:rPr>
          <w:rFonts w:eastAsia="Calibri"/>
          <w:vertAlign w:val="superscript"/>
        </w:rPr>
        <w:t>1</w:t>
      </w:r>
      <w:r w:rsidR="00401387" w:rsidRPr="40C55922">
        <w:rPr>
          <w:rFonts w:eastAsia="Calibri"/>
          <w:vertAlign w:val="superscript"/>
        </w:rPr>
        <w:t>3</w:t>
      </w:r>
      <w:r w:rsidR="00C0227A" w:rsidRPr="40C55922">
        <w:rPr>
          <w:rFonts w:eastAsia="Calibri"/>
          <w:vertAlign w:val="superscript"/>
        </w:rPr>
        <w:t>-1</w:t>
      </w:r>
      <w:r w:rsidR="00401387" w:rsidRPr="40C55922">
        <w:rPr>
          <w:rFonts w:eastAsia="Calibri"/>
          <w:vertAlign w:val="superscript"/>
        </w:rPr>
        <w:t>5</w:t>
      </w:r>
      <w:r w:rsidRPr="40C55922">
        <w:t xml:space="preserve"> </w:t>
      </w:r>
      <w:r w:rsidR="006F0C22" w:rsidRPr="40C55922">
        <w:t>T</w:t>
      </w:r>
      <w:r w:rsidRPr="40C55922">
        <w:t xml:space="preserve">hese </w:t>
      </w:r>
      <w:r w:rsidR="009C2091" w:rsidRPr="40C55922">
        <w:rPr>
          <w:rFonts w:eastAsia="Calibri"/>
        </w:rPr>
        <w:t>ha</w:t>
      </w:r>
      <w:r w:rsidR="007B23BE" w:rsidRPr="40C55922">
        <w:rPr>
          <w:rFonts w:eastAsia="Calibri"/>
        </w:rPr>
        <w:t xml:space="preserve">ve </w:t>
      </w:r>
      <w:r w:rsidR="006F0C22" w:rsidRPr="40C55922">
        <w:t xml:space="preserve">often </w:t>
      </w:r>
      <w:r w:rsidR="00D2044C" w:rsidRPr="40C55922">
        <w:rPr>
          <w:rFonts w:eastAsia="Calibri"/>
        </w:rPr>
        <w:t xml:space="preserve">adopted </w:t>
      </w:r>
      <w:r w:rsidR="007B23BE" w:rsidRPr="40C55922">
        <w:rPr>
          <w:rFonts w:eastAsia="Calibri"/>
        </w:rPr>
        <w:t xml:space="preserve">educational </w:t>
      </w:r>
      <w:r w:rsidR="0004060A" w:rsidRPr="40C55922">
        <w:rPr>
          <w:rFonts w:eastAsia="Calibri"/>
        </w:rPr>
        <w:t>approaches</w:t>
      </w:r>
      <w:r w:rsidR="009D4B5E" w:rsidRPr="40C55922">
        <w:rPr>
          <w:rFonts w:eastAsia="Calibri"/>
        </w:rPr>
        <w:t>, such as the US</w:t>
      </w:r>
      <w:r w:rsidR="00EA7637" w:rsidRPr="40C55922">
        <w:rPr>
          <w:rFonts w:eastAsia="Calibri"/>
        </w:rPr>
        <w:t xml:space="preserve"> </w:t>
      </w:r>
      <w:r w:rsidR="0022368F" w:rsidRPr="40C55922">
        <w:rPr>
          <w:rFonts w:eastAsia="Calibri"/>
        </w:rPr>
        <w:t xml:space="preserve">‘Women Be Healthy’ </w:t>
      </w:r>
      <w:r w:rsidR="00474A41" w:rsidRPr="40C55922">
        <w:rPr>
          <w:rFonts w:eastAsia="Calibri"/>
        </w:rPr>
        <w:t>and ‘Women Be Healthy 2’</w:t>
      </w:r>
      <w:r w:rsidR="009D4B5E" w:rsidRPr="40C55922">
        <w:rPr>
          <w:rFonts w:eastAsia="Calibri"/>
        </w:rPr>
        <w:t xml:space="preserve"> </w:t>
      </w:r>
      <w:r w:rsidR="0022368F" w:rsidRPr="40C55922">
        <w:rPr>
          <w:rFonts w:eastAsia="Calibri"/>
        </w:rPr>
        <w:t>eight-week curriculum</w:t>
      </w:r>
      <w:r w:rsidR="00CF2829" w:rsidRPr="40C55922">
        <w:rPr>
          <w:rFonts w:eastAsia="Calibri"/>
        </w:rPr>
        <w:t xml:space="preserve"> for women with intellectual disabilities</w:t>
      </w:r>
      <w:r w:rsidR="0004060A" w:rsidRPr="40C55922">
        <w:rPr>
          <w:rFonts w:eastAsia="Calibri"/>
        </w:rPr>
        <w:t xml:space="preserve">, </w:t>
      </w:r>
      <w:r w:rsidR="009D4B5E" w:rsidRPr="40C55922">
        <w:rPr>
          <w:rFonts w:eastAsia="Calibri"/>
        </w:rPr>
        <w:t>which</w:t>
      </w:r>
      <w:r w:rsidR="0004060A" w:rsidRPr="40C55922">
        <w:rPr>
          <w:rFonts w:eastAsia="Calibri"/>
        </w:rPr>
        <w:t xml:space="preserve"> incr</w:t>
      </w:r>
      <w:r w:rsidRPr="40C55922">
        <w:rPr>
          <w:rFonts w:eastAsia="Calibri"/>
        </w:rPr>
        <w:t>eased</w:t>
      </w:r>
      <w:r w:rsidR="0004060A" w:rsidRPr="40C55922">
        <w:rPr>
          <w:rFonts w:eastAsia="Calibri"/>
        </w:rPr>
        <w:t xml:space="preserve"> screening</w:t>
      </w:r>
      <w:r w:rsidR="00AA7BD0">
        <w:rPr>
          <w:rFonts w:eastAsia="Calibri"/>
        </w:rPr>
        <w:t>-related knowledge</w:t>
      </w:r>
      <w:r w:rsidR="00D47FAD" w:rsidRPr="40C55922">
        <w:rPr>
          <w:rFonts w:eastAsia="Calibri"/>
        </w:rPr>
        <w:t>.</w:t>
      </w:r>
      <w:r w:rsidR="00D47FAD" w:rsidRPr="40C55922">
        <w:rPr>
          <w:rFonts w:eastAsia="Calibri"/>
          <w:vertAlign w:val="superscript"/>
        </w:rPr>
        <w:t>1</w:t>
      </w:r>
      <w:r w:rsidR="00401387" w:rsidRPr="40C55922">
        <w:rPr>
          <w:rFonts w:eastAsia="Calibri"/>
          <w:vertAlign w:val="superscript"/>
        </w:rPr>
        <w:t>6</w:t>
      </w:r>
      <w:r w:rsidR="00CF2829" w:rsidRPr="40C55922">
        <w:rPr>
          <w:rFonts w:eastAsia="Calibri"/>
        </w:rPr>
        <w:t xml:space="preserve"> </w:t>
      </w:r>
      <w:r w:rsidR="00DE1D4A">
        <w:rPr>
          <w:rFonts w:eastAsia="Calibri"/>
        </w:rPr>
        <w:t>In a UK study,</w:t>
      </w:r>
      <w:r w:rsidR="00DE1D4A" w:rsidRPr="00DE1D4A">
        <w:rPr>
          <w:rFonts w:eastAsia="Calibri" w:cstheme="minorHAnsi"/>
        </w:rPr>
        <w:t xml:space="preserve"> </w:t>
      </w:r>
      <w:r w:rsidR="00DE1D4A" w:rsidRPr="001B7F83">
        <w:rPr>
          <w:rFonts w:eastAsia="Calibri" w:cstheme="minorHAnsi"/>
        </w:rPr>
        <w:t xml:space="preserve">men with intellectual difficulties were randomly allocated to teaching or </w:t>
      </w:r>
      <w:r w:rsidR="00384037">
        <w:rPr>
          <w:rFonts w:eastAsia="Calibri" w:cstheme="minorHAnsi"/>
        </w:rPr>
        <w:t xml:space="preserve">information </w:t>
      </w:r>
      <w:r w:rsidR="00DE1D4A" w:rsidRPr="001B7F83">
        <w:rPr>
          <w:rFonts w:eastAsia="Calibri" w:cstheme="minorHAnsi"/>
        </w:rPr>
        <w:t>leaflet groups, with the teaching group receiving an educative intervention.</w:t>
      </w:r>
      <w:r w:rsidR="00384037" w:rsidRPr="00384037">
        <w:rPr>
          <w:rFonts w:eastAsia="Calibri" w:cstheme="minorHAnsi"/>
          <w:vertAlign w:val="superscript"/>
        </w:rPr>
        <w:t>17</w:t>
      </w:r>
      <w:r w:rsidR="00DE1D4A" w:rsidRPr="001B7F83">
        <w:rPr>
          <w:rFonts w:eastAsia="Calibri" w:cstheme="minorHAnsi"/>
        </w:rPr>
        <w:t xml:space="preserve"> </w:t>
      </w:r>
      <w:r w:rsidR="00384037">
        <w:rPr>
          <w:rFonts w:eastAsia="Calibri" w:cstheme="minorHAnsi"/>
        </w:rPr>
        <w:t>P</w:t>
      </w:r>
      <w:r w:rsidR="00DE1D4A">
        <w:rPr>
          <w:rFonts w:eastAsia="Calibri" w:cstheme="minorHAnsi"/>
        </w:rPr>
        <w:t>articipants</w:t>
      </w:r>
      <w:r w:rsidR="00DE1D4A" w:rsidRPr="001B7F83">
        <w:rPr>
          <w:rFonts w:eastAsia="Calibri" w:cstheme="minorHAnsi"/>
        </w:rPr>
        <w:t xml:space="preserve"> </w:t>
      </w:r>
      <w:r w:rsidR="00870E7E">
        <w:rPr>
          <w:rFonts w:eastAsia="Calibri" w:cstheme="minorHAnsi"/>
        </w:rPr>
        <w:t xml:space="preserve">were </w:t>
      </w:r>
      <w:r w:rsidR="00DE1D4A" w:rsidRPr="001B7F83">
        <w:rPr>
          <w:rFonts w:eastAsia="Calibri" w:cstheme="minorHAnsi"/>
        </w:rPr>
        <w:t>recruit</w:t>
      </w:r>
      <w:r w:rsidR="00DE1D4A">
        <w:rPr>
          <w:rFonts w:eastAsia="Calibri" w:cstheme="minorHAnsi"/>
        </w:rPr>
        <w:t>ed</w:t>
      </w:r>
      <w:r w:rsidR="00DE1D4A" w:rsidRPr="001B7F83">
        <w:rPr>
          <w:rFonts w:eastAsia="Calibri" w:cstheme="minorHAnsi"/>
        </w:rPr>
        <w:t xml:space="preserve"> through colleges, day centres, voluntary organisations</w:t>
      </w:r>
      <w:r w:rsidR="00DE1D4A">
        <w:rPr>
          <w:rFonts w:eastAsia="Calibri" w:cstheme="minorHAnsi"/>
        </w:rPr>
        <w:t xml:space="preserve"> </w:t>
      </w:r>
      <w:r w:rsidR="00DE1D4A" w:rsidRPr="001B7F83">
        <w:rPr>
          <w:rFonts w:eastAsia="Calibri" w:cstheme="minorHAnsi"/>
        </w:rPr>
        <w:t>and youth clubs</w:t>
      </w:r>
      <w:r w:rsidR="00384037">
        <w:rPr>
          <w:rFonts w:eastAsia="Calibri" w:cstheme="minorHAnsi"/>
        </w:rPr>
        <w:t xml:space="preserve"> and the study</w:t>
      </w:r>
      <w:r w:rsidR="00DE1D4A" w:rsidRPr="001B7F83">
        <w:rPr>
          <w:rFonts w:eastAsia="Calibri" w:cstheme="minorHAnsi"/>
        </w:rPr>
        <w:t xml:space="preserve"> found that both groups demonstrated improvements in knowledge and skills scores</w:t>
      </w:r>
      <w:r w:rsidR="00870E7E">
        <w:rPr>
          <w:rFonts w:eastAsia="Calibri" w:cstheme="minorHAnsi"/>
        </w:rPr>
        <w:t xml:space="preserve"> compared with</w:t>
      </w:r>
      <w:r w:rsidR="00DE1D4A" w:rsidRPr="001B7F83">
        <w:rPr>
          <w:rFonts w:eastAsia="Calibri" w:cstheme="minorHAnsi"/>
        </w:rPr>
        <w:t xml:space="preserve"> baseline</w:t>
      </w:r>
      <w:r w:rsidR="00384037">
        <w:rPr>
          <w:rFonts w:eastAsia="Calibri" w:cstheme="minorHAnsi"/>
        </w:rPr>
        <w:t>.</w:t>
      </w:r>
      <w:r w:rsidR="00384037" w:rsidRPr="00384037">
        <w:rPr>
          <w:rFonts w:eastAsia="Calibri" w:cstheme="minorHAnsi"/>
          <w:vertAlign w:val="superscript"/>
        </w:rPr>
        <w:t>17</w:t>
      </w:r>
    </w:p>
    <w:p w14:paraId="252A317D" w14:textId="77777777" w:rsidR="00DE1D4A" w:rsidRDefault="00DE1D4A" w:rsidP="0040606B">
      <w:pPr>
        <w:autoSpaceDE w:val="0"/>
        <w:autoSpaceDN w:val="0"/>
        <w:adjustRightInd w:val="0"/>
        <w:spacing w:line="480" w:lineRule="auto"/>
        <w:rPr>
          <w:rFonts w:eastAsia="Calibri"/>
          <w:vertAlign w:val="superscript"/>
        </w:rPr>
      </w:pPr>
    </w:p>
    <w:p w14:paraId="47F37D0F" w14:textId="42DC8B20" w:rsidR="007B23BE" w:rsidRPr="001B7F83" w:rsidRDefault="00384037" w:rsidP="0040606B">
      <w:pPr>
        <w:autoSpaceDE w:val="0"/>
        <w:autoSpaceDN w:val="0"/>
        <w:adjustRightInd w:val="0"/>
        <w:spacing w:line="480" w:lineRule="auto"/>
        <w:rPr>
          <w:rFonts w:eastAsia="Calibri"/>
        </w:rPr>
      </w:pPr>
      <w:r>
        <w:rPr>
          <w:rFonts w:eastAsia="Calibri"/>
        </w:rPr>
        <w:t>One</w:t>
      </w:r>
      <w:r w:rsidR="007B23BE" w:rsidRPr="40C55922">
        <w:rPr>
          <w:rFonts w:eastAsia="Calibri"/>
        </w:rPr>
        <w:t xml:space="preserve"> US study compared the effectiveness of two modes of self-sampling for cervical cancer screening</w:t>
      </w:r>
      <w:r w:rsidR="00456155" w:rsidRPr="40C55922">
        <w:rPr>
          <w:rFonts w:eastAsia="Calibri"/>
        </w:rPr>
        <w:t xml:space="preserve"> for </w:t>
      </w:r>
      <w:r w:rsidR="009E15BA" w:rsidRPr="40C55922">
        <w:rPr>
          <w:rFonts w:eastAsia="Calibri"/>
        </w:rPr>
        <w:t>women from ethnic minorities</w:t>
      </w:r>
      <w:r w:rsidR="00064316" w:rsidRPr="40C55922">
        <w:rPr>
          <w:rFonts w:eastAsia="Calibri"/>
        </w:rPr>
        <w:t>:</w:t>
      </w:r>
      <w:r w:rsidR="009E15BA" w:rsidRPr="40C55922">
        <w:rPr>
          <w:rFonts w:eastAsia="Calibri"/>
        </w:rPr>
        <w:t xml:space="preserve"> a</w:t>
      </w:r>
      <w:r w:rsidR="007B23BE" w:rsidRPr="40C55922">
        <w:rPr>
          <w:rFonts w:eastAsia="Calibri"/>
        </w:rPr>
        <w:t xml:space="preserve"> </w:t>
      </w:r>
      <w:r w:rsidR="009E15BA" w:rsidRPr="40C55922">
        <w:rPr>
          <w:rFonts w:eastAsia="Calibri"/>
        </w:rPr>
        <w:t>30-minute visit by a community health worker who demonstrated how to self-sample</w:t>
      </w:r>
      <w:r w:rsidR="00064316" w:rsidRPr="40C55922">
        <w:rPr>
          <w:rFonts w:eastAsia="Calibri"/>
        </w:rPr>
        <w:t>,</w:t>
      </w:r>
      <w:r w:rsidR="007B23BE" w:rsidRPr="40C55922">
        <w:rPr>
          <w:rFonts w:eastAsia="Calibri"/>
        </w:rPr>
        <w:t xml:space="preserve"> and</w:t>
      </w:r>
      <w:r w:rsidR="0036701A" w:rsidRPr="40C55922">
        <w:rPr>
          <w:rFonts w:eastAsia="Calibri"/>
        </w:rPr>
        <w:t xml:space="preserve"> a</w:t>
      </w:r>
      <w:r w:rsidR="007B23BE" w:rsidRPr="40C55922">
        <w:rPr>
          <w:rFonts w:eastAsia="Calibri"/>
        </w:rPr>
        <w:t xml:space="preserve"> </w:t>
      </w:r>
      <w:r w:rsidR="0036701A" w:rsidRPr="40C55922">
        <w:rPr>
          <w:rFonts w:eastAsia="Calibri"/>
        </w:rPr>
        <w:t xml:space="preserve">mailed self-sampling kit with instructions and </w:t>
      </w:r>
      <w:r w:rsidR="00A313A3" w:rsidRPr="40C55922">
        <w:rPr>
          <w:rFonts w:eastAsia="Calibri"/>
        </w:rPr>
        <w:t xml:space="preserve">a </w:t>
      </w:r>
      <w:r w:rsidR="0036701A" w:rsidRPr="40C55922">
        <w:rPr>
          <w:rFonts w:eastAsia="Calibri"/>
        </w:rPr>
        <w:t>pre-addressed</w:t>
      </w:r>
      <w:r w:rsidR="00A313A3" w:rsidRPr="40C55922">
        <w:rPr>
          <w:rFonts w:eastAsia="Calibri"/>
        </w:rPr>
        <w:t>,</w:t>
      </w:r>
      <w:r w:rsidR="001F6A05" w:rsidRPr="40C55922">
        <w:rPr>
          <w:rFonts w:eastAsia="Calibri"/>
        </w:rPr>
        <w:t xml:space="preserve"> </w:t>
      </w:r>
      <w:r w:rsidR="0036701A" w:rsidRPr="40C55922">
        <w:rPr>
          <w:rFonts w:eastAsia="Calibri"/>
        </w:rPr>
        <w:t>stamped envelope for returning to the laboratory</w:t>
      </w:r>
      <w:r w:rsidR="00E71A00" w:rsidRPr="40C55922">
        <w:rPr>
          <w:rFonts w:eastAsia="Calibri"/>
        </w:rPr>
        <w:t>.</w:t>
      </w:r>
      <w:r w:rsidR="00AF4A58" w:rsidRPr="40C55922">
        <w:rPr>
          <w:rFonts w:eastAsia="Calibri"/>
          <w:vertAlign w:val="superscript"/>
        </w:rPr>
        <w:t>1</w:t>
      </w:r>
      <w:r w:rsidR="00401387" w:rsidRPr="40C55922">
        <w:rPr>
          <w:rFonts w:eastAsia="Calibri"/>
          <w:vertAlign w:val="superscript"/>
        </w:rPr>
        <w:t>8</w:t>
      </w:r>
      <w:r w:rsidR="00E71A00" w:rsidRPr="40C55922">
        <w:rPr>
          <w:rFonts w:eastAsia="Calibri"/>
        </w:rPr>
        <w:t xml:space="preserve"> </w:t>
      </w:r>
      <w:r w:rsidR="007B23BE" w:rsidRPr="40C55922">
        <w:rPr>
          <w:rFonts w:eastAsia="Calibri"/>
        </w:rPr>
        <w:t xml:space="preserve">Both approaches were successful with over 70% </w:t>
      </w:r>
      <w:r w:rsidR="00EB16BE" w:rsidRPr="40C55922">
        <w:rPr>
          <w:rFonts w:eastAsia="Calibri"/>
        </w:rPr>
        <w:t xml:space="preserve">screening sample </w:t>
      </w:r>
      <w:r w:rsidR="007B23BE" w:rsidRPr="40C55922">
        <w:rPr>
          <w:rFonts w:eastAsia="Calibri"/>
        </w:rPr>
        <w:t>completion rates.</w:t>
      </w:r>
      <w:r w:rsidR="00AF4A58" w:rsidRPr="40C55922">
        <w:rPr>
          <w:rFonts w:eastAsia="Calibri"/>
          <w:vertAlign w:val="superscript"/>
        </w:rPr>
        <w:t>1</w:t>
      </w:r>
      <w:r w:rsidR="00401387" w:rsidRPr="40C55922">
        <w:rPr>
          <w:rFonts w:eastAsia="Calibri"/>
          <w:vertAlign w:val="superscript"/>
        </w:rPr>
        <w:t>8</w:t>
      </w:r>
    </w:p>
    <w:p w14:paraId="062D5545" w14:textId="77777777" w:rsidR="00AD0515" w:rsidRDefault="00AD0515" w:rsidP="0040606B">
      <w:pPr>
        <w:autoSpaceDE w:val="0"/>
        <w:autoSpaceDN w:val="0"/>
        <w:adjustRightInd w:val="0"/>
        <w:spacing w:line="480" w:lineRule="auto"/>
        <w:rPr>
          <w:rFonts w:ascii="Calibri Light" w:eastAsia="Calibri Light" w:hAnsi="Calibri Light" w:cs="Calibri Light"/>
          <w:i/>
          <w:iCs/>
          <w:color w:val="1F3763"/>
          <w:kern w:val="0"/>
          <w14:ligatures w14:val="none"/>
        </w:rPr>
      </w:pPr>
    </w:p>
    <w:p w14:paraId="2CB5FCAC" w14:textId="7CC5C957" w:rsidR="007D0707" w:rsidRDefault="00035031" w:rsidP="0040606B">
      <w:pPr>
        <w:autoSpaceDE w:val="0"/>
        <w:autoSpaceDN w:val="0"/>
        <w:adjustRightInd w:val="0"/>
        <w:spacing w:line="480" w:lineRule="auto"/>
        <w:rPr>
          <w:rFonts w:eastAsia="Calibri" w:cstheme="minorHAnsi"/>
        </w:rPr>
      </w:pPr>
      <w:r>
        <w:rPr>
          <w:rFonts w:eastAsia="Calibri" w:cstheme="minorHAnsi"/>
        </w:rPr>
        <w:t xml:space="preserve">Community-based grant schemes have </w:t>
      </w:r>
      <w:r w:rsidR="00050365">
        <w:rPr>
          <w:rFonts w:eastAsia="Calibri" w:cstheme="minorHAnsi"/>
        </w:rPr>
        <w:t>been effective in fostering greater community-led, community-driven activities to increase cancer knowledge and support cancer prevention.</w:t>
      </w:r>
      <w:r w:rsidR="000D0A4D" w:rsidRPr="00622BB1">
        <w:rPr>
          <w:rFonts w:eastAsia="Calibri" w:cstheme="minorHAnsi"/>
          <w:vertAlign w:val="superscript"/>
        </w:rPr>
        <w:t>19,20</w:t>
      </w:r>
      <w:r w:rsidR="00050365">
        <w:rPr>
          <w:rFonts w:eastAsia="Calibri" w:cstheme="minorHAnsi"/>
        </w:rPr>
        <w:t xml:space="preserve"> However, w</w:t>
      </w:r>
      <w:r w:rsidR="00F37D02">
        <w:rPr>
          <w:rFonts w:eastAsia="Calibri" w:cstheme="minorHAnsi"/>
        </w:rPr>
        <w:t>hile these studies</w:t>
      </w:r>
      <w:r w:rsidR="0029561E">
        <w:rPr>
          <w:rFonts w:eastAsia="Calibri" w:cstheme="minorHAnsi"/>
        </w:rPr>
        <w:t xml:space="preserve"> </w:t>
      </w:r>
      <w:r w:rsidR="006F0C22">
        <w:rPr>
          <w:rFonts w:eastAsia="Calibri" w:cstheme="minorHAnsi"/>
        </w:rPr>
        <w:t>have contributed to an</w:t>
      </w:r>
      <w:r w:rsidR="0029561E">
        <w:rPr>
          <w:rFonts w:eastAsia="Calibri" w:cstheme="minorHAnsi"/>
        </w:rPr>
        <w:t xml:space="preserve"> </w:t>
      </w:r>
      <w:r w:rsidR="009D4B5E">
        <w:rPr>
          <w:rFonts w:eastAsia="Calibri" w:cstheme="minorHAnsi"/>
        </w:rPr>
        <w:t>understanding</w:t>
      </w:r>
      <w:r w:rsidR="0029561E">
        <w:rPr>
          <w:rFonts w:eastAsia="Calibri" w:cstheme="minorHAnsi"/>
        </w:rPr>
        <w:t xml:space="preserve"> of</w:t>
      </w:r>
      <w:r w:rsidR="009D4B5E">
        <w:rPr>
          <w:rFonts w:eastAsia="Calibri" w:cstheme="minorHAnsi"/>
        </w:rPr>
        <w:t xml:space="preserve"> how </w:t>
      </w:r>
      <w:r w:rsidR="008302C9">
        <w:rPr>
          <w:rFonts w:eastAsia="Calibri" w:cstheme="minorHAnsi"/>
        </w:rPr>
        <w:t xml:space="preserve">cancer knowledge </w:t>
      </w:r>
      <w:r w:rsidR="009D4B5E">
        <w:rPr>
          <w:rFonts w:eastAsia="Calibri" w:cstheme="minorHAnsi"/>
        </w:rPr>
        <w:t>and</w:t>
      </w:r>
      <w:r w:rsidR="008302C9">
        <w:rPr>
          <w:rFonts w:eastAsia="Calibri" w:cstheme="minorHAnsi"/>
        </w:rPr>
        <w:t xml:space="preserve"> healthy behaviours</w:t>
      </w:r>
      <w:r w:rsidR="009D4B5E">
        <w:rPr>
          <w:rFonts w:eastAsia="Calibri" w:cstheme="minorHAnsi"/>
        </w:rPr>
        <w:t xml:space="preserve"> can be improved</w:t>
      </w:r>
      <w:r w:rsidR="008302C9">
        <w:rPr>
          <w:rFonts w:eastAsia="Calibri" w:cstheme="minorHAnsi"/>
        </w:rPr>
        <w:t>,</w:t>
      </w:r>
      <w:r w:rsidR="003A7BDE">
        <w:rPr>
          <w:rFonts w:eastAsia="Calibri" w:cstheme="minorHAnsi"/>
        </w:rPr>
        <w:t xml:space="preserve"> </w:t>
      </w:r>
      <w:r w:rsidR="009C11AB">
        <w:rPr>
          <w:rFonts w:eastAsia="Calibri" w:cstheme="minorHAnsi"/>
        </w:rPr>
        <w:t xml:space="preserve">evidence </w:t>
      </w:r>
      <w:r w:rsidR="009D4B5E">
        <w:rPr>
          <w:rFonts w:eastAsia="Calibri" w:cstheme="minorHAnsi"/>
        </w:rPr>
        <w:t xml:space="preserve">for </w:t>
      </w:r>
      <w:r w:rsidR="006F0C22">
        <w:rPr>
          <w:rFonts w:eastAsia="Calibri" w:cstheme="minorHAnsi"/>
        </w:rPr>
        <w:t>certain</w:t>
      </w:r>
      <w:r w:rsidR="0029561E">
        <w:rPr>
          <w:rFonts w:eastAsia="Calibri" w:cstheme="minorHAnsi"/>
        </w:rPr>
        <w:t xml:space="preserve"> marginalised </w:t>
      </w:r>
      <w:r w:rsidR="00880BB9">
        <w:rPr>
          <w:rFonts w:eastAsia="Calibri" w:cstheme="minorHAnsi"/>
        </w:rPr>
        <w:t xml:space="preserve">communities </w:t>
      </w:r>
      <w:r w:rsidR="006F0C22">
        <w:rPr>
          <w:rFonts w:eastAsia="Calibri" w:cstheme="minorHAnsi"/>
        </w:rPr>
        <w:t>remains</w:t>
      </w:r>
      <w:r w:rsidR="009C11AB">
        <w:rPr>
          <w:rFonts w:eastAsia="Calibri" w:cstheme="minorHAnsi"/>
        </w:rPr>
        <w:t xml:space="preserve"> </w:t>
      </w:r>
      <w:r w:rsidR="0029561E">
        <w:rPr>
          <w:rFonts w:eastAsia="Calibri" w:cstheme="minorHAnsi"/>
        </w:rPr>
        <w:t>limited</w:t>
      </w:r>
      <w:r w:rsidR="007B23BE" w:rsidRPr="001B7F83">
        <w:rPr>
          <w:rFonts w:eastAsia="Calibri" w:cstheme="minorHAnsi"/>
        </w:rPr>
        <w:t xml:space="preserve">. A </w:t>
      </w:r>
      <w:r w:rsidR="009D4B5E">
        <w:rPr>
          <w:rFonts w:eastAsia="Calibri" w:cstheme="minorHAnsi"/>
        </w:rPr>
        <w:t xml:space="preserve">recent </w:t>
      </w:r>
      <w:r w:rsidR="007B23BE" w:rsidRPr="001B7F83">
        <w:rPr>
          <w:rFonts w:eastAsia="Calibri" w:cstheme="minorHAnsi"/>
        </w:rPr>
        <w:t xml:space="preserve">Cochrane review of interventions to </w:t>
      </w:r>
      <w:r w:rsidR="007B23BE" w:rsidRPr="001B7F83">
        <w:rPr>
          <w:rFonts w:eastAsia="Calibri" w:cstheme="minorHAnsi"/>
        </w:rPr>
        <w:lastRenderedPageBreak/>
        <w:t>increase cancer screening for those with severe mental illness found no relevant studies</w:t>
      </w:r>
      <w:r w:rsidR="00535714">
        <w:rPr>
          <w:rFonts w:eastAsia="Calibri" w:cstheme="minorHAnsi"/>
        </w:rPr>
        <w:t>.</w:t>
      </w:r>
      <w:r w:rsidR="00454476">
        <w:rPr>
          <w:rFonts w:eastAsia="Calibri" w:cstheme="minorHAnsi"/>
          <w:vertAlign w:val="superscript"/>
        </w:rPr>
        <w:t>21</w:t>
      </w:r>
      <w:r w:rsidR="007B23BE" w:rsidRPr="001B7F83">
        <w:rPr>
          <w:rFonts w:eastAsia="Calibri" w:cstheme="minorHAnsi"/>
        </w:rPr>
        <w:t xml:space="preserve"> More </w:t>
      </w:r>
      <w:r w:rsidR="00997DF3">
        <w:rPr>
          <w:rFonts w:eastAsia="Calibri" w:cstheme="minorHAnsi"/>
        </w:rPr>
        <w:t xml:space="preserve">research </w:t>
      </w:r>
      <w:r w:rsidR="0029561E">
        <w:rPr>
          <w:rFonts w:eastAsia="Calibri" w:cstheme="minorHAnsi"/>
        </w:rPr>
        <w:t xml:space="preserve">is needed </w:t>
      </w:r>
      <w:r w:rsidR="007B23BE" w:rsidRPr="001B7F83">
        <w:rPr>
          <w:rFonts w:eastAsia="Calibri" w:cstheme="minorHAnsi"/>
        </w:rPr>
        <w:t xml:space="preserve">for LGBTQ+ </w:t>
      </w:r>
      <w:r w:rsidR="0029561E">
        <w:rPr>
          <w:rFonts w:eastAsia="Calibri" w:cstheme="minorHAnsi"/>
        </w:rPr>
        <w:t>communities</w:t>
      </w:r>
      <w:r w:rsidR="007B23BE" w:rsidRPr="001B7F83">
        <w:rPr>
          <w:rFonts w:eastAsia="Calibri" w:cstheme="minorHAnsi"/>
        </w:rPr>
        <w:t xml:space="preserve">, </w:t>
      </w:r>
      <w:r w:rsidR="005726E5">
        <w:rPr>
          <w:rFonts w:eastAsia="Calibri" w:cstheme="minorHAnsi"/>
        </w:rPr>
        <w:t>the vulnerably housed</w:t>
      </w:r>
      <w:r w:rsidR="007B23BE" w:rsidRPr="001B7F83">
        <w:rPr>
          <w:rFonts w:eastAsia="Calibri" w:cstheme="minorHAnsi"/>
        </w:rPr>
        <w:t xml:space="preserve"> and refugees, who may face </w:t>
      </w:r>
      <w:r w:rsidR="007B23BE">
        <w:rPr>
          <w:rFonts w:eastAsia="Calibri" w:cstheme="minorHAnsi"/>
        </w:rPr>
        <w:t>specific</w:t>
      </w:r>
      <w:r w:rsidR="007B23BE" w:rsidRPr="001B7F83">
        <w:rPr>
          <w:rFonts w:eastAsia="Calibri" w:cstheme="minorHAnsi"/>
        </w:rPr>
        <w:t xml:space="preserve"> barriers to cancer-related knowledge and screening</w:t>
      </w:r>
      <w:r w:rsidR="00646AAE">
        <w:rPr>
          <w:rFonts w:eastAsia="Calibri" w:cstheme="minorHAnsi"/>
        </w:rPr>
        <w:t>.</w:t>
      </w:r>
      <w:r w:rsidR="00454476">
        <w:rPr>
          <w:rFonts w:eastAsia="Calibri" w:cstheme="minorHAnsi"/>
          <w:vertAlign w:val="superscript"/>
        </w:rPr>
        <w:t>22</w:t>
      </w:r>
    </w:p>
    <w:p w14:paraId="2B5D9A05" w14:textId="77777777" w:rsidR="007D0707" w:rsidRDefault="007D0707" w:rsidP="0040606B">
      <w:pPr>
        <w:autoSpaceDE w:val="0"/>
        <w:autoSpaceDN w:val="0"/>
        <w:adjustRightInd w:val="0"/>
        <w:spacing w:line="480" w:lineRule="auto"/>
        <w:rPr>
          <w:rFonts w:eastAsia="Calibri" w:cstheme="minorHAnsi"/>
        </w:rPr>
      </w:pPr>
    </w:p>
    <w:p w14:paraId="09B21F86" w14:textId="56440374" w:rsidR="007B23BE" w:rsidRDefault="007D0707" w:rsidP="0040606B">
      <w:pPr>
        <w:autoSpaceDE w:val="0"/>
        <w:autoSpaceDN w:val="0"/>
        <w:adjustRightInd w:val="0"/>
        <w:spacing w:line="480" w:lineRule="auto"/>
        <w:rPr>
          <w:rFonts w:eastAsia="Calibri"/>
        </w:rPr>
      </w:pPr>
      <w:r w:rsidRPr="40C55922">
        <w:rPr>
          <w:rFonts w:eastAsia="Calibri"/>
        </w:rPr>
        <w:t>T</w:t>
      </w:r>
      <w:r w:rsidR="0028535F" w:rsidRPr="40C55922">
        <w:rPr>
          <w:rFonts w:eastAsia="Calibri"/>
        </w:rPr>
        <w:t xml:space="preserve">he Wessex Cancer Alliance Communities Against Cancer (CAC) </w:t>
      </w:r>
      <w:r w:rsidR="00624D9C" w:rsidRPr="40C55922">
        <w:rPr>
          <w:rFonts w:eastAsia="Calibri"/>
        </w:rPr>
        <w:t xml:space="preserve">initiative </w:t>
      </w:r>
      <w:r w:rsidR="00870E7E">
        <w:rPr>
          <w:rFonts w:eastAsia="Calibri"/>
        </w:rPr>
        <w:t>aimed</w:t>
      </w:r>
      <w:r w:rsidR="00624D9C" w:rsidRPr="40C55922">
        <w:rPr>
          <w:rFonts w:eastAsia="Calibri"/>
        </w:rPr>
        <w:t xml:space="preserve"> to </w:t>
      </w:r>
      <w:r w:rsidR="00871C97" w:rsidRPr="40C55922">
        <w:rPr>
          <w:rFonts w:eastAsia="Calibri"/>
        </w:rPr>
        <w:t>promote cancer awareness</w:t>
      </w:r>
      <w:r w:rsidR="00A02E2C">
        <w:rPr>
          <w:rFonts w:eastAsia="Calibri"/>
        </w:rPr>
        <w:t>,</w:t>
      </w:r>
      <w:r w:rsidR="00D23D18" w:rsidRPr="40C55922">
        <w:rPr>
          <w:rFonts w:eastAsia="Calibri"/>
        </w:rPr>
        <w:t xml:space="preserve"> health</w:t>
      </w:r>
      <w:r w:rsidR="00F9393C" w:rsidRPr="40C55922">
        <w:rPr>
          <w:rFonts w:eastAsia="Calibri"/>
        </w:rPr>
        <w:t>y</w:t>
      </w:r>
      <w:r w:rsidR="00D23D18" w:rsidRPr="40C55922">
        <w:rPr>
          <w:rFonts w:eastAsia="Calibri"/>
        </w:rPr>
        <w:t xml:space="preserve"> </w:t>
      </w:r>
      <w:r w:rsidR="0029561E" w:rsidRPr="40C55922">
        <w:rPr>
          <w:rFonts w:eastAsia="Calibri"/>
        </w:rPr>
        <w:t>lifestyle</w:t>
      </w:r>
      <w:r w:rsidR="00A73E8F">
        <w:rPr>
          <w:rFonts w:eastAsia="Calibri"/>
        </w:rPr>
        <w:t>s</w:t>
      </w:r>
      <w:r w:rsidR="00D23D18" w:rsidRPr="40C55922">
        <w:rPr>
          <w:rFonts w:eastAsia="Calibri"/>
        </w:rPr>
        <w:t xml:space="preserve"> and </w:t>
      </w:r>
      <w:r w:rsidR="00E40633" w:rsidRPr="40C55922">
        <w:rPr>
          <w:rFonts w:eastAsia="Calibri"/>
        </w:rPr>
        <w:t xml:space="preserve">help-seeking </w:t>
      </w:r>
      <w:r w:rsidR="0029561E" w:rsidRPr="40C55922">
        <w:rPr>
          <w:rFonts w:eastAsia="Calibri"/>
        </w:rPr>
        <w:t xml:space="preserve">behaviours </w:t>
      </w:r>
      <w:r w:rsidR="00E40633" w:rsidRPr="40C55922">
        <w:rPr>
          <w:rFonts w:eastAsia="Calibri"/>
        </w:rPr>
        <w:t>for diverse</w:t>
      </w:r>
      <w:r w:rsidR="0029561E" w:rsidRPr="40C55922">
        <w:rPr>
          <w:rFonts w:eastAsia="Calibri"/>
        </w:rPr>
        <w:t xml:space="preserve"> marginalised</w:t>
      </w:r>
      <w:r w:rsidR="0095176C" w:rsidRPr="40C55922">
        <w:rPr>
          <w:rFonts w:eastAsia="Calibri"/>
        </w:rPr>
        <w:t xml:space="preserve"> communities</w:t>
      </w:r>
      <w:r w:rsidR="00A313A3" w:rsidRPr="40C55922">
        <w:rPr>
          <w:rFonts w:eastAsia="Calibri"/>
        </w:rPr>
        <w:t xml:space="preserve"> through a community-led grant-scheme</w:t>
      </w:r>
      <w:r w:rsidR="0095176C" w:rsidRPr="40C55922">
        <w:rPr>
          <w:rFonts w:eastAsia="Calibri"/>
        </w:rPr>
        <w:t xml:space="preserve">. This paper reports </w:t>
      </w:r>
      <w:r w:rsidR="008404BB" w:rsidRPr="40C55922">
        <w:rPr>
          <w:rFonts w:eastAsia="Calibri"/>
        </w:rPr>
        <w:t xml:space="preserve">findings from a </w:t>
      </w:r>
      <w:r w:rsidR="003B1528" w:rsidRPr="40C55922">
        <w:rPr>
          <w:rFonts w:eastAsia="Calibri"/>
        </w:rPr>
        <w:t xml:space="preserve">study </w:t>
      </w:r>
      <w:r w:rsidR="006F0C22" w:rsidRPr="40C55922">
        <w:rPr>
          <w:rFonts w:eastAsia="Calibri"/>
        </w:rPr>
        <w:t xml:space="preserve">that </w:t>
      </w:r>
      <w:r w:rsidR="005726E5" w:rsidRPr="40C55922">
        <w:rPr>
          <w:rFonts w:eastAsia="Calibri"/>
        </w:rPr>
        <w:t>assess</w:t>
      </w:r>
      <w:r w:rsidR="006F0C22" w:rsidRPr="40C55922">
        <w:rPr>
          <w:rFonts w:eastAsia="Calibri"/>
        </w:rPr>
        <w:t>ed</w:t>
      </w:r>
      <w:r w:rsidR="00384037">
        <w:rPr>
          <w:rFonts w:eastAsia="Calibri"/>
        </w:rPr>
        <w:t xml:space="preserve"> the extent to which CAC</w:t>
      </w:r>
      <w:r w:rsidR="00E60E39">
        <w:rPr>
          <w:rFonts w:eastAsia="Calibri"/>
        </w:rPr>
        <w:t>-funded projects</w:t>
      </w:r>
      <w:r w:rsidR="00384037">
        <w:rPr>
          <w:rFonts w:eastAsia="Calibri"/>
        </w:rPr>
        <w:t xml:space="preserve"> met </w:t>
      </w:r>
      <w:r w:rsidR="00870E7E">
        <w:rPr>
          <w:rFonts w:eastAsia="Calibri"/>
        </w:rPr>
        <w:t>these</w:t>
      </w:r>
      <w:r w:rsidR="00384037">
        <w:rPr>
          <w:rFonts w:eastAsia="Calibri"/>
        </w:rPr>
        <w:t xml:space="preserve"> aims </w:t>
      </w:r>
      <w:r w:rsidR="006F0C22" w:rsidRPr="40C55922">
        <w:rPr>
          <w:rFonts w:eastAsia="Calibri"/>
        </w:rPr>
        <w:t>and the characteristics of</w:t>
      </w:r>
      <w:r w:rsidR="00E60E39">
        <w:rPr>
          <w:rFonts w:eastAsia="Calibri"/>
        </w:rPr>
        <w:t xml:space="preserve"> those projects that were </w:t>
      </w:r>
      <w:r w:rsidR="00EE1EAC">
        <w:rPr>
          <w:rFonts w:eastAsia="Calibri"/>
        </w:rPr>
        <w:t xml:space="preserve">able to deliver </w:t>
      </w:r>
      <w:r w:rsidR="00A02E2C">
        <w:rPr>
          <w:rFonts w:eastAsia="Calibri"/>
        </w:rPr>
        <w:t>most effectively</w:t>
      </w:r>
      <w:r w:rsidR="006F0C22" w:rsidRPr="40C55922">
        <w:rPr>
          <w:rFonts w:eastAsia="Calibri"/>
        </w:rPr>
        <w:t>.</w:t>
      </w:r>
    </w:p>
    <w:p w14:paraId="4C9E4707" w14:textId="77777777" w:rsidR="00A541A1" w:rsidRDefault="00A541A1" w:rsidP="0040606B">
      <w:pPr>
        <w:spacing w:line="480" w:lineRule="auto"/>
      </w:pPr>
    </w:p>
    <w:p w14:paraId="69221D0F" w14:textId="6850160D" w:rsidR="007509BA" w:rsidRPr="006E6696" w:rsidRDefault="007509BA" w:rsidP="0040606B">
      <w:pPr>
        <w:spacing w:line="480" w:lineRule="auto"/>
        <w:rPr>
          <w:b/>
          <w:bCs/>
          <w:i/>
          <w:iCs/>
        </w:rPr>
      </w:pPr>
      <w:r w:rsidRPr="006E6696">
        <w:rPr>
          <w:b/>
          <w:bCs/>
          <w:i/>
          <w:iCs/>
        </w:rPr>
        <w:t>The Communities Against Cancer interventio</w:t>
      </w:r>
      <w:r w:rsidR="00A313A3">
        <w:rPr>
          <w:b/>
          <w:bCs/>
          <w:i/>
          <w:iCs/>
        </w:rPr>
        <w:t>n</w:t>
      </w:r>
    </w:p>
    <w:p w14:paraId="250B9801" w14:textId="1EA11466" w:rsidR="001C2AA2" w:rsidRPr="00C01E97" w:rsidRDefault="001737A5" w:rsidP="0040606B">
      <w:pPr>
        <w:autoSpaceDE w:val="0"/>
        <w:autoSpaceDN w:val="0"/>
        <w:adjustRightInd w:val="0"/>
        <w:spacing w:line="480" w:lineRule="auto"/>
        <w:rPr>
          <w:rFonts w:eastAsia="Calibri"/>
        </w:rPr>
      </w:pPr>
      <w:r w:rsidRPr="40C55922">
        <w:t>Co</w:t>
      </w:r>
      <w:r w:rsidRPr="00C01E97">
        <w:rPr>
          <w:rFonts w:eastAsia="Calibri"/>
        </w:rPr>
        <w:t xml:space="preserve">mmunities Against Cancer (CAC) </w:t>
      </w:r>
      <w:r w:rsidR="005F2159" w:rsidRPr="00C01E97">
        <w:rPr>
          <w:rFonts w:eastAsia="Calibri"/>
        </w:rPr>
        <w:t xml:space="preserve">was a </w:t>
      </w:r>
      <w:r w:rsidR="0050214E" w:rsidRPr="00C01E97">
        <w:rPr>
          <w:rFonts w:eastAsia="Calibri"/>
        </w:rPr>
        <w:t xml:space="preserve">community-led </w:t>
      </w:r>
      <w:r w:rsidR="005F2159" w:rsidRPr="00C01E97">
        <w:rPr>
          <w:rFonts w:eastAsia="Calibri"/>
        </w:rPr>
        <w:t xml:space="preserve">grant-delivery </w:t>
      </w:r>
      <w:r w:rsidR="001814D2" w:rsidRPr="00C01E97">
        <w:rPr>
          <w:rFonts w:eastAsia="Calibri"/>
        </w:rPr>
        <w:t>ini</w:t>
      </w:r>
      <w:r w:rsidR="00A313A3" w:rsidRPr="00C01E97">
        <w:rPr>
          <w:rFonts w:eastAsia="Calibri"/>
        </w:rPr>
        <w:t>t</w:t>
      </w:r>
      <w:r w:rsidR="5C67DBF1" w:rsidRPr="00C01E97">
        <w:rPr>
          <w:rFonts w:eastAsia="Calibri"/>
        </w:rPr>
        <w:t>i</w:t>
      </w:r>
      <w:r w:rsidR="001814D2" w:rsidRPr="00C01E97">
        <w:rPr>
          <w:rFonts w:eastAsia="Calibri"/>
        </w:rPr>
        <w:t>ative</w:t>
      </w:r>
      <w:r w:rsidR="0050214E" w:rsidRPr="00C01E97">
        <w:rPr>
          <w:rFonts w:eastAsia="Calibri"/>
        </w:rPr>
        <w:t xml:space="preserve"> that </w:t>
      </w:r>
      <w:r w:rsidR="7380689B" w:rsidRPr="00C01E97">
        <w:rPr>
          <w:rFonts w:eastAsia="Calibri"/>
        </w:rPr>
        <w:t>invited</w:t>
      </w:r>
      <w:r w:rsidR="0050214E" w:rsidRPr="00C01E97">
        <w:rPr>
          <w:rFonts w:eastAsia="Calibri"/>
        </w:rPr>
        <w:t xml:space="preserve"> appl</w:t>
      </w:r>
      <w:r w:rsidR="005F2159" w:rsidRPr="00C01E97">
        <w:rPr>
          <w:rFonts w:eastAsia="Calibri"/>
        </w:rPr>
        <w:t>ications from individuals and groups</w:t>
      </w:r>
      <w:r w:rsidR="0050214E" w:rsidRPr="00C01E97">
        <w:rPr>
          <w:rFonts w:eastAsia="Calibri"/>
        </w:rPr>
        <w:t xml:space="preserve"> from marginalised communities </w:t>
      </w:r>
      <w:r w:rsidR="008F2685" w:rsidRPr="00C01E97">
        <w:rPr>
          <w:rFonts w:eastAsia="Calibri"/>
        </w:rPr>
        <w:t>for</w:t>
      </w:r>
      <w:r w:rsidR="35CF71A4" w:rsidRPr="00C01E97">
        <w:rPr>
          <w:rFonts w:eastAsia="Calibri"/>
        </w:rPr>
        <w:t xml:space="preserve"> </w:t>
      </w:r>
      <w:r w:rsidR="0050214E" w:rsidRPr="00C01E97">
        <w:rPr>
          <w:rFonts w:eastAsia="Calibri"/>
        </w:rPr>
        <w:t xml:space="preserve">projects </w:t>
      </w:r>
      <w:r w:rsidR="008F2685" w:rsidRPr="00C01E97">
        <w:rPr>
          <w:rFonts w:eastAsia="Calibri"/>
        </w:rPr>
        <w:t xml:space="preserve">that </w:t>
      </w:r>
      <w:r w:rsidR="0050214E" w:rsidRPr="00C01E97">
        <w:rPr>
          <w:rFonts w:eastAsia="Calibri"/>
        </w:rPr>
        <w:t xml:space="preserve">aimed </w:t>
      </w:r>
      <w:r w:rsidR="008F2685" w:rsidRPr="00C01E97">
        <w:rPr>
          <w:rFonts w:eastAsia="Calibri"/>
        </w:rPr>
        <w:t>to</w:t>
      </w:r>
      <w:r w:rsidR="005F2159" w:rsidRPr="00C01E97">
        <w:rPr>
          <w:rFonts w:eastAsia="Calibri"/>
        </w:rPr>
        <w:t xml:space="preserve"> promot</w:t>
      </w:r>
      <w:r w:rsidR="008F2685" w:rsidRPr="00C01E97">
        <w:rPr>
          <w:rFonts w:eastAsia="Calibri"/>
        </w:rPr>
        <w:t>e</w:t>
      </w:r>
      <w:r w:rsidR="005F2159" w:rsidRPr="00C01E97">
        <w:rPr>
          <w:rFonts w:eastAsia="Calibri"/>
        </w:rPr>
        <w:t xml:space="preserve"> healthy lifestyles and cancer prevention, increas</w:t>
      </w:r>
      <w:r w:rsidR="008F2685" w:rsidRPr="00C01E97">
        <w:rPr>
          <w:rFonts w:eastAsia="Calibri"/>
        </w:rPr>
        <w:t>e</w:t>
      </w:r>
      <w:r w:rsidR="005F2159" w:rsidRPr="00C01E97">
        <w:rPr>
          <w:rFonts w:eastAsia="Calibri"/>
        </w:rPr>
        <w:t xml:space="preserve"> awareness of signs </w:t>
      </w:r>
      <w:r w:rsidR="475DA793" w:rsidRPr="00C01E97">
        <w:rPr>
          <w:rFonts w:eastAsia="Calibri"/>
        </w:rPr>
        <w:t>and</w:t>
      </w:r>
      <w:r w:rsidR="005F2159" w:rsidRPr="00C01E97">
        <w:rPr>
          <w:rFonts w:eastAsia="Calibri"/>
        </w:rPr>
        <w:t xml:space="preserve"> symptoms</w:t>
      </w:r>
      <w:r w:rsidR="6E1B54CF" w:rsidRPr="00C01E97">
        <w:rPr>
          <w:rFonts w:eastAsia="Calibri"/>
        </w:rPr>
        <w:t xml:space="preserve"> of cancer</w:t>
      </w:r>
      <w:r w:rsidR="005F2159" w:rsidRPr="00C01E97">
        <w:rPr>
          <w:rFonts w:eastAsia="Calibri"/>
        </w:rPr>
        <w:t>, and encourag</w:t>
      </w:r>
      <w:r w:rsidR="008F2685" w:rsidRPr="00C01E97">
        <w:rPr>
          <w:rFonts w:eastAsia="Calibri"/>
        </w:rPr>
        <w:t>e</w:t>
      </w:r>
      <w:r w:rsidR="005F2159" w:rsidRPr="00C01E97">
        <w:rPr>
          <w:rFonts w:eastAsia="Calibri"/>
        </w:rPr>
        <w:t xml:space="preserve"> cancer screening and early detection. </w:t>
      </w:r>
      <w:r w:rsidR="00E60E39">
        <w:rPr>
          <w:rFonts w:eastAsia="Calibri"/>
        </w:rPr>
        <w:t xml:space="preserve">Funding for CAC grants was provided by Wessex Cancer Alliance, which was funded by NHS England. </w:t>
      </w:r>
      <w:r w:rsidR="001D6AE5">
        <w:rPr>
          <w:rFonts w:eastAsia="Calibri"/>
        </w:rPr>
        <w:t xml:space="preserve">The initiative </w:t>
      </w:r>
      <w:r w:rsidR="001D6AE5" w:rsidRPr="00C01E97">
        <w:rPr>
          <w:rFonts w:eastAsia="Calibri"/>
        </w:rPr>
        <w:t xml:space="preserve">purposely had a </w:t>
      </w:r>
      <w:proofErr w:type="gramStart"/>
      <w:r w:rsidR="001D6AE5" w:rsidRPr="00C01E97">
        <w:rPr>
          <w:rFonts w:eastAsia="Calibri"/>
        </w:rPr>
        <w:t>broad inclusion criteria</w:t>
      </w:r>
      <w:proofErr w:type="gramEnd"/>
      <w:r w:rsidR="001D6AE5" w:rsidRPr="00C01E97">
        <w:rPr>
          <w:rFonts w:eastAsia="Calibri"/>
        </w:rPr>
        <w:t xml:space="preserve"> for applicants</w:t>
      </w:r>
      <w:r w:rsidR="001D6AE5">
        <w:rPr>
          <w:rFonts w:eastAsia="Calibri"/>
        </w:rPr>
        <w:t xml:space="preserve">, being </w:t>
      </w:r>
      <w:r w:rsidR="001D6AE5" w:rsidRPr="00C01E97">
        <w:rPr>
          <w:rFonts w:eastAsia="Calibri"/>
        </w:rPr>
        <w:t>open to any group that ha</w:t>
      </w:r>
      <w:r w:rsidR="00454476">
        <w:rPr>
          <w:rFonts w:eastAsia="Calibri"/>
        </w:rPr>
        <w:t>d</w:t>
      </w:r>
      <w:r w:rsidR="001D6AE5" w:rsidRPr="00C01E97">
        <w:rPr>
          <w:rFonts w:eastAsia="Calibri"/>
        </w:rPr>
        <w:t xml:space="preserve"> worse than average cancer-related health outcomes. </w:t>
      </w:r>
      <w:r w:rsidR="001D6AE5">
        <w:rPr>
          <w:rFonts w:eastAsia="Calibri"/>
        </w:rPr>
        <w:t>Applications were open</w:t>
      </w:r>
      <w:r w:rsidR="001D6AE5" w:rsidRPr="00C01E97">
        <w:rPr>
          <w:rFonts w:eastAsia="Calibri"/>
        </w:rPr>
        <w:t xml:space="preserve"> to any charity, community group or social enterprise working in </w:t>
      </w:r>
      <w:r w:rsidR="001D6AE5">
        <w:rPr>
          <w:rFonts w:eastAsia="Calibri"/>
        </w:rPr>
        <w:t>the South of England region. The initiative was</w:t>
      </w:r>
      <w:r w:rsidR="005726E5" w:rsidRPr="00C01E97">
        <w:rPr>
          <w:rFonts w:eastAsia="Calibri"/>
        </w:rPr>
        <w:t xml:space="preserve"> launched on</w:t>
      </w:r>
      <w:r w:rsidR="00815754" w:rsidRPr="00C01E97">
        <w:rPr>
          <w:rFonts w:eastAsia="Calibri"/>
        </w:rPr>
        <w:t xml:space="preserve"> </w:t>
      </w:r>
      <w:r w:rsidR="00C16260" w:rsidRPr="00C01E97">
        <w:rPr>
          <w:rFonts w:eastAsia="Calibri"/>
        </w:rPr>
        <w:t xml:space="preserve">1st </w:t>
      </w:r>
      <w:r w:rsidR="00815754" w:rsidRPr="00C01E97">
        <w:rPr>
          <w:rFonts w:eastAsia="Calibri"/>
        </w:rPr>
        <w:t>January 20</w:t>
      </w:r>
      <w:r w:rsidR="00874DFA" w:rsidRPr="00C01E97">
        <w:rPr>
          <w:rFonts w:eastAsia="Calibri"/>
        </w:rPr>
        <w:t>19</w:t>
      </w:r>
      <w:r w:rsidR="005726E5" w:rsidRPr="00C01E97">
        <w:rPr>
          <w:rFonts w:eastAsia="Calibri"/>
        </w:rPr>
        <w:t xml:space="preserve">. </w:t>
      </w:r>
      <w:r w:rsidR="00B03953" w:rsidRPr="00C01E97">
        <w:rPr>
          <w:rFonts w:eastAsia="Calibri"/>
        </w:rPr>
        <w:t>Our</w:t>
      </w:r>
      <w:r w:rsidR="005726E5" w:rsidRPr="00C01E97">
        <w:rPr>
          <w:rFonts w:eastAsia="Calibri"/>
        </w:rPr>
        <w:t xml:space="preserve"> study assesse</w:t>
      </w:r>
      <w:r w:rsidR="00B03953" w:rsidRPr="00C01E97">
        <w:rPr>
          <w:rFonts w:eastAsia="Calibri"/>
        </w:rPr>
        <w:t>d</w:t>
      </w:r>
      <w:r w:rsidR="005726E5" w:rsidRPr="00C01E97">
        <w:rPr>
          <w:rFonts w:eastAsia="Calibri"/>
        </w:rPr>
        <w:t xml:space="preserve"> the </w:t>
      </w:r>
      <w:r w:rsidR="005726E5" w:rsidRPr="00581F56">
        <w:t>effectiveness</w:t>
      </w:r>
      <w:r w:rsidR="005726E5" w:rsidRPr="40C55922">
        <w:t xml:space="preserve"> of the second </w:t>
      </w:r>
      <w:r w:rsidR="69BED918" w:rsidRPr="40C55922">
        <w:t>round</w:t>
      </w:r>
      <w:r w:rsidR="005726E5" w:rsidRPr="40C55922">
        <w:t xml:space="preserve"> of CAC, </w:t>
      </w:r>
      <w:r w:rsidR="005F2159" w:rsidRPr="40C55922">
        <w:t>which ran from</w:t>
      </w:r>
      <w:r w:rsidR="001C1011" w:rsidRPr="40C55922">
        <w:t xml:space="preserve"> </w:t>
      </w:r>
      <w:r w:rsidR="00C16260" w:rsidRPr="40C55922">
        <w:t>1</w:t>
      </w:r>
      <w:r w:rsidR="00C16260" w:rsidRPr="40C55922">
        <w:rPr>
          <w:vertAlign w:val="superscript"/>
        </w:rPr>
        <w:t>st</w:t>
      </w:r>
      <w:r w:rsidR="00C16260" w:rsidRPr="40C55922">
        <w:t xml:space="preserve"> </w:t>
      </w:r>
      <w:r w:rsidR="001C1011" w:rsidRPr="40C55922">
        <w:t>January 202</w:t>
      </w:r>
      <w:r w:rsidR="001A7AB0" w:rsidRPr="40C55922">
        <w:t xml:space="preserve">1 to </w:t>
      </w:r>
      <w:r w:rsidR="00C16260" w:rsidRPr="40C55922">
        <w:t>31</w:t>
      </w:r>
      <w:r w:rsidR="00C16260" w:rsidRPr="40C55922">
        <w:rPr>
          <w:vertAlign w:val="superscript"/>
        </w:rPr>
        <w:t>st</w:t>
      </w:r>
      <w:r w:rsidR="00C16260" w:rsidRPr="40C55922">
        <w:t xml:space="preserve"> </w:t>
      </w:r>
      <w:r w:rsidR="001A7AB0" w:rsidRPr="40C55922">
        <w:t>December 2022</w:t>
      </w:r>
      <w:r w:rsidR="005F2159" w:rsidRPr="40C55922">
        <w:t>. Figure 1 summarises the components of the intervention</w:t>
      </w:r>
      <w:r w:rsidR="00136874" w:rsidRPr="40C55922">
        <w:t xml:space="preserve">. </w:t>
      </w:r>
      <w:r w:rsidR="00B03953" w:rsidRPr="40C55922">
        <w:t>(</w:t>
      </w:r>
      <w:r w:rsidR="004269EB" w:rsidRPr="40C55922">
        <w:t>A CAC Logic Model</w:t>
      </w:r>
      <w:r w:rsidR="0029561E" w:rsidRPr="40C55922">
        <w:t xml:space="preserve"> describing </w:t>
      </w:r>
      <w:r w:rsidR="004269EB" w:rsidRPr="40C55922">
        <w:t xml:space="preserve">the intervention and </w:t>
      </w:r>
      <w:r w:rsidR="0029561E" w:rsidRPr="40C55922">
        <w:t>intended</w:t>
      </w:r>
      <w:r w:rsidR="004269EB" w:rsidRPr="40C55922">
        <w:t xml:space="preserve"> outcomes is shown in A</w:t>
      </w:r>
      <w:r w:rsidR="00E12B05">
        <w:t xml:space="preserve">dditional file </w:t>
      </w:r>
      <w:r w:rsidR="004269EB" w:rsidRPr="40C55922">
        <w:t>1.</w:t>
      </w:r>
      <w:r w:rsidR="00B03953" w:rsidRPr="40C55922">
        <w:t>)</w:t>
      </w:r>
      <w:r w:rsidR="005726E5" w:rsidRPr="40C55922">
        <w:t xml:space="preserve"> </w:t>
      </w:r>
    </w:p>
    <w:p w14:paraId="694BA32F" w14:textId="77777777" w:rsidR="009A7DA4" w:rsidRDefault="009A7DA4" w:rsidP="0040606B">
      <w:pPr>
        <w:spacing w:line="480" w:lineRule="auto"/>
        <w:rPr>
          <w:rFonts w:cstheme="minorHAnsi"/>
        </w:rPr>
      </w:pPr>
    </w:p>
    <w:p w14:paraId="3FF1B494" w14:textId="3B6FC7D8" w:rsidR="0029561E" w:rsidRDefault="005F2159" w:rsidP="0040606B">
      <w:pPr>
        <w:spacing w:line="480" w:lineRule="auto"/>
      </w:pPr>
      <w:r w:rsidRPr="40C55922">
        <w:lastRenderedPageBreak/>
        <w:t xml:space="preserve">Grant activities were supported by </w:t>
      </w:r>
      <w:r w:rsidR="00A32BDE" w:rsidRPr="40C55922">
        <w:t xml:space="preserve">a </w:t>
      </w:r>
      <w:r w:rsidR="00EA4B96">
        <w:t xml:space="preserve">community-based organisation with established links to diverse communities, comprising a </w:t>
      </w:r>
      <w:r w:rsidR="00A32BDE" w:rsidRPr="40C55922">
        <w:t>Project Coordinator</w:t>
      </w:r>
      <w:r w:rsidRPr="40C55922">
        <w:t>,</w:t>
      </w:r>
      <w:r w:rsidR="00A32BDE" w:rsidRPr="40C55922">
        <w:t xml:space="preserve"> a Grant Administrator and a communications and finance team. The total staff resourc</w:t>
      </w:r>
      <w:r w:rsidR="00DE3396">
        <w:t>e</w:t>
      </w:r>
      <w:r w:rsidR="00A32BDE" w:rsidRPr="40C55922">
        <w:t xml:space="preserve"> equated to one full time post. The</w:t>
      </w:r>
      <w:r w:rsidR="001814D2" w:rsidRPr="40C55922">
        <w:t xml:space="preserve"> </w:t>
      </w:r>
      <w:r w:rsidR="00A32BDE" w:rsidRPr="40C55922">
        <w:t>Coordinator</w:t>
      </w:r>
      <w:r w:rsidRPr="40C55922">
        <w:t xml:space="preserve"> </w:t>
      </w:r>
      <w:r w:rsidR="00A32BDE" w:rsidRPr="40C55922">
        <w:t>raise</w:t>
      </w:r>
      <w:r w:rsidRPr="40C55922">
        <w:t>d</w:t>
      </w:r>
      <w:r w:rsidR="00A32BDE" w:rsidRPr="40C55922">
        <w:t xml:space="preserve"> awareness of CA</w:t>
      </w:r>
      <w:r w:rsidR="001814D2" w:rsidRPr="40C55922">
        <w:t>C</w:t>
      </w:r>
      <w:r w:rsidR="00A32BDE" w:rsidRPr="40C55922">
        <w:t xml:space="preserve"> through attend</w:t>
      </w:r>
      <w:r w:rsidR="004E5823" w:rsidRPr="40C55922">
        <w:t>ing</w:t>
      </w:r>
      <w:r w:rsidR="00A32BDE" w:rsidRPr="40C55922">
        <w:t xml:space="preserve"> meetings and </w:t>
      </w:r>
      <w:r w:rsidR="001814D2" w:rsidRPr="40C55922">
        <w:t>community</w:t>
      </w:r>
      <w:r w:rsidR="00A32BDE" w:rsidRPr="40C55922">
        <w:t xml:space="preserve"> events and provid</w:t>
      </w:r>
      <w:r w:rsidR="00FC748B" w:rsidRPr="40C55922">
        <w:t>ed</w:t>
      </w:r>
      <w:r w:rsidR="00A32BDE" w:rsidRPr="40C55922">
        <w:t xml:space="preserve"> cancer prevention and awareness training. The</w:t>
      </w:r>
      <w:r w:rsidR="00DB6D99">
        <w:t>y</w:t>
      </w:r>
      <w:r w:rsidR="001814D2" w:rsidRPr="40C55922">
        <w:t xml:space="preserve"> </w:t>
      </w:r>
      <w:r w:rsidR="00A32BDE" w:rsidRPr="40C55922">
        <w:t>support</w:t>
      </w:r>
      <w:r w:rsidR="001814D2" w:rsidRPr="40C55922">
        <w:t xml:space="preserve">ed people in the grant application process and </w:t>
      </w:r>
      <w:r w:rsidR="00A32BDE" w:rsidRPr="40C55922">
        <w:t>grant</w:t>
      </w:r>
      <w:r w:rsidR="001814D2" w:rsidRPr="40C55922">
        <w:t>-</w:t>
      </w:r>
      <w:r w:rsidR="00A32BDE" w:rsidRPr="40C55922">
        <w:t xml:space="preserve">holders </w:t>
      </w:r>
      <w:r w:rsidR="001814D2" w:rsidRPr="40C55922">
        <w:t>in their</w:t>
      </w:r>
      <w:r w:rsidR="00A32BDE" w:rsidRPr="40C55922">
        <w:t xml:space="preserve"> deliver</w:t>
      </w:r>
      <w:r w:rsidR="001814D2" w:rsidRPr="40C55922">
        <w:t xml:space="preserve">y of </w:t>
      </w:r>
      <w:r w:rsidR="00A32BDE" w:rsidRPr="40C55922">
        <w:t>funded activitie</w:t>
      </w:r>
      <w:r w:rsidR="001814D2" w:rsidRPr="40C55922">
        <w:t>s</w:t>
      </w:r>
      <w:r w:rsidR="00A32BDE" w:rsidRPr="40C55922">
        <w:t>.</w:t>
      </w:r>
      <w:r w:rsidR="00FC748B" w:rsidRPr="40C55922">
        <w:t xml:space="preserve"> </w:t>
      </w:r>
      <w:r w:rsidR="00A32BDE" w:rsidRPr="40C55922">
        <w:t>The</w:t>
      </w:r>
      <w:r w:rsidR="00E325C1">
        <w:t>y also</w:t>
      </w:r>
      <w:r w:rsidR="00870E7E">
        <w:t xml:space="preserve"> </w:t>
      </w:r>
      <w:r w:rsidR="00A32BDE" w:rsidRPr="40C55922">
        <w:t xml:space="preserve">worked closely with community advocates </w:t>
      </w:r>
      <w:r w:rsidR="00F31B08" w:rsidRPr="40C55922">
        <w:t>(</w:t>
      </w:r>
      <w:r w:rsidR="00A32BDE" w:rsidRPr="40C55922">
        <w:t xml:space="preserve">volunteers </w:t>
      </w:r>
      <w:r w:rsidR="00FC748B" w:rsidRPr="40C55922">
        <w:t>with</w:t>
      </w:r>
      <w:r w:rsidR="00A32BDE" w:rsidRPr="40C55922">
        <w:t xml:space="preserve"> a</w:t>
      </w:r>
      <w:r w:rsidR="004E5823" w:rsidRPr="40C55922">
        <w:t>n</w:t>
      </w:r>
      <w:r w:rsidR="00A32BDE" w:rsidRPr="40C55922">
        <w:t xml:space="preserve"> interest in the </w:t>
      </w:r>
      <w:r w:rsidR="004E5823" w:rsidRPr="40C55922">
        <w:t>project</w:t>
      </w:r>
      <w:r w:rsidR="00F31B08" w:rsidRPr="40C55922">
        <w:t xml:space="preserve">, </w:t>
      </w:r>
      <w:r w:rsidR="001814D2" w:rsidRPr="40C55922">
        <w:t>including</w:t>
      </w:r>
      <w:r w:rsidR="00A32BDE" w:rsidRPr="40C55922">
        <w:t xml:space="preserve"> previous award holders), and local</w:t>
      </w:r>
      <w:r w:rsidR="4A4CEEB7" w:rsidRPr="40C55922">
        <w:t xml:space="preserve"> </w:t>
      </w:r>
      <w:r w:rsidR="56D56EC9" w:rsidRPr="40C55922">
        <w:t>representatives</w:t>
      </w:r>
      <w:r w:rsidR="00A32BDE" w:rsidRPr="40C55922">
        <w:t xml:space="preserve"> through whom </w:t>
      </w:r>
      <w:r w:rsidR="00FC748B" w:rsidRPr="40C55922">
        <w:t>grant information was</w:t>
      </w:r>
      <w:r w:rsidR="00A32BDE" w:rsidRPr="40C55922">
        <w:t xml:space="preserve"> disseminate</w:t>
      </w:r>
      <w:r w:rsidR="00FC748B" w:rsidRPr="40C55922">
        <w:t>d</w:t>
      </w:r>
      <w:r w:rsidR="00A32BDE" w:rsidRPr="40C55922">
        <w:t>.</w:t>
      </w:r>
    </w:p>
    <w:p w14:paraId="076707E5" w14:textId="77777777" w:rsidR="00401387" w:rsidRDefault="00401387" w:rsidP="0040606B">
      <w:pPr>
        <w:spacing w:line="480" w:lineRule="auto"/>
        <w:rPr>
          <w:rFonts w:cstheme="minorHAnsi"/>
        </w:rPr>
      </w:pPr>
    </w:p>
    <w:p w14:paraId="5E59294D" w14:textId="67CB486A" w:rsidR="00401387" w:rsidRPr="00FC748B" w:rsidRDefault="00E325C1" w:rsidP="0040606B">
      <w:pPr>
        <w:tabs>
          <w:tab w:val="num" w:pos="720"/>
        </w:tabs>
        <w:spacing w:line="480" w:lineRule="auto"/>
        <w:rPr>
          <w:rFonts w:cstheme="minorHAnsi"/>
        </w:rPr>
      </w:pPr>
      <w:r w:rsidRPr="40C55922">
        <w:t>CAC was promoted through social media and websites, sending information fliers to community groups and leaders</w:t>
      </w:r>
      <w:r w:rsidR="00EA4B96">
        <w:t xml:space="preserve"> known to the organisation managing the grant scheme</w:t>
      </w:r>
      <w:r w:rsidRPr="40C55922">
        <w:t>, and attendance at local networking and group events</w:t>
      </w:r>
      <w:r w:rsidR="00EA4B96">
        <w:t>, including religious festivals and open days</w:t>
      </w:r>
      <w:r w:rsidRPr="40C55922">
        <w:t xml:space="preserve">. </w:t>
      </w:r>
      <w:r w:rsidR="00A313A3">
        <w:rPr>
          <w:rFonts w:cstheme="minorHAnsi"/>
        </w:rPr>
        <w:t xml:space="preserve">A total of </w:t>
      </w:r>
      <w:r w:rsidR="00A313A3" w:rsidRPr="00D45EEC">
        <w:rPr>
          <w:rFonts w:cstheme="minorHAnsi"/>
        </w:rPr>
        <w:t xml:space="preserve">58 applications were considered by the </w:t>
      </w:r>
      <w:r w:rsidR="00A313A3">
        <w:rPr>
          <w:rFonts w:cstheme="minorHAnsi"/>
        </w:rPr>
        <w:t xml:space="preserve">grant </w:t>
      </w:r>
      <w:r w:rsidR="00A313A3" w:rsidRPr="00D45EEC">
        <w:rPr>
          <w:rFonts w:cstheme="minorHAnsi"/>
        </w:rPr>
        <w:t xml:space="preserve">panel </w:t>
      </w:r>
      <w:r w:rsidR="00A313A3">
        <w:rPr>
          <w:rFonts w:cstheme="minorHAnsi"/>
        </w:rPr>
        <w:t>in the period 1</w:t>
      </w:r>
      <w:r w:rsidR="00A313A3" w:rsidRPr="00D45EEC">
        <w:rPr>
          <w:rFonts w:cstheme="minorHAnsi"/>
          <w:vertAlign w:val="superscript"/>
        </w:rPr>
        <w:t>st</w:t>
      </w:r>
      <w:r w:rsidR="00A313A3">
        <w:rPr>
          <w:rFonts w:cstheme="minorHAnsi"/>
        </w:rPr>
        <w:t xml:space="preserve"> January 2021 – 31</w:t>
      </w:r>
      <w:r w:rsidR="00A313A3" w:rsidRPr="00BA3A3C">
        <w:rPr>
          <w:rFonts w:cstheme="minorHAnsi"/>
          <w:vertAlign w:val="superscript"/>
        </w:rPr>
        <w:t>st</w:t>
      </w:r>
      <w:r w:rsidR="00A313A3">
        <w:rPr>
          <w:rFonts w:cstheme="minorHAnsi"/>
        </w:rPr>
        <w:t xml:space="preserve"> December 2022 of which 53 were funded, resulting in a </w:t>
      </w:r>
      <w:r w:rsidR="00A313A3" w:rsidRPr="00D45EEC">
        <w:rPr>
          <w:rFonts w:cstheme="minorHAnsi"/>
        </w:rPr>
        <w:t xml:space="preserve">success rate </w:t>
      </w:r>
      <w:r w:rsidR="00A313A3">
        <w:rPr>
          <w:rFonts w:cstheme="minorHAnsi"/>
        </w:rPr>
        <w:t xml:space="preserve">of </w:t>
      </w:r>
      <w:r w:rsidR="00A313A3" w:rsidRPr="00D45EEC">
        <w:rPr>
          <w:rFonts w:cstheme="minorHAnsi"/>
        </w:rPr>
        <w:t>91.4%.</w:t>
      </w:r>
      <w:r w:rsidR="00A313A3">
        <w:rPr>
          <w:rFonts w:cstheme="minorHAnsi"/>
        </w:rPr>
        <w:t xml:space="preserve"> </w:t>
      </w:r>
      <w:r w:rsidR="00E60E39">
        <w:rPr>
          <w:rFonts w:cstheme="minorHAnsi"/>
        </w:rPr>
        <w:t xml:space="preserve">The grant panel </w:t>
      </w:r>
      <w:r w:rsidR="007C2569">
        <w:rPr>
          <w:rFonts w:cstheme="minorHAnsi"/>
        </w:rPr>
        <w:t>consisted of eight members, including advocates for target communities, a representative from Wessex Cancer Alliance, and specialist</w:t>
      </w:r>
      <w:r w:rsidR="00454476">
        <w:rPr>
          <w:rFonts w:cstheme="minorHAnsi"/>
        </w:rPr>
        <w:t>s</w:t>
      </w:r>
      <w:r w:rsidR="007C2569">
        <w:rPr>
          <w:rFonts w:cstheme="minorHAnsi"/>
        </w:rPr>
        <w:t xml:space="preserve"> in public and community involvement. </w:t>
      </w:r>
      <w:r w:rsidR="00A313A3" w:rsidRPr="00D45EEC">
        <w:rPr>
          <w:rFonts w:cstheme="minorHAnsi"/>
        </w:rPr>
        <w:t xml:space="preserve">The total value </w:t>
      </w:r>
      <w:r w:rsidR="00A313A3">
        <w:rPr>
          <w:rFonts w:cstheme="minorHAnsi"/>
        </w:rPr>
        <w:t xml:space="preserve">of the 53 successful projects </w:t>
      </w:r>
      <w:r w:rsidR="00A313A3" w:rsidRPr="00D45EEC">
        <w:rPr>
          <w:rFonts w:cstheme="minorHAnsi"/>
        </w:rPr>
        <w:t>was £2</w:t>
      </w:r>
      <w:r w:rsidR="008F2685">
        <w:rPr>
          <w:rFonts w:cstheme="minorHAnsi"/>
        </w:rPr>
        <w:t>06</w:t>
      </w:r>
      <w:r w:rsidR="00A313A3" w:rsidRPr="00D45EEC">
        <w:rPr>
          <w:rFonts w:cstheme="minorHAnsi"/>
        </w:rPr>
        <w:t>,</w:t>
      </w:r>
      <w:r w:rsidR="008F2685">
        <w:rPr>
          <w:rFonts w:cstheme="minorHAnsi"/>
        </w:rPr>
        <w:t>383</w:t>
      </w:r>
      <w:r w:rsidR="00A313A3">
        <w:rPr>
          <w:rFonts w:cstheme="minorHAnsi"/>
        </w:rPr>
        <w:t xml:space="preserve">. </w:t>
      </w:r>
      <w:r w:rsidR="00A313A3" w:rsidRPr="00D45EEC">
        <w:rPr>
          <w:rFonts w:cstheme="minorHAnsi"/>
        </w:rPr>
        <w:t>The average size of project funding was £3,894 (range: £760 – £5,400)</w:t>
      </w:r>
      <w:r w:rsidR="00A313A3">
        <w:rPr>
          <w:rFonts w:cstheme="minorHAnsi"/>
        </w:rPr>
        <w:t>. E</w:t>
      </w:r>
      <w:r w:rsidR="00EA4B96">
        <w:rPr>
          <w:rFonts w:cstheme="minorHAnsi"/>
        </w:rPr>
        <w:t>thnic minoritised</w:t>
      </w:r>
      <w:r w:rsidR="00A313A3" w:rsidRPr="007D245C">
        <w:rPr>
          <w:rFonts w:cstheme="minorHAnsi"/>
        </w:rPr>
        <w:t xml:space="preserve"> </w:t>
      </w:r>
      <w:r w:rsidR="00A313A3">
        <w:rPr>
          <w:rFonts w:cstheme="minorHAnsi"/>
        </w:rPr>
        <w:t xml:space="preserve">community </w:t>
      </w:r>
      <w:r w:rsidR="00A313A3" w:rsidRPr="007D245C">
        <w:rPr>
          <w:rFonts w:cstheme="minorHAnsi"/>
        </w:rPr>
        <w:t xml:space="preserve">groups were the largest community type supported by CAC </w:t>
      </w:r>
      <w:r w:rsidR="00A313A3">
        <w:rPr>
          <w:rFonts w:cstheme="minorHAnsi"/>
        </w:rPr>
        <w:t>(</w:t>
      </w:r>
      <w:r w:rsidR="00A313A3" w:rsidRPr="007D245C">
        <w:rPr>
          <w:rFonts w:cstheme="minorHAnsi"/>
        </w:rPr>
        <w:t>16 groups</w:t>
      </w:r>
      <w:r w:rsidR="00A313A3">
        <w:rPr>
          <w:rFonts w:cstheme="minorHAnsi"/>
        </w:rPr>
        <w:t>, 30.2%) (Figure 2)</w:t>
      </w:r>
      <w:r w:rsidR="00A313A3" w:rsidRPr="007D245C">
        <w:rPr>
          <w:rFonts w:cstheme="minorHAnsi"/>
        </w:rPr>
        <w:t xml:space="preserve">. </w:t>
      </w:r>
      <w:r w:rsidR="00A313A3">
        <w:rPr>
          <w:rFonts w:cstheme="minorHAnsi"/>
        </w:rPr>
        <w:t>The community engagement strategy most used by grant applicants was a</w:t>
      </w:r>
      <w:r w:rsidR="00A313A3" w:rsidRPr="00BC0365">
        <w:rPr>
          <w:rFonts w:cstheme="minorHAnsi"/>
        </w:rPr>
        <w:t>wareness events (</w:t>
      </w:r>
      <w:r w:rsidR="00A313A3">
        <w:rPr>
          <w:rFonts w:cstheme="minorHAnsi"/>
        </w:rPr>
        <w:t xml:space="preserve">e.g. </w:t>
      </w:r>
      <w:r w:rsidR="00A313A3" w:rsidRPr="00BC0365">
        <w:rPr>
          <w:rFonts w:cstheme="minorHAnsi"/>
        </w:rPr>
        <w:t>courses, workshops, festivals or all-day events)</w:t>
      </w:r>
      <w:r w:rsidR="00A313A3">
        <w:rPr>
          <w:rFonts w:cstheme="minorHAnsi"/>
        </w:rPr>
        <w:t>, which were used in 31 (58.5%) funded projects (Figure 3).</w:t>
      </w:r>
    </w:p>
    <w:p w14:paraId="3C7D75BF" w14:textId="77777777" w:rsidR="0050214E" w:rsidRDefault="0050214E" w:rsidP="0040606B">
      <w:pPr>
        <w:spacing w:line="480" w:lineRule="auto"/>
        <w:rPr>
          <w:rFonts w:cstheme="minorHAnsi"/>
          <w:b/>
          <w:bCs/>
        </w:rPr>
      </w:pPr>
    </w:p>
    <w:p w14:paraId="3AEF4899" w14:textId="77777777" w:rsidR="00FC748B" w:rsidRPr="00B17951" w:rsidRDefault="00FC748B" w:rsidP="0040606B">
      <w:pPr>
        <w:spacing w:line="480" w:lineRule="auto"/>
        <w:rPr>
          <w:b/>
          <w:bCs/>
          <w:i/>
          <w:iCs/>
        </w:rPr>
      </w:pPr>
      <w:r w:rsidRPr="00B17951">
        <w:rPr>
          <w:b/>
          <w:bCs/>
          <w:i/>
          <w:iCs/>
        </w:rPr>
        <w:lastRenderedPageBreak/>
        <w:t>Study aims</w:t>
      </w:r>
    </w:p>
    <w:p w14:paraId="08C0E8FB" w14:textId="039F48AA" w:rsidR="00FC748B" w:rsidRPr="0005647C" w:rsidRDefault="00FC748B" w:rsidP="0040606B">
      <w:pPr>
        <w:spacing w:line="480" w:lineRule="auto"/>
        <w:rPr>
          <w:b/>
          <w:bCs/>
        </w:rPr>
      </w:pPr>
      <w:r>
        <w:t xml:space="preserve">The aim of the study was to assess whether the </w:t>
      </w:r>
      <w:r w:rsidRPr="00FE3F0C">
        <w:rPr>
          <w:rFonts w:cstheme="minorHAnsi"/>
        </w:rPr>
        <w:t>C</w:t>
      </w:r>
      <w:r>
        <w:rPr>
          <w:rFonts w:cstheme="minorHAnsi"/>
        </w:rPr>
        <w:t xml:space="preserve">AC-funded community engagement activity had </w:t>
      </w:r>
      <w:r w:rsidRPr="00B049E9">
        <w:rPr>
          <w:rFonts w:cstheme="minorHAnsi"/>
        </w:rPr>
        <w:t>resulted in a successful outcome</w:t>
      </w:r>
      <w:r>
        <w:rPr>
          <w:rFonts w:cstheme="minorHAnsi"/>
        </w:rPr>
        <w:t xml:space="preserve">, defined in terms of whether it </w:t>
      </w:r>
      <w:r w:rsidR="00EE1EAC">
        <w:rPr>
          <w:rFonts w:cstheme="minorHAnsi"/>
        </w:rPr>
        <w:t xml:space="preserve">delivered activities to </w:t>
      </w:r>
      <w:r>
        <w:rPr>
          <w:rFonts w:cstheme="minorHAnsi"/>
        </w:rPr>
        <w:t>me</w:t>
      </w:r>
      <w:r w:rsidR="00EE1EAC">
        <w:rPr>
          <w:rFonts w:cstheme="minorHAnsi"/>
        </w:rPr>
        <w:t>e</w:t>
      </w:r>
      <w:r>
        <w:rPr>
          <w:rFonts w:cstheme="minorHAnsi"/>
        </w:rPr>
        <w:t>t at least one of the initiative</w:t>
      </w:r>
      <w:r w:rsidR="00B004DC">
        <w:rPr>
          <w:rFonts w:cstheme="minorHAnsi"/>
        </w:rPr>
        <w:t>’</w:t>
      </w:r>
      <w:r>
        <w:rPr>
          <w:rFonts w:cstheme="minorHAnsi"/>
        </w:rPr>
        <w:t>s aims:</w:t>
      </w:r>
    </w:p>
    <w:p w14:paraId="6BB69F07" w14:textId="3DA0C445" w:rsidR="00FC748B" w:rsidRPr="00806CB0" w:rsidRDefault="00B004DC" w:rsidP="0040606B">
      <w:pPr>
        <w:numPr>
          <w:ilvl w:val="0"/>
          <w:numId w:val="14"/>
        </w:numPr>
        <w:tabs>
          <w:tab w:val="num" w:pos="720"/>
        </w:tabs>
        <w:spacing w:line="480" w:lineRule="auto"/>
      </w:pPr>
      <w:r>
        <w:t>i</w:t>
      </w:r>
      <w:r w:rsidR="00FC748B" w:rsidRPr="00806CB0">
        <w:t>ncreas</w:t>
      </w:r>
      <w:r w:rsidR="00FC748B">
        <w:t>ed</w:t>
      </w:r>
      <w:r w:rsidR="00FC748B" w:rsidRPr="00806CB0">
        <w:t xml:space="preserve"> healthy behaviours </w:t>
      </w:r>
    </w:p>
    <w:p w14:paraId="57FFB213" w14:textId="3467A16B" w:rsidR="00FC748B" w:rsidRPr="00806CB0" w:rsidRDefault="00B004DC" w:rsidP="0040606B">
      <w:pPr>
        <w:numPr>
          <w:ilvl w:val="0"/>
          <w:numId w:val="14"/>
        </w:numPr>
        <w:tabs>
          <w:tab w:val="num" w:pos="720"/>
        </w:tabs>
        <w:spacing w:line="480" w:lineRule="auto"/>
      </w:pPr>
      <w:r>
        <w:t>i</w:t>
      </w:r>
      <w:r w:rsidR="00FC748B" w:rsidRPr="00806CB0">
        <w:t>ncreas</w:t>
      </w:r>
      <w:r w:rsidR="00FC748B">
        <w:t>ed</w:t>
      </w:r>
      <w:r w:rsidR="00FC748B" w:rsidRPr="00806CB0">
        <w:t xml:space="preserve"> screening uptake </w:t>
      </w:r>
    </w:p>
    <w:p w14:paraId="075F575A" w14:textId="03D72185" w:rsidR="00FC748B" w:rsidRDefault="00B004DC" w:rsidP="0040606B">
      <w:pPr>
        <w:numPr>
          <w:ilvl w:val="0"/>
          <w:numId w:val="14"/>
        </w:numPr>
        <w:tabs>
          <w:tab w:val="num" w:pos="720"/>
        </w:tabs>
        <w:spacing w:line="480" w:lineRule="auto"/>
      </w:pPr>
      <w:r>
        <w:t>i</w:t>
      </w:r>
      <w:r w:rsidR="00FC748B" w:rsidRPr="00806CB0">
        <w:t>ncreas</w:t>
      </w:r>
      <w:r w:rsidR="00FC748B">
        <w:t>ed</w:t>
      </w:r>
      <w:r w:rsidR="00FC748B" w:rsidRPr="00806CB0">
        <w:t xml:space="preserve"> awareness of signs and symptoms of cancer</w:t>
      </w:r>
    </w:p>
    <w:p w14:paraId="187088CB" w14:textId="40DC5C4F" w:rsidR="00B004DC" w:rsidRPr="00152E58" w:rsidRDefault="00B004DC" w:rsidP="0040606B">
      <w:pPr>
        <w:numPr>
          <w:ilvl w:val="0"/>
          <w:numId w:val="14"/>
        </w:numPr>
        <w:tabs>
          <w:tab w:val="num" w:pos="720"/>
        </w:tabs>
        <w:spacing w:line="480" w:lineRule="auto"/>
      </w:pPr>
      <w:r>
        <w:t>i</w:t>
      </w:r>
      <w:r w:rsidR="00FC748B" w:rsidRPr="00806CB0">
        <w:t>ncreas</w:t>
      </w:r>
      <w:r w:rsidR="00FC748B">
        <w:t>ed</w:t>
      </w:r>
      <w:r w:rsidR="00FC748B" w:rsidRPr="00806CB0">
        <w:t xml:space="preserve"> help-seeking behaviour</w:t>
      </w:r>
    </w:p>
    <w:p w14:paraId="09D597D3" w14:textId="4943FAAA" w:rsidR="00B004DC" w:rsidRDefault="00B004DC" w:rsidP="0040606B">
      <w:pPr>
        <w:spacing w:line="480" w:lineRule="auto"/>
      </w:pPr>
      <w:r w:rsidRPr="40C55922">
        <w:t xml:space="preserve">In addition, we assessed </w:t>
      </w:r>
      <w:r>
        <w:t xml:space="preserve">the context-specific factors that contributed to the </w:t>
      </w:r>
      <w:r w:rsidR="00EA4B96">
        <w:t xml:space="preserve">outcomes </w:t>
      </w:r>
      <w:r>
        <w:t>of successful projects.</w:t>
      </w:r>
    </w:p>
    <w:p w14:paraId="0E6C45A9" w14:textId="77777777" w:rsidR="00EA4B96" w:rsidRDefault="00EA4B96" w:rsidP="0040606B">
      <w:pPr>
        <w:spacing w:line="480" w:lineRule="auto"/>
      </w:pPr>
    </w:p>
    <w:p w14:paraId="5AEF17FE" w14:textId="77777777" w:rsidR="00A07D86" w:rsidRPr="00B004DC" w:rsidRDefault="00A07D86" w:rsidP="0040606B">
      <w:pPr>
        <w:spacing w:line="480" w:lineRule="auto"/>
      </w:pPr>
    </w:p>
    <w:p w14:paraId="4031202E" w14:textId="208EDC88" w:rsidR="00A313A3" w:rsidRDefault="00C61DC1" w:rsidP="005C699C">
      <w:pPr>
        <w:spacing w:line="480" w:lineRule="auto"/>
        <w:jc w:val="center"/>
        <w:rPr>
          <w:b/>
          <w:bCs/>
        </w:rPr>
      </w:pPr>
      <w:r w:rsidRPr="40C55922">
        <w:rPr>
          <w:b/>
          <w:bCs/>
        </w:rPr>
        <w:t xml:space="preserve">Figure 1: </w:t>
      </w:r>
      <w:r w:rsidR="00640B45" w:rsidRPr="40C55922">
        <w:rPr>
          <w:b/>
          <w:bCs/>
        </w:rPr>
        <w:t>Description</w:t>
      </w:r>
      <w:r w:rsidRPr="40C55922">
        <w:rPr>
          <w:b/>
          <w:bCs/>
        </w:rPr>
        <w:t xml:space="preserve"> of CAC intervention components and process</w:t>
      </w:r>
    </w:p>
    <w:p w14:paraId="2C41A589" w14:textId="77777777" w:rsidR="005C699C" w:rsidRPr="005C699C" w:rsidRDefault="005C699C" w:rsidP="005C699C">
      <w:pPr>
        <w:spacing w:line="480" w:lineRule="auto"/>
        <w:jc w:val="center"/>
        <w:rPr>
          <w:b/>
          <w:bCs/>
        </w:rPr>
      </w:pPr>
    </w:p>
    <w:p w14:paraId="19D6694B" w14:textId="103C073A" w:rsidR="00A07D86" w:rsidRDefault="00BA518C" w:rsidP="008464FB">
      <w:pPr>
        <w:spacing w:line="480" w:lineRule="auto"/>
        <w:jc w:val="center"/>
        <w:rPr>
          <w:rFonts w:cstheme="minorHAnsi"/>
          <w:b/>
          <w:bCs/>
        </w:rPr>
      </w:pPr>
      <w:r w:rsidRPr="00DC27F9">
        <w:rPr>
          <w:rFonts w:cstheme="minorHAnsi"/>
          <w:b/>
          <w:bCs/>
        </w:rPr>
        <w:t xml:space="preserve">Figure </w:t>
      </w:r>
      <w:r w:rsidR="00126373">
        <w:rPr>
          <w:rFonts w:cstheme="minorHAnsi"/>
          <w:b/>
          <w:bCs/>
        </w:rPr>
        <w:t>2</w:t>
      </w:r>
      <w:r w:rsidRPr="00DC27F9">
        <w:rPr>
          <w:rFonts w:cstheme="minorHAnsi"/>
          <w:b/>
          <w:bCs/>
        </w:rPr>
        <w:t xml:space="preserve">: Number of CAC funded projects by community type, 2021 </w:t>
      </w:r>
      <w:r w:rsidR="00FE0437">
        <w:rPr>
          <w:rFonts w:cstheme="minorHAnsi"/>
          <w:b/>
          <w:bCs/>
        </w:rPr>
        <w:t>–</w:t>
      </w:r>
      <w:r w:rsidRPr="00DC27F9">
        <w:rPr>
          <w:rFonts w:cstheme="minorHAnsi"/>
          <w:b/>
          <w:bCs/>
        </w:rPr>
        <w:t xml:space="preserve"> 2022</w:t>
      </w:r>
      <w:r w:rsidR="004418EB">
        <w:rPr>
          <w:rFonts w:cstheme="minorHAnsi"/>
          <w:b/>
          <w:bCs/>
        </w:rPr>
        <w:t>*</w:t>
      </w:r>
    </w:p>
    <w:p w14:paraId="0D314503" w14:textId="77777777" w:rsidR="005C699C" w:rsidRDefault="005C699C" w:rsidP="008464FB">
      <w:pPr>
        <w:spacing w:line="480" w:lineRule="auto"/>
        <w:jc w:val="center"/>
        <w:rPr>
          <w:rFonts w:cstheme="minorHAnsi"/>
          <w:b/>
          <w:bCs/>
        </w:rPr>
      </w:pPr>
    </w:p>
    <w:p w14:paraId="4855DE2C" w14:textId="6831437F" w:rsidR="00BC0365" w:rsidRDefault="00407F5C" w:rsidP="008464FB">
      <w:pPr>
        <w:spacing w:line="480" w:lineRule="auto"/>
        <w:jc w:val="center"/>
        <w:rPr>
          <w:rFonts w:cstheme="minorHAnsi"/>
          <w:b/>
          <w:bCs/>
        </w:rPr>
      </w:pPr>
      <w:r>
        <w:rPr>
          <w:rFonts w:cstheme="minorHAnsi"/>
          <w:b/>
          <w:bCs/>
        </w:rPr>
        <w:t xml:space="preserve">Figure </w:t>
      </w:r>
      <w:r w:rsidR="00126373">
        <w:rPr>
          <w:rFonts w:cstheme="minorHAnsi"/>
          <w:b/>
          <w:bCs/>
        </w:rPr>
        <w:t>3</w:t>
      </w:r>
      <w:r>
        <w:rPr>
          <w:rFonts w:cstheme="minorHAnsi"/>
          <w:b/>
          <w:bCs/>
        </w:rPr>
        <w:t xml:space="preserve">: </w:t>
      </w:r>
      <w:r w:rsidRPr="00407F5C">
        <w:rPr>
          <w:rFonts w:cstheme="minorHAnsi"/>
          <w:b/>
          <w:bCs/>
        </w:rPr>
        <w:t xml:space="preserve">Number of </w:t>
      </w:r>
      <w:r w:rsidR="003939EC">
        <w:rPr>
          <w:rFonts w:cstheme="minorHAnsi"/>
          <w:b/>
          <w:bCs/>
        </w:rPr>
        <w:t xml:space="preserve">CAC funded </w:t>
      </w:r>
      <w:r w:rsidRPr="00407F5C">
        <w:rPr>
          <w:rFonts w:cstheme="minorHAnsi"/>
          <w:b/>
          <w:bCs/>
        </w:rPr>
        <w:t xml:space="preserve">projects by type of engagement </w:t>
      </w:r>
      <w:proofErr w:type="gramStart"/>
      <w:r w:rsidRPr="00407F5C">
        <w:rPr>
          <w:rFonts w:cstheme="minorHAnsi"/>
          <w:b/>
          <w:bCs/>
        </w:rPr>
        <w:t>activity</w:t>
      </w:r>
      <w:r w:rsidR="003939EC">
        <w:rPr>
          <w:rFonts w:cstheme="minorHAnsi"/>
          <w:b/>
          <w:bCs/>
        </w:rPr>
        <w:t xml:space="preserve">, </w:t>
      </w:r>
      <w:r w:rsidR="00A07D86">
        <w:rPr>
          <w:rFonts w:cstheme="minorHAnsi"/>
          <w:b/>
          <w:bCs/>
        </w:rPr>
        <w:t xml:space="preserve"> </w:t>
      </w:r>
      <w:r w:rsidR="003939EC">
        <w:rPr>
          <w:rFonts w:cstheme="minorHAnsi"/>
          <w:b/>
          <w:bCs/>
        </w:rPr>
        <w:t>2021</w:t>
      </w:r>
      <w:proofErr w:type="gramEnd"/>
      <w:r w:rsidR="00A07D86">
        <w:rPr>
          <w:rFonts w:cstheme="minorHAnsi"/>
          <w:b/>
          <w:bCs/>
        </w:rPr>
        <w:t xml:space="preserve"> </w:t>
      </w:r>
      <w:r w:rsidR="004418EB">
        <w:rPr>
          <w:rFonts w:cstheme="minorHAnsi"/>
          <w:b/>
          <w:bCs/>
        </w:rPr>
        <w:t>–</w:t>
      </w:r>
      <w:r w:rsidR="00A07D86">
        <w:rPr>
          <w:rFonts w:cstheme="minorHAnsi"/>
          <w:b/>
          <w:bCs/>
        </w:rPr>
        <w:t xml:space="preserve"> </w:t>
      </w:r>
      <w:r w:rsidR="003939EC">
        <w:rPr>
          <w:rFonts w:cstheme="minorHAnsi"/>
          <w:b/>
          <w:bCs/>
        </w:rPr>
        <w:t>2022</w:t>
      </w:r>
      <w:r w:rsidR="004418EB">
        <w:rPr>
          <w:rFonts w:cstheme="minorHAnsi"/>
          <w:b/>
          <w:bCs/>
        </w:rPr>
        <w:t>*</w:t>
      </w:r>
    </w:p>
    <w:p w14:paraId="190B3489" w14:textId="77777777" w:rsidR="00A07D86" w:rsidRPr="00806CB0" w:rsidRDefault="00A07D86" w:rsidP="0040606B">
      <w:pPr>
        <w:tabs>
          <w:tab w:val="num" w:pos="720"/>
        </w:tabs>
        <w:spacing w:line="480" w:lineRule="auto"/>
      </w:pPr>
    </w:p>
    <w:p w14:paraId="55E72BB0" w14:textId="20EBCA5D" w:rsidR="00D948BB" w:rsidRPr="00B07195" w:rsidRDefault="00D948BB" w:rsidP="0040606B">
      <w:pPr>
        <w:spacing w:line="480" w:lineRule="auto"/>
        <w:rPr>
          <w:b/>
          <w:bCs/>
        </w:rPr>
      </w:pPr>
      <w:r w:rsidRPr="00A541A1">
        <w:rPr>
          <w:b/>
          <w:bCs/>
        </w:rPr>
        <w:t>Method</w:t>
      </w:r>
      <w:r>
        <w:rPr>
          <w:b/>
          <w:bCs/>
        </w:rPr>
        <w:t>s</w:t>
      </w:r>
    </w:p>
    <w:p w14:paraId="10362067" w14:textId="77777777" w:rsidR="00D948BB" w:rsidRDefault="00D948BB" w:rsidP="0040606B">
      <w:pPr>
        <w:spacing w:line="480" w:lineRule="auto"/>
      </w:pPr>
    </w:p>
    <w:p w14:paraId="1CEC61CD" w14:textId="08F5F8CC" w:rsidR="003735CA" w:rsidRDefault="003735CA" w:rsidP="0040606B">
      <w:pPr>
        <w:spacing w:line="480" w:lineRule="auto"/>
        <w:rPr>
          <w:b/>
          <w:bCs/>
          <w:i/>
          <w:iCs/>
        </w:rPr>
      </w:pPr>
      <w:r>
        <w:rPr>
          <w:b/>
          <w:bCs/>
          <w:i/>
          <w:iCs/>
        </w:rPr>
        <w:t>D</w:t>
      </w:r>
      <w:r w:rsidR="008438FE">
        <w:rPr>
          <w:b/>
          <w:bCs/>
          <w:i/>
          <w:iCs/>
        </w:rPr>
        <w:t>ata collection</w:t>
      </w:r>
    </w:p>
    <w:p w14:paraId="57B2CC70" w14:textId="10B34BCC" w:rsidR="00AE4FA8" w:rsidRDefault="00AE4FA8" w:rsidP="0040606B">
      <w:pPr>
        <w:spacing w:line="480" w:lineRule="auto"/>
        <w:rPr>
          <w:rFonts w:cstheme="minorHAnsi"/>
        </w:rPr>
      </w:pPr>
      <w:r>
        <w:t xml:space="preserve">We used a </w:t>
      </w:r>
      <w:r w:rsidR="006619BE">
        <w:t>qualitative</w:t>
      </w:r>
      <w:r>
        <w:t xml:space="preserve"> approach</w:t>
      </w:r>
      <w:r w:rsidRPr="00401387">
        <w:rPr>
          <w:vertAlign w:val="superscript"/>
        </w:rPr>
        <w:t>2</w:t>
      </w:r>
      <w:r w:rsidR="00454476">
        <w:rPr>
          <w:vertAlign w:val="superscript"/>
        </w:rPr>
        <w:t>3</w:t>
      </w:r>
      <w:r>
        <w:t xml:space="preserve"> </w:t>
      </w:r>
      <w:proofErr w:type="gramStart"/>
      <w:r>
        <w:t>involving:</w:t>
      </w:r>
      <w:proofErr w:type="gramEnd"/>
      <w:r>
        <w:t xml:space="preserve"> in-depth qualitative interviews; </w:t>
      </w:r>
      <w:r>
        <w:rPr>
          <w:rFonts w:cstheme="minorHAnsi"/>
        </w:rPr>
        <w:t xml:space="preserve">observations of training sessions, meetings, discussions, funded community activities and other relevant </w:t>
      </w:r>
      <w:r>
        <w:rPr>
          <w:rFonts w:cstheme="minorHAnsi"/>
        </w:rPr>
        <w:lastRenderedPageBreak/>
        <w:t>events; and documentary analysis.</w:t>
      </w:r>
      <w:r w:rsidR="006619BE">
        <w:rPr>
          <w:rFonts w:cstheme="minorHAnsi"/>
        </w:rPr>
        <w:t xml:space="preserve"> This was supported by quantitative descriptions of grant-level data. </w:t>
      </w:r>
    </w:p>
    <w:p w14:paraId="0CC09B6D" w14:textId="77777777" w:rsidR="00B07195" w:rsidRDefault="00B07195" w:rsidP="0040606B">
      <w:pPr>
        <w:spacing w:line="480" w:lineRule="auto"/>
        <w:rPr>
          <w:b/>
          <w:bCs/>
          <w:i/>
          <w:iCs/>
        </w:rPr>
      </w:pPr>
    </w:p>
    <w:p w14:paraId="0785C3DF" w14:textId="4DD26EAB" w:rsidR="00D948BB" w:rsidRPr="00AE4FA8" w:rsidRDefault="00D948BB" w:rsidP="0040606B">
      <w:pPr>
        <w:spacing w:line="480" w:lineRule="auto"/>
        <w:rPr>
          <w:b/>
          <w:bCs/>
          <w:i/>
          <w:iCs/>
        </w:rPr>
      </w:pPr>
      <w:r w:rsidRPr="00AE4FA8">
        <w:rPr>
          <w:b/>
          <w:bCs/>
          <w:i/>
          <w:iCs/>
        </w:rPr>
        <w:t xml:space="preserve">Documentary analysis </w:t>
      </w:r>
    </w:p>
    <w:p w14:paraId="7A2C0440" w14:textId="0C5E0831" w:rsidR="00D948BB" w:rsidRDefault="00D948BB" w:rsidP="0040606B">
      <w:pPr>
        <w:spacing w:line="480" w:lineRule="auto"/>
      </w:pPr>
      <w:r>
        <w:t xml:space="preserve">Documentary analysis was undertaken on all </w:t>
      </w:r>
      <w:r w:rsidR="00EA7477">
        <w:t xml:space="preserve">written </w:t>
      </w:r>
      <w:r>
        <w:t>material relating to CAC</w:t>
      </w:r>
      <w:r w:rsidR="00CA4861">
        <w:t>. This involved assessing the grant</w:t>
      </w:r>
      <w:r w:rsidR="00454476">
        <w:t>-</w:t>
      </w:r>
      <w:r w:rsidR="00CA4861">
        <w:t>scheme</w:t>
      </w:r>
      <w:r>
        <w:t xml:space="preserve"> promotional material</w:t>
      </w:r>
      <w:r w:rsidR="00CA4861">
        <w:t xml:space="preserve"> and grant-panel </w:t>
      </w:r>
      <w:r w:rsidR="00EA7477">
        <w:t xml:space="preserve">meeting </w:t>
      </w:r>
      <w:r>
        <w:t>minutes</w:t>
      </w:r>
      <w:r w:rsidR="00CA4861">
        <w:t>. In addition, all</w:t>
      </w:r>
      <w:r>
        <w:t xml:space="preserve"> applications received</w:t>
      </w:r>
      <w:r w:rsidR="00CA4861">
        <w:t xml:space="preserve"> were assessed</w:t>
      </w:r>
      <w:r>
        <w:t xml:space="preserve">, </w:t>
      </w:r>
      <w:r w:rsidR="00CA4861">
        <w:t xml:space="preserve">as were all </w:t>
      </w:r>
      <w:r>
        <w:t>interim and final reports of funded projects</w:t>
      </w:r>
      <w:r w:rsidR="00CA4861">
        <w:t xml:space="preserve"> and any grant-level monitoring and evaluation activity</w:t>
      </w:r>
      <w:r>
        <w:t>.</w:t>
      </w:r>
      <w:r w:rsidR="00CA4861">
        <w:t xml:space="preserve"> This facilitated the assessment of whether the funded project had met the stated aims of the original application</w:t>
      </w:r>
      <w:r>
        <w:t xml:space="preserve"> </w:t>
      </w:r>
      <w:r w:rsidR="00CA4861">
        <w:t>and allowed grant-level evaluation activity to be considered alongside qualitative data. Furthermore, all final reports included a consideration of lessons learned, which supported the assessment of the characteristics of successful grant-holders.</w:t>
      </w:r>
    </w:p>
    <w:p w14:paraId="7CC2F4C5" w14:textId="77777777" w:rsidR="00A07D86" w:rsidRDefault="00A07D86" w:rsidP="0040606B">
      <w:pPr>
        <w:spacing w:line="480" w:lineRule="auto"/>
        <w:rPr>
          <w:b/>
          <w:bCs/>
          <w:i/>
          <w:iCs/>
        </w:rPr>
      </w:pPr>
    </w:p>
    <w:p w14:paraId="024C70E4" w14:textId="4B14EC88" w:rsidR="00AE4FA8" w:rsidRPr="00AE4FA8" w:rsidRDefault="00AE4FA8" w:rsidP="0040606B">
      <w:pPr>
        <w:spacing w:line="480" w:lineRule="auto"/>
        <w:rPr>
          <w:b/>
          <w:bCs/>
          <w:i/>
          <w:iCs/>
        </w:rPr>
      </w:pPr>
      <w:r w:rsidRPr="00AE4FA8">
        <w:rPr>
          <w:b/>
          <w:bCs/>
          <w:i/>
          <w:iCs/>
        </w:rPr>
        <w:t>Interviews and observations</w:t>
      </w:r>
    </w:p>
    <w:p w14:paraId="3A1DD6A9" w14:textId="77777777" w:rsidR="00AE4FA8" w:rsidRDefault="00AE4FA8" w:rsidP="0040606B">
      <w:pPr>
        <w:spacing w:line="480" w:lineRule="auto"/>
        <w:rPr>
          <w:i/>
          <w:iCs/>
        </w:rPr>
      </w:pPr>
    </w:p>
    <w:p w14:paraId="05AC04B6" w14:textId="49937C8C" w:rsidR="00D948BB" w:rsidRPr="00AE4FA8" w:rsidRDefault="00D948BB" w:rsidP="0040606B">
      <w:pPr>
        <w:spacing w:line="480" w:lineRule="auto"/>
        <w:rPr>
          <w:i/>
          <w:iCs/>
        </w:rPr>
      </w:pPr>
      <w:r w:rsidRPr="00AE4FA8">
        <w:rPr>
          <w:i/>
          <w:iCs/>
        </w:rPr>
        <w:t>Participant selection</w:t>
      </w:r>
    </w:p>
    <w:p w14:paraId="333D7E87" w14:textId="485D6978" w:rsidR="00D948BB" w:rsidRDefault="00D948BB" w:rsidP="0040606B">
      <w:pPr>
        <w:spacing w:line="480" w:lineRule="auto"/>
      </w:pPr>
      <w:r>
        <w:t xml:space="preserve">We obtained a maximally varied range of </w:t>
      </w:r>
      <w:r w:rsidR="005A0256">
        <w:t>participants, including representatives from the following groups</w:t>
      </w:r>
      <w:r>
        <w:t>:</w:t>
      </w:r>
    </w:p>
    <w:p w14:paraId="592BD4A9" w14:textId="42A3FEB4" w:rsidR="00D948BB" w:rsidRDefault="005A0256" w:rsidP="0040606B">
      <w:pPr>
        <w:pStyle w:val="ListParagraph"/>
        <w:numPr>
          <w:ilvl w:val="0"/>
          <w:numId w:val="16"/>
        </w:numPr>
        <w:spacing w:line="480" w:lineRule="auto"/>
      </w:pPr>
      <w:r>
        <w:t>T</w:t>
      </w:r>
      <w:r w:rsidR="00D948BB">
        <w:t>he funding organisation and grant distributor</w:t>
      </w:r>
    </w:p>
    <w:p w14:paraId="018A4C83" w14:textId="286F1EA0" w:rsidR="00D948BB" w:rsidRDefault="00D948BB" w:rsidP="0040606B">
      <w:pPr>
        <w:pStyle w:val="ListParagraph"/>
        <w:numPr>
          <w:ilvl w:val="0"/>
          <w:numId w:val="16"/>
        </w:numPr>
        <w:spacing w:line="480" w:lineRule="auto"/>
      </w:pPr>
      <w:r>
        <w:t>Community advocates who supported the initiative</w:t>
      </w:r>
    </w:p>
    <w:p w14:paraId="65F2B9C7" w14:textId="49F6B4CB" w:rsidR="00182487" w:rsidRDefault="005A0256" w:rsidP="0040606B">
      <w:pPr>
        <w:pStyle w:val="ListParagraph"/>
        <w:numPr>
          <w:ilvl w:val="0"/>
          <w:numId w:val="16"/>
        </w:numPr>
        <w:spacing w:line="480" w:lineRule="auto"/>
      </w:pPr>
      <w:r>
        <w:t>Successful and unsuccessful g</w:t>
      </w:r>
      <w:r w:rsidR="00D948BB">
        <w:t>rant applicants</w:t>
      </w:r>
    </w:p>
    <w:p w14:paraId="31A5ED65" w14:textId="69266059" w:rsidR="00D948BB" w:rsidRDefault="005A0256" w:rsidP="0040606B">
      <w:pPr>
        <w:pStyle w:val="ListParagraph"/>
        <w:numPr>
          <w:ilvl w:val="0"/>
          <w:numId w:val="16"/>
        </w:numPr>
        <w:spacing w:line="480" w:lineRule="auto"/>
      </w:pPr>
      <w:r>
        <w:t>Members of c</w:t>
      </w:r>
      <w:r w:rsidR="00182487">
        <w:t>ommunity groups</w:t>
      </w:r>
      <w:r>
        <w:t xml:space="preserve"> in receipt of CAC funding</w:t>
      </w:r>
    </w:p>
    <w:p w14:paraId="61636CDC" w14:textId="77777777" w:rsidR="00E30981" w:rsidRDefault="00E30981" w:rsidP="0040606B">
      <w:pPr>
        <w:spacing w:line="480" w:lineRule="auto"/>
      </w:pPr>
    </w:p>
    <w:p w14:paraId="491473F2" w14:textId="068C87A6" w:rsidR="00D948BB" w:rsidRDefault="00421DE8" w:rsidP="0040606B">
      <w:pPr>
        <w:spacing w:line="480" w:lineRule="auto"/>
      </w:pPr>
      <w:r>
        <w:lastRenderedPageBreak/>
        <w:t xml:space="preserve">Thirty-seven people were interviewed, all of whom were invited to a second follow-up interview. Twenty-one participants agreed to a second interview, resulting in 58 interviews in total. Interviews were </w:t>
      </w:r>
      <w:r w:rsidR="00E30981">
        <w:t>conducted over 24 months</w:t>
      </w:r>
      <w:r w:rsidR="00085D03">
        <w:t>, using an interview schedule informed by the documentary analysis</w:t>
      </w:r>
      <w:r w:rsidR="0015315D">
        <w:t>, CAC Logic Model</w:t>
      </w:r>
      <w:r w:rsidR="00085D03">
        <w:t xml:space="preserve"> and a review of the literature (Additional file 2)</w:t>
      </w:r>
      <w:r w:rsidR="00E30981">
        <w:t>.</w:t>
      </w:r>
      <w:r w:rsidR="00AD547B">
        <w:t xml:space="preserve"> </w:t>
      </w:r>
      <w:r w:rsidR="00AE4FA8">
        <w:t xml:space="preserve">Interviews focused on </w:t>
      </w:r>
      <w:proofErr w:type="spellStart"/>
      <w:r w:rsidR="00AE4FA8">
        <w:t>activites</w:t>
      </w:r>
      <w:proofErr w:type="spellEnd"/>
      <w:r w:rsidR="00AE4FA8">
        <w:t xml:space="preserve"> and outcomes that occurred over the period of the grant scheme (</w:t>
      </w:r>
      <w:r w:rsidR="00AE4FA8">
        <w:rPr>
          <w:rFonts w:cstheme="minorHAnsi"/>
        </w:rPr>
        <w:t>1</w:t>
      </w:r>
      <w:r w:rsidR="00AE4FA8" w:rsidRPr="00D45EEC">
        <w:rPr>
          <w:rFonts w:cstheme="minorHAnsi"/>
          <w:vertAlign w:val="superscript"/>
        </w:rPr>
        <w:t>st</w:t>
      </w:r>
      <w:r w:rsidR="00AE4FA8">
        <w:rPr>
          <w:rFonts w:cstheme="minorHAnsi"/>
        </w:rPr>
        <w:t xml:space="preserve"> January 2021 – 31</w:t>
      </w:r>
      <w:r w:rsidR="00AE4FA8" w:rsidRPr="00BA3A3C">
        <w:rPr>
          <w:rFonts w:cstheme="minorHAnsi"/>
          <w:vertAlign w:val="superscript"/>
        </w:rPr>
        <w:t>st</w:t>
      </w:r>
      <w:r w:rsidR="00AE4FA8">
        <w:rPr>
          <w:rFonts w:cstheme="minorHAnsi"/>
        </w:rPr>
        <w:t xml:space="preserve"> December 2022</w:t>
      </w:r>
      <w:r w:rsidR="00AE4FA8">
        <w:t xml:space="preserve">). </w:t>
      </w:r>
      <w:r w:rsidR="00AD547B">
        <w:t>We observed f</w:t>
      </w:r>
      <w:r w:rsidR="0033159D">
        <w:t>ive</w:t>
      </w:r>
      <w:r w:rsidR="00AD547B">
        <w:t xml:space="preserve"> community events, three training courses for grant applicants and one grant panel meeting.</w:t>
      </w:r>
      <w:r w:rsidR="00F30471">
        <w:t xml:space="preserve"> Informed</w:t>
      </w:r>
      <w:r w:rsidR="00D948BB">
        <w:t xml:space="preserve"> consent was obtained in advance of the first interview </w:t>
      </w:r>
      <w:r w:rsidR="00F30471">
        <w:t>and i</w:t>
      </w:r>
      <w:r w:rsidR="00D948BB">
        <w:t xml:space="preserve">nterviews were recorded </w:t>
      </w:r>
      <w:r w:rsidR="00182487">
        <w:t xml:space="preserve">and transcribed </w:t>
      </w:r>
      <w:r w:rsidR="00D948BB">
        <w:t xml:space="preserve">to ensure accurate recall. </w:t>
      </w:r>
      <w:r>
        <w:t>Transcripts and subsequent reporting were anonymised</w:t>
      </w:r>
      <w:r w:rsidR="00F01348">
        <w:t xml:space="preserve"> using the following convention: </w:t>
      </w:r>
      <w:r w:rsidR="00F01348" w:rsidRPr="00C01E97">
        <w:t>Participant No. / Participant Type (S=Staff; G=Grant applicant or recipient; A=Advocate) / Interview No. (Hence ‘CAC2S 1</w:t>
      </w:r>
      <w:r w:rsidR="00F01348">
        <w:t>’</w:t>
      </w:r>
      <w:r w:rsidR="00F01348" w:rsidRPr="00C01E97">
        <w:t xml:space="preserve"> is the first interview with participant number 2, a staff member).</w:t>
      </w:r>
      <w:r w:rsidR="00F01348">
        <w:rPr>
          <w:rStyle w:val="normaltextrun"/>
          <w:rFonts w:ascii="Calibri" w:hAnsi="Calibri" w:cs="Calibri"/>
          <w:color w:val="000000"/>
          <w:sz w:val="20"/>
          <w:szCs w:val="20"/>
          <w:shd w:val="clear" w:color="auto" w:fill="F5F5F5"/>
        </w:rPr>
        <w:t xml:space="preserve"> </w:t>
      </w:r>
      <w:r w:rsidR="00F01348">
        <w:rPr>
          <w:rStyle w:val="eop"/>
          <w:rFonts w:ascii="Calibri" w:hAnsi="Calibri" w:cs="Calibri"/>
          <w:color w:val="000000"/>
          <w:sz w:val="20"/>
          <w:szCs w:val="20"/>
          <w:shd w:val="clear" w:color="auto" w:fill="F5F5F5"/>
        </w:rPr>
        <w:t>​</w:t>
      </w:r>
      <w:r w:rsidR="00D948BB">
        <w:t xml:space="preserve">Most interviews were conducted face-to-face or via Microsoft Teams. </w:t>
      </w:r>
      <w:r w:rsidR="003A533F">
        <w:t>R</w:t>
      </w:r>
      <w:r w:rsidR="00D948BB">
        <w:t>F and DW conducted the interviews, both of whom are experienced qualitative health researchers, independent of CAC and the funding and grant management organisations.</w:t>
      </w:r>
    </w:p>
    <w:p w14:paraId="30B0D9F7" w14:textId="77777777" w:rsidR="00D948BB" w:rsidRDefault="00D948BB" w:rsidP="0040606B">
      <w:pPr>
        <w:spacing w:line="480" w:lineRule="auto"/>
      </w:pPr>
    </w:p>
    <w:p w14:paraId="0BA6AFE0" w14:textId="77777777" w:rsidR="00D948BB" w:rsidRPr="00AE4FA8" w:rsidRDefault="00D948BB" w:rsidP="0040606B">
      <w:pPr>
        <w:spacing w:line="480" w:lineRule="auto"/>
        <w:rPr>
          <w:i/>
          <w:iCs/>
        </w:rPr>
      </w:pPr>
      <w:r w:rsidRPr="00AE4FA8">
        <w:rPr>
          <w:i/>
          <w:iCs/>
        </w:rPr>
        <w:t>Data analysis</w:t>
      </w:r>
    </w:p>
    <w:p w14:paraId="340D5576" w14:textId="10FE1316" w:rsidR="006452EC" w:rsidRDefault="006452EC" w:rsidP="0040606B">
      <w:pPr>
        <w:spacing w:line="480" w:lineRule="auto"/>
      </w:pPr>
      <w:r>
        <w:t xml:space="preserve">We used a theory-driven </w:t>
      </w:r>
      <w:r w:rsidR="00573F39">
        <w:t>analysis plan</w:t>
      </w:r>
      <w:r>
        <w:t>, drawing on the following:</w:t>
      </w:r>
    </w:p>
    <w:p w14:paraId="401F7B21" w14:textId="26E0E4A2" w:rsidR="00B475E5" w:rsidRDefault="00B475E5" w:rsidP="0040606B">
      <w:pPr>
        <w:pStyle w:val="ListParagraph"/>
        <w:numPr>
          <w:ilvl w:val="0"/>
          <w:numId w:val="12"/>
        </w:numPr>
        <w:spacing w:line="480" w:lineRule="auto"/>
      </w:pPr>
      <w:r>
        <w:t>The CAC Logic Model</w:t>
      </w:r>
      <w:r w:rsidR="0004712A">
        <w:t xml:space="preserve"> (A</w:t>
      </w:r>
      <w:r w:rsidR="00E12B05">
        <w:t>dditional File</w:t>
      </w:r>
      <w:r w:rsidR="0004712A">
        <w:t xml:space="preserve"> 1)</w:t>
      </w:r>
      <w:r w:rsidR="00A36B04">
        <w:t>. Th</w:t>
      </w:r>
      <w:r w:rsidR="006C247D">
        <w:t xml:space="preserve">e model informed our analysis by defining the areas of </w:t>
      </w:r>
      <w:r>
        <w:t xml:space="preserve">expected outcomes </w:t>
      </w:r>
      <w:r w:rsidR="006C247D">
        <w:t>for</w:t>
      </w:r>
      <w:r>
        <w:t xml:space="preserve"> the CAC intervention </w:t>
      </w:r>
      <w:r w:rsidR="006C247D">
        <w:t xml:space="preserve">and whether these </w:t>
      </w:r>
      <w:r>
        <w:t>were achi</w:t>
      </w:r>
      <w:r w:rsidR="00352326">
        <w:t>e</w:t>
      </w:r>
      <w:r>
        <w:t>ved</w:t>
      </w:r>
      <w:r w:rsidR="00352326">
        <w:t>.</w:t>
      </w:r>
    </w:p>
    <w:p w14:paraId="7E94521A" w14:textId="381685E5" w:rsidR="006452EC" w:rsidRDefault="00352326" w:rsidP="0040606B">
      <w:pPr>
        <w:pStyle w:val="ListParagraph"/>
        <w:numPr>
          <w:ilvl w:val="0"/>
          <w:numId w:val="12"/>
        </w:numPr>
        <w:spacing w:line="480" w:lineRule="auto"/>
      </w:pPr>
      <w:r>
        <w:t>P</w:t>
      </w:r>
      <w:r w:rsidR="006452EC">
        <w:t>ositive deviance</w:t>
      </w:r>
      <w:r w:rsidR="006C247D">
        <w:t>.</w:t>
      </w:r>
      <w:r w:rsidR="006452EC" w:rsidRPr="0038625D">
        <w:rPr>
          <w:vertAlign w:val="superscript"/>
        </w:rPr>
        <w:t>2</w:t>
      </w:r>
      <w:r w:rsidR="00454476">
        <w:rPr>
          <w:vertAlign w:val="superscript"/>
        </w:rPr>
        <w:t>4</w:t>
      </w:r>
      <w:r w:rsidR="006452EC">
        <w:t xml:space="preserve"> </w:t>
      </w:r>
      <w:r w:rsidR="006C247D">
        <w:t xml:space="preserve">Given that certain </w:t>
      </w:r>
      <w:r w:rsidR="006452EC">
        <w:t>project</w:t>
      </w:r>
      <w:r>
        <w:t>s</w:t>
      </w:r>
      <w:r w:rsidR="006452EC">
        <w:t xml:space="preserve"> receiv</w:t>
      </w:r>
      <w:r w:rsidR="006C247D">
        <w:t>ed</w:t>
      </w:r>
      <w:r w:rsidR="006452EC">
        <w:t xml:space="preserve"> similar</w:t>
      </w:r>
      <w:r>
        <w:t xml:space="preserve"> funding and </w:t>
      </w:r>
      <w:proofErr w:type="spellStart"/>
      <w:r>
        <w:t>targett</w:t>
      </w:r>
      <w:r w:rsidR="006C247D">
        <w:t>ed</w:t>
      </w:r>
      <w:proofErr w:type="spellEnd"/>
      <w:r>
        <w:t xml:space="preserve"> similar communities in </w:t>
      </w:r>
      <w:r w:rsidR="006452EC">
        <w:t>the same geographical region</w:t>
      </w:r>
      <w:r w:rsidR="006C247D">
        <w:t>, our analysis sought to characterise the projects, understanding the factor</w:t>
      </w:r>
      <w:r w:rsidR="00454476">
        <w:t>s</w:t>
      </w:r>
      <w:r w:rsidR="006C247D">
        <w:t xml:space="preserve"> that contributed to why some were</w:t>
      </w:r>
      <w:r w:rsidR="006452EC">
        <w:t xml:space="preserve"> more successful than others</w:t>
      </w:r>
      <w:r w:rsidR="006452EC" w:rsidRPr="003B08BB">
        <w:t>.</w:t>
      </w:r>
    </w:p>
    <w:p w14:paraId="1B1E9F2A" w14:textId="73FF5E0F" w:rsidR="006452EC" w:rsidRDefault="006452EC" w:rsidP="0040606B">
      <w:pPr>
        <w:pStyle w:val="ListParagraph"/>
        <w:numPr>
          <w:ilvl w:val="0"/>
          <w:numId w:val="12"/>
        </w:numPr>
        <w:spacing w:line="480" w:lineRule="auto"/>
      </w:pPr>
      <w:r>
        <w:lastRenderedPageBreak/>
        <w:t>The Consolidated Framework for Implementation Research (CFIR)</w:t>
      </w:r>
      <w:r w:rsidR="006C247D">
        <w:t>.</w:t>
      </w:r>
      <w:r w:rsidRPr="0038625D">
        <w:rPr>
          <w:vertAlign w:val="superscript"/>
        </w:rPr>
        <w:t>2</w:t>
      </w:r>
      <w:r w:rsidR="00454476">
        <w:rPr>
          <w:vertAlign w:val="superscript"/>
        </w:rPr>
        <w:t>5</w:t>
      </w:r>
      <w:r>
        <w:t xml:space="preserve"> </w:t>
      </w:r>
      <w:r w:rsidR="006C247D">
        <w:t xml:space="preserve">This framework was applied </w:t>
      </w:r>
      <w:r w:rsidR="0004712A">
        <w:t xml:space="preserve">to </w:t>
      </w:r>
      <w:r w:rsidR="006C247D">
        <w:t xml:space="preserve">assess differences in outcomes of funded projects and to </w:t>
      </w:r>
      <w:r>
        <w:t xml:space="preserve">identify </w:t>
      </w:r>
      <w:r w:rsidR="006C247D">
        <w:t xml:space="preserve">the </w:t>
      </w:r>
      <w:r w:rsidR="0004712A">
        <w:t xml:space="preserve">factors that </w:t>
      </w:r>
      <w:r w:rsidR="006C247D">
        <w:t>could account for these</w:t>
      </w:r>
      <w:r w:rsidR="00401387">
        <w:t>.</w:t>
      </w:r>
    </w:p>
    <w:p w14:paraId="1336657B" w14:textId="77777777" w:rsidR="006452EC" w:rsidRPr="00557AF1" w:rsidRDefault="006452EC" w:rsidP="0040606B">
      <w:pPr>
        <w:spacing w:line="480" w:lineRule="auto"/>
      </w:pPr>
    </w:p>
    <w:p w14:paraId="14B5E15F" w14:textId="311146B7" w:rsidR="00D948BB" w:rsidRDefault="00D948BB" w:rsidP="0040606B">
      <w:pPr>
        <w:spacing w:line="480" w:lineRule="auto"/>
      </w:pPr>
      <w:r>
        <w:t>We analysed interview</w:t>
      </w:r>
      <w:r w:rsidR="004D531A">
        <w:t xml:space="preserve"> transcripts</w:t>
      </w:r>
      <w:r>
        <w:t xml:space="preserve"> and </w:t>
      </w:r>
      <w:r w:rsidR="00182487">
        <w:t>observation</w:t>
      </w:r>
      <w:r w:rsidR="004D531A">
        <w:t xml:space="preserve"> field notes</w:t>
      </w:r>
      <w:r w:rsidR="00557AF1">
        <w:t xml:space="preserve"> </w:t>
      </w:r>
      <w:r>
        <w:t>thematically</w:t>
      </w:r>
      <w:r w:rsidR="0004712A">
        <w:t>,</w:t>
      </w:r>
      <w:r w:rsidR="001D2AB1">
        <w:t xml:space="preserve"> extracting </w:t>
      </w:r>
      <w:r>
        <w:t xml:space="preserve">key themes and supporting </w:t>
      </w:r>
      <w:r w:rsidR="00911E56">
        <w:t>data</w:t>
      </w:r>
      <w:r>
        <w:t xml:space="preserve">. Analysis was initially conducted independently and then collectively </w:t>
      </w:r>
      <w:r w:rsidR="400F4035">
        <w:t xml:space="preserve">by </w:t>
      </w:r>
      <w:r w:rsidR="00935B1A">
        <w:t xml:space="preserve">DW and </w:t>
      </w:r>
      <w:r w:rsidR="003A533F">
        <w:t>R</w:t>
      </w:r>
      <w:r w:rsidR="00935B1A">
        <w:t>F</w:t>
      </w:r>
      <w:r w:rsidR="400F4035">
        <w:t xml:space="preserve"> </w:t>
      </w:r>
      <w:r>
        <w:t>to discuss emerging themes</w:t>
      </w:r>
      <w:r w:rsidR="00911E56">
        <w:t xml:space="preserve">, which were </w:t>
      </w:r>
      <w:r>
        <w:t>reviewed as fieldwork progressed and at the end of data collection.</w:t>
      </w:r>
    </w:p>
    <w:p w14:paraId="4A075594" w14:textId="77777777" w:rsidR="00473124" w:rsidRDefault="00473124" w:rsidP="0040606B">
      <w:pPr>
        <w:spacing w:line="480" w:lineRule="auto"/>
      </w:pPr>
    </w:p>
    <w:p w14:paraId="0F2012F2" w14:textId="77777777" w:rsidR="00D948BB" w:rsidRDefault="00D948BB" w:rsidP="0040606B">
      <w:pPr>
        <w:spacing w:line="480" w:lineRule="auto"/>
        <w:rPr>
          <w:b/>
          <w:bCs/>
        </w:rPr>
      </w:pPr>
      <w:r w:rsidRPr="00FA76D1">
        <w:rPr>
          <w:b/>
          <w:bCs/>
        </w:rPr>
        <w:t>Results</w:t>
      </w:r>
    </w:p>
    <w:p w14:paraId="20611DF8" w14:textId="51078255" w:rsidR="00A71DC6" w:rsidRDefault="00A71DC6" w:rsidP="0040606B">
      <w:pPr>
        <w:spacing w:line="480" w:lineRule="auto"/>
      </w:pPr>
      <w:r>
        <w:t xml:space="preserve">Thematic analysis focused on two domains: 1) the extent to which projects delivered against CAC aims (informed by the </w:t>
      </w:r>
      <w:r w:rsidR="00AF4158">
        <w:t>Logic Model</w:t>
      </w:r>
      <w:r>
        <w:t>), 2) the characteristics of successful projects (informed by positive deviance and CF</w:t>
      </w:r>
      <w:r w:rsidR="00113399">
        <w:t>I</w:t>
      </w:r>
      <w:r>
        <w:t>R</w:t>
      </w:r>
      <w:r w:rsidR="00473124">
        <w:t>)</w:t>
      </w:r>
      <w:r>
        <w:t>.</w:t>
      </w:r>
    </w:p>
    <w:p w14:paraId="44C5C12A" w14:textId="77777777" w:rsidR="00B64A27" w:rsidRDefault="00B64A27" w:rsidP="0040606B">
      <w:pPr>
        <w:spacing w:line="480" w:lineRule="auto"/>
        <w:rPr>
          <w:b/>
          <w:bCs/>
          <w:i/>
          <w:iCs/>
        </w:rPr>
      </w:pPr>
    </w:p>
    <w:p w14:paraId="3DCA3CB3" w14:textId="70E9649D" w:rsidR="00A71DC6" w:rsidRPr="00401387" w:rsidRDefault="00A71DC6" w:rsidP="0040606B">
      <w:pPr>
        <w:spacing w:line="480" w:lineRule="auto"/>
        <w:rPr>
          <w:b/>
          <w:bCs/>
          <w:i/>
          <w:iCs/>
        </w:rPr>
      </w:pPr>
      <w:r w:rsidRPr="00401387">
        <w:rPr>
          <w:b/>
          <w:bCs/>
          <w:i/>
          <w:iCs/>
        </w:rPr>
        <w:t>Delivery against CAC aims</w:t>
      </w:r>
    </w:p>
    <w:p w14:paraId="78497DB9" w14:textId="6F97F774" w:rsidR="00A71DC6" w:rsidRDefault="000974CF" w:rsidP="0040606B">
      <w:pPr>
        <w:spacing w:line="480" w:lineRule="auto"/>
      </w:pPr>
      <w:r>
        <w:t>Table 1 provides a summary of the different activities and outcomes from selected projects by core CAC theme areas.</w:t>
      </w:r>
    </w:p>
    <w:p w14:paraId="0C4539CB" w14:textId="77777777" w:rsidR="00CE0D00" w:rsidRDefault="00CE0D00" w:rsidP="0040606B">
      <w:pPr>
        <w:spacing w:line="480" w:lineRule="auto"/>
      </w:pPr>
    </w:p>
    <w:p w14:paraId="7E8E5664" w14:textId="7D782015" w:rsidR="005C699C" w:rsidRDefault="005C699C" w:rsidP="0040606B">
      <w:pPr>
        <w:spacing w:line="480" w:lineRule="auto"/>
      </w:pPr>
      <w:r w:rsidRPr="00C570CF">
        <w:rPr>
          <w:rFonts w:cstheme="minorHAnsi"/>
          <w:b/>
          <w:bCs/>
        </w:rPr>
        <w:t xml:space="preserve">Table 1: Summary of activities and </w:t>
      </w:r>
      <w:r>
        <w:rPr>
          <w:rFonts w:cstheme="minorHAnsi"/>
          <w:b/>
          <w:bCs/>
        </w:rPr>
        <w:t xml:space="preserve">outcomes </w:t>
      </w:r>
      <w:r w:rsidRPr="00C570CF">
        <w:rPr>
          <w:rFonts w:cstheme="minorHAnsi"/>
          <w:b/>
          <w:bCs/>
        </w:rPr>
        <w:t>of selected CAC projects by intervention aim</w:t>
      </w:r>
    </w:p>
    <w:p w14:paraId="50CD0CF9" w14:textId="77777777" w:rsidR="005C699C" w:rsidRDefault="005C699C" w:rsidP="0040606B">
      <w:pPr>
        <w:spacing w:line="480" w:lineRule="auto"/>
      </w:pPr>
    </w:p>
    <w:p w14:paraId="0A5F0104" w14:textId="6E446831" w:rsidR="00CE0D00" w:rsidRPr="00CE0D00" w:rsidRDefault="00EE1EAC" w:rsidP="0040606B">
      <w:pPr>
        <w:spacing w:line="480" w:lineRule="auto"/>
      </w:pPr>
      <w:r>
        <w:rPr>
          <w:i/>
          <w:iCs/>
        </w:rPr>
        <w:t>Activities to promote</w:t>
      </w:r>
      <w:r w:rsidR="00CE0D00" w:rsidRPr="00CE0D00">
        <w:rPr>
          <w:i/>
          <w:iCs/>
        </w:rPr>
        <w:t xml:space="preserve"> healthy behaviours</w:t>
      </w:r>
    </w:p>
    <w:p w14:paraId="64D6F74F" w14:textId="1DB32FD3" w:rsidR="00CE0D00" w:rsidRPr="005C699C" w:rsidRDefault="00CE0D00" w:rsidP="0040606B">
      <w:pPr>
        <w:spacing w:line="480" w:lineRule="auto"/>
        <w:rPr>
          <w:color w:val="000000" w:themeColor="text1"/>
        </w:rPr>
      </w:pPr>
      <w:r>
        <w:t xml:space="preserve">Projects delivered a range of activities to promote healthy behaviours, including encouraging increased physical activity through home-based exercise, promoting </w:t>
      </w:r>
      <w:r w:rsidRPr="009E0FCB">
        <w:rPr>
          <w:rStyle w:val="ui-provider"/>
          <w:color w:val="000000" w:themeColor="text1"/>
        </w:rPr>
        <w:t>Prostate</w:t>
      </w:r>
      <w:r w:rsidR="000B6C0E">
        <w:rPr>
          <w:rStyle w:val="ui-provider"/>
          <w:color w:val="000000" w:themeColor="text1"/>
        </w:rPr>
        <w:t>-</w:t>
      </w:r>
      <w:r w:rsidRPr="009E0FCB">
        <w:rPr>
          <w:rStyle w:val="ui-provider"/>
          <w:color w:val="000000" w:themeColor="text1"/>
        </w:rPr>
        <w:t>Specific</w:t>
      </w:r>
      <w:r w:rsidR="005C699C">
        <w:rPr>
          <w:rStyle w:val="ui-provider"/>
          <w:color w:val="000000" w:themeColor="text1"/>
        </w:rPr>
        <w:t xml:space="preserve"> </w:t>
      </w:r>
      <w:r w:rsidRPr="009E0FCB">
        <w:rPr>
          <w:rStyle w:val="ui-provider"/>
          <w:color w:val="000000" w:themeColor="text1"/>
        </w:rPr>
        <w:t xml:space="preserve">Antigen </w:t>
      </w:r>
      <w:r>
        <w:rPr>
          <w:rStyle w:val="ui-provider"/>
          <w:color w:val="000000" w:themeColor="text1"/>
        </w:rPr>
        <w:t>(</w:t>
      </w:r>
      <w:r>
        <w:t xml:space="preserve">PSA) testing through prostate cancer awareness events, and advocating sun </w:t>
      </w:r>
      <w:r>
        <w:lastRenderedPageBreak/>
        <w:t>protection through providing free sunscreen samples and information about skin cancer. Twelve projects focused on cancer prevention and healthy diet, involving diverse communities including people with learning disabilities and families on low incomes. Projects typically introduced attendees to new ingredients, built confidence in cooking meals and used workshops as ‘teachable moments’ to explain the link between poor diet and cancer. One community leader working with people with a learning disability commented:</w:t>
      </w:r>
    </w:p>
    <w:p w14:paraId="25DA78E1" w14:textId="77777777" w:rsidR="00CE0D00" w:rsidRDefault="00CE0D00" w:rsidP="0040606B">
      <w:pPr>
        <w:spacing w:line="480" w:lineRule="auto"/>
        <w:rPr>
          <w:i/>
          <w:iCs/>
        </w:rPr>
      </w:pPr>
    </w:p>
    <w:p w14:paraId="6AA37EC3" w14:textId="2E89C472" w:rsidR="00CE0D00" w:rsidRDefault="00CE0D00" w:rsidP="0040606B">
      <w:pPr>
        <w:spacing w:line="480" w:lineRule="auto"/>
      </w:pPr>
      <w:r>
        <w:rPr>
          <w:i/>
          <w:iCs/>
        </w:rPr>
        <w:t>‘W</w:t>
      </w:r>
      <w:r w:rsidRPr="00557AF1">
        <w:rPr>
          <w:i/>
          <w:iCs/>
        </w:rPr>
        <w:t>e cooked up healthy alternatives to common things...</w:t>
      </w:r>
      <w:r>
        <w:rPr>
          <w:i/>
          <w:iCs/>
        </w:rPr>
        <w:t xml:space="preserve"> </w:t>
      </w:r>
      <w:r w:rsidRPr="00557AF1">
        <w:rPr>
          <w:i/>
          <w:iCs/>
        </w:rPr>
        <w:t>Lots of our members attended that, it was a really good session, … really well received, they were very enthused about it and open to trying different things</w:t>
      </w:r>
      <w:r>
        <w:rPr>
          <w:i/>
          <w:iCs/>
        </w:rPr>
        <w:t>.’</w:t>
      </w:r>
      <w:r>
        <w:t xml:space="preserve"> </w:t>
      </w:r>
      <w:r w:rsidR="00040491">
        <w:t>(</w:t>
      </w:r>
      <w:r>
        <w:t>CAC25 R1</w:t>
      </w:r>
      <w:r w:rsidR="00040491">
        <w:t>)</w:t>
      </w:r>
    </w:p>
    <w:p w14:paraId="24B9A217" w14:textId="77777777" w:rsidR="00AB5250" w:rsidRDefault="00AB5250" w:rsidP="0040606B">
      <w:pPr>
        <w:spacing w:line="480" w:lineRule="auto"/>
      </w:pPr>
    </w:p>
    <w:p w14:paraId="0D788E6C" w14:textId="1CB0F269" w:rsidR="00CE0D00" w:rsidRDefault="00CE0D00" w:rsidP="0040606B">
      <w:pPr>
        <w:spacing w:line="480" w:lineRule="auto"/>
        <w:rPr>
          <w:rFonts w:cstheme="minorHAnsi"/>
          <w:b/>
          <w:bCs/>
        </w:rPr>
      </w:pPr>
      <w:r>
        <w:t xml:space="preserve">An important message for families on low incomes was that eating healthily was often cheaper than their typical diet, which </w:t>
      </w:r>
      <w:r w:rsidR="00426F83">
        <w:t xml:space="preserve">often </w:t>
      </w:r>
      <w:r>
        <w:t xml:space="preserve">consisted of processed foods. One participant commented </w:t>
      </w:r>
      <w:r w:rsidR="00426F83">
        <w:t xml:space="preserve">that </w:t>
      </w:r>
      <w:r>
        <w:t xml:space="preserve">the barriers </w:t>
      </w:r>
      <w:r w:rsidRPr="00D42704">
        <w:rPr>
          <w:i/>
          <w:iCs/>
        </w:rPr>
        <w:t xml:space="preserve">‘were mainly financial, so learning that the recipes we were making were financially viable </w:t>
      </w:r>
      <w:proofErr w:type="gramStart"/>
      <w:r w:rsidRPr="00D42704">
        <w:rPr>
          <w:i/>
          <w:iCs/>
        </w:rPr>
        <w:t>and in most cases</w:t>
      </w:r>
      <w:proofErr w:type="gramEnd"/>
      <w:r w:rsidRPr="00D42704">
        <w:rPr>
          <w:i/>
          <w:iCs/>
        </w:rPr>
        <w:t xml:space="preserve"> cheaper and the kids enjoyed them [was important].’</w:t>
      </w:r>
      <w:r w:rsidRPr="008F6F27">
        <w:t xml:space="preserve"> (CAC14 </w:t>
      </w:r>
      <w:r>
        <w:t>R</w:t>
      </w:r>
      <w:r w:rsidRPr="008F6F27">
        <w:t>2)</w:t>
      </w:r>
      <w:r>
        <w:t>.</w:t>
      </w:r>
      <w:r w:rsidRPr="00CE0D00">
        <w:rPr>
          <w:rFonts w:cstheme="minorHAnsi"/>
          <w:b/>
          <w:bCs/>
        </w:rPr>
        <w:t xml:space="preserve"> </w:t>
      </w:r>
    </w:p>
    <w:p w14:paraId="47505187" w14:textId="77777777" w:rsidR="00CE0D00" w:rsidRDefault="00CE0D00" w:rsidP="0040606B">
      <w:pPr>
        <w:spacing w:line="480" w:lineRule="auto"/>
        <w:rPr>
          <w:rFonts w:cstheme="minorHAnsi"/>
          <w:b/>
          <w:bCs/>
        </w:rPr>
      </w:pPr>
    </w:p>
    <w:p w14:paraId="64CA893F" w14:textId="515E15E3" w:rsidR="00A07D86" w:rsidRPr="004D02A7" w:rsidRDefault="00EE1EAC" w:rsidP="00A07D86">
      <w:pPr>
        <w:spacing w:line="480" w:lineRule="auto"/>
        <w:rPr>
          <w:i/>
          <w:iCs/>
        </w:rPr>
      </w:pPr>
      <w:r>
        <w:rPr>
          <w:i/>
          <w:iCs/>
        </w:rPr>
        <w:t>Activities to promote</w:t>
      </w:r>
      <w:r w:rsidR="00A07D86" w:rsidRPr="004D02A7">
        <w:rPr>
          <w:i/>
          <w:iCs/>
        </w:rPr>
        <w:t xml:space="preserve"> screening uptake and PSA testing</w:t>
      </w:r>
    </w:p>
    <w:p w14:paraId="746118B4" w14:textId="7DB65B02" w:rsidR="00AC724A" w:rsidRPr="00552103" w:rsidRDefault="00A07D86" w:rsidP="0040606B">
      <w:pPr>
        <w:spacing w:line="480" w:lineRule="auto"/>
        <w:rPr>
          <w:rFonts w:cstheme="minorHAnsi"/>
          <w:b/>
          <w:bCs/>
        </w:rPr>
      </w:pPr>
      <w:r>
        <w:t xml:space="preserve">Groups used various strategies to share information on screening and </w:t>
      </w:r>
      <w:r w:rsidRPr="009E0FCB">
        <w:rPr>
          <w:rStyle w:val="ui-provider"/>
          <w:color w:val="000000" w:themeColor="text1"/>
        </w:rPr>
        <w:t xml:space="preserve">PSA </w:t>
      </w:r>
      <w:r>
        <w:t>testing and to encourage uptake. One group representing neurodivergent people visited their local hospital breast screening unit and spoke to staff members about what screening involved. This was filmed, edited and shared with group members on WhatsApp, improving members’</w:t>
      </w:r>
    </w:p>
    <w:p w14:paraId="4EB1F012" w14:textId="09282971" w:rsidR="00F61E08" w:rsidRDefault="00366580" w:rsidP="0040606B">
      <w:pPr>
        <w:spacing w:line="480" w:lineRule="auto"/>
      </w:pPr>
      <w:r>
        <w:lastRenderedPageBreak/>
        <w:t>understanding of the screening process. Another</w:t>
      </w:r>
      <w:r w:rsidR="00F61E08">
        <w:t xml:space="preserve"> group ran an advert in their </w:t>
      </w:r>
      <w:r w:rsidR="00E74A8D">
        <w:t xml:space="preserve">community </w:t>
      </w:r>
      <w:r w:rsidR="00F61E08">
        <w:t>magazine (printed and online)</w:t>
      </w:r>
      <w:r w:rsidR="00E74A8D">
        <w:t>,</w:t>
      </w:r>
      <w:r w:rsidR="00F61E08">
        <w:t xml:space="preserve"> encourag</w:t>
      </w:r>
      <w:r w:rsidR="00E74A8D">
        <w:t>ing</w:t>
      </w:r>
      <w:r w:rsidR="00F61E08">
        <w:t xml:space="preserve"> men from </w:t>
      </w:r>
      <w:r w:rsidR="00EC24C0">
        <w:t>minoritised ethnic</w:t>
      </w:r>
      <w:r w:rsidR="00F61E08">
        <w:t xml:space="preserve"> communities to get a PSA test. </w:t>
      </w:r>
      <w:r w:rsidR="00D3514B">
        <w:t>As the director of the group reflected</w:t>
      </w:r>
      <w:r w:rsidR="00F61E08">
        <w:t>:</w:t>
      </w:r>
    </w:p>
    <w:p w14:paraId="5B357364" w14:textId="77777777" w:rsidR="0066564D" w:rsidRDefault="0066564D" w:rsidP="0040606B">
      <w:pPr>
        <w:spacing w:line="480" w:lineRule="auto"/>
        <w:rPr>
          <w:i/>
          <w:iCs/>
        </w:rPr>
      </w:pPr>
    </w:p>
    <w:p w14:paraId="338CBDC6" w14:textId="1C55A8DF" w:rsidR="00F61E08" w:rsidRPr="0066564D" w:rsidRDefault="00E74A8D" w:rsidP="0040606B">
      <w:pPr>
        <w:spacing w:line="480" w:lineRule="auto"/>
      </w:pPr>
      <w:r>
        <w:rPr>
          <w:i/>
          <w:iCs/>
        </w:rPr>
        <w:t>‘</w:t>
      </w:r>
      <w:r w:rsidR="00F61E08" w:rsidRPr="00401387">
        <w:rPr>
          <w:i/>
          <w:iCs/>
        </w:rPr>
        <w:t>I was at a churc</w:t>
      </w:r>
      <w:r>
        <w:rPr>
          <w:i/>
          <w:iCs/>
        </w:rPr>
        <w:t>h…</w:t>
      </w:r>
      <w:r w:rsidR="00F61E08" w:rsidRPr="00401387">
        <w:rPr>
          <w:i/>
          <w:iCs/>
        </w:rPr>
        <w:t xml:space="preserve"> and this guy sought me out, he said: “based on your campaign, I had my PSA done</w:t>
      </w:r>
      <w:r>
        <w:rPr>
          <w:i/>
          <w:iCs/>
        </w:rPr>
        <w:t>.</w:t>
      </w:r>
      <w:r w:rsidR="00F61E08" w:rsidRPr="00401387">
        <w:rPr>
          <w:i/>
          <w:iCs/>
        </w:rPr>
        <w:t xml:space="preserve">” </w:t>
      </w:r>
      <w:r>
        <w:rPr>
          <w:i/>
          <w:iCs/>
        </w:rPr>
        <w:t>H</w:t>
      </w:r>
      <w:r w:rsidR="00F61E08" w:rsidRPr="00401387">
        <w:rPr>
          <w:i/>
          <w:iCs/>
        </w:rPr>
        <w:t xml:space="preserve">e </w:t>
      </w:r>
      <w:proofErr w:type="gramStart"/>
      <w:r w:rsidR="00F61E08" w:rsidRPr="00401387">
        <w:rPr>
          <w:i/>
          <w:iCs/>
        </w:rPr>
        <w:t>said</w:t>
      </w:r>
      <w:proofErr w:type="gramEnd"/>
      <w:r w:rsidR="00F61E08" w:rsidRPr="00401387">
        <w:rPr>
          <w:i/>
          <w:iCs/>
        </w:rPr>
        <w:t xml:space="preserve"> “it’s the most nerve-racking week I’ve ever had</w:t>
      </w:r>
      <w:r>
        <w:rPr>
          <w:i/>
          <w:iCs/>
        </w:rPr>
        <w:t xml:space="preserve">… </w:t>
      </w:r>
      <w:r w:rsidR="00F61E08" w:rsidRPr="00401387">
        <w:rPr>
          <w:i/>
          <w:iCs/>
        </w:rPr>
        <w:t>but it came back norma</w:t>
      </w:r>
      <w:r>
        <w:rPr>
          <w:i/>
          <w:iCs/>
        </w:rPr>
        <w:t>l</w:t>
      </w:r>
      <w:r w:rsidR="00F61E08" w:rsidRPr="00401387">
        <w:rPr>
          <w:i/>
          <w:iCs/>
        </w:rPr>
        <w:t>”</w:t>
      </w:r>
      <w:r w:rsidR="00F61E08">
        <w:rPr>
          <w:i/>
          <w:iCs/>
        </w:rPr>
        <w:t>.</w:t>
      </w:r>
      <w:r>
        <w:rPr>
          <w:i/>
          <w:iCs/>
        </w:rPr>
        <w:t>’</w:t>
      </w:r>
      <w:r w:rsidR="0066564D">
        <w:t xml:space="preserve"> </w:t>
      </w:r>
      <w:r w:rsidR="00040491">
        <w:t>(</w:t>
      </w:r>
      <w:r w:rsidR="0066564D">
        <w:t>CAC12 R2</w:t>
      </w:r>
      <w:r w:rsidR="00040491">
        <w:t>)</w:t>
      </w:r>
    </w:p>
    <w:p w14:paraId="74831D06" w14:textId="77777777" w:rsidR="00F61E08" w:rsidRDefault="00F61E08" w:rsidP="0040606B">
      <w:pPr>
        <w:spacing w:line="480" w:lineRule="auto"/>
      </w:pPr>
    </w:p>
    <w:p w14:paraId="1A2449DC" w14:textId="769566B1" w:rsidR="00D948BB" w:rsidRPr="009119B6" w:rsidRDefault="00D3514B" w:rsidP="0040606B">
      <w:pPr>
        <w:spacing w:line="480" w:lineRule="auto"/>
        <w:rPr>
          <w:rStyle w:val="ui-provider"/>
          <w:rFonts w:cstheme="minorHAnsi"/>
          <w:iCs/>
        </w:rPr>
      </w:pPr>
      <w:r>
        <w:t>Fo</w:t>
      </w:r>
      <w:r w:rsidR="00D948BB" w:rsidRPr="009E0FCB">
        <w:rPr>
          <w:rStyle w:val="ui-provider"/>
          <w:color w:val="000000" w:themeColor="text1"/>
        </w:rPr>
        <w:t>ur projects sought to increase awareness and uptake o</w:t>
      </w:r>
      <w:r w:rsidR="007C7BB0">
        <w:rPr>
          <w:rStyle w:val="ui-provider"/>
          <w:color w:val="000000" w:themeColor="text1"/>
        </w:rPr>
        <w:t>f</w:t>
      </w:r>
      <w:r w:rsidR="00D948BB" w:rsidRPr="009E0FCB">
        <w:rPr>
          <w:rStyle w:val="ui-provider"/>
          <w:color w:val="000000" w:themeColor="text1"/>
        </w:rPr>
        <w:t xml:space="preserve"> </w:t>
      </w:r>
      <w:r w:rsidR="007748A9">
        <w:rPr>
          <w:rStyle w:val="ui-provider"/>
          <w:color w:val="000000" w:themeColor="text1"/>
        </w:rPr>
        <w:t xml:space="preserve">PSA </w:t>
      </w:r>
      <w:r w:rsidR="00D948BB" w:rsidRPr="166F6585">
        <w:rPr>
          <w:rStyle w:val="ui-provider"/>
        </w:rPr>
        <w:t>testing</w:t>
      </w:r>
      <w:r w:rsidR="009C3BC3">
        <w:rPr>
          <w:rStyle w:val="ui-provider"/>
        </w:rPr>
        <w:t xml:space="preserve"> </w:t>
      </w:r>
      <w:r w:rsidR="00D948BB">
        <w:rPr>
          <w:rStyle w:val="ui-provider"/>
        </w:rPr>
        <w:t>in</w:t>
      </w:r>
      <w:r w:rsidR="00D948BB" w:rsidRPr="166F6585">
        <w:rPr>
          <w:rStyle w:val="ui-provider"/>
        </w:rPr>
        <w:t xml:space="preserve"> </w:t>
      </w:r>
      <w:r w:rsidR="000727C8">
        <w:rPr>
          <w:rStyle w:val="ui-provider"/>
        </w:rPr>
        <w:t>minoritised ethnic</w:t>
      </w:r>
      <w:r w:rsidR="00D948BB" w:rsidRPr="166F6585">
        <w:rPr>
          <w:rStyle w:val="ui-provider"/>
        </w:rPr>
        <w:t xml:space="preserve"> communities</w:t>
      </w:r>
      <w:r w:rsidR="0066564D">
        <w:rPr>
          <w:rStyle w:val="ui-provider"/>
        </w:rPr>
        <w:t>.</w:t>
      </w:r>
      <w:r w:rsidR="00D948BB">
        <w:rPr>
          <w:rStyle w:val="ui-provider"/>
          <w:rFonts w:cstheme="minorHAnsi"/>
          <w:iCs/>
        </w:rPr>
        <w:t xml:space="preserve"> </w:t>
      </w:r>
      <w:r w:rsidR="009C3BC3">
        <w:rPr>
          <w:rStyle w:val="ui-provider"/>
          <w:rFonts w:cstheme="minorHAnsi"/>
          <w:iCs/>
        </w:rPr>
        <w:t>These were particularly effective when supported by health professionals and were linked to local testing services and opportunities</w:t>
      </w:r>
      <w:r w:rsidR="00D948BB">
        <w:rPr>
          <w:rStyle w:val="ui-provider"/>
          <w:rFonts w:cstheme="minorHAnsi"/>
          <w:iCs/>
        </w:rPr>
        <w:t>.</w:t>
      </w:r>
    </w:p>
    <w:p w14:paraId="7D324FA4" w14:textId="77777777" w:rsidR="00D948BB" w:rsidRPr="00882012" w:rsidRDefault="00D948BB" w:rsidP="0040606B">
      <w:pPr>
        <w:spacing w:line="480" w:lineRule="auto"/>
        <w:rPr>
          <w:rStyle w:val="ui-provider"/>
          <w:rFonts w:cstheme="minorHAnsi"/>
          <w:iCs/>
        </w:rPr>
      </w:pPr>
    </w:p>
    <w:p w14:paraId="0E2634CD" w14:textId="77777777" w:rsidR="00D948BB" w:rsidRPr="004D02A7" w:rsidRDefault="00D948BB" w:rsidP="0040606B">
      <w:pPr>
        <w:spacing w:line="480" w:lineRule="auto"/>
        <w:rPr>
          <w:rStyle w:val="ui-provider"/>
          <w:rFonts w:cstheme="minorHAnsi"/>
          <w:i/>
        </w:rPr>
      </w:pPr>
      <w:r w:rsidRPr="004D02A7">
        <w:rPr>
          <w:rStyle w:val="ui-provider"/>
          <w:rFonts w:cstheme="minorHAnsi"/>
          <w:i/>
        </w:rPr>
        <w:t>Increase in awareness of signs and symptoms of cancer</w:t>
      </w:r>
    </w:p>
    <w:p w14:paraId="31EC8F9D" w14:textId="3A7227C3" w:rsidR="00D948BB" w:rsidRDefault="009C3BC3" w:rsidP="0040606B">
      <w:pPr>
        <w:spacing w:line="480" w:lineRule="auto"/>
        <w:rPr>
          <w:rStyle w:val="ui-provider"/>
          <w:rFonts w:cstheme="minorHAnsi"/>
          <w:iCs/>
        </w:rPr>
      </w:pPr>
      <w:r>
        <w:rPr>
          <w:rStyle w:val="ui-provider"/>
          <w:rFonts w:cstheme="minorHAnsi"/>
          <w:iCs/>
        </w:rPr>
        <w:t>Many strategies were used by grant holders to</w:t>
      </w:r>
      <w:r w:rsidR="00D948BB">
        <w:rPr>
          <w:rStyle w:val="ui-provider"/>
          <w:rFonts w:cstheme="minorHAnsi"/>
          <w:iCs/>
        </w:rPr>
        <w:t xml:space="preserve"> rais</w:t>
      </w:r>
      <w:r>
        <w:rPr>
          <w:rStyle w:val="ui-provider"/>
          <w:rFonts w:cstheme="minorHAnsi"/>
          <w:iCs/>
        </w:rPr>
        <w:t>e</w:t>
      </w:r>
      <w:r w:rsidR="00D948BB">
        <w:rPr>
          <w:rStyle w:val="ui-provider"/>
          <w:rFonts w:cstheme="minorHAnsi"/>
          <w:iCs/>
        </w:rPr>
        <w:t xml:space="preserve"> awareness of signs and symptoms</w:t>
      </w:r>
      <w:r w:rsidR="003D07E1">
        <w:rPr>
          <w:rStyle w:val="ui-provider"/>
          <w:rFonts w:cstheme="minorHAnsi"/>
          <w:iCs/>
        </w:rPr>
        <w:t>,</w:t>
      </w:r>
      <w:r w:rsidR="003D6FDC">
        <w:rPr>
          <w:rStyle w:val="ui-provider"/>
          <w:rFonts w:cstheme="minorHAnsi"/>
          <w:iCs/>
        </w:rPr>
        <w:t xml:space="preserve"> including</w:t>
      </w:r>
      <w:r w:rsidR="00452812">
        <w:rPr>
          <w:rStyle w:val="ui-provider"/>
          <w:rFonts w:cstheme="minorHAnsi"/>
          <w:iCs/>
        </w:rPr>
        <w:t xml:space="preserve"> broadcasts by community radio stations, newsletters to members, and using healthy eating workshops as a teachable moment. </w:t>
      </w:r>
      <w:r w:rsidR="003D07E1">
        <w:rPr>
          <w:rStyle w:val="ui-provider"/>
          <w:rFonts w:cstheme="minorHAnsi"/>
          <w:iCs/>
        </w:rPr>
        <w:t>R</w:t>
      </w:r>
      <w:r w:rsidR="00452812">
        <w:rPr>
          <w:rStyle w:val="ui-provider"/>
          <w:rFonts w:cstheme="minorHAnsi"/>
          <w:iCs/>
        </w:rPr>
        <w:t>adio stations were particularly effective</w:t>
      </w:r>
      <w:r>
        <w:rPr>
          <w:rStyle w:val="ui-provider"/>
          <w:rFonts w:cstheme="minorHAnsi"/>
          <w:iCs/>
        </w:rPr>
        <w:t xml:space="preserve"> </w:t>
      </w:r>
      <w:r w:rsidR="003D6FDC">
        <w:rPr>
          <w:rStyle w:val="ui-provider"/>
          <w:rFonts w:cstheme="minorHAnsi"/>
          <w:iCs/>
        </w:rPr>
        <w:t>in</w:t>
      </w:r>
      <w:r w:rsidR="00452812">
        <w:rPr>
          <w:rStyle w:val="ui-provider"/>
          <w:rFonts w:cstheme="minorHAnsi"/>
          <w:iCs/>
        </w:rPr>
        <w:t xml:space="preserve"> reaching a large audience for minimal investment. Two radio stations with a combined grant funding of £8,782 reached an estimated audience of over 26,000 listeners</w:t>
      </w:r>
      <w:r w:rsidR="00BA645F">
        <w:rPr>
          <w:rStyle w:val="ui-provider"/>
          <w:rFonts w:cstheme="minorHAnsi"/>
          <w:iCs/>
        </w:rPr>
        <w:t>, using estimates of listeners supplied by the station</w:t>
      </w:r>
      <w:r w:rsidR="00C95F82">
        <w:rPr>
          <w:rStyle w:val="ui-provider"/>
          <w:rFonts w:cstheme="minorHAnsi"/>
          <w:iCs/>
        </w:rPr>
        <w:t>s</w:t>
      </w:r>
      <w:r w:rsidR="00452812">
        <w:rPr>
          <w:rStyle w:val="ui-provider"/>
          <w:rFonts w:cstheme="minorHAnsi"/>
          <w:iCs/>
        </w:rPr>
        <w:t xml:space="preserve">. </w:t>
      </w:r>
      <w:r w:rsidR="00976648">
        <w:rPr>
          <w:rStyle w:val="ui-provider"/>
          <w:rFonts w:cstheme="minorHAnsi"/>
          <w:iCs/>
        </w:rPr>
        <w:t>One radio station director explained:</w:t>
      </w:r>
    </w:p>
    <w:p w14:paraId="0FCD56FC" w14:textId="77777777" w:rsidR="00976648" w:rsidRPr="00401387" w:rsidRDefault="00976648" w:rsidP="0040606B">
      <w:pPr>
        <w:spacing w:line="480" w:lineRule="auto"/>
        <w:rPr>
          <w:rStyle w:val="ui-provider"/>
          <w:rFonts w:cstheme="minorHAnsi"/>
          <w:i/>
        </w:rPr>
      </w:pPr>
    </w:p>
    <w:p w14:paraId="6491C302" w14:textId="3053F049" w:rsidR="00976648" w:rsidRPr="00976648" w:rsidRDefault="00022F3A" w:rsidP="0040606B">
      <w:pPr>
        <w:spacing w:line="480" w:lineRule="auto"/>
        <w:rPr>
          <w:rStyle w:val="ui-provider"/>
          <w:rFonts w:cstheme="minorHAnsi"/>
          <w:iCs/>
        </w:rPr>
      </w:pPr>
      <w:r>
        <w:rPr>
          <w:rStyle w:val="ui-provider"/>
          <w:rFonts w:cstheme="minorHAnsi"/>
          <w:i/>
        </w:rPr>
        <w:t>‘</w:t>
      </w:r>
      <w:r w:rsidR="00976648" w:rsidRPr="00401387">
        <w:rPr>
          <w:rStyle w:val="ui-provider"/>
          <w:rFonts w:cstheme="minorHAnsi"/>
          <w:i/>
        </w:rPr>
        <w:t>On the hour</w:t>
      </w:r>
      <w:r>
        <w:rPr>
          <w:rStyle w:val="ui-provider"/>
          <w:rFonts w:cstheme="minorHAnsi"/>
          <w:i/>
        </w:rPr>
        <w:t>,</w:t>
      </w:r>
      <w:r w:rsidR="00976648" w:rsidRPr="00401387">
        <w:rPr>
          <w:rStyle w:val="ui-provider"/>
          <w:rFonts w:cstheme="minorHAnsi"/>
          <w:i/>
        </w:rPr>
        <w:t xml:space="preserve"> once every four hours, you</w:t>
      </w:r>
      <w:r w:rsidR="00976648">
        <w:rPr>
          <w:rStyle w:val="ui-provider"/>
          <w:rFonts w:cstheme="minorHAnsi"/>
          <w:i/>
        </w:rPr>
        <w:t>’</w:t>
      </w:r>
      <w:r w:rsidR="00976648" w:rsidRPr="00401387">
        <w:rPr>
          <w:rStyle w:val="ui-provider"/>
          <w:rFonts w:cstheme="minorHAnsi"/>
          <w:i/>
        </w:rPr>
        <w:t xml:space="preserve">ll get a specific message about cancer going out. It might be advice about a </w:t>
      </w:r>
      <w:r w:rsidR="00976648">
        <w:rPr>
          <w:rStyle w:val="ui-provider"/>
          <w:rFonts w:cstheme="minorHAnsi"/>
          <w:i/>
        </w:rPr>
        <w:t>specific</w:t>
      </w:r>
      <w:r w:rsidR="00976648" w:rsidRPr="00401387">
        <w:rPr>
          <w:rStyle w:val="ui-provider"/>
          <w:rFonts w:cstheme="minorHAnsi"/>
          <w:i/>
        </w:rPr>
        <w:t xml:space="preserve"> issue or symptoms, or it might be a particular event that</w:t>
      </w:r>
      <w:r w:rsidR="00976648">
        <w:rPr>
          <w:rStyle w:val="ui-provider"/>
          <w:rFonts w:cstheme="minorHAnsi"/>
          <w:i/>
        </w:rPr>
        <w:t>’</w:t>
      </w:r>
      <w:r w:rsidR="00976648" w:rsidRPr="00401387">
        <w:rPr>
          <w:rStyle w:val="ui-provider"/>
          <w:rFonts w:cstheme="minorHAnsi"/>
          <w:i/>
        </w:rPr>
        <w:t>s coming up</w:t>
      </w:r>
      <w:r w:rsidR="00976648">
        <w:rPr>
          <w:rStyle w:val="ui-provider"/>
          <w:rFonts w:cstheme="minorHAnsi"/>
          <w:iCs/>
        </w:rPr>
        <w:t xml:space="preserve"> </w:t>
      </w:r>
      <w:r w:rsidR="00040491">
        <w:rPr>
          <w:rStyle w:val="ui-provider"/>
          <w:rFonts w:cstheme="minorHAnsi"/>
          <w:iCs/>
        </w:rPr>
        <w:t>(</w:t>
      </w:r>
      <w:r w:rsidR="00976648">
        <w:rPr>
          <w:rStyle w:val="ui-provider"/>
          <w:rFonts w:cstheme="minorHAnsi"/>
          <w:iCs/>
        </w:rPr>
        <w:t>CAC11 R1</w:t>
      </w:r>
      <w:r w:rsidR="00040491">
        <w:rPr>
          <w:rStyle w:val="ui-provider"/>
          <w:rFonts w:cstheme="minorHAnsi"/>
          <w:iCs/>
        </w:rPr>
        <w:t>)</w:t>
      </w:r>
    </w:p>
    <w:p w14:paraId="61FE85DE" w14:textId="77777777" w:rsidR="00D948BB" w:rsidRDefault="00D948BB" w:rsidP="0040606B">
      <w:pPr>
        <w:spacing w:line="480" w:lineRule="auto"/>
        <w:rPr>
          <w:rFonts w:cstheme="minorHAnsi"/>
          <w:color w:val="000000" w:themeColor="text1"/>
        </w:rPr>
      </w:pPr>
    </w:p>
    <w:p w14:paraId="6A3A6044" w14:textId="79A46C1C" w:rsidR="009C3BC3" w:rsidRPr="00401387" w:rsidRDefault="009C3BC3" w:rsidP="0040606B">
      <w:pPr>
        <w:spacing w:line="480" w:lineRule="auto"/>
        <w:rPr>
          <w:rStyle w:val="ui-provider"/>
        </w:rPr>
      </w:pPr>
      <w:r>
        <w:rPr>
          <w:rStyle w:val="ui-provider"/>
          <w:rFonts w:cstheme="minorHAnsi"/>
          <w:iCs/>
        </w:rPr>
        <w:lastRenderedPageBreak/>
        <w:t xml:space="preserve">For one </w:t>
      </w:r>
      <w:r w:rsidRPr="00401387">
        <w:rPr>
          <w:rStyle w:val="ui-provider"/>
          <w:rFonts w:cstheme="minorHAnsi"/>
          <w:iCs/>
        </w:rPr>
        <w:t>station</w:t>
      </w:r>
      <w:r>
        <w:rPr>
          <w:rStyle w:val="ui-provider"/>
          <w:rFonts w:cstheme="minorHAnsi"/>
          <w:iCs/>
        </w:rPr>
        <w:t xml:space="preserve">, their </w:t>
      </w:r>
      <w:r w:rsidRPr="00401387">
        <w:rPr>
          <w:rStyle w:val="ui-provider"/>
          <w:rFonts w:cstheme="minorHAnsi"/>
          <w:iCs/>
        </w:rPr>
        <w:t xml:space="preserve">broadcast </w:t>
      </w:r>
      <w:r>
        <w:rPr>
          <w:rStyle w:val="ui-provider"/>
          <w:rFonts w:cstheme="minorHAnsi"/>
          <w:iCs/>
        </w:rPr>
        <w:t>on</w:t>
      </w:r>
      <w:r w:rsidRPr="00401387">
        <w:rPr>
          <w:rStyle w:val="ui-provider"/>
          <w:rFonts w:cstheme="minorHAnsi"/>
          <w:iCs/>
        </w:rPr>
        <w:t xml:space="preserve"> signs of prostate cancer</w:t>
      </w:r>
      <w:r>
        <w:rPr>
          <w:rStyle w:val="ui-provider"/>
          <w:rFonts w:cstheme="minorHAnsi"/>
          <w:iCs/>
        </w:rPr>
        <w:t xml:space="preserve"> became the most downloaded programme with numerous calls </w:t>
      </w:r>
      <w:r w:rsidR="00022F3A">
        <w:rPr>
          <w:rStyle w:val="ui-provider"/>
          <w:rFonts w:cstheme="minorHAnsi"/>
          <w:iCs/>
        </w:rPr>
        <w:t xml:space="preserve">to the presenter </w:t>
      </w:r>
      <w:r>
        <w:rPr>
          <w:rStyle w:val="ui-provider"/>
          <w:rFonts w:cstheme="minorHAnsi"/>
          <w:iCs/>
        </w:rPr>
        <w:t>from concerned family members</w:t>
      </w:r>
      <w:r w:rsidR="00022F3A">
        <w:rPr>
          <w:rStyle w:val="ui-provider"/>
          <w:rFonts w:cstheme="minorHAnsi"/>
          <w:iCs/>
        </w:rPr>
        <w:t xml:space="preserve"> about symptoms and early detection</w:t>
      </w:r>
      <w:r>
        <w:rPr>
          <w:rStyle w:val="ui-provider"/>
          <w:rFonts w:cstheme="minorHAnsi"/>
          <w:iCs/>
        </w:rPr>
        <w:t>.</w:t>
      </w:r>
    </w:p>
    <w:p w14:paraId="03467368" w14:textId="77777777" w:rsidR="009C3BC3" w:rsidRDefault="009C3BC3" w:rsidP="0040606B">
      <w:pPr>
        <w:spacing w:line="480" w:lineRule="auto"/>
        <w:rPr>
          <w:rFonts w:cstheme="minorHAnsi"/>
          <w:b/>
          <w:bCs/>
          <w:i/>
          <w:iCs/>
          <w:color w:val="000000" w:themeColor="text1"/>
        </w:rPr>
      </w:pPr>
    </w:p>
    <w:p w14:paraId="7C628344" w14:textId="0ADF0D63" w:rsidR="00D948BB" w:rsidRPr="004D02A7" w:rsidRDefault="00EE1EAC" w:rsidP="0040606B">
      <w:pPr>
        <w:spacing w:line="480" w:lineRule="auto"/>
        <w:rPr>
          <w:rFonts w:cstheme="minorHAnsi"/>
          <w:i/>
          <w:iCs/>
          <w:color w:val="000000" w:themeColor="text1"/>
        </w:rPr>
      </w:pPr>
      <w:r>
        <w:rPr>
          <w:rFonts w:cstheme="minorHAnsi"/>
          <w:i/>
          <w:iCs/>
          <w:color w:val="000000" w:themeColor="text1"/>
        </w:rPr>
        <w:t>Activities to promote</w:t>
      </w:r>
      <w:r w:rsidR="00D948BB" w:rsidRPr="004D02A7">
        <w:rPr>
          <w:rFonts w:cstheme="minorHAnsi"/>
          <w:i/>
          <w:iCs/>
          <w:color w:val="000000" w:themeColor="text1"/>
        </w:rPr>
        <w:t xml:space="preserve"> help seeking behaviour</w:t>
      </w:r>
    </w:p>
    <w:p w14:paraId="60178BF2" w14:textId="69339047" w:rsidR="00D948BB" w:rsidRPr="00524AF3" w:rsidRDefault="00D948BB" w:rsidP="0040606B">
      <w:pPr>
        <w:spacing w:line="480" w:lineRule="auto"/>
        <w:rPr>
          <w:rFonts w:cstheme="minorHAnsi"/>
          <w:color w:val="000000" w:themeColor="text1"/>
        </w:rPr>
      </w:pPr>
      <w:r>
        <w:rPr>
          <w:rFonts w:cstheme="minorHAnsi"/>
          <w:color w:val="000000" w:themeColor="text1"/>
        </w:rPr>
        <w:t xml:space="preserve">CAC grant holders reflected on the need for targeted engagement with communities to encourage help seeking behaviour. One commented on the fear that exists within </w:t>
      </w:r>
      <w:r w:rsidR="00AC2B19">
        <w:rPr>
          <w:rStyle w:val="ui-provider"/>
        </w:rPr>
        <w:t>minoritised ethnic</w:t>
      </w:r>
      <w:r w:rsidR="00AC2B19" w:rsidRPr="166F6585">
        <w:rPr>
          <w:rStyle w:val="ui-provider"/>
        </w:rPr>
        <w:t xml:space="preserve"> </w:t>
      </w:r>
      <w:r w:rsidRPr="00F736B6">
        <w:rPr>
          <w:rFonts w:cstheme="minorHAnsi"/>
          <w:color w:val="000000" w:themeColor="text1"/>
        </w:rPr>
        <w:t>communities</w:t>
      </w:r>
      <w:r>
        <w:rPr>
          <w:rFonts w:cstheme="minorHAnsi"/>
          <w:color w:val="000000" w:themeColor="text1"/>
        </w:rPr>
        <w:t>:</w:t>
      </w:r>
      <w:r w:rsidR="00524AF3">
        <w:rPr>
          <w:rFonts w:cstheme="minorHAnsi"/>
          <w:color w:val="000000" w:themeColor="text1"/>
        </w:rPr>
        <w:t xml:space="preserve"> </w:t>
      </w:r>
      <w:r w:rsidRPr="00F736B6">
        <w:rPr>
          <w:rFonts w:cstheme="minorHAnsi"/>
          <w:i/>
          <w:iCs/>
          <w:color w:val="000000" w:themeColor="text1"/>
        </w:rPr>
        <w:t>‘some families, they don</w:t>
      </w:r>
      <w:r w:rsidR="00524AF3">
        <w:rPr>
          <w:rFonts w:cstheme="minorHAnsi"/>
          <w:i/>
          <w:iCs/>
          <w:color w:val="000000" w:themeColor="text1"/>
        </w:rPr>
        <w:t>’</w:t>
      </w:r>
      <w:r w:rsidRPr="00F736B6">
        <w:rPr>
          <w:rFonts w:cstheme="minorHAnsi"/>
          <w:i/>
          <w:iCs/>
          <w:color w:val="000000" w:themeColor="text1"/>
        </w:rPr>
        <w:t>t want to even say cancer from their mouths, they don</w:t>
      </w:r>
      <w:r w:rsidR="002058F4">
        <w:rPr>
          <w:rFonts w:cstheme="minorHAnsi"/>
          <w:i/>
          <w:iCs/>
          <w:color w:val="000000" w:themeColor="text1"/>
        </w:rPr>
        <w:t>’</w:t>
      </w:r>
      <w:r w:rsidRPr="00F736B6">
        <w:rPr>
          <w:rFonts w:cstheme="minorHAnsi"/>
          <w:i/>
          <w:iCs/>
          <w:color w:val="000000" w:themeColor="text1"/>
        </w:rPr>
        <w:t>t want to say this word and the reason is they are so fearful, they don</w:t>
      </w:r>
      <w:r w:rsidR="00EE3BCF">
        <w:rPr>
          <w:rFonts w:cstheme="minorHAnsi"/>
          <w:i/>
          <w:iCs/>
          <w:color w:val="000000" w:themeColor="text1"/>
        </w:rPr>
        <w:t>’</w:t>
      </w:r>
      <w:r w:rsidRPr="00F736B6">
        <w:rPr>
          <w:rFonts w:cstheme="minorHAnsi"/>
          <w:i/>
          <w:iCs/>
          <w:color w:val="000000" w:themeColor="text1"/>
        </w:rPr>
        <w:t xml:space="preserve">t want to be involved with anything cancer related’ </w:t>
      </w:r>
      <w:r w:rsidRPr="00524AF3">
        <w:rPr>
          <w:rFonts w:cstheme="minorHAnsi"/>
          <w:color w:val="000000" w:themeColor="text1"/>
        </w:rPr>
        <w:t>(CAC22).</w:t>
      </w:r>
    </w:p>
    <w:p w14:paraId="06C0072D" w14:textId="77777777" w:rsidR="00EE3BCF" w:rsidRDefault="00EE3BCF" w:rsidP="0040606B">
      <w:pPr>
        <w:spacing w:line="480" w:lineRule="auto"/>
        <w:rPr>
          <w:rStyle w:val="ui-provider"/>
          <w:rFonts w:cstheme="minorHAnsi"/>
          <w:iCs/>
        </w:rPr>
      </w:pPr>
    </w:p>
    <w:p w14:paraId="0260AE71" w14:textId="74D93D6E" w:rsidR="00D948BB" w:rsidRDefault="00D948BB" w:rsidP="0040606B">
      <w:pPr>
        <w:spacing w:line="480" w:lineRule="auto"/>
        <w:rPr>
          <w:rFonts w:cstheme="minorHAnsi"/>
          <w:iCs/>
        </w:rPr>
      </w:pPr>
      <w:r>
        <w:rPr>
          <w:rStyle w:val="ui-provider"/>
          <w:rFonts w:cstheme="minorHAnsi"/>
          <w:iCs/>
        </w:rPr>
        <w:t>Several projects sought to enhance confidence in seeking help by building trust with local health services.</w:t>
      </w:r>
      <w:r w:rsidR="009C3BC3">
        <w:rPr>
          <w:rStyle w:val="ui-provider"/>
          <w:rFonts w:cstheme="minorHAnsi"/>
          <w:iCs/>
        </w:rPr>
        <w:t xml:space="preserve"> C</w:t>
      </w:r>
      <w:r>
        <w:rPr>
          <w:rStyle w:val="ui-provider"/>
          <w:rFonts w:cstheme="minorHAnsi"/>
          <w:iCs/>
        </w:rPr>
        <w:t xml:space="preserve">onsultants, </w:t>
      </w:r>
      <w:r w:rsidR="009C3BC3">
        <w:rPr>
          <w:rStyle w:val="ui-provider"/>
          <w:rFonts w:cstheme="minorHAnsi"/>
          <w:iCs/>
        </w:rPr>
        <w:t>doctor</w:t>
      </w:r>
      <w:r>
        <w:rPr>
          <w:rStyle w:val="ui-provider"/>
          <w:rFonts w:cstheme="minorHAnsi"/>
          <w:iCs/>
        </w:rPr>
        <w:t xml:space="preserve">s and pharmacists took part in radio broadcasts, informal group meetings and information events. As one grant-holder reported, </w:t>
      </w:r>
      <w:r w:rsidRPr="00401387">
        <w:rPr>
          <w:rStyle w:val="ui-provider"/>
          <w:rFonts w:cstheme="minorHAnsi"/>
          <w:i/>
        </w:rPr>
        <w:t>‘</w:t>
      </w:r>
      <w:r w:rsidRPr="00401387">
        <w:rPr>
          <w:rStyle w:val="ui-provider"/>
          <w:i/>
        </w:rPr>
        <w:t xml:space="preserve">there is </w:t>
      </w:r>
      <w:proofErr w:type="gramStart"/>
      <w:r w:rsidRPr="00401387">
        <w:rPr>
          <w:rStyle w:val="ui-provider"/>
          <w:i/>
        </w:rPr>
        <w:t>definitely a</w:t>
      </w:r>
      <w:proofErr w:type="gramEnd"/>
      <w:r w:rsidRPr="00401387">
        <w:rPr>
          <w:rStyle w:val="ui-provider"/>
          <w:i/>
        </w:rPr>
        <w:t xml:space="preserve"> growth in confidence… We have broken the taboo. We are more able</w:t>
      </w:r>
      <w:r w:rsidRPr="00401387">
        <w:rPr>
          <w:rFonts w:cstheme="minorHAnsi"/>
          <w:i/>
        </w:rPr>
        <w:t xml:space="preserve"> to talk to the community’s leaders</w:t>
      </w:r>
      <w:r w:rsidR="00E21B8F" w:rsidRPr="00401387">
        <w:rPr>
          <w:rFonts w:cstheme="minorHAnsi"/>
          <w:i/>
        </w:rPr>
        <w:t>,</w:t>
      </w:r>
      <w:r w:rsidRPr="00401387">
        <w:rPr>
          <w:rFonts w:cstheme="minorHAnsi"/>
          <w:i/>
        </w:rPr>
        <w:t xml:space="preserve"> GPs, pharmacists about cancer and what the treatments are’</w:t>
      </w:r>
      <w:r w:rsidRPr="00DE7F2F">
        <w:rPr>
          <w:rFonts w:cstheme="minorHAnsi"/>
          <w:iCs/>
        </w:rPr>
        <w:t xml:space="preserve"> (CAC28</w:t>
      </w:r>
      <w:r w:rsidR="007C7BB0">
        <w:rPr>
          <w:rFonts w:cstheme="minorHAnsi"/>
          <w:iCs/>
        </w:rPr>
        <w:t xml:space="preserve"> R</w:t>
      </w:r>
      <w:r w:rsidRPr="00DE7F2F">
        <w:rPr>
          <w:rFonts w:cstheme="minorHAnsi"/>
          <w:iCs/>
        </w:rPr>
        <w:t>2)</w:t>
      </w:r>
      <w:r>
        <w:rPr>
          <w:rFonts w:cstheme="minorHAnsi"/>
          <w:iCs/>
        </w:rPr>
        <w:t>. Another project</w:t>
      </w:r>
      <w:r w:rsidR="003D07E1">
        <w:rPr>
          <w:rFonts w:cstheme="minorHAnsi"/>
          <w:iCs/>
        </w:rPr>
        <w:t>,</w:t>
      </w:r>
      <w:r>
        <w:rPr>
          <w:rFonts w:cstheme="minorHAnsi"/>
          <w:iCs/>
        </w:rPr>
        <w:t xml:space="preserve"> involving people with learning difficulties</w:t>
      </w:r>
      <w:r w:rsidR="003D07E1">
        <w:rPr>
          <w:rFonts w:cstheme="minorHAnsi"/>
          <w:iCs/>
        </w:rPr>
        <w:t>,</w:t>
      </w:r>
      <w:r>
        <w:rPr>
          <w:rFonts w:cstheme="minorHAnsi"/>
          <w:iCs/>
        </w:rPr>
        <w:t xml:space="preserve"> similarly </w:t>
      </w:r>
      <w:r w:rsidR="007D3DF8">
        <w:rPr>
          <w:rFonts w:cstheme="minorHAnsi"/>
          <w:iCs/>
        </w:rPr>
        <w:t>reflected on</w:t>
      </w:r>
      <w:r>
        <w:rPr>
          <w:rFonts w:cstheme="minorHAnsi"/>
          <w:iCs/>
        </w:rPr>
        <w:t xml:space="preserve"> the importance of establishing effective </w:t>
      </w:r>
      <w:r w:rsidR="00E21B8F">
        <w:rPr>
          <w:rFonts w:cstheme="minorHAnsi"/>
          <w:iCs/>
        </w:rPr>
        <w:t xml:space="preserve">links with </w:t>
      </w:r>
      <w:r>
        <w:rPr>
          <w:rFonts w:cstheme="minorHAnsi"/>
          <w:iCs/>
        </w:rPr>
        <w:t xml:space="preserve">local </w:t>
      </w:r>
      <w:r w:rsidR="007D3DF8">
        <w:rPr>
          <w:rFonts w:cstheme="minorHAnsi"/>
          <w:iCs/>
        </w:rPr>
        <w:t xml:space="preserve">primary care </w:t>
      </w:r>
      <w:r w:rsidR="00E21B8F">
        <w:rPr>
          <w:rFonts w:cstheme="minorHAnsi"/>
          <w:iCs/>
        </w:rPr>
        <w:t>services</w:t>
      </w:r>
      <w:r w:rsidR="008C4515">
        <w:rPr>
          <w:rFonts w:cstheme="minorHAnsi"/>
          <w:iCs/>
        </w:rPr>
        <w:t>,</w:t>
      </w:r>
      <w:r w:rsidR="00ED1CAC">
        <w:rPr>
          <w:rFonts w:cstheme="minorHAnsi"/>
          <w:iCs/>
        </w:rPr>
        <w:t xml:space="preserve"> enabl</w:t>
      </w:r>
      <w:r w:rsidR="008C4515">
        <w:rPr>
          <w:rFonts w:cstheme="minorHAnsi"/>
          <w:iCs/>
        </w:rPr>
        <w:t>ing</w:t>
      </w:r>
      <w:r w:rsidR="00ED1CAC">
        <w:rPr>
          <w:rFonts w:cstheme="minorHAnsi"/>
          <w:iCs/>
        </w:rPr>
        <w:t xml:space="preserve"> </w:t>
      </w:r>
      <w:r w:rsidR="008C4515">
        <w:rPr>
          <w:rFonts w:cstheme="minorHAnsi"/>
          <w:iCs/>
        </w:rPr>
        <w:t xml:space="preserve">community members </w:t>
      </w:r>
      <w:r w:rsidR="00ED1CAC">
        <w:rPr>
          <w:rFonts w:cstheme="minorHAnsi"/>
          <w:iCs/>
        </w:rPr>
        <w:t xml:space="preserve">to </w:t>
      </w:r>
      <w:r w:rsidR="00ED1CAC" w:rsidRPr="00401387">
        <w:rPr>
          <w:rFonts w:cstheme="minorHAnsi"/>
          <w:i/>
        </w:rPr>
        <w:t>‘pluck up the courage to book their annual he</w:t>
      </w:r>
      <w:r w:rsidR="008C4515">
        <w:rPr>
          <w:rFonts w:cstheme="minorHAnsi"/>
          <w:i/>
        </w:rPr>
        <w:t>al</w:t>
      </w:r>
      <w:r w:rsidR="00ED1CAC" w:rsidRPr="00401387">
        <w:rPr>
          <w:rFonts w:cstheme="minorHAnsi"/>
          <w:i/>
        </w:rPr>
        <w:t>th check’</w:t>
      </w:r>
      <w:r w:rsidR="00ED1CAC">
        <w:rPr>
          <w:rFonts w:cstheme="minorHAnsi"/>
          <w:iCs/>
        </w:rPr>
        <w:t xml:space="preserve"> (CAC25 R1)</w:t>
      </w:r>
      <w:r w:rsidR="007D3DF8">
        <w:rPr>
          <w:rFonts w:cstheme="minorHAnsi"/>
          <w:iCs/>
        </w:rPr>
        <w:t>.</w:t>
      </w:r>
    </w:p>
    <w:p w14:paraId="0CCF7A0A" w14:textId="77777777" w:rsidR="00D948BB" w:rsidRDefault="00D948BB" w:rsidP="0040606B">
      <w:pPr>
        <w:spacing w:line="480" w:lineRule="auto"/>
      </w:pPr>
    </w:p>
    <w:p w14:paraId="0E8979CC" w14:textId="0C6D0340" w:rsidR="00D948BB" w:rsidRPr="004B6470" w:rsidRDefault="00D948BB" w:rsidP="0040606B">
      <w:pPr>
        <w:spacing w:line="480" w:lineRule="auto"/>
        <w:rPr>
          <w:b/>
          <w:bCs/>
          <w:i/>
          <w:iCs/>
        </w:rPr>
      </w:pPr>
      <w:r w:rsidRPr="004B6470">
        <w:rPr>
          <w:b/>
          <w:bCs/>
          <w:i/>
          <w:iCs/>
        </w:rPr>
        <w:t xml:space="preserve">Characteristics </w:t>
      </w:r>
      <w:r w:rsidR="007D3DF8">
        <w:rPr>
          <w:b/>
          <w:bCs/>
          <w:i/>
          <w:iCs/>
        </w:rPr>
        <w:t>of Successful Projects</w:t>
      </w:r>
    </w:p>
    <w:p w14:paraId="4B12485F" w14:textId="437DF580" w:rsidR="00D948BB" w:rsidRDefault="00D00906" w:rsidP="0040606B">
      <w:pPr>
        <w:spacing w:line="480" w:lineRule="auto"/>
      </w:pPr>
      <w:r>
        <w:t>Analysis of t</w:t>
      </w:r>
      <w:r w:rsidR="00D948BB">
        <w:t xml:space="preserve">he funded </w:t>
      </w:r>
      <w:r w:rsidR="00E46BBB">
        <w:t xml:space="preserve">CAC </w:t>
      </w:r>
      <w:r w:rsidR="00D948BB">
        <w:t>project</w:t>
      </w:r>
      <w:r w:rsidR="00532C75">
        <w:t xml:space="preserve"> </w:t>
      </w:r>
      <w:r w:rsidR="00022F3A">
        <w:t>identifi</w:t>
      </w:r>
      <w:r w:rsidR="00532C75">
        <w:t xml:space="preserve">ed </w:t>
      </w:r>
      <w:r w:rsidR="00EE3BCF">
        <w:t>seven</w:t>
      </w:r>
      <w:r w:rsidR="00022F3A">
        <w:t xml:space="preserve"> characteristics of </w:t>
      </w:r>
      <w:r w:rsidR="00532C75">
        <w:t xml:space="preserve">highly </w:t>
      </w:r>
      <w:r w:rsidR="00022F3A">
        <w:t xml:space="preserve">successful community </w:t>
      </w:r>
      <w:r w:rsidR="00EE3BCF">
        <w:t>projects</w:t>
      </w:r>
      <w:r w:rsidR="00A20A48">
        <w:t>:</w:t>
      </w:r>
    </w:p>
    <w:p w14:paraId="03FD64C2" w14:textId="77777777" w:rsidR="00F56A5F" w:rsidRDefault="00F56A5F" w:rsidP="0040606B">
      <w:pPr>
        <w:spacing w:line="480" w:lineRule="auto"/>
      </w:pPr>
    </w:p>
    <w:p w14:paraId="31BDEDA5" w14:textId="16F173CA" w:rsidR="00A84B27" w:rsidRPr="00EE3BCF" w:rsidRDefault="00A84B27" w:rsidP="0040606B">
      <w:pPr>
        <w:spacing w:line="480" w:lineRule="auto"/>
        <w:rPr>
          <w:i/>
          <w:iCs/>
        </w:rPr>
      </w:pPr>
      <w:r w:rsidRPr="00EE3BCF">
        <w:rPr>
          <w:i/>
          <w:iCs/>
        </w:rPr>
        <w:t xml:space="preserve">Projects </w:t>
      </w:r>
      <w:r w:rsidR="007631A8" w:rsidRPr="00EE3BCF">
        <w:rPr>
          <w:i/>
          <w:iCs/>
        </w:rPr>
        <w:t xml:space="preserve">are </w:t>
      </w:r>
      <w:r w:rsidRPr="00EE3BCF">
        <w:rPr>
          <w:i/>
          <w:iCs/>
        </w:rPr>
        <w:t>designed with a</w:t>
      </w:r>
      <w:r w:rsidR="00532C75" w:rsidRPr="00EE3BCF">
        <w:rPr>
          <w:i/>
          <w:iCs/>
        </w:rPr>
        <w:t xml:space="preserve"> detailed</w:t>
      </w:r>
      <w:r w:rsidR="007D3DF8" w:rsidRPr="00EE3BCF">
        <w:rPr>
          <w:i/>
          <w:iCs/>
        </w:rPr>
        <w:t xml:space="preserve"> </w:t>
      </w:r>
      <w:r w:rsidR="007631A8" w:rsidRPr="00EE3BCF">
        <w:rPr>
          <w:i/>
          <w:iCs/>
        </w:rPr>
        <w:t>understanding o</w:t>
      </w:r>
      <w:r w:rsidR="007D3DF8" w:rsidRPr="00EE3BCF">
        <w:rPr>
          <w:i/>
          <w:iCs/>
        </w:rPr>
        <w:t>f</w:t>
      </w:r>
      <w:r w:rsidR="00532C75" w:rsidRPr="00EE3BCF">
        <w:rPr>
          <w:i/>
          <w:iCs/>
        </w:rPr>
        <w:t xml:space="preserve"> the</w:t>
      </w:r>
      <w:r w:rsidR="007D3DF8" w:rsidRPr="00EE3BCF">
        <w:rPr>
          <w:i/>
          <w:iCs/>
        </w:rPr>
        <w:t xml:space="preserve"> </w:t>
      </w:r>
      <w:r w:rsidRPr="00EE3BCF">
        <w:rPr>
          <w:i/>
          <w:iCs/>
        </w:rPr>
        <w:t>community</w:t>
      </w:r>
      <w:r w:rsidR="00532C75" w:rsidRPr="00EE3BCF">
        <w:rPr>
          <w:i/>
          <w:iCs/>
        </w:rPr>
        <w:t xml:space="preserve"> they seek to support</w:t>
      </w:r>
    </w:p>
    <w:p w14:paraId="5E528E0F" w14:textId="2A113C13" w:rsidR="00A84B27" w:rsidRDefault="007D3DF8" w:rsidP="0040606B">
      <w:pPr>
        <w:spacing w:line="480" w:lineRule="auto"/>
      </w:pPr>
      <w:r>
        <w:t>P</w:t>
      </w:r>
      <w:r w:rsidR="00A84B27">
        <w:t xml:space="preserve">rojects that were designed with an understanding of the target community were more likely to </w:t>
      </w:r>
      <w:r w:rsidR="007631A8">
        <w:t>be trusted by</w:t>
      </w:r>
      <w:r w:rsidR="00A84B27">
        <w:t xml:space="preserve"> </w:t>
      </w:r>
      <w:r w:rsidR="007631A8">
        <w:t xml:space="preserve">group </w:t>
      </w:r>
      <w:r w:rsidR="00A84B27">
        <w:t>members</w:t>
      </w:r>
      <w:r w:rsidR="00107118">
        <w:t xml:space="preserve"> and</w:t>
      </w:r>
      <w:r w:rsidR="00A84B27">
        <w:t xml:space="preserve"> </w:t>
      </w:r>
      <w:r w:rsidR="007631A8">
        <w:t xml:space="preserve">be relevant to </w:t>
      </w:r>
      <w:proofErr w:type="gramStart"/>
      <w:r w:rsidR="007631A8">
        <w:t>them,</w:t>
      </w:r>
      <w:r w:rsidR="00532C75">
        <w:t xml:space="preserve"> and</w:t>
      </w:r>
      <w:proofErr w:type="gramEnd"/>
      <w:r w:rsidR="00532C75">
        <w:t xml:space="preserve"> were thus more likely to</w:t>
      </w:r>
      <w:r w:rsidR="00EE1EAC">
        <w:t xml:space="preserve"> be well received</w:t>
      </w:r>
      <w:r w:rsidR="00A84B27">
        <w:t xml:space="preserve">. Projects </w:t>
      </w:r>
      <w:r w:rsidR="007E0C2B">
        <w:t>str</w:t>
      </w:r>
      <w:r w:rsidR="00F101A7">
        <w:t>u</w:t>
      </w:r>
      <w:r w:rsidR="007E0C2B">
        <w:t>ggled</w:t>
      </w:r>
      <w:r w:rsidR="00A84B27">
        <w:t xml:space="preserve"> where there was less </w:t>
      </w:r>
      <w:r w:rsidR="00532C75">
        <w:t>understanding</w:t>
      </w:r>
      <w:r w:rsidR="00A84B27">
        <w:t xml:space="preserve">, </w:t>
      </w:r>
      <w:r w:rsidR="007E0C2B">
        <w:t>e.g.</w:t>
      </w:r>
      <w:r w:rsidR="00A84B27">
        <w:t xml:space="preserve"> where people were brought in from outside the community </w:t>
      </w:r>
      <w:r w:rsidR="00532C75">
        <w:t xml:space="preserve">group </w:t>
      </w:r>
      <w:r w:rsidR="00A84B27">
        <w:t xml:space="preserve">to manage the project. </w:t>
      </w:r>
      <w:r w:rsidR="007E0C2B">
        <w:t>As o</w:t>
      </w:r>
      <w:r w:rsidR="00A84B27">
        <w:t>ne participant reflected:</w:t>
      </w:r>
    </w:p>
    <w:p w14:paraId="7A91F7C5" w14:textId="77777777" w:rsidR="00F56A5F" w:rsidRDefault="00F56A5F" w:rsidP="0040606B">
      <w:pPr>
        <w:spacing w:line="480" w:lineRule="auto"/>
      </w:pPr>
    </w:p>
    <w:p w14:paraId="22C046BC" w14:textId="0C5C94B1" w:rsidR="00A84B27" w:rsidRDefault="00A84B27" w:rsidP="0040606B">
      <w:pPr>
        <w:spacing w:line="480" w:lineRule="auto"/>
        <w:rPr>
          <w:rFonts w:cstheme="minorHAnsi"/>
          <w:i/>
          <w:iCs/>
        </w:rPr>
      </w:pPr>
      <w:r>
        <w:rPr>
          <w:rFonts w:cstheme="minorHAnsi"/>
          <w:i/>
          <w:iCs/>
        </w:rPr>
        <w:t>‘</w:t>
      </w:r>
      <w:r w:rsidRPr="00362968">
        <w:rPr>
          <w:rFonts w:cstheme="minorHAnsi"/>
          <w:i/>
          <w:iCs/>
        </w:rPr>
        <w:t>Things haven</w:t>
      </w:r>
      <w:r>
        <w:rPr>
          <w:rFonts w:cstheme="minorHAnsi"/>
          <w:i/>
          <w:iCs/>
        </w:rPr>
        <w:t>’</w:t>
      </w:r>
      <w:r w:rsidRPr="00362968">
        <w:rPr>
          <w:rFonts w:cstheme="minorHAnsi"/>
          <w:i/>
          <w:iCs/>
        </w:rPr>
        <w:t>t quite worked out as I hoped they would, partly because I</w:t>
      </w:r>
      <w:r>
        <w:rPr>
          <w:rFonts w:cstheme="minorHAnsi"/>
          <w:i/>
          <w:iCs/>
        </w:rPr>
        <w:t>’</w:t>
      </w:r>
      <w:r w:rsidRPr="00362968">
        <w:rPr>
          <w:rFonts w:cstheme="minorHAnsi"/>
          <w:i/>
          <w:iCs/>
        </w:rPr>
        <w:t>m not familiar with [</w:t>
      </w:r>
      <w:r>
        <w:rPr>
          <w:rFonts w:cstheme="minorHAnsi"/>
          <w:i/>
          <w:iCs/>
        </w:rPr>
        <w:t xml:space="preserve">the </w:t>
      </w:r>
      <w:proofErr w:type="gramStart"/>
      <w:r>
        <w:rPr>
          <w:rFonts w:cstheme="minorHAnsi"/>
          <w:i/>
          <w:iCs/>
        </w:rPr>
        <w:t>group</w:t>
      </w:r>
      <w:r w:rsidRPr="00362968">
        <w:rPr>
          <w:rFonts w:cstheme="minorHAnsi"/>
          <w:i/>
          <w:iCs/>
        </w:rPr>
        <w:t>]…</w:t>
      </w:r>
      <w:proofErr w:type="gramEnd"/>
      <w:r w:rsidRPr="00362968">
        <w:rPr>
          <w:rFonts w:cstheme="minorHAnsi"/>
          <w:i/>
          <w:iCs/>
        </w:rPr>
        <w:t xml:space="preserve"> it</w:t>
      </w:r>
      <w:r>
        <w:rPr>
          <w:rFonts w:cstheme="minorHAnsi"/>
          <w:i/>
          <w:iCs/>
        </w:rPr>
        <w:t>’</w:t>
      </w:r>
      <w:r w:rsidRPr="00362968">
        <w:rPr>
          <w:rFonts w:cstheme="minorHAnsi"/>
          <w:i/>
          <w:iCs/>
        </w:rPr>
        <w:t>s trying to work out what I can achieve…</w:t>
      </w:r>
      <w:r w:rsidR="00532C75">
        <w:rPr>
          <w:rFonts w:cstheme="minorHAnsi"/>
          <w:i/>
          <w:iCs/>
        </w:rPr>
        <w:t>,</w:t>
      </w:r>
      <w:r w:rsidRPr="00362968">
        <w:rPr>
          <w:rFonts w:cstheme="minorHAnsi"/>
          <w:i/>
          <w:iCs/>
        </w:rPr>
        <w:t xml:space="preserve"> bearing in mind that there are </w:t>
      </w:r>
      <w:r>
        <w:rPr>
          <w:rFonts w:cstheme="minorHAnsi"/>
          <w:i/>
          <w:iCs/>
        </w:rPr>
        <w:t>over fifty</w:t>
      </w:r>
      <w:r w:rsidRPr="00362968">
        <w:rPr>
          <w:rFonts w:cstheme="minorHAnsi"/>
          <w:i/>
          <w:iCs/>
        </w:rPr>
        <w:t xml:space="preserve"> volunteers involved</w:t>
      </w:r>
      <w:r>
        <w:rPr>
          <w:rFonts w:cstheme="minorHAnsi"/>
          <w:i/>
          <w:iCs/>
        </w:rPr>
        <w:t>.’</w:t>
      </w:r>
      <w:r w:rsidRPr="00362968">
        <w:rPr>
          <w:rFonts w:cstheme="minorHAnsi"/>
          <w:i/>
          <w:iCs/>
        </w:rPr>
        <w:t xml:space="preserve"> (CAC6R 2)</w:t>
      </w:r>
    </w:p>
    <w:p w14:paraId="28473F3B" w14:textId="77777777" w:rsidR="00A84B27" w:rsidRDefault="00A84B27" w:rsidP="0040606B">
      <w:pPr>
        <w:spacing w:line="480" w:lineRule="auto"/>
        <w:rPr>
          <w:rFonts w:cstheme="minorHAnsi"/>
          <w:i/>
          <w:iCs/>
        </w:rPr>
      </w:pPr>
    </w:p>
    <w:p w14:paraId="23510893" w14:textId="2D74311F" w:rsidR="00107118" w:rsidRPr="004D02A7" w:rsidRDefault="00107118" w:rsidP="0040606B">
      <w:pPr>
        <w:spacing w:line="480" w:lineRule="auto"/>
        <w:rPr>
          <w:i/>
          <w:iCs/>
        </w:rPr>
      </w:pPr>
      <w:r w:rsidRPr="004D02A7">
        <w:rPr>
          <w:i/>
          <w:iCs/>
        </w:rPr>
        <w:t xml:space="preserve">Projects are </w:t>
      </w:r>
      <w:r w:rsidR="001D0C2F" w:rsidRPr="004D02A7">
        <w:rPr>
          <w:i/>
          <w:iCs/>
        </w:rPr>
        <w:t>well-planned in advance of delivery</w:t>
      </w:r>
    </w:p>
    <w:p w14:paraId="472C2391" w14:textId="035553A0" w:rsidR="00B77DD4" w:rsidRDefault="001D0C2F" w:rsidP="0040606B">
      <w:pPr>
        <w:spacing w:line="480" w:lineRule="auto"/>
      </w:pPr>
      <w:r>
        <w:t>C</w:t>
      </w:r>
      <w:r w:rsidR="00B77DD4">
        <w:t xml:space="preserve">ancer messages were </w:t>
      </w:r>
      <w:r>
        <w:t xml:space="preserve">more likely to be </w:t>
      </w:r>
      <w:r w:rsidR="00B77DD4">
        <w:t xml:space="preserve">received effectively by group members if the projects </w:t>
      </w:r>
      <w:r w:rsidR="00B77DD4" w:rsidRPr="00934DB4">
        <w:t>were planned</w:t>
      </w:r>
      <w:r>
        <w:t xml:space="preserve"> </w:t>
      </w:r>
      <w:r w:rsidR="00532C75">
        <w:t xml:space="preserve">effectively </w:t>
      </w:r>
      <w:r>
        <w:t>in advance of delivery</w:t>
      </w:r>
      <w:r w:rsidR="00B77DD4">
        <w:t xml:space="preserve">. </w:t>
      </w:r>
      <w:r w:rsidR="00B77DD4" w:rsidRPr="00934DB4">
        <w:t>For many applicants, this involve</w:t>
      </w:r>
      <w:r w:rsidR="00532C75">
        <w:t>d</w:t>
      </w:r>
      <w:r w:rsidR="00B77DD4">
        <w:t xml:space="preserve"> </w:t>
      </w:r>
      <w:r w:rsidR="00B77DD4" w:rsidRPr="00934DB4">
        <w:t>research</w:t>
      </w:r>
      <w:r>
        <w:t>ing</w:t>
      </w:r>
      <w:r w:rsidR="00B77DD4" w:rsidRPr="00934DB4">
        <w:t xml:space="preserve"> and liais</w:t>
      </w:r>
      <w:r>
        <w:t>ing</w:t>
      </w:r>
      <w:r w:rsidR="00B77DD4" w:rsidRPr="00934DB4">
        <w:t xml:space="preserve"> with experts to develop </w:t>
      </w:r>
      <w:r w:rsidR="00532C75">
        <w:t xml:space="preserve">an engagement strategy, </w:t>
      </w:r>
      <w:r w:rsidR="00B77DD4" w:rsidRPr="00934DB4">
        <w:t>resources and materials: ‘</w:t>
      </w:r>
      <w:r w:rsidR="00B77DD4" w:rsidRPr="00E948F3">
        <w:rPr>
          <w:i/>
          <w:iCs/>
        </w:rPr>
        <w:t xml:space="preserve">I had to do quite a lot of digging to find resources specifically for people with learning disabilities… We shouldn’t necessarily just expect them to be out there, but </w:t>
      </w:r>
      <w:proofErr w:type="gramStart"/>
      <w:r w:rsidR="00B77DD4" w:rsidRPr="00E948F3">
        <w:rPr>
          <w:i/>
          <w:iCs/>
        </w:rPr>
        <w:t>actually they</w:t>
      </w:r>
      <w:proofErr w:type="gramEnd"/>
      <w:r w:rsidR="00B77DD4" w:rsidRPr="00E948F3">
        <w:rPr>
          <w:i/>
          <w:iCs/>
        </w:rPr>
        <w:t xml:space="preserve"> weren’t easy to come by.’</w:t>
      </w:r>
      <w:r w:rsidR="00B77DD4" w:rsidRPr="00934DB4">
        <w:t xml:space="preserve"> (CAC25R 1)</w:t>
      </w:r>
      <w:r w:rsidR="00B77DD4">
        <w:t xml:space="preserve">. It was evident that </w:t>
      </w:r>
      <w:r>
        <w:t xml:space="preserve">those with </w:t>
      </w:r>
      <w:r w:rsidR="00B77DD4">
        <w:t>a considered project desig</w:t>
      </w:r>
      <w:r>
        <w:t>n</w:t>
      </w:r>
      <w:r w:rsidR="00B77DD4">
        <w:t xml:space="preserve"> w</w:t>
      </w:r>
      <w:r>
        <w:t>ere</w:t>
      </w:r>
      <w:r w:rsidR="00B77DD4">
        <w:t xml:space="preserve"> more likely to succeed.</w:t>
      </w:r>
    </w:p>
    <w:p w14:paraId="056352B3" w14:textId="77777777" w:rsidR="00B77DD4" w:rsidRDefault="00B77DD4" w:rsidP="0040606B">
      <w:pPr>
        <w:spacing w:line="480" w:lineRule="auto"/>
        <w:rPr>
          <w:rFonts w:cstheme="minorHAnsi"/>
          <w:i/>
          <w:iCs/>
        </w:rPr>
      </w:pPr>
    </w:p>
    <w:p w14:paraId="45938FF6" w14:textId="746C7278" w:rsidR="00D32E7F" w:rsidRPr="004D02A7" w:rsidRDefault="00D32E7F" w:rsidP="0040606B">
      <w:pPr>
        <w:spacing w:line="480" w:lineRule="auto"/>
        <w:rPr>
          <w:i/>
          <w:iCs/>
        </w:rPr>
      </w:pPr>
      <w:r w:rsidRPr="004D02A7">
        <w:rPr>
          <w:i/>
          <w:iCs/>
        </w:rPr>
        <w:t xml:space="preserve">Projects </w:t>
      </w:r>
      <w:r w:rsidR="007631A8" w:rsidRPr="004D02A7">
        <w:rPr>
          <w:i/>
          <w:iCs/>
        </w:rPr>
        <w:t xml:space="preserve">are </w:t>
      </w:r>
      <w:r w:rsidR="001D0C2F" w:rsidRPr="004D02A7">
        <w:rPr>
          <w:i/>
          <w:iCs/>
        </w:rPr>
        <w:t>co-created with</w:t>
      </w:r>
      <w:r w:rsidRPr="004D02A7">
        <w:rPr>
          <w:i/>
          <w:iCs/>
        </w:rPr>
        <w:t xml:space="preserve"> trusted community members</w:t>
      </w:r>
      <w:r w:rsidR="007631A8" w:rsidRPr="004D02A7">
        <w:rPr>
          <w:i/>
          <w:iCs/>
        </w:rPr>
        <w:t xml:space="preserve"> or partners</w:t>
      </w:r>
    </w:p>
    <w:p w14:paraId="1198E7C6" w14:textId="1B382E93" w:rsidR="007631A8" w:rsidRDefault="001D0C2F" w:rsidP="0040606B">
      <w:pPr>
        <w:spacing w:line="480" w:lineRule="auto"/>
      </w:pPr>
      <w:r>
        <w:t>P</w:t>
      </w:r>
      <w:r w:rsidR="00DA31E4">
        <w:t xml:space="preserve">rojects </w:t>
      </w:r>
      <w:r>
        <w:t>were more</w:t>
      </w:r>
      <w:r w:rsidR="00532C75">
        <w:t xml:space="preserve"> </w:t>
      </w:r>
      <w:r w:rsidR="00EE1EAC">
        <w:t xml:space="preserve">likely to be better received </w:t>
      </w:r>
      <w:r>
        <w:t xml:space="preserve">if they were co-created with </w:t>
      </w:r>
      <w:r w:rsidR="007631A8">
        <w:t xml:space="preserve">community members or partners </w:t>
      </w:r>
      <w:r w:rsidR="00DA31E4">
        <w:t xml:space="preserve">who </w:t>
      </w:r>
      <w:r w:rsidR="007631A8">
        <w:t xml:space="preserve">were </w:t>
      </w:r>
      <w:r w:rsidR="00D32E7F">
        <w:t xml:space="preserve">seen </w:t>
      </w:r>
      <w:r>
        <w:t xml:space="preserve">to be </w:t>
      </w:r>
      <w:r w:rsidR="00D32E7F">
        <w:t xml:space="preserve">trustworthy, reputable and credible. </w:t>
      </w:r>
      <w:r w:rsidR="009742EF">
        <w:t xml:space="preserve">This was </w:t>
      </w:r>
      <w:r w:rsidR="009742EF">
        <w:lastRenderedPageBreak/>
        <w:t>particularly important for</w:t>
      </w:r>
      <w:r w:rsidR="00DA31E4">
        <w:t xml:space="preserve"> </w:t>
      </w:r>
      <w:proofErr w:type="gramStart"/>
      <w:r w:rsidR="00DA31E4">
        <w:t>new</w:t>
      </w:r>
      <w:r w:rsidR="009742EF">
        <w:t>ly-established</w:t>
      </w:r>
      <w:proofErr w:type="gramEnd"/>
      <w:r w:rsidR="00DA31E4">
        <w:t xml:space="preserve"> groups w</w:t>
      </w:r>
      <w:r w:rsidR="009742EF">
        <w:t>here collaborations with</w:t>
      </w:r>
      <w:r w:rsidR="00DA31E4">
        <w:t xml:space="preserve"> </w:t>
      </w:r>
      <w:r w:rsidR="00D32E7F">
        <w:t xml:space="preserve">well-known and trusted </w:t>
      </w:r>
      <w:r w:rsidR="00DA31E4">
        <w:t>representative</w:t>
      </w:r>
      <w:r w:rsidR="007E0C2B">
        <w:t>s</w:t>
      </w:r>
      <w:r w:rsidR="00532C75">
        <w:t xml:space="preserve"> helped build </w:t>
      </w:r>
      <w:r w:rsidR="00740595">
        <w:t>trust and credibility</w:t>
      </w:r>
      <w:r w:rsidR="00D32E7F">
        <w:t>.</w:t>
      </w:r>
      <w:r w:rsidR="007631A8">
        <w:t xml:space="preserve"> </w:t>
      </w:r>
      <w:r w:rsidR="007631A8" w:rsidRPr="00401387">
        <w:t xml:space="preserve">One </w:t>
      </w:r>
      <w:r w:rsidR="009742EF">
        <w:t xml:space="preserve">successful </w:t>
      </w:r>
      <w:r w:rsidR="007631A8" w:rsidRPr="00401387">
        <w:t xml:space="preserve">project, creating digital resources on cancer screening for people with learning disabilities or neurodiversity, ensured all stages of the project were co-created: </w:t>
      </w:r>
    </w:p>
    <w:p w14:paraId="11E95DEF" w14:textId="77777777" w:rsidR="00740595" w:rsidRPr="00401387" w:rsidRDefault="00740595" w:rsidP="0040606B">
      <w:pPr>
        <w:spacing w:line="480" w:lineRule="auto"/>
      </w:pPr>
    </w:p>
    <w:p w14:paraId="32005319" w14:textId="0BDE6467" w:rsidR="007631A8" w:rsidRDefault="007631A8" w:rsidP="0040606B">
      <w:pPr>
        <w:spacing w:line="480" w:lineRule="auto"/>
      </w:pPr>
      <w:r w:rsidRPr="00401387">
        <w:rPr>
          <w:i/>
          <w:iCs/>
        </w:rPr>
        <w:t>‘our film producers are all disabled or autistic so they’re bringing the lived experience into it in terms of the areas that might raise anxiety for someone going along to breast screening</w:t>
      </w:r>
      <w:r w:rsidR="00740595">
        <w:rPr>
          <w:i/>
          <w:iCs/>
        </w:rPr>
        <w:t>.</w:t>
      </w:r>
      <w:r w:rsidRPr="00401387">
        <w:rPr>
          <w:i/>
          <w:iCs/>
        </w:rPr>
        <w:t>’</w:t>
      </w:r>
      <w:r w:rsidRPr="00401387">
        <w:t xml:space="preserve"> (CAC3A</w:t>
      </w:r>
      <w:r w:rsidR="004D02A7">
        <w:t xml:space="preserve"> </w:t>
      </w:r>
      <w:r w:rsidRPr="00401387">
        <w:t>1)</w:t>
      </w:r>
    </w:p>
    <w:p w14:paraId="42CCE690" w14:textId="77777777" w:rsidR="003A6364" w:rsidRPr="00401387" w:rsidRDefault="003A6364" w:rsidP="0040606B">
      <w:pPr>
        <w:spacing w:line="480" w:lineRule="auto"/>
      </w:pPr>
    </w:p>
    <w:p w14:paraId="4F597F68" w14:textId="7B73B183" w:rsidR="00D948BB" w:rsidRPr="004D02A7" w:rsidRDefault="009742EF" w:rsidP="0040606B">
      <w:pPr>
        <w:spacing w:line="480" w:lineRule="auto"/>
        <w:rPr>
          <w:i/>
          <w:iCs/>
        </w:rPr>
      </w:pPr>
      <w:r w:rsidRPr="004D02A7">
        <w:rPr>
          <w:i/>
          <w:iCs/>
        </w:rPr>
        <w:t xml:space="preserve">Aligning </w:t>
      </w:r>
      <w:r w:rsidRPr="004D02A7">
        <w:rPr>
          <w:rFonts w:cstheme="minorHAnsi"/>
          <w:i/>
          <w:iCs/>
        </w:rPr>
        <w:t>p</w:t>
      </w:r>
      <w:r w:rsidR="00A84B27" w:rsidRPr="004D02A7">
        <w:rPr>
          <w:rFonts w:cstheme="minorHAnsi"/>
          <w:i/>
          <w:iCs/>
        </w:rPr>
        <w:t xml:space="preserve">rojects with </w:t>
      </w:r>
      <w:r w:rsidRPr="004D02A7">
        <w:rPr>
          <w:rFonts w:cstheme="minorHAnsi"/>
          <w:i/>
          <w:iCs/>
        </w:rPr>
        <w:t xml:space="preserve">established </w:t>
      </w:r>
      <w:r w:rsidR="00A84B27" w:rsidRPr="004D02A7">
        <w:rPr>
          <w:rFonts w:cstheme="minorHAnsi"/>
          <w:i/>
          <w:iCs/>
        </w:rPr>
        <w:t xml:space="preserve">community </w:t>
      </w:r>
      <w:r w:rsidR="00D948BB" w:rsidRPr="004D02A7">
        <w:rPr>
          <w:i/>
          <w:iCs/>
        </w:rPr>
        <w:t>group values</w:t>
      </w:r>
      <w:r w:rsidR="00635DEB" w:rsidRPr="004D02A7">
        <w:rPr>
          <w:i/>
          <w:iCs/>
        </w:rPr>
        <w:t xml:space="preserve"> and activities</w:t>
      </w:r>
    </w:p>
    <w:p w14:paraId="3168D1A6" w14:textId="26E621C2" w:rsidR="00FF02C7" w:rsidRPr="004D02A7" w:rsidRDefault="009742EF" w:rsidP="0040606B">
      <w:pPr>
        <w:spacing w:line="480" w:lineRule="auto"/>
        <w:rPr>
          <w:rFonts w:cstheme="minorHAnsi"/>
          <w:i/>
          <w:iCs/>
        </w:rPr>
      </w:pPr>
      <w:r>
        <w:t>P</w:t>
      </w:r>
      <w:r w:rsidR="003E52BB">
        <w:t xml:space="preserve">rojects </w:t>
      </w:r>
      <w:r w:rsidR="00D948BB">
        <w:t xml:space="preserve">were more likely to </w:t>
      </w:r>
      <w:r w:rsidR="00D948BB" w:rsidRPr="006C77E5">
        <w:t>succeed</w:t>
      </w:r>
      <w:r w:rsidR="00D948BB">
        <w:t xml:space="preserve"> if they were aligned to the</w:t>
      </w:r>
      <w:r w:rsidR="00901807">
        <w:t xml:space="preserve"> </w:t>
      </w:r>
      <w:r w:rsidR="00D948BB">
        <w:t xml:space="preserve">interests of </w:t>
      </w:r>
      <w:r w:rsidR="00237A1D">
        <w:t>the community</w:t>
      </w:r>
      <w:r w:rsidR="00D948BB">
        <w:t xml:space="preserve"> group. </w:t>
      </w:r>
      <w:r w:rsidR="00901807">
        <w:rPr>
          <w:rFonts w:cstheme="minorHAnsi"/>
        </w:rPr>
        <w:t>C</w:t>
      </w:r>
      <w:r w:rsidR="00D948BB">
        <w:rPr>
          <w:rFonts w:cstheme="minorHAnsi"/>
        </w:rPr>
        <w:t xml:space="preserve">ommunity group </w:t>
      </w:r>
      <w:r w:rsidR="00D948BB" w:rsidRPr="006C77E5">
        <w:rPr>
          <w:rFonts w:cstheme="minorHAnsi"/>
        </w:rPr>
        <w:t>leaders</w:t>
      </w:r>
      <w:r w:rsidRPr="006C77E5">
        <w:rPr>
          <w:rFonts w:cstheme="minorHAnsi"/>
        </w:rPr>
        <w:t xml:space="preserve"> of </w:t>
      </w:r>
      <w:r w:rsidR="00901807" w:rsidRPr="006C77E5">
        <w:rPr>
          <w:rFonts w:cstheme="minorHAnsi"/>
        </w:rPr>
        <w:t>successful projects</w:t>
      </w:r>
      <w:r w:rsidR="00D948BB">
        <w:rPr>
          <w:rFonts w:cstheme="minorHAnsi"/>
        </w:rPr>
        <w:t xml:space="preserve"> </w:t>
      </w:r>
      <w:r w:rsidR="001D741B">
        <w:rPr>
          <w:rFonts w:cstheme="minorHAnsi"/>
        </w:rPr>
        <w:t xml:space="preserve">often </w:t>
      </w:r>
      <w:r w:rsidR="00D948BB">
        <w:rPr>
          <w:rFonts w:cstheme="minorHAnsi"/>
        </w:rPr>
        <w:t xml:space="preserve">saw the cancer-messaging as part of a wider programme of activity </w:t>
      </w:r>
      <w:r w:rsidR="00740595">
        <w:rPr>
          <w:rFonts w:cstheme="minorHAnsi"/>
        </w:rPr>
        <w:t xml:space="preserve">and engagement </w:t>
      </w:r>
      <w:r w:rsidR="00D948BB">
        <w:rPr>
          <w:rFonts w:cstheme="minorHAnsi"/>
        </w:rPr>
        <w:t>and not something</w:t>
      </w:r>
      <w:r w:rsidR="00635DEB">
        <w:rPr>
          <w:rFonts w:cstheme="minorHAnsi"/>
        </w:rPr>
        <w:t xml:space="preserve"> to be</w:t>
      </w:r>
      <w:r w:rsidR="00D948BB">
        <w:rPr>
          <w:rFonts w:cstheme="minorHAnsi"/>
        </w:rPr>
        <w:t xml:space="preserve"> delivered </w:t>
      </w:r>
      <w:r w:rsidR="00740595">
        <w:rPr>
          <w:rFonts w:cstheme="minorHAnsi"/>
        </w:rPr>
        <w:t xml:space="preserve">as a ‘bolt-on’, </w:t>
      </w:r>
      <w:r w:rsidR="00D948BB">
        <w:rPr>
          <w:rFonts w:cstheme="minorHAnsi"/>
        </w:rPr>
        <w:t>within the confines of the grant period</w:t>
      </w:r>
      <w:r w:rsidR="00DC6C4F">
        <w:rPr>
          <w:rFonts w:cstheme="minorHAnsi"/>
        </w:rPr>
        <w:t xml:space="preserve">. </w:t>
      </w:r>
      <w:r w:rsidR="00B257EE">
        <w:rPr>
          <w:rFonts w:cstheme="minorHAnsi"/>
        </w:rPr>
        <w:t xml:space="preserve">Successful </w:t>
      </w:r>
      <w:r w:rsidR="00901807">
        <w:rPr>
          <w:rFonts w:cstheme="minorHAnsi"/>
        </w:rPr>
        <w:t>projects</w:t>
      </w:r>
      <w:r w:rsidR="00B257EE">
        <w:rPr>
          <w:rFonts w:cstheme="minorHAnsi"/>
        </w:rPr>
        <w:t xml:space="preserve"> were </w:t>
      </w:r>
      <w:r w:rsidR="00901807">
        <w:rPr>
          <w:rFonts w:cstheme="minorHAnsi"/>
        </w:rPr>
        <w:t>also more likely to</w:t>
      </w:r>
      <w:r w:rsidR="003E52BB">
        <w:rPr>
          <w:rFonts w:cstheme="minorHAnsi"/>
        </w:rPr>
        <w:t xml:space="preserve"> integrate</w:t>
      </w:r>
      <w:r w:rsidR="00DC6C4F">
        <w:rPr>
          <w:rFonts w:cstheme="minorHAnsi"/>
        </w:rPr>
        <w:t xml:space="preserve"> well into</w:t>
      </w:r>
      <w:r w:rsidR="003E52BB">
        <w:rPr>
          <w:rFonts w:cstheme="minorHAnsi"/>
        </w:rPr>
        <w:t xml:space="preserve"> </w:t>
      </w:r>
      <w:r w:rsidR="00B257EE">
        <w:rPr>
          <w:rFonts w:cstheme="minorHAnsi"/>
        </w:rPr>
        <w:t xml:space="preserve">existing processes, routines </w:t>
      </w:r>
      <w:r w:rsidR="003E52BB">
        <w:rPr>
          <w:rFonts w:cstheme="minorHAnsi"/>
        </w:rPr>
        <w:t>and formats of community activities</w:t>
      </w:r>
      <w:r w:rsidR="00B257EE">
        <w:rPr>
          <w:rFonts w:cstheme="minorHAnsi"/>
        </w:rPr>
        <w:t xml:space="preserve">. </w:t>
      </w:r>
      <w:r w:rsidR="00FF02C7">
        <w:rPr>
          <w:rFonts w:cstheme="minorHAnsi"/>
        </w:rPr>
        <w:t xml:space="preserve">For example, </w:t>
      </w:r>
      <w:proofErr w:type="gramStart"/>
      <w:r w:rsidR="00FF02C7">
        <w:rPr>
          <w:rFonts w:cstheme="minorHAnsi"/>
        </w:rPr>
        <w:t>a number of</w:t>
      </w:r>
      <w:proofErr w:type="gramEnd"/>
      <w:r w:rsidR="00FF02C7">
        <w:rPr>
          <w:rFonts w:cstheme="minorHAnsi"/>
        </w:rPr>
        <w:t xml:space="preserve"> CAC-related activities were timed to coincide with weekly radio shows, </w:t>
      </w:r>
      <w:r w:rsidR="00740595">
        <w:rPr>
          <w:rFonts w:cstheme="minorHAnsi"/>
        </w:rPr>
        <w:t>regular</w:t>
      </w:r>
      <w:r w:rsidR="00FF02C7">
        <w:rPr>
          <w:rFonts w:cstheme="minorHAnsi"/>
        </w:rPr>
        <w:t xml:space="preserve"> meetings and annual festivals</w:t>
      </w:r>
      <w:r w:rsidR="00740595">
        <w:rPr>
          <w:rFonts w:cstheme="minorHAnsi"/>
        </w:rPr>
        <w:t>, thus</w:t>
      </w:r>
      <w:r w:rsidR="00FF02C7">
        <w:rPr>
          <w:rFonts w:cstheme="minorHAnsi"/>
        </w:rPr>
        <w:t xml:space="preserve"> capitali</w:t>
      </w:r>
      <w:r w:rsidR="00740595">
        <w:rPr>
          <w:rFonts w:cstheme="minorHAnsi"/>
        </w:rPr>
        <w:t>sing</w:t>
      </w:r>
      <w:r w:rsidR="00FF02C7">
        <w:rPr>
          <w:rFonts w:cstheme="minorHAnsi"/>
        </w:rPr>
        <w:t xml:space="preserve"> on structures already familiar </w:t>
      </w:r>
      <w:r w:rsidR="00740595">
        <w:rPr>
          <w:rFonts w:cstheme="minorHAnsi"/>
        </w:rPr>
        <w:t>to</w:t>
      </w:r>
      <w:r w:rsidR="00FF02C7">
        <w:rPr>
          <w:rFonts w:cstheme="minorHAnsi"/>
        </w:rPr>
        <w:t xml:space="preserve"> </w:t>
      </w:r>
      <w:r w:rsidR="00FF02C7" w:rsidRPr="00FF02C7">
        <w:rPr>
          <w:rFonts w:cstheme="minorHAnsi"/>
        </w:rPr>
        <w:t>community members</w:t>
      </w:r>
      <w:r w:rsidR="004D02A7">
        <w:rPr>
          <w:rFonts w:cstheme="minorHAnsi"/>
        </w:rPr>
        <w:t>.</w:t>
      </w:r>
    </w:p>
    <w:p w14:paraId="79105E22" w14:textId="77777777" w:rsidR="00740595" w:rsidRPr="00FF02C7" w:rsidRDefault="00740595" w:rsidP="0040606B">
      <w:pPr>
        <w:spacing w:line="480" w:lineRule="auto"/>
        <w:rPr>
          <w:rFonts w:cstheme="minorHAnsi"/>
        </w:rPr>
      </w:pPr>
    </w:p>
    <w:p w14:paraId="64C11263" w14:textId="25056799" w:rsidR="00882D70" w:rsidRPr="004D02A7" w:rsidRDefault="00740595" w:rsidP="0040606B">
      <w:pPr>
        <w:spacing w:line="480" w:lineRule="auto"/>
        <w:rPr>
          <w:i/>
          <w:iCs/>
        </w:rPr>
      </w:pPr>
      <w:r w:rsidRPr="004D02A7">
        <w:rPr>
          <w:i/>
          <w:iCs/>
        </w:rPr>
        <w:t>B</w:t>
      </w:r>
      <w:r w:rsidR="00882D70" w:rsidRPr="004D02A7">
        <w:rPr>
          <w:i/>
          <w:iCs/>
        </w:rPr>
        <w:t>uild</w:t>
      </w:r>
      <w:r w:rsidRPr="004D02A7">
        <w:rPr>
          <w:i/>
          <w:iCs/>
        </w:rPr>
        <w:t>ing</w:t>
      </w:r>
      <w:r w:rsidR="00882D70" w:rsidRPr="004D02A7">
        <w:rPr>
          <w:i/>
          <w:iCs/>
        </w:rPr>
        <w:t xml:space="preserve"> community members’ confidence</w:t>
      </w:r>
    </w:p>
    <w:p w14:paraId="5BCC00EE" w14:textId="2CFD63A9" w:rsidR="00882D70" w:rsidRDefault="00385493" w:rsidP="0040606B">
      <w:pPr>
        <w:spacing w:line="480" w:lineRule="auto"/>
      </w:pPr>
      <w:r>
        <w:t>Many</w:t>
      </w:r>
      <w:r w:rsidR="00882D70" w:rsidRPr="00094656">
        <w:t xml:space="preserve"> </w:t>
      </w:r>
      <w:r w:rsidR="00740595" w:rsidRPr="00F00D2D">
        <w:t>successful</w:t>
      </w:r>
      <w:r w:rsidR="00740595">
        <w:t xml:space="preserve"> </w:t>
      </w:r>
      <w:r w:rsidR="00882D70" w:rsidRPr="00094656">
        <w:t xml:space="preserve">CAC </w:t>
      </w:r>
      <w:r w:rsidR="00882D70">
        <w:t>funded projects</w:t>
      </w:r>
      <w:r w:rsidR="00882D70" w:rsidRPr="00094656">
        <w:t xml:space="preserve"> </w:t>
      </w:r>
      <w:r w:rsidR="00740595">
        <w:t xml:space="preserve">specifically </w:t>
      </w:r>
      <w:r w:rsidR="00882D70" w:rsidRPr="00094656">
        <w:t xml:space="preserve">aimed to </w:t>
      </w:r>
      <w:r w:rsidR="00882D70">
        <w:t>build</w:t>
      </w:r>
      <w:r w:rsidR="00232B28">
        <w:t xml:space="preserve"> member</w:t>
      </w:r>
      <w:r w:rsidR="00FA1977">
        <w:t>s’</w:t>
      </w:r>
      <w:r w:rsidR="00882D70">
        <w:t xml:space="preserve"> confidence</w:t>
      </w:r>
      <w:r w:rsidR="00232B28">
        <w:t xml:space="preserve"> in adopting he</w:t>
      </w:r>
      <w:r w:rsidR="00882D70">
        <w:rPr>
          <w:rFonts w:eastAsia="Calibri" w:cstheme="minorHAnsi"/>
        </w:rPr>
        <w:t xml:space="preserve">althy behaviours and </w:t>
      </w:r>
      <w:r w:rsidR="00232B28">
        <w:rPr>
          <w:rFonts w:eastAsia="Calibri" w:cstheme="minorHAnsi"/>
        </w:rPr>
        <w:t>seeking</w:t>
      </w:r>
      <w:r w:rsidR="00882D70">
        <w:rPr>
          <w:rFonts w:eastAsia="Calibri" w:cstheme="minorHAnsi"/>
        </w:rPr>
        <w:t xml:space="preserve"> help if needed.</w:t>
      </w:r>
      <w:r>
        <w:rPr>
          <w:rFonts w:eastAsia="Calibri" w:cstheme="minorHAnsi"/>
        </w:rPr>
        <w:t xml:space="preserve"> This was important for members of some communities for whom cultural</w:t>
      </w:r>
      <w:r w:rsidR="00C27056">
        <w:rPr>
          <w:rFonts w:eastAsia="Calibri" w:cstheme="minorHAnsi"/>
        </w:rPr>
        <w:t>, emotional,</w:t>
      </w:r>
      <w:r>
        <w:rPr>
          <w:rFonts w:eastAsia="Calibri" w:cstheme="minorHAnsi"/>
        </w:rPr>
        <w:t xml:space="preserve"> religious, financial and other barriers can </w:t>
      </w:r>
      <w:r w:rsidR="00232B28">
        <w:rPr>
          <w:rFonts w:eastAsia="Calibri" w:cstheme="minorHAnsi"/>
        </w:rPr>
        <w:t xml:space="preserve">undermine </w:t>
      </w:r>
      <w:r w:rsidR="00C27056">
        <w:rPr>
          <w:rFonts w:eastAsia="Calibri" w:cstheme="minorHAnsi"/>
        </w:rPr>
        <w:t xml:space="preserve">confidence </w:t>
      </w:r>
      <w:r w:rsidR="00BC5335">
        <w:rPr>
          <w:rFonts w:eastAsia="Calibri" w:cstheme="minorHAnsi"/>
        </w:rPr>
        <w:t>in</w:t>
      </w:r>
      <w:r w:rsidR="00C27056">
        <w:rPr>
          <w:rFonts w:eastAsia="Calibri" w:cstheme="minorHAnsi"/>
        </w:rPr>
        <w:t xml:space="preserve"> </w:t>
      </w:r>
      <w:r w:rsidR="004D02A7">
        <w:rPr>
          <w:rFonts w:eastAsia="Calibri" w:cstheme="minorHAnsi"/>
        </w:rPr>
        <w:t>chang</w:t>
      </w:r>
      <w:r w:rsidR="00BC5335">
        <w:rPr>
          <w:rFonts w:eastAsia="Calibri" w:cstheme="minorHAnsi"/>
        </w:rPr>
        <w:t>ing</w:t>
      </w:r>
      <w:r w:rsidR="00232B28">
        <w:rPr>
          <w:rFonts w:eastAsia="Calibri" w:cstheme="minorHAnsi"/>
        </w:rPr>
        <w:t xml:space="preserve"> behaviours</w:t>
      </w:r>
      <w:r w:rsidR="00C27056">
        <w:rPr>
          <w:rFonts w:eastAsia="Calibri" w:cstheme="minorHAnsi"/>
        </w:rPr>
        <w:t>.</w:t>
      </w:r>
      <w:r w:rsidR="00232B28">
        <w:t xml:space="preserve"> </w:t>
      </w:r>
      <w:r w:rsidR="00882D70">
        <w:t xml:space="preserve">The </w:t>
      </w:r>
      <w:r w:rsidR="00232B28">
        <w:t>healthy eating</w:t>
      </w:r>
      <w:r w:rsidR="00882D70">
        <w:t xml:space="preserve"> projects</w:t>
      </w:r>
      <w:r w:rsidR="00232B28">
        <w:t xml:space="preserve">, for example, </w:t>
      </w:r>
      <w:r w:rsidR="00232B28">
        <w:lastRenderedPageBreak/>
        <w:t>built confidence in menu planning and</w:t>
      </w:r>
      <w:r w:rsidR="00882D70">
        <w:t xml:space="preserve"> preparing and eating </w:t>
      </w:r>
      <w:r w:rsidR="00232B28">
        <w:t>healthy</w:t>
      </w:r>
      <w:r w:rsidR="00882D70">
        <w:t xml:space="preserve"> ingredients. Other projects aimed to build confidence in accessing health services, </w:t>
      </w:r>
      <w:r w:rsidR="00232B28">
        <w:t>such as creating</w:t>
      </w:r>
      <w:r w:rsidR="00882D70">
        <w:t xml:space="preserve"> online videos of a breast screening unit </w:t>
      </w:r>
      <w:r w:rsidR="004D02A7">
        <w:t>for</w:t>
      </w:r>
      <w:r w:rsidR="00882D70">
        <w:t xml:space="preserve"> neurodivergent </w:t>
      </w:r>
      <w:r w:rsidR="00F56A5F">
        <w:t>people</w:t>
      </w:r>
      <w:r w:rsidR="00882D70" w:rsidRPr="00094656">
        <w:t>.</w:t>
      </w:r>
    </w:p>
    <w:p w14:paraId="44297E2F" w14:textId="77777777" w:rsidR="00BC5335" w:rsidRDefault="00BC5335" w:rsidP="0040606B">
      <w:pPr>
        <w:spacing w:line="480" w:lineRule="auto"/>
      </w:pPr>
    </w:p>
    <w:p w14:paraId="74EE11DC" w14:textId="32FA4CA8" w:rsidR="00882D70" w:rsidRDefault="00882D70" w:rsidP="0040606B">
      <w:pPr>
        <w:spacing w:line="480" w:lineRule="auto"/>
        <w:rPr>
          <w:rFonts w:cstheme="minorHAnsi"/>
        </w:rPr>
      </w:pPr>
      <w:r>
        <w:t xml:space="preserve">Several interviewees reflected that it was not sufficient to give people information: they had to </w:t>
      </w:r>
      <w:r w:rsidR="00A54571">
        <w:t>address the</w:t>
      </w:r>
      <w:r>
        <w:t xml:space="preserve"> </w:t>
      </w:r>
      <w:r w:rsidR="00A54571">
        <w:t>underlying concerns of</w:t>
      </w:r>
      <w:r>
        <w:t xml:space="preserve"> community members. They needed to </w:t>
      </w:r>
      <w:r w:rsidRPr="00BD66F9">
        <w:rPr>
          <w:i/>
          <w:iCs/>
        </w:rPr>
        <w:t>‘break the taboo,’</w:t>
      </w:r>
      <w:r w:rsidRPr="00094656">
        <w:t xml:space="preserve"> </w:t>
      </w:r>
      <w:r>
        <w:t xml:space="preserve">and </w:t>
      </w:r>
      <w:r w:rsidRPr="00094656">
        <w:t>giv</w:t>
      </w:r>
      <w:r>
        <w:t xml:space="preserve">e </w:t>
      </w:r>
      <w:r w:rsidRPr="00094656">
        <w:t xml:space="preserve">people confidence to </w:t>
      </w:r>
      <w:r w:rsidR="00A54571">
        <w:t>discuss</w:t>
      </w:r>
      <w:r w:rsidRPr="00094656">
        <w:t xml:space="preserve"> cancer: </w:t>
      </w:r>
      <w:r w:rsidRPr="00BD66F9">
        <w:rPr>
          <w:i/>
          <w:iCs/>
        </w:rPr>
        <w:t>‘if there is somebody of their community talking, then they feel a little bit more reassured, and they can ask more questions’</w:t>
      </w:r>
      <w:r w:rsidRPr="00094656">
        <w:t xml:space="preserve"> (CAC28S 1)</w:t>
      </w:r>
      <w:r>
        <w:t xml:space="preserve">. Involving health professionals in awareness and engagement activities, such as local GPs and consultants, was particularly effective </w:t>
      </w:r>
      <w:r w:rsidR="00232B28">
        <w:t>in</w:t>
      </w:r>
      <w:r>
        <w:t xml:space="preserve"> engender</w:t>
      </w:r>
      <w:r w:rsidR="00232B28">
        <w:t>ing</w:t>
      </w:r>
      <w:r>
        <w:t xml:space="preserve"> trus</w:t>
      </w:r>
      <w:r w:rsidR="00245F65">
        <w:t>t</w:t>
      </w:r>
      <w:r>
        <w:t>.</w:t>
      </w:r>
    </w:p>
    <w:p w14:paraId="61A489D0" w14:textId="77777777" w:rsidR="00245F65" w:rsidRDefault="00245F65" w:rsidP="0040606B">
      <w:pPr>
        <w:spacing w:line="480" w:lineRule="auto"/>
        <w:rPr>
          <w:rFonts w:cstheme="minorHAnsi"/>
          <w:b/>
          <w:bCs/>
        </w:rPr>
      </w:pPr>
    </w:p>
    <w:p w14:paraId="232CC686" w14:textId="2B8543C9" w:rsidR="00D948BB" w:rsidRPr="00A54571" w:rsidRDefault="00245F65" w:rsidP="0040606B">
      <w:pPr>
        <w:spacing w:line="480" w:lineRule="auto"/>
        <w:rPr>
          <w:i/>
          <w:iCs/>
        </w:rPr>
      </w:pPr>
      <w:r w:rsidRPr="00A54571">
        <w:rPr>
          <w:rFonts w:cstheme="minorHAnsi"/>
          <w:i/>
          <w:iCs/>
        </w:rPr>
        <w:t>E</w:t>
      </w:r>
      <w:r w:rsidR="00D948BB" w:rsidRPr="00A54571">
        <w:rPr>
          <w:i/>
          <w:iCs/>
        </w:rPr>
        <w:t>ffective communication wit</w:t>
      </w:r>
      <w:r w:rsidR="00A54571">
        <w:rPr>
          <w:i/>
          <w:iCs/>
        </w:rPr>
        <w:t>h</w:t>
      </w:r>
      <w:r w:rsidR="00C27056" w:rsidRPr="00A54571">
        <w:rPr>
          <w:i/>
          <w:iCs/>
        </w:rPr>
        <w:t xml:space="preserve"> </w:t>
      </w:r>
      <w:r w:rsidR="00882D70" w:rsidRPr="00A54571">
        <w:rPr>
          <w:i/>
          <w:iCs/>
        </w:rPr>
        <w:t>group</w:t>
      </w:r>
      <w:r w:rsidR="00A54571">
        <w:rPr>
          <w:i/>
          <w:iCs/>
        </w:rPr>
        <w:t xml:space="preserve"> members</w:t>
      </w:r>
      <w:r w:rsidR="00B257EE" w:rsidRPr="00A54571">
        <w:rPr>
          <w:i/>
          <w:iCs/>
        </w:rPr>
        <w:t xml:space="preserve"> and external partners</w:t>
      </w:r>
    </w:p>
    <w:p w14:paraId="4FFBED00" w14:textId="460ED0FA" w:rsidR="00190DB4" w:rsidRDefault="00D948BB" w:rsidP="0040606B">
      <w:pPr>
        <w:spacing w:line="480" w:lineRule="auto"/>
      </w:pPr>
      <w:r w:rsidRPr="005250C0">
        <w:t xml:space="preserve">Most groups had </w:t>
      </w:r>
      <w:r w:rsidR="00190DB4">
        <w:t>effective</w:t>
      </w:r>
      <w:r w:rsidR="00190DB4" w:rsidRPr="005250C0">
        <w:t xml:space="preserve"> </w:t>
      </w:r>
      <w:r w:rsidRPr="005250C0">
        <w:t xml:space="preserve">internal communications and excellent networks </w:t>
      </w:r>
      <w:r w:rsidR="00A54571">
        <w:t>of</w:t>
      </w:r>
      <w:r w:rsidRPr="005250C0">
        <w:t xml:space="preserve"> external partners</w:t>
      </w:r>
      <w:r w:rsidR="00190DB4">
        <w:t xml:space="preserve">, including </w:t>
      </w:r>
      <w:r w:rsidRPr="005250C0">
        <w:t xml:space="preserve">local charities and health providers. This ensured </w:t>
      </w:r>
      <w:r w:rsidR="007D11EB">
        <w:t xml:space="preserve">that </w:t>
      </w:r>
      <w:r w:rsidRPr="005250C0">
        <w:t>stakeholders knew about CAC activities</w:t>
      </w:r>
      <w:r w:rsidR="00190DB4">
        <w:t xml:space="preserve"> and</w:t>
      </w:r>
      <w:r w:rsidRPr="005250C0">
        <w:t xml:space="preserve"> external presenters were able to </w:t>
      </w:r>
      <w:r w:rsidR="00190DB4">
        <w:t>tailor discussions to group needs</w:t>
      </w:r>
      <w:r w:rsidRPr="005250C0">
        <w:t xml:space="preserve">. </w:t>
      </w:r>
      <w:r w:rsidRPr="00F00D2D">
        <w:t>Successful</w:t>
      </w:r>
      <w:r>
        <w:t xml:space="preserve"> project leaders were aware o</w:t>
      </w:r>
      <w:r w:rsidR="00E5430A">
        <w:t>f</w:t>
      </w:r>
      <w:r>
        <w:t xml:space="preserve"> the need to frame the cancer messaging in ways that would be well-received </w:t>
      </w:r>
      <w:r w:rsidR="00190DB4">
        <w:t>by</w:t>
      </w:r>
      <w:r>
        <w:t xml:space="preserve"> group members. </w:t>
      </w:r>
      <w:r w:rsidR="00190DB4">
        <w:t>H</w:t>
      </w:r>
      <w:r>
        <w:t xml:space="preserve">ealthy eating workshops, for example, were an effective mechanism for communicating cancer messages </w:t>
      </w:r>
      <w:r w:rsidR="00882D70">
        <w:t xml:space="preserve">to people with a learning disability </w:t>
      </w:r>
      <w:r>
        <w:t xml:space="preserve">as these could be delivered </w:t>
      </w:r>
      <w:r w:rsidR="00882D70">
        <w:t>in an engaging way alongside practical</w:t>
      </w:r>
      <w:r w:rsidR="00190DB4">
        <w:t xml:space="preserve"> activities</w:t>
      </w:r>
      <w:r>
        <w:t>.</w:t>
      </w:r>
      <w:r w:rsidR="00E5430A">
        <w:t xml:space="preserve"> </w:t>
      </w:r>
      <w:r w:rsidR="00A54571">
        <w:t>O</w:t>
      </w:r>
      <w:r w:rsidR="00F22B00">
        <w:t xml:space="preserve">ne member of a South Asian </w:t>
      </w:r>
      <w:r w:rsidR="00A54571">
        <w:t>c</w:t>
      </w:r>
      <w:r w:rsidR="00F22B00">
        <w:t xml:space="preserve">ommunity group discussed the importance of </w:t>
      </w:r>
      <w:r w:rsidR="007D11EB">
        <w:t>supporting</w:t>
      </w:r>
      <w:r w:rsidR="00F22B00">
        <w:t xml:space="preserve"> people </w:t>
      </w:r>
      <w:r w:rsidR="007D11EB">
        <w:t>in</w:t>
      </w:r>
      <w:r w:rsidR="00F22B00">
        <w:t xml:space="preserve"> discuss</w:t>
      </w:r>
      <w:r w:rsidR="007D11EB">
        <w:t>ing</w:t>
      </w:r>
      <w:r w:rsidR="00F22B00">
        <w:t xml:space="preserve"> cancer messages in ways that </w:t>
      </w:r>
      <w:r w:rsidR="007D11EB">
        <w:t>we</w:t>
      </w:r>
      <w:r w:rsidR="00E963C7">
        <w:t>re meaningful for them</w:t>
      </w:r>
      <w:r w:rsidR="007D11EB">
        <w:t>,</w:t>
      </w:r>
      <w:r w:rsidR="00E963C7">
        <w:t xml:space="preserve"> for ‘</w:t>
      </w:r>
      <w:r w:rsidR="00190DB4" w:rsidRPr="00190DB4">
        <w:rPr>
          <w:i/>
          <w:iCs/>
        </w:rPr>
        <w:t>they can ask more questions, and they’ll</w:t>
      </w:r>
      <w:r w:rsidR="00190DB4" w:rsidRPr="00190DB4">
        <w:rPr>
          <w:rFonts w:ascii="Calibri" w:hAnsi="Calibri" w:cs="Calibri"/>
          <w:i/>
          <w:iCs/>
          <w:color w:val="000000"/>
          <w:kern w:val="0"/>
          <w:sz w:val="23"/>
          <w:szCs w:val="23"/>
        </w:rPr>
        <w:t xml:space="preserve"> </w:t>
      </w:r>
      <w:r w:rsidR="00190DB4" w:rsidRPr="00190DB4">
        <w:rPr>
          <w:i/>
          <w:iCs/>
        </w:rPr>
        <w:t>be explaining [in</w:t>
      </w:r>
      <w:r w:rsidR="00117ABE">
        <w:rPr>
          <w:i/>
          <w:iCs/>
        </w:rPr>
        <w:t>]</w:t>
      </w:r>
      <w:r w:rsidR="00190DB4" w:rsidRPr="00190DB4">
        <w:rPr>
          <w:i/>
          <w:iCs/>
        </w:rPr>
        <w:t xml:space="preserve"> the way that t</w:t>
      </w:r>
      <w:r w:rsidR="00A54571">
        <w:rPr>
          <w:i/>
          <w:iCs/>
        </w:rPr>
        <w:t>hey</w:t>
      </w:r>
      <w:r w:rsidR="00190DB4" w:rsidRPr="00190DB4">
        <w:rPr>
          <w:i/>
          <w:iCs/>
        </w:rPr>
        <w:t xml:space="preserve"> would understan</w:t>
      </w:r>
      <w:r w:rsidR="00117ABE">
        <w:rPr>
          <w:i/>
          <w:iCs/>
        </w:rPr>
        <w:t>d</w:t>
      </w:r>
      <w:r w:rsidR="00190DB4" w:rsidRPr="00190DB4">
        <w:rPr>
          <w:i/>
          <w:iCs/>
        </w:rPr>
        <w:t xml:space="preserve">.’ (CAC28S 1) </w:t>
      </w:r>
    </w:p>
    <w:p w14:paraId="00EDF494" w14:textId="77777777" w:rsidR="00D948BB" w:rsidRDefault="00D948BB" w:rsidP="0040606B">
      <w:pPr>
        <w:spacing w:line="480" w:lineRule="auto"/>
      </w:pPr>
    </w:p>
    <w:p w14:paraId="2264495E" w14:textId="2A987E40" w:rsidR="00D948BB" w:rsidRPr="002735F3" w:rsidRDefault="005C558E" w:rsidP="0040606B">
      <w:pPr>
        <w:spacing w:line="480" w:lineRule="auto"/>
        <w:rPr>
          <w:i/>
          <w:iCs/>
        </w:rPr>
      </w:pPr>
      <w:r w:rsidRPr="002735F3">
        <w:rPr>
          <w:i/>
          <w:iCs/>
        </w:rPr>
        <w:t>A</w:t>
      </w:r>
      <w:r w:rsidR="00D948BB" w:rsidRPr="002735F3">
        <w:rPr>
          <w:i/>
          <w:iCs/>
        </w:rPr>
        <w:t>daptability</w:t>
      </w:r>
      <w:r w:rsidR="00AC35DC" w:rsidRPr="002735F3">
        <w:rPr>
          <w:i/>
          <w:iCs/>
        </w:rPr>
        <w:t xml:space="preserve"> and evaluation</w:t>
      </w:r>
    </w:p>
    <w:p w14:paraId="537BC00B" w14:textId="7ADFA628" w:rsidR="00D948BB" w:rsidRDefault="00AC35DC" w:rsidP="0040606B">
      <w:pPr>
        <w:spacing w:line="480" w:lineRule="auto"/>
        <w:rPr>
          <w:i/>
          <w:iCs/>
        </w:rPr>
      </w:pPr>
      <w:r>
        <w:lastRenderedPageBreak/>
        <w:t xml:space="preserve">It is inevitable that unforeseen </w:t>
      </w:r>
      <w:r w:rsidR="00D948BB">
        <w:t xml:space="preserve">challenges </w:t>
      </w:r>
      <w:r>
        <w:t>occur when delivering projects</w:t>
      </w:r>
      <w:r w:rsidR="00D948BB">
        <w:t xml:space="preserve">, particularly </w:t>
      </w:r>
      <w:r w:rsidR="002735F3">
        <w:t>given</w:t>
      </w:r>
      <w:r w:rsidR="00D948BB">
        <w:t xml:space="preserve"> that many </w:t>
      </w:r>
      <w:r>
        <w:t>activities</w:t>
      </w:r>
      <w:r w:rsidR="00D948BB">
        <w:t xml:space="preserve"> </w:t>
      </w:r>
      <w:r w:rsidR="002735F3">
        <w:t>occurred</w:t>
      </w:r>
      <w:r>
        <w:t xml:space="preserve"> during</w:t>
      </w:r>
      <w:r w:rsidR="00D948BB">
        <w:t xml:space="preserve"> the rapidly shifting restrictions of COVID. </w:t>
      </w:r>
      <w:r w:rsidR="002735F3">
        <w:t>P</w:t>
      </w:r>
      <w:r w:rsidR="00D948BB">
        <w:t xml:space="preserve">rojects that </w:t>
      </w:r>
      <w:r>
        <w:t xml:space="preserve">were adaptable to </w:t>
      </w:r>
      <w:r w:rsidR="007D11EB">
        <w:t xml:space="preserve">the </w:t>
      </w:r>
      <w:r>
        <w:t xml:space="preserve">changing demands of delivery were typically </w:t>
      </w:r>
      <w:r w:rsidRPr="00F00D2D">
        <w:t>successful</w:t>
      </w:r>
      <w:r w:rsidR="002735F3">
        <w:t xml:space="preserve"> in meeting project aims</w:t>
      </w:r>
      <w:r w:rsidR="00D948BB">
        <w:t xml:space="preserve">. </w:t>
      </w:r>
      <w:r w:rsidR="00BA4D7A">
        <w:t>For example, one project delivering</w:t>
      </w:r>
      <w:r w:rsidR="00CF71DB">
        <w:t xml:space="preserve"> healthy eating cookery classes for people with learning disabilities </w:t>
      </w:r>
      <w:r w:rsidR="00CF71DB" w:rsidRPr="00F00D2D">
        <w:t>successfully</w:t>
      </w:r>
      <w:r w:rsidR="00CF71DB">
        <w:t xml:space="preserve"> adapted the session to online</w:t>
      </w:r>
      <w:r w:rsidR="004179E6">
        <w:t xml:space="preserve"> delivery</w:t>
      </w:r>
      <w:r w:rsidR="00CF71DB">
        <w:t xml:space="preserve"> during the COVID pandemic.</w:t>
      </w:r>
    </w:p>
    <w:p w14:paraId="23328D21" w14:textId="77777777" w:rsidR="00B77DD4" w:rsidRDefault="00B77DD4" w:rsidP="0040606B">
      <w:pPr>
        <w:spacing w:line="480" w:lineRule="auto"/>
        <w:rPr>
          <w:i/>
          <w:iCs/>
        </w:rPr>
      </w:pPr>
    </w:p>
    <w:p w14:paraId="2ADC79C5" w14:textId="5F02E9F9" w:rsidR="005C558E" w:rsidRDefault="005C558E" w:rsidP="0040606B">
      <w:pPr>
        <w:spacing w:line="480" w:lineRule="auto"/>
        <w:rPr>
          <w:rFonts w:cstheme="minorHAnsi"/>
        </w:rPr>
      </w:pPr>
      <w:r>
        <w:t xml:space="preserve">A related, important characteristic of </w:t>
      </w:r>
      <w:r w:rsidRPr="00F00D2D">
        <w:t>successful</w:t>
      </w:r>
      <w:r>
        <w:t xml:space="preserve"> projects was the ability to pilot, test, reflect and evaluate community engagement activities. Part of effective project design was defining with clarity the success measures for funded activity and then assessing the extent to which those measures had been met.</w:t>
      </w:r>
      <w:r w:rsidRPr="00E313EA">
        <w:t xml:space="preserve"> </w:t>
      </w:r>
      <w:r w:rsidRPr="00A07D44">
        <w:t xml:space="preserve">If CAC activities were </w:t>
      </w:r>
      <w:r w:rsidR="004179E6">
        <w:t>not delivering as intended</w:t>
      </w:r>
      <w:r w:rsidRPr="00A07D44">
        <w:t xml:space="preserve">, an important skill </w:t>
      </w:r>
      <w:r>
        <w:t xml:space="preserve">was </w:t>
      </w:r>
      <w:r w:rsidRPr="00A07D44">
        <w:t>to reflect and try a different approach</w:t>
      </w:r>
      <w:r>
        <w:t xml:space="preserve">. </w:t>
      </w:r>
      <w:r w:rsidR="00894033">
        <w:t xml:space="preserve">Several grant-holders were experienced in monitoring and evaluating their own project, for example devising their own surveys to capture the degree to which CAC aims were met. For those less experienced, advice on monitoring and evaluation techniques was given by the </w:t>
      </w:r>
      <w:r w:rsidR="00894033" w:rsidRPr="40C55922">
        <w:t>Project Coordinator</w:t>
      </w:r>
      <w:r w:rsidR="00894033">
        <w:t xml:space="preserve"> through online training.</w:t>
      </w:r>
    </w:p>
    <w:p w14:paraId="07C23382" w14:textId="77777777" w:rsidR="005C558E" w:rsidRDefault="005C558E" w:rsidP="0040606B">
      <w:pPr>
        <w:spacing w:line="480" w:lineRule="auto"/>
      </w:pPr>
    </w:p>
    <w:p w14:paraId="25093BC7" w14:textId="77777777" w:rsidR="00D948BB" w:rsidRDefault="00D948BB" w:rsidP="0040606B">
      <w:pPr>
        <w:spacing w:line="480" w:lineRule="auto"/>
        <w:rPr>
          <w:b/>
          <w:bCs/>
        </w:rPr>
      </w:pPr>
      <w:r w:rsidRPr="00861CFA">
        <w:rPr>
          <w:b/>
          <w:bCs/>
        </w:rPr>
        <w:t>Discussion</w:t>
      </w:r>
    </w:p>
    <w:p w14:paraId="60A323B3" w14:textId="77777777" w:rsidR="000E3BEE" w:rsidRDefault="000E3BEE" w:rsidP="0040606B">
      <w:pPr>
        <w:spacing w:line="480" w:lineRule="auto"/>
      </w:pPr>
    </w:p>
    <w:p w14:paraId="308D9BDD" w14:textId="39327AF0" w:rsidR="00821FA3" w:rsidRDefault="00D948BB" w:rsidP="0040606B">
      <w:pPr>
        <w:spacing w:line="480" w:lineRule="auto"/>
      </w:pPr>
      <w:r w:rsidRPr="40C55922">
        <w:t xml:space="preserve">Improving early diagnosis </w:t>
      </w:r>
      <w:r w:rsidR="1B521286" w:rsidRPr="40C55922">
        <w:t>of</w:t>
      </w:r>
      <w:r w:rsidRPr="40C55922">
        <w:t xml:space="preserve"> cancer is a high strategic priority </w:t>
      </w:r>
      <w:r w:rsidR="0BB31C16" w:rsidRPr="40C55922">
        <w:t>globally</w:t>
      </w:r>
      <w:r w:rsidR="00A40266" w:rsidRPr="40C55922">
        <w:t>.</w:t>
      </w:r>
      <w:r w:rsidRPr="40C55922">
        <w:t xml:space="preserve"> The </w:t>
      </w:r>
      <w:r w:rsidR="00821FA3" w:rsidRPr="40C55922">
        <w:t xml:space="preserve">drive for early detection </w:t>
      </w:r>
      <w:r w:rsidRPr="40C55922">
        <w:t xml:space="preserve">is particularly </w:t>
      </w:r>
      <w:r w:rsidR="00821FA3" w:rsidRPr="40C55922">
        <w:t>important</w:t>
      </w:r>
      <w:r w:rsidRPr="40C55922">
        <w:t xml:space="preserve"> for </w:t>
      </w:r>
      <w:r w:rsidR="00CF71DB" w:rsidRPr="40C55922">
        <w:t>marginalised</w:t>
      </w:r>
      <w:r w:rsidRPr="40C55922">
        <w:t xml:space="preserve"> communities where cultural barriers, discrimination and limited knowledge mean </w:t>
      </w:r>
      <w:r w:rsidR="00CF71DB" w:rsidRPr="40C55922">
        <w:t>members of th</w:t>
      </w:r>
      <w:r w:rsidR="00821FA3" w:rsidRPr="40C55922">
        <w:t xml:space="preserve">ese </w:t>
      </w:r>
      <w:r w:rsidR="00CF71DB" w:rsidRPr="40C55922">
        <w:t xml:space="preserve">communities </w:t>
      </w:r>
      <w:r w:rsidRPr="40C55922">
        <w:t>are more likely to be diagnosed with cancer at a later stage than the general population.</w:t>
      </w:r>
      <w:r w:rsidRPr="40C55922">
        <w:rPr>
          <w:vertAlign w:val="superscript"/>
        </w:rPr>
        <w:t>1</w:t>
      </w:r>
      <w:r w:rsidR="00401387" w:rsidRPr="40C55922">
        <w:rPr>
          <w:vertAlign w:val="superscript"/>
        </w:rPr>
        <w:t>0</w:t>
      </w:r>
    </w:p>
    <w:p w14:paraId="1D99E3A5" w14:textId="77777777" w:rsidR="00821FA3" w:rsidRDefault="00821FA3" w:rsidP="0040606B">
      <w:pPr>
        <w:spacing w:line="480" w:lineRule="auto"/>
        <w:rPr>
          <w:rFonts w:cstheme="minorHAnsi"/>
        </w:rPr>
      </w:pPr>
    </w:p>
    <w:p w14:paraId="7DEF8A3F" w14:textId="37FB9DDA" w:rsidR="00CF71DB" w:rsidRPr="00821FA3" w:rsidRDefault="00821FA3" w:rsidP="0040606B">
      <w:pPr>
        <w:spacing w:line="480" w:lineRule="auto"/>
      </w:pPr>
      <w:r w:rsidRPr="40C55922">
        <w:lastRenderedPageBreak/>
        <w:t xml:space="preserve">Research into increasing cancer awareness, building confidence and encouraging healthy behaviours </w:t>
      </w:r>
      <w:r w:rsidR="00CF71DB" w:rsidRPr="40C55922">
        <w:t xml:space="preserve">with </w:t>
      </w:r>
      <w:r w:rsidRPr="40C55922">
        <w:t>marginalised</w:t>
      </w:r>
      <w:r w:rsidR="00CF71DB" w:rsidRPr="40C55922">
        <w:t xml:space="preserve"> communities</w:t>
      </w:r>
      <w:r w:rsidRPr="40C55922">
        <w:t xml:space="preserve"> is</w:t>
      </w:r>
      <w:r w:rsidR="00CF71DB" w:rsidRPr="40C55922">
        <w:t xml:space="preserve"> develop</w:t>
      </w:r>
      <w:r w:rsidRPr="40C55922">
        <w:t>ing</w:t>
      </w:r>
      <w:r w:rsidR="00CF71DB" w:rsidRPr="40C55922">
        <w:t xml:space="preserve"> rapidly. </w:t>
      </w:r>
      <w:r w:rsidRPr="40C55922">
        <w:t>Our</w:t>
      </w:r>
      <w:r w:rsidR="00CF71DB" w:rsidRPr="40C55922">
        <w:t xml:space="preserve"> study contributes to </w:t>
      </w:r>
      <w:r w:rsidRPr="40C55922">
        <w:t xml:space="preserve">this body of knowledge </w:t>
      </w:r>
      <w:r w:rsidR="00CF71DB" w:rsidRPr="00BE3602">
        <w:t>by assessing the effectiveness of a community-based initiative</w:t>
      </w:r>
      <w:r w:rsidR="2B500530" w:rsidRPr="00BE3602">
        <w:t xml:space="preserve"> to </w:t>
      </w:r>
      <w:r w:rsidR="00C01E97">
        <w:t xml:space="preserve">deliver cancer awareness information and </w:t>
      </w:r>
      <w:proofErr w:type="spellStart"/>
      <w:r w:rsidR="00C01E97">
        <w:t>activites</w:t>
      </w:r>
      <w:proofErr w:type="spellEnd"/>
      <w:r w:rsidR="00C01E97">
        <w:t xml:space="preserve"> to</w:t>
      </w:r>
      <w:r w:rsidR="2B500530" w:rsidRPr="00BE3602">
        <w:t xml:space="preserve"> community groups</w:t>
      </w:r>
      <w:r w:rsidR="00CF71DB" w:rsidRPr="00BE3602">
        <w:t>.</w:t>
      </w:r>
      <w:r w:rsidR="00CF71DB" w:rsidRPr="40C55922">
        <w:t xml:space="preserve"> CAC reflects the recommendations from research </w:t>
      </w:r>
      <w:r w:rsidR="00404699" w:rsidRPr="40C55922">
        <w:t>by supporting</w:t>
      </w:r>
      <w:r w:rsidR="00CF71DB" w:rsidRPr="40C55922">
        <w:t xml:space="preserve"> engagement activities </w:t>
      </w:r>
      <w:r w:rsidR="00404699" w:rsidRPr="40C55922">
        <w:t xml:space="preserve">that are tailored to </w:t>
      </w:r>
      <w:r w:rsidR="00927808" w:rsidRPr="40C55922">
        <w:t xml:space="preserve">the </w:t>
      </w:r>
      <w:r w:rsidR="00404699" w:rsidRPr="40C55922">
        <w:t xml:space="preserve">needs of </w:t>
      </w:r>
      <w:r w:rsidR="00CF71DB" w:rsidRPr="40C55922">
        <w:rPr>
          <w:rFonts w:eastAsia="Calibri"/>
        </w:rPr>
        <w:t>marginalised communities.</w:t>
      </w:r>
      <w:r w:rsidR="0050750D" w:rsidRPr="40C55922">
        <w:rPr>
          <w:rFonts w:eastAsia="Calibri"/>
          <w:vertAlign w:val="superscript"/>
        </w:rPr>
        <w:t>13</w:t>
      </w:r>
      <w:r w:rsidR="00CF71DB" w:rsidRPr="40C55922">
        <w:rPr>
          <w:rFonts w:eastAsia="Calibri"/>
        </w:rPr>
        <w:t xml:space="preserve"> Th</w:t>
      </w:r>
      <w:r w:rsidR="00404699" w:rsidRPr="40C55922">
        <w:rPr>
          <w:rFonts w:eastAsia="Calibri"/>
        </w:rPr>
        <w:t xml:space="preserve">e </w:t>
      </w:r>
      <w:r w:rsidR="00927808" w:rsidRPr="40C55922">
        <w:rPr>
          <w:rFonts w:eastAsia="Calibri"/>
        </w:rPr>
        <w:t>CAC</w:t>
      </w:r>
      <w:r w:rsidR="00404699" w:rsidRPr="40C55922">
        <w:rPr>
          <w:rFonts w:eastAsia="Calibri"/>
        </w:rPr>
        <w:t xml:space="preserve"> </w:t>
      </w:r>
      <w:r w:rsidR="00CF71DB" w:rsidRPr="40C55922">
        <w:rPr>
          <w:rFonts w:eastAsia="Calibri"/>
        </w:rPr>
        <w:t xml:space="preserve">grant scheme </w:t>
      </w:r>
      <w:r w:rsidR="00927808" w:rsidRPr="40C55922">
        <w:rPr>
          <w:rFonts w:eastAsia="Calibri"/>
        </w:rPr>
        <w:t xml:space="preserve">allowed </w:t>
      </w:r>
      <w:r w:rsidR="00C01E97">
        <w:rPr>
          <w:rFonts w:eastAsia="Calibri"/>
        </w:rPr>
        <w:t xml:space="preserve">representatives from </w:t>
      </w:r>
      <w:r w:rsidR="00927808" w:rsidRPr="40C55922">
        <w:rPr>
          <w:rFonts w:eastAsia="Calibri"/>
        </w:rPr>
        <w:t xml:space="preserve">under-served </w:t>
      </w:r>
      <w:r w:rsidR="00CF71DB" w:rsidRPr="40C55922">
        <w:rPr>
          <w:rFonts w:eastAsia="Calibri"/>
        </w:rPr>
        <w:t xml:space="preserve">communities </w:t>
      </w:r>
      <w:r w:rsidR="00404699" w:rsidRPr="40C55922">
        <w:rPr>
          <w:rFonts w:eastAsia="Calibri"/>
        </w:rPr>
        <w:t xml:space="preserve">to apply for funds to </w:t>
      </w:r>
      <w:r w:rsidR="00CF71DB" w:rsidRPr="40C55922">
        <w:rPr>
          <w:rFonts w:eastAsia="Calibri"/>
        </w:rPr>
        <w:t>deliver cancer messages</w:t>
      </w:r>
      <w:r w:rsidR="00997154" w:rsidRPr="40C55922">
        <w:rPr>
          <w:rFonts w:eastAsia="Calibri"/>
        </w:rPr>
        <w:t xml:space="preserve"> </w:t>
      </w:r>
      <w:r w:rsidR="00404699" w:rsidRPr="40C55922">
        <w:rPr>
          <w:rFonts w:eastAsia="Calibri"/>
        </w:rPr>
        <w:t xml:space="preserve">in ways that were most relevant </w:t>
      </w:r>
      <w:r w:rsidR="00997154" w:rsidRPr="40C55922">
        <w:rPr>
          <w:rFonts w:eastAsia="Calibri"/>
        </w:rPr>
        <w:t xml:space="preserve">to </w:t>
      </w:r>
      <w:r w:rsidR="1A726094" w:rsidRPr="40C55922">
        <w:rPr>
          <w:rFonts w:eastAsia="Calibri"/>
        </w:rPr>
        <w:t xml:space="preserve">their </w:t>
      </w:r>
      <w:r w:rsidR="00997154" w:rsidRPr="40C55922">
        <w:rPr>
          <w:rFonts w:eastAsia="Calibri"/>
        </w:rPr>
        <w:t>members</w:t>
      </w:r>
      <w:r w:rsidR="00CF71DB" w:rsidRPr="40C55922">
        <w:rPr>
          <w:rFonts w:eastAsia="Calibri"/>
        </w:rPr>
        <w:t xml:space="preserve">. </w:t>
      </w:r>
      <w:r w:rsidR="00F473AE">
        <w:rPr>
          <w:rFonts w:eastAsia="Calibri"/>
        </w:rPr>
        <w:t>The qualitative assessment of the scheme’s effectiveness unders</w:t>
      </w:r>
      <w:r w:rsidR="00AA69BB">
        <w:rPr>
          <w:rFonts w:eastAsia="Calibri"/>
        </w:rPr>
        <w:t>c</w:t>
      </w:r>
      <w:r w:rsidR="00F473AE">
        <w:rPr>
          <w:rFonts w:eastAsia="Calibri"/>
        </w:rPr>
        <w:t xml:space="preserve">ores the importance of community-led and community-driven initiatives </w:t>
      </w:r>
      <w:r w:rsidR="00C01E97">
        <w:rPr>
          <w:rFonts w:eastAsia="Calibri"/>
        </w:rPr>
        <w:t>in delivering cancer awareness, an</w:t>
      </w:r>
      <w:r w:rsidR="00AA69BB">
        <w:rPr>
          <w:rFonts w:eastAsia="Calibri"/>
        </w:rPr>
        <w:t>d</w:t>
      </w:r>
      <w:r w:rsidR="00C01E97">
        <w:rPr>
          <w:rFonts w:eastAsia="Calibri"/>
        </w:rPr>
        <w:t xml:space="preserve"> health</w:t>
      </w:r>
      <w:r w:rsidR="00AA69BB">
        <w:rPr>
          <w:rFonts w:eastAsia="Calibri"/>
        </w:rPr>
        <w:t>-</w:t>
      </w:r>
      <w:r w:rsidR="00C01E97">
        <w:rPr>
          <w:rFonts w:eastAsia="Calibri"/>
        </w:rPr>
        <w:t xml:space="preserve">seeking information and activities </w:t>
      </w:r>
      <w:r w:rsidR="00F473AE">
        <w:rPr>
          <w:rFonts w:eastAsia="Calibri"/>
        </w:rPr>
        <w:t xml:space="preserve">in marginalised communities. The grant scheme </w:t>
      </w:r>
      <w:r w:rsidR="00C95F82">
        <w:rPr>
          <w:rFonts w:eastAsia="Calibri"/>
        </w:rPr>
        <w:t xml:space="preserve">was able to </w:t>
      </w:r>
      <w:r w:rsidR="00F473AE">
        <w:rPr>
          <w:rFonts w:eastAsia="Calibri"/>
        </w:rPr>
        <w:t>me</w:t>
      </w:r>
      <w:r w:rsidR="00C95F82">
        <w:rPr>
          <w:rFonts w:eastAsia="Calibri"/>
        </w:rPr>
        <w:t>e</w:t>
      </w:r>
      <w:r w:rsidR="00F473AE">
        <w:rPr>
          <w:rFonts w:eastAsia="Calibri"/>
        </w:rPr>
        <w:t xml:space="preserve">t its aims as it was founded on the principles of </w:t>
      </w:r>
      <w:r w:rsidR="00F473AE" w:rsidRPr="00EE1EAC">
        <w:rPr>
          <w:rFonts w:eastAsia="Calibri"/>
        </w:rPr>
        <w:t>co-creating engagement activities with marginali</w:t>
      </w:r>
      <w:r w:rsidR="00AA69BB">
        <w:rPr>
          <w:rFonts w:eastAsia="Calibri"/>
        </w:rPr>
        <w:t>s</w:t>
      </w:r>
      <w:r w:rsidR="00F473AE" w:rsidRPr="00EE1EAC">
        <w:rPr>
          <w:rFonts w:eastAsia="Calibri"/>
        </w:rPr>
        <w:t>ed communities. These principles are the hallmark of community-based participatory research</w:t>
      </w:r>
      <w:r w:rsidR="00C95F82">
        <w:rPr>
          <w:rFonts w:eastAsia="Calibri"/>
        </w:rPr>
        <w:t xml:space="preserve"> and are</w:t>
      </w:r>
      <w:r w:rsidR="00F473AE" w:rsidRPr="00EE1EAC">
        <w:rPr>
          <w:rFonts w:eastAsia="Calibri"/>
        </w:rPr>
        <w:t xml:space="preserve"> effective in reducing cancer health disparities</w:t>
      </w:r>
      <w:r w:rsidR="00270056">
        <w:rPr>
          <w:rFonts w:eastAsia="Calibri"/>
        </w:rPr>
        <w:t>.</w:t>
      </w:r>
      <w:proofErr w:type="gramStart"/>
      <w:r w:rsidR="00270056" w:rsidRPr="00EE1EAC">
        <w:rPr>
          <w:rFonts w:eastAsia="Calibri"/>
          <w:vertAlign w:val="superscript"/>
        </w:rPr>
        <w:t>26</w:t>
      </w:r>
      <w:r w:rsidR="00F473AE" w:rsidRPr="00EE1EAC">
        <w:rPr>
          <w:rFonts w:eastAsia="Calibri"/>
        </w:rPr>
        <w:t xml:space="preserve">  </w:t>
      </w:r>
      <w:r w:rsidR="00F473AE">
        <w:rPr>
          <w:rFonts w:eastAsia="Calibri"/>
        </w:rPr>
        <w:t>Through</w:t>
      </w:r>
      <w:proofErr w:type="gramEnd"/>
      <w:r w:rsidR="00F473AE">
        <w:rPr>
          <w:rFonts w:eastAsia="Calibri"/>
        </w:rPr>
        <w:t xml:space="preserve"> such community-based participation, the grant scheme was able to </w:t>
      </w:r>
      <w:r w:rsidR="00270056">
        <w:rPr>
          <w:rFonts w:eastAsia="Calibri"/>
        </w:rPr>
        <w:t>build</w:t>
      </w:r>
      <w:r w:rsidR="00983E2F">
        <w:rPr>
          <w:rFonts w:eastAsia="Calibri"/>
        </w:rPr>
        <w:t xml:space="preserve"> </w:t>
      </w:r>
      <w:r w:rsidR="00771483">
        <w:rPr>
          <w:rFonts w:eastAsia="Calibri"/>
        </w:rPr>
        <w:t xml:space="preserve">the </w:t>
      </w:r>
      <w:r w:rsidR="00983E2F">
        <w:rPr>
          <w:rFonts w:eastAsia="Calibri"/>
        </w:rPr>
        <w:t xml:space="preserve">awareness of </w:t>
      </w:r>
      <w:r w:rsidR="00CF71DB">
        <w:t>healthy behaviours</w:t>
      </w:r>
      <w:r w:rsidR="00983E2F">
        <w:t xml:space="preserve"> and</w:t>
      </w:r>
      <w:r w:rsidR="00CF71DB">
        <w:t xml:space="preserve"> signs and symptoms of cancer, and </w:t>
      </w:r>
      <w:r w:rsidR="00983E2F">
        <w:t>the importance of</w:t>
      </w:r>
      <w:r w:rsidR="00CF71DB">
        <w:t xml:space="preserve"> help-seeking behaviour.</w:t>
      </w:r>
    </w:p>
    <w:p w14:paraId="066E9C0F" w14:textId="77777777" w:rsidR="00CF71DB" w:rsidRDefault="00CF71DB" w:rsidP="0040606B">
      <w:pPr>
        <w:spacing w:line="480" w:lineRule="auto"/>
      </w:pPr>
    </w:p>
    <w:p w14:paraId="21EA48B6" w14:textId="51DF1E72" w:rsidR="00CF71DB" w:rsidRPr="00806CB0" w:rsidRDefault="00037742" w:rsidP="0040606B">
      <w:pPr>
        <w:spacing w:line="480" w:lineRule="auto"/>
      </w:pPr>
      <w:r w:rsidRPr="40C55922">
        <w:t>T</w:t>
      </w:r>
      <w:r w:rsidR="00997154" w:rsidRPr="40C55922">
        <w:t xml:space="preserve">ypical </w:t>
      </w:r>
      <w:r w:rsidRPr="40C55922">
        <w:t xml:space="preserve">engagement </w:t>
      </w:r>
      <w:r w:rsidR="00997154" w:rsidRPr="40C55922">
        <w:t xml:space="preserve">strategies </w:t>
      </w:r>
      <w:r w:rsidR="000D0E8E" w:rsidRPr="40C55922">
        <w:t xml:space="preserve">for CAC-funded projects were </w:t>
      </w:r>
      <w:r w:rsidR="00997154" w:rsidRPr="40C55922">
        <w:t xml:space="preserve">educational </w:t>
      </w:r>
      <w:r w:rsidR="00404699" w:rsidRPr="40C55922">
        <w:t>in focus</w:t>
      </w:r>
      <w:r w:rsidR="00997154" w:rsidRPr="40C55922">
        <w:t xml:space="preserve">, </w:t>
      </w:r>
      <w:r w:rsidR="000D0E8E" w:rsidRPr="40C55922">
        <w:t>including</w:t>
      </w:r>
      <w:r w:rsidR="00997154" w:rsidRPr="40C55922">
        <w:t xml:space="preserve"> online and in-person </w:t>
      </w:r>
      <w:r w:rsidR="00404699" w:rsidRPr="40C55922">
        <w:t>events, meetings</w:t>
      </w:r>
      <w:r w:rsidR="00927808" w:rsidRPr="40C55922">
        <w:t xml:space="preserve">, </w:t>
      </w:r>
      <w:r w:rsidR="00997154" w:rsidRPr="40C55922">
        <w:t>programmes</w:t>
      </w:r>
      <w:r w:rsidR="00927808" w:rsidRPr="40C55922">
        <w:t xml:space="preserve"> and workshops</w:t>
      </w:r>
      <w:r w:rsidRPr="40C55922">
        <w:t xml:space="preserve">, which reflects the published literature where educational interventions were </w:t>
      </w:r>
      <w:r w:rsidR="00404699" w:rsidRPr="40C55922">
        <w:t>commonly</w:t>
      </w:r>
      <w:r w:rsidRPr="40C55922">
        <w:t xml:space="preserve"> </w:t>
      </w:r>
      <w:r w:rsidR="00404699" w:rsidRPr="40C55922">
        <w:t>used</w:t>
      </w:r>
      <w:r w:rsidR="00997154" w:rsidRPr="40C55922">
        <w:t>.</w:t>
      </w:r>
      <w:r w:rsidR="00997154" w:rsidRPr="40C55922">
        <w:rPr>
          <w:vertAlign w:val="superscript"/>
        </w:rPr>
        <w:t>1</w:t>
      </w:r>
      <w:r w:rsidR="0050750D" w:rsidRPr="40C55922">
        <w:rPr>
          <w:vertAlign w:val="superscript"/>
        </w:rPr>
        <w:t>6</w:t>
      </w:r>
      <w:r w:rsidR="00997154" w:rsidRPr="40C55922">
        <w:rPr>
          <w:vertAlign w:val="superscript"/>
        </w:rPr>
        <w:t>-</w:t>
      </w:r>
      <w:r w:rsidR="0050750D" w:rsidRPr="40C55922">
        <w:rPr>
          <w:vertAlign w:val="superscript"/>
        </w:rPr>
        <w:t>17</w:t>
      </w:r>
      <w:r w:rsidR="000D0E8E" w:rsidRPr="40C55922">
        <w:rPr>
          <w:vertAlign w:val="superscript"/>
        </w:rPr>
        <w:t xml:space="preserve"> </w:t>
      </w:r>
      <w:r w:rsidR="000D0E8E" w:rsidRPr="40C55922">
        <w:t xml:space="preserve">The literature also </w:t>
      </w:r>
      <w:r w:rsidRPr="40C55922">
        <w:t xml:space="preserve">reveals that evidence for </w:t>
      </w:r>
      <w:r w:rsidR="00CF71DB" w:rsidRPr="40C55922">
        <w:t xml:space="preserve">certain </w:t>
      </w:r>
      <w:r w:rsidRPr="40C55922">
        <w:t xml:space="preserve">marginalised </w:t>
      </w:r>
      <w:r w:rsidR="00CF71DB" w:rsidRPr="40C55922">
        <w:t>communities</w:t>
      </w:r>
      <w:r w:rsidR="00404699" w:rsidRPr="40C55922">
        <w:t xml:space="preserve"> is very limited</w:t>
      </w:r>
      <w:r w:rsidR="00CF71DB" w:rsidRPr="40C55922">
        <w:t xml:space="preserve">, </w:t>
      </w:r>
      <w:r w:rsidRPr="40C55922">
        <w:t xml:space="preserve">including </w:t>
      </w:r>
      <w:r w:rsidR="00CF71DB" w:rsidRPr="40C55922">
        <w:t>LGBTQ+</w:t>
      </w:r>
      <w:r w:rsidRPr="40C55922">
        <w:t xml:space="preserve"> people</w:t>
      </w:r>
      <w:r w:rsidR="00CF71DB" w:rsidRPr="40C55922">
        <w:t xml:space="preserve">, </w:t>
      </w:r>
      <w:r w:rsidRPr="40C55922">
        <w:t xml:space="preserve">neurodivergent </w:t>
      </w:r>
      <w:r w:rsidR="00771483">
        <w:t>people</w:t>
      </w:r>
      <w:r w:rsidRPr="40C55922">
        <w:t xml:space="preserve"> and the vulnerably housed</w:t>
      </w:r>
      <w:r w:rsidR="00404699" w:rsidRPr="40C55922">
        <w:t>.</w:t>
      </w:r>
      <w:r w:rsidR="00CF71DB" w:rsidRPr="40C55922">
        <w:rPr>
          <w:vertAlign w:val="superscript"/>
        </w:rPr>
        <w:t>2</w:t>
      </w:r>
      <w:r w:rsidR="006B6E71">
        <w:rPr>
          <w:vertAlign w:val="superscript"/>
        </w:rPr>
        <w:t>2</w:t>
      </w:r>
      <w:r w:rsidR="00CF71DB" w:rsidRPr="40C55922">
        <w:t xml:space="preserve"> </w:t>
      </w:r>
      <w:r w:rsidRPr="40C55922">
        <w:t>In this regard, i</w:t>
      </w:r>
      <w:r w:rsidR="00CF71DB">
        <w:t>t is not</w:t>
      </w:r>
      <w:r>
        <w:t>able tha</w:t>
      </w:r>
      <w:r w:rsidR="000221B6">
        <w:t xml:space="preserve">t the community-based grant-funding approach adopted by </w:t>
      </w:r>
      <w:r>
        <w:t xml:space="preserve">CAC </w:t>
      </w:r>
      <w:r w:rsidR="000221B6">
        <w:t>was</w:t>
      </w:r>
      <w:r>
        <w:t xml:space="preserve"> </w:t>
      </w:r>
      <w:r w:rsidRPr="00CF0084">
        <w:t>successful in reaching these communities</w:t>
      </w:r>
      <w:r w:rsidR="000221B6" w:rsidRPr="00CF0084">
        <w:t>.</w:t>
      </w:r>
      <w:r w:rsidR="000221B6">
        <w:t xml:space="preserve"> However</w:t>
      </w:r>
      <w:r>
        <w:t xml:space="preserve">, </w:t>
      </w:r>
      <w:r w:rsidR="14400E90" w:rsidRPr="40C55922">
        <w:t>whil</w:t>
      </w:r>
      <w:r w:rsidR="00983E2F">
        <w:t>e</w:t>
      </w:r>
      <w:r w:rsidR="00D76BC8">
        <w:t xml:space="preserve"> applications from </w:t>
      </w:r>
      <w:r w:rsidR="00983E2F">
        <w:t xml:space="preserve">minoritised </w:t>
      </w:r>
      <w:r w:rsidR="00983E2F">
        <w:lastRenderedPageBreak/>
        <w:t>ethnic</w:t>
      </w:r>
      <w:r w:rsidR="00D76BC8">
        <w:t xml:space="preserve"> communities were well represented, </w:t>
      </w:r>
      <w:r w:rsidR="37E64D5D" w:rsidRPr="40C55922">
        <w:t>other</w:t>
      </w:r>
      <w:r w:rsidR="00D76BC8">
        <w:t xml:space="preserve"> communities </w:t>
      </w:r>
      <w:r w:rsidR="3DEC4D62">
        <w:t>including</w:t>
      </w:r>
      <w:r w:rsidR="00D76BC8">
        <w:t xml:space="preserve"> lesbians and gay people and </w:t>
      </w:r>
      <w:r w:rsidR="000221B6">
        <w:t>those vulnerably housed</w:t>
      </w:r>
      <w:r w:rsidR="00D76BC8">
        <w:t xml:space="preserve"> were</w:t>
      </w:r>
      <w:r w:rsidR="000221B6">
        <w:t xml:space="preserve"> </w:t>
      </w:r>
      <w:r w:rsidR="00771483">
        <w:t xml:space="preserve">less well </w:t>
      </w:r>
      <w:r w:rsidR="000221B6">
        <w:t>represented</w:t>
      </w:r>
      <w:r w:rsidR="00CF71DB">
        <w:t>.</w:t>
      </w:r>
    </w:p>
    <w:p w14:paraId="1EC0A34A" w14:textId="77777777" w:rsidR="00CF71DB" w:rsidRDefault="00CF71DB" w:rsidP="0040606B">
      <w:pPr>
        <w:spacing w:line="480" w:lineRule="auto"/>
        <w:rPr>
          <w:rFonts w:cstheme="minorHAnsi"/>
        </w:rPr>
      </w:pPr>
    </w:p>
    <w:p w14:paraId="3D838966" w14:textId="30568299" w:rsidR="00CF089D" w:rsidRDefault="00D54BFE" w:rsidP="0040606B">
      <w:pPr>
        <w:spacing w:line="480" w:lineRule="auto"/>
      </w:pPr>
      <w:r>
        <w:rPr>
          <w:rFonts w:cstheme="minorHAnsi"/>
        </w:rPr>
        <w:t>Applying the principles of positive deviance</w:t>
      </w:r>
      <w:r w:rsidR="00CF089D">
        <w:rPr>
          <w:rFonts w:cstheme="minorHAnsi"/>
          <w:vertAlign w:val="superscript"/>
        </w:rPr>
        <w:t>2</w:t>
      </w:r>
      <w:r w:rsidR="006B6E71">
        <w:rPr>
          <w:rFonts w:cstheme="minorHAnsi"/>
          <w:vertAlign w:val="superscript"/>
        </w:rPr>
        <w:t>4</w:t>
      </w:r>
      <w:r>
        <w:rPr>
          <w:rFonts w:cstheme="minorHAnsi"/>
        </w:rPr>
        <w:t xml:space="preserve"> and </w:t>
      </w:r>
      <w:r w:rsidR="00300564">
        <w:rPr>
          <w:rFonts w:cstheme="minorHAnsi"/>
        </w:rPr>
        <w:t xml:space="preserve">the </w:t>
      </w:r>
      <w:r w:rsidR="00300564">
        <w:t>Consolidated Framework for Implementation Research</w:t>
      </w:r>
      <w:r w:rsidR="00CF089D">
        <w:rPr>
          <w:rFonts w:cstheme="minorHAnsi"/>
          <w:vertAlign w:val="superscript"/>
        </w:rPr>
        <w:t>2</w:t>
      </w:r>
      <w:r w:rsidR="006B6E71">
        <w:rPr>
          <w:rFonts w:cstheme="minorHAnsi"/>
          <w:vertAlign w:val="superscript"/>
        </w:rPr>
        <w:t>5</w:t>
      </w:r>
      <w:r>
        <w:rPr>
          <w:rFonts w:cstheme="minorHAnsi"/>
        </w:rPr>
        <w:t xml:space="preserve"> to the analysis enabled the </w:t>
      </w:r>
      <w:r w:rsidR="004F4242">
        <w:t xml:space="preserve">characteristics of </w:t>
      </w:r>
      <w:r w:rsidR="00300564">
        <w:t xml:space="preserve">highly </w:t>
      </w:r>
      <w:r w:rsidR="00300564" w:rsidRPr="00CF0084">
        <w:t>successful</w:t>
      </w:r>
      <w:r w:rsidR="00300564">
        <w:t xml:space="preserve"> </w:t>
      </w:r>
      <w:r w:rsidR="00D948BB">
        <w:t>project</w:t>
      </w:r>
      <w:r w:rsidR="004F4242">
        <w:t>s</w:t>
      </w:r>
      <w:r w:rsidR="008D572C">
        <w:t xml:space="preserve"> </w:t>
      </w:r>
      <w:r w:rsidR="00300564">
        <w:t>to be identified, including aligning with community group values and being adaptable to change</w:t>
      </w:r>
      <w:r>
        <w:t>. Th</w:t>
      </w:r>
      <w:r w:rsidR="008D572C">
        <w:t>e</w:t>
      </w:r>
      <w:r>
        <w:t>se</w:t>
      </w:r>
      <w:r w:rsidR="008D572C">
        <w:t xml:space="preserve"> characteristics</w:t>
      </w:r>
      <w:r w:rsidR="00123985">
        <w:t xml:space="preserve"> reflect wi</w:t>
      </w:r>
      <w:r w:rsidR="00B3310D">
        <w:t>der literature on sustaining effective community engagement in the design and delivery of health services</w:t>
      </w:r>
      <w:r w:rsidR="00B3310D" w:rsidRPr="00401387">
        <w:rPr>
          <w:vertAlign w:val="superscript"/>
        </w:rPr>
        <w:t>2</w:t>
      </w:r>
      <w:r w:rsidR="0098055C">
        <w:rPr>
          <w:vertAlign w:val="superscript"/>
        </w:rPr>
        <w:t>7</w:t>
      </w:r>
      <w:r w:rsidR="008D572C">
        <w:t xml:space="preserve"> </w:t>
      </w:r>
      <w:r w:rsidR="00B3310D">
        <w:t>and in public health research.</w:t>
      </w:r>
      <w:r w:rsidR="00B3310D" w:rsidRPr="00401387">
        <w:rPr>
          <w:vertAlign w:val="superscript"/>
        </w:rPr>
        <w:t>2</w:t>
      </w:r>
      <w:r w:rsidR="0098055C">
        <w:rPr>
          <w:vertAlign w:val="superscript"/>
        </w:rPr>
        <w:t>8</w:t>
      </w:r>
      <w:r w:rsidR="00077D54">
        <w:t xml:space="preserve"> </w:t>
      </w:r>
      <w:r w:rsidR="00B3310D">
        <w:t>Th</w:t>
      </w:r>
      <w:r w:rsidR="006B0411">
        <w:t>is literature similarly</w:t>
      </w:r>
      <w:r w:rsidR="00B3310D">
        <w:t xml:space="preserve"> detail</w:t>
      </w:r>
      <w:r w:rsidR="006B0411">
        <w:t>s</w:t>
      </w:r>
      <w:r w:rsidR="00B3310D">
        <w:t xml:space="preserve"> the importance of early and commit</w:t>
      </w:r>
      <w:r w:rsidR="007E6A70">
        <w:t>t</w:t>
      </w:r>
      <w:r w:rsidR="00B3310D">
        <w:t>ed engagement</w:t>
      </w:r>
      <w:r w:rsidR="00434F24">
        <w:t>, shared decision-making, building confidence of community members and ensur</w:t>
      </w:r>
      <w:r w:rsidR="00CF089D">
        <w:t>ing</w:t>
      </w:r>
      <w:r w:rsidR="00434F24">
        <w:t xml:space="preserve"> clear and effect</w:t>
      </w:r>
      <w:r w:rsidR="00CF089D">
        <w:t>ive</w:t>
      </w:r>
      <w:r w:rsidR="00434F24">
        <w:t xml:space="preserve"> communications</w:t>
      </w:r>
      <w:r w:rsidR="00B3310D" w:rsidRPr="00B3310D">
        <w:t>.</w:t>
      </w:r>
      <w:r w:rsidR="00434F24" w:rsidRPr="00401387">
        <w:rPr>
          <w:vertAlign w:val="superscript"/>
        </w:rPr>
        <w:t>2</w:t>
      </w:r>
      <w:r w:rsidR="0098055C">
        <w:rPr>
          <w:vertAlign w:val="superscript"/>
        </w:rPr>
        <w:t>7</w:t>
      </w:r>
      <w:r w:rsidR="00434F24" w:rsidRPr="00401387">
        <w:rPr>
          <w:vertAlign w:val="superscript"/>
        </w:rPr>
        <w:t>,2</w:t>
      </w:r>
      <w:r w:rsidR="0098055C">
        <w:rPr>
          <w:vertAlign w:val="superscript"/>
        </w:rPr>
        <w:t>8</w:t>
      </w:r>
      <w:r w:rsidR="00434F24" w:rsidRPr="00401387">
        <w:rPr>
          <w:vertAlign w:val="superscript"/>
        </w:rPr>
        <w:t>.</w:t>
      </w:r>
      <w:r w:rsidR="00300564">
        <w:t xml:space="preserve"> </w:t>
      </w:r>
      <w:r w:rsidR="00CF089D">
        <w:t>Furthermore, it is striking how closely the charac</w:t>
      </w:r>
      <w:r w:rsidR="00624494">
        <w:t>t</w:t>
      </w:r>
      <w:r w:rsidR="00CF089D">
        <w:t>eristics of highly-</w:t>
      </w:r>
      <w:r w:rsidR="00CF089D" w:rsidRPr="00CF0084">
        <w:t>successful</w:t>
      </w:r>
      <w:r w:rsidR="00CF089D">
        <w:t xml:space="preserve"> CAC projects reflect those identified in the </w:t>
      </w:r>
      <w:r w:rsidR="00F473AE">
        <w:t>q</w:t>
      </w:r>
      <w:r w:rsidR="00CF089D">
        <w:t xml:space="preserve">uality </w:t>
      </w:r>
      <w:r w:rsidR="00F473AE">
        <w:t>i</w:t>
      </w:r>
      <w:r w:rsidR="00CF089D">
        <w:t>mprovement literature</w:t>
      </w:r>
      <w:r w:rsidR="00624494">
        <w:t>,</w:t>
      </w:r>
      <w:r w:rsidR="00CF089D">
        <w:t xml:space="preserve"> where clearly stated aims, aligned vision, </w:t>
      </w:r>
      <w:r w:rsidR="00EF1F9E">
        <w:t xml:space="preserve">appropriateness of design, </w:t>
      </w:r>
      <w:r w:rsidR="00CF089D">
        <w:t>effective communication,</w:t>
      </w:r>
      <w:r w:rsidR="00F05922">
        <w:t xml:space="preserve"> effective evaluation and adaptability to deliver</w:t>
      </w:r>
      <w:r w:rsidR="00300564">
        <w:t>y</w:t>
      </w:r>
      <w:r w:rsidR="00F05922">
        <w:t xml:space="preserve"> in practice are important </w:t>
      </w:r>
      <w:r w:rsidR="006B0411">
        <w:t xml:space="preserve">qualities when seeking to </w:t>
      </w:r>
      <w:r w:rsidR="00F05922">
        <w:t>chang</w:t>
      </w:r>
      <w:r w:rsidR="006B0411">
        <w:t>e</w:t>
      </w:r>
      <w:r w:rsidR="00F05922">
        <w:t xml:space="preserve"> practice</w:t>
      </w:r>
      <w:r w:rsidR="00CF089D">
        <w:t>.</w:t>
      </w:r>
      <w:r w:rsidR="00F05922">
        <w:rPr>
          <w:vertAlign w:val="superscript"/>
        </w:rPr>
        <w:t>2</w:t>
      </w:r>
      <w:r w:rsidR="00AA69BB">
        <w:rPr>
          <w:vertAlign w:val="superscript"/>
        </w:rPr>
        <w:t>9</w:t>
      </w:r>
      <w:r w:rsidR="00F05922">
        <w:rPr>
          <w:vertAlign w:val="superscript"/>
        </w:rPr>
        <w:t>-</w:t>
      </w:r>
      <w:r w:rsidR="006B6E71">
        <w:rPr>
          <w:vertAlign w:val="superscript"/>
        </w:rPr>
        <w:t>3</w:t>
      </w:r>
      <w:r w:rsidR="00AA69BB">
        <w:rPr>
          <w:vertAlign w:val="superscript"/>
        </w:rPr>
        <w:t>1</w:t>
      </w:r>
    </w:p>
    <w:p w14:paraId="7A3AE8DD" w14:textId="77777777" w:rsidR="00CF089D" w:rsidRDefault="00CF089D" w:rsidP="0040606B">
      <w:pPr>
        <w:spacing w:line="480" w:lineRule="auto"/>
      </w:pPr>
    </w:p>
    <w:p w14:paraId="41046C2F" w14:textId="469CC980" w:rsidR="00CF089D" w:rsidRPr="007E6F73" w:rsidRDefault="006B0411" w:rsidP="0040606B">
      <w:pPr>
        <w:spacing w:line="480" w:lineRule="auto"/>
        <w:rPr>
          <w:rFonts w:cstheme="minorHAnsi"/>
        </w:rPr>
      </w:pPr>
      <w:r>
        <w:rPr>
          <w:rFonts w:cstheme="minorHAnsi"/>
        </w:rPr>
        <w:t xml:space="preserve">The CAC grant-funding approach gave autonomy for the projects to define for themselves the most appropriate ways to engage with their communities, thus delivering </w:t>
      </w:r>
      <w:r w:rsidR="00B403BB">
        <w:rPr>
          <w:rFonts w:cstheme="minorHAnsi"/>
        </w:rPr>
        <w:t>a</w:t>
      </w:r>
      <w:r>
        <w:rPr>
          <w:rFonts w:cstheme="minorHAnsi"/>
        </w:rPr>
        <w:t xml:space="preserve"> tailored approach to community engagement, as recommended in the literature.</w:t>
      </w:r>
      <w:r>
        <w:rPr>
          <w:rFonts w:cstheme="minorHAnsi"/>
          <w:vertAlign w:val="superscript"/>
        </w:rPr>
        <w:t>13-15</w:t>
      </w:r>
      <w:r>
        <w:rPr>
          <w:rFonts w:cstheme="minorHAnsi"/>
        </w:rPr>
        <w:t xml:space="preserve"> This tailored approach helped to ensure engagement with community members was </w:t>
      </w:r>
      <w:r w:rsidR="009E11C1">
        <w:rPr>
          <w:rFonts w:cstheme="minorHAnsi"/>
        </w:rPr>
        <w:t>effectiv</w:t>
      </w:r>
      <w:r>
        <w:rPr>
          <w:rFonts w:cstheme="minorHAnsi"/>
        </w:rPr>
        <w:t>e</w:t>
      </w:r>
      <w:r w:rsidR="009E11C1">
        <w:rPr>
          <w:rFonts w:cstheme="minorHAnsi"/>
        </w:rPr>
        <w:t>,</w:t>
      </w:r>
      <w:r>
        <w:rPr>
          <w:rFonts w:cstheme="minorHAnsi"/>
        </w:rPr>
        <w:t xml:space="preserve"> </w:t>
      </w:r>
      <w:r w:rsidR="00996D90">
        <w:rPr>
          <w:rFonts w:cstheme="minorHAnsi"/>
        </w:rPr>
        <w:t>thus delivering</w:t>
      </w:r>
      <w:r>
        <w:rPr>
          <w:rFonts w:cstheme="minorHAnsi"/>
        </w:rPr>
        <w:t xml:space="preserve"> cancer messag</w:t>
      </w:r>
      <w:r w:rsidR="00996D90">
        <w:rPr>
          <w:rFonts w:cstheme="minorHAnsi"/>
        </w:rPr>
        <w:t xml:space="preserve">es in ways that were </w:t>
      </w:r>
      <w:r>
        <w:rPr>
          <w:rFonts w:cstheme="minorHAnsi"/>
        </w:rPr>
        <w:t xml:space="preserve">aligned to community needs and experience. As a result, </w:t>
      </w:r>
      <w:r w:rsidR="00783812">
        <w:rPr>
          <w:rFonts w:cstheme="minorHAnsi"/>
        </w:rPr>
        <w:t xml:space="preserve">CAC-funded projects </w:t>
      </w:r>
      <w:r>
        <w:rPr>
          <w:rFonts w:cstheme="minorHAnsi"/>
        </w:rPr>
        <w:t xml:space="preserve">were </w:t>
      </w:r>
      <w:r w:rsidRPr="00CF0084">
        <w:rPr>
          <w:rFonts w:cstheme="minorHAnsi"/>
        </w:rPr>
        <w:t>successful</w:t>
      </w:r>
      <w:r>
        <w:rPr>
          <w:rFonts w:cstheme="minorHAnsi"/>
        </w:rPr>
        <w:t xml:space="preserve"> in </w:t>
      </w:r>
      <w:r w:rsidR="0063096C">
        <w:rPr>
          <w:rFonts w:cstheme="minorHAnsi"/>
        </w:rPr>
        <w:t xml:space="preserve">delivering activities </w:t>
      </w:r>
      <w:r w:rsidR="00AD74C1">
        <w:rPr>
          <w:rFonts w:cstheme="minorHAnsi"/>
        </w:rPr>
        <w:t>that</w:t>
      </w:r>
      <w:r w:rsidR="0063096C">
        <w:rPr>
          <w:rFonts w:cstheme="minorHAnsi"/>
        </w:rPr>
        <w:t xml:space="preserve"> raise</w:t>
      </w:r>
      <w:r w:rsidR="00AD74C1">
        <w:rPr>
          <w:rFonts w:cstheme="minorHAnsi"/>
        </w:rPr>
        <w:t>d</w:t>
      </w:r>
      <w:r w:rsidR="0063096C">
        <w:rPr>
          <w:rFonts w:cstheme="minorHAnsi"/>
        </w:rPr>
        <w:t xml:space="preserve"> </w:t>
      </w:r>
      <w:r w:rsidR="00CF089D" w:rsidRPr="0080697C">
        <w:rPr>
          <w:rFonts w:cstheme="minorHAnsi"/>
        </w:rPr>
        <w:t>awareness of the signs and symptoms of cancer</w:t>
      </w:r>
      <w:r w:rsidR="00624494">
        <w:rPr>
          <w:rFonts w:cstheme="minorHAnsi"/>
        </w:rPr>
        <w:t xml:space="preserve"> and promot</w:t>
      </w:r>
      <w:r w:rsidR="00996D90">
        <w:rPr>
          <w:rFonts w:cstheme="minorHAnsi"/>
        </w:rPr>
        <w:t>ing</w:t>
      </w:r>
      <w:r w:rsidR="00624494">
        <w:rPr>
          <w:rFonts w:cstheme="minorHAnsi"/>
        </w:rPr>
        <w:t xml:space="preserve"> </w:t>
      </w:r>
      <w:r w:rsidR="00CF089D" w:rsidRPr="0080697C">
        <w:rPr>
          <w:rFonts w:cstheme="minorHAnsi"/>
        </w:rPr>
        <w:t>healthy lifestyles</w:t>
      </w:r>
      <w:r w:rsidR="00B403BB" w:rsidRPr="007E6F73">
        <w:rPr>
          <w:rFonts w:cstheme="minorHAnsi"/>
        </w:rPr>
        <w:t xml:space="preserve"> and help-seeking behaviours.</w:t>
      </w:r>
    </w:p>
    <w:p w14:paraId="26365417" w14:textId="77777777" w:rsidR="009F07BC" w:rsidRPr="007E6F73" w:rsidRDefault="009F07BC" w:rsidP="0040606B">
      <w:pPr>
        <w:spacing w:line="480" w:lineRule="auto"/>
        <w:rPr>
          <w:rFonts w:cstheme="minorHAnsi"/>
        </w:rPr>
      </w:pPr>
    </w:p>
    <w:p w14:paraId="65915193" w14:textId="6CD33648" w:rsidR="009F07BC" w:rsidRDefault="006B6E71" w:rsidP="0040606B">
      <w:pPr>
        <w:spacing w:line="480" w:lineRule="auto"/>
        <w:rPr>
          <w:rFonts w:cstheme="minorHAnsi"/>
        </w:rPr>
      </w:pPr>
      <w:r>
        <w:rPr>
          <w:rFonts w:cstheme="minorHAnsi"/>
        </w:rPr>
        <w:t>T</w:t>
      </w:r>
      <w:r w:rsidR="009F07BC">
        <w:rPr>
          <w:rFonts w:cstheme="minorHAnsi"/>
        </w:rPr>
        <w:t xml:space="preserve">he CAC scheme </w:t>
      </w:r>
      <w:r w:rsidR="006F1CDF">
        <w:rPr>
          <w:rFonts w:cstheme="minorHAnsi"/>
        </w:rPr>
        <w:t xml:space="preserve">is a </w:t>
      </w:r>
      <w:r w:rsidR="009F07BC">
        <w:rPr>
          <w:rFonts w:cstheme="minorHAnsi"/>
        </w:rPr>
        <w:t>sustainabl</w:t>
      </w:r>
      <w:r w:rsidR="006F1CDF">
        <w:rPr>
          <w:rFonts w:cstheme="minorHAnsi"/>
        </w:rPr>
        <w:t>e model</w:t>
      </w:r>
      <w:r w:rsidR="009F07BC">
        <w:rPr>
          <w:rFonts w:cstheme="minorHAnsi"/>
        </w:rPr>
        <w:t xml:space="preserve"> and, indeed, further </w:t>
      </w:r>
      <w:r w:rsidR="006F1CDF">
        <w:rPr>
          <w:rFonts w:cstheme="minorHAnsi"/>
        </w:rPr>
        <w:t xml:space="preserve">rounds </w:t>
      </w:r>
      <w:r w:rsidR="009F07BC">
        <w:rPr>
          <w:rFonts w:cstheme="minorHAnsi"/>
        </w:rPr>
        <w:t xml:space="preserve">of grant-funding have been </w:t>
      </w:r>
      <w:r w:rsidR="006F1CDF">
        <w:rPr>
          <w:rFonts w:cstheme="minorHAnsi"/>
        </w:rPr>
        <w:t xml:space="preserve">allocated </w:t>
      </w:r>
      <w:proofErr w:type="gramStart"/>
      <w:r w:rsidR="009F07BC">
        <w:rPr>
          <w:rFonts w:cstheme="minorHAnsi"/>
        </w:rPr>
        <w:t>on the basis of</w:t>
      </w:r>
      <w:proofErr w:type="gramEnd"/>
      <w:r w:rsidR="009F07BC">
        <w:rPr>
          <w:rFonts w:cstheme="minorHAnsi"/>
        </w:rPr>
        <w:t xml:space="preserve"> study findings presented here. Furthermore, grant-holders from earlier rounds have successfully applied for further CAC fund</w:t>
      </w:r>
      <w:r>
        <w:rPr>
          <w:rFonts w:cstheme="minorHAnsi"/>
        </w:rPr>
        <w:t>ing</w:t>
      </w:r>
      <w:r w:rsidR="009F07BC">
        <w:rPr>
          <w:rFonts w:cstheme="minorHAnsi"/>
        </w:rPr>
        <w:t xml:space="preserve">, enabling them to extend the reach and impact of their activities. </w:t>
      </w:r>
      <w:r w:rsidR="00542C05">
        <w:rPr>
          <w:rFonts w:cstheme="minorHAnsi"/>
        </w:rPr>
        <w:t xml:space="preserve">In addition, the CAC grant scheme </w:t>
      </w:r>
      <w:r>
        <w:rPr>
          <w:rFonts w:cstheme="minorHAnsi"/>
        </w:rPr>
        <w:t>i</w:t>
      </w:r>
      <w:r w:rsidR="00542C05">
        <w:rPr>
          <w:rFonts w:cstheme="minorHAnsi"/>
        </w:rPr>
        <w:t>s replicabl</w:t>
      </w:r>
      <w:r>
        <w:rPr>
          <w:rFonts w:cstheme="minorHAnsi"/>
        </w:rPr>
        <w:t>e</w:t>
      </w:r>
      <w:r w:rsidR="00542C05">
        <w:rPr>
          <w:rFonts w:cstheme="minorHAnsi"/>
        </w:rPr>
        <w:t xml:space="preserve">. </w:t>
      </w:r>
      <w:r w:rsidR="009F07BC">
        <w:rPr>
          <w:rFonts w:cstheme="minorHAnsi"/>
        </w:rPr>
        <w:t xml:space="preserve">Given the </w:t>
      </w:r>
      <w:r w:rsidR="0063096C">
        <w:rPr>
          <w:rFonts w:cstheme="minorHAnsi"/>
        </w:rPr>
        <w:t>successful delivery of information and awareness through CAC funding relating to</w:t>
      </w:r>
      <w:r w:rsidR="00542C05">
        <w:rPr>
          <w:rFonts w:cstheme="minorHAnsi"/>
        </w:rPr>
        <w:t xml:space="preserve"> cancer awareness, healthy behaviour and health seeking activities, the grant-scheme model warrants consideration for adoption in other regions and for other health conditions </w:t>
      </w:r>
      <w:r w:rsidR="009F07BC" w:rsidRPr="007E6F73">
        <w:rPr>
          <w:rFonts w:cstheme="minorHAnsi"/>
        </w:rPr>
        <w:t>(e.g.</w:t>
      </w:r>
      <w:r w:rsidR="00542C05">
        <w:rPr>
          <w:rFonts w:cstheme="minorHAnsi"/>
        </w:rPr>
        <w:t xml:space="preserve"> heart disease</w:t>
      </w:r>
      <w:r w:rsidR="009F07BC" w:rsidRPr="007E6F73">
        <w:rPr>
          <w:rFonts w:cstheme="minorHAnsi"/>
        </w:rPr>
        <w:t>)</w:t>
      </w:r>
      <w:r w:rsidR="006F1CDF">
        <w:rPr>
          <w:rFonts w:cstheme="minorHAnsi"/>
        </w:rPr>
        <w:t>.</w:t>
      </w:r>
    </w:p>
    <w:p w14:paraId="7D966F19" w14:textId="77777777" w:rsidR="00D948BB" w:rsidRDefault="00D948BB" w:rsidP="0040606B">
      <w:pPr>
        <w:spacing w:line="480" w:lineRule="auto"/>
      </w:pPr>
    </w:p>
    <w:p w14:paraId="0F310AB8" w14:textId="190CEB4D" w:rsidR="00D948BB" w:rsidRPr="00937799" w:rsidRDefault="00D948BB" w:rsidP="0040606B">
      <w:pPr>
        <w:spacing w:line="480" w:lineRule="auto"/>
        <w:rPr>
          <w:b/>
          <w:bCs/>
          <w:i/>
          <w:iCs/>
        </w:rPr>
      </w:pPr>
      <w:r w:rsidRPr="00937799">
        <w:rPr>
          <w:b/>
          <w:bCs/>
          <w:i/>
          <w:iCs/>
        </w:rPr>
        <w:t>Limitation</w:t>
      </w:r>
      <w:r w:rsidR="00955F13">
        <w:rPr>
          <w:b/>
          <w:bCs/>
          <w:i/>
          <w:iCs/>
        </w:rPr>
        <w:t>s</w:t>
      </w:r>
    </w:p>
    <w:p w14:paraId="0607CE55" w14:textId="13CAFC00" w:rsidR="00D948BB" w:rsidRDefault="00955F13" w:rsidP="0040606B">
      <w:pPr>
        <w:spacing w:line="480" w:lineRule="auto"/>
      </w:pPr>
      <w:r>
        <w:t xml:space="preserve">While the </w:t>
      </w:r>
      <w:r w:rsidR="00EE1EAC">
        <w:t>qualitative</w:t>
      </w:r>
      <w:r>
        <w:t xml:space="preserve"> approach undertaken was effective in eliciting the experience and</w:t>
      </w:r>
      <w:r w:rsidR="006F38A4">
        <w:t xml:space="preserve"> </w:t>
      </w:r>
      <w:r w:rsidR="006F38A4" w:rsidRPr="00C21F6E">
        <w:t>effectiveness</w:t>
      </w:r>
      <w:r w:rsidR="006F38A4">
        <w:t xml:space="preserve"> </w:t>
      </w:r>
      <w:r>
        <w:t xml:space="preserve">of community </w:t>
      </w:r>
      <w:r w:rsidR="009464BA">
        <w:t>engagement</w:t>
      </w:r>
      <w:r>
        <w:t xml:space="preserve"> activities, several limitations should be noted. The approach was appropriate in identifying the short- to medium-term </w:t>
      </w:r>
      <w:r w:rsidR="0063096C">
        <w:t>outputs from CAC-funded activities. However</w:t>
      </w:r>
      <w:r>
        <w:t xml:space="preserve">, </w:t>
      </w:r>
      <w:r w:rsidR="0063096C">
        <w:t>t</w:t>
      </w:r>
      <w:r>
        <w:t>he longer</w:t>
      </w:r>
      <w:r w:rsidR="00996D90">
        <w:t>-</w:t>
      </w:r>
      <w:r>
        <w:t>term outcome</w:t>
      </w:r>
      <w:r w:rsidR="00976648">
        <w:t>s</w:t>
      </w:r>
      <w:r w:rsidR="0063096C">
        <w:t xml:space="preserve"> from these activities</w:t>
      </w:r>
      <w:r>
        <w:t xml:space="preserve">, such as </w:t>
      </w:r>
      <w:r w:rsidR="002637AA">
        <w:t xml:space="preserve">the </w:t>
      </w:r>
      <w:r w:rsidR="00AE4FA8">
        <w:t>influence</w:t>
      </w:r>
      <w:r>
        <w:t xml:space="preserve"> on </w:t>
      </w:r>
      <w:r w:rsidR="00D948BB">
        <w:t>screening</w:t>
      </w:r>
      <w:r>
        <w:t xml:space="preserve"> </w:t>
      </w:r>
      <w:r w:rsidR="00D948BB">
        <w:t>attendance</w:t>
      </w:r>
      <w:r w:rsidR="009464BA">
        <w:t>,</w:t>
      </w:r>
      <w:r w:rsidR="00D948BB">
        <w:t xml:space="preserve"> </w:t>
      </w:r>
      <w:r w:rsidR="009464BA">
        <w:t>we</w:t>
      </w:r>
      <w:r>
        <w:t>re beyond the timeframe of this study</w:t>
      </w:r>
      <w:r w:rsidR="00AE4FA8">
        <w:t xml:space="preserve">. </w:t>
      </w:r>
      <w:r w:rsidR="003927F0">
        <w:t>W</w:t>
      </w:r>
      <w:r w:rsidR="00FB705A">
        <w:t xml:space="preserve">hile it was possible to explore the </w:t>
      </w:r>
      <w:r w:rsidR="008F779D">
        <w:t xml:space="preserve">influence </w:t>
      </w:r>
      <w:r w:rsidR="0076423F">
        <w:t xml:space="preserve">of certain projects on </w:t>
      </w:r>
      <w:r w:rsidR="00FB705A">
        <w:t xml:space="preserve">attendees (e.g. workshops), it was not possible </w:t>
      </w:r>
      <w:r w:rsidR="00976648">
        <w:t>with</w:t>
      </w:r>
      <w:r w:rsidR="00FB705A">
        <w:t xml:space="preserve"> the study design to capture </w:t>
      </w:r>
      <w:r w:rsidR="0076423F">
        <w:t>responses for other recipients of cancer messages</w:t>
      </w:r>
      <w:r w:rsidR="00FB705A">
        <w:t xml:space="preserve"> </w:t>
      </w:r>
      <w:r w:rsidR="0076423F">
        <w:t>(</w:t>
      </w:r>
      <w:r w:rsidR="00FB705A">
        <w:t>e.g. listeners to radio</w:t>
      </w:r>
      <w:r w:rsidR="000A12C0">
        <w:t xml:space="preserve"> </w:t>
      </w:r>
      <w:r w:rsidR="00FB705A">
        <w:t>stations</w:t>
      </w:r>
      <w:r w:rsidR="0076423F">
        <w:t>)</w:t>
      </w:r>
      <w:r w:rsidR="00FB705A">
        <w:t>.</w:t>
      </w:r>
      <w:r w:rsidR="006157A3">
        <w:t xml:space="preserve"> </w:t>
      </w:r>
      <w:r w:rsidR="00C85DB1">
        <w:t>Furthermore, the findings from the study would have been strengthened further by interview</w:t>
      </w:r>
      <w:r w:rsidR="004119D8">
        <w:t>ing</w:t>
      </w:r>
      <w:r w:rsidR="00C85DB1">
        <w:t xml:space="preserve"> more participants in CAC-funded activities relative to grant recipients. </w:t>
      </w:r>
      <w:r w:rsidR="003927F0">
        <w:t xml:space="preserve">In addition, the </w:t>
      </w:r>
      <w:r w:rsidR="008F779D">
        <w:t>‘</w:t>
      </w:r>
      <w:r w:rsidR="003927F0">
        <w:t>intention-behaviour gap’</w:t>
      </w:r>
      <w:r w:rsidR="008F779D">
        <w:t>,</w:t>
      </w:r>
      <w:r w:rsidR="003927F0">
        <w:t xml:space="preserve"> widely recognised in health literature</w:t>
      </w:r>
      <w:r w:rsidR="008F779D">
        <w:t>,</w:t>
      </w:r>
      <w:r w:rsidR="003927F0">
        <w:t xml:space="preserve"> </w:t>
      </w:r>
      <w:r w:rsidR="008F779D">
        <w:t xml:space="preserve">acknowledges </w:t>
      </w:r>
      <w:r w:rsidR="003927F0">
        <w:t>that intended actions may not be realise</w:t>
      </w:r>
      <w:r w:rsidR="008F779D">
        <w:t>d</w:t>
      </w:r>
      <w:r w:rsidR="003927F0">
        <w:t xml:space="preserve"> in actual behaviour.</w:t>
      </w:r>
      <w:r w:rsidR="006B6E71">
        <w:rPr>
          <w:vertAlign w:val="superscript"/>
        </w:rPr>
        <w:t>3</w:t>
      </w:r>
      <w:r w:rsidR="004119D8">
        <w:rPr>
          <w:vertAlign w:val="superscript"/>
        </w:rPr>
        <w:t>2</w:t>
      </w:r>
      <w:r w:rsidR="003927F0">
        <w:t xml:space="preserve"> </w:t>
      </w:r>
      <w:r w:rsidR="00FB705A">
        <w:t>Finally, there is a r</w:t>
      </w:r>
      <w:r w:rsidR="00D948BB">
        <w:t xml:space="preserve">isk of bias in </w:t>
      </w:r>
      <w:r w:rsidR="00FB705A">
        <w:t xml:space="preserve">gathering qualitative information from </w:t>
      </w:r>
      <w:r w:rsidR="00D948BB">
        <w:t xml:space="preserve">grant </w:t>
      </w:r>
      <w:r w:rsidR="00D948BB">
        <w:lastRenderedPageBreak/>
        <w:t>recipients</w:t>
      </w:r>
      <w:r w:rsidR="00FB705A">
        <w:t>. This was addressed by explorin</w:t>
      </w:r>
      <w:r w:rsidR="0076423F">
        <w:t>g</w:t>
      </w:r>
      <w:r w:rsidR="00FB705A">
        <w:t xml:space="preserve"> challenges by a team of experienced researchers</w:t>
      </w:r>
      <w:r w:rsidR="00410553">
        <w:t xml:space="preserve"> and</w:t>
      </w:r>
      <w:r w:rsidR="00FB705A">
        <w:t xml:space="preserve"> the assurance of confidentiality</w:t>
      </w:r>
      <w:r w:rsidR="00410553">
        <w:t>. N</w:t>
      </w:r>
      <w:r w:rsidR="00FB705A">
        <w:t>o such bias was evident in the analysis.</w:t>
      </w:r>
    </w:p>
    <w:p w14:paraId="30916416" w14:textId="77777777" w:rsidR="001678A3" w:rsidRDefault="001678A3" w:rsidP="0040606B">
      <w:pPr>
        <w:spacing w:line="480" w:lineRule="auto"/>
      </w:pPr>
    </w:p>
    <w:p w14:paraId="20578604" w14:textId="77777777" w:rsidR="00EF52D8" w:rsidRDefault="00D948BB" w:rsidP="0040606B">
      <w:pPr>
        <w:spacing w:line="480" w:lineRule="auto"/>
        <w:rPr>
          <w:b/>
          <w:bCs/>
        </w:rPr>
      </w:pPr>
      <w:r w:rsidRPr="00A53EA7">
        <w:rPr>
          <w:b/>
          <w:bCs/>
        </w:rPr>
        <w:t>Conclusion</w:t>
      </w:r>
    </w:p>
    <w:p w14:paraId="288BDBA1" w14:textId="3AA3298A" w:rsidR="00FB705A" w:rsidRDefault="007575CA" w:rsidP="0040606B">
      <w:pPr>
        <w:spacing w:line="480" w:lineRule="auto"/>
      </w:pPr>
      <w:r>
        <w:t>Improved r</w:t>
      </w:r>
      <w:r w:rsidR="00FB705A">
        <w:t>ates of early detection</w:t>
      </w:r>
      <w:r w:rsidR="00241A57">
        <w:t xml:space="preserve"> of cancer</w:t>
      </w:r>
      <w:r>
        <w:t xml:space="preserve"> for marginalised communities remains a high priority within the UK and internationally. Community engagement is needed to</w:t>
      </w:r>
      <w:r w:rsidR="00FB705A">
        <w:t xml:space="preserve"> encourage health</w:t>
      </w:r>
      <w:r>
        <w:t>ier</w:t>
      </w:r>
      <w:r w:rsidR="00FB705A">
        <w:t xml:space="preserve"> </w:t>
      </w:r>
      <w:r>
        <w:t>lifestyles, increase cancer knowledge and improve help-seeking behaviours</w:t>
      </w:r>
      <w:r w:rsidR="00FB705A">
        <w:t xml:space="preserve">. </w:t>
      </w:r>
      <w:r>
        <w:t>An adaptable, tailored approach, co-created with marginalised communities is recommended</w:t>
      </w:r>
      <w:r w:rsidR="00FB705A">
        <w:t>. The CAC</w:t>
      </w:r>
      <w:r>
        <w:t xml:space="preserve"> </w:t>
      </w:r>
      <w:r w:rsidR="00FB705A">
        <w:t>community-based grant scheme adopted such an approach</w:t>
      </w:r>
      <w:r w:rsidR="00F173BB">
        <w:t>,</w:t>
      </w:r>
      <w:r>
        <w:t xml:space="preserve"> resulting in </w:t>
      </w:r>
      <w:r w:rsidR="00EE1EAC">
        <w:t>the successful delivery of activities and information to support behaviour change</w:t>
      </w:r>
      <w:r w:rsidR="00F173BB" w:rsidRPr="00376267">
        <w:rPr>
          <w:rFonts w:cstheme="minorHAnsi"/>
        </w:rPr>
        <w:t>.</w:t>
      </w:r>
      <w:r w:rsidR="002637AA">
        <w:rPr>
          <w:rFonts w:cstheme="minorHAnsi"/>
        </w:rPr>
        <w:t xml:space="preserve"> For </w:t>
      </w:r>
      <w:r>
        <w:rPr>
          <w:rFonts w:cstheme="minorHAnsi"/>
        </w:rPr>
        <w:t>community grant-holders,</w:t>
      </w:r>
      <w:r w:rsidR="002637AA">
        <w:rPr>
          <w:rFonts w:cstheme="minorHAnsi"/>
        </w:rPr>
        <w:t xml:space="preserve"> a clearly stated plan and aims,</w:t>
      </w:r>
      <w:r w:rsidR="002637AA">
        <w:t xml:space="preserve"> aligned vision, effective communication and adaptability to deliver</w:t>
      </w:r>
      <w:r>
        <w:t>y</w:t>
      </w:r>
      <w:r w:rsidR="002637AA">
        <w:t xml:space="preserve"> in practice </w:t>
      </w:r>
      <w:r w:rsidR="00E67984">
        <w:t xml:space="preserve">were important factors in assuring successful </w:t>
      </w:r>
      <w:r w:rsidR="00EE1EAC">
        <w:t>delivery</w:t>
      </w:r>
      <w:r>
        <w:t xml:space="preserve">. </w:t>
      </w:r>
      <w:r w:rsidR="00996D90">
        <w:t xml:space="preserve">These </w:t>
      </w:r>
      <w:r w:rsidR="001D56F9">
        <w:t xml:space="preserve">characteristics of successful projects should be </w:t>
      </w:r>
      <w:r w:rsidR="00996D90">
        <w:t>considered</w:t>
      </w:r>
      <w:r w:rsidR="001D56F9">
        <w:t xml:space="preserve"> when funding or delivering community engagement activities</w:t>
      </w:r>
      <w:r w:rsidR="00996D90">
        <w:t xml:space="preserve"> for marginalised communities</w:t>
      </w:r>
      <w:r w:rsidR="001D56F9">
        <w:t>.</w:t>
      </w:r>
    </w:p>
    <w:p w14:paraId="6FA0D301" w14:textId="77777777" w:rsidR="00E8638C" w:rsidRDefault="00E8638C" w:rsidP="0040606B">
      <w:pPr>
        <w:spacing w:line="480" w:lineRule="auto"/>
      </w:pPr>
    </w:p>
    <w:p w14:paraId="14DA7B13" w14:textId="57592FB5" w:rsidR="00323B74" w:rsidRDefault="00323B74" w:rsidP="0040606B">
      <w:pPr>
        <w:spacing w:line="480" w:lineRule="auto"/>
        <w:rPr>
          <w:b/>
          <w:bCs/>
        </w:rPr>
      </w:pPr>
      <w:r>
        <w:rPr>
          <w:b/>
          <w:bCs/>
        </w:rPr>
        <w:t>Abbreviations</w:t>
      </w:r>
    </w:p>
    <w:p w14:paraId="33AB7E54" w14:textId="1A5EA5B9" w:rsidR="00323B74" w:rsidRDefault="00AE3CB1" w:rsidP="0040606B">
      <w:pPr>
        <w:spacing w:line="480" w:lineRule="auto"/>
      </w:pPr>
      <w:r w:rsidRPr="00AE3CB1">
        <w:t>CAC</w:t>
      </w:r>
      <w:r>
        <w:t xml:space="preserve">: </w:t>
      </w:r>
      <w:r w:rsidRPr="00AE3CB1">
        <w:t>Communities Against Cancer</w:t>
      </w:r>
    </w:p>
    <w:p w14:paraId="1C6E0F61" w14:textId="478F2B68" w:rsidR="00C13FAA" w:rsidRDefault="00C13FAA" w:rsidP="0040606B">
      <w:pPr>
        <w:spacing w:line="480" w:lineRule="auto"/>
      </w:pPr>
      <w:r>
        <w:t>CFIR: Consolidated Framework for Implementation Research</w:t>
      </w:r>
    </w:p>
    <w:p w14:paraId="57827B7F" w14:textId="070315F5" w:rsidR="00E81707" w:rsidRDefault="00E81707" w:rsidP="0040606B">
      <w:pPr>
        <w:spacing w:line="480" w:lineRule="auto"/>
      </w:pPr>
      <w:r>
        <w:t>LGBTQ+: Lesbian, Gay, Bisexual, Transgender, Queer or Questioning plus</w:t>
      </w:r>
    </w:p>
    <w:p w14:paraId="1F78E6A3" w14:textId="42FBF8BE" w:rsidR="000937C1" w:rsidRDefault="000937C1" w:rsidP="0040606B">
      <w:pPr>
        <w:spacing w:line="480" w:lineRule="auto"/>
      </w:pPr>
      <w:r>
        <w:t>PSA: Prostate-Specific Antigen</w:t>
      </w:r>
    </w:p>
    <w:p w14:paraId="0A64D8BE" w14:textId="03210764" w:rsidR="00926A04" w:rsidRDefault="00926A04" w:rsidP="0040606B">
      <w:pPr>
        <w:spacing w:line="480" w:lineRule="auto"/>
      </w:pPr>
      <w:r>
        <w:t>TNQ: Transgender, non-binary, gender identity questioning</w:t>
      </w:r>
    </w:p>
    <w:p w14:paraId="3DF42E37" w14:textId="77777777" w:rsidR="00D501A2" w:rsidRPr="00AE3CB1" w:rsidRDefault="00D501A2" w:rsidP="0040606B">
      <w:pPr>
        <w:spacing w:line="480" w:lineRule="auto"/>
      </w:pPr>
    </w:p>
    <w:p w14:paraId="03BA0327" w14:textId="53FB0017" w:rsidR="00937799" w:rsidRPr="00A43C1C" w:rsidRDefault="00EF52D8" w:rsidP="0040606B">
      <w:pPr>
        <w:spacing w:line="480" w:lineRule="auto"/>
        <w:rPr>
          <w:b/>
          <w:bCs/>
        </w:rPr>
      </w:pPr>
      <w:r w:rsidRPr="00A43C1C">
        <w:rPr>
          <w:b/>
          <w:bCs/>
        </w:rPr>
        <w:t>References</w:t>
      </w:r>
    </w:p>
    <w:p w14:paraId="50E0C822" w14:textId="77777777" w:rsidR="00EF52D8" w:rsidRDefault="00EF52D8" w:rsidP="0040606B">
      <w:pPr>
        <w:spacing w:line="480" w:lineRule="auto"/>
      </w:pPr>
    </w:p>
    <w:p w14:paraId="2B357E79" w14:textId="1932C7D5" w:rsidR="00D035FA" w:rsidRDefault="00D035FA" w:rsidP="0040606B">
      <w:pPr>
        <w:pStyle w:val="ListParagraph"/>
        <w:numPr>
          <w:ilvl w:val="0"/>
          <w:numId w:val="6"/>
        </w:numPr>
        <w:spacing w:line="480" w:lineRule="auto"/>
      </w:pPr>
      <w:r w:rsidRPr="00D035FA">
        <w:lastRenderedPageBreak/>
        <w:t>Hawkes N. Cancer survival data emphasise importance of early diagnosis. BMJ. 2019;</w:t>
      </w:r>
      <w:proofErr w:type="gramStart"/>
      <w:r w:rsidRPr="00D035FA">
        <w:t>364:l</w:t>
      </w:r>
      <w:proofErr w:type="gramEnd"/>
      <w:r w:rsidRPr="00D035FA">
        <w:t xml:space="preserve">408. </w:t>
      </w:r>
      <w:proofErr w:type="spellStart"/>
      <w:r w:rsidRPr="00D035FA">
        <w:t>doi</w:t>
      </w:r>
      <w:proofErr w:type="spellEnd"/>
      <w:r w:rsidRPr="00D035FA">
        <w:t>: 10.1136/</w:t>
      </w:r>
      <w:proofErr w:type="gramStart"/>
      <w:r w:rsidRPr="00D035FA">
        <w:t>bmj.l</w:t>
      </w:r>
      <w:proofErr w:type="gramEnd"/>
      <w:r w:rsidRPr="00D035FA">
        <w:t>408. PMID: 30683652.</w:t>
      </w:r>
    </w:p>
    <w:p w14:paraId="1B2BC917" w14:textId="6209B74D" w:rsidR="00C1010E" w:rsidRPr="00560E78" w:rsidRDefault="00C1010E" w:rsidP="0040606B">
      <w:pPr>
        <w:pStyle w:val="ListParagraph"/>
        <w:numPr>
          <w:ilvl w:val="0"/>
          <w:numId w:val="6"/>
        </w:numPr>
        <w:spacing w:line="480" w:lineRule="auto"/>
      </w:pPr>
      <w:r w:rsidRPr="00560E78">
        <w:t xml:space="preserve">Fry A, White B, </w:t>
      </w:r>
      <w:proofErr w:type="spellStart"/>
      <w:r w:rsidRPr="00560E78">
        <w:t>Nagarwalla</w:t>
      </w:r>
      <w:proofErr w:type="spellEnd"/>
      <w:r w:rsidRPr="00560E78">
        <w:t xml:space="preserve"> D, et al. Relationship between ethnicity and stage at diagnosis in England: a national analysis of six cancer sites. BMJ Open</w:t>
      </w:r>
      <w:r w:rsidR="00B41CDF">
        <w:t xml:space="preserve">. </w:t>
      </w:r>
      <w:r w:rsidR="00B41CDF" w:rsidRPr="00560E78">
        <w:t>2023</w:t>
      </w:r>
      <w:r w:rsidR="00B41CDF">
        <w:t>;</w:t>
      </w:r>
      <w:proofErr w:type="gramStart"/>
      <w:r w:rsidRPr="00560E78">
        <w:t>13:e</w:t>
      </w:r>
      <w:proofErr w:type="gramEnd"/>
      <w:r w:rsidRPr="00560E78">
        <w:t>062079. doi:10.1136/bmjopen-2022-062079.</w:t>
      </w:r>
    </w:p>
    <w:p w14:paraId="3FC3BEC6" w14:textId="30C858AF" w:rsidR="00560E78" w:rsidRPr="00560E78" w:rsidRDefault="00560E78" w:rsidP="0040606B">
      <w:pPr>
        <w:pStyle w:val="ListParagraph"/>
        <w:numPr>
          <w:ilvl w:val="0"/>
          <w:numId w:val="6"/>
        </w:numPr>
        <w:spacing w:line="480" w:lineRule="auto"/>
      </w:pPr>
      <w:r w:rsidRPr="00560E78">
        <w:t>Ferreira CS, Rodrigues J, Moreira S, et al. Breast cancer screening adherence rates and barriers of implementation in ethnic, cultural and religious minorities: A systematic review. Molecular and Clinical Oncology</w:t>
      </w:r>
      <w:r w:rsidR="001125DD">
        <w:t xml:space="preserve">. </w:t>
      </w:r>
      <w:proofErr w:type="gramStart"/>
      <w:r w:rsidR="001125DD" w:rsidRPr="00560E78">
        <w:t>2021</w:t>
      </w:r>
      <w:r w:rsidR="001125DD">
        <w:t>;</w:t>
      </w:r>
      <w:r w:rsidRPr="00560E78">
        <w:t>15</w:t>
      </w:r>
      <w:r w:rsidR="001125DD">
        <w:t>:</w:t>
      </w:r>
      <w:r w:rsidRPr="00560E78">
        <w:t>1</w:t>
      </w:r>
      <w:proofErr w:type="gramEnd"/>
      <w:r w:rsidRPr="00560E78">
        <w:t>-9.</w:t>
      </w:r>
    </w:p>
    <w:p w14:paraId="08BF75FC" w14:textId="3D310C74" w:rsidR="00560E78" w:rsidRPr="00560E78" w:rsidRDefault="00560E78" w:rsidP="0040606B">
      <w:pPr>
        <w:pStyle w:val="ListParagraph"/>
        <w:numPr>
          <w:ilvl w:val="0"/>
          <w:numId w:val="6"/>
        </w:numPr>
        <w:spacing w:line="480" w:lineRule="auto"/>
      </w:pPr>
      <w:r w:rsidRPr="00560E78">
        <w:t xml:space="preserve">Amboree TL, </w:t>
      </w:r>
      <w:proofErr w:type="spellStart"/>
      <w:r w:rsidRPr="00560E78">
        <w:t>Darkoh</w:t>
      </w:r>
      <w:proofErr w:type="spellEnd"/>
      <w:r w:rsidRPr="00560E78">
        <w:t xml:space="preserve"> C. Barriers to Human Papillomavirus Vaccine Uptake Among Racial/Ethnic Minorities: a Systematic Review. Journal of Racial and Ethnic Health Disparities</w:t>
      </w:r>
      <w:r w:rsidR="001C28EC">
        <w:t xml:space="preserve">. </w:t>
      </w:r>
      <w:proofErr w:type="gramStart"/>
      <w:r w:rsidR="001C28EC" w:rsidRPr="00560E78">
        <w:t>2021</w:t>
      </w:r>
      <w:r w:rsidR="001C28EC">
        <w:t>;</w:t>
      </w:r>
      <w:r w:rsidRPr="00560E78">
        <w:t>8</w:t>
      </w:r>
      <w:r w:rsidR="001C28EC">
        <w:t>:</w:t>
      </w:r>
      <w:r w:rsidRPr="00560E78">
        <w:t>1192</w:t>
      </w:r>
      <w:proofErr w:type="gramEnd"/>
      <w:r w:rsidRPr="00560E78">
        <w:t>-1207.</w:t>
      </w:r>
    </w:p>
    <w:p w14:paraId="01A94457" w14:textId="2C9BBF31" w:rsidR="00560E78" w:rsidRPr="00560E78" w:rsidRDefault="00560E78" w:rsidP="0040606B">
      <w:pPr>
        <w:pStyle w:val="ListParagraph"/>
        <w:numPr>
          <w:ilvl w:val="0"/>
          <w:numId w:val="6"/>
        </w:numPr>
        <w:spacing w:line="480" w:lineRule="auto"/>
      </w:pPr>
      <w:r w:rsidRPr="00560E78">
        <w:t>Workman SC, Thompson MC, Lau L</w:t>
      </w:r>
      <w:r w:rsidR="00B123B2">
        <w:t>.</w:t>
      </w:r>
      <w:r w:rsidRPr="00560E78">
        <w:t xml:space="preserve"> Decolonising medical knowledge – The case of breast cancer and ethnicity in the UK. Journal of Cancer Policy</w:t>
      </w:r>
      <w:r w:rsidR="00B123B2" w:rsidRPr="00560E78">
        <w:t>. 2023</w:t>
      </w:r>
      <w:r w:rsidR="00B123B2">
        <w:t>;</w:t>
      </w:r>
      <w:r w:rsidRPr="00560E78">
        <w:t>36</w:t>
      </w:r>
      <w:r w:rsidR="00B123B2">
        <w:t>:</w:t>
      </w:r>
      <w:r w:rsidRPr="00560E78">
        <w:t xml:space="preserve"> 100365.</w:t>
      </w:r>
    </w:p>
    <w:p w14:paraId="7996CE98" w14:textId="69560C30" w:rsidR="00084CF7" w:rsidRDefault="004D78AD" w:rsidP="0040606B">
      <w:pPr>
        <w:pStyle w:val="ListParagraph"/>
        <w:numPr>
          <w:ilvl w:val="0"/>
          <w:numId w:val="6"/>
        </w:numPr>
        <w:spacing w:line="480" w:lineRule="auto"/>
      </w:pPr>
      <w:r w:rsidRPr="004D78AD">
        <w:t xml:space="preserve">Abraham S, Foreman N, Sidat Z, et al. Inequalities in cancer screening, prevention and service engagement between UK ethnic minority groups. Br J </w:t>
      </w:r>
      <w:proofErr w:type="spellStart"/>
      <w:r w:rsidRPr="004D78AD">
        <w:t>Nurs</w:t>
      </w:r>
      <w:proofErr w:type="spellEnd"/>
      <w:r w:rsidR="0094121E">
        <w:t>.</w:t>
      </w:r>
      <w:r w:rsidRPr="004D78AD">
        <w:t xml:space="preserve"> </w:t>
      </w:r>
      <w:r w:rsidR="0094121E" w:rsidRPr="004D78AD">
        <w:t>2022</w:t>
      </w:r>
      <w:r w:rsidR="0094121E">
        <w:t>;</w:t>
      </w:r>
      <w:r w:rsidRPr="004D78AD">
        <w:t>31</w:t>
      </w:r>
      <w:r w:rsidR="002109B6">
        <w:t>:</w:t>
      </w:r>
      <w:r w:rsidRPr="004D78AD">
        <w:t xml:space="preserve"> S14-</w:t>
      </w:r>
      <w:r w:rsidR="002109B6">
        <w:t>S</w:t>
      </w:r>
      <w:r w:rsidRPr="004D78AD">
        <w:t>24. </w:t>
      </w:r>
    </w:p>
    <w:p w14:paraId="370905BC" w14:textId="25DDD5B6" w:rsidR="00560E78" w:rsidRPr="00560E78" w:rsidRDefault="00560E78" w:rsidP="0040606B">
      <w:pPr>
        <w:pStyle w:val="ListParagraph"/>
        <w:numPr>
          <w:ilvl w:val="0"/>
          <w:numId w:val="6"/>
        </w:numPr>
        <w:spacing w:line="480" w:lineRule="auto"/>
      </w:pPr>
      <w:r w:rsidRPr="00560E78">
        <w:t xml:space="preserve">Niksic M, Rachet B, Warburton FG, et al. Ethnic differences in cancer symptom awareness and barriers to seeking medical help in England. Br J Cancer. </w:t>
      </w:r>
      <w:r w:rsidR="009E6E3E" w:rsidRPr="00560E78">
        <w:t>2016</w:t>
      </w:r>
      <w:r w:rsidRPr="00560E78">
        <w:t xml:space="preserve">;115(1):136-44. </w:t>
      </w:r>
      <w:proofErr w:type="spellStart"/>
      <w:r w:rsidRPr="00560E78">
        <w:t>doi</w:t>
      </w:r>
      <w:proofErr w:type="spellEnd"/>
      <w:r w:rsidRPr="00560E78">
        <w:t>: 10.1038/bjc.2016.158.</w:t>
      </w:r>
    </w:p>
    <w:p w14:paraId="20AC00F3" w14:textId="3512E6E6" w:rsidR="006D59DD" w:rsidRPr="006D59DD" w:rsidRDefault="006D59DD" w:rsidP="0040606B">
      <w:pPr>
        <w:pStyle w:val="ListParagraph"/>
        <w:numPr>
          <w:ilvl w:val="0"/>
          <w:numId w:val="6"/>
        </w:numPr>
        <w:spacing w:line="480" w:lineRule="auto"/>
      </w:pPr>
      <w:r w:rsidRPr="006D59DD">
        <w:t>Bolarinwa OA, Holt N</w:t>
      </w:r>
      <w:r w:rsidR="00C2592D">
        <w:t>.</w:t>
      </w:r>
      <w:r w:rsidRPr="006D59DD">
        <w:t xml:space="preserve"> Barriers to breast and cervical cancer screening uptake among Black, Asian, and Minority Ethnic women in the United Kingdom: evidence from a mixed-methods systematic review. BMC Health </w:t>
      </w:r>
      <w:proofErr w:type="spellStart"/>
      <w:r w:rsidRPr="006D59DD">
        <w:t>Serv</w:t>
      </w:r>
      <w:proofErr w:type="spellEnd"/>
      <w:r w:rsidRPr="006D59DD">
        <w:t xml:space="preserve"> Res. </w:t>
      </w:r>
      <w:r w:rsidR="00C2592D" w:rsidRPr="006D59DD">
        <w:t>2023</w:t>
      </w:r>
      <w:r w:rsidR="00C2592D">
        <w:t xml:space="preserve">; </w:t>
      </w:r>
      <w:r w:rsidRPr="006D59DD">
        <w:t xml:space="preserve">23(1):390. </w:t>
      </w:r>
      <w:proofErr w:type="spellStart"/>
      <w:r w:rsidRPr="006D59DD">
        <w:t>doi</w:t>
      </w:r>
      <w:proofErr w:type="spellEnd"/>
      <w:r w:rsidRPr="006D59DD">
        <w:t>: 10.1186/s12913-023-09410-x.</w:t>
      </w:r>
    </w:p>
    <w:p w14:paraId="1F1E344D" w14:textId="77956A15" w:rsidR="009660D2" w:rsidRPr="003E6C5F" w:rsidRDefault="009660D2" w:rsidP="0040606B">
      <w:pPr>
        <w:pStyle w:val="ListParagraph"/>
        <w:numPr>
          <w:ilvl w:val="0"/>
          <w:numId w:val="6"/>
        </w:numPr>
        <w:spacing w:line="480" w:lineRule="auto"/>
      </w:pPr>
      <w:r w:rsidRPr="003E6C5F">
        <w:lastRenderedPageBreak/>
        <w:t>Shah R, Chan KKW</w:t>
      </w:r>
      <w:r w:rsidR="00C2592D">
        <w:t>.</w:t>
      </w:r>
      <w:r w:rsidRPr="003E6C5F">
        <w:t xml:space="preserve"> The impact of socioeconomic status on stage at presentation, receipt of diagnostic imaging, receipt of treatment and overall survival in colorectal cancer patients. Int J Cancer. </w:t>
      </w:r>
      <w:r w:rsidR="008F5A82" w:rsidRPr="003E6C5F">
        <w:t>2021</w:t>
      </w:r>
      <w:r w:rsidRPr="003E6C5F">
        <w:t xml:space="preserve">;149(5):1031-1043. </w:t>
      </w:r>
      <w:proofErr w:type="spellStart"/>
      <w:r w:rsidRPr="003E6C5F">
        <w:t>doi</w:t>
      </w:r>
      <w:proofErr w:type="spellEnd"/>
      <w:r w:rsidRPr="003E6C5F">
        <w:t>: 10.1002/ijc.33622.</w:t>
      </w:r>
    </w:p>
    <w:p w14:paraId="7E724060" w14:textId="5843BE20" w:rsidR="002B7C79" w:rsidRPr="003E6C5F" w:rsidRDefault="002B7C79" w:rsidP="0040606B">
      <w:pPr>
        <w:pStyle w:val="ListParagraph"/>
        <w:numPr>
          <w:ilvl w:val="0"/>
          <w:numId w:val="6"/>
        </w:numPr>
        <w:spacing w:line="480" w:lineRule="auto"/>
      </w:pPr>
      <w:r w:rsidRPr="003E6C5F">
        <w:t xml:space="preserve">McCutchan GM, Wood F, Edwards A, et al. Influences of cancer symptom knowledge, beliefs and barriers on cancer symptom presentation in relation to socioeconomic deprivation: a systematic review. BMC Cancer. </w:t>
      </w:r>
      <w:proofErr w:type="gramStart"/>
      <w:r w:rsidR="00773BC2" w:rsidRPr="003E6C5F">
        <w:t>2015</w:t>
      </w:r>
      <w:r w:rsidRPr="003E6C5F">
        <w:t>;15:1000</w:t>
      </w:r>
      <w:proofErr w:type="gramEnd"/>
      <w:r w:rsidRPr="003E6C5F">
        <w:t xml:space="preserve">. </w:t>
      </w:r>
      <w:proofErr w:type="spellStart"/>
      <w:r w:rsidRPr="003E6C5F">
        <w:t>doi</w:t>
      </w:r>
      <w:proofErr w:type="spellEnd"/>
      <w:r w:rsidRPr="003E6C5F">
        <w:t xml:space="preserve">: 10.1186/s12885-015-1972-8. </w:t>
      </w:r>
    </w:p>
    <w:p w14:paraId="001C8D47" w14:textId="31EAF824" w:rsidR="002B7C79" w:rsidRDefault="002B7C79" w:rsidP="0040606B">
      <w:pPr>
        <w:pStyle w:val="ListParagraph"/>
        <w:numPr>
          <w:ilvl w:val="0"/>
          <w:numId w:val="6"/>
        </w:numPr>
        <w:spacing w:line="480" w:lineRule="auto"/>
      </w:pPr>
      <w:r w:rsidRPr="003E6C5F">
        <w:t xml:space="preserve">McCutchan G, Wood F, Smits S, et al. Barriers to cancer symptom presentation among people from low socioeconomic groups: a qualitative study. BMC Public Health. </w:t>
      </w:r>
      <w:r w:rsidR="00F44F54" w:rsidRPr="003E6C5F">
        <w:t>2016</w:t>
      </w:r>
      <w:r w:rsidRPr="003E6C5F">
        <w:t xml:space="preserve">;16(1):1052. </w:t>
      </w:r>
      <w:proofErr w:type="spellStart"/>
      <w:r w:rsidRPr="003E6C5F">
        <w:t>doi</w:t>
      </w:r>
      <w:proofErr w:type="spellEnd"/>
      <w:r w:rsidRPr="003E6C5F">
        <w:t>: 10.1186/s12889-016-3733-2.</w:t>
      </w:r>
    </w:p>
    <w:p w14:paraId="3A51F2F5" w14:textId="36FDAEE9" w:rsidR="00262CF9" w:rsidRPr="003E6C5F" w:rsidRDefault="00262CF9" w:rsidP="0040606B">
      <w:pPr>
        <w:pStyle w:val="ListParagraph"/>
        <w:numPr>
          <w:ilvl w:val="0"/>
          <w:numId w:val="6"/>
        </w:numPr>
        <w:spacing w:line="480" w:lineRule="auto"/>
      </w:pPr>
      <w:r w:rsidRPr="003E6C5F">
        <w:t xml:space="preserve">Malik-Soni N, Shaker A, Luck H, et al. Tackling healthcare access barriers for individuals with autism from diagnosis to adulthood. </w:t>
      </w:r>
      <w:proofErr w:type="spellStart"/>
      <w:r w:rsidRPr="003E6C5F">
        <w:t>Pediatric</w:t>
      </w:r>
      <w:proofErr w:type="spellEnd"/>
      <w:r w:rsidRPr="003E6C5F">
        <w:t xml:space="preserve"> Research</w:t>
      </w:r>
      <w:r w:rsidR="00F63617">
        <w:t xml:space="preserve">. </w:t>
      </w:r>
      <w:proofErr w:type="gramStart"/>
      <w:r w:rsidR="00F63617" w:rsidRPr="003E6C5F">
        <w:t>2022</w:t>
      </w:r>
      <w:r w:rsidR="00F63617">
        <w:t>;</w:t>
      </w:r>
      <w:r w:rsidRPr="003E6C5F">
        <w:t>91</w:t>
      </w:r>
      <w:r w:rsidR="00F63617">
        <w:t>:</w:t>
      </w:r>
      <w:r w:rsidRPr="003E6C5F">
        <w:t>1028</w:t>
      </w:r>
      <w:proofErr w:type="gramEnd"/>
      <w:r w:rsidRPr="003E6C5F">
        <w:t>-1035.</w:t>
      </w:r>
    </w:p>
    <w:p w14:paraId="5157EC1F" w14:textId="0CB868A8" w:rsidR="00FA085A" w:rsidRDefault="00FA085A" w:rsidP="0040606B">
      <w:pPr>
        <w:pStyle w:val="ListParagraph"/>
        <w:numPr>
          <w:ilvl w:val="0"/>
          <w:numId w:val="6"/>
        </w:numPr>
        <w:spacing w:line="480" w:lineRule="auto"/>
      </w:pPr>
      <w:r w:rsidRPr="003E6C5F">
        <w:t>Horsbøl TA, Michelsen</w:t>
      </w:r>
      <w:r w:rsidR="000259F5">
        <w:t xml:space="preserve"> </w:t>
      </w:r>
      <w:r w:rsidRPr="003E6C5F">
        <w:t>SI, Lassen TH. Breast Cancer Screening Among Women With Intellectual Disability in Denmark. JAMA Network Open</w:t>
      </w:r>
      <w:r w:rsidR="000259F5">
        <w:t>.</w:t>
      </w:r>
      <w:r w:rsidR="000259F5" w:rsidRPr="000259F5">
        <w:t xml:space="preserve"> </w:t>
      </w:r>
      <w:r w:rsidR="000259F5" w:rsidRPr="003E6C5F">
        <w:t>2023</w:t>
      </w:r>
      <w:r w:rsidR="000259F5">
        <w:t>;</w:t>
      </w:r>
      <w:r w:rsidRPr="003E6C5F">
        <w:t>6, e2248980-e2248980.</w:t>
      </w:r>
    </w:p>
    <w:p w14:paraId="3A73A9E9" w14:textId="5A0ED4F3" w:rsidR="00210462" w:rsidRDefault="00210462" w:rsidP="0040606B">
      <w:pPr>
        <w:pStyle w:val="ListParagraph"/>
        <w:numPr>
          <w:ilvl w:val="0"/>
          <w:numId w:val="6"/>
        </w:numPr>
        <w:spacing w:line="480" w:lineRule="auto"/>
      </w:pPr>
      <w:r w:rsidRPr="003E6C5F">
        <w:t>Gray J. Increasing participation of people with learning disabilities in bowel screening. British Journal of Nursing</w:t>
      </w:r>
      <w:r w:rsidR="005A1325">
        <w:t xml:space="preserve">. </w:t>
      </w:r>
      <w:proofErr w:type="gramStart"/>
      <w:r w:rsidR="005A1325" w:rsidRPr="003E6C5F">
        <w:t>2018</w:t>
      </w:r>
      <w:r w:rsidR="005A1325">
        <w:t>;</w:t>
      </w:r>
      <w:r w:rsidRPr="003E6C5F">
        <w:t>27</w:t>
      </w:r>
      <w:r w:rsidR="005A1325">
        <w:t>:</w:t>
      </w:r>
      <w:r w:rsidRPr="003E6C5F">
        <w:t>250</w:t>
      </w:r>
      <w:proofErr w:type="gramEnd"/>
      <w:r w:rsidRPr="003E6C5F">
        <w:t>-253.</w:t>
      </w:r>
    </w:p>
    <w:p w14:paraId="0BEA8DBB" w14:textId="660EB35A" w:rsidR="00220AD2" w:rsidRDefault="00220AD2" w:rsidP="0040606B">
      <w:pPr>
        <w:pStyle w:val="ListParagraph"/>
        <w:numPr>
          <w:ilvl w:val="0"/>
          <w:numId w:val="6"/>
        </w:numPr>
        <w:spacing w:line="480" w:lineRule="auto"/>
      </w:pPr>
      <w:r w:rsidRPr="003E6C5F">
        <w:t>Benevides TW, Shore SM, Andresen M-L, et al. Interventions to address health outcomes among autistic adults: A systematic review. Autism</w:t>
      </w:r>
      <w:r w:rsidR="009A0E73">
        <w:t xml:space="preserve">. </w:t>
      </w:r>
      <w:proofErr w:type="gramStart"/>
      <w:r w:rsidR="009A0E73" w:rsidRPr="003E6C5F">
        <w:t>2020</w:t>
      </w:r>
      <w:r w:rsidR="009A0E73">
        <w:t>;</w:t>
      </w:r>
      <w:r w:rsidRPr="003E6C5F">
        <w:t>24</w:t>
      </w:r>
      <w:r w:rsidR="009A0E73">
        <w:t>:</w:t>
      </w:r>
      <w:r w:rsidRPr="003E6C5F">
        <w:t>1345</w:t>
      </w:r>
      <w:proofErr w:type="gramEnd"/>
      <w:r w:rsidRPr="003E6C5F">
        <w:t>-1359.</w:t>
      </w:r>
    </w:p>
    <w:p w14:paraId="1E9BC4A3" w14:textId="5FA4CFE0" w:rsidR="002E5888" w:rsidRPr="009A0998" w:rsidRDefault="002E5888" w:rsidP="0040606B">
      <w:pPr>
        <w:pStyle w:val="ListParagraph"/>
        <w:numPr>
          <w:ilvl w:val="0"/>
          <w:numId w:val="6"/>
        </w:numPr>
        <w:spacing w:line="480" w:lineRule="auto"/>
      </w:pPr>
      <w:r w:rsidRPr="009A0998">
        <w:t xml:space="preserve">Swaine JG, Parish SL, Luken K, et al. Test of an intervention to improve knowledge of women with intellectual disabilities about cervical and breast cancer screening. J Intellect </w:t>
      </w:r>
      <w:proofErr w:type="spellStart"/>
      <w:r w:rsidRPr="009A0998">
        <w:t>Disabil</w:t>
      </w:r>
      <w:proofErr w:type="spellEnd"/>
      <w:r w:rsidRPr="009A0998">
        <w:t xml:space="preserve"> Res</w:t>
      </w:r>
      <w:r w:rsidR="001364F1">
        <w:t xml:space="preserve">. </w:t>
      </w:r>
      <w:proofErr w:type="gramStart"/>
      <w:r w:rsidR="001364F1" w:rsidRPr="009A0998">
        <w:t>2014</w:t>
      </w:r>
      <w:r w:rsidR="001364F1">
        <w:t>;</w:t>
      </w:r>
      <w:r w:rsidRPr="009A0998">
        <w:t>58</w:t>
      </w:r>
      <w:r w:rsidR="001364F1">
        <w:t>:</w:t>
      </w:r>
      <w:r w:rsidRPr="009A0998">
        <w:t>651</w:t>
      </w:r>
      <w:proofErr w:type="gramEnd"/>
      <w:r w:rsidRPr="009A0998">
        <w:t>-63.</w:t>
      </w:r>
    </w:p>
    <w:p w14:paraId="3FBA7305" w14:textId="69B873B6" w:rsidR="00C209A9" w:rsidRDefault="00C209A9" w:rsidP="0040606B">
      <w:pPr>
        <w:pStyle w:val="ListParagraph"/>
        <w:numPr>
          <w:ilvl w:val="0"/>
          <w:numId w:val="6"/>
        </w:numPr>
        <w:spacing w:line="480" w:lineRule="auto"/>
      </w:pPr>
      <w:r w:rsidRPr="00C209A9">
        <w:t>Wilson J, Adeline P, Bungaroo D, et al. Promoting testicular self-examination and awareness amongst young men with intellectual disabilities: A parallel intervention randomized study. Journal on Developmental Disabilities</w:t>
      </w:r>
      <w:r w:rsidR="00BD032E">
        <w:t xml:space="preserve">. </w:t>
      </w:r>
      <w:proofErr w:type="gramStart"/>
      <w:r w:rsidR="00BD032E" w:rsidRPr="00C209A9">
        <w:t>2018</w:t>
      </w:r>
      <w:r w:rsidR="00BD032E">
        <w:t>;</w:t>
      </w:r>
      <w:r w:rsidRPr="00C209A9">
        <w:t>23</w:t>
      </w:r>
      <w:r w:rsidR="00BD032E">
        <w:t>:</w:t>
      </w:r>
      <w:r w:rsidRPr="00C209A9">
        <w:t>57</w:t>
      </w:r>
      <w:proofErr w:type="gramEnd"/>
      <w:r w:rsidRPr="00C209A9">
        <w:t>-70.</w:t>
      </w:r>
    </w:p>
    <w:p w14:paraId="0F9B0EDE" w14:textId="2D3C5718" w:rsidR="007978B0" w:rsidRPr="000D0A4D" w:rsidRDefault="007978B0" w:rsidP="0040606B">
      <w:pPr>
        <w:pStyle w:val="ListParagraph"/>
        <w:numPr>
          <w:ilvl w:val="0"/>
          <w:numId w:val="6"/>
        </w:numPr>
        <w:spacing w:line="480" w:lineRule="auto"/>
        <w:rPr>
          <w:rFonts w:cstheme="minorHAnsi"/>
        </w:rPr>
      </w:pPr>
      <w:proofErr w:type="spellStart"/>
      <w:r w:rsidRPr="000D0A4D">
        <w:rPr>
          <w:rFonts w:cstheme="minorHAnsi"/>
        </w:rPr>
        <w:lastRenderedPageBreak/>
        <w:t>Kobetz</w:t>
      </w:r>
      <w:proofErr w:type="spellEnd"/>
      <w:r w:rsidRPr="000D0A4D">
        <w:rPr>
          <w:rFonts w:cstheme="minorHAnsi"/>
        </w:rPr>
        <w:t xml:space="preserve"> E, Seay J, Koru-Sengul T, et al. A randomized trial of mailed HPV self-sampling for cervical cancer screening among ethnic minority women in South Florida. Cancer Causes Control</w:t>
      </w:r>
      <w:r w:rsidR="002862A7" w:rsidRPr="000D0A4D">
        <w:rPr>
          <w:rFonts w:cstheme="minorHAnsi"/>
        </w:rPr>
        <w:t xml:space="preserve">. </w:t>
      </w:r>
      <w:proofErr w:type="gramStart"/>
      <w:r w:rsidR="002862A7" w:rsidRPr="000D0A4D">
        <w:rPr>
          <w:rFonts w:cstheme="minorHAnsi"/>
        </w:rPr>
        <w:t>2018;</w:t>
      </w:r>
      <w:r w:rsidRPr="000D0A4D">
        <w:rPr>
          <w:rFonts w:cstheme="minorHAnsi"/>
        </w:rPr>
        <w:t>29</w:t>
      </w:r>
      <w:r w:rsidR="002862A7" w:rsidRPr="000D0A4D">
        <w:rPr>
          <w:rFonts w:cstheme="minorHAnsi"/>
        </w:rPr>
        <w:t>:</w:t>
      </w:r>
      <w:r w:rsidRPr="000D0A4D">
        <w:rPr>
          <w:rFonts w:cstheme="minorHAnsi"/>
        </w:rPr>
        <w:t>793</w:t>
      </w:r>
      <w:proofErr w:type="gramEnd"/>
      <w:r w:rsidRPr="000D0A4D">
        <w:rPr>
          <w:rFonts w:cstheme="minorHAnsi"/>
        </w:rPr>
        <w:t>-801.</w:t>
      </w:r>
    </w:p>
    <w:p w14:paraId="7CCF5698" w14:textId="5C923443" w:rsidR="000D0A4D" w:rsidRPr="000D0A4D" w:rsidRDefault="000D0A4D" w:rsidP="000D0A4D">
      <w:pPr>
        <w:pStyle w:val="ListParagraph"/>
        <w:numPr>
          <w:ilvl w:val="0"/>
          <w:numId w:val="6"/>
        </w:numPr>
        <w:spacing w:line="480" w:lineRule="auto"/>
        <w:rPr>
          <w:rFonts w:cstheme="minorHAnsi"/>
        </w:rPr>
      </w:pPr>
      <w:r w:rsidRPr="00F379A3">
        <w:rPr>
          <w:rFonts w:cstheme="minorHAnsi"/>
          <w:color w:val="212121"/>
          <w:shd w:val="clear" w:color="auto" w:fill="FFFFFF"/>
        </w:rPr>
        <w:t xml:space="preserve">Mathias W, Nichols KA, Golden-Wright J, </w:t>
      </w:r>
      <w:r>
        <w:rPr>
          <w:rFonts w:cstheme="minorHAnsi"/>
          <w:color w:val="212121"/>
          <w:shd w:val="clear" w:color="auto" w:fill="FFFFFF"/>
        </w:rPr>
        <w:t>et al</w:t>
      </w:r>
      <w:r w:rsidRPr="00F379A3">
        <w:rPr>
          <w:rFonts w:cstheme="minorHAnsi"/>
          <w:color w:val="212121"/>
          <w:shd w:val="clear" w:color="auto" w:fill="FFFFFF"/>
        </w:rPr>
        <w:t>. Implementation During a Pandemic: Findings, Successes, and Lessons Learned from Community Grantees. J Cancer Educ. 2023</w:t>
      </w:r>
      <w:r w:rsidR="007E6F73">
        <w:rPr>
          <w:rFonts w:cstheme="minorHAnsi"/>
          <w:color w:val="212121"/>
          <w:shd w:val="clear" w:color="auto" w:fill="FFFFFF"/>
        </w:rPr>
        <w:t>;</w:t>
      </w:r>
      <w:r w:rsidRPr="00F379A3">
        <w:rPr>
          <w:rFonts w:cstheme="minorHAnsi"/>
          <w:color w:val="212121"/>
          <w:shd w:val="clear" w:color="auto" w:fill="FFFFFF"/>
        </w:rPr>
        <w:t xml:space="preserve">38(3):957-962. </w:t>
      </w:r>
      <w:proofErr w:type="spellStart"/>
      <w:r w:rsidRPr="00F379A3">
        <w:rPr>
          <w:rFonts w:cstheme="minorHAnsi"/>
          <w:color w:val="212121"/>
          <w:shd w:val="clear" w:color="auto" w:fill="FFFFFF"/>
        </w:rPr>
        <w:t>doi</w:t>
      </w:r>
      <w:proofErr w:type="spellEnd"/>
      <w:r w:rsidRPr="00F379A3">
        <w:rPr>
          <w:rFonts w:cstheme="minorHAnsi"/>
          <w:color w:val="212121"/>
          <w:shd w:val="clear" w:color="auto" w:fill="FFFFFF"/>
        </w:rPr>
        <w:t>: 10.1007/s13187-022-02213-4.</w:t>
      </w:r>
    </w:p>
    <w:p w14:paraId="226D351E" w14:textId="387D4711" w:rsidR="000D0A4D" w:rsidRPr="000D0A4D" w:rsidRDefault="000D0A4D" w:rsidP="000D0A4D">
      <w:pPr>
        <w:pStyle w:val="ListParagraph"/>
        <w:numPr>
          <w:ilvl w:val="0"/>
          <w:numId w:val="6"/>
        </w:numPr>
        <w:spacing w:line="480" w:lineRule="auto"/>
        <w:rPr>
          <w:rFonts w:cstheme="minorHAnsi"/>
        </w:rPr>
      </w:pPr>
      <w:r w:rsidRPr="00F379A3">
        <w:rPr>
          <w:rFonts w:cstheme="minorHAnsi"/>
          <w:color w:val="1B1B1B"/>
          <w:shd w:val="clear" w:color="auto" w:fill="FFFFFF"/>
        </w:rPr>
        <w:t xml:space="preserve">Vines AI, Teal R, Meyer C, </w:t>
      </w:r>
      <w:r>
        <w:rPr>
          <w:rFonts w:cstheme="minorHAnsi"/>
          <w:color w:val="1B1B1B"/>
          <w:shd w:val="clear" w:color="auto" w:fill="FFFFFF"/>
        </w:rPr>
        <w:t>et al</w:t>
      </w:r>
      <w:r w:rsidRPr="00F379A3">
        <w:rPr>
          <w:rFonts w:cstheme="minorHAnsi"/>
          <w:color w:val="1B1B1B"/>
          <w:shd w:val="clear" w:color="auto" w:fill="FFFFFF"/>
        </w:rPr>
        <w:t xml:space="preserve">. Connecting community with campus to address cancer health disparities: a community grants program model. Prog Community Health </w:t>
      </w:r>
      <w:proofErr w:type="spellStart"/>
      <w:r w:rsidRPr="00F379A3">
        <w:rPr>
          <w:rFonts w:cstheme="minorHAnsi"/>
          <w:color w:val="1B1B1B"/>
          <w:shd w:val="clear" w:color="auto" w:fill="FFFFFF"/>
        </w:rPr>
        <w:t>Partnersh</w:t>
      </w:r>
      <w:proofErr w:type="spellEnd"/>
      <w:r w:rsidRPr="00F379A3">
        <w:rPr>
          <w:rFonts w:cstheme="minorHAnsi"/>
          <w:color w:val="1B1B1B"/>
          <w:shd w:val="clear" w:color="auto" w:fill="FFFFFF"/>
        </w:rPr>
        <w:t xml:space="preserve">. 2011;5(2):207-12. </w:t>
      </w:r>
      <w:proofErr w:type="spellStart"/>
      <w:r w:rsidRPr="00F379A3">
        <w:rPr>
          <w:rFonts w:cstheme="minorHAnsi"/>
          <w:color w:val="1B1B1B"/>
          <w:shd w:val="clear" w:color="auto" w:fill="FFFFFF"/>
        </w:rPr>
        <w:t>doi</w:t>
      </w:r>
      <w:proofErr w:type="spellEnd"/>
      <w:r w:rsidRPr="00F379A3">
        <w:rPr>
          <w:rFonts w:cstheme="minorHAnsi"/>
          <w:color w:val="1B1B1B"/>
          <w:shd w:val="clear" w:color="auto" w:fill="FFFFFF"/>
        </w:rPr>
        <w:t>: 10.1353/cpr.2011.0027.</w:t>
      </w:r>
    </w:p>
    <w:p w14:paraId="647D5B2C" w14:textId="6467EE41" w:rsidR="00777C78" w:rsidRDefault="00777C78" w:rsidP="0040606B">
      <w:pPr>
        <w:pStyle w:val="ListParagraph"/>
        <w:numPr>
          <w:ilvl w:val="0"/>
          <w:numId w:val="6"/>
        </w:numPr>
        <w:spacing w:line="480" w:lineRule="auto"/>
      </w:pPr>
      <w:r w:rsidRPr="00777C78">
        <w:t xml:space="preserve">Barley EA, </w:t>
      </w:r>
      <w:proofErr w:type="spellStart"/>
      <w:r w:rsidRPr="00777C78">
        <w:t>Borschmann</w:t>
      </w:r>
      <w:proofErr w:type="spellEnd"/>
      <w:r w:rsidRPr="00777C78">
        <w:t xml:space="preserve"> RD, Walters P. et al. Interventions to encourage uptake of cancer screening for people with severe mental illness. Cochrane Database of Systematic Reviews.</w:t>
      </w:r>
      <w:r w:rsidR="002862A7">
        <w:t xml:space="preserve"> </w:t>
      </w:r>
      <w:r w:rsidR="002862A7" w:rsidRPr="00777C78">
        <w:t>2016.</w:t>
      </w:r>
    </w:p>
    <w:p w14:paraId="515DD6BF" w14:textId="2C6C9466" w:rsidR="007B625A" w:rsidRDefault="007B625A" w:rsidP="0040606B">
      <w:pPr>
        <w:pStyle w:val="ListParagraph"/>
        <w:numPr>
          <w:ilvl w:val="0"/>
          <w:numId w:val="6"/>
        </w:numPr>
        <w:spacing w:line="480" w:lineRule="auto"/>
      </w:pPr>
      <w:r w:rsidRPr="00F036D6">
        <w:t>Harrison D, Wilson R, Graham A, et al. Making every contact count with seldom-heard groups? A qualitative evaluation of voluntary and community sector (VCS) implementation of a public health behaviour change programme in England. Health &amp; Social Care in the Community</w:t>
      </w:r>
      <w:r w:rsidR="002862A7">
        <w:t xml:space="preserve">. </w:t>
      </w:r>
      <w:r w:rsidR="002862A7" w:rsidRPr="00F036D6">
        <w:t>2022</w:t>
      </w:r>
      <w:r w:rsidR="002862A7">
        <w:t>;</w:t>
      </w:r>
      <w:proofErr w:type="gramStart"/>
      <w:r w:rsidRPr="00F036D6">
        <w:t>30</w:t>
      </w:r>
      <w:r w:rsidR="002862A7">
        <w:t>:</w:t>
      </w:r>
      <w:r w:rsidRPr="00F036D6">
        <w:t>e</w:t>
      </w:r>
      <w:proofErr w:type="gramEnd"/>
      <w:r w:rsidRPr="00F036D6">
        <w:t>3193-e3206.</w:t>
      </w:r>
    </w:p>
    <w:p w14:paraId="471B55DE" w14:textId="15D20F0E" w:rsidR="00D11EC4" w:rsidRDefault="007B746C" w:rsidP="0040606B">
      <w:pPr>
        <w:pStyle w:val="ListParagraph"/>
        <w:numPr>
          <w:ilvl w:val="0"/>
          <w:numId w:val="6"/>
        </w:numPr>
        <w:spacing w:line="480" w:lineRule="auto"/>
      </w:pPr>
      <w:r w:rsidRPr="00401387">
        <w:t xml:space="preserve">Tariq S, Woodman J. Using mixed methods in health research. JRSM Short Rep. 2013;4(6): </w:t>
      </w:r>
      <w:proofErr w:type="spellStart"/>
      <w:r w:rsidRPr="00401387">
        <w:t>doi</w:t>
      </w:r>
      <w:proofErr w:type="spellEnd"/>
      <w:r w:rsidRPr="00401387">
        <w:t>: 10.1177/2042533313479197.</w:t>
      </w:r>
    </w:p>
    <w:p w14:paraId="5515C612" w14:textId="69BD10D7" w:rsidR="00D11EC4" w:rsidRDefault="00D11EC4" w:rsidP="0040606B">
      <w:pPr>
        <w:pStyle w:val="ListParagraph"/>
        <w:numPr>
          <w:ilvl w:val="0"/>
          <w:numId w:val="6"/>
        </w:numPr>
        <w:spacing w:line="480" w:lineRule="auto"/>
      </w:pPr>
      <w:proofErr w:type="spellStart"/>
      <w:r w:rsidRPr="00401387">
        <w:t>Wishik</w:t>
      </w:r>
      <w:proofErr w:type="spellEnd"/>
      <w:r w:rsidRPr="00401387">
        <w:t xml:space="preserve"> SM, Van der </w:t>
      </w:r>
      <w:proofErr w:type="spellStart"/>
      <w:r w:rsidRPr="00401387">
        <w:t>Vynckt</w:t>
      </w:r>
      <w:proofErr w:type="spellEnd"/>
      <w:r w:rsidRPr="00401387">
        <w:t xml:space="preserve"> S. The use of nutritional</w:t>
      </w:r>
      <w:r w:rsidR="00B3310D">
        <w:t xml:space="preserve"> “</w:t>
      </w:r>
      <w:r w:rsidRPr="00401387">
        <w:t>positive deviants</w:t>
      </w:r>
      <w:r w:rsidR="00B3310D">
        <w:t xml:space="preserve">” </w:t>
      </w:r>
      <w:r w:rsidRPr="00401387">
        <w:t>to identify approaches for modification of dietary practices. Am J Public Health</w:t>
      </w:r>
      <w:r w:rsidR="00FC6928">
        <w:t>.</w:t>
      </w:r>
      <w:r w:rsidR="00FC6928" w:rsidRPr="00FC6928">
        <w:t xml:space="preserve"> </w:t>
      </w:r>
      <w:proofErr w:type="gramStart"/>
      <w:r w:rsidR="00FC6928">
        <w:t>1976;</w:t>
      </w:r>
      <w:r w:rsidRPr="00401387">
        <w:t>66:38</w:t>
      </w:r>
      <w:proofErr w:type="gramEnd"/>
      <w:r w:rsidRPr="00401387">
        <w:rPr>
          <w:rFonts w:hint="eastAsia"/>
        </w:rPr>
        <w:t>–</w:t>
      </w:r>
      <w:r w:rsidRPr="00401387">
        <w:t>42.</w:t>
      </w:r>
    </w:p>
    <w:p w14:paraId="50EA3985" w14:textId="1FFB711F" w:rsidR="00B3310D" w:rsidRDefault="00D11EC4" w:rsidP="0040606B">
      <w:pPr>
        <w:pStyle w:val="ListParagraph"/>
        <w:numPr>
          <w:ilvl w:val="0"/>
          <w:numId w:val="6"/>
        </w:numPr>
        <w:spacing w:line="480" w:lineRule="auto"/>
      </w:pPr>
      <w:r w:rsidRPr="00D11EC4">
        <w:t xml:space="preserve">Damschroder LJ, Reardon CM, </w:t>
      </w:r>
      <w:proofErr w:type="spellStart"/>
      <w:r w:rsidRPr="00D11EC4">
        <w:t>Widerquist</w:t>
      </w:r>
      <w:proofErr w:type="spellEnd"/>
      <w:r w:rsidRPr="00D11EC4">
        <w:t xml:space="preserve"> MAO</w:t>
      </w:r>
      <w:r w:rsidR="00965CA6">
        <w:t>,</w:t>
      </w:r>
      <w:r>
        <w:t xml:space="preserve"> </w:t>
      </w:r>
      <w:r w:rsidRPr="00401387">
        <w:t>et al.</w:t>
      </w:r>
      <w:r>
        <w:t xml:space="preserve"> </w:t>
      </w:r>
      <w:r w:rsidRPr="00D11EC4">
        <w:t>The updated Consolidated Framework for Implementation Research based on user feedback.</w:t>
      </w:r>
      <w:r>
        <w:t xml:space="preserve"> </w:t>
      </w:r>
      <w:r w:rsidRPr="00FC6928">
        <w:t>Implementation Sci</w:t>
      </w:r>
      <w:r w:rsidR="00FC6928">
        <w:t xml:space="preserve">. </w:t>
      </w:r>
      <w:r w:rsidR="00FC6928" w:rsidRPr="00D11EC4">
        <w:t>2022</w:t>
      </w:r>
      <w:r w:rsidR="00FC6928">
        <w:t>;</w:t>
      </w:r>
      <w:r>
        <w:t xml:space="preserve"> </w:t>
      </w:r>
      <w:r w:rsidRPr="00FC6928">
        <w:t>17</w:t>
      </w:r>
      <w:r w:rsidR="00FC6928">
        <w:t>(</w:t>
      </w:r>
      <w:r w:rsidRPr="00D11EC4">
        <w:t>75)</w:t>
      </w:r>
      <w:r w:rsidR="00FC6928">
        <w:t>:</w:t>
      </w:r>
      <w:r w:rsidRPr="00D11EC4">
        <w:t xml:space="preserve"> </w:t>
      </w:r>
      <w:hyperlink r:id="rId14" w:history="1">
        <w:r w:rsidRPr="00FC6928">
          <w:t>doi.org/10.1186/s13012-022-01245-0</w:t>
        </w:r>
      </w:hyperlink>
      <w:r w:rsidR="00FC6928">
        <w:t>.</w:t>
      </w:r>
    </w:p>
    <w:p w14:paraId="45B3DBB8" w14:textId="41E8EB39" w:rsidR="006B736D" w:rsidRDefault="006B736D" w:rsidP="006B736D">
      <w:pPr>
        <w:pStyle w:val="ListParagraph"/>
        <w:numPr>
          <w:ilvl w:val="0"/>
          <w:numId w:val="6"/>
        </w:numPr>
        <w:spacing w:line="480" w:lineRule="auto"/>
      </w:pPr>
      <w:r w:rsidRPr="00F379A3">
        <w:lastRenderedPageBreak/>
        <w:t>Hébert JR, Braun KL, Meade CD</w:t>
      </w:r>
      <w:r>
        <w:t xml:space="preserve"> et al.</w:t>
      </w:r>
      <w:r w:rsidRPr="00F379A3">
        <w:t xml:space="preserve"> Community-Based Participatory Research Adds Value to the National Cancer Institute</w:t>
      </w:r>
      <w:r>
        <w:t>’</w:t>
      </w:r>
      <w:r w:rsidRPr="00F379A3">
        <w:t xml:space="preserve">s Research Portfolio. Prog Community Health </w:t>
      </w:r>
      <w:proofErr w:type="spellStart"/>
      <w:r w:rsidRPr="00F379A3">
        <w:t>Partnersh</w:t>
      </w:r>
      <w:proofErr w:type="spellEnd"/>
      <w:r w:rsidRPr="00F379A3">
        <w:t xml:space="preserve">. 2015;9 </w:t>
      </w:r>
      <w:proofErr w:type="spellStart"/>
      <w:proofErr w:type="gramStart"/>
      <w:r w:rsidRPr="00F379A3">
        <w:t>Suppl</w:t>
      </w:r>
      <w:proofErr w:type="spellEnd"/>
      <w:r w:rsidRPr="00F379A3">
        <w:t>(</w:t>
      </w:r>
      <w:proofErr w:type="gramEnd"/>
      <w:r w:rsidRPr="00F379A3">
        <w:t xml:space="preserve">0):1-4. </w:t>
      </w:r>
      <w:proofErr w:type="spellStart"/>
      <w:r w:rsidRPr="00F379A3">
        <w:t>doi</w:t>
      </w:r>
      <w:proofErr w:type="spellEnd"/>
      <w:r w:rsidRPr="00F379A3">
        <w:t>: 10.1353/cpr.2015.0022.</w:t>
      </w:r>
    </w:p>
    <w:p w14:paraId="7BAD48A6" w14:textId="1C8C1950" w:rsidR="001D4C21" w:rsidRDefault="00B3310D" w:rsidP="0040606B">
      <w:pPr>
        <w:pStyle w:val="ListParagraph"/>
        <w:numPr>
          <w:ilvl w:val="0"/>
          <w:numId w:val="6"/>
        </w:numPr>
        <w:spacing w:line="480" w:lineRule="auto"/>
      </w:pPr>
      <w:r w:rsidRPr="00B3310D">
        <w:t xml:space="preserve">De Weger E, Van Vooren N, </w:t>
      </w:r>
      <w:proofErr w:type="spellStart"/>
      <w:r w:rsidRPr="00B3310D">
        <w:t>Luijkx</w:t>
      </w:r>
      <w:proofErr w:type="spellEnd"/>
      <w:r w:rsidRPr="00B3310D">
        <w:t xml:space="preserve"> </w:t>
      </w:r>
      <w:proofErr w:type="spellStart"/>
      <w:proofErr w:type="gramStart"/>
      <w:r w:rsidRPr="00B3310D">
        <w:t>KG,</w:t>
      </w:r>
      <w:r w:rsidR="00965CA6">
        <w:t>et</w:t>
      </w:r>
      <w:proofErr w:type="spellEnd"/>
      <w:r w:rsidR="00965CA6">
        <w:t xml:space="preserve"> al</w:t>
      </w:r>
      <w:r w:rsidRPr="00B3310D">
        <w:t>.</w:t>
      </w:r>
      <w:proofErr w:type="gramEnd"/>
      <w:r w:rsidRPr="00B3310D">
        <w:t xml:space="preserve"> Achieving successful community engagement: a rapid realist review. BMC Health </w:t>
      </w:r>
      <w:proofErr w:type="spellStart"/>
      <w:r w:rsidRPr="00B3310D">
        <w:t>Serv</w:t>
      </w:r>
      <w:proofErr w:type="spellEnd"/>
      <w:r w:rsidRPr="00B3310D">
        <w:t xml:space="preserve"> Res. 2018;18(1):285. </w:t>
      </w:r>
      <w:proofErr w:type="spellStart"/>
      <w:r w:rsidRPr="00B3310D">
        <w:t>doi</w:t>
      </w:r>
      <w:proofErr w:type="spellEnd"/>
      <w:r w:rsidRPr="00B3310D">
        <w:t>: 10.1186/s12913-018-3090-1</w:t>
      </w:r>
      <w:r w:rsidR="007801C1">
        <w:t>.</w:t>
      </w:r>
    </w:p>
    <w:p w14:paraId="5F0711C6" w14:textId="603B2C45" w:rsidR="00B3310D" w:rsidRDefault="00B3310D" w:rsidP="0040606B">
      <w:pPr>
        <w:pStyle w:val="ListParagraph"/>
        <w:numPr>
          <w:ilvl w:val="0"/>
          <w:numId w:val="6"/>
        </w:numPr>
        <w:spacing w:line="480" w:lineRule="auto"/>
      </w:pPr>
      <w:proofErr w:type="spellStart"/>
      <w:r w:rsidRPr="00B3310D">
        <w:t>Gafari</w:t>
      </w:r>
      <w:proofErr w:type="spellEnd"/>
      <w:r w:rsidRPr="00B3310D">
        <w:t xml:space="preserve"> O, Bahrami-</w:t>
      </w:r>
      <w:proofErr w:type="spellStart"/>
      <w:r w:rsidRPr="00B3310D">
        <w:t>Hessari</w:t>
      </w:r>
      <w:proofErr w:type="spellEnd"/>
      <w:r w:rsidRPr="00B3310D">
        <w:t xml:space="preserve"> M, Norton J, </w:t>
      </w:r>
      <w:r>
        <w:t>et al</w:t>
      </w:r>
      <w:r w:rsidRPr="00B3310D">
        <w:t xml:space="preserve">. Building trust and increasing inclusion in public health research: co-produced strategies for engaging UK ethnic minority communities in research. Public Health. </w:t>
      </w:r>
      <w:proofErr w:type="gramStart"/>
      <w:r w:rsidRPr="00B3310D">
        <w:t>2024;233:90</w:t>
      </w:r>
      <w:proofErr w:type="gramEnd"/>
      <w:r w:rsidRPr="00B3310D">
        <w:t xml:space="preserve">-99. </w:t>
      </w:r>
      <w:proofErr w:type="spellStart"/>
      <w:r w:rsidRPr="00B3310D">
        <w:t>doi</w:t>
      </w:r>
      <w:proofErr w:type="spellEnd"/>
      <w:r w:rsidRPr="00B3310D">
        <w:t>: 10.1016/j.puhe.2024.05.007. </w:t>
      </w:r>
    </w:p>
    <w:p w14:paraId="7ADE462A" w14:textId="105A377F" w:rsidR="004269EB" w:rsidRPr="00401387" w:rsidRDefault="00AA3AC6" w:rsidP="0040606B">
      <w:pPr>
        <w:pStyle w:val="ListParagraph"/>
        <w:numPr>
          <w:ilvl w:val="0"/>
          <w:numId w:val="6"/>
        </w:numPr>
        <w:spacing w:line="480" w:lineRule="auto"/>
        <w:rPr>
          <w:rFonts w:ascii="Segoe UI" w:hAnsi="Segoe UI" w:cs="Segoe UI"/>
          <w:color w:val="212121"/>
          <w:shd w:val="clear" w:color="auto" w:fill="FFFFFF"/>
        </w:rPr>
      </w:pPr>
      <w:r w:rsidRPr="00AA3AC6">
        <w:t xml:space="preserve">Wright D, Gabbay J, Le May A. Determining the skills needed by frontline NHS staff to deliver quality improvement: findings from six case studies. BMJ Qual Saf. 2022;31(6):450-461. </w:t>
      </w:r>
      <w:proofErr w:type="spellStart"/>
      <w:r w:rsidRPr="00AA3AC6">
        <w:t>doi</w:t>
      </w:r>
      <w:proofErr w:type="spellEnd"/>
      <w:r w:rsidRPr="00AA3AC6">
        <w:t>: 10.1136/bmjqs-2021-013065.</w:t>
      </w:r>
    </w:p>
    <w:p w14:paraId="4E456790" w14:textId="4DC3CCEE" w:rsidR="00AA3AC6" w:rsidRDefault="00AA3AC6" w:rsidP="0040606B">
      <w:pPr>
        <w:pStyle w:val="ListParagraph"/>
        <w:numPr>
          <w:ilvl w:val="0"/>
          <w:numId w:val="6"/>
        </w:numPr>
        <w:spacing w:line="480" w:lineRule="auto"/>
      </w:pPr>
      <w:r w:rsidRPr="00401387">
        <w:t>Dixon-Woods M, McNicol S, Martin G. Ten challenges in improving quality in healthcare: lessons from the Health Foundation's programme evaluations and relevant literature. BMJ Qual Saf</w:t>
      </w:r>
      <w:r w:rsidR="007801C1">
        <w:t>.</w:t>
      </w:r>
      <w:r w:rsidRPr="00401387">
        <w:t> </w:t>
      </w:r>
      <w:proofErr w:type="gramStart"/>
      <w:r w:rsidRPr="00401387">
        <w:t>2012;21:876</w:t>
      </w:r>
      <w:proofErr w:type="gramEnd"/>
      <w:r w:rsidRPr="00401387">
        <w:t>–84.</w:t>
      </w:r>
      <w:hyperlink r:id="rId15" w:history="1">
        <w:r w:rsidRPr="00401387">
          <w:t>doi:10.1136/bmjqs-2011-000760</w:t>
        </w:r>
      </w:hyperlink>
      <w:r w:rsidR="007801C1">
        <w:t>.</w:t>
      </w:r>
    </w:p>
    <w:p w14:paraId="7AE831FE" w14:textId="592E9754" w:rsidR="00AA3AC6" w:rsidRPr="00AA3AC6" w:rsidRDefault="00AA3AC6" w:rsidP="0040606B">
      <w:pPr>
        <w:pStyle w:val="ListParagraph"/>
        <w:numPr>
          <w:ilvl w:val="0"/>
          <w:numId w:val="6"/>
        </w:numPr>
        <w:spacing w:line="480" w:lineRule="auto"/>
      </w:pPr>
      <w:r w:rsidRPr="00AA3AC6">
        <w:t>Aveling E-L, Martin G, Armstrong N, </w:t>
      </w:r>
      <w:r w:rsidRPr="007801C1">
        <w:t>et al.</w:t>
      </w:r>
      <w:r w:rsidRPr="00AA3AC6">
        <w:t> Quality improvement through clinical communities: eight lessons for practice. J Health Organ Manag</w:t>
      </w:r>
      <w:r w:rsidR="007801C1">
        <w:t>.</w:t>
      </w:r>
      <w:r w:rsidRPr="00AA3AC6">
        <w:t> </w:t>
      </w:r>
      <w:proofErr w:type="gramStart"/>
      <w:r w:rsidRPr="00AA3AC6">
        <w:t>2012;</w:t>
      </w:r>
      <w:r w:rsidRPr="007801C1">
        <w:t>26</w:t>
      </w:r>
      <w:r w:rsidRPr="00AA3AC6">
        <w:t>:158</w:t>
      </w:r>
      <w:proofErr w:type="gramEnd"/>
      <w:r w:rsidRPr="00AA3AC6">
        <w:t>–74.</w:t>
      </w:r>
      <w:r w:rsidR="007801C1">
        <w:t xml:space="preserve"> </w:t>
      </w:r>
      <w:hyperlink r:id="rId16" w:history="1">
        <w:r w:rsidRPr="007801C1">
          <w:t>doi:10.1108/14777261211230754</w:t>
        </w:r>
      </w:hyperlink>
      <w:r w:rsidR="007801C1">
        <w:t>.</w:t>
      </w:r>
    </w:p>
    <w:p w14:paraId="644496C6" w14:textId="31B1E6A2" w:rsidR="00323B74" w:rsidRDefault="003927F0" w:rsidP="0040606B">
      <w:pPr>
        <w:pStyle w:val="ListParagraph"/>
        <w:numPr>
          <w:ilvl w:val="0"/>
          <w:numId w:val="6"/>
        </w:numPr>
        <w:spacing w:line="480" w:lineRule="auto"/>
      </w:pPr>
      <w:r w:rsidRPr="003927F0">
        <w:t>Faries MD. Why We Don</w:t>
      </w:r>
      <w:r>
        <w:t>’</w:t>
      </w:r>
      <w:r w:rsidRPr="003927F0">
        <w:t xml:space="preserve">t </w:t>
      </w:r>
      <w:r>
        <w:t>‘</w:t>
      </w:r>
      <w:r w:rsidRPr="003927F0">
        <w:t>Just Do It</w:t>
      </w:r>
      <w:r>
        <w:t>’</w:t>
      </w:r>
      <w:r w:rsidRPr="003927F0">
        <w:t>: Understanding the Intention-</w:t>
      </w:r>
      <w:proofErr w:type="spellStart"/>
      <w:r w:rsidRPr="003927F0">
        <w:t>Behavior</w:t>
      </w:r>
      <w:proofErr w:type="spellEnd"/>
      <w:r w:rsidRPr="003927F0">
        <w:t xml:space="preserve"> Gap in Lifestyle Medicine. Am J Lifestyle Med. 2016;10(5):322-329. </w:t>
      </w:r>
      <w:proofErr w:type="spellStart"/>
      <w:r w:rsidRPr="003927F0">
        <w:t>doi</w:t>
      </w:r>
      <w:proofErr w:type="spellEnd"/>
      <w:r w:rsidRPr="003927F0">
        <w:t>: 10.1177/1559827616638017.</w:t>
      </w:r>
    </w:p>
    <w:p w14:paraId="05D00E6F" w14:textId="77777777" w:rsidR="00323B74" w:rsidRDefault="00323B74" w:rsidP="0040606B">
      <w:pPr>
        <w:spacing w:line="480" w:lineRule="auto"/>
      </w:pPr>
    </w:p>
    <w:p w14:paraId="3F447612" w14:textId="77777777" w:rsidR="00323B74" w:rsidRPr="00152E11" w:rsidRDefault="00323B74" w:rsidP="0040606B">
      <w:pPr>
        <w:spacing w:line="480" w:lineRule="auto"/>
        <w:rPr>
          <w:b/>
          <w:bCs/>
        </w:rPr>
      </w:pPr>
      <w:r>
        <w:rPr>
          <w:b/>
          <w:bCs/>
        </w:rPr>
        <w:t xml:space="preserve">Author’s </w:t>
      </w:r>
      <w:r w:rsidRPr="00152E11">
        <w:rPr>
          <w:b/>
          <w:bCs/>
        </w:rPr>
        <w:t>Contributions</w:t>
      </w:r>
    </w:p>
    <w:p w14:paraId="09AED808" w14:textId="3B937817" w:rsidR="006B2FF7" w:rsidRDefault="00323B74" w:rsidP="0040606B">
      <w:pPr>
        <w:spacing w:line="480" w:lineRule="auto"/>
      </w:pPr>
      <w:r>
        <w:lastRenderedPageBreak/>
        <w:t xml:space="preserve">DW, </w:t>
      </w:r>
      <w:r w:rsidR="003A533F">
        <w:t>R</w:t>
      </w:r>
      <w:r>
        <w:t xml:space="preserve">F, </w:t>
      </w:r>
      <w:r w:rsidR="00575B38">
        <w:t xml:space="preserve">JF, </w:t>
      </w:r>
      <w:r>
        <w:t xml:space="preserve">SR, ND, LC and CF contributed to the conception of the study. DW, </w:t>
      </w:r>
      <w:r w:rsidR="003A533F">
        <w:t>R</w:t>
      </w:r>
      <w:r>
        <w:t>F,</w:t>
      </w:r>
      <w:r w:rsidR="00575B38">
        <w:t xml:space="preserve"> JF,</w:t>
      </w:r>
      <w:r>
        <w:t xml:space="preserve"> LC and CF were responsible for the study design. </w:t>
      </w:r>
      <w:r w:rsidR="003A533F">
        <w:t>R</w:t>
      </w:r>
      <w:r>
        <w:t xml:space="preserve">F and DW analysed the grant data, conducted the interviews and led the qualitative analysis. All authors contributed to the interpretation and implications of study findings. PM led the literature review informing the study. DW wrote the initial draft of the manuscript. </w:t>
      </w:r>
      <w:r w:rsidRPr="00152E11">
        <w:t xml:space="preserve">All authors </w:t>
      </w:r>
      <w:r>
        <w:t xml:space="preserve">contributed to the </w:t>
      </w:r>
      <w:r w:rsidRPr="00152E11">
        <w:t>revis</w:t>
      </w:r>
      <w:r>
        <w:t>ing</w:t>
      </w:r>
      <w:r w:rsidRPr="00152E11">
        <w:t xml:space="preserve"> </w:t>
      </w:r>
      <w:r>
        <w:t xml:space="preserve">of </w:t>
      </w:r>
      <w:r w:rsidRPr="00152E11">
        <w:t xml:space="preserve">the </w:t>
      </w:r>
      <w:r>
        <w:t xml:space="preserve">draft </w:t>
      </w:r>
      <w:r w:rsidRPr="00152E11">
        <w:t>manuscript and approved the final version for submission.</w:t>
      </w:r>
    </w:p>
    <w:p w14:paraId="2B7E4940" w14:textId="77777777" w:rsidR="006B2FF7" w:rsidRDefault="006B2FF7" w:rsidP="0040606B">
      <w:pPr>
        <w:spacing w:line="480" w:lineRule="auto"/>
      </w:pPr>
    </w:p>
    <w:p w14:paraId="2BB1CD24" w14:textId="77777777" w:rsidR="00323B74" w:rsidRPr="00152E11" w:rsidRDefault="00323B74" w:rsidP="0040606B">
      <w:pPr>
        <w:tabs>
          <w:tab w:val="num" w:pos="720"/>
        </w:tabs>
        <w:spacing w:line="480" w:lineRule="auto"/>
        <w:rPr>
          <w:b/>
          <w:bCs/>
        </w:rPr>
      </w:pPr>
      <w:r w:rsidRPr="00152E11">
        <w:rPr>
          <w:b/>
          <w:bCs/>
        </w:rPr>
        <w:t>Ethics declarations</w:t>
      </w:r>
    </w:p>
    <w:p w14:paraId="5F17BA50" w14:textId="77777777" w:rsidR="00323B74" w:rsidRPr="004932F5" w:rsidRDefault="00323B74" w:rsidP="0040606B">
      <w:pPr>
        <w:tabs>
          <w:tab w:val="num" w:pos="720"/>
        </w:tabs>
        <w:spacing w:line="480" w:lineRule="auto"/>
        <w:rPr>
          <w:b/>
          <w:bCs/>
          <w:i/>
          <w:iCs/>
        </w:rPr>
      </w:pPr>
      <w:r w:rsidRPr="00E8638C">
        <w:rPr>
          <w:b/>
          <w:bCs/>
          <w:i/>
          <w:iCs/>
        </w:rPr>
        <w:t>Ethics approval and consent to participate</w:t>
      </w:r>
    </w:p>
    <w:p w14:paraId="2C537FE8" w14:textId="6EDFC57E" w:rsidR="00323B74" w:rsidRPr="003B3D7E" w:rsidRDefault="00323B74" w:rsidP="0040606B">
      <w:pPr>
        <w:spacing w:line="480" w:lineRule="auto"/>
      </w:pPr>
      <w:r>
        <w:t xml:space="preserve">The study </w:t>
      </w:r>
      <w:r w:rsidRPr="003B3D7E">
        <w:t xml:space="preserve">received ethical approval </w:t>
      </w:r>
      <w:r>
        <w:t>from</w:t>
      </w:r>
      <w:r w:rsidRPr="003B3D7E">
        <w:t xml:space="preserve"> the University of Southampton (ERGO reference </w:t>
      </w:r>
      <w:r>
        <w:t>67296</w:t>
      </w:r>
      <w:r w:rsidRPr="003B3D7E">
        <w:t>)</w:t>
      </w:r>
      <w:r w:rsidR="00681381">
        <w:t xml:space="preserve"> and was delivered in </w:t>
      </w:r>
      <w:r w:rsidR="007567AB">
        <w:t xml:space="preserve">strict </w:t>
      </w:r>
      <w:r w:rsidR="00681381">
        <w:t>accordance with the Declaration of Helsinki</w:t>
      </w:r>
      <w:r w:rsidRPr="003B3D7E">
        <w:t xml:space="preserve">. </w:t>
      </w:r>
      <w:r>
        <w:t xml:space="preserve">All participants received study information sheets and gave verbal informed consent before data collection. </w:t>
      </w:r>
      <w:r w:rsidRPr="003B3D7E">
        <w:t>All</w:t>
      </w:r>
      <w:r>
        <w:t xml:space="preserve"> </w:t>
      </w:r>
      <w:r w:rsidRPr="003B3D7E">
        <w:t>findings were pseudonymised, including participant</w:t>
      </w:r>
      <w:r>
        <w:t xml:space="preserve"> </w:t>
      </w:r>
      <w:r w:rsidRPr="003B3D7E">
        <w:t>names, and identifying details were removed.</w:t>
      </w:r>
    </w:p>
    <w:p w14:paraId="1A5EAFE4" w14:textId="77777777" w:rsidR="00323B74" w:rsidRDefault="00323B74" w:rsidP="0040606B">
      <w:pPr>
        <w:tabs>
          <w:tab w:val="num" w:pos="720"/>
        </w:tabs>
        <w:spacing w:line="480" w:lineRule="auto"/>
      </w:pPr>
    </w:p>
    <w:p w14:paraId="3D8E71AE" w14:textId="77777777" w:rsidR="00323B74" w:rsidRPr="00E8638C" w:rsidRDefault="00323B74" w:rsidP="0040606B">
      <w:pPr>
        <w:tabs>
          <w:tab w:val="num" w:pos="720"/>
        </w:tabs>
        <w:spacing w:line="480" w:lineRule="auto"/>
        <w:rPr>
          <w:b/>
          <w:bCs/>
          <w:i/>
          <w:iCs/>
        </w:rPr>
      </w:pPr>
      <w:r w:rsidRPr="00E8638C">
        <w:rPr>
          <w:b/>
          <w:bCs/>
          <w:i/>
          <w:iCs/>
        </w:rPr>
        <w:t>Consent for publication</w:t>
      </w:r>
    </w:p>
    <w:p w14:paraId="1CABEE5D" w14:textId="77777777" w:rsidR="00323B74" w:rsidRDefault="00323B74" w:rsidP="0040606B">
      <w:pPr>
        <w:tabs>
          <w:tab w:val="num" w:pos="720"/>
        </w:tabs>
        <w:spacing w:line="480" w:lineRule="auto"/>
      </w:pPr>
      <w:r>
        <w:t xml:space="preserve">Consent for using non-identifiable, pseudonymised data from the qualitative interviews was given by all </w:t>
      </w:r>
      <w:proofErr w:type="spellStart"/>
      <w:r>
        <w:t>partipants</w:t>
      </w:r>
      <w:proofErr w:type="spellEnd"/>
      <w:r>
        <w:t xml:space="preserve"> in advance of data collection.</w:t>
      </w:r>
    </w:p>
    <w:p w14:paraId="0AE42A93" w14:textId="77777777" w:rsidR="00323B74" w:rsidRDefault="00323B74" w:rsidP="0040606B">
      <w:pPr>
        <w:tabs>
          <w:tab w:val="num" w:pos="720"/>
        </w:tabs>
        <w:spacing w:line="480" w:lineRule="auto"/>
      </w:pPr>
    </w:p>
    <w:p w14:paraId="6E41F323" w14:textId="77777777" w:rsidR="00323B74" w:rsidRPr="00E8638C" w:rsidRDefault="00323B74" w:rsidP="0040606B">
      <w:pPr>
        <w:tabs>
          <w:tab w:val="num" w:pos="720"/>
        </w:tabs>
        <w:spacing w:line="480" w:lineRule="auto"/>
        <w:rPr>
          <w:b/>
          <w:bCs/>
          <w:i/>
          <w:iCs/>
        </w:rPr>
      </w:pPr>
      <w:r w:rsidRPr="00E8638C">
        <w:rPr>
          <w:b/>
          <w:bCs/>
          <w:i/>
          <w:iCs/>
        </w:rPr>
        <w:t>Availability of data and materials</w:t>
      </w:r>
    </w:p>
    <w:p w14:paraId="73196638" w14:textId="77777777" w:rsidR="00323B74" w:rsidRDefault="00323B74" w:rsidP="0040606B">
      <w:pPr>
        <w:tabs>
          <w:tab w:val="num" w:pos="720"/>
        </w:tabs>
        <w:spacing w:line="480" w:lineRule="auto"/>
      </w:pPr>
      <w:r>
        <w:t>Due to the need to maintain the anonymity of study participants and CAC grant details, it is not possible to share the study data.</w:t>
      </w:r>
    </w:p>
    <w:p w14:paraId="307370C0" w14:textId="77777777" w:rsidR="00323B74" w:rsidRDefault="00323B74" w:rsidP="0040606B">
      <w:pPr>
        <w:tabs>
          <w:tab w:val="num" w:pos="720"/>
        </w:tabs>
        <w:spacing w:line="480" w:lineRule="auto"/>
      </w:pPr>
    </w:p>
    <w:p w14:paraId="57B939B5" w14:textId="77777777" w:rsidR="00323B74" w:rsidRPr="00E8638C" w:rsidRDefault="00323B74" w:rsidP="0040606B">
      <w:pPr>
        <w:tabs>
          <w:tab w:val="num" w:pos="720"/>
        </w:tabs>
        <w:spacing w:line="480" w:lineRule="auto"/>
        <w:rPr>
          <w:b/>
          <w:bCs/>
          <w:i/>
          <w:iCs/>
        </w:rPr>
      </w:pPr>
      <w:r w:rsidRPr="00E8638C">
        <w:rPr>
          <w:b/>
          <w:bCs/>
          <w:i/>
          <w:iCs/>
        </w:rPr>
        <w:t>Competing interests</w:t>
      </w:r>
    </w:p>
    <w:p w14:paraId="77E7CB4A" w14:textId="77777777" w:rsidR="00323B74" w:rsidRDefault="00323B74" w:rsidP="0040606B">
      <w:pPr>
        <w:tabs>
          <w:tab w:val="num" w:pos="720"/>
        </w:tabs>
        <w:spacing w:line="480" w:lineRule="auto"/>
      </w:pPr>
      <w:r>
        <w:lastRenderedPageBreak/>
        <w:t>The authors declare they have no competing interests.</w:t>
      </w:r>
    </w:p>
    <w:p w14:paraId="126EBD5D" w14:textId="77777777" w:rsidR="00323B74" w:rsidRDefault="00323B74" w:rsidP="0040606B">
      <w:pPr>
        <w:tabs>
          <w:tab w:val="num" w:pos="720"/>
        </w:tabs>
        <w:spacing w:line="480" w:lineRule="auto"/>
      </w:pPr>
    </w:p>
    <w:p w14:paraId="3D63466B" w14:textId="77777777" w:rsidR="00323B74" w:rsidRPr="00E8638C" w:rsidRDefault="00323B74" w:rsidP="0040606B">
      <w:pPr>
        <w:tabs>
          <w:tab w:val="num" w:pos="720"/>
        </w:tabs>
        <w:spacing w:line="480" w:lineRule="auto"/>
        <w:rPr>
          <w:b/>
          <w:bCs/>
        </w:rPr>
      </w:pPr>
      <w:r w:rsidRPr="00E8638C">
        <w:rPr>
          <w:b/>
          <w:bCs/>
        </w:rPr>
        <w:t>Funding</w:t>
      </w:r>
    </w:p>
    <w:p w14:paraId="2491421A" w14:textId="7F9ACC72" w:rsidR="00323B74" w:rsidRDefault="00323B74" w:rsidP="0040606B">
      <w:pPr>
        <w:tabs>
          <w:tab w:val="num" w:pos="720"/>
        </w:tabs>
        <w:spacing w:line="480" w:lineRule="auto"/>
      </w:pPr>
      <w:r>
        <w:t xml:space="preserve">Funding for the study was made </w:t>
      </w:r>
      <w:r w:rsidR="006B2FF7">
        <w:t xml:space="preserve">available </w:t>
      </w:r>
      <w:r>
        <w:t>through a competitive grant process and subsequent direct commissioning by the Wessex Cancer Alliance. Through this, the funder supported the conceptualisation of the study and contributed to the preparation of the manuscript.</w:t>
      </w:r>
    </w:p>
    <w:p w14:paraId="73A1A101" w14:textId="77777777" w:rsidR="00323B74" w:rsidRPr="00E8638C" w:rsidRDefault="00323B74" w:rsidP="0040606B">
      <w:pPr>
        <w:tabs>
          <w:tab w:val="num" w:pos="720"/>
        </w:tabs>
        <w:spacing w:line="480" w:lineRule="auto"/>
      </w:pPr>
    </w:p>
    <w:p w14:paraId="1AAAA118" w14:textId="77777777" w:rsidR="00323B74" w:rsidRDefault="00323B74" w:rsidP="0040606B">
      <w:pPr>
        <w:tabs>
          <w:tab w:val="num" w:pos="720"/>
        </w:tabs>
        <w:spacing w:line="480" w:lineRule="auto"/>
        <w:rPr>
          <w:b/>
          <w:bCs/>
        </w:rPr>
      </w:pPr>
      <w:r w:rsidRPr="00E8638C">
        <w:rPr>
          <w:b/>
          <w:bCs/>
        </w:rPr>
        <w:t>Acknowledgements</w:t>
      </w:r>
    </w:p>
    <w:p w14:paraId="1E9C8288" w14:textId="2F59946B" w:rsidR="004269EB" w:rsidRPr="006B2FF7" w:rsidRDefault="00323B74" w:rsidP="005A6E7B">
      <w:pPr>
        <w:tabs>
          <w:tab w:val="num" w:pos="720"/>
        </w:tabs>
        <w:spacing w:line="480" w:lineRule="auto"/>
        <w:rPr>
          <w:b/>
          <w:bCs/>
        </w:rPr>
      </w:pPr>
      <w:r w:rsidRPr="00A2767D">
        <w:t xml:space="preserve">We </w:t>
      </w:r>
      <w:r>
        <w:t xml:space="preserve">would like to thank the CAC co-ordinators and staff at Action Hampshire for supporting the study and </w:t>
      </w:r>
      <w:r w:rsidR="006B2FF7">
        <w:t>facilitating</w:t>
      </w:r>
      <w:r>
        <w:t xml:space="preserve"> access to the grant-holders. </w:t>
      </w:r>
      <w:proofErr w:type="gramStart"/>
      <w:r>
        <w:t>In particular, we</w:t>
      </w:r>
      <w:proofErr w:type="gramEnd"/>
      <w:r>
        <w:t xml:space="preserve"> wish to thank Claire Vincent and Kishor Patel for their support and Kevin Sawers in providing access to grant information and grant-holder reports. </w:t>
      </w:r>
      <w:r w:rsidR="00575B38">
        <w:t>W</w:t>
      </w:r>
      <w:r>
        <w:t>e would like to thank all the grant-holders and those who attended CAC-funded events for participating in the study interviews.</w:t>
      </w:r>
    </w:p>
    <w:sectPr w:rsidR="004269EB" w:rsidRPr="006B2FF7" w:rsidSect="00E374A6">
      <w:headerReference w:type="even" r:id="rId17"/>
      <w:headerReference w:type="default" r:id="rId18"/>
      <w:footerReference w:type="even" r:id="rId19"/>
      <w:footerReference w:type="default" r:id="rId20"/>
      <w:headerReference w:type="first" r:id="rId21"/>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EE28" w14:textId="77777777" w:rsidR="00CB3872" w:rsidRDefault="00CB3872" w:rsidP="005B7B6F">
      <w:r>
        <w:separator/>
      </w:r>
    </w:p>
  </w:endnote>
  <w:endnote w:type="continuationSeparator" w:id="0">
    <w:p w14:paraId="1CA1F330" w14:textId="77777777" w:rsidR="00CB3872" w:rsidRDefault="00CB3872" w:rsidP="005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haker 2 Lancet">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065762"/>
      <w:docPartObj>
        <w:docPartGallery w:val="Page Numbers (Bottom of Page)"/>
        <w:docPartUnique/>
      </w:docPartObj>
    </w:sdtPr>
    <w:sdtContent>
      <w:p w14:paraId="4AEBED09" w14:textId="4127FADA" w:rsidR="005B7B6F" w:rsidRDefault="005B7B6F" w:rsidP="00F61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41871">
          <w:rPr>
            <w:rStyle w:val="PageNumber"/>
            <w:noProof/>
          </w:rPr>
          <w:t>17</w:t>
        </w:r>
        <w:r>
          <w:rPr>
            <w:rStyle w:val="PageNumber"/>
          </w:rPr>
          <w:fldChar w:fldCharType="end"/>
        </w:r>
      </w:p>
    </w:sdtContent>
  </w:sdt>
  <w:p w14:paraId="29FF8707" w14:textId="77777777" w:rsidR="005B7B6F" w:rsidRDefault="005B7B6F" w:rsidP="005B7B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740713"/>
      <w:docPartObj>
        <w:docPartGallery w:val="Page Numbers (Bottom of Page)"/>
        <w:docPartUnique/>
      </w:docPartObj>
    </w:sdtPr>
    <w:sdtContent>
      <w:p w14:paraId="6730433A" w14:textId="3E5B89DB" w:rsidR="005B7B6F" w:rsidRDefault="005B7B6F" w:rsidP="00F61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82BA42" w14:textId="77777777" w:rsidR="005B7B6F" w:rsidRDefault="005B7B6F" w:rsidP="005B7B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C098" w14:textId="77777777" w:rsidR="00560E78" w:rsidRDefault="00560E78" w:rsidP="005D1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1BCB615C" w14:textId="77777777" w:rsidR="00560E78" w:rsidRDefault="00560E78" w:rsidP="005D1D6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355311"/>
      <w:docPartObj>
        <w:docPartGallery w:val="Page Numbers (Bottom of Page)"/>
        <w:docPartUnique/>
      </w:docPartObj>
    </w:sdtPr>
    <w:sdtContent>
      <w:p w14:paraId="3D767C37" w14:textId="77777777" w:rsidR="00560E78" w:rsidRDefault="00560E78" w:rsidP="005D1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58819B5" w14:textId="77777777" w:rsidR="00560E78" w:rsidRDefault="00560E78" w:rsidP="005D1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DA4B" w14:textId="77777777" w:rsidR="00CB3872" w:rsidRDefault="00CB3872" w:rsidP="005B7B6F">
      <w:r>
        <w:separator/>
      </w:r>
    </w:p>
  </w:footnote>
  <w:footnote w:type="continuationSeparator" w:id="0">
    <w:p w14:paraId="6E2069A5" w14:textId="77777777" w:rsidR="00CB3872" w:rsidRDefault="00CB3872" w:rsidP="005B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FB4E" w14:textId="77777777" w:rsidR="00560E78" w:rsidRDefault="00560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EE68" w14:textId="77777777" w:rsidR="00560E78" w:rsidRPr="00661725" w:rsidRDefault="00560E78" w:rsidP="00661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DF84" w14:textId="77777777" w:rsidR="00560E78" w:rsidRDefault="00560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26"/>
    <w:multiLevelType w:val="hybridMultilevel"/>
    <w:tmpl w:val="A56A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280F"/>
    <w:multiLevelType w:val="hybridMultilevel"/>
    <w:tmpl w:val="1AE87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57521"/>
    <w:multiLevelType w:val="hybridMultilevel"/>
    <w:tmpl w:val="D4A8B31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055112FA"/>
    <w:multiLevelType w:val="hybridMultilevel"/>
    <w:tmpl w:val="D4A8B31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095B1CE3"/>
    <w:multiLevelType w:val="hybridMultilevel"/>
    <w:tmpl w:val="B65439AC"/>
    <w:lvl w:ilvl="0" w:tplc="EC1A5524">
      <w:start w:val="1"/>
      <w:numFmt w:val="bullet"/>
      <w:lvlText w:val=""/>
      <w:lvlJc w:val="left"/>
      <w:pPr>
        <w:tabs>
          <w:tab w:val="num" w:pos="720"/>
        </w:tabs>
        <w:ind w:left="720" w:hanging="360"/>
      </w:pPr>
      <w:rPr>
        <w:rFonts w:ascii="Symbol" w:hAnsi="Symbol" w:hint="default"/>
      </w:rPr>
    </w:lvl>
    <w:lvl w:ilvl="1" w:tplc="D8D05A6E" w:tentative="1">
      <w:start w:val="1"/>
      <w:numFmt w:val="bullet"/>
      <w:lvlText w:val=""/>
      <w:lvlJc w:val="left"/>
      <w:pPr>
        <w:tabs>
          <w:tab w:val="num" w:pos="1440"/>
        </w:tabs>
        <w:ind w:left="1440" w:hanging="360"/>
      </w:pPr>
      <w:rPr>
        <w:rFonts w:ascii="Symbol" w:hAnsi="Symbol" w:hint="default"/>
      </w:rPr>
    </w:lvl>
    <w:lvl w:ilvl="2" w:tplc="CAD6E8D4" w:tentative="1">
      <w:start w:val="1"/>
      <w:numFmt w:val="bullet"/>
      <w:lvlText w:val=""/>
      <w:lvlJc w:val="left"/>
      <w:pPr>
        <w:tabs>
          <w:tab w:val="num" w:pos="2160"/>
        </w:tabs>
        <w:ind w:left="2160" w:hanging="360"/>
      </w:pPr>
      <w:rPr>
        <w:rFonts w:ascii="Symbol" w:hAnsi="Symbol" w:hint="default"/>
      </w:rPr>
    </w:lvl>
    <w:lvl w:ilvl="3" w:tplc="A14AFB78" w:tentative="1">
      <w:start w:val="1"/>
      <w:numFmt w:val="bullet"/>
      <w:lvlText w:val=""/>
      <w:lvlJc w:val="left"/>
      <w:pPr>
        <w:tabs>
          <w:tab w:val="num" w:pos="2880"/>
        </w:tabs>
        <w:ind w:left="2880" w:hanging="360"/>
      </w:pPr>
      <w:rPr>
        <w:rFonts w:ascii="Symbol" w:hAnsi="Symbol" w:hint="default"/>
      </w:rPr>
    </w:lvl>
    <w:lvl w:ilvl="4" w:tplc="DB9ECA34" w:tentative="1">
      <w:start w:val="1"/>
      <w:numFmt w:val="bullet"/>
      <w:lvlText w:val=""/>
      <w:lvlJc w:val="left"/>
      <w:pPr>
        <w:tabs>
          <w:tab w:val="num" w:pos="3600"/>
        </w:tabs>
        <w:ind w:left="3600" w:hanging="360"/>
      </w:pPr>
      <w:rPr>
        <w:rFonts w:ascii="Symbol" w:hAnsi="Symbol" w:hint="default"/>
      </w:rPr>
    </w:lvl>
    <w:lvl w:ilvl="5" w:tplc="BF662FB6" w:tentative="1">
      <w:start w:val="1"/>
      <w:numFmt w:val="bullet"/>
      <w:lvlText w:val=""/>
      <w:lvlJc w:val="left"/>
      <w:pPr>
        <w:tabs>
          <w:tab w:val="num" w:pos="4320"/>
        </w:tabs>
        <w:ind w:left="4320" w:hanging="360"/>
      </w:pPr>
      <w:rPr>
        <w:rFonts w:ascii="Symbol" w:hAnsi="Symbol" w:hint="default"/>
      </w:rPr>
    </w:lvl>
    <w:lvl w:ilvl="6" w:tplc="CC402F1E" w:tentative="1">
      <w:start w:val="1"/>
      <w:numFmt w:val="bullet"/>
      <w:lvlText w:val=""/>
      <w:lvlJc w:val="left"/>
      <w:pPr>
        <w:tabs>
          <w:tab w:val="num" w:pos="5040"/>
        </w:tabs>
        <w:ind w:left="5040" w:hanging="360"/>
      </w:pPr>
      <w:rPr>
        <w:rFonts w:ascii="Symbol" w:hAnsi="Symbol" w:hint="default"/>
      </w:rPr>
    </w:lvl>
    <w:lvl w:ilvl="7" w:tplc="E064F63A" w:tentative="1">
      <w:start w:val="1"/>
      <w:numFmt w:val="bullet"/>
      <w:lvlText w:val=""/>
      <w:lvlJc w:val="left"/>
      <w:pPr>
        <w:tabs>
          <w:tab w:val="num" w:pos="5760"/>
        </w:tabs>
        <w:ind w:left="5760" w:hanging="360"/>
      </w:pPr>
      <w:rPr>
        <w:rFonts w:ascii="Symbol" w:hAnsi="Symbol" w:hint="default"/>
      </w:rPr>
    </w:lvl>
    <w:lvl w:ilvl="8" w:tplc="A9B2C37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246678"/>
    <w:multiLevelType w:val="hybridMultilevel"/>
    <w:tmpl w:val="92A40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7571D6"/>
    <w:multiLevelType w:val="hybridMultilevel"/>
    <w:tmpl w:val="F2FEB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5622D"/>
    <w:multiLevelType w:val="hybridMultilevel"/>
    <w:tmpl w:val="502C2078"/>
    <w:lvl w:ilvl="0" w:tplc="F98E73DE">
      <w:start w:val="1"/>
      <w:numFmt w:val="bullet"/>
      <w:lvlText w:val="•"/>
      <w:lvlJc w:val="left"/>
      <w:pPr>
        <w:tabs>
          <w:tab w:val="num" w:pos="720"/>
        </w:tabs>
        <w:ind w:left="720" w:hanging="360"/>
      </w:pPr>
      <w:rPr>
        <w:rFonts w:ascii="Arial" w:hAnsi="Arial" w:hint="default"/>
      </w:rPr>
    </w:lvl>
    <w:lvl w:ilvl="1" w:tplc="92960468" w:tentative="1">
      <w:start w:val="1"/>
      <w:numFmt w:val="bullet"/>
      <w:lvlText w:val="•"/>
      <w:lvlJc w:val="left"/>
      <w:pPr>
        <w:tabs>
          <w:tab w:val="num" w:pos="1440"/>
        </w:tabs>
        <w:ind w:left="1440" w:hanging="360"/>
      </w:pPr>
      <w:rPr>
        <w:rFonts w:ascii="Arial" w:hAnsi="Arial" w:hint="default"/>
      </w:rPr>
    </w:lvl>
    <w:lvl w:ilvl="2" w:tplc="45EE3674" w:tentative="1">
      <w:start w:val="1"/>
      <w:numFmt w:val="bullet"/>
      <w:lvlText w:val="•"/>
      <w:lvlJc w:val="left"/>
      <w:pPr>
        <w:tabs>
          <w:tab w:val="num" w:pos="2160"/>
        </w:tabs>
        <w:ind w:left="2160" w:hanging="360"/>
      </w:pPr>
      <w:rPr>
        <w:rFonts w:ascii="Arial" w:hAnsi="Arial" w:hint="default"/>
      </w:rPr>
    </w:lvl>
    <w:lvl w:ilvl="3" w:tplc="7ABA9E2A" w:tentative="1">
      <w:start w:val="1"/>
      <w:numFmt w:val="bullet"/>
      <w:lvlText w:val="•"/>
      <w:lvlJc w:val="left"/>
      <w:pPr>
        <w:tabs>
          <w:tab w:val="num" w:pos="2880"/>
        </w:tabs>
        <w:ind w:left="2880" w:hanging="360"/>
      </w:pPr>
      <w:rPr>
        <w:rFonts w:ascii="Arial" w:hAnsi="Arial" w:hint="default"/>
      </w:rPr>
    </w:lvl>
    <w:lvl w:ilvl="4" w:tplc="559A566E" w:tentative="1">
      <w:start w:val="1"/>
      <w:numFmt w:val="bullet"/>
      <w:lvlText w:val="•"/>
      <w:lvlJc w:val="left"/>
      <w:pPr>
        <w:tabs>
          <w:tab w:val="num" w:pos="3600"/>
        </w:tabs>
        <w:ind w:left="3600" w:hanging="360"/>
      </w:pPr>
      <w:rPr>
        <w:rFonts w:ascii="Arial" w:hAnsi="Arial" w:hint="default"/>
      </w:rPr>
    </w:lvl>
    <w:lvl w:ilvl="5" w:tplc="3C2A6FCC" w:tentative="1">
      <w:start w:val="1"/>
      <w:numFmt w:val="bullet"/>
      <w:lvlText w:val="•"/>
      <w:lvlJc w:val="left"/>
      <w:pPr>
        <w:tabs>
          <w:tab w:val="num" w:pos="4320"/>
        </w:tabs>
        <w:ind w:left="4320" w:hanging="360"/>
      </w:pPr>
      <w:rPr>
        <w:rFonts w:ascii="Arial" w:hAnsi="Arial" w:hint="default"/>
      </w:rPr>
    </w:lvl>
    <w:lvl w:ilvl="6" w:tplc="44D8A79C" w:tentative="1">
      <w:start w:val="1"/>
      <w:numFmt w:val="bullet"/>
      <w:lvlText w:val="•"/>
      <w:lvlJc w:val="left"/>
      <w:pPr>
        <w:tabs>
          <w:tab w:val="num" w:pos="5040"/>
        </w:tabs>
        <w:ind w:left="5040" w:hanging="360"/>
      </w:pPr>
      <w:rPr>
        <w:rFonts w:ascii="Arial" w:hAnsi="Arial" w:hint="default"/>
      </w:rPr>
    </w:lvl>
    <w:lvl w:ilvl="7" w:tplc="90160184" w:tentative="1">
      <w:start w:val="1"/>
      <w:numFmt w:val="bullet"/>
      <w:lvlText w:val="•"/>
      <w:lvlJc w:val="left"/>
      <w:pPr>
        <w:tabs>
          <w:tab w:val="num" w:pos="5760"/>
        </w:tabs>
        <w:ind w:left="5760" w:hanging="360"/>
      </w:pPr>
      <w:rPr>
        <w:rFonts w:ascii="Arial" w:hAnsi="Arial" w:hint="default"/>
      </w:rPr>
    </w:lvl>
    <w:lvl w:ilvl="8" w:tplc="719CCF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992AF4"/>
    <w:multiLevelType w:val="hybridMultilevel"/>
    <w:tmpl w:val="12DCF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253E62"/>
    <w:multiLevelType w:val="hybridMultilevel"/>
    <w:tmpl w:val="E136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3D29DD"/>
    <w:multiLevelType w:val="multilevel"/>
    <w:tmpl w:val="6EB6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03641"/>
    <w:multiLevelType w:val="hybridMultilevel"/>
    <w:tmpl w:val="2542C396"/>
    <w:lvl w:ilvl="0" w:tplc="F6269C56">
      <w:start w:val="1"/>
      <w:numFmt w:val="bullet"/>
      <w:lvlText w:val="•"/>
      <w:lvlJc w:val="left"/>
      <w:pPr>
        <w:tabs>
          <w:tab w:val="num" w:pos="720"/>
        </w:tabs>
        <w:ind w:left="720" w:hanging="360"/>
      </w:pPr>
      <w:rPr>
        <w:rFonts w:ascii="Arial" w:hAnsi="Arial" w:hint="default"/>
      </w:rPr>
    </w:lvl>
    <w:lvl w:ilvl="1" w:tplc="2D962CA0" w:tentative="1">
      <w:start w:val="1"/>
      <w:numFmt w:val="bullet"/>
      <w:lvlText w:val="•"/>
      <w:lvlJc w:val="left"/>
      <w:pPr>
        <w:tabs>
          <w:tab w:val="num" w:pos="1440"/>
        </w:tabs>
        <w:ind w:left="1440" w:hanging="360"/>
      </w:pPr>
      <w:rPr>
        <w:rFonts w:ascii="Arial" w:hAnsi="Arial" w:hint="default"/>
      </w:rPr>
    </w:lvl>
    <w:lvl w:ilvl="2" w:tplc="6EE859DA" w:tentative="1">
      <w:start w:val="1"/>
      <w:numFmt w:val="bullet"/>
      <w:lvlText w:val="•"/>
      <w:lvlJc w:val="left"/>
      <w:pPr>
        <w:tabs>
          <w:tab w:val="num" w:pos="2160"/>
        </w:tabs>
        <w:ind w:left="2160" w:hanging="360"/>
      </w:pPr>
      <w:rPr>
        <w:rFonts w:ascii="Arial" w:hAnsi="Arial" w:hint="default"/>
      </w:rPr>
    </w:lvl>
    <w:lvl w:ilvl="3" w:tplc="65E0C3B6" w:tentative="1">
      <w:start w:val="1"/>
      <w:numFmt w:val="bullet"/>
      <w:lvlText w:val="•"/>
      <w:lvlJc w:val="left"/>
      <w:pPr>
        <w:tabs>
          <w:tab w:val="num" w:pos="2880"/>
        </w:tabs>
        <w:ind w:left="2880" w:hanging="360"/>
      </w:pPr>
      <w:rPr>
        <w:rFonts w:ascii="Arial" w:hAnsi="Arial" w:hint="default"/>
      </w:rPr>
    </w:lvl>
    <w:lvl w:ilvl="4" w:tplc="A8487A84" w:tentative="1">
      <w:start w:val="1"/>
      <w:numFmt w:val="bullet"/>
      <w:lvlText w:val="•"/>
      <w:lvlJc w:val="left"/>
      <w:pPr>
        <w:tabs>
          <w:tab w:val="num" w:pos="3600"/>
        </w:tabs>
        <w:ind w:left="3600" w:hanging="360"/>
      </w:pPr>
      <w:rPr>
        <w:rFonts w:ascii="Arial" w:hAnsi="Arial" w:hint="default"/>
      </w:rPr>
    </w:lvl>
    <w:lvl w:ilvl="5" w:tplc="8258D3DA" w:tentative="1">
      <w:start w:val="1"/>
      <w:numFmt w:val="bullet"/>
      <w:lvlText w:val="•"/>
      <w:lvlJc w:val="left"/>
      <w:pPr>
        <w:tabs>
          <w:tab w:val="num" w:pos="4320"/>
        </w:tabs>
        <w:ind w:left="4320" w:hanging="360"/>
      </w:pPr>
      <w:rPr>
        <w:rFonts w:ascii="Arial" w:hAnsi="Arial" w:hint="default"/>
      </w:rPr>
    </w:lvl>
    <w:lvl w:ilvl="6" w:tplc="E59640E4" w:tentative="1">
      <w:start w:val="1"/>
      <w:numFmt w:val="bullet"/>
      <w:lvlText w:val="•"/>
      <w:lvlJc w:val="left"/>
      <w:pPr>
        <w:tabs>
          <w:tab w:val="num" w:pos="5040"/>
        </w:tabs>
        <w:ind w:left="5040" w:hanging="360"/>
      </w:pPr>
      <w:rPr>
        <w:rFonts w:ascii="Arial" w:hAnsi="Arial" w:hint="default"/>
      </w:rPr>
    </w:lvl>
    <w:lvl w:ilvl="7" w:tplc="F600FE36" w:tentative="1">
      <w:start w:val="1"/>
      <w:numFmt w:val="bullet"/>
      <w:lvlText w:val="•"/>
      <w:lvlJc w:val="left"/>
      <w:pPr>
        <w:tabs>
          <w:tab w:val="num" w:pos="5760"/>
        </w:tabs>
        <w:ind w:left="5760" w:hanging="360"/>
      </w:pPr>
      <w:rPr>
        <w:rFonts w:ascii="Arial" w:hAnsi="Arial" w:hint="default"/>
      </w:rPr>
    </w:lvl>
    <w:lvl w:ilvl="8" w:tplc="FC4239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657C4D"/>
    <w:multiLevelType w:val="hybridMultilevel"/>
    <w:tmpl w:val="9566E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40592"/>
    <w:multiLevelType w:val="multilevel"/>
    <w:tmpl w:val="A3BC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D1402"/>
    <w:multiLevelType w:val="hybridMultilevel"/>
    <w:tmpl w:val="AD122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3E67FE"/>
    <w:multiLevelType w:val="hybridMultilevel"/>
    <w:tmpl w:val="A6D8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10FDF"/>
    <w:multiLevelType w:val="hybridMultilevel"/>
    <w:tmpl w:val="4484F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EB127B"/>
    <w:multiLevelType w:val="hybridMultilevel"/>
    <w:tmpl w:val="447EF9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4A47E2"/>
    <w:multiLevelType w:val="multilevel"/>
    <w:tmpl w:val="CFD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247BF"/>
    <w:multiLevelType w:val="hybridMultilevel"/>
    <w:tmpl w:val="D4A8B31C"/>
    <w:lvl w:ilvl="0" w:tplc="194239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9840067"/>
    <w:multiLevelType w:val="hybridMultilevel"/>
    <w:tmpl w:val="4F246D5E"/>
    <w:lvl w:ilvl="0" w:tplc="2814F650">
      <w:start w:val="1"/>
      <w:numFmt w:val="bullet"/>
      <w:lvlText w:val="•"/>
      <w:lvlJc w:val="left"/>
      <w:pPr>
        <w:tabs>
          <w:tab w:val="num" w:pos="720"/>
        </w:tabs>
        <w:ind w:left="720" w:hanging="360"/>
      </w:pPr>
      <w:rPr>
        <w:rFonts w:ascii="Arial" w:hAnsi="Arial" w:hint="default"/>
      </w:rPr>
    </w:lvl>
    <w:lvl w:ilvl="1" w:tplc="07860936" w:tentative="1">
      <w:start w:val="1"/>
      <w:numFmt w:val="bullet"/>
      <w:lvlText w:val="•"/>
      <w:lvlJc w:val="left"/>
      <w:pPr>
        <w:tabs>
          <w:tab w:val="num" w:pos="1440"/>
        </w:tabs>
        <w:ind w:left="1440" w:hanging="360"/>
      </w:pPr>
      <w:rPr>
        <w:rFonts w:ascii="Arial" w:hAnsi="Arial" w:hint="default"/>
      </w:rPr>
    </w:lvl>
    <w:lvl w:ilvl="2" w:tplc="CC706E32" w:tentative="1">
      <w:start w:val="1"/>
      <w:numFmt w:val="bullet"/>
      <w:lvlText w:val="•"/>
      <w:lvlJc w:val="left"/>
      <w:pPr>
        <w:tabs>
          <w:tab w:val="num" w:pos="2160"/>
        </w:tabs>
        <w:ind w:left="2160" w:hanging="360"/>
      </w:pPr>
      <w:rPr>
        <w:rFonts w:ascii="Arial" w:hAnsi="Arial" w:hint="default"/>
      </w:rPr>
    </w:lvl>
    <w:lvl w:ilvl="3" w:tplc="E0967D22" w:tentative="1">
      <w:start w:val="1"/>
      <w:numFmt w:val="bullet"/>
      <w:lvlText w:val="•"/>
      <w:lvlJc w:val="left"/>
      <w:pPr>
        <w:tabs>
          <w:tab w:val="num" w:pos="2880"/>
        </w:tabs>
        <w:ind w:left="2880" w:hanging="360"/>
      </w:pPr>
      <w:rPr>
        <w:rFonts w:ascii="Arial" w:hAnsi="Arial" w:hint="default"/>
      </w:rPr>
    </w:lvl>
    <w:lvl w:ilvl="4" w:tplc="ED3498A6" w:tentative="1">
      <w:start w:val="1"/>
      <w:numFmt w:val="bullet"/>
      <w:lvlText w:val="•"/>
      <w:lvlJc w:val="left"/>
      <w:pPr>
        <w:tabs>
          <w:tab w:val="num" w:pos="3600"/>
        </w:tabs>
        <w:ind w:left="3600" w:hanging="360"/>
      </w:pPr>
      <w:rPr>
        <w:rFonts w:ascii="Arial" w:hAnsi="Arial" w:hint="default"/>
      </w:rPr>
    </w:lvl>
    <w:lvl w:ilvl="5" w:tplc="94AAB2E8" w:tentative="1">
      <w:start w:val="1"/>
      <w:numFmt w:val="bullet"/>
      <w:lvlText w:val="•"/>
      <w:lvlJc w:val="left"/>
      <w:pPr>
        <w:tabs>
          <w:tab w:val="num" w:pos="4320"/>
        </w:tabs>
        <w:ind w:left="4320" w:hanging="360"/>
      </w:pPr>
      <w:rPr>
        <w:rFonts w:ascii="Arial" w:hAnsi="Arial" w:hint="default"/>
      </w:rPr>
    </w:lvl>
    <w:lvl w:ilvl="6" w:tplc="E32E082E" w:tentative="1">
      <w:start w:val="1"/>
      <w:numFmt w:val="bullet"/>
      <w:lvlText w:val="•"/>
      <w:lvlJc w:val="left"/>
      <w:pPr>
        <w:tabs>
          <w:tab w:val="num" w:pos="5040"/>
        </w:tabs>
        <w:ind w:left="5040" w:hanging="360"/>
      </w:pPr>
      <w:rPr>
        <w:rFonts w:ascii="Arial" w:hAnsi="Arial" w:hint="default"/>
      </w:rPr>
    </w:lvl>
    <w:lvl w:ilvl="7" w:tplc="34A88562" w:tentative="1">
      <w:start w:val="1"/>
      <w:numFmt w:val="bullet"/>
      <w:lvlText w:val="•"/>
      <w:lvlJc w:val="left"/>
      <w:pPr>
        <w:tabs>
          <w:tab w:val="num" w:pos="5760"/>
        </w:tabs>
        <w:ind w:left="5760" w:hanging="360"/>
      </w:pPr>
      <w:rPr>
        <w:rFonts w:ascii="Arial" w:hAnsi="Arial" w:hint="default"/>
      </w:rPr>
    </w:lvl>
    <w:lvl w:ilvl="8" w:tplc="9F3669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667760"/>
    <w:multiLevelType w:val="hybridMultilevel"/>
    <w:tmpl w:val="CE984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457966"/>
    <w:multiLevelType w:val="hybridMultilevel"/>
    <w:tmpl w:val="0B425B4C"/>
    <w:lvl w:ilvl="0" w:tplc="D7021396">
      <w:start w:val="1"/>
      <w:numFmt w:val="bullet"/>
      <w:lvlText w:val="•"/>
      <w:lvlJc w:val="left"/>
      <w:pPr>
        <w:tabs>
          <w:tab w:val="num" w:pos="720"/>
        </w:tabs>
        <w:ind w:left="720" w:hanging="360"/>
      </w:pPr>
      <w:rPr>
        <w:rFonts w:ascii="Arial" w:hAnsi="Arial" w:hint="default"/>
      </w:rPr>
    </w:lvl>
    <w:lvl w:ilvl="1" w:tplc="D812D294" w:tentative="1">
      <w:start w:val="1"/>
      <w:numFmt w:val="bullet"/>
      <w:lvlText w:val="•"/>
      <w:lvlJc w:val="left"/>
      <w:pPr>
        <w:tabs>
          <w:tab w:val="num" w:pos="1440"/>
        </w:tabs>
        <w:ind w:left="1440" w:hanging="360"/>
      </w:pPr>
      <w:rPr>
        <w:rFonts w:ascii="Arial" w:hAnsi="Arial" w:hint="default"/>
      </w:rPr>
    </w:lvl>
    <w:lvl w:ilvl="2" w:tplc="06E49442" w:tentative="1">
      <w:start w:val="1"/>
      <w:numFmt w:val="bullet"/>
      <w:lvlText w:val="•"/>
      <w:lvlJc w:val="left"/>
      <w:pPr>
        <w:tabs>
          <w:tab w:val="num" w:pos="2160"/>
        </w:tabs>
        <w:ind w:left="2160" w:hanging="360"/>
      </w:pPr>
      <w:rPr>
        <w:rFonts w:ascii="Arial" w:hAnsi="Arial" w:hint="default"/>
      </w:rPr>
    </w:lvl>
    <w:lvl w:ilvl="3" w:tplc="3FFE488C" w:tentative="1">
      <w:start w:val="1"/>
      <w:numFmt w:val="bullet"/>
      <w:lvlText w:val="•"/>
      <w:lvlJc w:val="left"/>
      <w:pPr>
        <w:tabs>
          <w:tab w:val="num" w:pos="2880"/>
        </w:tabs>
        <w:ind w:left="2880" w:hanging="360"/>
      </w:pPr>
      <w:rPr>
        <w:rFonts w:ascii="Arial" w:hAnsi="Arial" w:hint="default"/>
      </w:rPr>
    </w:lvl>
    <w:lvl w:ilvl="4" w:tplc="B9CA2A54" w:tentative="1">
      <w:start w:val="1"/>
      <w:numFmt w:val="bullet"/>
      <w:lvlText w:val="•"/>
      <w:lvlJc w:val="left"/>
      <w:pPr>
        <w:tabs>
          <w:tab w:val="num" w:pos="3600"/>
        </w:tabs>
        <w:ind w:left="3600" w:hanging="360"/>
      </w:pPr>
      <w:rPr>
        <w:rFonts w:ascii="Arial" w:hAnsi="Arial" w:hint="default"/>
      </w:rPr>
    </w:lvl>
    <w:lvl w:ilvl="5" w:tplc="5294812E" w:tentative="1">
      <w:start w:val="1"/>
      <w:numFmt w:val="bullet"/>
      <w:lvlText w:val="•"/>
      <w:lvlJc w:val="left"/>
      <w:pPr>
        <w:tabs>
          <w:tab w:val="num" w:pos="4320"/>
        </w:tabs>
        <w:ind w:left="4320" w:hanging="360"/>
      </w:pPr>
      <w:rPr>
        <w:rFonts w:ascii="Arial" w:hAnsi="Arial" w:hint="default"/>
      </w:rPr>
    </w:lvl>
    <w:lvl w:ilvl="6" w:tplc="48C66272" w:tentative="1">
      <w:start w:val="1"/>
      <w:numFmt w:val="bullet"/>
      <w:lvlText w:val="•"/>
      <w:lvlJc w:val="left"/>
      <w:pPr>
        <w:tabs>
          <w:tab w:val="num" w:pos="5040"/>
        </w:tabs>
        <w:ind w:left="5040" w:hanging="360"/>
      </w:pPr>
      <w:rPr>
        <w:rFonts w:ascii="Arial" w:hAnsi="Arial" w:hint="default"/>
      </w:rPr>
    </w:lvl>
    <w:lvl w:ilvl="7" w:tplc="16309008" w:tentative="1">
      <w:start w:val="1"/>
      <w:numFmt w:val="bullet"/>
      <w:lvlText w:val="•"/>
      <w:lvlJc w:val="left"/>
      <w:pPr>
        <w:tabs>
          <w:tab w:val="num" w:pos="5760"/>
        </w:tabs>
        <w:ind w:left="5760" w:hanging="360"/>
      </w:pPr>
      <w:rPr>
        <w:rFonts w:ascii="Arial" w:hAnsi="Arial" w:hint="default"/>
      </w:rPr>
    </w:lvl>
    <w:lvl w:ilvl="8" w:tplc="025CC4F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5F7BB7"/>
    <w:multiLevelType w:val="multilevel"/>
    <w:tmpl w:val="D0D6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B22F02"/>
    <w:multiLevelType w:val="hybridMultilevel"/>
    <w:tmpl w:val="1BD03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B32B6"/>
    <w:multiLevelType w:val="hybridMultilevel"/>
    <w:tmpl w:val="53C4E2E6"/>
    <w:lvl w:ilvl="0" w:tplc="43D0FDEE">
      <w:start w:val="1"/>
      <w:numFmt w:val="bullet"/>
      <w:lvlText w:val="•"/>
      <w:lvlJc w:val="left"/>
      <w:pPr>
        <w:tabs>
          <w:tab w:val="num" w:pos="720"/>
        </w:tabs>
        <w:ind w:left="720" w:hanging="360"/>
      </w:pPr>
      <w:rPr>
        <w:rFonts w:ascii="Arial" w:hAnsi="Arial" w:hint="default"/>
      </w:rPr>
    </w:lvl>
    <w:lvl w:ilvl="1" w:tplc="491C3F4A" w:tentative="1">
      <w:start w:val="1"/>
      <w:numFmt w:val="bullet"/>
      <w:lvlText w:val="•"/>
      <w:lvlJc w:val="left"/>
      <w:pPr>
        <w:tabs>
          <w:tab w:val="num" w:pos="1440"/>
        </w:tabs>
        <w:ind w:left="1440" w:hanging="360"/>
      </w:pPr>
      <w:rPr>
        <w:rFonts w:ascii="Arial" w:hAnsi="Arial" w:hint="default"/>
      </w:rPr>
    </w:lvl>
    <w:lvl w:ilvl="2" w:tplc="6CE2AFA2" w:tentative="1">
      <w:start w:val="1"/>
      <w:numFmt w:val="bullet"/>
      <w:lvlText w:val="•"/>
      <w:lvlJc w:val="left"/>
      <w:pPr>
        <w:tabs>
          <w:tab w:val="num" w:pos="2160"/>
        </w:tabs>
        <w:ind w:left="2160" w:hanging="360"/>
      </w:pPr>
      <w:rPr>
        <w:rFonts w:ascii="Arial" w:hAnsi="Arial" w:hint="default"/>
      </w:rPr>
    </w:lvl>
    <w:lvl w:ilvl="3" w:tplc="7FC41D2A" w:tentative="1">
      <w:start w:val="1"/>
      <w:numFmt w:val="bullet"/>
      <w:lvlText w:val="•"/>
      <w:lvlJc w:val="left"/>
      <w:pPr>
        <w:tabs>
          <w:tab w:val="num" w:pos="2880"/>
        </w:tabs>
        <w:ind w:left="2880" w:hanging="360"/>
      </w:pPr>
      <w:rPr>
        <w:rFonts w:ascii="Arial" w:hAnsi="Arial" w:hint="default"/>
      </w:rPr>
    </w:lvl>
    <w:lvl w:ilvl="4" w:tplc="45BCA760" w:tentative="1">
      <w:start w:val="1"/>
      <w:numFmt w:val="bullet"/>
      <w:lvlText w:val="•"/>
      <w:lvlJc w:val="left"/>
      <w:pPr>
        <w:tabs>
          <w:tab w:val="num" w:pos="3600"/>
        </w:tabs>
        <w:ind w:left="3600" w:hanging="360"/>
      </w:pPr>
      <w:rPr>
        <w:rFonts w:ascii="Arial" w:hAnsi="Arial" w:hint="default"/>
      </w:rPr>
    </w:lvl>
    <w:lvl w:ilvl="5" w:tplc="B75EFE7E" w:tentative="1">
      <w:start w:val="1"/>
      <w:numFmt w:val="bullet"/>
      <w:lvlText w:val="•"/>
      <w:lvlJc w:val="left"/>
      <w:pPr>
        <w:tabs>
          <w:tab w:val="num" w:pos="4320"/>
        </w:tabs>
        <w:ind w:left="4320" w:hanging="360"/>
      </w:pPr>
      <w:rPr>
        <w:rFonts w:ascii="Arial" w:hAnsi="Arial" w:hint="default"/>
      </w:rPr>
    </w:lvl>
    <w:lvl w:ilvl="6" w:tplc="E7845C68" w:tentative="1">
      <w:start w:val="1"/>
      <w:numFmt w:val="bullet"/>
      <w:lvlText w:val="•"/>
      <w:lvlJc w:val="left"/>
      <w:pPr>
        <w:tabs>
          <w:tab w:val="num" w:pos="5040"/>
        </w:tabs>
        <w:ind w:left="5040" w:hanging="360"/>
      </w:pPr>
      <w:rPr>
        <w:rFonts w:ascii="Arial" w:hAnsi="Arial" w:hint="default"/>
      </w:rPr>
    </w:lvl>
    <w:lvl w:ilvl="7" w:tplc="62B09604" w:tentative="1">
      <w:start w:val="1"/>
      <w:numFmt w:val="bullet"/>
      <w:lvlText w:val="•"/>
      <w:lvlJc w:val="left"/>
      <w:pPr>
        <w:tabs>
          <w:tab w:val="num" w:pos="5760"/>
        </w:tabs>
        <w:ind w:left="5760" w:hanging="360"/>
      </w:pPr>
      <w:rPr>
        <w:rFonts w:ascii="Arial" w:hAnsi="Arial" w:hint="default"/>
      </w:rPr>
    </w:lvl>
    <w:lvl w:ilvl="8" w:tplc="A134EC6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7B72E3"/>
    <w:multiLevelType w:val="hybridMultilevel"/>
    <w:tmpl w:val="67C46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5E23F5"/>
    <w:multiLevelType w:val="hybridMultilevel"/>
    <w:tmpl w:val="5BDC5F46"/>
    <w:lvl w:ilvl="0" w:tplc="6BF86742">
      <w:start w:val="1"/>
      <w:numFmt w:val="bullet"/>
      <w:lvlText w:val="•"/>
      <w:lvlJc w:val="left"/>
      <w:pPr>
        <w:tabs>
          <w:tab w:val="num" w:pos="720"/>
        </w:tabs>
        <w:ind w:left="720" w:hanging="360"/>
      </w:pPr>
      <w:rPr>
        <w:rFonts w:ascii="Arial" w:hAnsi="Arial" w:hint="default"/>
      </w:rPr>
    </w:lvl>
    <w:lvl w:ilvl="1" w:tplc="CA641C92" w:tentative="1">
      <w:start w:val="1"/>
      <w:numFmt w:val="bullet"/>
      <w:lvlText w:val="•"/>
      <w:lvlJc w:val="left"/>
      <w:pPr>
        <w:tabs>
          <w:tab w:val="num" w:pos="1440"/>
        </w:tabs>
        <w:ind w:left="1440" w:hanging="360"/>
      </w:pPr>
      <w:rPr>
        <w:rFonts w:ascii="Arial" w:hAnsi="Arial" w:hint="default"/>
      </w:rPr>
    </w:lvl>
    <w:lvl w:ilvl="2" w:tplc="57D648B6" w:tentative="1">
      <w:start w:val="1"/>
      <w:numFmt w:val="bullet"/>
      <w:lvlText w:val="•"/>
      <w:lvlJc w:val="left"/>
      <w:pPr>
        <w:tabs>
          <w:tab w:val="num" w:pos="2160"/>
        </w:tabs>
        <w:ind w:left="2160" w:hanging="360"/>
      </w:pPr>
      <w:rPr>
        <w:rFonts w:ascii="Arial" w:hAnsi="Arial" w:hint="default"/>
      </w:rPr>
    </w:lvl>
    <w:lvl w:ilvl="3" w:tplc="D6D2D3B0" w:tentative="1">
      <w:start w:val="1"/>
      <w:numFmt w:val="bullet"/>
      <w:lvlText w:val="•"/>
      <w:lvlJc w:val="left"/>
      <w:pPr>
        <w:tabs>
          <w:tab w:val="num" w:pos="2880"/>
        </w:tabs>
        <w:ind w:left="2880" w:hanging="360"/>
      </w:pPr>
      <w:rPr>
        <w:rFonts w:ascii="Arial" w:hAnsi="Arial" w:hint="default"/>
      </w:rPr>
    </w:lvl>
    <w:lvl w:ilvl="4" w:tplc="9E442824" w:tentative="1">
      <w:start w:val="1"/>
      <w:numFmt w:val="bullet"/>
      <w:lvlText w:val="•"/>
      <w:lvlJc w:val="left"/>
      <w:pPr>
        <w:tabs>
          <w:tab w:val="num" w:pos="3600"/>
        </w:tabs>
        <w:ind w:left="3600" w:hanging="360"/>
      </w:pPr>
      <w:rPr>
        <w:rFonts w:ascii="Arial" w:hAnsi="Arial" w:hint="default"/>
      </w:rPr>
    </w:lvl>
    <w:lvl w:ilvl="5" w:tplc="4D1A48FC" w:tentative="1">
      <w:start w:val="1"/>
      <w:numFmt w:val="bullet"/>
      <w:lvlText w:val="•"/>
      <w:lvlJc w:val="left"/>
      <w:pPr>
        <w:tabs>
          <w:tab w:val="num" w:pos="4320"/>
        </w:tabs>
        <w:ind w:left="4320" w:hanging="360"/>
      </w:pPr>
      <w:rPr>
        <w:rFonts w:ascii="Arial" w:hAnsi="Arial" w:hint="default"/>
      </w:rPr>
    </w:lvl>
    <w:lvl w:ilvl="6" w:tplc="476A4418" w:tentative="1">
      <w:start w:val="1"/>
      <w:numFmt w:val="bullet"/>
      <w:lvlText w:val="•"/>
      <w:lvlJc w:val="left"/>
      <w:pPr>
        <w:tabs>
          <w:tab w:val="num" w:pos="5040"/>
        </w:tabs>
        <w:ind w:left="5040" w:hanging="360"/>
      </w:pPr>
      <w:rPr>
        <w:rFonts w:ascii="Arial" w:hAnsi="Arial" w:hint="default"/>
      </w:rPr>
    </w:lvl>
    <w:lvl w:ilvl="7" w:tplc="A7B8B658" w:tentative="1">
      <w:start w:val="1"/>
      <w:numFmt w:val="bullet"/>
      <w:lvlText w:val="•"/>
      <w:lvlJc w:val="left"/>
      <w:pPr>
        <w:tabs>
          <w:tab w:val="num" w:pos="5760"/>
        </w:tabs>
        <w:ind w:left="5760" w:hanging="360"/>
      </w:pPr>
      <w:rPr>
        <w:rFonts w:ascii="Arial" w:hAnsi="Arial" w:hint="default"/>
      </w:rPr>
    </w:lvl>
    <w:lvl w:ilvl="8" w:tplc="F69EC22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0C7F93"/>
    <w:multiLevelType w:val="hybridMultilevel"/>
    <w:tmpl w:val="1FA2DF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057ED"/>
    <w:multiLevelType w:val="hybridMultilevel"/>
    <w:tmpl w:val="CBFE8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D42AF7"/>
    <w:multiLevelType w:val="hybridMultilevel"/>
    <w:tmpl w:val="FE42D1A6"/>
    <w:lvl w:ilvl="0" w:tplc="4A668560">
      <w:start w:val="1"/>
      <w:numFmt w:val="bullet"/>
      <w:lvlText w:val=""/>
      <w:lvlJc w:val="left"/>
      <w:pPr>
        <w:tabs>
          <w:tab w:val="num" w:pos="360"/>
        </w:tabs>
        <w:ind w:left="360" w:hanging="360"/>
      </w:pPr>
      <w:rPr>
        <w:rFonts w:ascii="Symbol" w:hAnsi="Symbol" w:hint="default"/>
      </w:rPr>
    </w:lvl>
    <w:lvl w:ilvl="1" w:tplc="5792F022" w:tentative="1">
      <w:start w:val="1"/>
      <w:numFmt w:val="bullet"/>
      <w:lvlText w:val=""/>
      <w:lvlJc w:val="left"/>
      <w:pPr>
        <w:tabs>
          <w:tab w:val="num" w:pos="1080"/>
        </w:tabs>
        <w:ind w:left="1080" w:hanging="360"/>
      </w:pPr>
      <w:rPr>
        <w:rFonts w:ascii="Symbol" w:hAnsi="Symbol" w:hint="default"/>
      </w:rPr>
    </w:lvl>
    <w:lvl w:ilvl="2" w:tplc="EE24809C" w:tentative="1">
      <w:start w:val="1"/>
      <w:numFmt w:val="bullet"/>
      <w:lvlText w:val=""/>
      <w:lvlJc w:val="left"/>
      <w:pPr>
        <w:tabs>
          <w:tab w:val="num" w:pos="1800"/>
        </w:tabs>
        <w:ind w:left="1800" w:hanging="360"/>
      </w:pPr>
      <w:rPr>
        <w:rFonts w:ascii="Symbol" w:hAnsi="Symbol" w:hint="default"/>
      </w:rPr>
    </w:lvl>
    <w:lvl w:ilvl="3" w:tplc="3F3C4386" w:tentative="1">
      <w:start w:val="1"/>
      <w:numFmt w:val="bullet"/>
      <w:lvlText w:val=""/>
      <w:lvlJc w:val="left"/>
      <w:pPr>
        <w:tabs>
          <w:tab w:val="num" w:pos="2520"/>
        </w:tabs>
        <w:ind w:left="2520" w:hanging="360"/>
      </w:pPr>
      <w:rPr>
        <w:rFonts w:ascii="Symbol" w:hAnsi="Symbol" w:hint="default"/>
      </w:rPr>
    </w:lvl>
    <w:lvl w:ilvl="4" w:tplc="E9108D8E" w:tentative="1">
      <w:start w:val="1"/>
      <w:numFmt w:val="bullet"/>
      <w:lvlText w:val=""/>
      <w:lvlJc w:val="left"/>
      <w:pPr>
        <w:tabs>
          <w:tab w:val="num" w:pos="3240"/>
        </w:tabs>
        <w:ind w:left="3240" w:hanging="360"/>
      </w:pPr>
      <w:rPr>
        <w:rFonts w:ascii="Symbol" w:hAnsi="Symbol" w:hint="default"/>
      </w:rPr>
    </w:lvl>
    <w:lvl w:ilvl="5" w:tplc="FC4CA4EE" w:tentative="1">
      <w:start w:val="1"/>
      <w:numFmt w:val="bullet"/>
      <w:lvlText w:val=""/>
      <w:lvlJc w:val="left"/>
      <w:pPr>
        <w:tabs>
          <w:tab w:val="num" w:pos="3960"/>
        </w:tabs>
        <w:ind w:left="3960" w:hanging="360"/>
      </w:pPr>
      <w:rPr>
        <w:rFonts w:ascii="Symbol" w:hAnsi="Symbol" w:hint="default"/>
      </w:rPr>
    </w:lvl>
    <w:lvl w:ilvl="6" w:tplc="F1CE2D0A" w:tentative="1">
      <w:start w:val="1"/>
      <w:numFmt w:val="bullet"/>
      <w:lvlText w:val=""/>
      <w:lvlJc w:val="left"/>
      <w:pPr>
        <w:tabs>
          <w:tab w:val="num" w:pos="4680"/>
        </w:tabs>
        <w:ind w:left="4680" w:hanging="360"/>
      </w:pPr>
      <w:rPr>
        <w:rFonts w:ascii="Symbol" w:hAnsi="Symbol" w:hint="default"/>
      </w:rPr>
    </w:lvl>
    <w:lvl w:ilvl="7" w:tplc="5F7EED58" w:tentative="1">
      <w:start w:val="1"/>
      <w:numFmt w:val="bullet"/>
      <w:lvlText w:val=""/>
      <w:lvlJc w:val="left"/>
      <w:pPr>
        <w:tabs>
          <w:tab w:val="num" w:pos="5400"/>
        </w:tabs>
        <w:ind w:left="5400" w:hanging="360"/>
      </w:pPr>
      <w:rPr>
        <w:rFonts w:ascii="Symbol" w:hAnsi="Symbol" w:hint="default"/>
      </w:rPr>
    </w:lvl>
    <w:lvl w:ilvl="8" w:tplc="FD30B3D2"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C0D0984"/>
    <w:multiLevelType w:val="hybridMultilevel"/>
    <w:tmpl w:val="044411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9C5C5A"/>
    <w:multiLevelType w:val="multilevel"/>
    <w:tmpl w:val="6D5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20F6C"/>
    <w:multiLevelType w:val="hybridMultilevel"/>
    <w:tmpl w:val="F996724E"/>
    <w:lvl w:ilvl="0" w:tplc="F064D1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11E83"/>
    <w:multiLevelType w:val="hybridMultilevel"/>
    <w:tmpl w:val="700A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E5E7C"/>
    <w:multiLevelType w:val="hybridMultilevel"/>
    <w:tmpl w:val="0E7AC4D6"/>
    <w:lvl w:ilvl="0" w:tplc="DBEEFC32">
      <w:start w:val="1"/>
      <w:numFmt w:val="bullet"/>
      <w:lvlText w:val="•"/>
      <w:lvlJc w:val="left"/>
      <w:pPr>
        <w:tabs>
          <w:tab w:val="num" w:pos="720"/>
        </w:tabs>
        <w:ind w:left="720" w:hanging="360"/>
      </w:pPr>
      <w:rPr>
        <w:rFonts w:ascii="Arial" w:hAnsi="Arial" w:hint="default"/>
      </w:rPr>
    </w:lvl>
    <w:lvl w:ilvl="1" w:tplc="D48822A2" w:tentative="1">
      <w:start w:val="1"/>
      <w:numFmt w:val="bullet"/>
      <w:lvlText w:val="•"/>
      <w:lvlJc w:val="left"/>
      <w:pPr>
        <w:tabs>
          <w:tab w:val="num" w:pos="1440"/>
        </w:tabs>
        <w:ind w:left="1440" w:hanging="360"/>
      </w:pPr>
      <w:rPr>
        <w:rFonts w:ascii="Arial" w:hAnsi="Arial" w:hint="default"/>
      </w:rPr>
    </w:lvl>
    <w:lvl w:ilvl="2" w:tplc="079E7E14" w:tentative="1">
      <w:start w:val="1"/>
      <w:numFmt w:val="bullet"/>
      <w:lvlText w:val="•"/>
      <w:lvlJc w:val="left"/>
      <w:pPr>
        <w:tabs>
          <w:tab w:val="num" w:pos="2160"/>
        </w:tabs>
        <w:ind w:left="2160" w:hanging="360"/>
      </w:pPr>
      <w:rPr>
        <w:rFonts w:ascii="Arial" w:hAnsi="Arial" w:hint="default"/>
      </w:rPr>
    </w:lvl>
    <w:lvl w:ilvl="3" w:tplc="548C12B6" w:tentative="1">
      <w:start w:val="1"/>
      <w:numFmt w:val="bullet"/>
      <w:lvlText w:val="•"/>
      <w:lvlJc w:val="left"/>
      <w:pPr>
        <w:tabs>
          <w:tab w:val="num" w:pos="2880"/>
        </w:tabs>
        <w:ind w:left="2880" w:hanging="360"/>
      </w:pPr>
      <w:rPr>
        <w:rFonts w:ascii="Arial" w:hAnsi="Arial" w:hint="default"/>
      </w:rPr>
    </w:lvl>
    <w:lvl w:ilvl="4" w:tplc="1124E8A6" w:tentative="1">
      <w:start w:val="1"/>
      <w:numFmt w:val="bullet"/>
      <w:lvlText w:val="•"/>
      <w:lvlJc w:val="left"/>
      <w:pPr>
        <w:tabs>
          <w:tab w:val="num" w:pos="3600"/>
        </w:tabs>
        <w:ind w:left="3600" w:hanging="360"/>
      </w:pPr>
      <w:rPr>
        <w:rFonts w:ascii="Arial" w:hAnsi="Arial" w:hint="default"/>
      </w:rPr>
    </w:lvl>
    <w:lvl w:ilvl="5" w:tplc="D688C2BE" w:tentative="1">
      <w:start w:val="1"/>
      <w:numFmt w:val="bullet"/>
      <w:lvlText w:val="•"/>
      <w:lvlJc w:val="left"/>
      <w:pPr>
        <w:tabs>
          <w:tab w:val="num" w:pos="4320"/>
        </w:tabs>
        <w:ind w:left="4320" w:hanging="360"/>
      </w:pPr>
      <w:rPr>
        <w:rFonts w:ascii="Arial" w:hAnsi="Arial" w:hint="default"/>
      </w:rPr>
    </w:lvl>
    <w:lvl w:ilvl="6" w:tplc="A5E60D1C" w:tentative="1">
      <w:start w:val="1"/>
      <w:numFmt w:val="bullet"/>
      <w:lvlText w:val="•"/>
      <w:lvlJc w:val="left"/>
      <w:pPr>
        <w:tabs>
          <w:tab w:val="num" w:pos="5040"/>
        </w:tabs>
        <w:ind w:left="5040" w:hanging="360"/>
      </w:pPr>
      <w:rPr>
        <w:rFonts w:ascii="Arial" w:hAnsi="Arial" w:hint="default"/>
      </w:rPr>
    </w:lvl>
    <w:lvl w:ilvl="7" w:tplc="34FC1140" w:tentative="1">
      <w:start w:val="1"/>
      <w:numFmt w:val="bullet"/>
      <w:lvlText w:val="•"/>
      <w:lvlJc w:val="left"/>
      <w:pPr>
        <w:tabs>
          <w:tab w:val="num" w:pos="5760"/>
        </w:tabs>
        <w:ind w:left="5760" w:hanging="360"/>
      </w:pPr>
      <w:rPr>
        <w:rFonts w:ascii="Arial" w:hAnsi="Arial" w:hint="default"/>
      </w:rPr>
    </w:lvl>
    <w:lvl w:ilvl="8" w:tplc="21ECD5C4" w:tentative="1">
      <w:start w:val="1"/>
      <w:numFmt w:val="bullet"/>
      <w:lvlText w:val="•"/>
      <w:lvlJc w:val="left"/>
      <w:pPr>
        <w:tabs>
          <w:tab w:val="num" w:pos="6480"/>
        </w:tabs>
        <w:ind w:left="6480" w:hanging="360"/>
      </w:pPr>
      <w:rPr>
        <w:rFonts w:ascii="Arial" w:hAnsi="Arial" w:hint="default"/>
      </w:rPr>
    </w:lvl>
  </w:abstractNum>
  <w:num w:numId="1" w16cid:durableId="2061438988">
    <w:abstractNumId w:val="26"/>
  </w:num>
  <w:num w:numId="2" w16cid:durableId="1792820663">
    <w:abstractNumId w:val="17"/>
  </w:num>
  <w:num w:numId="3" w16cid:durableId="159588520">
    <w:abstractNumId w:val="5"/>
  </w:num>
  <w:num w:numId="4" w16cid:durableId="1234581249">
    <w:abstractNumId w:val="25"/>
  </w:num>
  <w:num w:numId="5" w16cid:durableId="323551443">
    <w:abstractNumId w:val="12"/>
  </w:num>
  <w:num w:numId="6" w16cid:durableId="106125648">
    <w:abstractNumId w:val="19"/>
  </w:num>
  <w:num w:numId="7" w16cid:durableId="1037008002">
    <w:abstractNumId w:val="24"/>
  </w:num>
  <w:num w:numId="8" w16cid:durableId="1186409319">
    <w:abstractNumId w:val="29"/>
  </w:num>
  <w:num w:numId="9" w16cid:durableId="641037175">
    <w:abstractNumId w:val="3"/>
  </w:num>
  <w:num w:numId="10" w16cid:durableId="530842594">
    <w:abstractNumId w:val="16"/>
  </w:num>
  <w:num w:numId="11" w16cid:durableId="867068354">
    <w:abstractNumId w:val="2"/>
  </w:num>
  <w:num w:numId="12" w16cid:durableId="1019233432">
    <w:abstractNumId w:val="21"/>
  </w:num>
  <w:num w:numId="13" w16cid:durableId="816994603">
    <w:abstractNumId w:val="35"/>
  </w:num>
  <w:num w:numId="14" w16cid:durableId="468206473">
    <w:abstractNumId w:val="30"/>
  </w:num>
  <w:num w:numId="15" w16cid:durableId="661393159">
    <w:abstractNumId w:val="8"/>
  </w:num>
  <w:num w:numId="16" w16cid:durableId="685988052">
    <w:abstractNumId w:val="14"/>
  </w:num>
  <w:num w:numId="17" w16cid:durableId="1945502523">
    <w:abstractNumId w:val="1"/>
  </w:num>
  <w:num w:numId="18" w16cid:durableId="628441761">
    <w:abstractNumId w:val="15"/>
  </w:num>
  <w:num w:numId="19" w16cid:durableId="1340619190">
    <w:abstractNumId w:val="4"/>
  </w:num>
  <w:num w:numId="20" w16cid:durableId="853111470">
    <w:abstractNumId w:val="9"/>
  </w:num>
  <w:num w:numId="21" w16cid:durableId="1415128172">
    <w:abstractNumId w:val="6"/>
  </w:num>
  <w:num w:numId="22" w16cid:durableId="1793590778">
    <w:abstractNumId w:val="0"/>
  </w:num>
  <w:num w:numId="23" w16cid:durableId="938415622">
    <w:abstractNumId w:val="11"/>
  </w:num>
  <w:num w:numId="24" w16cid:durableId="1673096101">
    <w:abstractNumId w:val="7"/>
  </w:num>
  <w:num w:numId="25" w16cid:durableId="290748742">
    <w:abstractNumId w:val="27"/>
  </w:num>
  <w:num w:numId="26" w16cid:durableId="985469729">
    <w:abstractNumId w:val="20"/>
  </w:num>
  <w:num w:numId="27" w16cid:durableId="1877228924">
    <w:abstractNumId w:val="22"/>
  </w:num>
  <w:num w:numId="28" w16cid:durableId="1489518024">
    <w:abstractNumId w:val="23"/>
  </w:num>
  <w:num w:numId="29" w16cid:durableId="2062708855">
    <w:abstractNumId w:val="28"/>
  </w:num>
  <w:num w:numId="30" w16cid:durableId="1846631151">
    <w:abstractNumId w:val="10"/>
  </w:num>
  <w:num w:numId="31" w16cid:durableId="1647511221">
    <w:abstractNumId w:val="13"/>
  </w:num>
  <w:num w:numId="32" w16cid:durableId="1300574224">
    <w:abstractNumId w:val="32"/>
  </w:num>
  <w:num w:numId="33" w16cid:durableId="1147089779">
    <w:abstractNumId w:val="31"/>
  </w:num>
  <w:num w:numId="34" w16cid:durableId="247152833">
    <w:abstractNumId w:val="33"/>
  </w:num>
  <w:num w:numId="35" w16cid:durableId="2135587790">
    <w:abstractNumId w:val="18"/>
  </w:num>
  <w:num w:numId="36" w16cid:durableId="5259423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8"/>
    <w:rsid w:val="0000071A"/>
    <w:rsid w:val="00003621"/>
    <w:rsid w:val="00003726"/>
    <w:rsid w:val="00004656"/>
    <w:rsid w:val="00006C44"/>
    <w:rsid w:val="0000753D"/>
    <w:rsid w:val="00011447"/>
    <w:rsid w:val="00013E48"/>
    <w:rsid w:val="00017397"/>
    <w:rsid w:val="00020633"/>
    <w:rsid w:val="000221B6"/>
    <w:rsid w:val="00022F3A"/>
    <w:rsid w:val="000259F5"/>
    <w:rsid w:val="00030D56"/>
    <w:rsid w:val="000348E7"/>
    <w:rsid w:val="00035031"/>
    <w:rsid w:val="00037742"/>
    <w:rsid w:val="00040491"/>
    <w:rsid w:val="0004060A"/>
    <w:rsid w:val="0004712A"/>
    <w:rsid w:val="00050365"/>
    <w:rsid w:val="00050B14"/>
    <w:rsid w:val="00051935"/>
    <w:rsid w:val="00055460"/>
    <w:rsid w:val="00062B14"/>
    <w:rsid w:val="00064316"/>
    <w:rsid w:val="00064734"/>
    <w:rsid w:val="000727C8"/>
    <w:rsid w:val="0007397B"/>
    <w:rsid w:val="00077D54"/>
    <w:rsid w:val="00084CF7"/>
    <w:rsid w:val="00085D03"/>
    <w:rsid w:val="00093009"/>
    <w:rsid w:val="00093385"/>
    <w:rsid w:val="000937C1"/>
    <w:rsid w:val="000959B6"/>
    <w:rsid w:val="000974CF"/>
    <w:rsid w:val="000A12C0"/>
    <w:rsid w:val="000B3386"/>
    <w:rsid w:val="000B6B4C"/>
    <w:rsid w:val="000B6C0E"/>
    <w:rsid w:val="000B78C2"/>
    <w:rsid w:val="000C0CBC"/>
    <w:rsid w:val="000C29D7"/>
    <w:rsid w:val="000C3050"/>
    <w:rsid w:val="000C38FB"/>
    <w:rsid w:val="000C601C"/>
    <w:rsid w:val="000D0A4D"/>
    <w:rsid w:val="000D0E8E"/>
    <w:rsid w:val="000D4974"/>
    <w:rsid w:val="000D6677"/>
    <w:rsid w:val="000E2F30"/>
    <w:rsid w:val="000E3BEE"/>
    <w:rsid w:val="000F4D51"/>
    <w:rsid w:val="000F65A8"/>
    <w:rsid w:val="00103DF6"/>
    <w:rsid w:val="00106158"/>
    <w:rsid w:val="00106D3D"/>
    <w:rsid w:val="00107118"/>
    <w:rsid w:val="001072F8"/>
    <w:rsid w:val="001125DD"/>
    <w:rsid w:val="00113399"/>
    <w:rsid w:val="001137E8"/>
    <w:rsid w:val="001173E0"/>
    <w:rsid w:val="00117ABE"/>
    <w:rsid w:val="001207FC"/>
    <w:rsid w:val="001208E2"/>
    <w:rsid w:val="00120EB1"/>
    <w:rsid w:val="001229A7"/>
    <w:rsid w:val="00123985"/>
    <w:rsid w:val="001246C8"/>
    <w:rsid w:val="00124D29"/>
    <w:rsid w:val="00125003"/>
    <w:rsid w:val="00126373"/>
    <w:rsid w:val="00126E2A"/>
    <w:rsid w:val="00130770"/>
    <w:rsid w:val="001364F1"/>
    <w:rsid w:val="00136874"/>
    <w:rsid w:val="00144B6E"/>
    <w:rsid w:val="001475A2"/>
    <w:rsid w:val="001478C5"/>
    <w:rsid w:val="00151421"/>
    <w:rsid w:val="001523A8"/>
    <w:rsid w:val="00152E11"/>
    <w:rsid w:val="00152E58"/>
    <w:rsid w:val="0015315D"/>
    <w:rsid w:val="0015368E"/>
    <w:rsid w:val="00155777"/>
    <w:rsid w:val="00162E3D"/>
    <w:rsid w:val="00166FAA"/>
    <w:rsid w:val="001678A3"/>
    <w:rsid w:val="001737A5"/>
    <w:rsid w:val="0017475F"/>
    <w:rsid w:val="0017704B"/>
    <w:rsid w:val="001775D8"/>
    <w:rsid w:val="00177975"/>
    <w:rsid w:val="00180A69"/>
    <w:rsid w:val="001814D2"/>
    <w:rsid w:val="00182487"/>
    <w:rsid w:val="001824BF"/>
    <w:rsid w:val="0018667A"/>
    <w:rsid w:val="00190DB4"/>
    <w:rsid w:val="00193222"/>
    <w:rsid w:val="0019764B"/>
    <w:rsid w:val="001A5186"/>
    <w:rsid w:val="001A7AB0"/>
    <w:rsid w:val="001B1C1D"/>
    <w:rsid w:val="001C00BF"/>
    <w:rsid w:val="001C02A1"/>
    <w:rsid w:val="001C1011"/>
    <w:rsid w:val="001C28EC"/>
    <w:rsid w:val="001C2AA2"/>
    <w:rsid w:val="001C4ECD"/>
    <w:rsid w:val="001C63A4"/>
    <w:rsid w:val="001C787B"/>
    <w:rsid w:val="001C7920"/>
    <w:rsid w:val="001D03F8"/>
    <w:rsid w:val="001D0C2F"/>
    <w:rsid w:val="001D2AB1"/>
    <w:rsid w:val="001D4C21"/>
    <w:rsid w:val="001D4C71"/>
    <w:rsid w:val="001D56F9"/>
    <w:rsid w:val="001D6AE5"/>
    <w:rsid w:val="001D741B"/>
    <w:rsid w:val="001E2387"/>
    <w:rsid w:val="001E3317"/>
    <w:rsid w:val="001E3439"/>
    <w:rsid w:val="001E5BE6"/>
    <w:rsid w:val="001F6A05"/>
    <w:rsid w:val="00202E67"/>
    <w:rsid w:val="00203E13"/>
    <w:rsid w:val="002058F4"/>
    <w:rsid w:val="00206A8B"/>
    <w:rsid w:val="00210462"/>
    <w:rsid w:val="002109B6"/>
    <w:rsid w:val="00220AD2"/>
    <w:rsid w:val="00222962"/>
    <w:rsid w:val="0022368F"/>
    <w:rsid w:val="00224C39"/>
    <w:rsid w:val="00224D3C"/>
    <w:rsid w:val="002313AD"/>
    <w:rsid w:val="0023227D"/>
    <w:rsid w:val="00232B28"/>
    <w:rsid w:val="00237A1D"/>
    <w:rsid w:val="00241A57"/>
    <w:rsid w:val="00241B41"/>
    <w:rsid w:val="002420F5"/>
    <w:rsid w:val="0024533C"/>
    <w:rsid w:val="00245F65"/>
    <w:rsid w:val="00247D43"/>
    <w:rsid w:val="00247E7A"/>
    <w:rsid w:val="00250D38"/>
    <w:rsid w:val="0025207B"/>
    <w:rsid w:val="00255007"/>
    <w:rsid w:val="0025537D"/>
    <w:rsid w:val="002621C3"/>
    <w:rsid w:val="00262CF9"/>
    <w:rsid w:val="002637AA"/>
    <w:rsid w:val="00263C72"/>
    <w:rsid w:val="00264775"/>
    <w:rsid w:val="00267835"/>
    <w:rsid w:val="00270056"/>
    <w:rsid w:val="002735F3"/>
    <w:rsid w:val="00280059"/>
    <w:rsid w:val="0028290D"/>
    <w:rsid w:val="0028396F"/>
    <w:rsid w:val="002840EB"/>
    <w:rsid w:val="002841A9"/>
    <w:rsid w:val="0028535F"/>
    <w:rsid w:val="002862A7"/>
    <w:rsid w:val="00291698"/>
    <w:rsid w:val="0029556F"/>
    <w:rsid w:val="0029561E"/>
    <w:rsid w:val="002969EF"/>
    <w:rsid w:val="002A4368"/>
    <w:rsid w:val="002A4D3E"/>
    <w:rsid w:val="002A77C9"/>
    <w:rsid w:val="002B1207"/>
    <w:rsid w:val="002B293C"/>
    <w:rsid w:val="002B7C79"/>
    <w:rsid w:val="002D283A"/>
    <w:rsid w:val="002D3EA2"/>
    <w:rsid w:val="002E05CD"/>
    <w:rsid w:val="002E0E39"/>
    <w:rsid w:val="002E574B"/>
    <w:rsid w:val="002E5888"/>
    <w:rsid w:val="002E7503"/>
    <w:rsid w:val="002F0AF1"/>
    <w:rsid w:val="002F1812"/>
    <w:rsid w:val="002F6D61"/>
    <w:rsid w:val="002F74FE"/>
    <w:rsid w:val="00300564"/>
    <w:rsid w:val="0030405F"/>
    <w:rsid w:val="00307E41"/>
    <w:rsid w:val="0031007D"/>
    <w:rsid w:val="00310B10"/>
    <w:rsid w:val="00312B40"/>
    <w:rsid w:val="003131FA"/>
    <w:rsid w:val="00314C26"/>
    <w:rsid w:val="003230E9"/>
    <w:rsid w:val="00323B74"/>
    <w:rsid w:val="00324CE8"/>
    <w:rsid w:val="0033159D"/>
    <w:rsid w:val="00335340"/>
    <w:rsid w:val="003366AF"/>
    <w:rsid w:val="00336B87"/>
    <w:rsid w:val="00337F7C"/>
    <w:rsid w:val="00344BC8"/>
    <w:rsid w:val="00350C88"/>
    <w:rsid w:val="00352326"/>
    <w:rsid w:val="003525FF"/>
    <w:rsid w:val="00355731"/>
    <w:rsid w:val="00355C30"/>
    <w:rsid w:val="00356FE9"/>
    <w:rsid w:val="00360E3B"/>
    <w:rsid w:val="00361279"/>
    <w:rsid w:val="00366580"/>
    <w:rsid w:val="00366923"/>
    <w:rsid w:val="0036701A"/>
    <w:rsid w:val="00370649"/>
    <w:rsid w:val="00370C7A"/>
    <w:rsid w:val="003725EE"/>
    <w:rsid w:val="003735CA"/>
    <w:rsid w:val="00376267"/>
    <w:rsid w:val="00384037"/>
    <w:rsid w:val="00385493"/>
    <w:rsid w:val="003927F0"/>
    <w:rsid w:val="003939EC"/>
    <w:rsid w:val="00393AF2"/>
    <w:rsid w:val="00394041"/>
    <w:rsid w:val="003959BA"/>
    <w:rsid w:val="003A242D"/>
    <w:rsid w:val="003A533F"/>
    <w:rsid w:val="003A6364"/>
    <w:rsid w:val="003A7BDE"/>
    <w:rsid w:val="003B1528"/>
    <w:rsid w:val="003B43FA"/>
    <w:rsid w:val="003C5A87"/>
    <w:rsid w:val="003D040A"/>
    <w:rsid w:val="003D07E1"/>
    <w:rsid w:val="003D119D"/>
    <w:rsid w:val="003D1F3E"/>
    <w:rsid w:val="003D267B"/>
    <w:rsid w:val="003D3F72"/>
    <w:rsid w:val="003D42DC"/>
    <w:rsid w:val="003D4D10"/>
    <w:rsid w:val="003D6FDC"/>
    <w:rsid w:val="003D75A8"/>
    <w:rsid w:val="003E2061"/>
    <w:rsid w:val="003E52BB"/>
    <w:rsid w:val="003E6C5F"/>
    <w:rsid w:val="003E767A"/>
    <w:rsid w:val="003F45A1"/>
    <w:rsid w:val="003F5802"/>
    <w:rsid w:val="003F7900"/>
    <w:rsid w:val="00401237"/>
    <w:rsid w:val="00401387"/>
    <w:rsid w:val="00402DEC"/>
    <w:rsid w:val="00404699"/>
    <w:rsid w:val="0040606B"/>
    <w:rsid w:val="00406BB6"/>
    <w:rsid w:val="00407F5C"/>
    <w:rsid w:val="00410553"/>
    <w:rsid w:val="004119D8"/>
    <w:rsid w:val="00412018"/>
    <w:rsid w:val="0041729F"/>
    <w:rsid w:val="004179E6"/>
    <w:rsid w:val="00421DE8"/>
    <w:rsid w:val="00423920"/>
    <w:rsid w:val="004269EB"/>
    <w:rsid w:val="00426F83"/>
    <w:rsid w:val="0043022A"/>
    <w:rsid w:val="00434F24"/>
    <w:rsid w:val="00436E28"/>
    <w:rsid w:val="00436E49"/>
    <w:rsid w:val="004418EB"/>
    <w:rsid w:val="00452812"/>
    <w:rsid w:val="00454476"/>
    <w:rsid w:val="00456155"/>
    <w:rsid w:val="0045746C"/>
    <w:rsid w:val="0046493A"/>
    <w:rsid w:val="00473075"/>
    <w:rsid w:val="00473124"/>
    <w:rsid w:val="00474A41"/>
    <w:rsid w:val="004800A5"/>
    <w:rsid w:val="004836F4"/>
    <w:rsid w:val="004932F5"/>
    <w:rsid w:val="00497EF8"/>
    <w:rsid w:val="004A5305"/>
    <w:rsid w:val="004A536F"/>
    <w:rsid w:val="004A5404"/>
    <w:rsid w:val="004B2E24"/>
    <w:rsid w:val="004B4307"/>
    <w:rsid w:val="004B4644"/>
    <w:rsid w:val="004B491F"/>
    <w:rsid w:val="004B7E4D"/>
    <w:rsid w:val="004C0F02"/>
    <w:rsid w:val="004C2873"/>
    <w:rsid w:val="004C3B95"/>
    <w:rsid w:val="004D02A7"/>
    <w:rsid w:val="004D2888"/>
    <w:rsid w:val="004D2D32"/>
    <w:rsid w:val="004D531A"/>
    <w:rsid w:val="004D78AD"/>
    <w:rsid w:val="004E0311"/>
    <w:rsid w:val="004E486D"/>
    <w:rsid w:val="004E5522"/>
    <w:rsid w:val="004E5823"/>
    <w:rsid w:val="004F4242"/>
    <w:rsid w:val="005013DA"/>
    <w:rsid w:val="00501B71"/>
    <w:rsid w:val="0050214E"/>
    <w:rsid w:val="00502AA8"/>
    <w:rsid w:val="00502B65"/>
    <w:rsid w:val="0050750D"/>
    <w:rsid w:val="005115E2"/>
    <w:rsid w:val="00520EE8"/>
    <w:rsid w:val="00522BE9"/>
    <w:rsid w:val="00524AF3"/>
    <w:rsid w:val="005318B7"/>
    <w:rsid w:val="00532275"/>
    <w:rsid w:val="00532C75"/>
    <w:rsid w:val="00533107"/>
    <w:rsid w:val="00535714"/>
    <w:rsid w:val="00541F29"/>
    <w:rsid w:val="00542C05"/>
    <w:rsid w:val="00552103"/>
    <w:rsid w:val="00555BAC"/>
    <w:rsid w:val="00557AF1"/>
    <w:rsid w:val="00557C2B"/>
    <w:rsid w:val="00560E78"/>
    <w:rsid w:val="00564C24"/>
    <w:rsid w:val="005726E5"/>
    <w:rsid w:val="005737AE"/>
    <w:rsid w:val="00573F39"/>
    <w:rsid w:val="00575B38"/>
    <w:rsid w:val="005778AE"/>
    <w:rsid w:val="00581F56"/>
    <w:rsid w:val="00583F5A"/>
    <w:rsid w:val="00585640"/>
    <w:rsid w:val="00585C6E"/>
    <w:rsid w:val="00586087"/>
    <w:rsid w:val="0058759A"/>
    <w:rsid w:val="0059069A"/>
    <w:rsid w:val="005906E5"/>
    <w:rsid w:val="005915F5"/>
    <w:rsid w:val="00594EFC"/>
    <w:rsid w:val="00596650"/>
    <w:rsid w:val="00597AE6"/>
    <w:rsid w:val="005A0256"/>
    <w:rsid w:val="005A099A"/>
    <w:rsid w:val="005A1325"/>
    <w:rsid w:val="005A3DBE"/>
    <w:rsid w:val="005A4065"/>
    <w:rsid w:val="005A582A"/>
    <w:rsid w:val="005A6E7B"/>
    <w:rsid w:val="005B065E"/>
    <w:rsid w:val="005B326D"/>
    <w:rsid w:val="005B7B6F"/>
    <w:rsid w:val="005C3889"/>
    <w:rsid w:val="005C558E"/>
    <w:rsid w:val="005C67E7"/>
    <w:rsid w:val="005C699C"/>
    <w:rsid w:val="005D3CFB"/>
    <w:rsid w:val="005D4B1A"/>
    <w:rsid w:val="005D5FD8"/>
    <w:rsid w:val="005D69BC"/>
    <w:rsid w:val="005E1D60"/>
    <w:rsid w:val="005E2368"/>
    <w:rsid w:val="005E6920"/>
    <w:rsid w:val="005F2159"/>
    <w:rsid w:val="005F27D4"/>
    <w:rsid w:val="005F28C9"/>
    <w:rsid w:val="005F4528"/>
    <w:rsid w:val="005F7F88"/>
    <w:rsid w:val="00601A25"/>
    <w:rsid w:val="00607820"/>
    <w:rsid w:val="006138BF"/>
    <w:rsid w:val="006157A3"/>
    <w:rsid w:val="00617508"/>
    <w:rsid w:val="0062164D"/>
    <w:rsid w:val="00622215"/>
    <w:rsid w:val="00622294"/>
    <w:rsid w:val="0062278F"/>
    <w:rsid w:val="00622BB1"/>
    <w:rsid w:val="00624494"/>
    <w:rsid w:val="00624D9C"/>
    <w:rsid w:val="0063096C"/>
    <w:rsid w:val="00635DEB"/>
    <w:rsid w:val="00640B45"/>
    <w:rsid w:val="00640F58"/>
    <w:rsid w:val="00644056"/>
    <w:rsid w:val="006452EC"/>
    <w:rsid w:val="00646AAE"/>
    <w:rsid w:val="00653E58"/>
    <w:rsid w:val="006619BE"/>
    <w:rsid w:val="00662DD9"/>
    <w:rsid w:val="0066564D"/>
    <w:rsid w:val="006656DD"/>
    <w:rsid w:val="00665F14"/>
    <w:rsid w:val="00670DEB"/>
    <w:rsid w:val="00676A04"/>
    <w:rsid w:val="006807FA"/>
    <w:rsid w:val="00680823"/>
    <w:rsid w:val="00681381"/>
    <w:rsid w:val="0069686F"/>
    <w:rsid w:val="006A03B2"/>
    <w:rsid w:val="006A2780"/>
    <w:rsid w:val="006A5506"/>
    <w:rsid w:val="006B0411"/>
    <w:rsid w:val="006B2FF7"/>
    <w:rsid w:val="006B6E71"/>
    <w:rsid w:val="006B736D"/>
    <w:rsid w:val="006C247D"/>
    <w:rsid w:val="006C77E5"/>
    <w:rsid w:val="006D1535"/>
    <w:rsid w:val="006D229E"/>
    <w:rsid w:val="006D53CE"/>
    <w:rsid w:val="006D59DD"/>
    <w:rsid w:val="006D696B"/>
    <w:rsid w:val="006E1B83"/>
    <w:rsid w:val="006E6696"/>
    <w:rsid w:val="006F0C22"/>
    <w:rsid w:val="006F1CDF"/>
    <w:rsid w:val="006F38A4"/>
    <w:rsid w:val="006F58CB"/>
    <w:rsid w:val="00703CAE"/>
    <w:rsid w:val="00713891"/>
    <w:rsid w:val="00731763"/>
    <w:rsid w:val="0073268C"/>
    <w:rsid w:val="00733F56"/>
    <w:rsid w:val="00737125"/>
    <w:rsid w:val="00740595"/>
    <w:rsid w:val="007509BA"/>
    <w:rsid w:val="00754CC9"/>
    <w:rsid w:val="007567AB"/>
    <w:rsid w:val="007570B3"/>
    <w:rsid w:val="007574F0"/>
    <w:rsid w:val="007575CA"/>
    <w:rsid w:val="00760556"/>
    <w:rsid w:val="007631A8"/>
    <w:rsid w:val="00763F29"/>
    <w:rsid w:val="0076423F"/>
    <w:rsid w:val="00764AA5"/>
    <w:rsid w:val="007652BC"/>
    <w:rsid w:val="007669C4"/>
    <w:rsid w:val="00770924"/>
    <w:rsid w:val="00771412"/>
    <w:rsid w:val="00771483"/>
    <w:rsid w:val="00773BC2"/>
    <w:rsid w:val="007748A9"/>
    <w:rsid w:val="00777C78"/>
    <w:rsid w:val="007801C1"/>
    <w:rsid w:val="007823B3"/>
    <w:rsid w:val="00783593"/>
    <w:rsid w:val="00783812"/>
    <w:rsid w:val="007978B0"/>
    <w:rsid w:val="007B23BE"/>
    <w:rsid w:val="007B3F0B"/>
    <w:rsid w:val="007B5ABB"/>
    <w:rsid w:val="007B625A"/>
    <w:rsid w:val="007B6282"/>
    <w:rsid w:val="007B746C"/>
    <w:rsid w:val="007C1ABC"/>
    <w:rsid w:val="007C2569"/>
    <w:rsid w:val="007C7BB0"/>
    <w:rsid w:val="007D0707"/>
    <w:rsid w:val="007D11EB"/>
    <w:rsid w:val="007D16A0"/>
    <w:rsid w:val="007D245C"/>
    <w:rsid w:val="007D3DF8"/>
    <w:rsid w:val="007D3E6C"/>
    <w:rsid w:val="007E01B0"/>
    <w:rsid w:val="007E0C2B"/>
    <w:rsid w:val="007E24C2"/>
    <w:rsid w:val="007E6A70"/>
    <w:rsid w:val="007E6F73"/>
    <w:rsid w:val="007F199C"/>
    <w:rsid w:val="007F3873"/>
    <w:rsid w:val="007F3E91"/>
    <w:rsid w:val="007F57E3"/>
    <w:rsid w:val="008018BD"/>
    <w:rsid w:val="00803026"/>
    <w:rsid w:val="008136C4"/>
    <w:rsid w:val="00815754"/>
    <w:rsid w:val="00821FA3"/>
    <w:rsid w:val="008220DF"/>
    <w:rsid w:val="00823E33"/>
    <w:rsid w:val="00825A60"/>
    <w:rsid w:val="00826120"/>
    <w:rsid w:val="008302C9"/>
    <w:rsid w:val="00830AB3"/>
    <w:rsid w:val="0083123C"/>
    <w:rsid w:val="008404BB"/>
    <w:rsid w:val="0084219E"/>
    <w:rsid w:val="008438FE"/>
    <w:rsid w:val="0084552A"/>
    <w:rsid w:val="008464FB"/>
    <w:rsid w:val="0085117E"/>
    <w:rsid w:val="008552A7"/>
    <w:rsid w:val="008553AD"/>
    <w:rsid w:val="00857322"/>
    <w:rsid w:val="00860255"/>
    <w:rsid w:val="0086062F"/>
    <w:rsid w:val="00861CFA"/>
    <w:rsid w:val="0086236C"/>
    <w:rsid w:val="00867FF6"/>
    <w:rsid w:val="00870BD6"/>
    <w:rsid w:val="00870E7E"/>
    <w:rsid w:val="00871C97"/>
    <w:rsid w:val="008721EB"/>
    <w:rsid w:val="00874DFA"/>
    <w:rsid w:val="00875671"/>
    <w:rsid w:val="00880BB9"/>
    <w:rsid w:val="008811A6"/>
    <w:rsid w:val="00882D70"/>
    <w:rsid w:val="00885100"/>
    <w:rsid w:val="00894033"/>
    <w:rsid w:val="008946B8"/>
    <w:rsid w:val="008A1A06"/>
    <w:rsid w:val="008A41B2"/>
    <w:rsid w:val="008B0210"/>
    <w:rsid w:val="008B5431"/>
    <w:rsid w:val="008B5766"/>
    <w:rsid w:val="008C4515"/>
    <w:rsid w:val="008D1663"/>
    <w:rsid w:val="008D2814"/>
    <w:rsid w:val="008D43B1"/>
    <w:rsid w:val="008D4454"/>
    <w:rsid w:val="008D572C"/>
    <w:rsid w:val="008D62BF"/>
    <w:rsid w:val="008E2DCC"/>
    <w:rsid w:val="008E68C1"/>
    <w:rsid w:val="008F1BC7"/>
    <w:rsid w:val="008F2685"/>
    <w:rsid w:val="008F49D7"/>
    <w:rsid w:val="008F5A82"/>
    <w:rsid w:val="008F779D"/>
    <w:rsid w:val="00900881"/>
    <w:rsid w:val="00901013"/>
    <w:rsid w:val="00901807"/>
    <w:rsid w:val="009018F1"/>
    <w:rsid w:val="00911E56"/>
    <w:rsid w:val="00920196"/>
    <w:rsid w:val="009208DF"/>
    <w:rsid w:val="00921405"/>
    <w:rsid w:val="00925ACD"/>
    <w:rsid w:val="00926841"/>
    <w:rsid w:val="00926A04"/>
    <w:rsid w:val="00927808"/>
    <w:rsid w:val="00935172"/>
    <w:rsid w:val="00935B1A"/>
    <w:rsid w:val="0093637E"/>
    <w:rsid w:val="00937799"/>
    <w:rsid w:val="0094017F"/>
    <w:rsid w:val="0094121E"/>
    <w:rsid w:val="009430C1"/>
    <w:rsid w:val="00943A2C"/>
    <w:rsid w:val="009464BA"/>
    <w:rsid w:val="0095176C"/>
    <w:rsid w:val="00953007"/>
    <w:rsid w:val="00953D3D"/>
    <w:rsid w:val="00955F13"/>
    <w:rsid w:val="009611B4"/>
    <w:rsid w:val="00961428"/>
    <w:rsid w:val="00962CED"/>
    <w:rsid w:val="00964AE5"/>
    <w:rsid w:val="00965CA6"/>
    <w:rsid w:val="009660D2"/>
    <w:rsid w:val="00966760"/>
    <w:rsid w:val="0096795F"/>
    <w:rsid w:val="0097103A"/>
    <w:rsid w:val="00972BA6"/>
    <w:rsid w:val="0097346E"/>
    <w:rsid w:val="00973BC4"/>
    <w:rsid w:val="009742EF"/>
    <w:rsid w:val="00976648"/>
    <w:rsid w:val="0098055C"/>
    <w:rsid w:val="0098219C"/>
    <w:rsid w:val="00983E2F"/>
    <w:rsid w:val="009928E3"/>
    <w:rsid w:val="009940B7"/>
    <w:rsid w:val="00995C58"/>
    <w:rsid w:val="00996D90"/>
    <w:rsid w:val="00997154"/>
    <w:rsid w:val="00997DF3"/>
    <w:rsid w:val="009A0998"/>
    <w:rsid w:val="009A0E73"/>
    <w:rsid w:val="009A16AF"/>
    <w:rsid w:val="009A7DA4"/>
    <w:rsid w:val="009B60C5"/>
    <w:rsid w:val="009B70C2"/>
    <w:rsid w:val="009C11AB"/>
    <w:rsid w:val="009C2091"/>
    <w:rsid w:val="009C317C"/>
    <w:rsid w:val="009C3BC3"/>
    <w:rsid w:val="009D3258"/>
    <w:rsid w:val="009D4588"/>
    <w:rsid w:val="009D4B5E"/>
    <w:rsid w:val="009D59B8"/>
    <w:rsid w:val="009D7B2A"/>
    <w:rsid w:val="009E11C1"/>
    <w:rsid w:val="009E15BA"/>
    <w:rsid w:val="009E6E3E"/>
    <w:rsid w:val="009F07BC"/>
    <w:rsid w:val="009F2DEC"/>
    <w:rsid w:val="009F7A84"/>
    <w:rsid w:val="00A02E2C"/>
    <w:rsid w:val="00A072E4"/>
    <w:rsid w:val="00A07D86"/>
    <w:rsid w:val="00A11CA3"/>
    <w:rsid w:val="00A20A48"/>
    <w:rsid w:val="00A22528"/>
    <w:rsid w:val="00A2754C"/>
    <w:rsid w:val="00A2767D"/>
    <w:rsid w:val="00A30E65"/>
    <w:rsid w:val="00A313A3"/>
    <w:rsid w:val="00A31FBF"/>
    <w:rsid w:val="00A32468"/>
    <w:rsid w:val="00A32BDE"/>
    <w:rsid w:val="00A36B04"/>
    <w:rsid w:val="00A36E14"/>
    <w:rsid w:val="00A40266"/>
    <w:rsid w:val="00A403AF"/>
    <w:rsid w:val="00A43C1C"/>
    <w:rsid w:val="00A47BF3"/>
    <w:rsid w:val="00A500B6"/>
    <w:rsid w:val="00A53EA7"/>
    <w:rsid w:val="00A541A1"/>
    <w:rsid w:val="00A54571"/>
    <w:rsid w:val="00A57BBC"/>
    <w:rsid w:val="00A62D65"/>
    <w:rsid w:val="00A65534"/>
    <w:rsid w:val="00A6689F"/>
    <w:rsid w:val="00A707CA"/>
    <w:rsid w:val="00A71DC6"/>
    <w:rsid w:val="00A726B6"/>
    <w:rsid w:val="00A73E8F"/>
    <w:rsid w:val="00A8218E"/>
    <w:rsid w:val="00A83236"/>
    <w:rsid w:val="00A8443E"/>
    <w:rsid w:val="00A84A37"/>
    <w:rsid w:val="00A84B27"/>
    <w:rsid w:val="00A966FE"/>
    <w:rsid w:val="00AA3AC6"/>
    <w:rsid w:val="00AA3B1F"/>
    <w:rsid w:val="00AA69BB"/>
    <w:rsid w:val="00AA7BD0"/>
    <w:rsid w:val="00AB3159"/>
    <w:rsid w:val="00AB5250"/>
    <w:rsid w:val="00AC1824"/>
    <w:rsid w:val="00AC2005"/>
    <w:rsid w:val="00AC2B19"/>
    <w:rsid w:val="00AC35DC"/>
    <w:rsid w:val="00AC5C5F"/>
    <w:rsid w:val="00AC701B"/>
    <w:rsid w:val="00AC724A"/>
    <w:rsid w:val="00AC77AC"/>
    <w:rsid w:val="00AD0515"/>
    <w:rsid w:val="00AD3A54"/>
    <w:rsid w:val="00AD5442"/>
    <w:rsid w:val="00AD547B"/>
    <w:rsid w:val="00AD74C1"/>
    <w:rsid w:val="00AE1795"/>
    <w:rsid w:val="00AE3CB1"/>
    <w:rsid w:val="00AE4FA8"/>
    <w:rsid w:val="00AF02B7"/>
    <w:rsid w:val="00AF0C04"/>
    <w:rsid w:val="00AF4158"/>
    <w:rsid w:val="00AF4A58"/>
    <w:rsid w:val="00B004DC"/>
    <w:rsid w:val="00B03953"/>
    <w:rsid w:val="00B049E9"/>
    <w:rsid w:val="00B07125"/>
    <w:rsid w:val="00B07195"/>
    <w:rsid w:val="00B123B2"/>
    <w:rsid w:val="00B16BF0"/>
    <w:rsid w:val="00B17951"/>
    <w:rsid w:val="00B21226"/>
    <w:rsid w:val="00B213E1"/>
    <w:rsid w:val="00B257EE"/>
    <w:rsid w:val="00B2674E"/>
    <w:rsid w:val="00B26EAE"/>
    <w:rsid w:val="00B271EA"/>
    <w:rsid w:val="00B3104E"/>
    <w:rsid w:val="00B33106"/>
    <w:rsid w:val="00B3310D"/>
    <w:rsid w:val="00B35039"/>
    <w:rsid w:val="00B4029C"/>
    <w:rsid w:val="00B403BB"/>
    <w:rsid w:val="00B41CDF"/>
    <w:rsid w:val="00B45DCD"/>
    <w:rsid w:val="00B4758F"/>
    <w:rsid w:val="00B475E5"/>
    <w:rsid w:val="00B47C01"/>
    <w:rsid w:val="00B61AFB"/>
    <w:rsid w:val="00B630D6"/>
    <w:rsid w:val="00B64A27"/>
    <w:rsid w:val="00B735CD"/>
    <w:rsid w:val="00B77DD4"/>
    <w:rsid w:val="00B80976"/>
    <w:rsid w:val="00B8135A"/>
    <w:rsid w:val="00B817B5"/>
    <w:rsid w:val="00B8716E"/>
    <w:rsid w:val="00B91199"/>
    <w:rsid w:val="00B95898"/>
    <w:rsid w:val="00B964BD"/>
    <w:rsid w:val="00B96583"/>
    <w:rsid w:val="00BA0D0B"/>
    <w:rsid w:val="00BA2216"/>
    <w:rsid w:val="00BA3A3C"/>
    <w:rsid w:val="00BA4D7A"/>
    <w:rsid w:val="00BA518C"/>
    <w:rsid w:val="00BA645F"/>
    <w:rsid w:val="00BA72B6"/>
    <w:rsid w:val="00BA7486"/>
    <w:rsid w:val="00BB0FBB"/>
    <w:rsid w:val="00BB3926"/>
    <w:rsid w:val="00BC0365"/>
    <w:rsid w:val="00BC3AD9"/>
    <w:rsid w:val="00BC4527"/>
    <w:rsid w:val="00BC5335"/>
    <w:rsid w:val="00BD032E"/>
    <w:rsid w:val="00BD1964"/>
    <w:rsid w:val="00BD2B50"/>
    <w:rsid w:val="00BE3602"/>
    <w:rsid w:val="00BE3F32"/>
    <w:rsid w:val="00BF34A9"/>
    <w:rsid w:val="00BF4911"/>
    <w:rsid w:val="00BF500C"/>
    <w:rsid w:val="00BF761D"/>
    <w:rsid w:val="00C01E97"/>
    <w:rsid w:val="00C0227A"/>
    <w:rsid w:val="00C07C4E"/>
    <w:rsid w:val="00C10108"/>
    <w:rsid w:val="00C1010E"/>
    <w:rsid w:val="00C11EE5"/>
    <w:rsid w:val="00C13FAA"/>
    <w:rsid w:val="00C16260"/>
    <w:rsid w:val="00C209A9"/>
    <w:rsid w:val="00C21F6E"/>
    <w:rsid w:val="00C233EC"/>
    <w:rsid w:val="00C2592D"/>
    <w:rsid w:val="00C2661B"/>
    <w:rsid w:val="00C27056"/>
    <w:rsid w:val="00C301E8"/>
    <w:rsid w:val="00C3098C"/>
    <w:rsid w:val="00C40276"/>
    <w:rsid w:val="00C41871"/>
    <w:rsid w:val="00C60FA7"/>
    <w:rsid w:val="00C61DC1"/>
    <w:rsid w:val="00C64F03"/>
    <w:rsid w:val="00C667CC"/>
    <w:rsid w:val="00C71DEA"/>
    <w:rsid w:val="00C73120"/>
    <w:rsid w:val="00C80230"/>
    <w:rsid w:val="00C80D15"/>
    <w:rsid w:val="00C835AA"/>
    <w:rsid w:val="00C85DB1"/>
    <w:rsid w:val="00C8646A"/>
    <w:rsid w:val="00C90B16"/>
    <w:rsid w:val="00C92083"/>
    <w:rsid w:val="00C94BA4"/>
    <w:rsid w:val="00C953A6"/>
    <w:rsid w:val="00C95F82"/>
    <w:rsid w:val="00CA4861"/>
    <w:rsid w:val="00CA6B03"/>
    <w:rsid w:val="00CB3872"/>
    <w:rsid w:val="00CB46BD"/>
    <w:rsid w:val="00CB678C"/>
    <w:rsid w:val="00CB77F2"/>
    <w:rsid w:val="00CC6481"/>
    <w:rsid w:val="00CD0AFB"/>
    <w:rsid w:val="00CD1576"/>
    <w:rsid w:val="00CD2B05"/>
    <w:rsid w:val="00CD3380"/>
    <w:rsid w:val="00CD4FCC"/>
    <w:rsid w:val="00CD7EE2"/>
    <w:rsid w:val="00CE0D00"/>
    <w:rsid w:val="00CE7041"/>
    <w:rsid w:val="00CF0084"/>
    <w:rsid w:val="00CF089D"/>
    <w:rsid w:val="00CF171F"/>
    <w:rsid w:val="00CF19DB"/>
    <w:rsid w:val="00CF2829"/>
    <w:rsid w:val="00CF3A03"/>
    <w:rsid w:val="00CF429B"/>
    <w:rsid w:val="00CF5720"/>
    <w:rsid w:val="00CF71DB"/>
    <w:rsid w:val="00D00906"/>
    <w:rsid w:val="00D01E65"/>
    <w:rsid w:val="00D023A2"/>
    <w:rsid w:val="00D035FA"/>
    <w:rsid w:val="00D05208"/>
    <w:rsid w:val="00D05E10"/>
    <w:rsid w:val="00D0652E"/>
    <w:rsid w:val="00D07BCA"/>
    <w:rsid w:val="00D07E13"/>
    <w:rsid w:val="00D11EC4"/>
    <w:rsid w:val="00D12ECD"/>
    <w:rsid w:val="00D17E5B"/>
    <w:rsid w:val="00D2044C"/>
    <w:rsid w:val="00D23D18"/>
    <w:rsid w:val="00D2598C"/>
    <w:rsid w:val="00D27029"/>
    <w:rsid w:val="00D270C0"/>
    <w:rsid w:val="00D32E7F"/>
    <w:rsid w:val="00D34B33"/>
    <w:rsid w:val="00D3514B"/>
    <w:rsid w:val="00D41DBD"/>
    <w:rsid w:val="00D44F40"/>
    <w:rsid w:val="00D45EEC"/>
    <w:rsid w:val="00D47FAD"/>
    <w:rsid w:val="00D501A2"/>
    <w:rsid w:val="00D54BFE"/>
    <w:rsid w:val="00D62A76"/>
    <w:rsid w:val="00D62F53"/>
    <w:rsid w:val="00D67522"/>
    <w:rsid w:val="00D73B25"/>
    <w:rsid w:val="00D74A7B"/>
    <w:rsid w:val="00D74B45"/>
    <w:rsid w:val="00D76BC8"/>
    <w:rsid w:val="00D81E5C"/>
    <w:rsid w:val="00D831C8"/>
    <w:rsid w:val="00D841FF"/>
    <w:rsid w:val="00D857EB"/>
    <w:rsid w:val="00D91505"/>
    <w:rsid w:val="00D93B93"/>
    <w:rsid w:val="00D948BB"/>
    <w:rsid w:val="00D95BBE"/>
    <w:rsid w:val="00D96722"/>
    <w:rsid w:val="00DA1585"/>
    <w:rsid w:val="00DA30A2"/>
    <w:rsid w:val="00DA31E4"/>
    <w:rsid w:val="00DB3360"/>
    <w:rsid w:val="00DB34FC"/>
    <w:rsid w:val="00DB4AAF"/>
    <w:rsid w:val="00DB6B29"/>
    <w:rsid w:val="00DB6D99"/>
    <w:rsid w:val="00DB7066"/>
    <w:rsid w:val="00DC27F9"/>
    <w:rsid w:val="00DC6C4F"/>
    <w:rsid w:val="00DD06EB"/>
    <w:rsid w:val="00DD1EBD"/>
    <w:rsid w:val="00DD3F65"/>
    <w:rsid w:val="00DD5A1D"/>
    <w:rsid w:val="00DD67C1"/>
    <w:rsid w:val="00DE1D4A"/>
    <w:rsid w:val="00DE3396"/>
    <w:rsid w:val="00DE68F3"/>
    <w:rsid w:val="00DF1B5B"/>
    <w:rsid w:val="00DF2D6C"/>
    <w:rsid w:val="00DF5F85"/>
    <w:rsid w:val="00DF7704"/>
    <w:rsid w:val="00E04117"/>
    <w:rsid w:val="00E04BB6"/>
    <w:rsid w:val="00E06BEE"/>
    <w:rsid w:val="00E06C47"/>
    <w:rsid w:val="00E11399"/>
    <w:rsid w:val="00E12B05"/>
    <w:rsid w:val="00E16C60"/>
    <w:rsid w:val="00E21B8F"/>
    <w:rsid w:val="00E21CB8"/>
    <w:rsid w:val="00E2762B"/>
    <w:rsid w:val="00E27E16"/>
    <w:rsid w:val="00E30981"/>
    <w:rsid w:val="00E325C1"/>
    <w:rsid w:val="00E33A69"/>
    <w:rsid w:val="00E374A6"/>
    <w:rsid w:val="00E40633"/>
    <w:rsid w:val="00E41F88"/>
    <w:rsid w:val="00E42C34"/>
    <w:rsid w:val="00E44294"/>
    <w:rsid w:val="00E46BBB"/>
    <w:rsid w:val="00E512B6"/>
    <w:rsid w:val="00E51A41"/>
    <w:rsid w:val="00E5430A"/>
    <w:rsid w:val="00E54B62"/>
    <w:rsid w:val="00E60E39"/>
    <w:rsid w:val="00E60F42"/>
    <w:rsid w:val="00E63B68"/>
    <w:rsid w:val="00E67984"/>
    <w:rsid w:val="00E70318"/>
    <w:rsid w:val="00E70CF3"/>
    <w:rsid w:val="00E71A00"/>
    <w:rsid w:val="00E74A8D"/>
    <w:rsid w:val="00E81707"/>
    <w:rsid w:val="00E83700"/>
    <w:rsid w:val="00E8437E"/>
    <w:rsid w:val="00E8638C"/>
    <w:rsid w:val="00E87026"/>
    <w:rsid w:val="00E917E7"/>
    <w:rsid w:val="00E93EA1"/>
    <w:rsid w:val="00E963C7"/>
    <w:rsid w:val="00EA31CD"/>
    <w:rsid w:val="00EA3399"/>
    <w:rsid w:val="00EA4B96"/>
    <w:rsid w:val="00EA4BE9"/>
    <w:rsid w:val="00EA7477"/>
    <w:rsid w:val="00EA7637"/>
    <w:rsid w:val="00EA7F9D"/>
    <w:rsid w:val="00EB16BE"/>
    <w:rsid w:val="00EB6F86"/>
    <w:rsid w:val="00EB74EA"/>
    <w:rsid w:val="00EC24C0"/>
    <w:rsid w:val="00EC3F0C"/>
    <w:rsid w:val="00ED1CAC"/>
    <w:rsid w:val="00ED3141"/>
    <w:rsid w:val="00ED7290"/>
    <w:rsid w:val="00EE1EAC"/>
    <w:rsid w:val="00EE3BCF"/>
    <w:rsid w:val="00EE5177"/>
    <w:rsid w:val="00EE6537"/>
    <w:rsid w:val="00EF1EF4"/>
    <w:rsid w:val="00EF1F9E"/>
    <w:rsid w:val="00EF311A"/>
    <w:rsid w:val="00EF52D8"/>
    <w:rsid w:val="00EF78D4"/>
    <w:rsid w:val="00F00D2D"/>
    <w:rsid w:val="00F01348"/>
    <w:rsid w:val="00F036D6"/>
    <w:rsid w:val="00F03F65"/>
    <w:rsid w:val="00F05922"/>
    <w:rsid w:val="00F05ED5"/>
    <w:rsid w:val="00F07B5A"/>
    <w:rsid w:val="00F101A7"/>
    <w:rsid w:val="00F13A3D"/>
    <w:rsid w:val="00F173BB"/>
    <w:rsid w:val="00F22B00"/>
    <w:rsid w:val="00F25B0C"/>
    <w:rsid w:val="00F2718B"/>
    <w:rsid w:val="00F30471"/>
    <w:rsid w:val="00F3134C"/>
    <w:rsid w:val="00F313CF"/>
    <w:rsid w:val="00F31B08"/>
    <w:rsid w:val="00F35F88"/>
    <w:rsid w:val="00F3667D"/>
    <w:rsid w:val="00F379A3"/>
    <w:rsid w:val="00F37D02"/>
    <w:rsid w:val="00F37D53"/>
    <w:rsid w:val="00F42766"/>
    <w:rsid w:val="00F44F54"/>
    <w:rsid w:val="00F4515A"/>
    <w:rsid w:val="00F4574F"/>
    <w:rsid w:val="00F46633"/>
    <w:rsid w:val="00F473AE"/>
    <w:rsid w:val="00F51213"/>
    <w:rsid w:val="00F518A4"/>
    <w:rsid w:val="00F52220"/>
    <w:rsid w:val="00F54BFD"/>
    <w:rsid w:val="00F56A5F"/>
    <w:rsid w:val="00F619B6"/>
    <w:rsid w:val="00F61E08"/>
    <w:rsid w:val="00F6218E"/>
    <w:rsid w:val="00F63617"/>
    <w:rsid w:val="00F72DA5"/>
    <w:rsid w:val="00F7361B"/>
    <w:rsid w:val="00F73AEC"/>
    <w:rsid w:val="00F74242"/>
    <w:rsid w:val="00F7533A"/>
    <w:rsid w:val="00F9272D"/>
    <w:rsid w:val="00F9393C"/>
    <w:rsid w:val="00F95E5A"/>
    <w:rsid w:val="00F97B85"/>
    <w:rsid w:val="00FA085A"/>
    <w:rsid w:val="00FA1977"/>
    <w:rsid w:val="00FA1C44"/>
    <w:rsid w:val="00FA5AE0"/>
    <w:rsid w:val="00FA76D1"/>
    <w:rsid w:val="00FB474E"/>
    <w:rsid w:val="00FB47E3"/>
    <w:rsid w:val="00FB54FE"/>
    <w:rsid w:val="00FB6481"/>
    <w:rsid w:val="00FB705A"/>
    <w:rsid w:val="00FC237D"/>
    <w:rsid w:val="00FC6928"/>
    <w:rsid w:val="00FC748B"/>
    <w:rsid w:val="00FD228A"/>
    <w:rsid w:val="00FD22FD"/>
    <w:rsid w:val="00FD795B"/>
    <w:rsid w:val="00FE0437"/>
    <w:rsid w:val="00FE1889"/>
    <w:rsid w:val="00FE1AAD"/>
    <w:rsid w:val="00FF02C7"/>
    <w:rsid w:val="00FF1C62"/>
    <w:rsid w:val="00FF2B79"/>
    <w:rsid w:val="00FF75BD"/>
    <w:rsid w:val="00FF7837"/>
    <w:rsid w:val="014B4391"/>
    <w:rsid w:val="0AA7BF11"/>
    <w:rsid w:val="0AE02FAB"/>
    <w:rsid w:val="0BB31C16"/>
    <w:rsid w:val="11ECCFF7"/>
    <w:rsid w:val="14400E90"/>
    <w:rsid w:val="148ABE17"/>
    <w:rsid w:val="1A726094"/>
    <w:rsid w:val="1B521286"/>
    <w:rsid w:val="1F962D2E"/>
    <w:rsid w:val="23F3C963"/>
    <w:rsid w:val="26F094E8"/>
    <w:rsid w:val="2A7E2733"/>
    <w:rsid w:val="2B500530"/>
    <w:rsid w:val="2CFD3B10"/>
    <w:rsid w:val="2FD5E811"/>
    <w:rsid w:val="31F6DA29"/>
    <w:rsid w:val="33563AFB"/>
    <w:rsid w:val="35CF71A4"/>
    <w:rsid w:val="37E64D5D"/>
    <w:rsid w:val="380DA8F2"/>
    <w:rsid w:val="38788B77"/>
    <w:rsid w:val="39857B86"/>
    <w:rsid w:val="3DEC4D62"/>
    <w:rsid w:val="400F4035"/>
    <w:rsid w:val="4087B2F6"/>
    <w:rsid w:val="40C55922"/>
    <w:rsid w:val="41114085"/>
    <w:rsid w:val="475DA793"/>
    <w:rsid w:val="489133D3"/>
    <w:rsid w:val="49B34C22"/>
    <w:rsid w:val="4A4CEEB7"/>
    <w:rsid w:val="4AB013F3"/>
    <w:rsid w:val="4DCC2FB5"/>
    <w:rsid w:val="5358CC94"/>
    <w:rsid w:val="54D80396"/>
    <w:rsid w:val="56D56EC9"/>
    <w:rsid w:val="57049899"/>
    <w:rsid w:val="5A72E05B"/>
    <w:rsid w:val="5B8587EF"/>
    <w:rsid w:val="5C67DBF1"/>
    <w:rsid w:val="5FB1A953"/>
    <w:rsid w:val="661A09CF"/>
    <w:rsid w:val="663E87CB"/>
    <w:rsid w:val="6878ABB9"/>
    <w:rsid w:val="69BED918"/>
    <w:rsid w:val="6CA10FA4"/>
    <w:rsid w:val="6E1B54CF"/>
    <w:rsid w:val="6F0DCC66"/>
    <w:rsid w:val="7101138F"/>
    <w:rsid w:val="7380689B"/>
    <w:rsid w:val="7A6C2F67"/>
    <w:rsid w:val="7B8B84AC"/>
    <w:rsid w:val="7E565D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091A"/>
  <w15:chartTrackingRefBased/>
  <w15:docId w15:val="{377F22C8-D66C-6F4B-97F5-581BE055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D4"/>
  </w:style>
  <w:style w:type="paragraph" w:styleId="Heading2">
    <w:name w:val="heading 2"/>
    <w:basedOn w:val="Normal"/>
    <w:next w:val="Normal"/>
    <w:link w:val="Heading2Char"/>
    <w:uiPriority w:val="9"/>
    <w:semiHidden/>
    <w:unhideWhenUsed/>
    <w:qFormat/>
    <w:rsid w:val="001737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23BE"/>
    <w:pPr>
      <w:keepNext/>
      <w:keepLines/>
      <w:spacing w:before="40" w:line="259" w:lineRule="auto"/>
      <w:outlineLvl w:val="2"/>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3007"/>
    <w:pPr>
      <w:ind w:left="720"/>
      <w:contextualSpacing/>
    </w:pPr>
  </w:style>
  <w:style w:type="character" w:customStyle="1" w:styleId="ui-provider">
    <w:name w:val="ui-provider"/>
    <w:basedOn w:val="DefaultParagraphFont"/>
    <w:rsid w:val="00AC77AC"/>
  </w:style>
  <w:style w:type="character" w:customStyle="1" w:styleId="ListParagraphChar">
    <w:name w:val="List Paragraph Char"/>
    <w:basedOn w:val="DefaultParagraphFont"/>
    <w:link w:val="ListParagraph"/>
    <w:uiPriority w:val="34"/>
    <w:rsid w:val="00AC77AC"/>
  </w:style>
  <w:style w:type="paragraph" w:styleId="Footer">
    <w:name w:val="footer"/>
    <w:basedOn w:val="Normal"/>
    <w:link w:val="FooterChar"/>
    <w:uiPriority w:val="99"/>
    <w:unhideWhenUsed/>
    <w:rsid w:val="005B7B6F"/>
    <w:pPr>
      <w:tabs>
        <w:tab w:val="center" w:pos="4513"/>
        <w:tab w:val="right" w:pos="9026"/>
      </w:tabs>
    </w:pPr>
  </w:style>
  <w:style w:type="character" w:customStyle="1" w:styleId="FooterChar">
    <w:name w:val="Footer Char"/>
    <w:basedOn w:val="DefaultParagraphFont"/>
    <w:link w:val="Footer"/>
    <w:uiPriority w:val="99"/>
    <w:rsid w:val="005B7B6F"/>
  </w:style>
  <w:style w:type="character" w:styleId="PageNumber">
    <w:name w:val="page number"/>
    <w:basedOn w:val="DefaultParagraphFont"/>
    <w:uiPriority w:val="99"/>
    <w:semiHidden/>
    <w:unhideWhenUsed/>
    <w:rsid w:val="005B7B6F"/>
  </w:style>
  <w:style w:type="paragraph" w:customStyle="1" w:styleId="Default">
    <w:name w:val="Default"/>
    <w:rsid w:val="00EF52D8"/>
    <w:pPr>
      <w:autoSpaceDE w:val="0"/>
      <w:autoSpaceDN w:val="0"/>
      <w:adjustRightInd w:val="0"/>
    </w:pPr>
    <w:rPr>
      <w:rFonts w:ascii="Shaker 2 Lancet" w:hAnsi="Shaker 2 Lancet" w:cs="Shaker 2 Lancet"/>
      <w:color w:val="000000"/>
      <w:kern w:val="0"/>
    </w:rPr>
  </w:style>
  <w:style w:type="character" w:customStyle="1" w:styleId="apple-converted-space">
    <w:name w:val="apple-converted-space"/>
    <w:basedOn w:val="DefaultParagraphFont"/>
    <w:rsid w:val="00EF52D8"/>
  </w:style>
  <w:style w:type="character" w:styleId="Hyperlink">
    <w:name w:val="Hyperlink"/>
    <w:basedOn w:val="DefaultParagraphFont"/>
    <w:uiPriority w:val="99"/>
    <w:unhideWhenUsed/>
    <w:rsid w:val="00EF52D8"/>
    <w:rPr>
      <w:color w:val="0000FF"/>
      <w:u w:val="single"/>
    </w:rPr>
  </w:style>
  <w:style w:type="table" w:styleId="TableGrid">
    <w:name w:val="Table Grid"/>
    <w:basedOn w:val="TableNormal"/>
    <w:uiPriority w:val="39"/>
    <w:rsid w:val="00560E78"/>
    <w:rPr>
      <w:rFonts w:eastAsia="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E78"/>
    <w:pPr>
      <w:tabs>
        <w:tab w:val="center" w:pos="4513"/>
        <w:tab w:val="right" w:pos="9026"/>
      </w:tabs>
    </w:pPr>
    <w:rPr>
      <w:kern w:val="0"/>
      <w:sz w:val="22"/>
      <w:szCs w:val="22"/>
      <w14:ligatures w14:val="none"/>
    </w:rPr>
  </w:style>
  <w:style w:type="character" w:customStyle="1" w:styleId="HeaderChar">
    <w:name w:val="Header Char"/>
    <w:basedOn w:val="DefaultParagraphFont"/>
    <w:link w:val="Header"/>
    <w:uiPriority w:val="99"/>
    <w:rsid w:val="00560E78"/>
    <w:rPr>
      <w:kern w:val="0"/>
      <w:sz w:val="22"/>
      <w:szCs w:val="22"/>
      <w14:ligatures w14:val="none"/>
    </w:rPr>
  </w:style>
  <w:style w:type="character" w:customStyle="1" w:styleId="normaltextrun">
    <w:name w:val="normaltextrun"/>
    <w:basedOn w:val="DefaultParagraphFont"/>
    <w:rsid w:val="004D78AD"/>
  </w:style>
  <w:style w:type="character" w:customStyle="1" w:styleId="eop">
    <w:name w:val="eop"/>
    <w:basedOn w:val="DefaultParagraphFont"/>
    <w:rsid w:val="004D78AD"/>
  </w:style>
  <w:style w:type="character" w:customStyle="1" w:styleId="Heading3Char">
    <w:name w:val="Heading 3 Char"/>
    <w:basedOn w:val="DefaultParagraphFont"/>
    <w:link w:val="Heading3"/>
    <w:uiPriority w:val="9"/>
    <w:rsid w:val="007B23BE"/>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semiHidden/>
    <w:rsid w:val="001737A5"/>
    <w:rPr>
      <w:rFonts w:asciiTheme="majorHAnsi" w:eastAsiaTheme="majorEastAsia" w:hAnsiTheme="majorHAnsi" w:cstheme="majorBidi"/>
      <w:color w:val="2F5496" w:themeColor="accent1" w:themeShade="BF"/>
      <w:sz w:val="26"/>
      <w:szCs w:val="26"/>
    </w:rPr>
  </w:style>
  <w:style w:type="character" w:customStyle="1" w:styleId="book-subtitle">
    <w:name w:val="book-subtitle"/>
    <w:basedOn w:val="DefaultParagraphFont"/>
    <w:rsid w:val="004C3B95"/>
  </w:style>
  <w:style w:type="character" w:customStyle="1" w:styleId="text">
    <w:name w:val="text"/>
    <w:basedOn w:val="DefaultParagraphFont"/>
    <w:rsid w:val="004C3B95"/>
  </w:style>
  <w:style w:type="character" w:customStyle="1" w:styleId="sr-only">
    <w:name w:val="sr-only"/>
    <w:basedOn w:val="DefaultParagraphFont"/>
    <w:rsid w:val="004C3B95"/>
  </w:style>
  <w:style w:type="paragraph" w:styleId="NormalWeb">
    <w:name w:val="Normal (Web)"/>
    <w:basedOn w:val="Normal"/>
    <w:uiPriority w:val="99"/>
    <w:semiHidden/>
    <w:unhideWhenUsed/>
    <w:rsid w:val="00DC27F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F1EF4"/>
  </w:style>
  <w:style w:type="character" w:styleId="CommentReference">
    <w:name w:val="annotation reference"/>
    <w:basedOn w:val="DefaultParagraphFont"/>
    <w:uiPriority w:val="99"/>
    <w:semiHidden/>
    <w:unhideWhenUsed/>
    <w:rsid w:val="00EF1EF4"/>
    <w:rPr>
      <w:sz w:val="16"/>
      <w:szCs w:val="16"/>
    </w:rPr>
  </w:style>
  <w:style w:type="paragraph" w:styleId="CommentText">
    <w:name w:val="annotation text"/>
    <w:basedOn w:val="Normal"/>
    <w:link w:val="CommentTextChar"/>
    <w:uiPriority w:val="99"/>
    <w:unhideWhenUsed/>
    <w:rsid w:val="00EF1EF4"/>
    <w:rPr>
      <w:sz w:val="20"/>
      <w:szCs w:val="20"/>
    </w:rPr>
  </w:style>
  <w:style w:type="character" w:customStyle="1" w:styleId="CommentTextChar">
    <w:name w:val="Comment Text Char"/>
    <w:basedOn w:val="DefaultParagraphFont"/>
    <w:link w:val="CommentText"/>
    <w:uiPriority w:val="99"/>
    <w:rsid w:val="00EF1EF4"/>
    <w:rPr>
      <w:sz w:val="20"/>
      <w:szCs w:val="20"/>
    </w:rPr>
  </w:style>
  <w:style w:type="paragraph" w:styleId="CommentSubject">
    <w:name w:val="annotation subject"/>
    <w:basedOn w:val="CommentText"/>
    <w:next w:val="CommentText"/>
    <w:link w:val="CommentSubjectChar"/>
    <w:uiPriority w:val="99"/>
    <w:semiHidden/>
    <w:unhideWhenUsed/>
    <w:rsid w:val="00EF1EF4"/>
    <w:rPr>
      <w:b/>
      <w:bCs/>
    </w:rPr>
  </w:style>
  <w:style w:type="character" w:customStyle="1" w:styleId="CommentSubjectChar">
    <w:name w:val="Comment Subject Char"/>
    <w:basedOn w:val="CommentTextChar"/>
    <w:link w:val="CommentSubject"/>
    <w:uiPriority w:val="99"/>
    <w:semiHidden/>
    <w:rsid w:val="00EF1EF4"/>
    <w:rPr>
      <w:b/>
      <w:bCs/>
      <w:sz w:val="20"/>
      <w:szCs w:val="20"/>
    </w:rPr>
  </w:style>
  <w:style w:type="character" w:styleId="UnresolvedMention">
    <w:name w:val="Unresolved Mention"/>
    <w:basedOn w:val="DefaultParagraphFont"/>
    <w:uiPriority w:val="99"/>
    <w:semiHidden/>
    <w:unhideWhenUsed/>
    <w:rsid w:val="00D11EC4"/>
    <w:rPr>
      <w:color w:val="605E5C"/>
      <w:shd w:val="clear" w:color="auto" w:fill="E1DFDD"/>
    </w:rPr>
  </w:style>
  <w:style w:type="character" w:customStyle="1" w:styleId="cit-auth">
    <w:name w:val="cit-auth"/>
    <w:basedOn w:val="DefaultParagraphFont"/>
    <w:rsid w:val="00AA3AC6"/>
  </w:style>
  <w:style w:type="character" w:customStyle="1" w:styleId="cit-name-surname">
    <w:name w:val="cit-name-surname"/>
    <w:basedOn w:val="DefaultParagraphFont"/>
    <w:rsid w:val="00AA3AC6"/>
  </w:style>
  <w:style w:type="character" w:customStyle="1" w:styleId="cit-name-given-names">
    <w:name w:val="cit-name-given-names"/>
    <w:basedOn w:val="DefaultParagraphFont"/>
    <w:rsid w:val="00AA3AC6"/>
  </w:style>
  <w:style w:type="character" w:styleId="HTMLCite">
    <w:name w:val="HTML Cite"/>
    <w:basedOn w:val="DefaultParagraphFont"/>
    <w:uiPriority w:val="99"/>
    <w:semiHidden/>
    <w:unhideWhenUsed/>
    <w:rsid w:val="00AA3AC6"/>
    <w:rPr>
      <w:i/>
      <w:iCs/>
    </w:rPr>
  </w:style>
  <w:style w:type="character" w:customStyle="1" w:styleId="cit-article-title">
    <w:name w:val="cit-article-title"/>
    <w:basedOn w:val="DefaultParagraphFont"/>
    <w:rsid w:val="00AA3AC6"/>
  </w:style>
  <w:style w:type="character" w:customStyle="1" w:styleId="cit-pub-date">
    <w:name w:val="cit-pub-date"/>
    <w:basedOn w:val="DefaultParagraphFont"/>
    <w:rsid w:val="00AA3AC6"/>
  </w:style>
  <w:style w:type="character" w:customStyle="1" w:styleId="cit-vol">
    <w:name w:val="cit-vol"/>
    <w:basedOn w:val="DefaultParagraphFont"/>
    <w:rsid w:val="00AA3AC6"/>
  </w:style>
  <w:style w:type="character" w:customStyle="1" w:styleId="cit-fpage">
    <w:name w:val="cit-fpage"/>
    <w:basedOn w:val="DefaultParagraphFont"/>
    <w:rsid w:val="00AA3AC6"/>
  </w:style>
  <w:style w:type="character" w:customStyle="1" w:styleId="cit-lpage">
    <w:name w:val="cit-lpage"/>
    <w:basedOn w:val="DefaultParagraphFont"/>
    <w:rsid w:val="00AA3AC6"/>
  </w:style>
  <w:style w:type="character" w:styleId="LineNumber">
    <w:name w:val="line number"/>
    <w:basedOn w:val="DefaultParagraphFont"/>
    <w:uiPriority w:val="99"/>
    <w:semiHidden/>
    <w:unhideWhenUsed/>
    <w:rsid w:val="0050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4848">
      <w:bodyDiv w:val="1"/>
      <w:marLeft w:val="0"/>
      <w:marRight w:val="0"/>
      <w:marTop w:val="0"/>
      <w:marBottom w:val="0"/>
      <w:divBdr>
        <w:top w:val="none" w:sz="0" w:space="0" w:color="auto"/>
        <w:left w:val="none" w:sz="0" w:space="0" w:color="auto"/>
        <w:bottom w:val="none" w:sz="0" w:space="0" w:color="auto"/>
        <w:right w:val="none" w:sz="0" w:space="0" w:color="auto"/>
      </w:divBdr>
    </w:div>
    <w:div w:id="202056507">
      <w:bodyDiv w:val="1"/>
      <w:marLeft w:val="0"/>
      <w:marRight w:val="0"/>
      <w:marTop w:val="0"/>
      <w:marBottom w:val="0"/>
      <w:divBdr>
        <w:top w:val="none" w:sz="0" w:space="0" w:color="auto"/>
        <w:left w:val="none" w:sz="0" w:space="0" w:color="auto"/>
        <w:bottom w:val="none" w:sz="0" w:space="0" w:color="auto"/>
        <w:right w:val="none" w:sz="0" w:space="0" w:color="auto"/>
      </w:divBdr>
    </w:div>
    <w:div w:id="220674608">
      <w:bodyDiv w:val="1"/>
      <w:marLeft w:val="0"/>
      <w:marRight w:val="0"/>
      <w:marTop w:val="0"/>
      <w:marBottom w:val="0"/>
      <w:divBdr>
        <w:top w:val="none" w:sz="0" w:space="0" w:color="auto"/>
        <w:left w:val="none" w:sz="0" w:space="0" w:color="auto"/>
        <w:bottom w:val="none" w:sz="0" w:space="0" w:color="auto"/>
        <w:right w:val="none" w:sz="0" w:space="0" w:color="auto"/>
      </w:divBdr>
    </w:div>
    <w:div w:id="550190920">
      <w:bodyDiv w:val="1"/>
      <w:marLeft w:val="0"/>
      <w:marRight w:val="0"/>
      <w:marTop w:val="0"/>
      <w:marBottom w:val="0"/>
      <w:divBdr>
        <w:top w:val="none" w:sz="0" w:space="0" w:color="auto"/>
        <w:left w:val="none" w:sz="0" w:space="0" w:color="auto"/>
        <w:bottom w:val="none" w:sz="0" w:space="0" w:color="auto"/>
        <w:right w:val="none" w:sz="0" w:space="0" w:color="auto"/>
      </w:divBdr>
    </w:div>
    <w:div w:id="592907038">
      <w:bodyDiv w:val="1"/>
      <w:marLeft w:val="0"/>
      <w:marRight w:val="0"/>
      <w:marTop w:val="0"/>
      <w:marBottom w:val="0"/>
      <w:divBdr>
        <w:top w:val="none" w:sz="0" w:space="0" w:color="auto"/>
        <w:left w:val="none" w:sz="0" w:space="0" w:color="auto"/>
        <w:bottom w:val="none" w:sz="0" w:space="0" w:color="auto"/>
        <w:right w:val="none" w:sz="0" w:space="0" w:color="auto"/>
      </w:divBdr>
    </w:div>
    <w:div w:id="796797716">
      <w:bodyDiv w:val="1"/>
      <w:marLeft w:val="0"/>
      <w:marRight w:val="0"/>
      <w:marTop w:val="0"/>
      <w:marBottom w:val="0"/>
      <w:divBdr>
        <w:top w:val="none" w:sz="0" w:space="0" w:color="auto"/>
        <w:left w:val="none" w:sz="0" w:space="0" w:color="auto"/>
        <w:bottom w:val="none" w:sz="0" w:space="0" w:color="auto"/>
        <w:right w:val="none" w:sz="0" w:space="0" w:color="auto"/>
      </w:divBdr>
      <w:divsChild>
        <w:div w:id="194658176">
          <w:marLeft w:val="446"/>
          <w:marRight w:val="0"/>
          <w:marTop w:val="0"/>
          <w:marBottom w:val="0"/>
          <w:divBdr>
            <w:top w:val="none" w:sz="0" w:space="0" w:color="auto"/>
            <w:left w:val="none" w:sz="0" w:space="0" w:color="auto"/>
            <w:bottom w:val="none" w:sz="0" w:space="0" w:color="auto"/>
            <w:right w:val="none" w:sz="0" w:space="0" w:color="auto"/>
          </w:divBdr>
        </w:div>
        <w:div w:id="540288218">
          <w:marLeft w:val="446"/>
          <w:marRight w:val="0"/>
          <w:marTop w:val="0"/>
          <w:marBottom w:val="0"/>
          <w:divBdr>
            <w:top w:val="none" w:sz="0" w:space="0" w:color="auto"/>
            <w:left w:val="none" w:sz="0" w:space="0" w:color="auto"/>
            <w:bottom w:val="none" w:sz="0" w:space="0" w:color="auto"/>
            <w:right w:val="none" w:sz="0" w:space="0" w:color="auto"/>
          </w:divBdr>
        </w:div>
        <w:div w:id="1308053346">
          <w:marLeft w:val="446"/>
          <w:marRight w:val="0"/>
          <w:marTop w:val="0"/>
          <w:marBottom w:val="0"/>
          <w:divBdr>
            <w:top w:val="none" w:sz="0" w:space="0" w:color="auto"/>
            <w:left w:val="none" w:sz="0" w:space="0" w:color="auto"/>
            <w:bottom w:val="none" w:sz="0" w:space="0" w:color="auto"/>
            <w:right w:val="none" w:sz="0" w:space="0" w:color="auto"/>
          </w:divBdr>
        </w:div>
        <w:div w:id="811874042">
          <w:marLeft w:val="446"/>
          <w:marRight w:val="0"/>
          <w:marTop w:val="0"/>
          <w:marBottom w:val="0"/>
          <w:divBdr>
            <w:top w:val="none" w:sz="0" w:space="0" w:color="auto"/>
            <w:left w:val="none" w:sz="0" w:space="0" w:color="auto"/>
            <w:bottom w:val="none" w:sz="0" w:space="0" w:color="auto"/>
            <w:right w:val="none" w:sz="0" w:space="0" w:color="auto"/>
          </w:divBdr>
        </w:div>
        <w:div w:id="1192307621">
          <w:marLeft w:val="446"/>
          <w:marRight w:val="0"/>
          <w:marTop w:val="0"/>
          <w:marBottom w:val="0"/>
          <w:divBdr>
            <w:top w:val="none" w:sz="0" w:space="0" w:color="auto"/>
            <w:left w:val="none" w:sz="0" w:space="0" w:color="auto"/>
            <w:bottom w:val="none" w:sz="0" w:space="0" w:color="auto"/>
            <w:right w:val="none" w:sz="0" w:space="0" w:color="auto"/>
          </w:divBdr>
        </w:div>
        <w:div w:id="858350590">
          <w:marLeft w:val="446"/>
          <w:marRight w:val="0"/>
          <w:marTop w:val="0"/>
          <w:marBottom w:val="0"/>
          <w:divBdr>
            <w:top w:val="none" w:sz="0" w:space="0" w:color="auto"/>
            <w:left w:val="none" w:sz="0" w:space="0" w:color="auto"/>
            <w:bottom w:val="none" w:sz="0" w:space="0" w:color="auto"/>
            <w:right w:val="none" w:sz="0" w:space="0" w:color="auto"/>
          </w:divBdr>
        </w:div>
        <w:div w:id="421147184">
          <w:marLeft w:val="446"/>
          <w:marRight w:val="0"/>
          <w:marTop w:val="0"/>
          <w:marBottom w:val="0"/>
          <w:divBdr>
            <w:top w:val="none" w:sz="0" w:space="0" w:color="auto"/>
            <w:left w:val="none" w:sz="0" w:space="0" w:color="auto"/>
            <w:bottom w:val="none" w:sz="0" w:space="0" w:color="auto"/>
            <w:right w:val="none" w:sz="0" w:space="0" w:color="auto"/>
          </w:divBdr>
        </w:div>
        <w:div w:id="1292638424">
          <w:marLeft w:val="446"/>
          <w:marRight w:val="0"/>
          <w:marTop w:val="0"/>
          <w:marBottom w:val="0"/>
          <w:divBdr>
            <w:top w:val="none" w:sz="0" w:space="0" w:color="auto"/>
            <w:left w:val="none" w:sz="0" w:space="0" w:color="auto"/>
            <w:bottom w:val="none" w:sz="0" w:space="0" w:color="auto"/>
            <w:right w:val="none" w:sz="0" w:space="0" w:color="auto"/>
          </w:divBdr>
        </w:div>
        <w:div w:id="684551567">
          <w:marLeft w:val="446"/>
          <w:marRight w:val="0"/>
          <w:marTop w:val="0"/>
          <w:marBottom w:val="0"/>
          <w:divBdr>
            <w:top w:val="none" w:sz="0" w:space="0" w:color="auto"/>
            <w:left w:val="none" w:sz="0" w:space="0" w:color="auto"/>
            <w:bottom w:val="none" w:sz="0" w:space="0" w:color="auto"/>
            <w:right w:val="none" w:sz="0" w:space="0" w:color="auto"/>
          </w:divBdr>
        </w:div>
      </w:divsChild>
    </w:div>
    <w:div w:id="863440695">
      <w:bodyDiv w:val="1"/>
      <w:marLeft w:val="0"/>
      <w:marRight w:val="0"/>
      <w:marTop w:val="0"/>
      <w:marBottom w:val="0"/>
      <w:divBdr>
        <w:top w:val="none" w:sz="0" w:space="0" w:color="auto"/>
        <w:left w:val="none" w:sz="0" w:space="0" w:color="auto"/>
        <w:bottom w:val="none" w:sz="0" w:space="0" w:color="auto"/>
        <w:right w:val="none" w:sz="0" w:space="0" w:color="auto"/>
      </w:divBdr>
    </w:div>
    <w:div w:id="1274289425">
      <w:bodyDiv w:val="1"/>
      <w:marLeft w:val="0"/>
      <w:marRight w:val="0"/>
      <w:marTop w:val="0"/>
      <w:marBottom w:val="0"/>
      <w:divBdr>
        <w:top w:val="none" w:sz="0" w:space="0" w:color="auto"/>
        <w:left w:val="none" w:sz="0" w:space="0" w:color="auto"/>
        <w:bottom w:val="none" w:sz="0" w:space="0" w:color="auto"/>
        <w:right w:val="none" w:sz="0" w:space="0" w:color="auto"/>
      </w:divBdr>
    </w:div>
    <w:div w:id="1353610083">
      <w:bodyDiv w:val="1"/>
      <w:marLeft w:val="0"/>
      <w:marRight w:val="0"/>
      <w:marTop w:val="0"/>
      <w:marBottom w:val="0"/>
      <w:divBdr>
        <w:top w:val="none" w:sz="0" w:space="0" w:color="auto"/>
        <w:left w:val="none" w:sz="0" w:space="0" w:color="auto"/>
        <w:bottom w:val="none" w:sz="0" w:space="0" w:color="auto"/>
        <w:right w:val="none" w:sz="0" w:space="0" w:color="auto"/>
      </w:divBdr>
    </w:div>
    <w:div w:id="1408848170">
      <w:bodyDiv w:val="1"/>
      <w:marLeft w:val="0"/>
      <w:marRight w:val="0"/>
      <w:marTop w:val="0"/>
      <w:marBottom w:val="0"/>
      <w:divBdr>
        <w:top w:val="none" w:sz="0" w:space="0" w:color="auto"/>
        <w:left w:val="none" w:sz="0" w:space="0" w:color="auto"/>
        <w:bottom w:val="none" w:sz="0" w:space="0" w:color="auto"/>
        <w:right w:val="none" w:sz="0" w:space="0" w:color="auto"/>
      </w:divBdr>
    </w:div>
    <w:div w:id="1415514966">
      <w:bodyDiv w:val="1"/>
      <w:marLeft w:val="0"/>
      <w:marRight w:val="0"/>
      <w:marTop w:val="0"/>
      <w:marBottom w:val="0"/>
      <w:divBdr>
        <w:top w:val="none" w:sz="0" w:space="0" w:color="auto"/>
        <w:left w:val="none" w:sz="0" w:space="0" w:color="auto"/>
        <w:bottom w:val="none" w:sz="0" w:space="0" w:color="auto"/>
        <w:right w:val="none" w:sz="0" w:space="0" w:color="auto"/>
      </w:divBdr>
      <w:divsChild>
        <w:div w:id="1174496753">
          <w:marLeft w:val="0"/>
          <w:marRight w:val="0"/>
          <w:marTop w:val="0"/>
          <w:marBottom w:val="0"/>
          <w:divBdr>
            <w:top w:val="none" w:sz="0" w:space="0" w:color="auto"/>
            <w:left w:val="none" w:sz="0" w:space="0" w:color="auto"/>
            <w:bottom w:val="none" w:sz="0" w:space="0" w:color="auto"/>
            <w:right w:val="none" w:sz="0" w:space="0" w:color="auto"/>
          </w:divBdr>
          <w:divsChild>
            <w:div w:id="906577563">
              <w:marLeft w:val="0"/>
              <w:marRight w:val="0"/>
              <w:marTop w:val="0"/>
              <w:marBottom w:val="0"/>
              <w:divBdr>
                <w:top w:val="none" w:sz="0" w:space="0" w:color="auto"/>
                <w:left w:val="none" w:sz="0" w:space="0" w:color="auto"/>
                <w:bottom w:val="none" w:sz="0" w:space="0" w:color="auto"/>
                <w:right w:val="none" w:sz="0" w:space="0" w:color="auto"/>
              </w:divBdr>
            </w:div>
          </w:divsChild>
        </w:div>
        <w:div w:id="1723600507">
          <w:marLeft w:val="0"/>
          <w:marRight w:val="0"/>
          <w:marTop w:val="0"/>
          <w:marBottom w:val="0"/>
          <w:divBdr>
            <w:top w:val="none" w:sz="0" w:space="0" w:color="auto"/>
            <w:left w:val="none" w:sz="0" w:space="0" w:color="auto"/>
            <w:bottom w:val="none" w:sz="0" w:space="0" w:color="auto"/>
            <w:right w:val="none" w:sz="0" w:space="0" w:color="auto"/>
          </w:divBdr>
          <w:divsChild>
            <w:div w:id="1875148495">
              <w:marLeft w:val="0"/>
              <w:marRight w:val="0"/>
              <w:marTop w:val="0"/>
              <w:marBottom w:val="0"/>
              <w:divBdr>
                <w:top w:val="none" w:sz="0" w:space="0" w:color="auto"/>
                <w:left w:val="none" w:sz="0" w:space="0" w:color="auto"/>
                <w:bottom w:val="none" w:sz="0" w:space="0" w:color="auto"/>
                <w:right w:val="none" w:sz="0" w:space="0" w:color="auto"/>
              </w:divBdr>
            </w:div>
          </w:divsChild>
        </w:div>
        <w:div w:id="544831178">
          <w:marLeft w:val="0"/>
          <w:marRight w:val="0"/>
          <w:marTop w:val="0"/>
          <w:marBottom w:val="0"/>
          <w:divBdr>
            <w:top w:val="none" w:sz="0" w:space="0" w:color="auto"/>
            <w:left w:val="none" w:sz="0" w:space="0" w:color="auto"/>
            <w:bottom w:val="none" w:sz="0" w:space="0" w:color="auto"/>
            <w:right w:val="none" w:sz="0" w:space="0" w:color="auto"/>
          </w:divBdr>
        </w:div>
        <w:div w:id="1282221601">
          <w:marLeft w:val="0"/>
          <w:marRight w:val="0"/>
          <w:marTop w:val="0"/>
          <w:marBottom w:val="0"/>
          <w:divBdr>
            <w:top w:val="none" w:sz="0" w:space="0" w:color="auto"/>
            <w:left w:val="none" w:sz="0" w:space="0" w:color="auto"/>
            <w:bottom w:val="none" w:sz="0" w:space="0" w:color="auto"/>
            <w:right w:val="none" w:sz="0" w:space="0" w:color="auto"/>
          </w:divBdr>
        </w:div>
      </w:divsChild>
    </w:div>
    <w:div w:id="1424767416">
      <w:bodyDiv w:val="1"/>
      <w:marLeft w:val="0"/>
      <w:marRight w:val="0"/>
      <w:marTop w:val="0"/>
      <w:marBottom w:val="0"/>
      <w:divBdr>
        <w:top w:val="none" w:sz="0" w:space="0" w:color="auto"/>
        <w:left w:val="none" w:sz="0" w:space="0" w:color="auto"/>
        <w:bottom w:val="none" w:sz="0" w:space="0" w:color="auto"/>
        <w:right w:val="none" w:sz="0" w:space="0" w:color="auto"/>
      </w:divBdr>
    </w:div>
    <w:div w:id="1542861553">
      <w:bodyDiv w:val="1"/>
      <w:marLeft w:val="0"/>
      <w:marRight w:val="0"/>
      <w:marTop w:val="0"/>
      <w:marBottom w:val="0"/>
      <w:divBdr>
        <w:top w:val="none" w:sz="0" w:space="0" w:color="auto"/>
        <w:left w:val="none" w:sz="0" w:space="0" w:color="auto"/>
        <w:bottom w:val="none" w:sz="0" w:space="0" w:color="auto"/>
        <w:right w:val="none" w:sz="0" w:space="0" w:color="auto"/>
      </w:divBdr>
    </w:div>
    <w:div w:id="1582760859">
      <w:bodyDiv w:val="1"/>
      <w:marLeft w:val="0"/>
      <w:marRight w:val="0"/>
      <w:marTop w:val="0"/>
      <w:marBottom w:val="0"/>
      <w:divBdr>
        <w:top w:val="none" w:sz="0" w:space="0" w:color="auto"/>
        <w:left w:val="none" w:sz="0" w:space="0" w:color="auto"/>
        <w:bottom w:val="none" w:sz="0" w:space="0" w:color="auto"/>
        <w:right w:val="none" w:sz="0" w:space="0" w:color="auto"/>
      </w:divBdr>
      <w:divsChild>
        <w:div w:id="1595552398">
          <w:marLeft w:val="446"/>
          <w:marRight w:val="0"/>
          <w:marTop w:val="0"/>
          <w:marBottom w:val="0"/>
          <w:divBdr>
            <w:top w:val="none" w:sz="0" w:space="0" w:color="auto"/>
            <w:left w:val="none" w:sz="0" w:space="0" w:color="auto"/>
            <w:bottom w:val="none" w:sz="0" w:space="0" w:color="auto"/>
            <w:right w:val="none" w:sz="0" w:space="0" w:color="auto"/>
          </w:divBdr>
        </w:div>
        <w:div w:id="169835094">
          <w:marLeft w:val="446"/>
          <w:marRight w:val="0"/>
          <w:marTop w:val="0"/>
          <w:marBottom w:val="0"/>
          <w:divBdr>
            <w:top w:val="none" w:sz="0" w:space="0" w:color="auto"/>
            <w:left w:val="none" w:sz="0" w:space="0" w:color="auto"/>
            <w:bottom w:val="none" w:sz="0" w:space="0" w:color="auto"/>
            <w:right w:val="none" w:sz="0" w:space="0" w:color="auto"/>
          </w:divBdr>
        </w:div>
      </w:divsChild>
    </w:div>
    <w:div w:id="1602714295">
      <w:bodyDiv w:val="1"/>
      <w:marLeft w:val="0"/>
      <w:marRight w:val="0"/>
      <w:marTop w:val="0"/>
      <w:marBottom w:val="0"/>
      <w:divBdr>
        <w:top w:val="none" w:sz="0" w:space="0" w:color="auto"/>
        <w:left w:val="none" w:sz="0" w:space="0" w:color="auto"/>
        <w:bottom w:val="none" w:sz="0" w:space="0" w:color="auto"/>
        <w:right w:val="none" w:sz="0" w:space="0" w:color="auto"/>
      </w:divBdr>
    </w:div>
    <w:div w:id="1634553068">
      <w:bodyDiv w:val="1"/>
      <w:marLeft w:val="0"/>
      <w:marRight w:val="0"/>
      <w:marTop w:val="0"/>
      <w:marBottom w:val="0"/>
      <w:divBdr>
        <w:top w:val="none" w:sz="0" w:space="0" w:color="auto"/>
        <w:left w:val="none" w:sz="0" w:space="0" w:color="auto"/>
        <w:bottom w:val="none" w:sz="0" w:space="0" w:color="auto"/>
        <w:right w:val="none" w:sz="0" w:space="0" w:color="auto"/>
      </w:divBdr>
    </w:div>
    <w:div w:id="1695493881">
      <w:bodyDiv w:val="1"/>
      <w:marLeft w:val="0"/>
      <w:marRight w:val="0"/>
      <w:marTop w:val="0"/>
      <w:marBottom w:val="0"/>
      <w:divBdr>
        <w:top w:val="none" w:sz="0" w:space="0" w:color="auto"/>
        <w:left w:val="none" w:sz="0" w:space="0" w:color="auto"/>
        <w:bottom w:val="none" w:sz="0" w:space="0" w:color="auto"/>
        <w:right w:val="none" w:sz="0" w:space="0" w:color="auto"/>
      </w:divBdr>
    </w:div>
    <w:div w:id="1875844678">
      <w:bodyDiv w:val="1"/>
      <w:marLeft w:val="0"/>
      <w:marRight w:val="0"/>
      <w:marTop w:val="0"/>
      <w:marBottom w:val="0"/>
      <w:divBdr>
        <w:top w:val="none" w:sz="0" w:space="0" w:color="auto"/>
        <w:left w:val="none" w:sz="0" w:space="0" w:color="auto"/>
        <w:bottom w:val="none" w:sz="0" w:space="0" w:color="auto"/>
        <w:right w:val="none" w:sz="0" w:space="0" w:color="auto"/>
      </w:divBdr>
    </w:div>
    <w:div w:id="1909725303">
      <w:bodyDiv w:val="1"/>
      <w:marLeft w:val="0"/>
      <w:marRight w:val="0"/>
      <w:marTop w:val="0"/>
      <w:marBottom w:val="0"/>
      <w:divBdr>
        <w:top w:val="none" w:sz="0" w:space="0" w:color="auto"/>
        <w:left w:val="none" w:sz="0" w:space="0" w:color="auto"/>
        <w:bottom w:val="none" w:sz="0" w:space="0" w:color="auto"/>
        <w:right w:val="none" w:sz="0" w:space="0" w:color="auto"/>
      </w:divBdr>
      <w:divsChild>
        <w:div w:id="164981213">
          <w:marLeft w:val="0"/>
          <w:marRight w:val="0"/>
          <w:marTop w:val="0"/>
          <w:marBottom w:val="0"/>
          <w:divBdr>
            <w:top w:val="none" w:sz="0" w:space="0" w:color="auto"/>
            <w:left w:val="none" w:sz="0" w:space="0" w:color="auto"/>
            <w:bottom w:val="none" w:sz="0" w:space="0" w:color="auto"/>
            <w:right w:val="none" w:sz="0" w:space="0" w:color="auto"/>
          </w:divBdr>
          <w:divsChild>
            <w:div w:id="2073968047">
              <w:marLeft w:val="0"/>
              <w:marRight w:val="0"/>
              <w:marTop w:val="0"/>
              <w:marBottom w:val="0"/>
              <w:divBdr>
                <w:top w:val="none" w:sz="0" w:space="0" w:color="auto"/>
                <w:left w:val="none" w:sz="0" w:space="0" w:color="auto"/>
                <w:bottom w:val="none" w:sz="0" w:space="0" w:color="auto"/>
                <w:right w:val="none" w:sz="0" w:space="0" w:color="auto"/>
              </w:divBdr>
              <w:divsChild>
                <w:div w:id="1841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09063">
      <w:bodyDiv w:val="1"/>
      <w:marLeft w:val="0"/>
      <w:marRight w:val="0"/>
      <w:marTop w:val="0"/>
      <w:marBottom w:val="0"/>
      <w:divBdr>
        <w:top w:val="none" w:sz="0" w:space="0" w:color="auto"/>
        <w:left w:val="none" w:sz="0" w:space="0" w:color="auto"/>
        <w:bottom w:val="none" w:sz="0" w:space="0" w:color="auto"/>
        <w:right w:val="none" w:sz="0" w:space="0" w:color="auto"/>
      </w:divBdr>
    </w:div>
    <w:div w:id="2048020379">
      <w:bodyDiv w:val="1"/>
      <w:marLeft w:val="0"/>
      <w:marRight w:val="0"/>
      <w:marTop w:val="0"/>
      <w:marBottom w:val="0"/>
      <w:divBdr>
        <w:top w:val="none" w:sz="0" w:space="0" w:color="auto"/>
        <w:left w:val="none" w:sz="0" w:space="0" w:color="auto"/>
        <w:bottom w:val="none" w:sz="0" w:space="0" w:color="auto"/>
        <w:right w:val="none" w:sz="0" w:space="0" w:color="auto"/>
      </w:divBdr>
    </w:div>
    <w:div w:id="2053311831">
      <w:bodyDiv w:val="1"/>
      <w:marLeft w:val="0"/>
      <w:marRight w:val="0"/>
      <w:marTop w:val="0"/>
      <w:marBottom w:val="0"/>
      <w:divBdr>
        <w:top w:val="none" w:sz="0" w:space="0" w:color="auto"/>
        <w:left w:val="none" w:sz="0" w:space="0" w:color="auto"/>
        <w:bottom w:val="none" w:sz="0" w:space="0" w:color="auto"/>
        <w:right w:val="none" w:sz="0" w:space="0" w:color="auto"/>
      </w:divBdr>
      <w:divsChild>
        <w:div w:id="883367117">
          <w:marLeft w:val="0"/>
          <w:marRight w:val="0"/>
          <w:marTop w:val="0"/>
          <w:marBottom w:val="0"/>
          <w:divBdr>
            <w:top w:val="none" w:sz="0" w:space="0" w:color="auto"/>
            <w:left w:val="none" w:sz="0" w:space="0" w:color="auto"/>
            <w:bottom w:val="none" w:sz="0" w:space="0" w:color="auto"/>
            <w:right w:val="none" w:sz="0" w:space="0" w:color="auto"/>
          </w:divBdr>
          <w:divsChild>
            <w:div w:id="689795034">
              <w:marLeft w:val="0"/>
              <w:marRight w:val="0"/>
              <w:marTop w:val="0"/>
              <w:marBottom w:val="0"/>
              <w:divBdr>
                <w:top w:val="none" w:sz="0" w:space="0" w:color="auto"/>
                <w:left w:val="none" w:sz="0" w:space="0" w:color="auto"/>
                <w:bottom w:val="none" w:sz="0" w:space="0" w:color="auto"/>
                <w:right w:val="none" w:sz="0" w:space="0" w:color="auto"/>
              </w:divBdr>
              <w:divsChild>
                <w:div w:id="16402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108/1477726121123075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right@soton.ac.uk" TargetMode="External"/><Relationship Id="rId5" Type="http://schemas.openxmlformats.org/officeDocument/2006/relationships/numbering" Target="numbering.xml"/><Relationship Id="rId15" Type="http://schemas.openxmlformats.org/officeDocument/2006/relationships/hyperlink" Target="http://dx.doi.org/10.1136/bmjqs-2011-00076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13012-022-01245-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F097B506D84EACBD54D485D17E95" ma:contentTypeVersion="15" ma:contentTypeDescription="Create a new document." ma:contentTypeScope="" ma:versionID="858058d50151a36661f0c741bac6688a">
  <xsd:schema xmlns:xsd="http://www.w3.org/2001/XMLSchema" xmlns:xs="http://www.w3.org/2001/XMLSchema" xmlns:p="http://schemas.microsoft.com/office/2006/metadata/properties" xmlns:ns2="58fde314-5c4c-49bf-975a-fbc7383caf26" xmlns:ns3="d842c782-7b6d-49a3-a840-7c44cc9d4a46" targetNamespace="http://schemas.microsoft.com/office/2006/metadata/properties" ma:root="true" ma:fieldsID="33bf91c3478bc178b5160b97a0df73a0" ns2:_="" ns3:_="">
    <xsd:import namespace="58fde314-5c4c-49bf-975a-fbc7383caf26"/>
    <xsd:import namespace="d842c782-7b6d-49a3-a840-7c44cc9d4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de314-5c4c-49bf-975a-fbc7383c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2c782-7b6d-49a3-a840-7c44cc9d4a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7b7f05-18d4-4a3b-8df3-857c7f5664fb}" ma:internalName="TaxCatchAll" ma:showField="CatchAllData" ma:web="d842c782-7b6d-49a3-a840-7c44cc9d4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fde314-5c4c-49bf-975a-fbc7383caf26">
      <Terms xmlns="http://schemas.microsoft.com/office/infopath/2007/PartnerControls"/>
    </lcf76f155ced4ddcb4097134ff3c332f>
    <TaxCatchAll xmlns="d842c782-7b6d-49a3-a840-7c44cc9d4a46" xsi:nil="true"/>
  </documentManagement>
</p:properties>
</file>

<file path=customXml/itemProps1.xml><?xml version="1.0" encoding="utf-8"?>
<ds:datastoreItem xmlns:ds="http://schemas.openxmlformats.org/officeDocument/2006/customXml" ds:itemID="{65FC27F3-52DE-43FD-89DB-9B3FD717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de314-5c4c-49bf-975a-fbc7383caf26"/>
    <ds:schemaRef ds:uri="d842c782-7b6d-49a3-a840-7c44cc9d4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B1AF-7A8F-4BC7-8CA5-A254EFA1C3B5}">
  <ds:schemaRefs>
    <ds:schemaRef ds:uri="http://schemas.openxmlformats.org/officeDocument/2006/bibliography"/>
  </ds:schemaRefs>
</ds:datastoreItem>
</file>

<file path=customXml/itemProps3.xml><?xml version="1.0" encoding="utf-8"?>
<ds:datastoreItem xmlns:ds="http://schemas.openxmlformats.org/officeDocument/2006/customXml" ds:itemID="{8FB20BAC-4FEC-49A9-8B39-AEF05FBC98BC}">
  <ds:schemaRefs>
    <ds:schemaRef ds:uri="http://schemas.microsoft.com/sharepoint/v3/contenttype/forms"/>
  </ds:schemaRefs>
</ds:datastoreItem>
</file>

<file path=customXml/itemProps4.xml><?xml version="1.0" encoding="utf-8"?>
<ds:datastoreItem xmlns:ds="http://schemas.openxmlformats.org/officeDocument/2006/customXml" ds:itemID="{C9CA6770-0493-42FA-9968-46E494E703CC}">
  <ds:schemaRefs>
    <ds:schemaRef ds:uri="http://schemas.microsoft.com/office/2006/metadata/properties"/>
    <ds:schemaRef ds:uri="http://schemas.microsoft.com/office/infopath/2007/PartnerControls"/>
    <ds:schemaRef ds:uri="58fde314-5c4c-49bf-975a-fbc7383caf26"/>
    <ds:schemaRef ds:uri="d842c782-7b6d-49a3-a840-7c44cc9d4a4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Wright</dc:creator>
  <cp:keywords/>
  <dc:description/>
  <cp:lastModifiedBy>David Wright</cp:lastModifiedBy>
  <cp:revision>7</cp:revision>
  <cp:lastPrinted>2024-05-13T11:10:00Z</cp:lastPrinted>
  <dcterms:created xsi:type="dcterms:W3CDTF">2025-04-11T09:54:00Z</dcterms:created>
  <dcterms:modified xsi:type="dcterms:W3CDTF">2025-05-06T07:44:00Z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0x010100C867F097B506D84EACBD54D485D17E95</vt:lpwstr>
  </property>
  <property fmtid="{D5CDD505-2E9C-101B-9397-08002B2CF9AE}" pid="3" name="MediaServiceImageTags">
    <vt:lpwstr/>
  </property>
</Properties>
</file>